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34901" w14:textId="77777777" w:rsidR="001E58B4" w:rsidRPr="00D301DC" w:rsidRDefault="00000000">
      <w:pPr>
        <w:spacing w:line="360" w:lineRule="auto"/>
        <w:jc w:val="both"/>
      </w:pPr>
      <w:r w:rsidRPr="00D301DC">
        <w:rPr>
          <w:rFonts w:ascii="Book Antiqua" w:eastAsia="Book Antiqua" w:hAnsi="Book Antiqua" w:cs="Book Antiqua"/>
          <w:b/>
        </w:rPr>
        <w:t xml:space="preserve">Name of Journal: </w:t>
      </w:r>
      <w:r w:rsidRPr="00D301DC">
        <w:rPr>
          <w:rFonts w:ascii="Book Antiqua" w:eastAsia="Book Antiqua" w:hAnsi="Book Antiqua" w:cs="Book Antiqua"/>
          <w:i/>
        </w:rPr>
        <w:t>World Journal of Gastroenterology</w:t>
      </w:r>
    </w:p>
    <w:p w14:paraId="7B9473AA" w14:textId="77777777" w:rsidR="001E58B4" w:rsidRPr="00D301DC" w:rsidRDefault="00000000">
      <w:pPr>
        <w:spacing w:line="360" w:lineRule="auto"/>
        <w:jc w:val="both"/>
      </w:pPr>
      <w:r w:rsidRPr="00D301DC">
        <w:rPr>
          <w:rFonts w:ascii="Book Antiqua" w:eastAsia="Book Antiqua" w:hAnsi="Book Antiqua" w:cs="Book Antiqua"/>
          <w:b/>
        </w:rPr>
        <w:t xml:space="preserve">Manuscript NO: </w:t>
      </w:r>
      <w:r w:rsidRPr="00D301DC">
        <w:rPr>
          <w:rFonts w:ascii="Book Antiqua" w:eastAsia="Book Antiqua" w:hAnsi="Book Antiqua" w:cs="Book Antiqua"/>
        </w:rPr>
        <w:t>85822</w:t>
      </w:r>
    </w:p>
    <w:p w14:paraId="09264BD4" w14:textId="77777777" w:rsidR="001E58B4" w:rsidRPr="00D301DC" w:rsidRDefault="00000000">
      <w:pPr>
        <w:spacing w:line="360" w:lineRule="auto"/>
        <w:jc w:val="both"/>
      </w:pPr>
      <w:r w:rsidRPr="00D301DC">
        <w:rPr>
          <w:rFonts w:ascii="Book Antiqua" w:eastAsia="Book Antiqua" w:hAnsi="Book Antiqua" w:cs="Book Antiqua"/>
          <w:b/>
        </w:rPr>
        <w:t xml:space="preserve">Manuscript Type: </w:t>
      </w:r>
      <w:r w:rsidRPr="00D301DC">
        <w:rPr>
          <w:rFonts w:ascii="Book Antiqua" w:eastAsia="Book Antiqua" w:hAnsi="Book Antiqua" w:cs="Book Antiqua"/>
        </w:rPr>
        <w:t>ORIGINAL ARTICLE</w:t>
      </w:r>
    </w:p>
    <w:p w14:paraId="1D37BC4A" w14:textId="77777777" w:rsidR="001E58B4" w:rsidRPr="00D301DC" w:rsidRDefault="001E58B4">
      <w:pPr>
        <w:spacing w:line="360" w:lineRule="auto"/>
        <w:jc w:val="both"/>
      </w:pPr>
    </w:p>
    <w:p w14:paraId="7E3F262A" w14:textId="77777777" w:rsidR="001E58B4" w:rsidRPr="00D301DC" w:rsidRDefault="00000000">
      <w:pPr>
        <w:spacing w:line="360" w:lineRule="auto"/>
        <w:jc w:val="both"/>
      </w:pPr>
      <w:r w:rsidRPr="00D301DC">
        <w:rPr>
          <w:rFonts w:ascii="Book Antiqua" w:eastAsia="Book Antiqua" w:hAnsi="Book Antiqua" w:cs="Book Antiqua"/>
          <w:b/>
          <w:i/>
        </w:rPr>
        <w:t>Basic Study</w:t>
      </w:r>
    </w:p>
    <w:p w14:paraId="57A81DCE" w14:textId="77777777" w:rsidR="001E58B4" w:rsidRPr="00D301DC" w:rsidRDefault="00000000">
      <w:pPr>
        <w:spacing w:line="360" w:lineRule="auto"/>
        <w:jc w:val="both"/>
      </w:pPr>
      <w:r w:rsidRPr="00D301DC">
        <w:rPr>
          <w:rFonts w:ascii="Book Antiqua" w:eastAsia="Book Antiqua" w:hAnsi="Book Antiqua" w:cs="Book Antiqua"/>
          <w:b/>
          <w:bCs/>
          <w:color w:val="000000"/>
        </w:rPr>
        <w:t>Effect of exogenous hydrogen sulfide in the nucleus tractus solitarius on gastric motility in rats</w:t>
      </w:r>
    </w:p>
    <w:p w14:paraId="678C4E1C" w14:textId="77777777" w:rsidR="001E58B4" w:rsidRPr="00D301DC" w:rsidRDefault="001E58B4">
      <w:pPr>
        <w:spacing w:line="360" w:lineRule="auto"/>
        <w:jc w:val="both"/>
      </w:pPr>
    </w:p>
    <w:p w14:paraId="0C9D860E" w14:textId="77777777" w:rsidR="001E58B4" w:rsidRPr="00D301DC" w:rsidRDefault="00000000">
      <w:pPr>
        <w:spacing w:line="360" w:lineRule="auto"/>
        <w:jc w:val="both"/>
      </w:pPr>
      <w:r w:rsidRPr="00D301DC">
        <w:rPr>
          <w:rFonts w:ascii="Book Antiqua" w:eastAsia="Book Antiqua" w:hAnsi="Book Antiqua" w:cs="Book Antiqua"/>
          <w:color w:val="000000"/>
        </w:rPr>
        <w:t xml:space="preserve">Sun HZ </w:t>
      </w:r>
      <w:r w:rsidRPr="00D301DC">
        <w:rPr>
          <w:rFonts w:ascii="Book Antiqua" w:eastAsia="Book Antiqua" w:hAnsi="Book Antiqua" w:cs="Book Antiqua"/>
          <w:i/>
          <w:iCs/>
          <w:color w:val="000000"/>
        </w:rPr>
        <w:t>et al</w:t>
      </w:r>
      <w:r w:rsidRPr="00D301DC">
        <w:rPr>
          <w:rFonts w:ascii="Book Antiqua" w:eastAsia="Book Antiqua" w:hAnsi="Book Antiqua" w:cs="Book Antiqua"/>
          <w:color w:val="000000"/>
        </w:rPr>
        <w:t>.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within NTS and gastric motility</w:t>
      </w:r>
    </w:p>
    <w:p w14:paraId="122C808F" w14:textId="77777777" w:rsidR="001E58B4" w:rsidRPr="00D301DC" w:rsidRDefault="001E58B4">
      <w:pPr>
        <w:spacing w:line="360" w:lineRule="auto"/>
        <w:jc w:val="both"/>
      </w:pPr>
    </w:p>
    <w:p w14:paraId="504CADA3" w14:textId="77777777" w:rsidR="001E58B4" w:rsidRPr="00D301DC" w:rsidRDefault="00000000">
      <w:pPr>
        <w:spacing w:line="360" w:lineRule="auto"/>
        <w:jc w:val="both"/>
      </w:pPr>
      <w:r w:rsidRPr="00D301DC">
        <w:rPr>
          <w:rFonts w:ascii="Book Antiqua" w:eastAsia="Book Antiqua" w:hAnsi="Book Antiqua" w:cs="Book Antiqua"/>
          <w:color w:val="000000"/>
        </w:rPr>
        <w:t>Hong-Zhao Sun, Chen-Yu Li, Yuan Shi, Jin-Jin Li, Yi-Ya Wang, Li-Na Han, Lu-Jie Zhu, Ya-Fei Zhang</w:t>
      </w:r>
    </w:p>
    <w:p w14:paraId="28AE2F31" w14:textId="77777777" w:rsidR="001E58B4" w:rsidRPr="00D301DC" w:rsidRDefault="001E58B4">
      <w:pPr>
        <w:spacing w:line="360" w:lineRule="auto"/>
        <w:jc w:val="both"/>
      </w:pPr>
    </w:p>
    <w:p w14:paraId="3D5530A2" w14:textId="77777777" w:rsidR="001E58B4" w:rsidRPr="00D301DC" w:rsidRDefault="00000000">
      <w:pPr>
        <w:spacing w:line="360" w:lineRule="auto"/>
        <w:jc w:val="both"/>
      </w:pPr>
      <w:r w:rsidRPr="00D301DC">
        <w:rPr>
          <w:rFonts w:ascii="Book Antiqua" w:eastAsia="Book Antiqua" w:hAnsi="Book Antiqua" w:cs="Book Antiqua"/>
          <w:b/>
          <w:bCs/>
          <w:color w:val="000000"/>
        </w:rPr>
        <w:t xml:space="preserve">Hong-Zhao Sun, Chen-Yu Li, Yuan Shi, Jin-Jin Li, Yi-Ya Wang, Li-Na Han, Lu-Jie Zhu, Ya-Fei Zhang, </w:t>
      </w:r>
      <w:r w:rsidRPr="00D301DC">
        <w:rPr>
          <w:rFonts w:ascii="Book Antiqua" w:eastAsia="Book Antiqua" w:hAnsi="Book Antiqua" w:cs="Book Antiqua"/>
          <w:color w:val="000000"/>
        </w:rPr>
        <w:t>College of Life Science, Qi Lu Normal University, Zhangqiu 250200, Shandong Province, China</w:t>
      </w:r>
    </w:p>
    <w:p w14:paraId="08379BC9" w14:textId="77777777" w:rsidR="001E58B4" w:rsidRPr="00D301DC" w:rsidRDefault="001E58B4">
      <w:pPr>
        <w:spacing w:line="360" w:lineRule="auto"/>
        <w:jc w:val="both"/>
      </w:pPr>
    </w:p>
    <w:p w14:paraId="586014D5" w14:textId="77777777" w:rsidR="001E58B4" w:rsidRPr="00D301DC" w:rsidRDefault="00000000">
      <w:pPr>
        <w:spacing w:line="360" w:lineRule="auto"/>
        <w:jc w:val="both"/>
      </w:pPr>
      <w:r w:rsidRPr="00D301DC">
        <w:rPr>
          <w:rFonts w:ascii="Book Antiqua" w:eastAsia="Book Antiqua" w:hAnsi="Book Antiqua" w:cs="Book Antiqua"/>
          <w:b/>
          <w:bCs/>
          <w:color w:val="000000"/>
        </w:rPr>
        <w:t xml:space="preserve">Author contributions: </w:t>
      </w:r>
      <w:r w:rsidRPr="00D301DC">
        <w:rPr>
          <w:rFonts w:ascii="Book Antiqua" w:eastAsia="Book Antiqua" w:hAnsi="Book Antiqua" w:cs="Book Antiqua"/>
          <w:color w:val="000000"/>
        </w:rPr>
        <w:t>Sun HZ and Li CY contributed equally to this work; Sun HZ conceived and designed the experiments; Li CY, Shi Y, Li JJ, Wang YY, Han LN, Zhu LJ, and Zhang YF performed the experiments; Sun HZ and Li CY analyzed the data; Sun HZ provided reagents/materials/analysis tools; Li CY authored the paper; all authors have read and approved the final manuscript.</w:t>
      </w:r>
    </w:p>
    <w:p w14:paraId="790C0CA9" w14:textId="77777777" w:rsidR="001E58B4" w:rsidRPr="00D301DC" w:rsidRDefault="001E58B4">
      <w:pPr>
        <w:spacing w:line="360" w:lineRule="auto"/>
        <w:jc w:val="both"/>
      </w:pPr>
    </w:p>
    <w:p w14:paraId="5E4EB511" w14:textId="77777777" w:rsidR="001E58B4" w:rsidRPr="00D301DC" w:rsidRDefault="00000000">
      <w:pPr>
        <w:spacing w:line="360" w:lineRule="auto"/>
        <w:jc w:val="both"/>
      </w:pPr>
      <w:r w:rsidRPr="00D301DC">
        <w:rPr>
          <w:rFonts w:ascii="Book Antiqua" w:eastAsia="Book Antiqua" w:hAnsi="Book Antiqua" w:cs="Book Antiqua"/>
          <w:b/>
          <w:bCs/>
          <w:color w:val="000000"/>
        </w:rPr>
        <w:t xml:space="preserve">Supported by </w:t>
      </w:r>
      <w:r w:rsidRPr="00D301DC">
        <w:rPr>
          <w:rFonts w:ascii="Book Antiqua" w:eastAsia="Book Antiqua" w:hAnsi="Book Antiqua" w:cs="Book Antiqua"/>
          <w:color w:val="000000"/>
        </w:rPr>
        <w:t>the Natural Science Foundation of Shandong Province, No. ZR2019MC020.</w:t>
      </w:r>
    </w:p>
    <w:p w14:paraId="0C8528D1" w14:textId="77777777" w:rsidR="001E58B4" w:rsidRPr="00D301DC" w:rsidRDefault="001E58B4">
      <w:pPr>
        <w:spacing w:line="360" w:lineRule="auto"/>
        <w:jc w:val="both"/>
      </w:pPr>
    </w:p>
    <w:p w14:paraId="6B7B9305" w14:textId="77777777" w:rsidR="001E58B4" w:rsidRPr="00D301DC" w:rsidRDefault="00000000">
      <w:pPr>
        <w:spacing w:line="360" w:lineRule="auto"/>
        <w:jc w:val="both"/>
      </w:pPr>
      <w:r w:rsidRPr="00D301DC">
        <w:rPr>
          <w:rFonts w:ascii="Book Antiqua" w:eastAsia="Book Antiqua" w:hAnsi="Book Antiqua" w:cs="Book Antiqua"/>
          <w:b/>
          <w:bCs/>
          <w:color w:val="000000"/>
        </w:rPr>
        <w:t xml:space="preserve">Corresponding author: Hong-Zhao Sun, PhD, Professor, </w:t>
      </w:r>
      <w:r w:rsidRPr="00D301DC">
        <w:rPr>
          <w:rFonts w:ascii="Book Antiqua" w:eastAsia="Book Antiqua" w:hAnsi="Book Antiqua" w:cs="Book Antiqua"/>
          <w:color w:val="000000"/>
        </w:rPr>
        <w:t>College of Life Science, Qi Lu Normal University, No. 2 Wenbo Road, Zhangqiu 250200, Shandong Province, China. sunhongzhao18@126.com</w:t>
      </w:r>
    </w:p>
    <w:p w14:paraId="7EC41063" w14:textId="77777777" w:rsidR="001E58B4" w:rsidRPr="00D301DC" w:rsidRDefault="001E58B4">
      <w:pPr>
        <w:spacing w:line="360" w:lineRule="auto"/>
        <w:jc w:val="both"/>
      </w:pPr>
    </w:p>
    <w:p w14:paraId="42B5A39F" w14:textId="77777777" w:rsidR="001E58B4" w:rsidRPr="00D301DC" w:rsidRDefault="00000000">
      <w:pPr>
        <w:spacing w:line="360" w:lineRule="auto"/>
        <w:jc w:val="both"/>
      </w:pPr>
      <w:r w:rsidRPr="00D301DC">
        <w:rPr>
          <w:rFonts w:ascii="Book Antiqua" w:eastAsia="Book Antiqua" w:hAnsi="Book Antiqua" w:cs="Book Antiqua"/>
          <w:b/>
          <w:bCs/>
        </w:rPr>
        <w:lastRenderedPageBreak/>
        <w:t xml:space="preserve">Received: </w:t>
      </w:r>
      <w:r w:rsidRPr="00D301DC">
        <w:rPr>
          <w:rFonts w:ascii="Book Antiqua" w:eastAsia="Book Antiqua" w:hAnsi="Book Antiqua" w:cs="Book Antiqua"/>
        </w:rPr>
        <w:t>May 18, 2023</w:t>
      </w:r>
    </w:p>
    <w:p w14:paraId="4D52D5C4" w14:textId="77777777" w:rsidR="001E58B4" w:rsidRPr="00D301DC" w:rsidRDefault="00000000">
      <w:pPr>
        <w:spacing w:line="360" w:lineRule="auto"/>
        <w:jc w:val="both"/>
      </w:pPr>
      <w:r w:rsidRPr="00D301DC">
        <w:rPr>
          <w:rFonts w:ascii="Book Antiqua" w:eastAsia="Book Antiqua" w:hAnsi="Book Antiqua" w:cs="Book Antiqua"/>
          <w:b/>
          <w:bCs/>
        </w:rPr>
        <w:t xml:space="preserve">Revised: </w:t>
      </w:r>
      <w:r w:rsidRPr="00D301DC">
        <w:rPr>
          <w:rFonts w:ascii="Book Antiqua" w:eastAsia="Book Antiqua" w:hAnsi="Book Antiqua" w:cs="Book Antiqua"/>
        </w:rPr>
        <w:t>June 29, 2023</w:t>
      </w:r>
    </w:p>
    <w:p w14:paraId="7DDF9338" w14:textId="2B31F3F9" w:rsidR="001E58B4" w:rsidRPr="00D301DC" w:rsidRDefault="00000000">
      <w:pPr>
        <w:spacing w:line="360" w:lineRule="auto"/>
        <w:jc w:val="both"/>
      </w:pPr>
      <w:r w:rsidRPr="00D301DC">
        <w:rPr>
          <w:rFonts w:ascii="Book Antiqua" w:eastAsia="Book Antiqua" w:hAnsi="Book Antiqua" w:cs="Book Antiqua"/>
          <w:b/>
          <w:bCs/>
        </w:rPr>
        <w:t xml:space="preserve">Accepted: </w:t>
      </w:r>
      <w:r w:rsidR="00527C5C" w:rsidRPr="00D301DC">
        <w:rPr>
          <w:rFonts w:ascii="Book Antiqua" w:eastAsia="Book Antiqua" w:hAnsi="Book Antiqua" w:cs="Book Antiqua"/>
        </w:rPr>
        <w:t>July 19, 2023</w:t>
      </w:r>
    </w:p>
    <w:p w14:paraId="051FD571" w14:textId="028C3B56" w:rsidR="001E58B4" w:rsidRPr="00D301DC" w:rsidRDefault="00000000">
      <w:pPr>
        <w:spacing w:line="360" w:lineRule="auto"/>
        <w:jc w:val="both"/>
      </w:pPr>
      <w:r w:rsidRPr="00D301DC">
        <w:rPr>
          <w:rFonts w:ascii="Book Antiqua" w:eastAsia="Book Antiqua" w:hAnsi="Book Antiqua" w:cs="Book Antiqua"/>
          <w:b/>
          <w:bCs/>
        </w:rPr>
        <w:t xml:space="preserve">Published online: </w:t>
      </w:r>
      <w:r w:rsidR="00177A90" w:rsidRPr="00D301DC">
        <w:rPr>
          <w:rFonts w:ascii="Book Antiqua" w:hAnsi="Book Antiqua"/>
          <w:color w:val="000000"/>
          <w:shd w:val="clear" w:color="auto" w:fill="FFFFFF"/>
        </w:rPr>
        <w:t>August 7</w:t>
      </w:r>
      <w:r w:rsidR="00177A90" w:rsidRPr="00D301DC">
        <w:rPr>
          <w:rFonts w:ascii="Book Antiqua" w:eastAsia="Microsoft YaHei UI" w:hAnsi="Book Antiqua" w:hint="eastAsia"/>
          <w:color w:val="000000"/>
          <w:shd w:val="clear" w:color="auto" w:fill="FFFFFF"/>
        </w:rPr>
        <w:t>,</w:t>
      </w:r>
      <w:r w:rsidR="00D301DC" w:rsidRPr="00D301DC">
        <w:rPr>
          <w:rFonts w:ascii="Book Antiqua" w:eastAsia="Microsoft YaHei UI" w:hAnsi="Book Antiqua"/>
          <w:color w:val="000000"/>
          <w:shd w:val="clear" w:color="auto" w:fill="FFFFFF"/>
        </w:rPr>
        <w:t xml:space="preserve"> </w:t>
      </w:r>
      <w:r w:rsidR="00177A90" w:rsidRPr="00D301DC">
        <w:rPr>
          <w:rFonts w:ascii="Book Antiqua" w:hAnsi="Book Antiqua"/>
          <w:color w:val="000000"/>
          <w:shd w:val="clear" w:color="auto" w:fill="FFFFFF"/>
        </w:rPr>
        <w:t>2023</w:t>
      </w:r>
    </w:p>
    <w:p w14:paraId="314BFA89" w14:textId="77777777" w:rsidR="001E58B4" w:rsidRPr="00D301DC" w:rsidRDefault="001E58B4">
      <w:pPr>
        <w:spacing w:line="360" w:lineRule="auto"/>
        <w:jc w:val="both"/>
        <w:sectPr w:rsidR="001E58B4" w:rsidRPr="00D301DC">
          <w:footerReference w:type="default" r:id="rId7"/>
          <w:pgSz w:w="12240" w:h="15840"/>
          <w:pgMar w:top="1440" w:right="1440" w:bottom="1440" w:left="1440" w:header="720" w:footer="720" w:gutter="0"/>
          <w:cols w:space="720"/>
          <w:docGrid w:linePitch="360"/>
        </w:sectPr>
      </w:pPr>
    </w:p>
    <w:p w14:paraId="4AD7333C" w14:textId="77777777" w:rsidR="001E58B4" w:rsidRPr="00D301DC" w:rsidRDefault="00000000">
      <w:pPr>
        <w:spacing w:line="360" w:lineRule="auto"/>
        <w:jc w:val="both"/>
      </w:pPr>
      <w:r w:rsidRPr="00D301DC">
        <w:rPr>
          <w:rFonts w:ascii="Book Antiqua" w:eastAsia="Book Antiqua" w:hAnsi="Book Antiqua" w:cs="Book Antiqua"/>
          <w:b/>
          <w:color w:val="000000"/>
        </w:rPr>
        <w:lastRenderedPageBreak/>
        <w:t>Abstract</w:t>
      </w:r>
    </w:p>
    <w:p w14:paraId="3CD559FE" w14:textId="77777777" w:rsidR="001E58B4" w:rsidRPr="00D301DC" w:rsidRDefault="00000000">
      <w:pPr>
        <w:spacing w:line="360" w:lineRule="auto"/>
        <w:jc w:val="both"/>
      </w:pPr>
      <w:r w:rsidRPr="00D301DC">
        <w:rPr>
          <w:rFonts w:ascii="Book Antiqua" w:eastAsia="Book Antiqua" w:hAnsi="Book Antiqua" w:cs="Book Antiqua"/>
          <w:color w:val="000000"/>
        </w:rPr>
        <w:t>BACKGROUND</w:t>
      </w:r>
    </w:p>
    <w:p w14:paraId="5FEA2CE7" w14:textId="77777777" w:rsidR="001E58B4" w:rsidRPr="00D301DC" w:rsidRDefault="00000000">
      <w:pPr>
        <w:spacing w:line="360" w:lineRule="auto"/>
        <w:jc w:val="both"/>
      </w:pPr>
      <w:r w:rsidRPr="00D301DC">
        <w:rPr>
          <w:rFonts w:ascii="Book Antiqua" w:eastAsia="Book Antiqua" w:hAnsi="Book Antiqua" w:cs="Book Antiqua"/>
        </w:rPr>
        <w:t>Hydrogen sulfide (H</w:t>
      </w:r>
      <w:r w:rsidRPr="00D301DC">
        <w:rPr>
          <w:rFonts w:ascii="Book Antiqua" w:eastAsia="Book Antiqua" w:hAnsi="Book Antiqua" w:cs="Book Antiqua"/>
          <w:szCs w:val="30"/>
          <w:vertAlign w:val="subscript"/>
        </w:rPr>
        <w:t>2</w:t>
      </w:r>
      <w:r w:rsidRPr="00D301DC">
        <w:rPr>
          <w:rFonts w:ascii="Book Antiqua" w:eastAsia="Book Antiqua" w:hAnsi="Book Antiqua" w:cs="Book Antiqua"/>
        </w:rPr>
        <w:t>S) is a recently discovered gaseous neurotransmitter in the nervous and gastrointestinal systems. It exerts its effects through multiple signaling pathways, impacting various physiological activities. The nucleus tractus solitarius (NTS), a vital nucleus involved in visceral sensation, was investigated in this study to understand the role of H</w:t>
      </w:r>
      <w:r w:rsidRPr="00D301DC">
        <w:rPr>
          <w:rFonts w:ascii="Book Antiqua" w:eastAsia="Book Antiqua" w:hAnsi="Book Antiqua" w:cs="Book Antiqua"/>
          <w:szCs w:val="30"/>
          <w:vertAlign w:val="subscript"/>
        </w:rPr>
        <w:t>2</w:t>
      </w:r>
      <w:r w:rsidRPr="00D301DC">
        <w:rPr>
          <w:rFonts w:ascii="Book Antiqua" w:eastAsia="Book Antiqua" w:hAnsi="Book Antiqua" w:cs="Book Antiqua"/>
        </w:rPr>
        <w:t>S in regulating gastric function in rats.</w:t>
      </w:r>
    </w:p>
    <w:p w14:paraId="35C98CA2" w14:textId="77777777" w:rsidR="001E58B4" w:rsidRPr="00D301DC" w:rsidRDefault="001E58B4">
      <w:pPr>
        <w:spacing w:line="360" w:lineRule="auto"/>
        <w:jc w:val="both"/>
      </w:pPr>
    </w:p>
    <w:p w14:paraId="10250037" w14:textId="77777777" w:rsidR="001E58B4" w:rsidRPr="00D301DC" w:rsidRDefault="00000000">
      <w:pPr>
        <w:spacing w:line="360" w:lineRule="auto"/>
        <w:jc w:val="both"/>
      </w:pPr>
      <w:r w:rsidRPr="00D301DC">
        <w:rPr>
          <w:rFonts w:ascii="Book Antiqua" w:eastAsia="Book Antiqua" w:hAnsi="Book Antiqua" w:cs="Book Antiqua"/>
          <w:color w:val="000000"/>
        </w:rPr>
        <w:t>AIM</w:t>
      </w:r>
    </w:p>
    <w:p w14:paraId="7685FDE4" w14:textId="77777777" w:rsidR="001E58B4" w:rsidRPr="00D301DC" w:rsidRDefault="00000000">
      <w:pPr>
        <w:spacing w:line="360" w:lineRule="auto"/>
        <w:jc w:val="both"/>
      </w:pPr>
      <w:r w:rsidRPr="00D301DC">
        <w:rPr>
          <w:rFonts w:ascii="Book Antiqua" w:eastAsia="Book Antiqua" w:hAnsi="Book Antiqua" w:cs="Book Antiqua"/>
          <w:color w:val="000000"/>
        </w:rPr>
        <w:t xml:space="preserve">To </w:t>
      </w:r>
      <w:r w:rsidRPr="00D301DC">
        <w:rPr>
          <w:rFonts w:ascii="Book Antiqua" w:eastAsia="Book Antiqua" w:hAnsi="Book Antiqua" w:cs="Book Antiqua"/>
        </w:rPr>
        <w:t>examine whether</w:t>
      </w:r>
      <w:r w:rsidRPr="00D301DC">
        <w:rPr>
          <w:rFonts w:ascii="Book Antiqua" w:eastAsia="Book Antiqua" w:hAnsi="Book Antiqua" w:cs="Book Antiqua"/>
          <w:color w:val="000000"/>
        </w:rPr>
        <w:t xml:space="preserve">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 xml:space="preserve">S affects the </w:t>
      </w:r>
      <w:r w:rsidRPr="00D301DC">
        <w:rPr>
          <w:rFonts w:ascii="Book Antiqua" w:eastAsia="Book Antiqua" w:hAnsi="Book Antiqua" w:cs="Book Antiqua"/>
        </w:rPr>
        <w:t>nuclear factor kappa-B (NF-κB)</w:t>
      </w:r>
      <w:r w:rsidRPr="00D301DC">
        <w:rPr>
          <w:rFonts w:ascii="Book Antiqua" w:eastAsia="Book Antiqua" w:hAnsi="Book Antiqua" w:cs="Book Antiqua"/>
          <w:color w:val="000000"/>
        </w:rPr>
        <w:t xml:space="preserve"> and </w:t>
      </w:r>
      <w:r w:rsidRPr="00D301DC">
        <w:rPr>
          <w:rFonts w:ascii="Book Antiqua" w:eastAsia="Book Antiqua" w:hAnsi="Book Antiqua" w:cs="Book Antiqua"/>
        </w:rPr>
        <w:t xml:space="preserve">transient receptor potential vanilloid 1 </w:t>
      </w:r>
      <w:r w:rsidRPr="00D301DC">
        <w:rPr>
          <w:rFonts w:ascii="Book Antiqua" w:eastAsia="Book Antiqua" w:hAnsi="Book Antiqua" w:cs="Book Antiqua"/>
          <w:color w:val="000000"/>
        </w:rPr>
        <w:t xml:space="preserve">pathways </w:t>
      </w:r>
      <w:r w:rsidRPr="00D301DC">
        <w:rPr>
          <w:rFonts w:ascii="Book Antiqua" w:eastAsia="Book Antiqua" w:hAnsi="Book Antiqua" w:cs="Book Antiqua"/>
        </w:rPr>
        <w:t>and the neurokinin 1 (NK1) receptor in the NTS.</w:t>
      </w:r>
    </w:p>
    <w:p w14:paraId="0D6A11B6" w14:textId="77777777" w:rsidR="001E58B4" w:rsidRPr="00D301DC" w:rsidRDefault="001E58B4">
      <w:pPr>
        <w:spacing w:line="360" w:lineRule="auto"/>
        <w:jc w:val="both"/>
      </w:pPr>
    </w:p>
    <w:p w14:paraId="39362C97" w14:textId="77777777" w:rsidR="001E58B4" w:rsidRPr="00D301DC" w:rsidRDefault="00000000">
      <w:pPr>
        <w:spacing w:line="360" w:lineRule="auto"/>
        <w:jc w:val="both"/>
      </w:pPr>
      <w:r w:rsidRPr="00D301DC">
        <w:rPr>
          <w:rFonts w:ascii="Book Antiqua" w:eastAsia="Book Antiqua" w:hAnsi="Book Antiqua" w:cs="Book Antiqua"/>
          <w:color w:val="000000"/>
        </w:rPr>
        <w:t>METHODS</w:t>
      </w:r>
    </w:p>
    <w:p w14:paraId="6E595C8B" w14:textId="77777777" w:rsidR="001E58B4" w:rsidRPr="00D301DC" w:rsidRDefault="00000000">
      <w:pPr>
        <w:spacing w:line="360" w:lineRule="auto"/>
        <w:jc w:val="both"/>
      </w:pPr>
      <w:r w:rsidRPr="00D301DC">
        <w:rPr>
          <w:rFonts w:ascii="Book Antiqua" w:eastAsia="Book Antiqua" w:hAnsi="Book Antiqua" w:cs="Book Antiqua"/>
        </w:rPr>
        <w:t>Immunohistochemical and fluorescent double-labeling techniques were employed to identify cystathionine beta-synthase (CBS) and c-Fos co-expressed positive neurons in the NTS during rat stress. Gastric motility curves were recorded by inserting a pressure-sensing balloon into the pylorus through the stomach fundus. Changes in gastric motility were observed before and after injecting different doses of NaHS (4 nmol and 8 nmol), physiological saline, Capsazepine (4 nmol) + NaHS (4 nmol), pyrrolidine dithiocarbamate (PDTC, 4 nmol) + NaHS (4 nmol), and L703606 (4 nmol) + NaHS (4 nmol).</w:t>
      </w:r>
    </w:p>
    <w:p w14:paraId="75402978" w14:textId="77777777" w:rsidR="001E58B4" w:rsidRPr="00D301DC" w:rsidRDefault="001E58B4">
      <w:pPr>
        <w:spacing w:line="360" w:lineRule="auto"/>
        <w:jc w:val="both"/>
      </w:pPr>
    </w:p>
    <w:p w14:paraId="3983CCDE" w14:textId="77777777" w:rsidR="001E58B4" w:rsidRPr="00D301DC" w:rsidRDefault="00000000">
      <w:pPr>
        <w:spacing w:line="360" w:lineRule="auto"/>
        <w:jc w:val="both"/>
      </w:pPr>
      <w:r w:rsidRPr="00D301DC">
        <w:rPr>
          <w:rFonts w:ascii="Book Antiqua" w:eastAsia="Book Antiqua" w:hAnsi="Book Antiqua" w:cs="Book Antiqua"/>
          <w:color w:val="000000"/>
        </w:rPr>
        <w:t>RESULTS</w:t>
      </w:r>
    </w:p>
    <w:p w14:paraId="10572643" w14:textId="77777777" w:rsidR="001E58B4" w:rsidRPr="00D301DC" w:rsidRDefault="00000000">
      <w:pPr>
        <w:spacing w:line="360" w:lineRule="auto"/>
        <w:jc w:val="both"/>
      </w:pPr>
      <w:r w:rsidRPr="00D301DC">
        <w:rPr>
          <w:rFonts w:ascii="Book Antiqua" w:eastAsia="Book Antiqua" w:hAnsi="Book Antiqua" w:cs="Book Antiqua"/>
        </w:rPr>
        <w:t>We identified a significant increase in the co-expression of c-Fos and CBS positive neurons in the NTS after 1 h and 3 h of restraint water-immersion stress compared to the expressions observed in the control group. Intra-NTS injection of NaHS at different doses significantly inhibited gastric motility in rats (</w:t>
      </w:r>
      <w:r w:rsidRPr="00D301DC">
        <w:rPr>
          <w:rFonts w:ascii="Book Antiqua" w:eastAsia="Book Antiqua" w:hAnsi="Book Antiqua" w:cs="Book Antiqua"/>
          <w:i/>
          <w:iCs/>
        </w:rPr>
        <w:t>P</w:t>
      </w:r>
      <w:r w:rsidRPr="00D301DC">
        <w:rPr>
          <w:rFonts w:ascii="Book Antiqua" w:eastAsia="Book Antiqua" w:hAnsi="Book Antiqua" w:cs="Book Antiqua"/>
        </w:rPr>
        <w:t xml:space="preserve"> &lt; 0.01). However, injection of saline, first injection NF-κB inhibitor PDTC or transient receptor potential vanilloid 1 </w:t>
      </w:r>
      <w:r w:rsidRPr="00D301DC">
        <w:rPr>
          <w:rFonts w:ascii="Book Antiqua" w:eastAsia="Book Antiqua" w:hAnsi="Book Antiqua" w:cs="Book Antiqua"/>
        </w:rPr>
        <w:lastRenderedPageBreak/>
        <w:t>(TRPV1) antagonist Capsazepine or NK1 receptor blockers L703606 and then injection NaHS did not produce significant changes (</w:t>
      </w:r>
      <w:r w:rsidRPr="00D301DC">
        <w:rPr>
          <w:rFonts w:ascii="Book Antiqua" w:eastAsia="Book Antiqua" w:hAnsi="Book Antiqua" w:cs="Book Antiqua"/>
          <w:i/>
          <w:iCs/>
        </w:rPr>
        <w:t>P</w:t>
      </w:r>
      <w:r w:rsidRPr="00D301DC">
        <w:rPr>
          <w:rFonts w:ascii="Book Antiqua" w:eastAsia="Book Antiqua" w:hAnsi="Book Antiqua" w:cs="Book Antiqua"/>
        </w:rPr>
        <w:t xml:space="preserve"> &gt; 0.05).</w:t>
      </w:r>
    </w:p>
    <w:p w14:paraId="7A6381FF" w14:textId="77777777" w:rsidR="001E58B4" w:rsidRPr="00D301DC" w:rsidRDefault="001E58B4">
      <w:pPr>
        <w:spacing w:line="360" w:lineRule="auto"/>
        <w:jc w:val="both"/>
      </w:pPr>
    </w:p>
    <w:p w14:paraId="567F138A" w14:textId="77777777" w:rsidR="001E58B4" w:rsidRPr="00D301DC" w:rsidRDefault="00000000">
      <w:pPr>
        <w:spacing w:line="360" w:lineRule="auto"/>
        <w:jc w:val="both"/>
      </w:pPr>
      <w:r w:rsidRPr="00D301DC">
        <w:rPr>
          <w:rFonts w:ascii="Book Antiqua" w:eastAsia="Book Antiqua" w:hAnsi="Book Antiqua" w:cs="Book Antiqua"/>
          <w:color w:val="000000"/>
        </w:rPr>
        <w:t>CONCLUSION</w:t>
      </w:r>
    </w:p>
    <w:p w14:paraId="641D715E" w14:textId="77777777" w:rsidR="001E58B4" w:rsidRPr="00D301DC" w:rsidRDefault="00000000">
      <w:pPr>
        <w:spacing w:line="360" w:lineRule="auto"/>
        <w:jc w:val="both"/>
      </w:pPr>
      <w:r w:rsidRPr="00D301DC">
        <w:rPr>
          <w:rFonts w:ascii="Book Antiqua" w:eastAsia="Book Antiqua" w:hAnsi="Book Antiqua" w:cs="Book Antiqua"/>
        </w:rPr>
        <w:t>NTS contains neurons co-expressing CBS and c-Fos, and the injection of NaHS into the NTS can suppress gastric motility in rats. This effect may be mediated by activating TRPV1 and NK1 receptors</w:t>
      </w:r>
      <w:r w:rsidRPr="00D301DC">
        <w:rPr>
          <w:rFonts w:ascii="Book Antiqua" w:eastAsia="Book Antiqua" w:hAnsi="Book Antiqua" w:cs="Book Antiqua"/>
          <w:i/>
          <w:iCs/>
        </w:rPr>
        <w:t xml:space="preserve"> via </w:t>
      </w:r>
      <w:r w:rsidRPr="00D301DC">
        <w:rPr>
          <w:rFonts w:ascii="Book Antiqua" w:eastAsia="Book Antiqua" w:hAnsi="Book Antiqua" w:cs="Book Antiqua"/>
        </w:rPr>
        <w:t>the NF-κB channel.</w:t>
      </w:r>
    </w:p>
    <w:p w14:paraId="589313FD" w14:textId="77777777" w:rsidR="001E58B4" w:rsidRPr="00D301DC" w:rsidRDefault="001E58B4">
      <w:pPr>
        <w:spacing w:line="360" w:lineRule="auto"/>
        <w:jc w:val="both"/>
      </w:pPr>
    </w:p>
    <w:p w14:paraId="1D72BFE2" w14:textId="77777777" w:rsidR="001E58B4" w:rsidRPr="00D301DC" w:rsidRDefault="00000000">
      <w:pPr>
        <w:spacing w:line="360" w:lineRule="auto"/>
        <w:jc w:val="both"/>
      </w:pPr>
      <w:r w:rsidRPr="00D301DC">
        <w:rPr>
          <w:rFonts w:ascii="Book Antiqua" w:eastAsia="Book Antiqua" w:hAnsi="Book Antiqua" w:cs="Book Antiqua"/>
          <w:b/>
          <w:bCs/>
        </w:rPr>
        <w:t xml:space="preserve">Key Words: </w:t>
      </w:r>
      <w:r w:rsidRPr="00D301DC">
        <w:rPr>
          <w:rFonts w:ascii="Book Antiqua" w:eastAsia="Book Antiqua" w:hAnsi="Book Antiqua" w:cs="Book Antiqua"/>
        </w:rPr>
        <w:t>Nucleus tractus solitarius; Hydrogen sulfide; Gastric motility; Nuclear factor kappa-B; Transient receptor potential vanilloid 1</w:t>
      </w:r>
    </w:p>
    <w:p w14:paraId="5637F4F3" w14:textId="77777777" w:rsidR="001E58B4" w:rsidRPr="00D301DC" w:rsidRDefault="001E58B4">
      <w:pPr>
        <w:spacing w:line="360" w:lineRule="auto"/>
        <w:jc w:val="both"/>
      </w:pPr>
    </w:p>
    <w:p w14:paraId="6CE93671" w14:textId="77777777" w:rsidR="00D301DC" w:rsidRPr="00D301DC" w:rsidRDefault="00D301DC" w:rsidP="00D301DC">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D301DC">
        <w:rPr>
          <w:rFonts w:ascii="Book Antiqua" w:eastAsia="Book Antiqua" w:hAnsi="Book Antiqua" w:cs="Book Antiqua" w:hint="eastAsia"/>
          <w:b/>
          <w:color w:val="000000"/>
        </w:rPr>
        <w:t>©</w:t>
      </w:r>
      <w:r w:rsidRPr="00D301DC">
        <w:rPr>
          <w:rFonts w:ascii="Book Antiqua" w:eastAsia="Book Antiqua" w:hAnsi="Book Antiqua" w:cs="Book Antiqua"/>
          <w:b/>
          <w:color w:val="000000"/>
        </w:rPr>
        <w:t>The</w:t>
      </w:r>
      <w:r w:rsidRPr="00D301DC">
        <w:rPr>
          <w:rFonts w:ascii="Book Antiqua" w:eastAsia="Book Antiqua" w:hAnsi="Book Antiqua" w:cs="Book Antiqua"/>
          <w:color w:val="000000"/>
        </w:rPr>
        <w:t xml:space="preserve"> </w:t>
      </w:r>
      <w:r w:rsidRPr="00D301DC">
        <w:rPr>
          <w:rFonts w:ascii="Book Antiqua" w:eastAsia="Book Antiqua" w:hAnsi="Book Antiqua" w:cs="Book Antiqua"/>
          <w:b/>
          <w:color w:val="000000"/>
        </w:rPr>
        <w:t xml:space="preserve">Author(s) 2023. </w:t>
      </w:r>
      <w:r w:rsidRPr="00D301DC">
        <w:rPr>
          <w:rFonts w:ascii="Book Antiqua" w:eastAsia="Book Antiqua" w:hAnsi="Book Antiqua" w:cs="Book Antiqua"/>
          <w:color w:val="000000"/>
        </w:rPr>
        <w:t>Published by Baishideng Publishing Group Inc. All rights reserved.</w:t>
      </w:r>
      <w:bookmarkEnd w:id="0"/>
      <w:r w:rsidRPr="00D301DC">
        <w:rPr>
          <w:rFonts w:ascii="Book Antiqua" w:eastAsia="Book Antiqua" w:hAnsi="Book Antiqua" w:cs="Book Antiqua"/>
          <w:color w:val="000000"/>
        </w:rPr>
        <w:t xml:space="preserve"> </w:t>
      </w:r>
    </w:p>
    <w:bookmarkEnd w:id="1"/>
    <w:p w14:paraId="49DA80AA" w14:textId="77777777" w:rsidR="00D301DC" w:rsidRPr="00D301DC" w:rsidRDefault="00D301DC" w:rsidP="00D301DC">
      <w:pPr>
        <w:spacing w:line="360" w:lineRule="auto"/>
        <w:jc w:val="both"/>
        <w:rPr>
          <w:lang w:eastAsia="zh-CN"/>
        </w:rPr>
      </w:pPr>
    </w:p>
    <w:p w14:paraId="54F94F9B" w14:textId="77777777" w:rsidR="00D301DC" w:rsidRPr="00D301DC" w:rsidRDefault="00D301DC" w:rsidP="00D301DC">
      <w:pPr>
        <w:spacing w:line="360" w:lineRule="auto"/>
        <w:jc w:val="both"/>
        <w:rPr>
          <w:rFonts w:ascii="Book Antiqua" w:eastAsia="Book Antiqua" w:hAnsi="Book Antiqua" w:cs="Book Antiqua"/>
        </w:rPr>
      </w:pPr>
      <w:bookmarkStart w:id="4" w:name="_Hlk88512899"/>
      <w:bookmarkStart w:id="5" w:name="_Hlk88512352"/>
      <w:bookmarkEnd w:id="2"/>
      <w:r w:rsidRPr="00D301DC">
        <w:rPr>
          <w:rFonts w:ascii="Book Antiqua" w:hAnsi="Book Antiqua" w:cs="Book Antiqua" w:hint="eastAsia"/>
          <w:b/>
          <w:color w:val="000000"/>
          <w:lang w:eastAsia="zh-CN"/>
        </w:rPr>
        <w:t>Citation:</w:t>
      </w:r>
      <w:bookmarkEnd w:id="3"/>
      <w:bookmarkEnd w:id="4"/>
      <w:r w:rsidRPr="00D301DC">
        <w:rPr>
          <w:rFonts w:ascii="Book Antiqua" w:hAnsi="Book Antiqua" w:cs="Book Antiqua" w:hint="eastAsia"/>
          <w:color w:val="000000"/>
          <w:lang w:eastAsia="zh-CN"/>
        </w:rPr>
        <w:t xml:space="preserve"> </w:t>
      </w:r>
      <w:bookmarkEnd w:id="5"/>
      <w:r w:rsidRPr="00D301DC">
        <w:rPr>
          <w:rFonts w:ascii="Book Antiqua" w:eastAsia="Book Antiqua" w:hAnsi="Book Antiqua" w:cs="Book Antiqua"/>
        </w:rPr>
        <w:t xml:space="preserve">Sun HZ, Li CY, Shi Y, Li JJ, Wang YY, Han LN, Zhu LJ, Zhang YF. Effect of exogenous hydrogen sulfide in the nucleus tractus solitarius on gastric motility in rats. </w:t>
      </w:r>
      <w:r w:rsidRPr="00D301DC">
        <w:rPr>
          <w:rFonts w:ascii="Book Antiqua" w:eastAsia="Book Antiqua" w:hAnsi="Book Antiqua" w:cs="Book Antiqua"/>
          <w:i/>
          <w:iCs/>
        </w:rPr>
        <w:t>World J Gastroenterol</w:t>
      </w:r>
      <w:r w:rsidRPr="00D301DC">
        <w:rPr>
          <w:rFonts w:ascii="Book Antiqua" w:eastAsia="Book Antiqua" w:hAnsi="Book Antiqua" w:cs="Book Antiqua"/>
        </w:rPr>
        <w:t xml:space="preserve"> 2023; </w:t>
      </w:r>
      <w:r w:rsidR="00177A90" w:rsidRPr="00D301DC">
        <w:rPr>
          <w:rFonts w:ascii="Book Antiqua" w:eastAsia="Book Antiqua" w:hAnsi="Book Antiqua" w:cs="Book Antiqua"/>
        </w:rPr>
        <w:t xml:space="preserve">29(29): </w:t>
      </w:r>
      <w:r w:rsidRPr="00D301DC">
        <w:rPr>
          <w:rFonts w:ascii="Book Antiqua" w:eastAsia="Book Antiqua" w:hAnsi="Book Antiqua" w:cs="Book Antiqua"/>
        </w:rPr>
        <w:t>4557</w:t>
      </w:r>
      <w:r w:rsidR="00177A90" w:rsidRPr="00D301DC">
        <w:rPr>
          <w:rFonts w:ascii="Book Antiqua" w:eastAsia="Book Antiqua" w:hAnsi="Book Antiqua" w:cs="Book Antiqua"/>
        </w:rPr>
        <w:t>-</w:t>
      </w:r>
      <w:r w:rsidRPr="00D301DC">
        <w:rPr>
          <w:rFonts w:ascii="Book Antiqua" w:eastAsia="Book Antiqua" w:hAnsi="Book Antiqua" w:cs="Book Antiqua"/>
        </w:rPr>
        <w:t>457</w:t>
      </w:r>
      <w:r w:rsidR="00177A90" w:rsidRPr="00D301DC">
        <w:rPr>
          <w:rFonts w:ascii="Book Antiqua" w:eastAsia="Book Antiqua" w:hAnsi="Book Antiqua" w:cs="Book Antiqua"/>
        </w:rPr>
        <w:t>0</w:t>
      </w:r>
    </w:p>
    <w:p w14:paraId="4545EE8C" w14:textId="629BA536" w:rsidR="00D301DC" w:rsidRPr="00D301DC" w:rsidRDefault="00177A90" w:rsidP="00D301DC">
      <w:pPr>
        <w:spacing w:line="360" w:lineRule="auto"/>
        <w:jc w:val="both"/>
        <w:rPr>
          <w:rFonts w:ascii="Book Antiqua" w:eastAsia="Book Antiqua" w:hAnsi="Book Antiqua" w:cs="Book Antiqua"/>
        </w:rPr>
      </w:pPr>
      <w:r w:rsidRPr="00D301DC">
        <w:rPr>
          <w:rFonts w:ascii="Book Antiqua" w:eastAsia="Book Antiqua" w:hAnsi="Book Antiqua" w:cs="Book Antiqua"/>
          <w:b/>
          <w:bCs/>
        </w:rPr>
        <w:t xml:space="preserve">URL: </w:t>
      </w:r>
      <w:hyperlink r:id="rId8" w:history="1">
        <w:r w:rsidR="00D301DC" w:rsidRPr="00D301DC">
          <w:rPr>
            <w:rStyle w:val="a8"/>
            <w:rFonts w:ascii="Book Antiqua" w:eastAsia="Book Antiqua" w:hAnsi="Book Antiqua" w:cs="Book Antiqua"/>
          </w:rPr>
          <w:t>https://www.wjgnet.com/1007-9327/full/v29/i29/4557.htm</w:t>
        </w:r>
      </w:hyperlink>
    </w:p>
    <w:p w14:paraId="3BBD02CB" w14:textId="0A5A4CEE" w:rsidR="001E58B4" w:rsidRPr="00D301DC" w:rsidRDefault="00177A90" w:rsidP="00D301DC">
      <w:pPr>
        <w:spacing w:line="360" w:lineRule="auto"/>
        <w:jc w:val="both"/>
      </w:pPr>
      <w:r w:rsidRPr="00D301DC">
        <w:rPr>
          <w:rFonts w:ascii="Book Antiqua" w:eastAsia="Book Antiqua" w:hAnsi="Book Antiqua" w:cs="Book Antiqua"/>
          <w:b/>
          <w:bCs/>
        </w:rPr>
        <w:t xml:space="preserve">DOI: </w:t>
      </w:r>
      <w:r w:rsidRPr="00D301DC">
        <w:rPr>
          <w:rFonts w:ascii="Book Antiqua" w:eastAsia="Book Antiqua" w:hAnsi="Book Antiqua" w:cs="Book Antiqua"/>
        </w:rPr>
        <w:t>https://dx.doi.org/10.3748/wjg.v29.i29.</w:t>
      </w:r>
      <w:r w:rsidR="00D301DC" w:rsidRPr="00D301DC">
        <w:rPr>
          <w:rFonts w:ascii="Book Antiqua" w:eastAsia="Book Antiqua" w:hAnsi="Book Antiqua" w:cs="Book Antiqua"/>
        </w:rPr>
        <w:t>4557</w:t>
      </w:r>
    </w:p>
    <w:p w14:paraId="5D20EA87" w14:textId="77777777" w:rsidR="001E58B4" w:rsidRPr="00D301DC" w:rsidRDefault="001E58B4">
      <w:pPr>
        <w:spacing w:line="360" w:lineRule="auto"/>
        <w:jc w:val="both"/>
      </w:pPr>
    </w:p>
    <w:p w14:paraId="52D23381" w14:textId="77777777" w:rsidR="001E58B4" w:rsidRPr="00D301DC" w:rsidRDefault="00000000">
      <w:pPr>
        <w:spacing w:line="360" w:lineRule="auto"/>
        <w:jc w:val="both"/>
      </w:pPr>
      <w:r w:rsidRPr="00D301DC">
        <w:rPr>
          <w:rFonts w:ascii="Book Antiqua" w:eastAsia="Book Antiqua" w:hAnsi="Book Antiqua" w:cs="Book Antiqua"/>
          <w:b/>
          <w:bCs/>
        </w:rPr>
        <w:t xml:space="preserve">Core Tip: </w:t>
      </w:r>
      <w:r w:rsidRPr="00D301DC">
        <w:rPr>
          <w:rFonts w:ascii="Book Antiqua" w:eastAsia="Book Antiqua" w:hAnsi="Book Antiqua" w:cs="Book Antiqua"/>
        </w:rPr>
        <w:t>This study revealed a significant inhibitory effect of exogenous hydrogen sulfide on gastric motility in rats. This effect appeared to involve the release of substance P, potentially activating the transient receptor potential vanilloid 1 pathway mediated by nuclear factor kappa-B channels.</w:t>
      </w:r>
    </w:p>
    <w:p w14:paraId="650EBC5E" w14:textId="77777777" w:rsidR="001E58B4" w:rsidRPr="00D301DC" w:rsidRDefault="001E58B4">
      <w:pPr>
        <w:spacing w:line="360" w:lineRule="auto"/>
        <w:jc w:val="both"/>
      </w:pPr>
    </w:p>
    <w:p w14:paraId="015D608E" w14:textId="77777777" w:rsidR="001E58B4" w:rsidRPr="00D301DC" w:rsidRDefault="00000000">
      <w:pPr>
        <w:spacing w:line="360" w:lineRule="auto"/>
        <w:jc w:val="both"/>
      </w:pPr>
      <w:r w:rsidRPr="00D301DC">
        <w:rPr>
          <w:rFonts w:ascii="Book Antiqua" w:eastAsia="Book Antiqua" w:hAnsi="Book Antiqua" w:cs="Book Antiqua"/>
          <w:b/>
          <w:caps/>
          <w:color w:val="000000"/>
          <w:u w:val="single"/>
        </w:rPr>
        <w:t>INTRODUCTION</w:t>
      </w:r>
    </w:p>
    <w:p w14:paraId="764DEB78" w14:textId="77777777" w:rsidR="001E58B4" w:rsidRPr="00D301DC" w:rsidRDefault="00000000">
      <w:pPr>
        <w:spacing w:line="360" w:lineRule="auto"/>
        <w:jc w:val="both"/>
      </w:pPr>
      <w:r w:rsidRPr="00D301DC">
        <w:rPr>
          <w:rFonts w:ascii="Book Antiqua" w:eastAsia="Book Antiqua" w:hAnsi="Book Antiqua" w:cs="Book Antiqua"/>
          <w:color w:val="000000"/>
        </w:rPr>
        <w:t>The number of patients with stress-induced gastric ulcers has increased dramatically</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and stress is highly associated with several functional gastrointestinal disorders, such as functional dyspepsia and irritable bowel syndrome</w:t>
      </w:r>
      <w:r w:rsidRPr="00D301DC">
        <w:rPr>
          <w:rFonts w:ascii="Book Antiqua" w:eastAsia="Book Antiqua" w:hAnsi="Book Antiqua" w:cs="Book Antiqua"/>
          <w:color w:val="000000"/>
          <w:szCs w:val="30"/>
          <w:vertAlign w:val="superscript"/>
        </w:rPr>
        <w:t>[2]</w:t>
      </w:r>
      <w:r w:rsidRPr="00D301DC">
        <w:rPr>
          <w:rFonts w:ascii="Book Antiqua" w:eastAsia="Book Antiqua" w:hAnsi="Book Antiqua" w:cs="Book Antiqua"/>
          <w:color w:val="000000"/>
        </w:rPr>
        <w:t xml:space="preserve">. The nucleus tractus solitarius </w:t>
      </w:r>
      <w:r w:rsidRPr="00D301DC">
        <w:rPr>
          <w:rFonts w:ascii="Book Antiqua" w:eastAsia="Book Antiqua" w:hAnsi="Book Antiqua" w:cs="Book Antiqua"/>
          <w:color w:val="000000"/>
        </w:rPr>
        <w:lastRenderedPageBreak/>
        <w:t>(NTS) is a relay nucleus for visceral primary afferent neural signaling. It receives sensory afferents from visceral organs and projects to the spinal cord to regulate respiratory and cardiovascular activity. The NTS is also closely connected with various brain nuclei</w:t>
      </w:r>
      <w:r w:rsidRPr="00D301DC">
        <w:rPr>
          <w:rFonts w:ascii="Book Antiqua" w:eastAsia="Book Antiqua" w:hAnsi="Book Antiqua" w:cs="Book Antiqua"/>
          <w:color w:val="000000"/>
          <w:szCs w:val="30"/>
          <w:vertAlign w:val="superscript"/>
        </w:rPr>
        <w:t>[3]</w:t>
      </w:r>
      <w:r w:rsidRPr="00D301DC">
        <w:rPr>
          <w:rFonts w:ascii="Book Antiqua" w:eastAsia="Book Antiqua" w:hAnsi="Book Antiqua" w:cs="Book Antiqua"/>
          <w:color w:val="000000"/>
        </w:rPr>
        <w:t>. Recent studies have demonstrated the role of the NTS in cardiovascular and respiratory regulation and the reflex regulation of intragastric pressure. Synapses mediate the vagal-dependent gastric reflex between vagal afferent fibers and NTS neurons, and through the vagal preganglionic parasympathetic neurons in the dorsal vagal complex</w:t>
      </w:r>
      <w:r w:rsidRPr="00D301DC">
        <w:rPr>
          <w:rFonts w:ascii="Book Antiqua" w:eastAsia="Book Antiqua" w:hAnsi="Book Antiqua" w:cs="Book Antiqua"/>
          <w:color w:val="000000"/>
          <w:szCs w:val="30"/>
          <w:vertAlign w:val="superscript"/>
        </w:rPr>
        <w:t>[4]</w:t>
      </w:r>
      <w:r w:rsidRPr="00D301DC">
        <w:rPr>
          <w:rFonts w:ascii="Book Antiqua" w:eastAsia="Book Antiqua" w:hAnsi="Book Antiqua" w:cs="Book Antiqua"/>
          <w:color w:val="000000"/>
        </w:rPr>
        <w:t>. Neuronal firing studies in the NTS have shown that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increases NTS-evoked postsynaptic currents by enhancing presynaptic glutamate release and affects the membrane potential of NTS neurons in a concentration-dependent manner</w:t>
      </w:r>
      <w:r w:rsidRPr="00D301DC">
        <w:rPr>
          <w:rFonts w:ascii="Book Antiqua" w:eastAsia="Book Antiqua" w:hAnsi="Book Antiqua" w:cs="Book Antiqua"/>
          <w:color w:val="000000"/>
          <w:szCs w:val="30"/>
          <w:vertAlign w:val="superscript"/>
        </w:rPr>
        <w:t>[5]</w:t>
      </w:r>
      <w:r w:rsidRPr="00D301DC">
        <w:rPr>
          <w:rFonts w:ascii="Book Antiqua" w:eastAsia="Book Antiqua" w:hAnsi="Book Antiqua" w:cs="Book Antiqua"/>
          <w:color w:val="000000"/>
        </w:rPr>
        <w:t>.</w:t>
      </w:r>
    </w:p>
    <w:p w14:paraId="264F4A2A" w14:textId="10593086" w:rsidR="001E58B4" w:rsidRPr="00D301DC" w:rsidRDefault="00000000">
      <w:pPr>
        <w:spacing w:line="360" w:lineRule="auto"/>
        <w:ind w:firstLine="240"/>
        <w:jc w:val="both"/>
      </w:pPr>
      <w:r w:rsidRPr="00D301DC">
        <w:rPr>
          <w:rFonts w:ascii="Book Antiqua" w:eastAsia="Book Antiqua" w:hAnsi="Book Antiqua" w:cs="Book Antiqua"/>
          <w:color w:val="000000"/>
        </w:rPr>
        <w:t>Vagal afferent transmission primarily terminates in the NTS</w:t>
      </w:r>
      <w:r w:rsidRPr="00D301DC">
        <w:rPr>
          <w:rFonts w:ascii="Book Antiqua" w:eastAsia="Book Antiqua" w:hAnsi="Book Antiqua" w:cs="Book Antiqua"/>
          <w:color w:val="000000"/>
          <w:szCs w:val="30"/>
          <w:vertAlign w:val="superscript"/>
        </w:rPr>
        <w:t>[6]</w:t>
      </w:r>
      <w:r w:rsidRPr="00D301DC">
        <w:rPr>
          <w:rFonts w:ascii="Book Antiqua" w:eastAsia="Book Antiqua" w:hAnsi="Book Antiqua" w:cs="Book Antiqua"/>
          <w:color w:val="000000"/>
        </w:rPr>
        <w:t>, which may act as a relay activator to inhibit spinal neuronal activity. Vagal-mediated glutamate release can regulate homeostasis by activating NTS neurons and metabotropic glutamate receptors, contributing to homeostatic regulation. Injection of oxytocin in the NTS has been observed to inhibit gastric smooth muscle diastole in rats, possibly through the cAMP-PKA signaling pathway</w:t>
      </w:r>
      <w:r w:rsidRPr="00D301DC">
        <w:rPr>
          <w:rFonts w:ascii="Book Antiqua" w:eastAsia="Book Antiqua" w:hAnsi="Book Antiqua" w:cs="Book Antiqua"/>
          <w:color w:val="000000"/>
          <w:szCs w:val="30"/>
          <w:vertAlign w:val="superscript"/>
        </w:rPr>
        <w:t>[7]</w:t>
      </w:r>
      <w:r w:rsidRPr="00D301DC">
        <w:rPr>
          <w:rFonts w:ascii="Book Antiqua" w:eastAsia="Book Antiqua" w:hAnsi="Book Antiqua" w:cs="Book Antiqua"/>
          <w:color w:val="000000"/>
        </w:rPr>
        <w:t>.</w:t>
      </w:r>
      <w:r w:rsidR="00370EFD" w:rsidRPr="00D301DC">
        <w:rPr>
          <w:rFonts w:ascii="Book Antiqua" w:eastAsia="Book Antiqua" w:hAnsi="Book Antiqua" w:cs="Book Antiqua"/>
          <w:color w:val="000000"/>
        </w:rPr>
        <w:t xml:space="preserve"> </w:t>
      </w:r>
      <w:r w:rsidRPr="00D301DC">
        <w:rPr>
          <w:rFonts w:ascii="Book Antiqua" w:eastAsia="Book Antiqua" w:hAnsi="Book Antiqua" w:cs="Book Antiqua"/>
          <w:color w:val="000000"/>
        </w:rPr>
        <w:t>The microinjection of monosodium glutamate in the NTS and the activation of NTS opioid receptors inhibit gastric motility and significant c-Fos expression in the dorsal motor nucleus of the vagus (DMV) neurons</w:t>
      </w:r>
      <w:r w:rsidRPr="00D301DC">
        <w:rPr>
          <w:rFonts w:ascii="Book Antiqua" w:eastAsia="Book Antiqua" w:hAnsi="Book Antiqua" w:cs="Book Antiqua"/>
          <w:color w:val="000000"/>
          <w:szCs w:val="30"/>
          <w:vertAlign w:val="superscript"/>
        </w:rPr>
        <w:t>[8]</w:t>
      </w:r>
      <w:r w:rsidRPr="00D301DC">
        <w:rPr>
          <w:rFonts w:ascii="Book Antiqua" w:eastAsia="Book Antiqua" w:hAnsi="Book Antiqua" w:cs="Book Antiqua"/>
          <w:color w:val="000000"/>
        </w:rPr>
        <w:t>.</w:t>
      </w:r>
    </w:p>
    <w:p w14:paraId="4ADCFE1B"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However, hydrogen sulfide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is a recently discovered gas transmitter endogenously produced in the human and animal brain and organ tissues. Cystathionine beta-synthase (CBS) mainly synthesizes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in the central nervous system and plays a significant physiological role</w:t>
      </w:r>
      <w:r w:rsidRPr="00D301DC">
        <w:rPr>
          <w:rFonts w:ascii="Book Antiqua" w:eastAsia="Book Antiqua" w:hAnsi="Book Antiqua" w:cs="Book Antiqua"/>
          <w:color w:val="000000"/>
          <w:szCs w:val="30"/>
          <w:vertAlign w:val="superscript"/>
        </w:rPr>
        <w:t>[9]</w:t>
      </w:r>
      <w:r w:rsidRPr="00D301DC">
        <w:rPr>
          <w:rFonts w:ascii="Book Antiqua" w:eastAsia="Book Antiqua" w:hAnsi="Book Antiqua" w:cs="Book Antiqua"/>
          <w:color w:val="000000"/>
        </w:rPr>
        <w:t xml:space="preserve"> and has a protective role in neurodegenerative diseases such as Parkinson’s disease</w:t>
      </w:r>
      <w:r w:rsidRPr="00D301DC">
        <w:rPr>
          <w:rFonts w:ascii="Book Antiqua" w:eastAsia="Book Antiqua" w:hAnsi="Book Antiqua" w:cs="Book Antiqua"/>
          <w:color w:val="000000"/>
          <w:szCs w:val="30"/>
          <w:vertAlign w:val="superscript"/>
        </w:rPr>
        <w:t>[10]</w:t>
      </w:r>
      <w:r w:rsidRPr="00D301DC">
        <w:rPr>
          <w:rFonts w:ascii="Book Antiqua" w:eastAsia="Book Antiqua" w:hAnsi="Book Antiqua" w:cs="Book Antiqua"/>
          <w:color w:val="000000"/>
        </w:rPr>
        <w:t xml:space="preserve"> and Alzheimer’s disease</w:t>
      </w:r>
      <w:r w:rsidRPr="00D301DC">
        <w:rPr>
          <w:rFonts w:ascii="Book Antiqua" w:eastAsia="Book Antiqua" w:hAnsi="Book Antiqua" w:cs="Book Antiqua"/>
          <w:color w:val="000000"/>
          <w:szCs w:val="30"/>
          <w:vertAlign w:val="superscript"/>
        </w:rPr>
        <w:t>[11]</w:t>
      </w:r>
      <w:r w:rsidRPr="00D301DC">
        <w:rPr>
          <w:rFonts w:ascii="Book Antiqua" w:eastAsia="Book Antiqua" w:hAnsi="Book Antiqua" w:cs="Book Antiqua"/>
          <w:color w:val="000000"/>
        </w:rPr>
        <w:t>. CBS is present in neurons and glial cells of the NTS, exerting excitatory effects and modulating synaptic neuronal activity</w:t>
      </w:r>
      <w:r w:rsidRPr="00D301DC">
        <w:rPr>
          <w:rFonts w:ascii="Book Antiqua" w:eastAsia="Book Antiqua" w:hAnsi="Book Antiqua" w:cs="Book Antiqua"/>
          <w:color w:val="000000"/>
          <w:szCs w:val="30"/>
          <w:vertAlign w:val="superscript"/>
        </w:rPr>
        <w:t>[12]</w:t>
      </w:r>
      <w:r w:rsidRPr="00D301DC">
        <w:rPr>
          <w:rFonts w:ascii="Book Antiqua" w:eastAsia="Book Antiqua" w:hAnsi="Book Antiqua" w:cs="Book Antiqua"/>
          <w:color w:val="000000"/>
        </w:rPr>
        <w:t>. Blocking CBS attenuates synaptic transmission in NTS neurons. Applying the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donor NaHS also enhances synaptic transmission in NTS neurons.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in the NTS plays an equally important role as a gaseous neuromodulator in maintaining or modulating autonomicand other systems</w:t>
      </w:r>
      <w:r w:rsidRPr="00D301DC">
        <w:rPr>
          <w:rFonts w:ascii="Book Antiqua" w:eastAsia="Book Antiqua" w:hAnsi="Book Antiqua" w:cs="Book Antiqua"/>
          <w:color w:val="000000"/>
          <w:szCs w:val="30"/>
          <w:vertAlign w:val="superscript"/>
        </w:rPr>
        <w:t>[13]</w:t>
      </w:r>
      <w:r w:rsidRPr="00D301DC">
        <w:rPr>
          <w:rFonts w:ascii="Book Antiqua" w:eastAsia="Book Antiqua" w:hAnsi="Book Antiqua" w:cs="Book Antiqua"/>
          <w:color w:val="000000"/>
        </w:rPr>
        <w:t>. In vitro experiments have shown that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 xml:space="preserve">S relaxes gastrointestinal smooth muscles, </w:t>
      </w:r>
      <w:r w:rsidRPr="00D301DC">
        <w:rPr>
          <w:rFonts w:ascii="Book Antiqua" w:eastAsia="Book Antiqua" w:hAnsi="Book Antiqua" w:cs="Book Antiqua"/>
          <w:color w:val="000000"/>
        </w:rPr>
        <w:lastRenderedPageBreak/>
        <w:t>inhibiting spontaneous movements and responses to chemical or electrical stimuli</w:t>
      </w:r>
      <w:r w:rsidRPr="00D301DC">
        <w:rPr>
          <w:rFonts w:ascii="Book Antiqua" w:eastAsia="Book Antiqua" w:hAnsi="Book Antiqua" w:cs="Book Antiqua"/>
          <w:color w:val="000000"/>
          <w:szCs w:val="30"/>
          <w:vertAlign w:val="superscript"/>
        </w:rPr>
        <w:t>[14]</w:t>
      </w:r>
      <w:r w:rsidRPr="00D301DC">
        <w:rPr>
          <w:rFonts w:ascii="Book Antiqua" w:eastAsia="Book Antiqua" w:hAnsi="Book Antiqua" w:cs="Book Antiqua"/>
          <w:color w:val="000000"/>
        </w:rPr>
        <w:t>.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also plays a role in other types of smooth muscle relaxation</w:t>
      </w:r>
      <w:r w:rsidRPr="00D301DC">
        <w:rPr>
          <w:rFonts w:ascii="Book Antiqua" w:eastAsia="Book Antiqua" w:hAnsi="Book Antiqua" w:cs="Book Antiqua"/>
          <w:i/>
          <w:iCs/>
          <w:color w:val="000000"/>
        </w:rPr>
        <w:t xml:space="preserve"> via </w:t>
      </w:r>
      <w:r w:rsidRPr="00D301DC">
        <w:rPr>
          <w:rFonts w:ascii="Book Antiqua" w:eastAsia="Book Antiqua" w:hAnsi="Book Antiqua" w:cs="Book Antiqua"/>
          <w:color w:val="000000"/>
        </w:rPr>
        <w:t>K</w:t>
      </w:r>
      <w:r w:rsidRPr="00D301DC">
        <w:rPr>
          <w:rFonts w:ascii="Book Antiqua" w:eastAsia="Book Antiqua" w:hAnsi="Book Antiqua" w:cs="Book Antiqua"/>
          <w:color w:val="000000"/>
          <w:szCs w:val="30"/>
          <w:vertAlign w:val="superscript"/>
        </w:rPr>
        <w:t>+</w:t>
      </w:r>
      <w:r w:rsidRPr="00D301DC">
        <w:rPr>
          <w:rFonts w:ascii="Book Antiqua" w:eastAsia="Book Antiqua" w:hAnsi="Book Antiqua" w:cs="Book Antiqua"/>
          <w:color w:val="000000"/>
        </w:rPr>
        <w:t>-ATP channels</w:t>
      </w:r>
      <w:r w:rsidRPr="00D301DC">
        <w:rPr>
          <w:rFonts w:ascii="Book Antiqua" w:eastAsia="Book Antiqua" w:hAnsi="Book Antiqua" w:cs="Book Antiqua"/>
          <w:color w:val="000000"/>
          <w:szCs w:val="30"/>
          <w:vertAlign w:val="superscript"/>
        </w:rPr>
        <w:t>[15]</w:t>
      </w:r>
      <w:r w:rsidRPr="00D301DC">
        <w:rPr>
          <w:rFonts w:ascii="Book Antiqua" w:eastAsia="Book Antiqua" w:hAnsi="Book Antiqua" w:cs="Book Antiqua"/>
          <w:color w:val="000000"/>
        </w:rPr>
        <w:t>, suggesting that endogenous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has a regulatory role in the gastrointestinal tract’s motor function.</w:t>
      </w:r>
    </w:p>
    <w:p w14:paraId="1B0D2B47"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The nuclear factor kappa-B (NF-κB) pathway is activated by various factors and plays a crucial role in the immune response and inflammation. A study found that NaHS administration in the rat intraperitoneal</w:t>
      </w:r>
      <w:r w:rsidRPr="00D301DC">
        <w:rPr>
          <w:rFonts w:ascii="Book Antiqua" w:eastAsia="Book Antiqua" w:hAnsi="Book Antiqua" w:cs="Book Antiqua"/>
          <w:i/>
          <w:iCs/>
          <w:color w:val="000000"/>
        </w:rPr>
        <w:t xml:space="preserve"> via </w:t>
      </w:r>
      <w:r w:rsidRPr="00D301DC">
        <w:rPr>
          <w:rFonts w:ascii="Book Antiqua" w:eastAsia="Book Antiqua" w:hAnsi="Book Antiqua" w:cs="Book Antiqua"/>
          <w:color w:val="000000"/>
        </w:rPr>
        <w:t>sulfhydration caused NF-κB activation and lung inflammation, a significant increase in p65 protein levels, vascular congestion, and neutrophil infiltration. Also, slight neuronal degeneration was observed in the rat heart, liver, and brain, suggesting that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acts on NF-κB channels for messaging</w:t>
      </w:r>
      <w:r w:rsidRPr="00D301DC">
        <w:rPr>
          <w:rFonts w:ascii="Book Antiqua" w:eastAsia="Book Antiqua" w:hAnsi="Book Antiqua" w:cs="Book Antiqua"/>
          <w:color w:val="000000"/>
          <w:szCs w:val="30"/>
          <w:vertAlign w:val="superscript"/>
        </w:rPr>
        <w:t>[16]</w:t>
      </w:r>
      <w:r w:rsidRPr="00D301DC">
        <w:rPr>
          <w:rFonts w:ascii="Book Antiqua" w:eastAsia="Book Antiqua" w:hAnsi="Book Antiqua" w:cs="Book Antiqua"/>
          <w:color w:val="000000"/>
        </w:rPr>
        <w:t>.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 xml:space="preserve">S also interacts with nitric oxide to cause vasodilation, down-regulates NF-kB pathway-induced inflammation, fibrosis and damage from prolonged or intense oxidative stress; protects tissues from ischemia- and reperfusion-induced injury; and reduces immune rejection by reducing oxygen free radicals produced </w:t>
      </w:r>
      <w:r w:rsidRPr="00D301DC">
        <w:rPr>
          <w:rFonts w:ascii="Book Antiqua" w:eastAsia="Book Antiqua" w:hAnsi="Book Antiqua" w:cs="Book Antiqua"/>
          <w:i/>
          <w:iCs/>
          <w:color w:val="000000"/>
        </w:rPr>
        <w:t>in vivo</w:t>
      </w:r>
      <w:r w:rsidRPr="00D301DC">
        <w:rPr>
          <w:rFonts w:ascii="Book Antiqua" w:eastAsia="Book Antiqua" w:hAnsi="Book Antiqua" w:cs="Book Antiqua"/>
          <w:color w:val="000000"/>
          <w:szCs w:val="30"/>
          <w:vertAlign w:val="superscript"/>
        </w:rPr>
        <w:t>[17]</w:t>
      </w:r>
      <w:r w:rsidRPr="00D301DC">
        <w:rPr>
          <w:rFonts w:ascii="Book Antiqua" w:eastAsia="Book Antiqua" w:hAnsi="Book Antiqua" w:cs="Book Antiqua"/>
          <w:color w:val="000000"/>
        </w:rPr>
        <w:t>. Additionally,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demonstrates antioxidant and anti-apoptotic effects on neurons and glial cells</w:t>
      </w:r>
      <w:r w:rsidRPr="00D301DC">
        <w:rPr>
          <w:rFonts w:ascii="Book Antiqua" w:eastAsia="Book Antiqua" w:hAnsi="Book Antiqua" w:cs="Book Antiqua"/>
          <w:color w:val="000000"/>
          <w:szCs w:val="30"/>
          <w:vertAlign w:val="superscript"/>
        </w:rPr>
        <w:t>[18]</w:t>
      </w:r>
      <w:r w:rsidRPr="00D301DC">
        <w:rPr>
          <w:rFonts w:ascii="Book Antiqua" w:eastAsia="Book Antiqua" w:hAnsi="Book Antiqua" w:cs="Book Antiqua"/>
          <w:color w:val="000000"/>
        </w:rPr>
        <w:t>.</w:t>
      </w:r>
    </w:p>
    <w:p w14:paraId="6341F19F"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Transient receptor potential vanilloid type 1 (TRPV1) is a non-selective calcium channel associated with nociceptive sensations in peripheral nerves. Its activation can lead to neurokinin 1 (NK1) receptor activation, pain, local neurogenic inflammation, and systemic anti-inflammatory/analgesic effects, and enhanced transmitter release in the NTS. TRPV1 involves various physiological and pathological processes</w:t>
      </w:r>
      <w:r w:rsidRPr="00D301DC">
        <w:rPr>
          <w:rFonts w:ascii="Book Antiqua" w:eastAsia="Book Antiqua" w:hAnsi="Book Antiqua" w:cs="Book Antiqua"/>
          <w:color w:val="000000"/>
          <w:szCs w:val="30"/>
          <w:vertAlign w:val="superscript"/>
        </w:rPr>
        <w:t>[19,20]</w:t>
      </w:r>
      <w:r w:rsidRPr="00D301DC">
        <w:rPr>
          <w:rFonts w:ascii="Book Antiqua" w:eastAsia="Book Antiqua" w:hAnsi="Book Antiqua" w:cs="Book Antiqua"/>
          <w:color w:val="000000"/>
        </w:rPr>
        <w:t>. Electrophysiological studies have shown that the activation of TRPV1 by capsaicin enhances glutamate release to visceral sensory neurons, affecting NTS preganglionic neurons</w:t>
      </w:r>
      <w:r w:rsidRPr="00D301DC">
        <w:rPr>
          <w:rFonts w:ascii="Book Antiqua" w:eastAsia="Book Antiqua" w:hAnsi="Book Antiqua" w:cs="Book Antiqua"/>
          <w:color w:val="000000"/>
          <w:szCs w:val="30"/>
          <w:vertAlign w:val="superscript"/>
        </w:rPr>
        <w:t>[21]</w:t>
      </w:r>
      <w:r w:rsidRPr="00D301DC">
        <w:rPr>
          <w:rFonts w:ascii="Book Antiqua" w:eastAsia="Book Antiqua" w:hAnsi="Book Antiqua" w:cs="Book Antiqua"/>
          <w:color w:val="000000"/>
        </w:rPr>
        <w:t>.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can cause peripheral inflammation and synaptic enhancement of glutamatergic signaling in the spinal cord by activating TRPV1 channels, thus stimulating other receptors at the terminals of capsaicin-sensitive neurons</w:t>
      </w:r>
      <w:r w:rsidRPr="00D301DC">
        <w:rPr>
          <w:rFonts w:ascii="Book Antiqua" w:eastAsia="Book Antiqua" w:hAnsi="Book Antiqua" w:cs="Book Antiqua"/>
          <w:color w:val="000000"/>
          <w:szCs w:val="30"/>
          <w:vertAlign w:val="superscript"/>
        </w:rPr>
        <w:t>[22]</w:t>
      </w:r>
      <w:r w:rsidRPr="00D301DC">
        <w:rPr>
          <w:rFonts w:ascii="Book Antiqua" w:eastAsia="Book Antiqua" w:hAnsi="Book Antiqua" w:cs="Book Antiqua"/>
          <w:color w:val="000000"/>
        </w:rPr>
        <w:t>. TRPV1 activation also leads to the release of substance P (SP), while NK1 receptors are responsible for neurally mediated digestive secretion and contributes to brain homeostasis and sensory neuronal transmission associated with depression, stress, anxiety and vomiting</w:t>
      </w:r>
      <w:r w:rsidRPr="00D301DC">
        <w:rPr>
          <w:rFonts w:ascii="Book Antiqua" w:eastAsia="Book Antiqua" w:hAnsi="Book Antiqua" w:cs="Book Antiqua"/>
          <w:color w:val="000000"/>
          <w:szCs w:val="30"/>
          <w:vertAlign w:val="superscript"/>
        </w:rPr>
        <w:t>[23]</w:t>
      </w:r>
      <w:r w:rsidRPr="00D301DC">
        <w:rPr>
          <w:rFonts w:ascii="Book Antiqua" w:eastAsia="Book Antiqua" w:hAnsi="Book Antiqua" w:cs="Book Antiqua"/>
          <w:color w:val="000000"/>
        </w:rPr>
        <w:t>.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 xml:space="preserve">S causes gastric juice secretion by stimulating TRPV1 </w:t>
      </w:r>
      <w:r w:rsidRPr="00D301DC">
        <w:rPr>
          <w:rFonts w:ascii="Book Antiqua" w:eastAsia="Book Antiqua" w:hAnsi="Book Antiqua" w:cs="Book Antiqua"/>
          <w:color w:val="000000"/>
        </w:rPr>
        <w:lastRenderedPageBreak/>
        <w:t>receptors on primary afferent nerve fibers and modulates cholinergic neurons by releasing SP to act on NK1, NK2, or NK3 receptors</w:t>
      </w:r>
      <w:r w:rsidRPr="00D301DC">
        <w:rPr>
          <w:rFonts w:ascii="Book Antiqua" w:eastAsia="Book Antiqua" w:hAnsi="Book Antiqua" w:cs="Book Antiqua"/>
          <w:color w:val="000000"/>
          <w:szCs w:val="30"/>
          <w:vertAlign w:val="superscript"/>
        </w:rPr>
        <w:t>[24]</w:t>
      </w:r>
      <w:r w:rsidRPr="00D301DC">
        <w:rPr>
          <w:rFonts w:ascii="Book Antiqua" w:eastAsia="Book Antiqua" w:hAnsi="Book Antiqua" w:cs="Book Antiqua"/>
          <w:color w:val="000000"/>
        </w:rPr>
        <w:t>. Therefore, we speculate that TRPV1 channels may be involved in the effect of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donors on gastric emptying.</w:t>
      </w:r>
    </w:p>
    <w:p w14:paraId="73DF4EC1"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SP is a neuroactive peptide involved in pain and inflammation</w:t>
      </w:r>
      <w:r w:rsidRPr="00D301DC">
        <w:rPr>
          <w:rFonts w:ascii="Book Antiqua" w:eastAsia="Book Antiqua" w:hAnsi="Book Antiqua" w:cs="Book Antiqua"/>
          <w:color w:val="000000"/>
          <w:szCs w:val="30"/>
          <w:vertAlign w:val="superscript"/>
        </w:rPr>
        <w:t>[25]</w:t>
      </w:r>
      <w:r w:rsidRPr="00D301DC">
        <w:rPr>
          <w:rFonts w:ascii="Book Antiqua" w:eastAsia="Book Antiqua" w:hAnsi="Book Antiqua" w:cs="Book Antiqua"/>
          <w:color w:val="000000"/>
        </w:rPr>
        <w:t>. It is widely present in the mammalian organism in the central, peripheral, and gastrointestinal nervous systems</w:t>
      </w:r>
      <w:r w:rsidRPr="00D301DC">
        <w:rPr>
          <w:rFonts w:ascii="Book Antiqua" w:eastAsia="Book Antiqua" w:hAnsi="Book Antiqua" w:cs="Book Antiqua"/>
          <w:color w:val="000000"/>
          <w:szCs w:val="30"/>
          <w:vertAlign w:val="superscript"/>
        </w:rPr>
        <w:t>[26]</w:t>
      </w:r>
      <w:r w:rsidRPr="00D301DC">
        <w:rPr>
          <w:rFonts w:ascii="Book Antiqua" w:eastAsia="Book Antiqua" w:hAnsi="Book Antiqua" w:cs="Book Antiqua"/>
          <w:color w:val="000000"/>
        </w:rPr>
        <w:t xml:space="preserve"> and other tissues, participating in various physiopathological processes, including stress, emotional anxiety, and immune regulation. NK1 receptors are the primary receptors for SP and are widely expressed in the brain, contributing to stress and emotional anxiety</w:t>
      </w:r>
      <w:r w:rsidRPr="00D301DC">
        <w:rPr>
          <w:rFonts w:ascii="Book Antiqua" w:eastAsia="Book Antiqua" w:hAnsi="Book Antiqua" w:cs="Book Antiqua"/>
          <w:color w:val="000000"/>
          <w:szCs w:val="30"/>
          <w:vertAlign w:val="superscript"/>
        </w:rPr>
        <w:t>[27]</w:t>
      </w:r>
      <w:r w:rsidRPr="00D301DC">
        <w:rPr>
          <w:rFonts w:ascii="Book Antiqua" w:eastAsia="Book Antiqua" w:hAnsi="Book Antiqua" w:cs="Book Antiqua"/>
          <w:color w:val="000000"/>
        </w:rPr>
        <w:t>. SP is widely expressed in the NTS, mainly in the primary sensory neurons in the peripheral nervous system, and intrinsic neurons of the gastrointestinal tract. It has been shown to have neurotransmitter effects in the central and peripheral nervous systems and is associated with immune and inflammatory diseases of the respiratory and gastrointestinal systems</w:t>
      </w:r>
      <w:r w:rsidRPr="00D301DC">
        <w:rPr>
          <w:rFonts w:ascii="Book Antiqua" w:eastAsia="Book Antiqua" w:hAnsi="Book Antiqua" w:cs="Book Antiqua"/>
          <w:color w:val="000000"/>
          <w:szCs w:val="30"/>
          <w:vertAlign w:val="superscript"/>
        </w:rPr>
        <w:t>[28]</w:t>
      </w:r>
      <w:r w:rsidRPr="00D301DC">
        <w:rPr>
          <w:rFonts w:ascii="Book Antiqua" w:eastAsia="Book Antiqua" w:hAnsi="Book Antiqua" w:cs="Book Antiqua"/>
          <w:color w:val="000000"/>
        </w:rPr>
        <w:t>.</w:t>
      </w:r>
    </w:p>
    <w:p w14:paraId="58DD34D4"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Herein, we investigated the regulatory effects of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in the NTS on rat gastric function and explore whether these effects were mediated by SP release</w:t>
      </w:r>
      <w:r w:rsidRPr="00D301DC">
        <w:rPr>
          <w:rFonts w:ascii="Book Antiqua" w:eastAsia="Book Antiqua" w:hAnsi="Book Antiqua" w:cs="Book Antiqua"/>
          <w:i/>
          <w:iCs/>
          <w:color w:val="000000"/>
        </w:rPr>
        <w:t xml:space="preserve"> via </w:t>
      </w:r>
      <w:r w:rsidRPr="00D301DC">
        <w:rPr>
          <w:rFonts w:ascii="Book Antiqua" w:eastAsia="Book Antiqua" w:hAnsi="Book Antiqua" w:cs="Book Antiqua"/>
          <w:color w:val="000000"/>
        </w:rPr>
        <w:t>NF-κB channel-dependent activation of the TRPV1 pathway.</w:t>
      </w:r>
    </w:p>
    <w:p w14:paraId="39408674" w14:textId="77777777" w:rsidR="001E58B4" w:rsidRPr="00D301DC" w:rsidRDefault="001E58B4">
      <w:pPr>
        <w:spacing w:line="360" w:lineRule="auto"/>
        <w:ind w:firstLine="240"/>
        <w:jc w:val="both"/>
      </w:pPr>
    </w:p>
    <w:p w14:paraId="7B72D705" w14:textId="77777777" w:rsidR="001E58B4" w:rsidRPr="00D301DC" w:rsidRDefault="00000000">
      <w:pPr>
        <w:spacing w:line="360" w:lineRule="auto"/>
        <w:jc w:val="both"/>
      </w:pPr>
      <w:r w:rsidRPr="00D301DC">
        <w:rPr>
          <w:rFonts w:ascii="Book Antiqua" w:eastAsia="Book Antiqua" w:hAnsi="Book Antiqua" w:cs="Book Antiqua"/>
          <w:b/>
          <w:caps/>
          <w:color w:val="000000"/>
          <w:u w:val="single"/>
        </w:rPr>
        <w:t>MATERIALS AND METHODS</w:t>
      </w:r>
    </w:p>
    <w:p w14:paraId="7FAFD492" w14:textId="77777777" w:rsidR="001E58B4" w:rsidRPr="00D301DC" w:rsidRDefault="00000000">
      <w:pPr>
        <w:spacing w:line="360" w:lineRule="auto"/>
        <w:jc w:val="both"/>
        <w:rPr>
          <w:b/>
          <w:bCs/>
        </w:rPr>
      </w:pPr>
      <w:r w:rsidRPr="00D301DC">
        <w:rPr>
          <w:rFonts w:ascii="Book Antiqua" w:eastAsia="Book Antiqua" w:hAnsi="Book Antiqua" w:cs="Book Antiqua"/>
          <w:b/>
          <w:bCs/>
          <w:i/>
          <w:iCs/>
          <w:color w:val="000000"/>
        </w:rPr>
        <w:t>Animal</w:t>
      </w:r>
    </w:p>
    <w:p w14:paraId="177AEBB0" w14:textId="77777777" w:rsidR="001E58B4" w:rsidRPr="00D301DC" w:rsidRDefault="00000000">
      <w:pPr>
        <w:spacing w:line="360" w:lineRule="auto"/>
        <w:jc w:val="both"/>
      </w:pPr>
      <w:r w:rsidRPr="00D301DC">
        <w:rPr>
          <w:rFonts w:ascii="Book Antiqua" w:eastAsia="Book Antiqua" w:hAnsi="Book Antiqua" w:cs="Book Antiqua"/>
          <w:color w:val="000000"/>
        </w:rPr>
        <w:t>The animals used in this experiment were 240-280 g adult male Wistar rats purchased from Jinan Panyue Experimental Animal Breeding Co and housed in separate cages at a constant temperature (22 °C ± 2 °C) given appropriate food and water based on their body weight. To allow them to acclimate to their surroundings, the rats were exposed to natural rhythmic light for one week before the start of the experiment.</w:t>
      </w:r>
    </w:p>
    <w:p w14:paraId="61B08225"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 xml:space="preserve">Before the experiment, the rats underwent a 24-h fasting period, during which they were allowed to freely drink. The other environmental conditions remained consistent throughout the experiment. The Experimental Animal Ethics Committee of Qilu Normal University approved the experiment. All experiments complied with </w:t>
      </w:r>
      <w:r w:rsidRPr="00D301DC">
        <w:rPr>
          <w:rFonts w:ascii="Book Antiqua" w:eastAsia="Book Antiqua" w:hAnsi="Book Antiqua" w:cs="Book Antiqua"/>
          <w:color w:val="000000"/>
        </w:rPr>
        <w:lastRenderedPageBreak/>
        <w:t>internationally accepted ethical standards. The study also adhered to the guidelines set by the International Association for the Study of Pain</w:t>
      </w:r>
      <w:r w:rsidRPr="00D301DC">
        <w:rPr>
          <w:rFonts w:ascii="Book Antiqua" w:eastAsia="Book Antiqua" w:hAnsi="Book Antiqua" w:cs="Book Antiqua"/>
          <w:color w:val="000000"/>
          <w:szCs w:val="30"/>
          <w:vertAlign w:val="superscript"/>
        </w:rPr>
        <w:t>[29]</w:t>
      </w:r>
      <w:r w:rsidRPr="00D301DC">
        <w:rPr>
          <w:rFonts w:ascii="Book Antiqua" w:eastAsia="Book Antiqua" w:hAnsi="Book Antiqua" w:cs="Book Antiqua"/>
          <w:color w:val="000000"/>
        </w:rPr>
        <w:t>.</w:t>
      </w:r>
    </w:p>
    <w:p w14:paraId="4B7DC305" w14:textId="77777777" w:rsidR="001E58B4" w:rsidRPr="00D301DC" w:rsidRDefault="001E58B4">
      <w:pPr>
        <w:spacing w:line="360" w:lineRule="auto"/>
        <w:ind w:firstLine="240"/>
        <w:jc w:val="both"/>
      </w:pPr>
    </w:p>
    <w:p w14:paraId="32AF8124" w14:textId="77777777" w:rsidR="001E58B4" w:rsidRPr="00D301DC" w:rsidRDefault="00000000">
      <w:pPr>
        <w:spacing w:line="360" w:lineRule="auto"/>
        <w:jc w:val="both"/>
        <w:rPr>
          <w:b/>
          <w:bCs/>
        </w:rPr>
      </w:pPr>
      <w:r w:rsidRPr="00D301DC">
        <w:rPr>
          <w:rFonts w:ascii="Book Antiqua" w:eastAsia="Book Antiqua" w:hAnsi="Book Antiqua" w:cs="Book Antiqua"/>
          <w:b/>
          <w:bCs/>
          <w:i/>
          <w:iCs/>
          <w:color w:val="000000"/>
        </w:rPr>
        <w:t>Chemicals</w:t>
      </w:r>
    </w:p>
    <w:p w14:paraId="11FA1241" w14:textId="77777777" w:rsidR="001E58B4" w:rsidRPr="00D301DC" w:rsidRDefault="00000000">
      <w:pPr>
        <w:spacing w:line="360" w:lineRule="auto"/>
        <w:jc w:val="both"/>
      </w:pPr>
      <w:r w:rsidRPr="00D301DC">
        <w:rPr>
          <w:rFonts w:ascii="Book Antiqua" w:eastAsia="Book Antiqua" w:hAnsi="Book Antiqua" w:cs="Book Antiqua"/>
          <w:color w:val="000000"/>
        </w:rPr>
        <w:t>NaHS, L703606, PDTC, Capsazepine, and protamine sky blue were purchased from Sigma-Aldrich (St. Louis, MO, United States). NaHS was dissolved in 0.9% saline, while the other chemicals were dissolved in dimethyl sulfoxide and reconstituted in saline. For the immunohistochemical fluorescence double labeling, the following reagents were purchased from Servicebio (Wuhan, China): Goat serum, anti-CBS rabbit pAb, FITC-conjugated goat anti-rabbit IgG, Cy3-conjugated goat anti-mouse IgG, and anti-c-Fos mouse pAb.</w:t>
      </w:r>
    </w:p>
    <w:p w14:paraId="419B08BA" w14:textId="77777777" w:rsidR="001E58B4" w:rsidRPr="00D301DC" w:rsidRDefault="001E58B4">
      <w:pPr>
        <w:spacing w:line="360" w:lineRule="auto"/>
        <w:jc w:val="both"/>
      </w:pPr>
    </w:p>
    <w:p w14:paraId="73AA9B7D" w14:textId="77777777" w:rsidR="001E58B4" w:rsidRPr="00D301DC" w:rsidRDefault="00000000">
      <w:pPr>
        <w:spacing w:line="360" w:lineRule="auto"/>
        <w:jc w:val="both"/>
        <w:rPr>
          <w:b/>
          <w:bCs/>
        </w:rPr>
      </w:pPr>
      <w:r w:rsidRPr="00D301DC">
        <w:rPr>
          <w:rFonts w:ascii="Book Antiqua" w:eastAsia="Book Antiqua" w:hAnsi="Book Antiqua" w:cs="Book Antiqua"/>
          <w:b/>
          <w:bCs/>
          <w:i/>
          <w:iCs/>
          <w:color w:val="000000"/>
        </w:rPr>
        <w:t>Immunohistochemical fluorescence double labeling</w:t>
      </w:r>
    </w:p>
    <w:p w14:paraId="731BF508" w14:textId="77777777" w:rsidR="001E58B4" w:rsidRPr="00D301DC" w:rsidRDefault="00000000">
      <w:pPr>
        <w:spacing w:line="360" w:lineRule="auto"/>
        <w:jc w:val="both"/>
      </w:pPr>
      <w:r w:rsidRPr="00D301DC">
        <w:rPr>
          <w:rFonts w:ascii="Book Antiqua" w:eastAsia="Book Antiqua" w:hAnsi="Book Antiqua" w:cs="Book Antiqua"/>
          <w:color w:val="000000"/>
        </w:rPr>
        <w:t>We used the restraint water immersion stress model to investigate acute stress-induced gastric mucosal injury in rats. This acute compound stress model causes changes in gastric function in rats under stress through enhanced parasympathetic activity in the innervated stomach</w:t>
      </w:r>
      <w:r w:rsidRPr="00D301DC">
        <w:rPr>
          <w:rFonts w:ascii="Book Antiqua" w:eastAsia="Book Antiqua" w:hAnsi="Book Antiqua" w:cs="Book Antiqua"/>
          <w:color w:val="000000"/>
          <w:szCs w:val="30"/>
          <w:vertAlign w:val="superscript"/>
        </w:rPr>
        <w:t>[30]</w:t>
      </w:r>
      <w:r w:rsidRPr="00D301DC">
        <w:rPr>
          <w:rFonts w:ascii="Book Antiqua" w:eastAsia="Book Antiqua" w:hAnsi="Book Antiqua" w:cs="Book Antiqua"/>
          <w:color w:val="000000"/>
        </w:rPr>
        <w:t>. Once anesthetized, the rats were swiftly removed from the bottle and secured to a wooden board using medical tape to immobilize their limbs and teeth. When awake, the rats were then immersed in cold water (21 °C ± 1 °C) with the sternal process aligned with the water level. To minimize experimental error, consistent time points were selected for each experiment.</w:t>
      </w:r>
    </w:p>
    <w:p w14:paraId="12942008" w14:textId="2854DB7A" w:rsidR="001E58B4" w:rsidRPr="00D301DC" w:rsidRDefault="00000000">
      <w:pPr>
        <w:spacing w:line="360" w:lineRule="auto"/>
        <w:ind w:firstLine="240"/>
        <w:jc w:val="both"/>
      </w:pPr>
      <w:r w:rsidRPr="00D301DC">
        <w:rPr>
          <w:rFonts w:ascii="Book Antiqua" w:eastAsia="Book Antiqua" w:hAnsi="Book Antiqua" w:cs="Book Antiqua"/>
          <w:color w:val="000000"/>
        </w:rPr>
        <w:t>The rats were randomly divided into three groups (</w:t>
      </w:r>
      <w:r w:rsidRPr="00D301DC">
        <w:rPr>
          <w:rFonts w:ascii="Book Antiqua" w:eastAsia="Book Antiqua" w:hAnsi="Book Antiqua" w:cs="Book Antiqua"/>
          <w:i/>
          <w:iCs/>
          <w:color w:val="000000"/>
        </w:rPr>
        <w:t>n</w:t>
      </w:r>
      <w:r w:rsidRPr="00D301DC">
        <w:rPr>
          <w:rFonts w:ascii="Book Antiqua" w:eastAsia="Book Antiqua" w:hAnsi="Book Antiqua" w:cs="Book Antiqua"/>
          <w:color w:val="000000"/>
        </w:rPr>
        <w:t xml:space="preserve"> = 6) based on the duration of restraint water-immersion stress (RWIS) (0 h, 1 h, or 3 h). Cardiac perfusion was performed using 500 mL of prepared 0.01 mol/L phosphate-buffered saline (PBS) followed by 500 mL of 4% 0.1 mol/L paraformaldehyde (PFA). After administering an overdose of isoflurane to sacrifice the rat, the thoracic cavity was opened along the sternal process, and the heart was exposed. The infuser needle was inserted into the heart’s left ventricle, securing the heart, while the right auricle was incised to allow blood to drain. The rat’s liver was flushed with 0.01 mol/L PBS buffer until it turned </w:t>
      </w:r>
      <w:r w:rsidRPr="00D301DC">
        <w:rPr>
          <w:rFonts w:ascii="Book Antiqua" w:eastAsia="Book Antiqua" w:hAnsi="Book Antiqua" w:cs="Book Antiqua"/>
          <w:color w:val="000000"/>
        </w:rPr>
        <w:lastRenderedPageBreak/>
        <w:t>white, followed by perfusion with 4% PFA solution using a “fast and then slow” principle, gradually reducing the flow rate when the rat’s limbs twitched.</w:t>
      </w:r>
    </w:p>
    <w:p w14:paraId="579D8A94"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Upon completion of perfusion, the rat’s head was severed, and the brain was extracted. The brain was placed in a small wide-mouth flask containing 4% PFA and kept at 4 °C for 24 h. Subsequently, the fixed rat brain was transferred to a 0.1 mol/L 30% sucrose solution for dehydration. The frozen target nuclei region was then sectioned into 30 μm thick coronal sections using a sectioning machine and stored in 0.01 mol/L PBS.</w:t>
      </w:r>
    </w:p>
    <w:p w14:paraId="51DA2808"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Next, each well of a multi-well plate was filled with 500 μL of 0.01 mol/L PBS buffer to clean the brain slices and remove impurities. A methanolic solution of 3%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O</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 xml:space="preserve"> was added to block endogenous peroxidase activity. The wells were then incubated with a goat serum closure solution for 1 h to enhance cell membrane permeability. Subsequently, 500 μL of each primary antibody working solution was added, consisting of mouse anti-c-Fos (diluted at 1:500) and rabbit anti-CBS (diluted at 1:500), and incubated overnight at 4 °C.</w:t>
      </w:r>
    </w:p>
    <w:p w14:paraId="393E93B2"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Finally, 500 μL of each fluorescent secondary antibody working solution was added for 1 h. Any residual fluorescent secondary antibody was washed off with PBST. Previously treated with chromium-vanadium gelatin, the brain slides were placed on glass slides and allowed to dry naturally. The slides were sealed with an anti-fluorescence quencher, ensuring the removal of air bubbles using a vacuum. Finally, the sealed fluorescent glass slide was placed under an Olympus Fluorescence confocal microscopy to observe and compare the brain atlas to determine the position of the NTS, observe the CBS and c-Fos-positive neurons number, and take pictures. The expression of c-Fos and CBS in the NTS was counted using Image Pro-Plus 6.0 software (Number/0.01 mm</w:t>
      </w:r>
      <w:r w:rsidRPr="00D301DC">
        <w:rPr>
          <w:rFonts w:ascii="Book Antiqua" w:eastAsia="Book Antiqua" w:hAnsi="Book Antiqua" w:cs="Book Antiqua"/>
          <w:color w:val="000000"/>
          <w:szCs w:val="30"/>
          <w:vertAlign w:val="superscript"/>
        </w:rPr>
        <w:t>2</w:t>
      </w:r>
      <w:r w:rsidRPr="00D301DC">
        <w:rPr>
          <w:rFonts w:ascii="Book Antiqua" w:eastAsia="Book Antiqua" w:hAnsi="Book Antiqua" w:cs="Book Antiqua"/>
          <w:color w:val="000000"/>
        </w:rPr>
        <w:t>).</w:t>
      </w:r>
    </w:p>
    <w:p w14:paraId="30B4F6DF" w14:textId="77777777" w:rsidR="001E58B4" w:rsidRPr="00D301DC" w:rsidRDefault="001E58B4">
      <w:pPr>
        <w:spacing w:line="360" w:lineRule="auto"/>
        <w:ind w:firstLine="240"/>
        <w:jc w:val="both"/>
      </w:pPr>
    </w:p>
    <w:p w14:paraId="296F8F5F" w14:textId="77777777" w:rsidR="001E58B4" w:rsidRPr="00D301DC" w:rsidRDefault="00000000">
      <w:pPr>
        <w:spacing w:line="360" w:lineRule="auto"/>
        <w:jc w:val="both"/>
        <w:rPr>
          <w:b/>
          <w:bCs/>
        </w:rPr>
      </w:pPr>
      <w:r w:rsidRPr="00D301DC">
        <w:rPr>
          <w:rFonts w:ascii="Book Antiqua" w:eastAsia="Book Antiqua" w:hAnsi="Book Antiqua" w:cs="Book Antiqua"/>
          <w:b/>
          <w:bCs/>
          <w:i/>
          <w:iCs/>
          <w:color w:val="000000"/>
        </w:rPr>
        <w:t>Experimental grouping</w:t>
      </w:r>
    </w:p>
    <w:p w14:paraId="37DBF87E" w14:textId="2309C719" w:rsidR="001E58B4" w:rsidRPr="00D301DC" w:rsidRDefault="00000000">
      <w:pPr>
        <w:spacing w:line="360" w:lineRule="auto"/>
        <w:jc w:val="both"/>
      </w:pPr>
      <w:r w:rsidRPr="00D301DC">
        <w:rPr>
          <w:rFonts w:ascii="Book Antiqua" w:eastAsia="Book Antiqua" w:hAnsi="Book Antiqua" w:cs="Book Antiqua"/>
          <w:color w:val="000000"/>
        </w:rPr>
        <w:t xml:space="preserve">We evaluated the following subgroups to investigate the regulatory effects of NaHS in the NTS on gastric function and its underlying mechanisms. The chosen doses were </w:t>
      </w:r>
      <w:r w:rsidRPr="00D301DC">
        <w:rPr>
          <w:rFonts w:ascii="Book Antiqua" w:eastAsia="Book Antiqua" w:hAnsi="Book Antiqua" w:cs="Book Antiqua"/>
          <w:color w:val="000000"/>
        </w:rPr>
        <w:lastRenderedPageBreak/>
        <w:t>based on pre-experiments and relevant literature</w:t>
      </w:r>
      <w:r w:rsidRPr="00D301DC">
        <w:rPr>
          <w:rFonts w:ascii="Book Antiqua" w:eastAsia="Book Antiqua" w:hAnsi="Book Antiqua" w:cs="Book Antiqua"/>
          <w:color w:val="000000"/>
          <w:szCs w:val="30"/>
          <w:vertAlign w:val="superscript"/>
        </w:rPr>
        <w:t>[31]</w:t>
      </w:r>
      <w:r w:rsidRPr="00D301DC">
        <w:rPr>
          <w:rFonts w:ascii="Book Antiqua" w:eastAsia="Book Antiqua" w:hAnsi="Book Antiqua" w:cs="Book Antiqua"/>
          <w:color w:val="000000"/>
        </w:rPr>
        <w:t xml:space="preserve">: (1) The effect of microinjection of NaHS (0.1 µL, 4 nmol; </w:t>
      </w:r>
      <w:r w:rsidRPr="00D301DC">
        <w:rPr>
          <w:rFonts w:ascii="Book Antiqua" w:eastAsia="Book Antiqua" w:hAnsi="Book Antiqua" w:cs="Book Antiqua"/>
          <w:i/>
          <w:iCs/>
          <w:color w:val="000000"/>
        </w:rPr>
        <w:t>n</w:t>
      </w:r>
      <w:r w:rsidRPr="00D301DC">
        <w:rPr>
          <w:rFonts w:ascii="Book Antiqua" w:eastAsia="Book Antiqua" w:hAnsi="Book Antiqua" w:cs="Book Antiqua"/>
          <w:color w:val="000000"/>
        </w:rPr>
        <w:t xml:space="preserve"> = 6) in NTS on gastric motility; (2) the effect of microinjection of NaHS (0.1 µL, 8 nmol; </w:t>
      </w:r>
      <w:r w:rsidRPr="00D301DC">
        <w:rPr>
          <w:rFonts w:ascii="Book Antiqua" w:eastAsia="Book Antiqua" w:hAnsi="Book Antiqua" w:cs="Book Antiqua"/>
          <w:i/>
          <w:iCs/>
          <w:color w:val="000000"/>
        </w:rPr>
        <w:t>n</w:t>
      </w:r>
      <w:r w:rsidRPr="00D301DC">
        <w:rPr>
          <w:rFonts w:ascii="Book Antiqua" w:eastAsia="Book Antiqua" w:hAnsi="Book Antiqua" w:cs="Book Antiqua"/>
          <w:color w:val="000000"/>
        </w:rPr>
        <w:t xml:space="preserve"> = 6) in NTS on gastric motility; (3) the effect of microinjection of saline (0.1 µL; </w:t>
      </w:r>
      <w:r w:rsidRPr="00D301DC">
        <w:rPr>
          <w:rFonts w:ascii="Book Antiqua" w:eastAsia="Book Antiqua" w:hAnsi="Book Antiqua" w:cs="Book Antiqua"/>
          <w:i/>
          <w:iCs/>
          <w:color w:val="000000"/>
        </w:rPr>
        <w:t>n</w:t>
      </w:r>
      <w:r w:rsidRPr="00D301DC">
        <w:rPr>
          <w:rFonts w:ascii="Book Antiqua" w:eastAsia="Book Antiqua" w:hAnsi="Book Antiqua" w:cs="Book Antiqua"/>
          <w:color w:val="000000"/>
        </w:rPr>
        <w:t xml:space="preserve"> = 6) in NTS on gastric motility as a control group; (4) the effect of microinjection of NaHS (0.1 µL, 4 nmol) + PDTC (0.1 µL</w:t>
      </w:r>
      <w:r w:rsidRPr="00D301DC">
        <w:rPr>
          <w:rFonts w:ascii="Book Antiqua" w:eastAsia="宋体" w:hAnsi="Book Antiqua" w:cs="Book Antiqua" w:hint="eastAsia"/>
          <w:color w:val="000000"/>
          <w:lang w:eastAsia="zh-CN"/>
        </w:rPr>
        <w:t xml:space="preserve">; </w:t>
      </w:r>
      <w:r w:rsidRPr="00D301DC">
        <w:rPr>
          <w:rFonts w:ascii="Book Antiqua" w:eastAsia="Book Antiqua" w:hAnsi="Book Antiqua" w:cs="Book Antiqua"/>
          <w:i/>
          <w:iCs/>
          <w:color w:val="000000"/>
        </w:rPr>
        <w:t>n</w:t>
      </w:r>
      <w:r w:rsidRPr="00D301DC">
        <w:rPr>
          <w:rFonts w:ascii="Book Antiqua" w:eastAsia="Book Antiqua" w:hAnsi="Book Antiqua" w:cs="Book Antiqua"/>
          <w:color w:val="000000"/>
        </w:rPr>
        <w:t xml:space="preserve"> = 6) in NTS on gastric motility; (5) microinjection of NaHS (0.1 µL, 4 nmol) + Capsazepine (0.1 µL, 4 nmol</w:t>
      </w:r>
      <w:r w:rsidRPr="00D301DC">
        <w:rPr>
          <w:rFonts w:ascii="Book Antiqua" w:eastAsia="宋体" w:hAnsi="Book Antiqua" w:cs="Book Antiqua" w:hint="eastAsia"/>
          <w:color w:val="000000"/>
          <w:lang w:eastAsia="zh-CN"/>
        </w:rPr>
        <w:t xml:space="preserve">; </w:t>
      </w:r>
      <w:r w:rsidRPr="00D301DC">
        <w:rPr>
          <w:rFonts w:ascii="Book Antiqua" w:eastAsia="Book Antiqua" w:hAnsi="Book Antiqua" w:cs="Book Antiqua"/>
          <w:i/>
          <w:iCs/>
          <w:color w:val="000000"/>
        </w:rPr>
        <w:t>n</w:t>
      </w:r>
      <w:r w:rsidRPr="00D301DC">
        <w:rPr>
          <w:rFonts w:ascii="Book Antiqua" w:eastAsia="Book Antiqua" w:hAnsi="Book Antiqua" w:cs="Book Antiqua"/>
          <w:color w:val="000000"/>
        </w:rPr>
        <w:t xml:space="preserve"> = 6) in NTS on gastric motility; and (6) microinjection of NaHS (0.1 µL, 4 nmol) + L703606 (0.1 µL, 4 nmol</w:t>
      </w:r>
      <w:r w:rsidRPr="00D301DC">
        <w:rPr>
          <w:rFonts w:ascii="Book Antiqua" w:eastAsia="宋体" w:hAnsi="Book Antiqua" w:cs="Book Antiqua" w:hint="eastAsia"/>
          <w:color w:val="000000"/>
          <w:lang w:eastAsia="zh-CN"/>
        </w:rPr>
        <w:t xml:space="preserve">; </w:t>
      </w:r>
      <w:r w:rsidRPr="00D301DC">
        <w:rPr>
          <w:rFonts w:ascii="Book Antiqua" w:eastAsia="Book Antiqua" w:hAnsi="Book Antiqua" w:cs="Book Antiqua"/>
          <w:i/>
          <w:iCs/>
          <w:color w:val="000000"/>
        </w:rPr>
        <w:t>n</w:t>
      </w:r>
      <w:r w:rsidRPr="00D301DC">
        <w:rPr>
          <w:rFonts w:ascii="Book Antiqua" w:eastAsia="Book Antiqua" w:hAnsi="Book Antiqua" w:cs="Book Antiqua"/>
          <w:color w:val="000000"/>
        </w:rPr>
        <w:t xml:space="preserve"> = 6) in NTS on gastric motility.</w:t>
      </w:r>
    </w:p>
    <w:p w14:paraId="0CD8D078" w14:textId="77777777" w:rsidR="001E58B4" w:rsidRPr="00D301DC" w:rsidRDefault="001E58B4">
      <w:pPr>
        <w:spacing w:line="360" w:lineRule="auto"/>
        <w:jc w:val="both"/>
      </w:pPr>
    </w:p>
    <w:p w14:paraId="74C24523" w14:textId="77777777" w:rsidR="001E58B4" w:rsidRPr="00D301DC" w:rsidRDefault="00000000">
      <w:pPr>
        <w:spacing w:line="360" w:lineRule="auto"/>
        <w:jc w:val="both"/>
        <w:rPr>
          <w:b/>
          <w:bCs/>
        </w:rPr>
      </w:pPr>
      <w:r w:rsidRPr="00D301DC">
        <w:rPr>
          <w:rFonts w:ascii="Book Antiqua" w:eastAsia="Book Antiqua" w:hAnsi="Book Antiqua" w:cs="Book Antiqua"/>
          <w:b/>
          <w:bCs/>
          <w:i/>
          <w:iCs/>
          <w:color w:val="000000"/>
        </w:rPr>
        <w:t>Microinjection</w:t>
      </w:r>
    </w:p>
    <w:p w14:paraId="5BE33CBC" w14:textId="77777777" w:rsidR="001E58B4" w:rsidRPr="00D301DC" w:rsidRDefault="00000000">
      <w:pPr>
        <w:spacing w:line="360" w:lineRule="auto"/>
        <w:jc w:val="both"/>
      </w:pPr>
      <w:r w:rsidRPr="00D301DC">
        <w:rPr>
          <w:rFonts w:ascii="Book Antiqua" w:eastAsia="Book Antiqua" w:hAnsi="Book Antiqua" w:cs="Book Antiqua"/>
          <w:color w:val="000000"/>
        </w:rPr>
        <w:t>Before conducting the experiments, the rats were anesthetized with 4% chloral hydrate at (400 mg/kg body weight) by intraperitoneal injection until the eyelids and corneal reflexes disappeared, the muscles were relaxed, and the breathing was uniform. The anesthetized rat head was fixed on a brain stereotaxic apparatus (Stoelting 68002, Shenzhen Ruiwode Company, China).</w:t>
      </w:r>
    </w:p>
    <w:p w14:paraId="379DDD3A"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Next, the animal was fixed according to the rat brain stereotaxic atlas (Paxinos and Watson, 2007) using the three points of the animal’s bilateral inner ear holes and incisors. With the left and right ear rods reading the same, fontanelle and bregma were kept at the same level with an error of no more than 0.3 mm.</w:t>
      </w:r>
    </w:p>
    <w:p w14:paraId="3E3CC73F"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The head hair was removed with hair clippers to expose the scalp and disinfected with 75% alcohol. Then, the scalp was cut along the sagittal suture of the skull with ophthalmic clippers to expose the skull, the excess connective tissue around the skull was cut away, and the surface of the skull was gently wiped with saline until the fontanelle and herringbone suture were exposed. The three-dimensional coordinates of fontanelle were used as the zero point. A small hole of approximately 2 mm in diameter was drilled in the skull ipsilateral to the coordinates of the NTS center point (13.3 mm posterior to fontanelle, 0.8 mm paracentral opening, 7.9 mm subdural) in the atlas using an electric cranial drill. A glass microelectrode with a tip of approximately 30 μm was placed into the brain at the depth of the coordinates.</w:t>
      </w:r>
    </w:p>
    <w:p w14:paraId="3CB4992C" w14:textId="77777777" w:rsidR="001E58B4" w:rsidRPr="00D301DC" w:rsidRDefault="001E58B4">
      <w:pPr>
        <w:spacing w:line="360" w:lineRule="auto"/>
        <w:ind w:firstLine="240"/>
        <w:jc w:val="both"/>
      </w:pPr>
    </w:p>
    <w:p w14:paraId="77650C4A" w14:textId="77777777" w:rsidR="001E58B4" w:rsidRPr="00D301DC" w:rsidRDefault="00000000">
      <w:pPr>
        <w:spacing w:line="360" w:lineRule="auto"/>
        <w:jc w:val="both"/>
        <w:rPr>
          <w:b/>
          <w:bCs/>
        </w:rPr>
      </w:pPr>
      <w:r w:rsidRPr="00D301DC">
        <w:rPr>
          <w:rFonts w:ascii="Book Antiqua" w:eastAsia="Book Antiqua" w:hAnsi="Book Antiqua" w:cs="Book Antiqua"/>
          <w:b/>
          <w:bCs/>
          <w:i/>
          <w:iCs/>
          <w:color w:val="000000"/>
        </w:rPr>
        <w:t>Recording gastric motility</w:t>
      </w:r>
    </w:p>
    <w:p w14:paraId="7A9574E1" w14:textId="77777777" w:rsidR="001E58B4" w:rsidRPr="00D301DC" w:rsidRDefault="00000000">
      <w:pPr>
        <w:spacing w:line="360" w:lineRule="auto"/>
        <w:jc w:val="both"/>
      </w:pPr>
      <w:r w:rsidRPr="00D301DC">
        <w:rPr>
          <w:rFonts w:ascii="Book Antiqua" w:eastAsia="Book Antiqua" w:hAnsi="Book Antiqua" w:cs="Book Antiqua"/>
          <w:color w:val="000000"/>
        </w:rPr>
        <w:t>The anesthetized rats were placed abdomen side up, and a small incision was made in the fundus of the stomach to clean the gastric residue. A 5 mm diameter balloon filled with warm water was inserted into the pylorus of the gastric sinus and kept at a constant baseline pressure. The balloon inserted into the rat’s stomach was connected to the pressure transducer and BL-420 (Biological Function Experimental System; Chengdu Taimeng Company, China)</w:t>
      </w:r>
      <w:r w:rsidRPr="00D301DC">
        <w:rPr>
          <w:rFonts w:ascii="Book Antiqua" w:eastAsia="Book Antiqua" w:hAnsi="Book Antiqua" w:cs="Book Antiqua"/>
          <w:i/>
          <w:iCs/>
          <w:color w:val="000000"/>
        </w:rPr>
        <w:t xml:space="preserve"> via </w:t>
      </w:r>
      <w:r w:rsidRPr="00D301DC">
        <w:rPr>
          <w:rFonts w:ascii="Book Antiqua" w:eastAsia="Book Antiqua" w:hAnsi="Book Antiqua" w:cs="Book Antiqua"/>
          <w:color w:val="000000"/>
        </w:rPr>
        <w:t>a polyethylene plastic tube. The stimulation parameters of the transducer were adjusted to 25 mm/min speed, 0.5 mV/cm sensitivity, and 10 Hz filter. Once the gastric motility curve was stabilized, the drug’s microinjections and contaminate sky blue were administered. A heat lamp was used throughout the experiment to maintain a constant ambient temperature, and gastric motility was recorded.</w:t>
      </w:r>
    </w:p>
    <w:p w14:paraId="52B1E1A2" w14:textId="77777777" w:rsidR="001E58B4" w:rsidRPr="00D301DC" w:rsidRDefault="001E58B4">
      <w:pPr>
        <w:spacing w:line="360" w:lineRule="auto"/>
        <w:jc w:val="both"/>
      </w:pPr>
    </w:p>
    <w:p w14:paraId="0D29F479" w14:textId="77777777" w:rsidR="001E58B4" w:rsidRPr="00D301DC" w:rsidRDefault="00000000">
      <w:pPr>
        <w:spacing w:line="360" w:lineRule="auto"/>
        <w:jc w:val="both"/>
        <w:rPr>
          <w:b/>
          <w:bCs/>
        </w:rPr>
      </w:pPr>
      <w:r w:rsidRPr="00D301DC">
        <w:rPr>
          <w:rFonts w:ascii="Book Antiqua" w:eastAsia="Book Antiqua" w:hAnsi="Book Antiqua" w:cs="Book Antiqua"/>
          <w:b/>
          <w:bCs/>
          <w:i/>
          <w:iCs/>
          <w:color w:val="000000"/>
        </w:rPr>
        <w:t>Histological identification of the microinjection site</w:t>
      </w:r>
    </w:p>
    <w:p w14:paraId="1D9479A9" w14:textId="77777777" w:rsidR="001E58B4" w:rsidRPr="00D301DC" w:rsidRDefault="00000000">
      <w:pPr>
        <w:spacing w:line="360" w:lineRule="auto"/>
        <w:jc w:val="both"/>
      </w:pPr>
      <w:r w:rsidRPr="00D301DC">
        <w:rPr>
          <w:rFonts w:ascii="Book Antiqua" w:eastAsia="Book Antiqua" w:hAnsi="Book Antiqua" w:cs="Book Antiqua"/>
          <w:color w:val="000000"/>
        </w:rPr>
        <w:t>After gastric motility recording, 2% pontamine sky blue (0.1 µL) was injected into the NTS, the rats were executed with an excess of sodium pentobarbital, and the thorax was opened for cardiac perfusion. After perfusion, the heads of the rats were cut off, and the brain tissues were removed and placed in a 4% formaldehyde solution for fixation.</w:t>
      </w:r>
    </w:p>
    <w:p w14:paraId="640C089B"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Subsequently, the brain tissues were frozen at -16 °C for 30 min and sectioned into successive coronal sections with a thickness of 16 μm. The brainstem sections were stained, allowing for the identification of injection sites. The brain slices on slides were treated with a neutral red stain and dehydrated to achieve transparency. The sections were observed and photographed using a microscope (Nikon Optiphot, Nikon, Shanghai, China) and photographed with a digital camera (Magnafire; Optronics, Goleta, CA, United States) connected to a computer. The blue dot marking the precise location of the NTS was identified for further statistical analysis.</w:t>
      </w:r>
    </w:p>
    <w:p w14:paraId="3CB315B3" w14:textId="77777777" w:rsidR="001E58B4" w:rsidRPr="00D301DC" w:rsidRDefault="001E58B4">
      <w:pPr>
        <w:spacing w:line="360" w:lineRule="auto"/>
        <w:ind w:firstLine="240"/>
        <w:jc w:val="both"/>
      </w:pPr>
    </w:p>
    <w:p w14:paraId="3D544360" w14:textId="77777777" w:rsidR="001E58B4" w:rsidRPr="00D301DC" w:rsidRDefault="00000000">
      <w:pPr>
        <w:spacing w:line="360" w:lineRule="auto"/>
        <w:jc w:val="both"/>
        <w:rPr>
          <w:b/>
          <w:bCs/>
        </w:rPr>
      </w:pPr>
      <w:r w:rsidRPr="00D301DC">
        <w:rPr>
          <w:rFonts w:ascii="Book Antiqua" w:eastAsia="Book Antiqua" w:hAnsi="Book Antiqua" w:cs="Book Antiqua"/>
          <w:b/>
          <w:bCs/>
          <w:i/>
          <w:iCs/>
          <w:color w:val="000000"/>
        </w:rPr>
        <w:t>Data analysis and statistics</w:t>
      </w:r>
    </w:p>
    <w:p w14:paraId="64A9A16D" w14:textId="77777777" w:rsidR="001E58B4" w:rsidRPr="00D301DC" w:rsidRDefault="00000000">
      <w:pPr>
        <w:spacing w:line="360" w:lineRule="auto"/>
        <w:jc w:val="both"/>
      </w:pPr>
      <w:r w:rsidRPr="00D301DC">
        <w:rPr>
          <w:rFonts w:ascii="Book Antiqua" w:eastAsia="Book Antiqua" w:hAnsi="Book Antiqua" w:cs="Book Antiqua"/>
          <w:color w:val="000000"/>
        </w:rPr>
        <w:lastRenderedPageBreak/>
        <w:t>The gastric motility of the rats was assessed by counting the number of contractions before and 5 min after injection were counted respectively. The total duration of contraction waves (T.D.C.W) within 5 min, the total amplitude of contraction waves (T.A.C.W) within 5 min and the gastric motility index (the product of amplitude and duration) before and after the 5-min microinjection were evaluated statistically. To calculate the inhibition rate of gastric motility, the following formula was used: Inhibition rate (%) = (pre-injection value-post-injection value) × 100%/pre-injection value. The height between the highest point of the contraction curve and the baseline is the amplitude of the contraction wave. The time duration between the starting point and the ending point of the contraction wave is the time duration of the contraction wave.</w:t>
      </w:r>
    </w:p>
    <w:p w14:paraId="5AA2AD7C"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 xml:space="preserve">Statistical analysis was performed using SPSS v25.0 (IBM SPSS Inc., Chicago, IL, United States) using Student’s </w:t>
      </w:r>
      <w:r w:rsidRPr="00D301DC">
        <w:rPr>
          <w:rFonts w:ascii="Book Antiqua" w:eastAsia="Book Antiqua" w:hAnsi="Book Antiqua" w:cs="Book Antiqua"/>
          <w:i/>
          <w:iCs/>
          <w:color w:val="000000"/>
        </w:rPr>
        <w:t>t</w:t>
      </w:r>
      <w:r w:rsidRPr="00D301DC">
        <w:rPr>
          <w:rFonts w:ascii="Book Antiqua" w:eastAsia="Book Antiqua" w:hAnsi="Book Antiqua" w:cs="Book Antiqua"/>
          <w:color w:val="000000"/>
        </w:rPr>
        <w:t xml:space="preserve">-test or one-way ANOVA, followed by a posthoc test using the Student-Newman-Keuls test. All data are presented as mean ± SE. A </w:t>
      </w:r>
      <w:r w:rsidRPr="00D301DC">
        <w:rPr>
          <w:rFonts w:ascii="Book Antiqua" w:eastAsia="Book Antiqua" w:hAnsi="Book Antiqua" w:cs="Book Antiqua"/>
          <w:i/>
          <w:iCs/>
          <w:color w:val="000000"/>
        </w:rPr>
        <w:t xml:space="preserve">P </w:t>
      </w:r>
      <w:r w:rsidRPr="00D301DC">
        <w:rPr>
          <w:rFonts w:ascii="Book Antiqua" w:eastAsia="Book Antiqua" w:hAnsi="Book Antiqua" w:cs="Book Antiqua"/>
          <w:color w:val="000000"/>
        </w:rPr>
        <w:t>value less than 0.05 was considered statistically significant.</w:t>
      </w:r>
    </w:p>
    <w:p w14:paraId="2DE6548D" w14:textId="77777777" w:rsidR="001E58B4" w:rsidRPr="00D301DC" w:rsidRDefault="001E58B4">
      <w:pPr>
        <w:spacing w:line="360" w:lineRule="auto"/>
        <w:ind w:firstLine="240"/>
        <w:jc w:val="both"/>
      </w:pPr>
    </w:p>
    <w:p w14:paraId="78466B47" w14:textId="77777777" w:rsidR="001E58B4" w:rsidRPr="00D301DC" w:rsidRDefault="00000000">
      <w:pPr>
        <w:spacing w:line="360" w:lineRule="auto"/>
        <w:jc w:val="both"/>
      </w:pPr>
      <w:r w:rsidRPr="00D301DC">
        <w:rPr>
          <w:rFonts w:ascii="Book Antiqua" w:eastAsia="Book Antiqua" w:hAnsi="Book Antiqua" w:cs="Book Antiqua"/>
          <w:b/>
          <w:caps/>
          <w:color w:val="000000"/>
          <w:u w:val="single"/>
        </w:rPr>
        <w:t>RESULTS</w:t>
      </w:r>
    </w:p>
    <w:p w14:paraId="408E7CA0" w14:textId="77777777" w:rsidR="001E58B4" w:rsidRPr="00D301DC" w:rsidRDefault="00000000">
      <w:pPr>
        <w:spacing w:line="360" w:lineRule="auto"/>
        <w:jc w:val="both"/>
        <w:rPr>
          <w:b/>
          <w:bCs/>
        </w:rPr>
      </w:pPr>
      <w:r w:rsidRPr="00D301DC">
        <w:rPr>
          <w:rFonts w:ascii="Book Antiqua" w:eastAsia="Book Antiqua" w:hAnsi="Book Antiqua" w:cs="Book Antiqua"/>
          <w:b/>
          <w:bCs/>
          <w:i/>
          <w:iCs/>
          <w:color w:val="000000"/>
        </w:rPr>
        <w:t>Observation of c-Fos and CBS expression in NTS at different times in RWIS</w:t>
      </w:r>
    </w:p>
    <w:p w14:paraId="354FED74" w14:textId="77777777" w:rsidR="001E58B4" w:rsidRPr="00D301DC" w:rsidRDefault="00000000">
      <w:pPr>
        <w:spacing w:line="360" w:lineRule="auto"/>
        <w:jc w:val="both"/>
      </w:pPr>
      <w:r w:rsidRPr="00D301DC">
        <w:rPr>
          <w:rFonts w:ascii="Book Antiqua" w:eastAsia="Book Antiqua" w:hAnsi="Book Antiqua" w:cs="Book Antiqua"/>
          <w:color w:val="000000"/>
        </w:rPr>
        <w:t xml:space="preserve">In this experiment, the number of CBS and c-Fos co-expressing neurons in the NTS (Figure 1, </w:t>
      </w:r>
      <w:r w:rsidRPr="00D301DC">
        <w:rPr>
          <w:rFonts w:ascii="Book Antiqua" w:eastAsia="Book Antiqua" w:hAnsi="Book Antiqua" w:cs="Book Antiqua"/>
          <w:i/>
          <w:iCs/>
          <w:color w:val="000000"/>
        </w:rPr>
        <w:t>n</w:t>
      </w:r>
      <w:r w:rsidRPr="00D301DC">
        <w:rPr>
          <w:rFonts w:ascii="Book Antiqua" w:eastAsia="Book Antiqua" w:hAnsi="Book Antiqua" w:cs="Book Antiqua"/>
          <w:color w:val="000000"/>
        </w:rPr>
        <w:t xml:space="preserve"> = 6) was revealed by immunohistochemical fluorescence double-labeling. The expression of c-Fos protein in the NTS showed varying degrees of increase at 1 h (7.00 ± 0.37) and 3 h (4.83 ± 0.31) after RWIS compared to the control group at 0 h (1.83 ± 0.30)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&lt; 0.01). This finding indicates that CBS neurons in the NTS of rats were activated during the RWIS procedure.</w:t>
      </w:r>
    </w:p>
    <w:p w14:paraId="5655411F" w14:textId="77777777" w:rsidR="001E58B4" w:rsidRPr="00D301DC" w:rsidRDefault="001E58B4">
      <w:pPr>
        <w:spacing w:line="360" w:lineRule="auto"/>
        <w:jc w:val="both"/>
      </w:pPr>
    </w:p>
    <w:p w14:paraId="1FB03521" w14:textId="77777777" w:rsidR="001E58B4" w:rsidRPr="00D301DC" w:rsidRDefault="00000000">
      <w:pPr>
        <w:spacing w:line="360" w:lineRule="auto"/>
        <w:jc w:val="both"/>
        <w:rPr>
          <w:b/>
          <w:bCs/>
        </w:rPr>
      </w:pPr>
      <w:r w:rsidRPr="00D301DC">
        <w:rPr>
          <w:rFonts w:ascii="Book Antiqua" w:eastAsia="Book Antiqua" w:hAnsi="Book Antiqua" w:cs="Book Antiqua"/>
          <w:b/>
          <w:bCs/>
          <w:i/>
          <w:iCs/>
          <w:color w:val="000000"/>
        </w:rPr>
        <w:t>NTS injection site identification</w:t>
      </w:r>
    </w:p>
    <w:p w14:paraId="45F2F7EC" w14:textId="77777777" w:rsidR="001E58B4" w:rsidRPr="00D301DC" w:rsidRDefault="00000000">
      <w:pPr>
        <w:spacing w:line="360" w:lineRule="auto"/>
        <w:jc w:val="both"/>
      </w:pPr>
      <w:r w:rsidRPr="00D301DC">
        <w:rPr>
          <w:rFonts w:ascii="Book Antiqua" w:eastAsia="Book Antiqua" w:hAnsi="Book Antiqua" w:cs="Book Antiqua"/>
          <w:color w:val="000000"/>
        </w:rPr>
        <w:t xml:space="preserve">Following neutral red staining, the brain slices were examined under a light microscope to determine the localization of the injected blue spots and drugs within the NTS. The </w:t>
      </w:r>
      <w:r w:rsidRPr="00D301DC">
        <w:rPr>
          <w:rFonts w:ascii="Book Antiqua" w:eastAsia="Book Antiqua" w:hAnsi="Book Antiqua" w:cs="Book Antiqua"/>
          <w:color w:val="000000"/>
        </w:rPr>
        <w:lastRenderedPageBreak/>
        <w:t>observed data regarding the gastric motility of rats in the correct position were analyzed. Figure 2 presents the diagram for identifying the degree of tissue localization.</w:t>
      </w:r>
    </w:p>
    <w:p w14:paraId="151DF6C6" w14:textId="77777777" w:rsidR="001E58B4" w:rsidRPr="00D301DC" w:rsidRDefault="001E58B4">
      <w:pPr>
        <w:spacing w:line="360" w:lineRule="auto"/>
        <w:jc w:val="both"/>
      </w:pPr>
    </w:p>
    <w:p w14:paraId="3990BBD5" w14:textId="77777777" w:rsidR="001E58B4" w:rsidRPr="00D301DC" w:rsidRDefault="00000000">
      <w:pPr>
        <w:spacing w:line="360" w:lineRule="auto"/>
        <w:jc w:val="both"/>
        <w:rPr>
          <w:b/>
          <w:bCs/>
        </w:rPr>
      </w:pPr>
      <w:r w:rsidRPr="00D301DC">
        <w:rPr>
          <w:rFonts w:ascii="Book Antiqua" w:eastAsia="Book Antiqua" w:hAnsi="Book Antiqua" w:cs="Book Antiqua"/>
          <w:b/>
          <w:bCs/>
          <w:i/>
          <w:iCs/>
          <w:color w:val="000000"/>
        </w:rPr>
        <w:t>NaHS inhibits gastrointestinal motility within NTS</w:t>
      </w:r>
    </w:p>
    <w:p w14:paraId="0082B32C" w14:textId="77777777" w:rsidR="001E58B4" w:rsidRPr="00D301DC" w:rsidRDefault="00000000">
      <w:pPr>
        <w:spacing w:line="360" w:lineRule="auto"/>
        <w:jc w:val="both"/>
      </w:pPr>
      <w:r w:rsidRPr="00D301DC">
        <w:rPr>
          <w:rFonts w:ascii="Book Antiqua" w:eastAsia="Book Antiqua" w:hAnsi="Book Antiqua" w:cs="Book Antiqua"/>
          <w:color w:val="000000"/>
        </w:rPr>
        <w:t xml:space="preserve">The microinjection of physiological saline (PS) (0.1 µL, </w:t>
      </w:r>
      <w:r w:rsidRPr="00D301DC">
        <w:rPr>
          <w:rFonts w:ascii="Book Antiqua" w:eastAsia="Book Antiqua" w:hAnsi="Book Antiqua" w:cs="Book Antiqua"/>
          <w:i/>
          <w:iCs/>
          <w:color w:val="000000"/>
        </w:rPr>
        <w:t>n</w:t>
      </w:r>
      <w:r w:rsidRPr="00D301DC">
        <w:rPr>
          <w:rFonts w:ascii="Book Antiqua" w:eastAsia="Book Antiqua" w:hAnsi="Book Antiqua" w:cs="Book Antiqua"/>
          <w:color w:val="000000"/>
        </w:rPr>
        <w:t xml:space="preserve"> = 6) under the same conditions did not produce a significant change in gastric motility (Figure 3A). In contrast, the microinjection of NaHS at different concentrations (4 nmol and 8 nmol, 0.1 µL, </w:t>
      </w:r>
      <w:r w:rsidRPr="00D301DC">
        <w:rPr>
          <w:rFonts w:ascii="Book Antiqua" w:eastAsia="Book Antiqua" w:hAnsi="Book Antiqua" w:cs="Book Antiqua"/>
          <w:i/>
          <w:iCs/>
          <w:color w:val="000000"/>
        </w:rPr>
        <w:t>n</w:t>
      </w:r>
      <w:r w:rsidRPr="00D301DC">
        <w:rPr>
          <w:rFonts w:ascii="Book Antiqua" w:eastAsia="Book Antiqua" w:hAnsi="Book Antiqua" w:cs="Book Antiqua"/>
          <w:color w:val="000000"/>
        </w:rPr>
        <w:t xml:space="preserve"> = 6) into the rat NTS resulted in significant inhibition of gastric motility (Figure 3B and C).</w:t>
      </w:r>
    </w:p>
    <w:p w14:paraId="31205BD4"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We compared gastric motility curves measured before and 5 min after the drug injection and after 4 nmol NaHS injection in the NTS. The T.A.C.W. decreased from 553.08 mm 5 min</w:t>
      </w:r>
      <w:r w:rsidRPr="00D301DC">
        <w:rPr>
          <w:rFonts w:ascii="Book Antiqua" w:eastAsia="Book Antiqua" w:hAnsi="Book Antiqua" w:cs="Book Antiqua"/>
          <w:color w:val="000000"/>
          <w:szCs w:val="30"/>
          <w:vertAlign w:val="superscript"/>
        </w:rPr>
        <w:t xml:space="preserve">-1 </w:t>
      </w:r>
      <w:r w:rsidRPr="00D301DC">
        <w:rPr>
          <w:rFonts w:ascii="Book Antiqua" w:eastAsia="Book Antiqua" w:hAnsi="Book Antiqua" w:cs="Book Antiqua"/>
          <w:color w:val="000000"/>
        </w:rPr>
        <w:t>± 9.59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to 421.30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10.58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&lt; 0.01). The T.D.C.W. decreased from 179.79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13.33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to 132.56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6.67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&lt; 0.01), and the gastric motility index (G.M.I.) decreased from 5219.88 ± 182.11 to 4250.28 ± 159.03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&lt; 0.01). At a NTS microinjection dose of 8 nmol NaHS, the T.A.C.W. decreased from 587.62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9.58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to 407.44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10.61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&lt; 0.01) and the T.D.C.W. decreased from 234.11</w:t>
      </w:r>
      <w:r w:rsidRPr="00D301DC">
        <w:rPr>
          <w:rFonts w:ascii="Book Antiqua" w:eastAsia="宋体" w:hAnsi="Book Antiqua" w:cs="Book Antiqua" w:hint="eastAsia"/>
          <w:color w:val="000000"/>
          <w:lang w:eastAsia="zh-CN"/>
        </w:rPr>
        <w:t xml:space="preserve"> </w:t>
      </w:r>
      <w:r w:rsidRPr="00D301DC">
        <w:rPr>
          <w:rFonts w:ascii="Book Antiqua" w:eastAsia="Book Antiqua" w:hAnsi="Book Antiqua" w:cs="Book Antiqua"/>
          <w:color w:val="000000"/>
        </w:rPr>
        <w:t>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11.74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to 145.13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3.93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&lt; 0.01) and the G.M.I. decreased from 5906.07 ± 181.71 to 4105.60 ± 49.35. After PS injection in the NTS, the T.A.C.W. decreased from 468.72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6.42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to 467.34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5.04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&gt; 0.05), the T.D.C.W. from 236.96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8.51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to 232.38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16.31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&gt; 0.05), and the G.M.I. from 5797.17 ± 141.87 to 5778.08 ± 125.32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&gt; 0.05) (Figure 4A-C).</w:t>
      </w:r>
    </w:p>
    <w:p w14:paraId="416F9A60"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 xml:space="preserve">The inhibition rates of the T.A.C.W. in the 4 nmol NaHS, 8 nmol NaHS, and saline groups were 23.83%, 30.69%, and 0.27%, respectively. The inhibition rates of T.D.C.W. in the 4 nmol NaHS, 8 nmol NaHS, and saline groups were 26.21%, 37.43%, and 2.06%, respectively. The inhibition rates of G.M.I. in the 4 nmol NaHS, 8 nmol NaHS, and saline groups were 18.55%, 30.17%, and 0.30%, respectively (Figure 4D). The data indicated that the inhibition rates of T.A.C.W., T.D.C.W., and G.M.I. were significantly </w:t>
      </w:r>
      <w:r w:rsidRPr="00D301DC">
        <w:rPr>
          <w:rFonts w:ascii="Book Antiqua" w:eastAsia="Book Antiqua" w:hAnsi="Book Antiqua" w:cs="Book Antiqua"/>
          <w:color w:val="000000"/>
        </w:rPr>
        <w:lastRenderedPageBreak/>
        <w:t>higher in the 8 nmol NaHS group compared to the 4 nmol NaHS group. These findings suggest a dose-dependent inhibitory effect of NTS injection of NaHS on gastric motility.</w:t>
      </w:r>
    </w:p>
    <w:p w14:paraId="7182295B" w14:textId="77777777" w:rsidR="001E58B4" w:rsidRPr="00D301DC" w:rsidRDefault="001E58B4">
      <w:pPr>
        <w:spacing w:line="360" w:lineRule="auto"/>
        <w:ind w:firstLine="240"/>
        <w:jc w:val="both"/>
      </w:pPr>
    </w:p>
    <w:p w14:paraId="29796D5D" w14:textId="77777777" w:rsidR="001E58B4" w:rsidRPr="00D301DC" w:rsidRDefault="00000000">
      <w:pPr>
        <w:spacing w:line="360" w:lineRule="auto"/>
        <w:jc w:val="both"/>
        <w:rPr>
          <w:b/>
          <w:bCs/>
        </w:rPr>
      </w:pPr>
      <w:r w:rsidRPr="00D301DC">
        <w:rPr>
          <w:rFonts w:ascii="Book Antiqua" w:eastAsia="Book Antiqua" w:hAnsi="Book Antiqua" w:cs="Book Antiqua"/>
          <w:b/>
          <w:bCs/>
          <w:i/>
          <w:iCs/>
          <w:color w:val="000000"/>
        </w:rPr>
        <w:t>PDTC eliminates the inhibitory effect of NaHS on gastric motility</w:t>
      </w:r>
    </w:p>
    <w:p w14:paraId="32655271" w14:textId="77777777" w:rsidR="001E58B4" w:rsidRPr="00D301DC" w:rsidRDefault="00000000">
      <w:pPr>
        <w:spacing w:line="360" w:lineRule="auto"/>
        <w:jc w:val="both"/>
      </w:pPr>
      <w:r w:rsidRPr="00D301DC">
        <w:rPr>
          <w:rFonts w:ascii="Book Antiqua" w:eastAsia="Book Antiqua" w:hAnsi="Book Antiqua" w:cs="Book Antiqua"/>
          <w:color w:val="000000"/>
        </w:rPr>
        <w:t xml:space="preserve">Injection of PDTC followed by NaHS into the NTS eliminated the inhibitory effect of NaHS on gastric motility (Figure 5A, </w:t>
      </w:r>
      <w:r w:rsidRPr="00D301DC">
        <w:rPr>
          <w:rFonts w:ascii="Book Antiqua" w:eastAsia="Book Antiqua" w:hAnsi="Book Antiqua" w:cs="Book Antiqua"/>
          <w:i/>
          <w:iCs/>
          <w:color w:val="000000"/>
        </w:rPr>
        <w:t>n</w:t>
      </w:r>
      <w:r w:rsidRPr="00D301DC">
        <w:rPr>
          <w:rFonts w:ascii="Book Antiqua" w:eastAsia="Book Antiqua" w:hAnsi="Book Antiqua" w:cs="Book Antiqua"/>
          <w:color w:val="000000"/>
        </w:rPr>
        <w:t xml:space="preserve"> = 6). The T.A.C.W. changed from 500.15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7.56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to 491.06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17.19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&gt; 0.05), the T.D.C.W. changed from 169.84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3.40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&gt; 0.05), and the G.M.I. changed from 5494.78 ± 140.32 to 5490.60 ± 88.80 after PDTC followed by NaHS injection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&gt; 0.05) (Figure 5B-D). These data suggest that NaHS can regulate gastric motility through the NF-κB signaling pathway.</w:t>
      </w:r>
    </w:p>
    <w:p w14:paraId="741881BA" w14:textId="77777777" w:rsidR="001E58B4" w:rsidRPr="00D301DC" w:rsidRDefault="001E58B4">
      <w:pPr>
        <w:spacing w:line="360" w:lineRule="auto"/>
        <w:jc w:val="both"/>
      </w:pPr>
    </w:p>
    <w:p w14:paraId="6B35C41D" w14:textId="77777777" w:rsidR="001E58B4" w:rsidRPr="00D301DC" w:rsidRDefault="00000000">
      <w:pPr>
        <w:spacing w:line="360" w:lineRule="auto"/>
        <w:jc w:val="both"/>
        <w:rPr>
          <w:b/>
          <w:bCs/>
        </w:rPr>
      </w:pPr>
      <w:r w:rsidRPr="00D301DC">
        <w:rPr>
          <w:rFonts w:ascii="Book Antiqua" w:eastAsia="Book Antiqua" w:hAnsi="Book Antiqua" w:cs="Book Antiqua"/>
          <w:b/>
          <w:bCs/>
          <w:i/>
          <w:iCs/>
          <w:color w:val="000000"/>
        </w:rPr>
        <w:t>Capsazepine eliminates the inhibitory effect of NaHS on gastric motility</w:t>
      </w:r>
    </w:p>
    <w:p w14:paraId="08B17D02" w14:textId="77777777" w:rsidR="001E58B4" w:rsidRPr="00D301DC" w:rsidRDefault="00000000">
      <w:pPr>
        <w:spacing w:line="360" w:lineRule="auto"/>
        <w:jc w:val="both"/>
      </w:pPr>
      <w:r w:rsidRPr="00D301DC">
        <w:rPr>
          <w:rFonts w:ascii="Book Antiqua" w:eastAsia="Book Antiqua" w:hAnsi="Book Antiqua" w:cs="Book Antiqua"/>
          <w:color w:val="000000"/>
        </w:rPr>
        <w:t xml:space="preserve">Injection of Capsazepine followed by NaHS into the NTS eliminated the inhibitory effect of NaHS on gastric motility (Figure 6A, </w:t>
      </w:r>
      <w:r w:rsidRPr="00D301DC">
        <w:rPr>
          <w:rFonts w:ascii="Book Antiqua" w:eastAsia="Book Antiqua" w:hAnsi="Book Antiqua" w:cs="Book Antiqua"/>
          <w:i/>
          <w:iCs/>
          <w:color w:val="000000"/>
        </w:rPr>
        <w:t>n</w:t>
      </w:r>
      <w:r w:rsidRPr="00D301DC">
        <w:rPr>
          <w:rFonts w:ascii="Book Antiqua" w:eastAsia="Book Antiqua" w:hAnsi="Book Antiqua" w:cs="Book Antiqua"/>
          <w:color w:val="000000"/>
        </w:rPr>
        <w:t xml:space="preserve"> = 6). As a result, the T.A.C.W. changed from 514.46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6.56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to 523.87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9.21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&gt; 0.05), the T.D.C.W. changed from 175.90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4.22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to 172.13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4.68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&gt; 0.05), and the G.M.I. changed from 5932.97 ± 104.93 to 5946.45 ± 184.14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&gt; 0.05) (Figure 6B-D). These data suggest that NaHS can regulate gastric motility through TRPV1 channels.</w:t>
      </w:r>
    </w:p>
    <w:p w14:paraId="1C155B91" w14:textId="77777777" w:rsidR="001E58B4" w:rsidRPr="00D301DC" w:rsidRDefault="001E58B4">
      <w:pPr>
        <w:spacing w:line="360" w:lineRule="auto"/>
        <w:jc w:val="both"/>
      </w:pPr>
    </w:p>
    <w:p w14:paraId="7A669919" w14:textId="77777777" w:rsidR="001E58B4" w:rsidRPr="00D301DC" w:rsidRDefault="00000000">
      <w:pPr>
        <w:spacing w:line="360" w:lineRule="auto"/>
        <w:jc w:val="both"/>
        <w:rPr>
          <w:b/>
          <w:bCs/>
        </w:rPr>
      </w:pPr>
      <w:r w:rsidRPr="00D301DC">
        <w:rPr>
          <w:rFonts w:ascii="Book Antiqua" w:eastAsia="Book Antiqua" w:hAnsi="Book Antiqua" w:cs="Book Antiqua"/>
          <w:b/>
          <w:bCs/>
          <w:i/>
          <w:iCs/>
          <w:color w:val="000000"/>
        </w:rPr>
        <w:t>L703606 eliminates the inhibitory effect of NaHS on gastric motility</w:t>
      </w:r>
    </w:p>
    <w:p w14:paraId="4D0C429A" w14:textId="77777777" w:rsidR="001E58B4" w:rsidRPr="00D301DC" w:rsidRDefault="00000000">
      <w:pPr>
        <w:spacing w:line="360" w:lineRule="auto"/>
        <w:jc w:val="both"/>
      </w:pPr>
      <w:r w:rsidRPr="00D301DC">
        <w:rPr>
          <w:rFonts w:ascii="Book Antiqua" w:eastAsia="Book Antiqua" w:hAnsi="Book Antiqua" w:cs="Book Antiqua"/>
          <w:color w:val="000000"/>
        </w:rPr>
        <w:t xml:space="preserve">Injection of L703606 followed by NaHS into the NTS eliminated the inhibitory effect of NaHS on gastric motility (Figure 7A, </w:t>
      </w:r>
      <w:r w:rsidRPr="00D301DC">
        <w:rPr>
          <w:rFonts w:ascii="Book Antiqua" w:eastAsia="Book Antiqua" w:hAnsi="Book Antiqua" w:cs="Book Antiqua"/>
          <w:i/>
          <w:iCs/>
          <w:color w:val="000000"/>
        </w:rPr>
        <w:t>n</w:t>
      </w:r>
      <w:r w:rsidRPr="00D301DC">
        <w:rPr>
          <w:rFonts w:ascii="Book Antiqua" w:eastAsia="Book Antiqua" w:hAnsi="Book Antiqua" w:cs="Book Antiqua"/>
          <w:color w:val="000000"/>
        </w:rPr>
        <w:t xml:space="preserve"> = 6). The T.A.C.W. changed from 494.46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11.86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to 490.53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14.00 mm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&gt; 0.05), the T.D.C.W. changed from 164.10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5.53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to 158.39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 10.64 s 5 min</w:t>
      </w:r>
      <w:r w:rsidRPr="00D301DC">
        <w:rPr>
          <w:rFonts w:ascii="Book Antiqua" w:eastAsia="Book Antiqua" w:hAnsi="Book Antiqua" w:cs="Book Antiqua"/>
          <w:color w:val="000000"/>
          <w:szCs w:val="30"/>
          <w:vertAlign w:val="superscript"/>
        </w:rPr>
        <w:t>-1</w:t>
      </w:r>
      <w:r w:rsidRPr="00D301DC">
        <w:rPr>
          <w:rFonts w:ascii="Book Antiqua" w:eastAsia="Book Antiqua" w:hAnsi="Book Antiqua" w:cs="Book Antiqua"/>
          <w:color w:val="000000"/>
        </w:rPr>
        <w:t xml:space="preserve">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&gt; 0.05), and the G.M.I. changed from 5827.59 ± 133.74 to 5762.80 ± 114.34 (</w:t>
      </w:r>
      <w:r w:rsidRPr="00D301DC">
        <w:rPr>
          <w:rFonts w:ascii="Book Antiqua" w:eastAsia="Book Antiqua" w:hAnsi="Book Antiqua" w:cs="Book Antiqua"/>
          <w:i/>
          <w:iCs/>
          <w:color w:val="000000"/>
        </w:rPr>
        <w:t>P</w:t>
      </w:r>
      <w:r w:rsidRPr="00D301DC">
        <w:rPr>
          <w:rFonts w:ascii="Book Antiqua" w:eastAsia="Book Antiqua" w:hAnsi="Book Antiqua" w:cs="Book Antiqua"/>
          <w:color w:val="000000"/>
        </w:rPr>
        <w:t xml:space="preserve"> &gt; 0.05) (Figure 7B-D). These data suggest that NaHS can act on NK1 receptors to regulate gastric motility.</w:t>
      </w:r>
    </w:p>
    <w:p w14:paraId="6A63E4C9" w14:textId="77777777" w:rsidR="001E58B4" w:rsidRPr="00D301DC" w:rsidRDefault="001E58B4">
      <w:pPr>
        <w:spacing w:line="360" w:lineRule="auto"/>
        <w:jc w:val="both"/>
      </w:pPr>
    </w:p>
    <w:p w14:paraId="154CE0DE" w14:textId="77777777" w:rsidR="001E58B4" w:rsidRPr="00D301DC" w:rsidRDefault="00000000">
      <w:pPr>
        <w:spacing w:line="360" w:lineRule="auto"/>
        <w:jc w:val="both"/>
      </w:pPr>
      <w:r w:rsidRPr="00D301DC">
        <w:rPr>
          <w:rFonts w:ascii="Book Antiqua" w:eastAsia="Book Antiqua" w:hAnsi="Book Antiqua" w:cs="Book Antiqua"/>
          <w:b/>
          <w:caps/>
          <w:color w:val="000000"/>
          <w:u w:val="single"/>
        </w:rPr>
        <w:t>DISCUSSION</w:t>
      </w:r>
    </w:p>
    <w:p w14:paraId="415B6310" w14:textId="77777777" w:rsidR="001E58B4" w:rsidRPr="00D301DC" w:rsidRDefault="00000000">
      <w:pPr>
        <w:spacing w:line="360" w:lineRule="auto"/>
        <w:jc w:val="both"/>
      </w:pPr>
      <w:r w:rsidRPr="00D301DC">
        <w:rPr>
          <w:rFonts w:ascii="Book Antiqua" w:eastAsia="Book Antiqua" w:hAnsi="Book Antiqua" w:cs="Book Antiqua"/>
          <w:color w:val="000000"/>
        </w:rPr>
        <w:t>Endogenous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concentrations in the brain range between 10 nM and 160 nM</w:t>
      </w:r>
      <w:r w:rsidRPr="00D301DC">
        <w:rPr>
          <w:rFonts w:ascii="Book Antiqua" w:eastAsia="Book Antiqua" w:hAnsi="Book Antiqua" w:cs="Book Antiqua"/>
          <w:color w:val="000000"/>
          <w:szCs w:val="30"/>
          <w:vertAlign w:val="superscript"/>
        </w:rPr>
        <w:t>[32]</w:t>
      </w:r>
      <w:r w:rsidRPr="00D301DC">
        <w:rPr>
          <w:rFonts w:ascii="Book Antiqua" w:eastAsia="Book Antiqua" w:hAnsi="Book Antiqua" w:cs="Book Antiqua"/>
          <w:color w:val="000000"/>
        </w:rPr>
        <w:t>, and approximately 33% of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is produced by volatilization in NaHS solutions when measurements are made in a closed environment.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(10 mmol/L) in NTS neurons can maintain excitatory postsynaptic potential excitation for 10 minutes, which is equivalent to the time it takes for a microinjection NaHS to work</w:t>
      </w:r>
      <w:r w:rsidRPr="00D301DC">
        <w:rPr>
          <w:rFonts w:ascii="Book Antiqua" w:eastAsia="Book Antiqua" w:hAnsi="Book Antiqua" w:cs="Book Antiqua"/>
          <w:color w:val="000000"/>
          <w:szCs w:val="30"/>
          <w:vertAlign w:val="superscript"/>
        </w:rPr>
        <w:t>[33]</w:t>
      </w:r>
      <w:r w:rsidRPr="00D301DC">
        <w:rPr>
          <w:rFonts w:ascii="Book Antiqua" w:eastAsia="Book Antiqua" w:hAnsi="Book Antiqua" w:cs="Book Antiqua"/>
          <w:color w:val="000000"/>
        </w:rPr>
        <w:t>. Moreover,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can cross the cell membrane by free diffusion to modulate cellular properties</w:t>
      </w:r>
      <w:r w:rsidRPr="00D301DC">
        <w:rPr>
          <w:rFonts w:ascii="Book Antiqua" w:eastAsia="Book Antiqua" w:hAnsi="Book Antiqua" w:cs="Book Antiqua"/>
          <w:color w:val="000000"/>
          <w:szCs w:val="30"/>
          <w:vertAlign w:val="superscript"/>
        </w:rPr>
        <w:t>[34]</w:t>
      </w:r>
      <w:r w:rsidRPr="00D301DC">
        <w:rPr>
          <w:rFonts w:ascii="Book Antiqua" w:eastAsia="Book Antiqua" w:hAnsi="Book Antiqua" w:cs="Book Antiqua"/>
          <w:color w:val="000000"/>
        </w:rPr>
        <w:t>. We selected NaHS as an exogenous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rapid drug-delivery donor.</w:t>
      </w:r>
    </w:p>
    <w:p w14:paraId="69F4426A"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an emerging gaseous signaling molecule, plays an important role in regulating digestion and the nervous system</w:t>
      </w:r>
      <w:r w:rsidRPr="00D301DC">
        <w:rPr>
          <w:rFonts w:ascii="Book Antiqua" w:eastAsia="Book Antiqua" w:hAnsi="Book Antiqua" w:cs="Book Antiqua"/>
          <w:color w:val="000000"/>
          <w:szCs w:val="30"/>
          <w:vertAlign w:val="superscript"/>
        </w:rPr>
        <w:t>[35]</w:t>
      </w:r>
      <w:r w:rsidRPr="00D301DC">
        <w:rPr>
          <w:rFonts w:ascii="Book Antiqua" w:eastAsia="Book Antiqua" w:hAnsi="Book Antiqua" w:cs="Book Antiqua"/>
          <w:color w:val="000000"/>
        </w:rPr>
        <w:t>. Placing coronal NTS slices into NaHS solution was found to cause rapid concentration-dependent depolarization of neurons at NTS sites, with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increasing the postsynaptic currents in NTS neurons by promoting presynaptic glutamate release</w:t>
      </w:r>
      <w:r w:rsidRPr="00D301DC">
        <w:rPr>
          <w:rFonts w:ascii="Book Antiqua" w:eastAsia="Book Antiqua" w:hAnsi="Book Antiqua" w:cs="Book Antiqua"/>
          <w:color w:val="000000"/>
          <w:szCs w:val="30"/>
          <w:vertAlign w:val="superscript"/>
        </w:rPr>
        <w:t>[36]</w:t>
      </w:r>
      <w:r w:rsidRPr="00D301DC">
        <w:rPr>
          <w:rFonts w:ascii="Book Antiqua" w:eastAsia="Book Antiqua" w:hAnsi="Book Antiqua" w:cs="Book Antiqua"/>
          <w:color w:val="000000"/>
        </w:rPr>
        <w:t>. Herein, we observed a significant increase in the co-expression of neurons between CBS and c-Fos in rat NTS after RWIS, indicating that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in the NTS is involved in gastrointestinal regulation and stress.</w:t>
      </w:r>
    </w:p>
    <w:p w14:paraId="5AA4C209"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In this experiment, we found that the amplitude and duration of gastric motility and the index of gastric motility were significantly lower in the NTS than in the control group, in a dose-dependent manner, after the injection of different concentrations of NaHS in rats. Sensory information from the upper gastrointestinal tract is transmitted to the NTS</w:t>
      </w:r>
      <w:r w:rsidRPr="00D301DC">
        <w:rPr>
          <w:rFonts w:ascii="Book Antiqua" w:eastAsia="Book Antiqua" w:hAnsi="Book Antiqua" w:cs="Book Antiqua"/>
          <w:i/>
          <w:iCs/>
          <w:color w:val="000000"/>
        </w:rPr>
        <w:t xml:space="preserve"> via </w:t>
      </w:r>
      <w:r w:rsidRPr="00D301DC">
        <w:rPr>
          <w:rFonts w:ascii="Book Antiqua" w:eastAsia="Book Antiqua" w:hAnsi="Book Antiqua" w:cs="Book Antiqua"/>
          <w:color w:val="000000"/>
        </w:rPr>
        <w:t>vagal afferent fibers, and c-Fos-positive neurons are significantly increased in the NTS following stressful processes. Glutamate release from vagal afferent fibers activates NTS neurons, which can regulate gastrointestinal activity by inhibiting the vagal excitatory cholinergic efferent pathway</w:t>
      </w:r>
      <w:r w:rsidRPr="00D301DC">
        <w:rPr>
          <w:rFonts w:ascii="Book Antiqua" w:eastAsia="Book Antiqua" w:hAnsi="Book Antiqua" w:cs="Book Antiqua"/>
          <w:i/>
          <w:iCs/>
          <w:color w:val="000000"/>
        </w:rPr>
        <w:t xml:space="preserve"> via </w:t>
      </w:r>
      <w:r w:rsidRPr="00D301DC">
        <w:rPr>
          <w:rFonts w:ascii="Book Antiqua" w:eastAsia="Book Antiqua" w:hAnsi="Book Antiqua" w:cs="Book Antiqua"/>
          <w:color w:val="000000"/>
        </w:rPr>
        <w:t>the inhibitory neurotransmitter GABA or by exciting the vagal inhibitory non-adrenergic non-cholinergic (NANC) efferent pathway</w:t>
      </w:r>
      <w:r w:rsidRPr="00D301DC">
        <w:rPr>
          <w:rFonts w:ascii="Book Antiqua" w:eastAsia="Book Antiqua" w:hAnsi="Book Antiqua" w:cs="Book Antiqua"/>
          <w:color w:val="000000"/>
          <w:szCs w:val="30"/>
          <w:vertAlign w:val="superscript"/>
        </w:rPr>
        <w:t>[37]</w:t>
      </w:r>
      <w:r w:rsidRPr="00D301DC">
        <w:rPr>
          <w:rFonts w:ascii="Book Antiqua" w:eastAsia="Book Antiqua" w:hAnsi="Book Antiqua" w:cs="Book Antiqua"/>
          <w:color w:val="000000"/>
        </w:rPr>
        <w:t xml:space="preserve">. In addition, vagal afferent nerves from the gastrointestinal tract can activate the NANC efferent pathway leading to gastric smooth muscle relaxation. Vagal efferent fibers activate the noradrenergic neurons in the NTS, which in turn activate the NANC pathway neurons in the DMV. These NANC-DMV </w:t>
      </w:r>
      <w:r w:rsidRPr="00D301DC">
        <w:rPr>
          <w:rFonts w:ascii="Book Antiqua" w:eastAsia="Book Antiqua" w:hAnsi="Book Antiqua" w:cs="Book Antiqua"/>
          <w:color w:val="000000"/>
        </w:rPr>
        <w:lastRenderedPageBreak/>
        <w:t>neurons transmit to the gastrointestinal plexus to activate postganglionic cholinergic neurons, thus causing gastric relaxation</w:t>
      </w:r>
      <w:r w:rsidRPr="00D301DC">
        <w:rPr>
          <w:rFonts w:ascii="Book Antiqua" w:eastAsia="Book Antiqua" w:hAnsi="Book Antiqua" w:cs="Book Antiqua"/>
          <w:color w:val="000000"/>
          <w:szCs w:val="30"/>
          <w:vertAlign w:val="superscript"/>
        </w:rPr>
        <w:t>[38]</w:t>
      </w:r>
      <w:r w:rsidRPr="00D301DC">
        <w:rPr>
          <w:rFonts w:ascii="Book Antiqua" w:eastAsia="Book Antiqua" w:hAnsi="Book Antiqua" w:cs="Book Antiqua"/>
          <w:color w:val="000000"/>
        </w:rPr>
        <w:t>.</w:t>
      </w:r>
    </w:p>
    <w:p w14:paraId="7DB4B1D3" w14:textId="77777777" w:rsidR="001E58B4" w:rsidRPr="00D301DC" w:rsidRDefault="00000000">
      <w:pPr>
        <w:spacing w:line="360" w:lineRule="auto"/>
        <w:ind w:firstLine="240"/>
        <w:jc w:val="both"/>
      </w:pPr>
      <w:r w:rsidRPr="00D301DC">
        <w:rPr>
          <w:rFonts w:ascii="Book Antiqua" w:eastAsia="Book Antiqua" w:hAnsi="Book Antiqua" w:cs="Book Antiqua"/>
          <w:i/>
          <w:iCs/>
          <w:color w:val="000000"/>
        </w:rPr>
        <w:t>In vivo</w:t>
      </w:r>
      <w:r w:rsidRPr="00D301DC">
        <w:rPr>
          <w:rFonts w:ascii="Book Antiqua" w:eastAsia="Book Antiqua" w:hAnsi="Book Antiqua" w:cs="Book Antiqua"/>
          <w:color w:val="000000"/>
        </w:rPr>
        <w:t xml:space="preserve"> studies found that the microinjection of D-glucose into the NTS resulted in decreased gastric motility and increased intragastric pressure in rats</w:t>
      </w:r>
      <w:r w:rsidRPr="00D301DC">
        <w:rPr>
          <w:rFonts w:ascii="Book Antiqua" w:eastAsia="Book Antiqua" w:hAnsi="Book Antiqua" w:cs="Book Antiqua"/>
          <w:i/>
          <w:iCs/>
          <w:color w:val="000000"/>
        </w:rPr>
        <w:t xml:space="preserve"> via </w:t>
      </w:r>
      <w:r w:rsidRPr="00D301DC">
        <w:rPr>
          <w:rFonts w:ascii="Book Antiqua" w:eastAsia="Book Antiqua" w:hAnsi="Book Antiqua" w:cs="Book Antiqua"/>
          <w:color w:val="000000"/>
        </w:rPr>
        <w:t>K</w:t>
      </w:r>
      <w:r w:rsidRPr="00D301DC">
        <w:rPr>
          <w:rFonts w:ascii="Book Antiqua" w:eastAsia="Book Antiqua" w:hAnsi="Book Antiqua" w:cs="Book Antiqua"/>
          <w:color w:val="000000"/>
          <w:szCs w:val="30"/>
          <w:vertAlign w:val="superscript"/>
        </w:rPr>
        <w:t>+</w:t>
      </w:r>
      <w:r w:rsidRPr="00D301DC">
        <w:rPr>
          <w:rFonts w:ascii="Book Antiqua" w:eastAsia="Book Antiqua" w:hAnsi="Book Antiqua" w:cs="Book Antiqua"/>
          <w:color w:val="000000"/>
        </w:rPr>
        <w:t>-ATP channel relaxation of the smooth muscles and increased firing of GABAergic neurons</w:t>
      </w:r>
      <w:r w:rsidRPr="00D301DC">
        <w:rPr>
          <w:rFonts w:ascii="Book Antiqua" w:eastAsia="Book Antiqua" w:hAnsi="Book Antiqua" w:cs="Book Antiqua"/>
          <w:color w:val="000000"/>
          <w:szCs w:val="30"/>
          <w:vertAlign w:val="superscript"/>
        </w:rPr>
        <w:t>[39]</w:t>
      </w:r>
      <w:r w:rsidRPr="00D301DC">
        <w:rPr>
          <w:rFonts w:ascii="Book Antiqua" w:eastAsia="Book Antiqua" w:hAnsi="Book Antiqua" w:cs="Book Antiqua"/>
          <w:color w:val="000000"/>
        </w:rPr>
        <w:t>. Injection of cholecystokinin in the rat NTS modulates the gastrointestinal motility and secretory function in the upper gastrointestinal tract by activating postganglionic cholinergic excitatory or NANC inhibitory pathways</w:t>
      </w:r>
      <w:r w:rsidRPr="00D301DC">
        <w:rPr>
          <w:rFonts w:ascii="Book Antiqua" w:eastAsia="Book Antiqua" w:hAnsi="Book Antiqua" w:cs="Book Antiqua"/>
          <w:color w:val="000000"/>
          <w:szCs w:val="30"/>
          <w:vertAlign w:val="superscript"/>
        </w:rPr>
        <w:t>[40]</w:t>
      </w:r>
      <w:r w:rsidRPr="00D301DC">
        <w:rPr>
          <w:rFonts w:ascii="Book Antiqua" w:eastAsia="Book Antiqua" w:hAnsi="Book Antiqua" w:cs="Book Antiqua"/>
          <w:color w:val="000000"/>
        </w:rPr>
        <w:t>. Increased glutamate content within the NTS directly activates excitatory postsynaptic potentials in NTS neurons, which in turn stimulates local circuit GABAergic and glutamatergic neurons. GABAergic signals at the NTS determine the state of the gastric tone and contraction and mediate changes in gastric mechanical function at the onset of the vagal-vagal reflex</w:t>
      </w:r>
      <w:r w:rsidRPr="00D301DC">
        <w:rPr>
          <w:rFonts w:ascii="Book Antiqua" w:eastAsia="Book Antiqua" w:hAnsi="Book Antiqua" w:cs="Book Antiqua"/>
          <w:color w:val="000000"/>
          <w:szCs w:val="30"/>
          <w:vertAlign w:val="superscript"/>
        </w:rPr>
        <w:t>[41,42]</w:t>
      </w:r>
      <w:r w:rsidRPr="00D301DC">
        <w:rPr>
          <w:rFonts w:ascii="Book Antiqua" w:eastAsia="Book Antiqua" w:hAnsi="Book Antiqua" w:cs="Book Antiqua"/>
          <w:color w:val="000000"/>
        </w:rPr>
        <w:t>. The intra-NTS injection of GLP-1 reduces the gastric tone by activating NANC and delays gastric emptying in a dose-dependent manner</w:t>
      </w:r>
      <w:r w:rsidRPr="00D301DC">
        <w:rPr>
          <w:rFonts w:ascii="Book Antiqua" w:eastAsia="Book Antiqua" w:hAnsi="Book Antiqua" w:cs="Book Antiqua"/>
          <w:color w:val="000000"/>
          <w:szCs w:val="30"/>
          <w:vertAlign w:val="superscript"/>
        </w:rPr>
        <w:t>[43]</w:t>
      </w:r>
      <w:r w:rsidRPr="00D301DC">
        <w:rPr>
          <w:rFonts w:ascii="Book Antiqua" w:eastAsia="Book Antiqua" w:hAnsi="Book Antiqua" w:cs="Book Antiqua"/>
          <w:color w:val="000000"/>
        </w:rPr>
        <w:t>. Therefore, NaHS injection in the rat NTS may inhibit gastric motility by releasing inhibitory neurotransmitters such as GABA from preganglionic cholinergic neurons.</w:t>
      </w:r>
    </w:p>
    <w:p w14:paraId="1816F4B3" w14:textId="4927D409" w:rsidR="001E58B4" w:rsidRPr="00D301DC" w:rsidRDefault="00000000">
      <w:pPr>
        <w:spacing w:line="360" w:lineRule="auto"/>
        <w:ind w:firstLine="240"/>
        <w:jc w:val="both"/>
      </w:pPr>
      <w:r w:rsidRPr="00D301DC">
        <w:rPr>
          <w:rFonts w:ascii="Book Antiqua" w:eastAsia="Book Antiqua" w:hAnsi="Book Antiqua" w:cs="Book Antiqua"/>
          <w:color w:val="000000"/>
        </w:rPr>
        <w:t xml:space="preserve">The activation of TRPV1 </w:t>
      </w:r>
      <w:r w:rsidRPr="00D301DC">
        <w:rPr>
          <w:rFonts w:ascii="Book Antiqua" w:eastAsia="宋体" w:hAnsi="Book Antiqua" w:cs="Book Antiqua" w:hint="eastAsia"/>
          <w:color w:val="000000"/>
          <w:lang w:eastAsia="zh-CN"/>
        </w:rPr>
        <w:t>l</w:t>
      </w:r>
      <w:r w:rsidRPr="00D301DC">
        <w:rPr>
          <w:rFonts w:ascii="Book Antiqua" w:eastAsia="Book Antiqua" w:hAnsi="Book Antiqua" w:cs="Book Antiqua"/>
          <w:color w:val="000000"/>
        </w:rPr>
        <w:t>eads to the release of various pro-inflammatory cytokines, which can activate NF-kB translocation to the nucleus. Our experiments revealed that the injection of the NF-κB pathway blocker PDTC followed by NaHS eliminated the modulation of gastric function by NaHS.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is mainly synthesized in the brain by the CBS enzyme, andwe found that NaHS injection in both the ambiguous and paraventricular nuclei inhibited gastric motility in rats</w:t>
      </w:r>
      <w:r w:rsidRPr="00D301DC">
        <w:rPr>
          <w:rFonts w:ascii="Book Antiqua" w:eastAsia="Book Antiqua" w:hAnsi="Book Antiqua" w:cs="Book Antiqua"/>
          <w:i/>
          <w:iCs/>
          <w:color w:val="000000"/>
        </w:rPr>
        <w:t xml:space="preserve"> via </w:t>
      </w:r>
      <w:r w:rsidRPr="00D301DC">
        <w:rPr>
          <w:rFonts w:ascii="Book Antiqua" w:eastAsia="Book Antiqua" w:hAnsi="Book Antiqua" w:cs="Book Antiqua"/>
          <w:color w:val="000000"/>
        </w:rPr>
        <w:t>the NF-κB pathway</w:t>
      </w:r>
      <w:r w:rsidRPr="00D301DC">
        <w:rPr>
          <w:rFonts w:ascii="Book Antiqua" w:eastAsia="Book Antiqua" w:hAnsi="Book Antiqua" w:cs="Book Antiqua"/>
          <w:color w:val="000000"/>
          <w:szCs w:val="30"/>
          <w:vertAlign w:val="superscript"/>
        </w:rPr>
        <w:t>[44,45]</w:t>
      </w:r>
      <w:r w:rsidRPr="00D301DC">
        <w:rPr>
          <w:rFonts w:ascii="Book Antiqua" w:eastAsia="Book Antiqua" w:hAnsi="Book Antiqua" w:cs="Book Antiqua"/>
          <w:color w:val="000000"/>
        </w:rPr>
        <w:t>, that the injection of NaHS to the brain blocked inflammation-associated apoptosis, and that treatment with NaHS reduced the expression of inflammatory factors in astrocytes and microglia due to Alzheimer’s disease</w:t>
      </w:r>
      <w:r w:rsidRPr="00D301DC">
        <w:rPr>
          <w:rFonts w:ascii="Book Antiqua" w:eastAsia="Book Antiqua" w:hAnsi="Book Antiqua" w:cs="Book Antiqua"/>
          <w:color w:val="000000"/>
          <w:szCs w:val="30"/>
          <w:vertAlign w:val="superscript"/>
        </w:rPr>
        <w:t>[46]</w:t>
      </w:r>
      <w:r w:rsidRPr="00D301DC">
        <w:rPr>
          <w:rFonts w:ascii="Book Antiqua" w:eastAsia="Book Antiqua" w:hAnsi="Book Antiqua" w:cs="Book Antiqua"/>
          <w:color w:val="000000"/>
        </w:rPr>
        <w:t>.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 xml:space="preserve">S reduces the levels of phosphorylated p38 MAPK and phosphorylated p65 NF-κB </w:t>
      </w:r>
      <w:r w:rsidRPr="00D301DC">
        <w:rPr>
          <w:rFonts w:ascii="Book Antiqua" w:eastAsia="Book Antiqua" w:hAnsi="Book Antiqua" w:cs="Book Antiqua"/>
          <w:i/>
          <w:iCs/>
          <w:color w:val="000000"/>
        </w:rPr>
        <w:t>in vivo</w:t>
      </w:r>
      <w:r w:rsidRPr="00D301DC">
        <w:rPr>
          <w:rFonts w:ascii="Book Antiqua" w:eastAsia="Book Antiqua" w:hAnsi="Book Antiqua" w:cs="Book Antiqua"/>
          <w:color w:val="000000"/>
        </w:rPr>
        <w:t>. NaHS also reduces LPS-induced inflammation by inhibiting p38 MAPK and p65 NF-κB in rat cells</w:t>
      </w:r>
      <w:r w:rsidRPr="00D301DC">
        <w:rPr>
          <w:rFonts w:ascii="Book Antiqua" w:eastAsia="Book Antiqua" w:hAnsi="Book Antiqua" w:cs="Book Antiqua"/>
          <w:color w:val="000000"/>
          <w:szCs w:val="30"/>
          <w:vertAlign w:val="superscript"/>
        </w:rPr>
        <w:t>[47]</w:t>
      </w:r>
      <w:r w:rsidRPr="00D301DC">
        <w:rPr>
          <w:rFonts w:ascii="Book Antiqua" w:eastAsia="Book Antiqua" w:hAnsi="Book Antiqua" w:cs="Book Antiqua"/>
          <w:color w:val="000000"/>
        </w:rPr>
        <w:t xml:space="preserve">. SP is the main presynaptically released excitatory transmitter from injured primary afferent fibers. It binds to NK1 receptors on the postsynaptic membrane to activate NF-kB-induced </w:t>
      </w:r>
      <w:r w:rsidRPr="00D301DC">
        <w:rPr>
          <w:rFonts w:ascii="Book Antiqua" w:eastAsia="Book Antiqua" w:hAnsi="Book Antiqua" w:cs="Book Antiqua"/>
          <w:color w:val="000000"/>
        </w:rPr>
        <w:lastRenderedPageBreak/>
        <w:t>inflammatory factor synthesis. NF-κB is reportedly involved in the transcriptional regulation of various response-related genes, including gastrointestinal mucosal damage, and that the downregulation of NF-κB signaling can inhibit stress-induced local inflammatory responses in the gastric mucosa and can repair local lesions in the gastric mucosa</w:t>
      </w:r>
      <w:r w:rsidRPr="00D301DC">
        <w:rPr>
          <w:rFonts w:ascii="Book Antiqua" w:eastAsia="Book Antiqua" w:hAnsi="Book Antiqua" w:cs="Book Antiqua"/>
          <w:color w:val="000000"/>
          <w:szCs w:val="30"/>
          <w:vertAlign w:val="superscript"/>
        </w:rPr>
        <w:t>[48,49]</w:t>
      </w:r>
      <w:r w:rsidRPr="00D301DC">
        <w:rPr>
          <w:rFonts w:ascii="Book Antiqua" w:eastAsia="Book Antiqua" w:hAnsi="Book Antiqua" w:cs="Book Antiqua"/>
          <w:color w:val="000000"/>
        </w:rPr>
        <w:t>. Therefore, physiological concentrations of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can modulate the inflammatory process and regulate gastric dysfunction by down-regulating the inflammatory response.</w:t>
      </w:r>
    </w:p>
    <w:p w14:paraId="43B6330C"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To investigate the signaling pathways involved in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regulation, we focused on the TRPV1-SP-NF-kB pathway</w:t>
      </w:r>
      <w:r w:rsidRPr="00D301DC">
        <w:rPr>
          <w:rFonts w:ascii="Book Antiqua" w:eastAsia="Book Antiqua" w:hAnsi="Book Antiqua" w:cs="Book Antiqua"/>
          <w:color w:val="000000"/>
          <w:szCs w:val="30"/>
          <w:vertAlign w:val="superscript"/>
        </w:rPr>
        <w:t>[50]</w:t>
      </w:r>
      <w:r w:rsidRPr="00D301DC">
        <w:rPr>
          <w:rFonts w:ascii="Book Antiqua" w:eastAsia="Book Antiqua" w:hAnsi="Book Antiqua" w:cs="Book Antiqua"/>
          <w:color w:val="000000"/>
        </w:rPr>
        <w:t>. TRPV1 activation, enhanced pro-inflammatory cytokine expression, and oxidative stress</w:t>
      </w:r>
      <w:r w:rsidRPr="00D301DC">
        <w:rPr>
          <w:rFonts w:ascii="Book Antiqua" w:eastAsia="Book Antiqua" w:hAnsi="Book Antiqua" w:cs="Book Antiqua"/>
          <w:i/>
          <w:iCs/>
          <w:color w:val="000000"/>
        </w:rPr>
        <w:t xml:space="preserve"> via </w:t>
      </w:r>
      <w:r w:rsidRPr="00D301DC">
        <w:rPr>
          <w:rFonts w:ascii="Book Antiqua" w:eastAsia="Book Antiqua" w:hAnsi="Book Antiqua" w:cs="Book Antiqua"/>
          <w:color w:val="000000"/>
        </w:rPr>
        <w:t>the NF-kB pathway led to reduced phosphorylation of the ERK signaling pathway, activation of PAG involved in the ERK-NF-kB pathway, and production of SP, which in turn regulated TRPV1-mediated neurogenic inflammation</w:t>
      </w:r>
      <w:r w:rsidRPr="00D301DC">
        <w:rPr>
          <w:rFonts w:ascii="Book Antiqua" w:eastAsia="Book Antiqua" w:hAnsi="Book Antiqua" w:cs="Book Antiqua"/>
          <w:color w:val="000000"/>
          <w:szCs w:val="30"/>
          <w:vertAlign w:val="superscript"/>
        </w:rPr>
        <w:t>[51]</w:t>
      </w:r>
      <w:r w:rsidRPr="00D301DC">
        <w:rPr>
          <w:rFonts w:ascii="Book Antiqua" w:eastAsia="Book Antiqua" w:hAnsi="Book Antiqua" w:cs="Book Antiqua"/>
          <w:color w:val="000000"/>
        </w:rPr>
        <w:t>. Our experiments showed that the administration of the TRPV1 blocker Capsazepine followed by NaHS eliminated the modulation of gastric function by NaHS. TRPV1 is widely expressed in spinal and vagal afferent neurons. It innervates the gastrointestinal tract, and its upregulated sensitivity may be associated with the pathophysiological functions of diseases such as visceral pain, irritable bowel syndrome, inflammatory bowel disease and pancreatitis</w:t>
      </w:r>
      <w:r w:rsidRPr="00D301DC">
        <w:rPr>
          <w:rFonts w:ascii="Book Antiqua" w:eastAsia="Book Antiqua" w:hAnsi="Book Antiqua" w:cs="Book Antiqua"/>
          <w:color w:val="000000"/>
          <w:szCs w:val="30"/>
          <w:vertAlign w:val="superscript"/>
        </w:rPr>
        <w:t>[52]</w:t>
      </w:r>
      <w:r w:rsidRPr="00D301DC">
        <w:rPr>
          <w:rFonts w:ascii="Book Antiqua" w:eastAsia="Book Antiqua" w:hAnsi="Book Antiqua" w:cs="Book Antiqua"/>
          <w:color w:val="000000"/>
        </w:rPr>
        <w:t>. TRPV1 presents two sides to inflammation. There are even studies showing the alternating effects of TRPV1 on inflammation</w:t>
      </w:r>
      <w:r w:rsidRPr="00D301DC">
        <w:rPr>
          <w:rFonts w:ascii="Book Antiqua" w:eastAsia="Book Antiqua" w:hAnsi="Book Antiqua" w:cs="Book Antiqua"/>
          <w:color w:val="000000"/>
          <w:szCs w:val="30"/>
          <w:vertAlign w:val="superscript"/>
        </w:rPr>
        <w:t>[53]</w:t>
      </w:r>
      <w:r w:rsidRPr="00D301DC">
        <w:rPr>
          <w:rFonts w:ascii="Book Antiqua" w:eastAsia="Book Antiqua" w:hAnsi="Book Antiqua" w:cs="Book Antiqua"/>
          <w:color w:val="000000"/>
        </w:rPr>
        <w:t>. Capsaicin induces inflammation in the stomach by activating TRPV1, damages the gastrointestinal mucosa, causes structural changes in the intestinal barrier and further leads to other gastrointestinal symptoms</w:t>
      </w:r>
      <w:r w:rsidRPr="00D301DC">
        <w:rPr>
          <w:rFonts w:ascii="Book Antiqua" w:eastAsia="Book Antiqua" w:hAnsi="Book Antiqua" w:cs="Book Antiqua"/>
          <w:color w:val="000000"/>
          <w:szCs w:val="30"/>
          <w:vertAlign w:val="superscript"/>
        </w:rPr>
        <w:t>[54-56]</w:t>
      </w:r>
      <w:r w:rsidRPr="00D301DC">
        <w:rPr>
          <w:rFonts w:ascii="Book Antiqua" w:eastAsia="Book Antiqua" w:hAnsi="Book Antiqua" w:cs="Book Antiqua"/>
          <w:color w:val="000000"/>
        </w:rPr>
        <w:t>. It also decreases the expression of anti-inflammatory cytokines in the stomach and intestine and promotes the release of gastrointestinal neuropeptide SP, which is closely associated with gastrointestinal visceral pain</w:t>
      </w:r>
      <w:r w:rsidRPr="00D301DC">
        <w:rPr>
          <w:rFonts w:ascii="Book Antiqua" w:eastAsia="Book Antiqua" w:hAnsi="Book Antiqua" w:cs="Book Antiqua"/>
          <w:color w:val="000000"/>
          <w:szCs w:val="30"/>
          <w:vertAlign w:val="superscript"/>
        </w:rPr>
        <w:t>[57]</w:t>
      </w:r>
      <w:r w:rsidRPr="00D301DC">
        <w:rPr>
          <w:rFonts w:ascii="Book Antiqua" w:eastAsia="Book Antiqua" w:hAnsi="Book Antiqua" w:cs="Book Antiqua"/>
          <w:color w:val="000000"/>
        </w:rPr>
        <w:t>. The findings suggest that the TRPV1 receptor antagonist caspofungin abrogates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donor-induced enhancement of gastric emptying and that TRPV1-dependent pathways have been shown to produce modulation of vagally mediated muscle contractions in the gastrointestinal tract</w:t>
      </w:r>
      <w:r w:rsidRPr="00D301DC">
        <w:rPr>
          <w:rFonts w:ascii="Book Antiqua" w:eastAsia="Book Antiqua" w:hAnsi="Book Antiqua" w:cs="Book Antiqua"/>
          <w:color w:val="000000"/>
          <w:szCs w:val="30"/>
          <w:vertAlign w:val="superscript"/>
        </w:rPr>
        <w:t>[58]</w:t>
      </w:r>
      <w:r w:rsidRPr="00D301DC">
        <w:rPr>
          <w:rFonts w:ascii="Book Antiqua" w:eastAsia="Book Antiqua" w:hAnsi="Book Antiqua" w:cs="Book Antiqua"/>
          <w:color w:val="000000"/>
        </w:rPr>
        <w:t xml:space="preserve">. Capsaicin also activates the enterocholinergic neurons in guinea pig’s small intestine and induces </w:t>
      </w:r>
      <w:r w:rsidRPr="00D301DC">
        <w:rPr>
          <w:rFonts w:ascii="Book Antiqua" w:eastAsia="Book Antiqua" w:hAnsi="Book Antiqua" w:cs="Book Antiqua"/>
          <w:color w:val="000000"/>
        </w:rPr>
        <w:lastRenderedPageBreak/>
        <w:t>contractile effects and inhibition of gastric emptying, thus inducing the relaxation of smooth muscles of the fundus</w:t>
      </w:r>
      <w:r w:rsidRPr="00D301DC">
        <w:rPr>
          <w:rFonts w:ascii="Book Antiqua" w:eastAsia="Book Antiqua" w:hAnsi="Book Antiqua" w:cs="Book Antiqua"/>
          <w:color w:val="000000"/>
          <w:szCs w:val="30"/>
          <w:vertAlign w:val="superscript"/>
        </w:rPr>
        <w:t>[59]</w:t>
      </w:r>
      <w:r w:rsidRPr="00D301DC">
        <w:rPr>
          <w:rFonts w:ascii="Book Antiqua" w:eastAsia="Book Antiqua" w:hAnsi="Book Antiqua" w:cs="Book Antiqua"/>
          <w:color w:val="000000"/>
        </w:rPr>
        <w:t>. Capsazepine was also found to inhibit NaHS-induced pyloric smooth muscle relaxation, indicating that the effect of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donors on enhancing gastric emptying and inducing pyloric sphincter relaxation is mediated by the activation of TRPV1 receptors. Although there are many mechanisms by which this effect can be manifested, our data support the theory of smooth muscle relaxation induced by afferent neuronal TRPV1 receptor activation</w:t>
      </w:r>
      <w:r w:rsidRPr="00D301DC">
        <w:rPr>
          <w:rFonts w:ascii="Book Antiqua" w:eastAsia="Book Antiqua" w:hAnsi="Book Antiqua" w:cs="Book Antiqua"/>
          <w:color w:val="000000"/>
          <w:szCs w:val="30"/>
          <w:vertAlign w:val="superscript"/>
        </w:rPr>
        <w:t>[45,60]</w:t>
      </w:r>
      <w:r w:rsidRPr="00D301DC">
        <w:rPr>
          <w:rFonts w:ascii="Book Antiqua" w:eastAsia="Book Antiqua" w:hAnsi="Book Antiqua" w:cs="Book Antiqua"/>
          <w:color w:val="000000"/>
        </w:rPr>
        <w:t>.</w:t>
      </w:r>
    </w:p>
    <w:p w14:paraId="3FD119CB"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TRPV1 receptors may act as molecular sensors involved in processing cardiac injury information in spinal neurons. Harmful environmental stimuli can activate TRPV1 to produce pro-inflammatory mediators in the epithelial cells, thus triggering neurogenic inflammatory responses. TRPV1 antagonists reportedly inhibited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S-induced neuropeptide release and bronchoconstriction in vitro, whereas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induced the release of an endogenous tachykinin, SP, by stimulating sensory nerve endings, and that NaHS-induced SP release is significantly reduced when the TRPV1 blocker Capsazepine is applied</w:t>
      </w:r>
      <w:r w:rsidRPr="00D301DC">
        <w:rPr>
          <w:rFonts w:ascii="Book Antiqua" w:eastAsia="Book Antiqua" w:hAnsi="Book Antiqua" w:cs="Book Antiqua"/>
          <w:color w:val="000000"/>
          <w:szCs w:val="30"/>
          <w:vertAlign w:val="superscript"/>
        </w:rPr>
        <w:t>[61]</w:t>
      </w:r>
      <w:r w:rsidRPr="00D301DC">
        <w:rPr>
          <w:rFonts w:ascii="Book Antiqua" w:eastAsia="Book Antiqua" w:hAnsi="Book Antiqua" w:cs="Book Antiqua"/>
          <w:color w:val="000000"/>
        </w:rPr>
        <w:t>. Capsaicin also slows down gastric motility through TRPV1-induced excitation of gastric sensory nerve fibers</w:t>
      </w:r>
      <w:r w:rsidRPr="00D301DC">
        <w:rPr>
          <w:rFonts w:ascii="Book Antiqua" w:eastAsia="Book Antiqua" w:hAnsi="Book Antiqua" w:cs="Book Antiqua"/>
          <w:color w:val="000000"/>
          <w:szCs w:val="30"/>
          <w:vertAlign w:val="superscript"/>
        </w:rPr>
        <w:t>[62]</w:t>
      </w:r>
      <w:r w:rsidRPr="00D301DC">
        <w:rPr>
          <w:rFonts w:ascii="Book Antiqua" w:eastAsia="Book Antiqua" w:hAnsi="Book Antiqua" w:cs="Book Antiqua"/>
          <w:color w:val="000000"/>
        </w:rPr>
        <w:t>. A possible role of capsaicin-sensitive vagal afferent nerves in gastric mucosal injury and prevention has been demonstrated and is associated with the release of SP</w:t>
      </w:r>
      <w:r w:rsidRPr="00D301DC">
        <w:rPr>
          <w:rFonts w:ascii="Book Antiqua" w:eastAsia="Book Antiqua" w:hAnsi="Book Antiqua" w:cs="Book Antiqua"/>
          <w:color w:val="000000"/>
          <w:szCs w:val="30"/>
          <w:vertAlign w:val="superscript"/>
        </w:rPr>
        <w:t>[31]</w:t>
      </w:r>
      <w:r w:rsidRPr="00D301DC">
        <w:rPr>
          <w:rFonts w:ascii="Book Antiqua" w:eastAsia="Book Antiqua" w:hAnsi="Book Antiqua" w:cs="Book Antiqua"/>
          <w:color w:val="000000"/>
        </w:rPr>
        <w:t>.</w:t>
      </w:r>
    </w:p>
    <w:p w14:paraId="53D750B2" w14:textId="77777777" w:rsidR="001E58B4" w:rsidRPr="00D301DC" w:rsidRDefault="00000000">
      <w:pPr>
        <w:spacing w:line="360" w:lineRule="auto"/>
        <w:ind w:firstLine="240"/>
        <w:jc w:val="both"/>
      </w:pPr>
      <w:r w:rsidRPr="00D301DC">
        <w:rPr>
          <w:rFonts w:ascii="Book Antiqua" w:eastAsia="Book Antiqua" w:hAnsi="Book Antiqua" w:cs="Book Antiqua"/>
          <w:color w:val="000000"/>
        </w:rPr>
        <w:t>We eliminated the inhibitory effect of NaHS on gastric motility in our experiments by injecting the NK1 receptor blocker L703606 followed by NaHS. SP is a brain-gut peptide abundant in mammals that acts as a neurotransmitter for specific receptors to mediate NANC expression in the autonomic nervous system. Numerous studies have shown its role in stress and nociceptive transmission</w:t>
      </w:r>
      <w:r w:rsidRPr="00D301DC">
        <w:rPr>
          <w:rFonts w:ascii="Book Antiqua" w:eastAsia="Book Antiqua" w:hAnsi="Book Antiqua" w:cs="Book Antiqua"/>
          <w:color w:val="000000"/>
          <w:szCs w:val="30"/>
          <w:vertAlign w:val="superscript"/>
        </w:rPr>
        <w:t>[63]</w:t>
      </w:r>
      <w:r w:rsidRPr="00D301DC">
        <w:rPr>
          <w:rFonts w:ascii="Book Antiqua" w:eastAsia="Book Antiqua" w:hAnsi="Book Antiqua" w:cs="Book Antiqua"/>
          <w:color w:val="000000"/>
        </w:rPr>
        <w:t>. Injection of exogenous SP into the NTS resulted in the reduction of gastric motility. In contrast, injection of NK1 blockers enhanced the gastric motility. Therefore, SP in the NTS may play a predominantly inhibitory role in gastrointestinal regulation. Administration of NK1 receptor antagonists also prevented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S-induced contractile responses, indicating that SP released from sensory nerve endings is the ultimate mediator of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 xml:space="preserve">S-induced excitation of smooth muscle in rats, possibly leading to altered gastric motility and the formation </w:t>
      </w:r>
      <w:r w:rsidRPr="00D301DC">
        <w:rPr>
          <w:rFonts w:ascii="Book Antiqua" w:eastAsia="Book Antiqua" w:hAnsi="Book Antiqua" w:cs="Book Antiqua"/>
          <w:color w:val="000000"/>
        </w:rPr>
        <w:lastRenderedPageBreak/>
        <w:t>of gastric ulcers</w:t>
      </w:r>
      <w:r w:rsidRPr="00D301DC">
        <w:rPr>
          <w:rFonts w:ascii="Book Antiqua" w:eastAsia="Book Antiqua" w:hAnsi="Book Antiqua" w:cs="Book Antiqua"/>
          <w:color w:val="000000"/>
          <w:szCs w:val="30"/>
          <w:vertAlign w:val="superscript"/>
        </w:rPr>
        <w:t>[64]</w:t>
      </w:r>
      <w:r w:rsidRPr="00D301DC">
        <w:rPr>
          <w:rFonts w:ascii="Book Antiqua" w:eastAsia="Book Antiqua" w:hAnsi="Book Antiqua" w:cs="Book Antiqua"/>
          <w:color w:val="000000"/>
        </w:rPr>
        <w:t>. Injection of glutamate and SP in the NTS modulates gastric motility and emptying, and leads to a dose-dependent decrease in tonic gastric pressure and inhibition of gastric motility</w:t>
      </w:r>
      <w:r w:rsidRPr="00D301DC">
        <w:rPr>
          <w:rFonts w:ascii="Book Antiqua" w:eastAsia="Book Antiqua" w:hAnsi="Book Antiqua" w:cs="Book Antiqua"/>
          <w:color w:val="000000"/>
          <w:szCs w:val="30"/>
          <w:vertAlign w:val="superscript"/>
        </w:rPr>
        <w:t>[65,66]</w:t>
      </w:r>
      <w:r w:rsidRPr="00D301DC">
        <w:rPr>
          <w:rFonts w:ascii="Book Antiqua" w:eastAsia="Book Antiqua" w:hAnsi="Book Antiqua" w:cs="Book Antiqua"/>
          <w:color w:val="000000"/>
        </w:rPr>
        <w:t>. It has been shown that glutamate, acting through N-methyl-D-aspartic acid receptors with glutamate ion channels, and tachykinin, acting through NK1 and NK2 receptors, act synergistically in the transmission of acid stimuli from the gastric mucosa to the NTS</w:t>
      </w:r>
      <w:r w:rsidRPr="00D301DC">
        <w:rPr>
          <w:rFonts w:ascii="Book Antiqua" w:eastAsia="Book Antiqua" w:hAnsi="Book Antiqua" w:cs="Book Antiqua"/>
          <w:color w:val="000000"/>
          <w:szCs w:val="30"/>
          <w:vertAlign w:val="superscript"/>
        </w:rPr>
        <w:t>[67]</w:t>
      </w:r>
      <w:r w:rsidRPr="00D301DC">
        <w:rPr>
          <w:rFonts w:ascii="Book Antiqua" w:eastAsia="Book Antiqua" w:hAnsi="Book Antiqua" w:cs="Book Antiqua"/>
          <w:color w:val="000000"/>
        </w:rPr>
        <w:t>. SP regulates gastric smooth muscle contraction by both inhibition and enhancement mechanisms. Studies have found that SP microinjections in the brain have inhibitory effects on gastric motility. Furthermore, microinjections of SP in the rat DMV inhibited gastric EMG fast waves and gastric motility. These effects could be abolished by SP receptor antagonists and by severing the vagus nerve, respectively</w:t>
      </w:r>
      <w:r w:rsidRPr="00D301DC">
        <w:rPr>
          <w:rFonts w:ascii="Book Antiqua" w:eastAsia="Book Antiqua" w:hAnsi="Book Antiqua" w:cs="Book Antiqua"/>
          <w:color w:val="000000"/>
          <w:szCs w:val="30"/>
          <w:vertAlign w:val="superscript"/>
        </w:rPr>
        <w:t>[68]</w:t>
      </w:r>
      <w:r w:rsidRPr="00D301DC">
        <w:rPr>
          <w:rFonts w:ascii="Book Antiqua" w:eastAsia="Book Antiqua" w:hAnsi="Book Antiqua" w:cs="Book Antiqua"/>
          <w:color w:val="000000"/>
        </w:rPr>
        <w:t>. SP in the brain plays a role in stress-induced physiological and behavioral activity. The effects of NK1 can be blocked using injectable drugs or knockout methods</w:t>
      </w:r>
      <w:r w:rsidRPr="00D301DC">
        <w:rPr>
          <w:rFonts w:ascii="Book Antiqua" w:eastAsia="Book Antiqua" w:hAnsi="Book Antiqua" w:cs="Book Antiqua"/>
          <w:color w:val="000000"/>
          <w:szCs w:val="30"/>
          <w:vertAlign w:val="superscript"/>
        </w:rPr>
        <w:t>[69-71]</w:t>
      </w:r>
      <w:r w:rsidRPr="00D301DC">
        <w:rPr>
          <w:rFonts w:ascii="Book Antiqua" w:eastAsia="Book Antiqua" w:hAnsi="Book Antiqua" w:cs="Book Antiqua"/>
          <w:color w:val="000000"/>
        </w:rPr>
        <w:t>. Moreover, c-Fos expression can be downregulated, with the nucleus involved in stress in the brain and pain, causing pain through increased SP release in the hypothalamic and spinal cord tissue. This results in a sterile inflammatory response, with persistent pain leading to increased levels of SP receptors in the posterior horn of the spinal cord</w:t>
      </w:r>
      <w:r w:rsidRPr="00D301DC">
        <w:rPr>
          <w:rFonts w:ascii="Book Antiqua" w:eastAsia="Book Antiqua" w:hAnsi="Book Antiqua" w:cs="Book Antiqua"/>
          <w:color w:val="000000"/>
          <w:szCs w:val="30"/>
          <w:vertAlign w:val="superscript"/>
        </w:rPr>
        <w:t>[72]</w:t>
      </w:r>
      <w:r w:rsidRPr="00D301DC">
        <w:rPr>
          <w:rFonts w:ascii="Book Antiqua" w:eastAsia="Book Antiqua" w:hAnsi="Book Antiqua" w:cs="Book Antiqua"/>
          <w:color w:val="000000"/>
        </w:rPr>
        <w:t>. SP also plays a role in transmitting injurious information, with low doses given ventrally to produce analgesia, acting in a neuroendocrine manner on various immune cells involved in immune regulation and enhancing immune function</w:t>
      </w:r>
      <w:r w:rsidRPr="00D301DC">
        <w:rPr>
          <w:rFonts w:ascii="Book Antiqua" w:eastAsia="Book Antiqua" w:hAnsi="Book Antiqua" w:cs="Book Antiqua"/>
          <w:color w:val="000000"/>
          <w:szCs w:val="30"/>
          <w:vertAlign w:val="superscript"/>
        </w:rPr>
        <w:t>[73]</w:t>
      </w:r>
      <w:r w:rsidRPr="00D301DC">
        <w:rPr>
          <w:rFonts w:ascii="Book Antiqua" w:eastAsia="Book Antiqua" w:hAnsi="Book Antiqua" w:cs="Book Antiqua"/>
          <w:color w:val="000000"/>
        </w:rPr>
        <w:t>. We, therefore, consider that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enhances the inhibitory effect of SP on gastric motility by excitation of NTS neurons which are then transmitted to the DMV.</w:t>
      </w:r>
    </w:p>
    <w:p w14:paraId="063F8F3D" w14:textId="77777777" w:rsidR="001E58B4" w:rsidRPr="00D301DC" w:rsidRDefault="001E58B4">
      <w:pPr>
        <w:spacing w:line="360" w:lineRule="auto"/>
        <w:ind w:firstLine="240"/>
        <w:jc w:val="both"/>
      </w:pPr>
    </w:p>
    <w:p w14:paraId="4F66D114" w14:textId="77777777" w:rsidR="001E58B4" w:rsidRPr="00D301DC" w:rsidRDefault="00000000">
      <w:pPr>
        <w:spacing w:line="360" w:lineRule="auto"/>
        <w:jc w:val="both"/>
      </w:pPr>
      <w:r w:rsidRPr="00D301DC">
        <w:rPr>
          <w:rFonts w:ascii="Book Antiqua" w:eastAsia="Book Antiqua" w:hAnsi="Book Antiqua" w:cs="Book Antiqua"/>
          <w:b/>
          <w:caps/>
          <w:color w:val="000000"/>
          <w:u w:val="single"/>
        </w:rPr>
        <w:t>CONCLUSION</w:t>
      </w:r>
    </w:p>
    <w:p w14:paraId="366FD5C4" w14:textId="77777777" w:rsidR="001E58B4" w:rsidRPr="00D301DC" w:rsidRDefault="00000000">
      <w:pPr>
        <w:spacing w:line="360" w:lineRule="auto"/>
        <w:jc w:val="both"/>
      </w:pPr>
      <w:r w:rsidRPr="00D301DC">
        <w:rPr>
          <w:rFonts w:ascii="Book Antiqua" w:eastAsia="Book Antiqua" w:hAnsi="Book Antiqua" w:cs="Book Antiqua"/>
          <w:color w:val="000000"/>
        </w:rPr>
        <w:t>Our experiments revealed that CBSergic neurons affecting gastric function were present in the NTS and were activated by stress. Furthermore, exogenous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S in the NTS significantly inhibited gastric motility in rats, possibly by activating the TRPV1 pathway through NF-κB channels to release SP. This is the first study to report that H</w:t>
      </w:r>
      <w:r w:rsidRPr="00D301DC">
        <w:rPr>
          <w:rFonts w:ascii="Book Antiqua" w:eastAsia="Book Antiqua" w:hAnsi="Book Antiqua" w:cs="Book Antiqua"/>
          <w:color w:val="000000"/>
          <w:szCs w:val="30"/>
          <w:vertAlign w:val="subscript"/>
        </w:rPr>
        <w:t>2</w:t>
      </w:r>
      <w:r w:rsidRPr="00D301DC">
        <w:rPr>
          <w:rFonts w:ascii="Book Antiqua" w:eastAsia="Book Antiqua" w:hAnsi="Book Antiqua" w:cs="Book Antiqua"/>
          <w:color w:val="000000"/>
        </w:rPr>
        <w:t xml:space="preserve">S </w:t>
      </w:r>
      <w:r w:rsidRPr="00D301DC">
        <w:rPr>
          <w:rFonts w:ascii="Book Antiqua" w:eastAsia="Book Antiqua" w:hAnsi="Book Antiqua" w:cs="Book Antiqua"/>
          <w:color w:val="000000"/>
        </w:rPr>
        <w:lastRenderedPageBreak/>
        <w:t>in the NTS may regulate gastric function. It provides an important experimental basis for the clinical prevention and treatment of gastric ulcers.</w:t>
      </w:r>
    </w:p>
    <w:p w14:paraId="7B689073" w14:textId="77777777" w:rsidR="001E58B4" w:rsidRPr="00D301DC" w:rsidRDefault="001E58B4">
      <w:pPr>
        <w:spacing w:line="360" w:lineRule="auto"/>
        <w:jc w:val="both"/>
      </w:pPr>
    </w:p>
    <w:p w14:paraId="757A7A38" w14:textId="77777777" w:rsidR="001E58B4" w:rsidRPr="00D301DC" w:rsidRDefault="00000000">
      <w:pPr>
        <w:spacing w:line="360" w:lineRule="auto"/>
        <w:jc w:val="both"/>
      </w:pPr>
      <w:r w:rsidRPr="00D301DC">
        <w:rPr>
          <w:rFonts w:ascii="Book Antiqua" w:eastAsia="Book Antiqua" w:hAnsi="Book Antiqua" w:cs="Book Antiqua"/>
          <w:b/>
          <w:caps/>
          <w:color w:val="000000"/>
          <w:u w:val="single"/>
        </w:rPr>
        <w:t>ARTICLE HIGHLIGHTS</w:t>
      </w:r>
    </w:p>
    <w:p w14:paraId="76AFACA7" w14:textId="77777777" w:rsidR="001E58B4" w:rsidRPr="00D301DC" w:rsidRDefault="00000000">
      <w:pPr>
        <w:spacing w:line="360" w:lineRule="auto"/>
        <w:jc w:val="both"/>
      </w:pPr>
      <w:r w:rsidRPr="00D301DC">
        <w:rPr>
          <w:rFonts w:ascii="Book Antiqua" w:eastAsia="Book Antiqua" w:hAnsi="Book Antiqua" w:cs="Book Antiqua"/>
          <w:b/>
          <w:i/>
          <w:color w:val="000000"/>
        </w:rPr>
        <w:t>Research background</w:t>
      </w:r>
    </w:p>
    <w:p w14:paraId="4C7F7BAD" w14:textId="77777777" w:rsidR="001E58B4" w:rsidRPr="00D301DC" w:rsidRDefault="00000000">
      <w:pPr>
        <w:spacing w:line="360" w:lineRule="auto"/>
        <w:jc w:val="both"/>
      </w:pPr>
      <w:r w:rsidRPr="00D301DC">
        <w:rPr>
          <w:rFonts w:ascii="Book Antiqua" w:eastAsia="Book Antiqua" w:hAnsi="Book Antiqua" w:cs="Book Antiqua"/>
          <w:color w:val="000000"/>
        </w:rPr>
        <w:t>Recent studies have revealed that hydrogen sulfide is the third class of gas signaling molecules after nitric oxide (NO) and carbon monoxide (CO). The high level of endogenous hydrogen sulfide found in the brain, which is mainly produced by cystathionine beta-synthase, suggests that it may have a physiological function, and the nucleus tractus solitarius is important nucleus that regulates the function of internal organs, so we want to elucidate the role of hydrogen sulfide in the NTS in regulating gastric function in rats.</w:t>
      </w:r>
    </w:p>
    <w:p w14:paraId="51B8832C" w14:textId="77777777" w:rsidR="001E58B4" w:rsidRPr="00D301DC" w:rsidRDefault="001E58B4">
      <w:pPr>
        <w:spacing w:line="360" w:lineRule="auto"/>
        <w:jc w:val="both"/>
      </w:pPr>
    </w:p>
    <w:p w14:paraId="2E8D1B55" w14:textId="77777777" w:rsidR="001E58B4" w:rsidRPr="00D301DC" w:rsidRDefault="00000000">
      <w:pPr>
        <w:spacing w:line="360" w:lineRule="auto"/>
        <w:jc w:val="both"/>
      </w:pPr>
      <w:r w:rsidRPr="00D301DC">
        <w:rPr>
          <w:rFonts w:ascii="Book Antiqua" w:eastAsia="Book Antiqua" w:hAnsi="Book Antiqua" w:cs="Book Antiqua"/>
          <w:b/>
          <w:i/>
          <w:color w:val="000000"/>
        </w:rPr>
        <w:t>Research motivation</w:t>
      </w:r>
    </w:p>
    <w:p w14:paraId="765E5861" w14:textId="77777777" w:rsidR="001E58B4" w:rsidRPr="00D301DC" w:rsidRDefault="00000000">
      <w:pPr>
        <w:spacing w:line="360" w:lineRule="auto"/>
        <w:jc w:val="both"/>
      </w:pPr>
      <w:r w:rsidRPr="00D301DC">
        <w:rPr>
          <w:rFonts w:ascii="Book Antiqua" w:eastAsia="Book Antiqua" w:hAnsi="Book Antiqua" w:cs="Book Antiqua"/>
          <w:color w:val="000000"/>
        </w:rPr>
        <w:t>To investigate whether hydrogen sulfide in the nucleus tractus solitarius is involved in the regulation of gastric dysfunction by restraint water-immersion stress, this study will examine the role of hydrogen sulfide in the nucleus tractus solitarius in the regulation of gastric motility.</w:t>
      </w:r>
    </w:p>
    <w:p w14:paraId="1C716C8A" w14:textId="77777777" w:rsidR="001E58B4" w:rsidRPr="00D301DC" w:rsidRDefault="001E58B4">
      <w:pPr>
        <w:spacing w:line="360" w:lineRule="auto"/>
        <w:jc w:val="both"/>
      </w:pPr>
    </w:p>
    <w:p w14:paraId="465DA1CE" w14:textId="77777777" w:rsidR="001E58B4" w:rsidRPr="00D301DC" w:rsidRDefault="00000000">
      <w:pPr>
        <w:spacing w:line="360" w:lineRule="auto"/>
        <w:jc w:val="both"/>
      </w:pPr>
      <w:r w:rsidRPr="00D301DC">
        <w:rPr>
          <w:rFonts w:ascii="Book Antiqua" w:eastAsia="Book Antiqua" w:hAnsi="Book Antiqua" w:cs="Book Antiqua"/>
          <w:b/>
          <w:i/>
          <w:color w:val="000000"/>
        </w:rPr>
        <w:t>Research objectives</w:t>
      </w:r>
    </w:p>
    <w:p w14:paraId="1115341B" w14:textId="77777777" w:rsidR="001E58B4" w:rsidRPr="00D301DC" w:rsidRDefault="00000000">
      <w:pPr>
        <w:spacing w:line="360" w:lineRule="auto"/>
        <w:jc w:val="both"/>
      </w:pPr>
      <w:r w:rsidRPr="00D301DC">
        <w:rPr>
          <w:rFonts w:ascii="Book Antiqua" w:eastAsia="Book Antiqua" w:hAnsi="Book Antiqua" w:cs="Book Antiqua"/>
          <w:color w:val="000000"/>
        </w:rPr>
        <w:t>It is the first time to propose that hydrogen sulfide in the nucleus tractus solitarius has a regulatory effect on the gastric motility caused by restraint water-immersion stress, and to investigate its mechanism of action, which can not only elucidate the mechanism of regulation of gastric dysfunction by hydrogen sulfide in the nucleus tractus solitarius, and also provide an important experimental basis for the prevention and treatment of stress gastric ulcer from the central aspect in clinical practice.</w:t>
      </w:r>
    </w:p>
    <w:p w14:paraId="757CA23B" w14:textId="77777777" w:rsidR="001E58B4" w:rsidRPr="00D301DC" w:rsidRDefault="001E58B4">
      <w:pPr>
        <w:spacing w:line="360" w:lineRule="auto"/>
        <w:jc w:val="both"/>
      </w:pPr>
    </w:p>
    <w:p w14:paraId="4968BB00" w14:textId="77777777" w:rsidR="001E58B4" w:rsidRPr="00D301DC" w:rsidRDefault="00000000">
      <w:pPr>
        <w:spacing w:line="360" w:lineRule="auto"/>
        <w:jc w:val="both"/>
      </w:pPr>
      <w:r w:rsidRPr="00D301DC">
        <w:rPr>
          <w:rFonts w:ascii="Book Antiqua" w:eastAsia="Book Antiqua" w:hAnsi="Book Antiqua" w:cs="Book Antiqua"/>
          <w:b/>
          <w:i/>
          <w:color w:val="000000"/>
        </w:rPr>
        <w:t>Research methods</w:t>
      </w:r>
    </w:p>
    <w:p w14:paraId="51DADBB8" w14:textId="77777777" w:rsidR="001E58B4" w:rsidRPr="00D301DC" w:rsidRDefault="00000000">
      <w:pPr>
        <w:spacing w:line="360" w:lineRule="auto"/>
        <w:jc w:val="both"/>
      </w:pPr>
      <w:r w:rsidRPr="00D301DC">
        <w:rPr>
          <w:rFonts w:ascii="Book Antiqua" w:eastAsia="Book Antiqua" w:hAnsi="Book Antiqua" w:cs="Book Antiqua"/>
          <w:color w:val="000000"/>
        </w:rPr>
        <w:lastRenderedPageBreak/>
        <w:t>We used immunohistochemical, fluorescent double-labeling technique and restraint water-immersion stress model to confirm the involvement of hydrogen sulfide-producing cystathionine beta-synthase neurons in the nucleus tractus solitarius in the regulation of gastric function, and physiological methods to record changes in gastric motility before and after their brain injection.</w:t>
      </w:r>
    </w:p>
    <w:p w14:paraId="542C1130" w14:textId="77777777" w:rsidR="001E58B4" w:rsidRPr="00D301DC" w:rsidRDefault="001E58B4">
      <w:pPr>
        <w:spacing w:line="360" w:lineRule="auto"/>
        <w:jc w:val="both"/>
      </w:pPr>
    </w:p>
    <w:p w14:paraId="399C3521" w14:textId="77777777" w:rsidR="001E58B4" w:rsidRPr="00D301DC" w:rsidRDefault="00000000">
      <w:pPr>
        <w:spacing w:line="360" w:lineRule="auto"/>
        <w:jc w:val="both"/>
      </w:pPr>
      <w:r w:rsidRPr="00D301DC">
        <w:rPr>
          <w:rFonts w:ascii="Book Antiqua" w:eastAsia="Book Antiqua" w:hAnsi="Book Antiqua" w:cs="Book Antiqua"/>
          <w:b/>
          <w:i/>
          <w:color w:val="000000"/>
        </w:rPr>
        <w:t>Research results</w:t>
      </w:r>
    </w:p>
    <w:p w14:paraId="38AF12E6" w14:textId="77777777" w:rsidR="001E58B4" w:rsidRPr="00D301DC" w:rsidRDefault="00000000">
      <w:pPr>
        <w:spacing w:line="360" w:lineRule="auto"/>
        <w:jc w:val="both"/>
      </w:pPr>
      <w:r w:rsidRPr="00D301DC">
        <w:rPr>
          <w:rFonts w:ascii="Book Antiqua" w:eastAsia="Book Antiqua" w:hAnsi="Book Antiqua" w:cs="Book Antiqua"/>
          <w:color w:val="000000"/>
        </w:rPr>
        <w:t>After restraint water-immersion stress, cystathionine beta-synthase neurons containing c-Fos were significantly increased and gastric motility was inhibited in rats after nucleus tractus solitarius injection of NaHS, and this inhibitory effect was eliminated after pre-injection of transient receptor potential vanilloid 1 channels, NF-κB channel blockers, and NK1 receptor antagonists followed by NaHS injection.</w:t>
      </w:r>
    </w:p>
    <w:p w14:paraId="2F74C837" w14:textId="77777777" w:rsidR="001E58B4" w:rsidRPr="00D301DC" w:rsidRDefault="001E58B4">
      <w:pPr>
        <w:spacing w:line="360" w:lineRule="auto"/>
        <w:jc w:val="both"/>
      </w:pPr>
    </w:p>
    <w:p w14:paraId="2E31A479" w14:textId="77777777" w:rsidR="001E58B4" w:rsidRPr="00D301DC" w:rsidRDefault="00000000">
      <w:pPr>
        <w:spacing w:line="360" w:lineRule="auto"/>
        <w:jc w:val="both"/>
      </w:pPr>
      <w:r w:rsidRPr="00D301DC">
        <w:rPr>
          <w:rFonts w:ascii="Book Antiqua" w:eastAsia="Book Antiqua" w:hAnsi="Book Antiqua" w:cs="Book Antiqua"/>
          <w:b/>
          <w:i/>
          <w:color w:val="000000"/>
        </w:rPr>
        <w:t>Research conclusions</w:t>
      </w:r>
    </w:p>
    <w:p w14:paraId="417F7C2A" w14:textId="77777777" w:rsidR="001E58B4" w:rsidRPr="00D301DC" w:rsidRDefault="00000000">
      <w:pPr>
        <w:spacing w:line="360" w:lineRule="auto"/>
        <w:jc w:val="both"/>
      </w:pPr>
      <w:r w:rsidRPr="00D301DC">
        <w:rPr>
          <w:rFonts w:ascii="Book Antiqua" w:eastAsia="Book Antiqua" w:hAnsi="Book Antiqua" w:cs="Book Antiqua"/>
          <w:color w:val="000000"/>
        </w:rPr>
        <w:t xml:space="preserve">Injection NaHS into the nucleus tractus solitarius can inhibit gastric motility in rats and this effect may be mediated by TRPV1 and NK1 receptors </w:t>
      </w:r>
      <w:r w:rsidRPr="00D301DC">
        <w:rPr>
          <w:rFonts w:ascii="Book Antiqua" w:eastAsia="Book Antiqua" w:hAnsi="Book Antiqua" w:cs="Book Antiqua"/>
          <w:i/>
          <w:iCs/>
          <w:color w:val="000000"/>
        </w:rPr>
        <w:t>via</w:t>
      </w:r>
      <w:r w:rsidRPr="00D301DC">
        <w:rPr>
          <w:rFonts w:ascii="Book Antiqua" w:eastAsia="Book Antiqua" w:hAnsi="Book Antiqua" w:cs="Book Antiqua"/>
          <w:color w:val="000000"/>
        </w:rPr>
        <w:t xml:space="preserve"> NF-κB channel-dependent activation.</w:t>
      </w:r>
    </w:p>
    <w:p w14:paraId="52CB38AA" w14:textId="77777777" w:rsidR="001E58B4" w:rsidRPr="00D301DC" w:rsidRDefault="001E58B4">
      <w:pPr>
        <w:spacing w:line="360" w:lineRule="auto"/>
        <w:jc w:val="both"/>
      </w:pPr>
    </w:p>
    <w:p w14:paraId="5949B0B1" w14:textId="77777777" w:rsidR="001E58B4" w:rsidRPr="00D301DC" w:rsidRDefault="00000000">
      <w:pPr>
        <w:spacing w:line="360" w:lineRule="auto"/>
        <w:jc w:val="both"/>
      </w:pPr>
      <w:r w:rsidRPr="00D301DC">
        <w:rPr>
          <w:rFonts w:ascii="Book Antiqua" w:eastAsia="Book Antiqua" w:hAnsi="Book Antiqua" w:cs="Book Antiqua"/>
          <w:b/>
          <w:i/>
          <w:color w:val="000000"/>
        </w:rPr>
        <w:t>Research perspectives</w:t>
      </w:r>
    </w:p>
    <w:p w14:paraId="7B0C5575" w14:textId="77777777" w:rsidR="001E58B4" w:rsidRPr="00D301DC" w:rsidRDefault="00000000">
      <w:pPr>
        <w:spacing w:line="360" w:lineRule="auto"/>
        <w:jc w:val="both"/>
      </w:pPr>
      <w:r w:rsidRPr="00D301DC">
        <w:rPr>
          <w:rFonts w:ascii="Book Antiqua" w:eastAsia="Book Antiqua" w:hAnsi="Book Antiqua" w:cs="Book Antiqua"/>
          <w:color w:val="000000"/>
        </w:rPr>
        <w:t>Our next step will be to continue our work on the effects of endogenous hydrogen sulfide in the nucleus tractus solitarius on gastric function.</w:t>
      </w:r>
    </w:p>
    <w:p w14:paraId="23375D92" w14:textId="77777777" w:rsidR="001E58B4" w:rsidRPr="00D301DC" w:rsidRDefault="001E58B4">
      <w:pPr>
        <w:spacing w:line="360" w:lineRule="auto"/>
        <w:jc w:val="both"/>
      </w:pPr>
    </w:p>
    <w:p w14:paraId="1E0D6B74" w14:textId="77777777" w:rsidR="001E58B4" w:rsidRPr="00D301DC" w:rsidRDefault="00000000">
      <w:pPr>
        <w:spacing w:line="360" w:lineRule="auto"/>
        <w:jc w:val="both"/>
      </w:pPr>
      <w:r w:rsidRPr="00D301DC">
        <w:rPr>
          <w:rFonts w:ascii="Book Antiqua" w:eastAsia="Book Antiqua" w:hAnsi="Book Antiqua" w:cs="Book Antiqua"/>
          <w:b/>
          <w:color w:val="000000"/>
        </w:rPr>
        <w:t>REFERENCES</w:t>
      </w:r>
    </w:p>
    <w:p w14:paraId="03E00A93"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1 </w:t>
      </w:r>
      <w:r w:rsidRPr="00D301DC">
        <w:rPr>
          <w:rFonts w:ascii="Book Antiqua" w:eastAsia="Book Antiqua" w:hAnsi="Book Antiqua" w:cs="Book Antiqua"/>
          <w:b/>
          <w:bCs/>
        </w:rPr>
        <w:t>Gong SN</w:t>
      </w:r>
      <w:r w:rsidRPr="00D301DC">
        <w:rPr>
          <w:rFonts w:ascii="Book Antiqua" w:eastAsia="Book Antiqua" w:hAnsi="Book Antiqua" w:cs="Book Antiqua"/>
        </w:rPr>
        <w:t xml:space="preserve">, Zhu JP, Ma YJ, Zhao DQ. Proteomics of the mediodorsal thalamic nucleus of rats with stress-induced gastric ulcer. </w:t>
      </w:r>
      <w:r w:rsidRPr="00D301DC">
        <w:rPr>
          <w:rFonts w:ascii="Book Antiqua" w:eastAsia="Book Antiqua" w:hAnsi="Book Antiqua" w:cs="Book Antiqua"/>
          <w:i/>
          <w:iCs/>
        </w:rPr>
        <w:t>World J Gastroenterol</w:t>
      </w:r>
      <w:r w:rsidRPr="00D301DC">
        <w:rPr>
          <w:rFonts w:ascii="Book Antiqua" w:eastAsia="Book Antiqua" w:hAnsi="Book Antiqua" w:cs="Book Antiqua"/>
        </w:rPr>
        <w:t xml:space="preserve"> 2019; </w:t>
      </w:r>
      <w:r w:rsidRPr="00D301DC">
        <w:rPr>
          <w:rFonts w:ascii="Book Antiqua" w:eastAsia="Book Antiqua" w:hAnsi="Book Antiqua" w:cs="Book Antiqua"/>
          <w:b/>
          <w:bCs/>
        </w:rPr>
        <w:t>25</w:t>
      </w:r>
      <w:r w:rsidRPr="00D301DC">
        <w:rPr>
          <w:rFonts w:ascii="Book Antiqua" w:eastAsia="Book Antiqua" w:hAnsi="Book Antiqua" w:cs="Book Antiqua"/>
        </w:rPr>
        <w:t>: 2911-2923 [PMID: 31249449 DOI: 10.3748/wjg.v25.i23.2911]</w:t>
      </w:r>
    </w:p>
    <w:p w14:paraId="45025D2E"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2 </w:t>
      </w:r>
      <w:r w:rsidRPr="00D301DC">
        <w:rPr>
          <w:rFonts w:ascii="Book Antiqua" w:eastAsia="Book Antiqua" w:hAnsi="Book Antiqua" w:cs="Book Antiqua"/>
          <w:b/>
          <w:bCs/>
        </w:rPr>
        <w:t>Travagli RA</w:t>
      </w:r>
      <w:r w:rsidRPr="00D301DC">
        <w:rPr>
          <w:rFonts w:ascii="Book Antiqua" w:eastAsia="Book Antiqua" w:hAnsi="Book Antiqua" w:cs="Book Antiqua"/>
        </w:rPr>
        <w:t xml:space="preserve">, Anselmi L. Vagal neurocircuitry and its influence on gastric motility. </w:t>
      </w:r>
      <w:r w:rsidRPr="00D301DC">
        <w:rPr>
          <w:rFonts w:ascii="Book Antiqua" w:eastAsia="Book Antiqua" w:hAnsi="Book Antiqua" w:cs="Book Antiqua"/>
          <w:i/>
          <w:iCs/>
        </w:rPr>
        <w:t>Nat Rev Gastroenterol Hepatol</w:t>
      </w:r>
      <w:r w:rsidRPr="00D301DC">
        <w:rPr>
          <w:rFonts w:ascii="Book Antiqua" w:eastAsia="Book Antiqua" w:hAnsi="Book Antiqua" w:cs="Book Antiqua"/>
        </w:rPr>
        <w:t xml:space="preserve"> 2016; </w:t>
      </w:r>
      <w:r w:rsidRPr="00D301DC">
        <w:rPr>
          <w:rFonts w:ascii="Book Antiqua" w:eastAsia="Book Antiqua" w:hAnsi="Book Antiqua" w:cs="Book Antiqua"/>
          <w:b/>
          <w:bCs/>
        </w:rPr>
        <w:t>13</w:t>
      </w:r>
      <w:r w:rsidRPr="00D301DC">
        <w:rPr>
          <w:rFonts w:ascii="Book Antiqua" w:eastAsia="Book Antiqua" w:hAnsi="Book Antiqua" w:cs="Book Antiqua"/>
        </w:rPr>
        <w:t>: 389-401 [PMID: 27251213 DOI: 10.1038/nrgastro.2016.76]</w:t>
      </w:r>
    </w:p>
    <w:p w14:paraId="06BD74E6"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lastRenderedPageBreak/>
        <w:t xml:space="preserve">3 </w:t>
      </w:r>
      <w:r w:rsidRPr="00D301DC">
        <w:rPr>
          <w:rFonts w:ascii="Book Antiqua" w:eastAsia="Book Antiqua" w:hAnsi="Book Antiqua" w:cs="Book Antiqua"/>
          <w:b/>
          <w:bCs/>
        </w:rPr>
        <w:t>Hyde TM</w:t>
      </w:r>
      <w:r w:rsidRPr="00D301DC">
        <w:rPr>
          <w:rFonts w:ascii="Book Antiqua" w:eastAsia="Book Antiqua" w:hAnsi="Book Antiqua" w:cs="Book Antiqua"/>
        </w:rPr>
        <w:t xml:space="preserve">, Miselis RR. Subnuclear organization of the human caudal nucleus of the solitary tract. </w:t>
      </w:r>
      <w:r w:rsidRPr="00D301DC">
        <w:rPr>
          <w:rFonts w:ascii="Book Antiqua" w:eastAsia="Book Antiqua" w:hAnsi="Book Antiqua" w:cs="Book Antiqua"/>
          <w:i/>
          <w:iCs/>
        </w:rPr>
        <w:t>Brain Res Bull</w:t>
      </w:r>
      <w:r w:rsidRPr="00D301DC">
        <w:rPr>
          <w:rFonts w:ascii="Book Antiqua" w:eastAsia="Book Antiqua" w:hAnsi="Book Antiqua" w:cs="Book Antiqua"/>
        </w:rPr>
        <w:t xml:space="preserve"> 1992; </w:t>
      </w:r>
      <w:r w:rsidRPr="00D301DC">
        <w:rPr>
          <w:rFonts w:ascii="Book Antiqua" w:eastAsia="Book Antiqua" w:hAnsi="Book Antiqua" w:cs="Book Antiqua"/>
          <w:b/>
          <w:bCs/>
        </w:rPr>
        <w:t>29</w:t>
      </w:r>
      <w:r w:rsidRPr="00D301DC">
        <w:rPr>
          <w:rFonts w:ascii="Book Antiqua" w:eastAsia="Book Antiqua" w:hAnsi="Book Antiqua" w:cs="Book Antiqua"/>
        </w:rPr>
        <w:t>: 95-109 [PMID: 1504855 DOI: 10.1016/0361-9230(92)90013-n]</w:t>
      </w:r>
    </w:p>
    <w:p w14:paraId="2D3A3E19"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4 </w:t>
      </w:r>
      <w:r w:rsidRPr="00D301DC">
        <w:rPr>
          <w:rFonts w:ascii="Book Antiqua" w:eastAsia="Book Antiqua" w:hAnsi="Book Antiqua" w:cs="Book Antiqua"/>
          <w:b/>
          <w:bCs/>
        </w:rPr>
        <w:t>Zhang X</w:t>
      </w:r>
      <w:r w:rsidRPr="00D301DC">
        <w:rPr>
          <w:rFonts w:ascii="Book Antiqua" w:eastAsia="Book Antiqua" w:hAnsi="Book Antiqua" w:cs="Book Antiqua"/>
        </w:rPr>
        <w:t xml:space="preserve">, Fogel R, Renehan WE. Relationships between the morphology and function of gastric- and intestine-sensitive neurons in the nucleus of the solitary tract. </w:t>
      </w:r>
      <w:r w:rsidRPr="00D301DC">
        <w:rPr>
          <w:rFonts w:ascii="Book Antiqua" w:eastAsia="Book Antiqua" w:hAnsi="Book Antiqua" w:cs="Book Antiqua"/>
          <w:i/>
          <w:iCs/>
        </w:rPr>
        <w:t>J Comp Neurol</w:t>
      </w:r>
      <w:r w:rsidRPr="00D301DC">
        <w:rPr>
          <w:rFonts w:ascii="Book Antiqua" w:eastAsia="Book Antiqua" w:hAnsi="Book Antiqua" w:cs="Book Antiqua"/>
        </w:rPr>
        <w:t xml:space="preserve"> 1995; </w:t>
      </w:r>
      <w:r w:rsidRPr="00D301DC">
        <w:rPr>
          <w:rFonts w:ascii="Book Antiqua" w:eastAsia="Book Antiqua" w:hAnsi="Book Antiqua" w:cs="Book Antiqua"/>
          <w:b/>
          <w:bCs/>
        </w:rPr>
        <w:t>363</w:t>
      </w:r>
      <w:r w:rsidRPr="00D301DC">
        <w:rPr>
          <w:rFonts w:ascii="Book Antiqua" w:eastAsia="Book Antiqua" w:hAnsi="Book Antiqua" w:cs="Book Antiqua"/>
        </w:rPr>
        <w:t>: 37-52 [PMID: 8682936 DOI: 10.1002/cne.903630105]</w:t>
      </w:r>
    </w:p>
    <w:p w14:paraId="2E6D14CF"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5 </w:t>
      </w:r>
      <w:r w:rsidRPr="00D301DC">
        <w:rPr>
          <w:rFonts w:ascii="Book Antiqua" w:eastAsia="Book Antiqua" w:hAnsi="Book Antiqua" w:cs="Book Antiqua"/>
          <w:b/>
          <w:bCs/>
        </w:rPr>
        <w:t>Qiao W</w:t>
      </w:r>
      <w:r w:rsidRPr="00D301DC">
        <w:rPr>
          <w:rFonts w:ascii="Book Antiqua" w:eastAsia="Book Antiqua" w:hAnsi="Book Antiqua" w:cs="Book Antiqua"/>
        </w:rPr>
        <w:t xml:space="preserve">, Yang L, Li XY, Cao N, Wang WZ, Chai C, Lu Y. The cardiovascular inhibition functions of hydrogen sulfide within the nucleus tractus solitarii are mediated by the activation of KATP channels and glutamate receptors mechanisms. </w:t>
      </w:r>
      <w:r w:rsidRPr="00D301DC">
        <w:rPr>
          <w:rFonts w:ascii="Book Antiqua" w:eastAsia="Book Antiqua" w:hAnsi="Book Antiqua" w:cs="Book Antiqua"/>
          <w:i/>
          <w:iCs/>
        </w:rPr>
        <w:t>Pharmazie</w:t>
      </w:r>
      <w:r w:rsidRPr="00D301DC">
        <w:rPr>
          <w:rFonts w:ascii="Book Antiqua" w:eastAsia="Book Antiqua" w:hAnsi="Book Antiqua" w:cs="Book Antiqua"/>
        </w:rPr>
        <w:t xml:space="preserve"> 2011; </w:t>
      </w:r>
      <w:r w:rsidRPr="00D301DC">
        <w:rPr>
          <w:rFonts w:ascii="Book Antiqua" w:eastAsia="Book Antiqua" w:hAnsi="Book Antiqua" w:cs="Book Antiqua"/>
          <w:b/>
          <w:bCs/>
        </w:rPr>
        <w:t>66</w:t>
      </w:r>
      <w:r w:rsidRPr="00D301DC">
        <w:rPr>
          <w:rFonts w:ascii="Book Antiqua" w:eastAsia="Book Antiqua" w:hAnsi="Book Antiqua" w:cs="Book Antiqua"/>
        </w:rPr>
        <w:t>: 287-292 [PMID: 21612157]</w:t>
      </w:r>
    </w:p>
    <w:p w14:paraId="29C406DE"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6 </w:t>
      </w:r>
      <w:r w:rsidRPr="00D301DC">
        <w:rPr>
          <w:rFonts w:ascii="Book Antiqua" w:eastAsia="Book Antiqua" w:hAnsi="Book Antiqua" w:cs="Book Antiqua"/>
          <w:b/>
          <w:bCs/>
        </w:rPr>
        <w:t>Cao J</w:t>
      </w:r>
      <w:r w:rsidRPr="00D301DC">
        <w:rPr>
          <w:rFonts w:ascii="Book Antiqua" w:eastAsia="Book Antiqua" w:hAnsi="Book Antiqua" w:cs="Book Antiqua"/>
        </w:rPr>
        <w:t xml:space="preserve">, Wang X, Powley TL, Liu Z. Gastric neurons in the nucleus tractus solitarius are selective to the orientation of gastric electrical stimulation. </w:t>
      </w:r>
      <w:r w:rsidRPr="00D301DC">
        <w:rPr>
          <w:rFonts w:ascii="Book Antiqua" w:eastAsia="Book Antiqua" w:hAnsi="Book Antiqua" w:cs="Book Antiqua"/>
          <w:i/>
          <w:iCs/>
        </w:rPr>
        <w:t>J Neural Eng</w:t>
      </w:r>
      <w:r w:rsidRPr="00D301DC">
        <w:rPr>
          <w:rFonts w:ascii="Book Antiqua" w:eastAsia="Book Antiqua" w:hAnsi="Book Antiqua" w:cs="Book Antiqua"/>
        </w:rPr>
        <w:t xml:space="preserve"> 2021; </w:t>
      </w:r>
      <w:r w:rsidRPr="00D301DC">
        <w:rPr>
          <w:rFonts w:ascii="Book Antiqua" w:eastAsia="Book Antiqua" w:hAnsi="Book Antiqua" w:cs="Book Antiqua"/>
          <w:b/>
          <w:bCs/>
        </w:rPr>
        <w:t>18</w:t>
      </w:r>
      <w:r w:rsidRPr="00D301DC">
        <w:rPr>
          <w:rFonts w:ascii="Book Antiqua" w:eastAsia="Book Antiqua" w:hAnsi="Book Antiqua" w:cs="Book Antiqua"/>
        </w:rPr>
        <w:t xml:space="preserve"> [PMID: 34634781 DOI: 10.1088/1741-2552/ac2ec6]</w:t>
      </w:r>
    </w:p>
    <w:p w14:paraId="604838EE"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7 </w:t>
      </w:r>
      <w:r w:rsidRPr="00D301DC">
        <w:rPr>
          <w:rFonts w:ascii="Book Antiqua" w:eastAsia="Book Antiqua" w:hAnsi="Book Antiqua" w:cs="Book Antiqua"/>
          <w:b/>
          <w:bCs/>
        </w:rPr>
        <w:t>Holmes GM</w:t>
      </w:r>
      <w:r w:rsidRPr="00D301DC">
        <w:rPr>
          <w:rFonts w:ascii="Book Antiqua" w:eastAsia="Book Antiqua" w:hAnsi="Book Antiqua" w:cs="Book Antiqua"/>
        </w:rPr>
        <w:t xml:space="preserve">, Browning KN, Babic T, Fortna SR, Coleman FH, Travagli RA. Vagal afferent fibres determine the oxytocin-induced modulation of gastric tone. </w:t>
      </w:r>
      <w:r w:rsidRPr="00D301DC">
        <w:rPr>
          <w:rFonts w:ascii="Book Antiqua" w:eastAsia="Book Antiqua" w:hAnsi="Book Antiqua" w:cs="Book Antiqua"/>
          <w:i/>
          <w:iCs/>
        </w:rPr>
        <w:t>J Physiol</w:t>
      </w:r>
      <w:r w:rsidRPr="00D301DC">
        <w:rPr>
          <w:rFonts w:ascii="Book Antiqua" w:eastAsia="Book Antiqua" w:hAnsi="Book Antiqua" w:cs="Book Antiqua"/>
        </w:rPr>
        <w:t xml:space="preserve"> 2013; </w:t>
      </w:r>
      <w:r w:rsidRPr="00D301DC">
        <w:rPr>
          <w:rFonts w:ascii="Book Antiqua" w:eastAsia="Book Antiqua" w:hAnsi="Book Antiqua" w:cs="Book Antiqua"/>
          <w:b/>
          <w:bCs/>
        </w:rPr>
        <w:t>591</w:t>
      </w:r>
      <w:r w:rsidRPr="00D301DC">
        <w:rPr>
          <w:rFonts w:ascii="Book Antiqua" w:eastAsia="Book Antiqua" w:hAnsi="Book Antiqua" w:cs="Book Antiqua"/>
        </w:rPr>
        <w:t>: 3081-3100 [PMID: 23587885 DOI: 10.1113/jphysiol.2013.253732]</w:t>
      </w:r>
    </w:p>
    <w:p w14:paraId="4DBCEAD6"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8 </w:t>
      </w:r>
      <w:r w:rsidRPr="00D301DC">
        <w:rPr>
          <w:rFonts w:ascii="Book Antiqua" w:eastAsia="Book Antiqua" w:hAnsi="Book Antiqua" w:cs="Book Antiqua"/>
          <w:b/>
          <w:bCs/>
        </w:rPr>
        <w:t>Gillis RA</w:t>
      </w:r>
      <w:r w:rsidRPr="00D301DC">
        <w:rPr>
          <w:rFonts w:ascii="Book Antiqua" w:eastAsia="Book Antiqua" w:hAnsi="Book Antiqua" w:cs="Book Antiqua"/>
        </w:rPr>
        <w:t xml:space="preserve">, Dezfuli G, Bellusci L, Vicini S, Sahibzada N. Brainstem Neuronal Circuitries Controlling Gastric Tonic and Phasic Contractions: A Review. </w:t>
      </w:r>
      <w:r w:rsidRPr="00D301DC">
        <w:rPr>
          <w:rFonts w:ascii="Book Antiqua" w:eastAsia="Book Antiqua" w:hAnsi="Book Antiqua" w:cs="Book Antiqua"/>
          <w:i/>
          <w:iCs/>
        </w:rPr>
        <w:t>Cell Mol Neurobiol</w:t>
      </w:r>
      <w:r w:rsidRPr="00D301DC">
        <w:rPr>
          <w:rFonts w:ascii="Book Antiqua" w:eastAsia="Book Antiqua" w:hAnsi="Book Antiqua" w:cs="Book Antiqua"/>
        </w:rPr>
        <w:t xml:space="preserve"> 2022; </w:t>
      </w:r>
      <w:r w:rsidRPr="00D301DC">
        <w:rPr>
          <w:rFonts w:ascii="Book Antiqua" w:eastAsia="Book Antiqua" w:hAnsi="Book Antiqua" w:cs="Book Antiqua"/>
          <w:b/>
          <w:bCs/>
        </w:rPr>
        <w:t>42</w:t>
      </w:r>
      <w:r w:rsidRPr="00D301DC">
        <w:rPr>
          <w:rFonts w:ascii="Book Antiqua" w:eastAsia="Book Antiqua" w:hAnsi="Book Antiqua" w:cs="Book Antiqua"/>
        </w:rPr>
        <w:t>: 333-360 [PMID: 33813668 DOI: 10.1007/s10571-021-01084-5]</w:t>
      </w:r>
    </w:p>
    <w:p w14:paraId="6389EE8E"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9 </w:t>
      </w:r>
      <w:r w:rsidRPr="00D301DC">
        <w:rPr>
          <w:rFonts w:ascii="Book Antiqua" w:eastAsia="Book Antiqua" w:hAnsi="Book Antiqua" w:cs="Book Antiqua"/>
          <w:b/>
          <w:bCs/>
        </w:rPr>
        <w:t>Jimenez M</w:t>
      </w:r>
      <w:r w:rsidRPr="00D301DC">
        <w:rPr>
          <w:rFonts w:ascii="Book Antiqua" w:eastAsia="Book Antiqua" w:hAnsi="Book Antiqua" w:cs="Book Antiqua"/>
        </w:rPr>
        <w:t xml:space="preserve">. Hydrogen sulfide as a signaling molecule in the enteric nervous system. </w:t>
      </w:r>
      <w:r w:rsidRPr="00D301DC">
        <w:rPr>
          <w:rFonts w:ascii="Book Antiqua" w:eastAsia="Book Antiqua" w:hAnsi="Book Antiqua" w:cs="Book Antiqua"/>
          <w:i/>
          <w:iCs/>
        </w:rPr>
        <w:t>Neurogastroenterol Motil</w:t>
      </w:r>
      <w:r w:rsidRPr="00D301DC">
        <w:rPr>
          <w:rFonts w:ascii="Book Antiqua" w:eastAsia="Book Antiqua" w:hAnsi="Book Antiqua" w:cs="Book Antiqua"/>
        </w:rPr>
        <w:t xml:space="preserve"> 2010; </w:t>
      </w:r>
      <w:r w:rsidRPr="00D301DC">
        <w:rPr>
          <w:rFonts w:ascii="Book Antiqua" w:eastAsia="Book Antiqua" w:hAnsi="Book Antiqua" w:cs="Book Antiqua"/>
          <w:b/>
          <w:bCs/>
        </w:rPr>
        <w:t>22</w:t>
      </w:r>
      <w:r w:rsidRPr="00D301DC">
        <w:rPr>
          <w:rFonts w:ascii="Book Antiqua" w:eastAsia="Book Antiqua" w:hAnsi="Book Antiqua" w:cs="Book Antiqua"/>
        </w:rPr>
        <w:t>: 1149-1153 [PMID: 21069935 DOI: 10.1111/j.1365-2982.2010.01600.x]</w:t>
      </w:r>
    </w:p>
    <w:p w14:paraId="3D919D1F"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10 </w:t>
      </w:r>
      <w:r w:rsidRPr="00D301DC">
        <w:rPr>
          <w:rFonts w:ascii="Book Antiqua" w:eastAsia="Book Antiqua" w:hAnsi="Book Antiqua" w:cs="Book Antiqua"/>
          <w:b/>
          <w:bCs/>
        </w:rPr>
        <w:t>Hacioglu G</w:t>
      </w:r>
      <w:r w:rsidRPr="00D301DC">
        <w:rPr>
          <w:rFonts w:ascii="Book Antiqua" w:eastAsia="Book Antiqua" w:hAnsi="Book Antiqua" w:cs="Book Antiqua"/>
        </w:rPr>
        <w:t xml:space="preserve">, Cirrik S, Tezcan Yavuz B, Tomruk C, Keskin A, Uzunoglu E, Takir S. The BDNF-TrkB signaling pathway is partially involved in the neuroprotective effects of hydrogen sulfide in Parkinson's disease. </w:t>
      </w:r>
      <w:r w:rsidRPr="00D301DC">
        <w:rPr>
          <w:rFonts w:ascii="Book Antiqua" w:eastAsia="Book Antiqua" w:hAnsi="Book Antiqua" w:cs="Book Antiqua"/>
          <w:i/>
          <w:iCs/>
        </w:rPr>
        <w:t>Eur J Pharmacol</w:t>
      </w:r>
      <w:r w:rsidRPr="00D301DC">
        <w:rPr>
          <w:rFonts w:ascii="Book Antiqua" w:eastAsia="Book Antiqua" w:hAnsi="Book Antiqua" w:cs="Book Antiqua"/>
        </w:rPr>
        <w:t xml:space="preserve"> 2023; </w:t>
      </w:r>
      <w:r w:rsidRPr="00D301DC">
        <w:rPr>
          <w:rFonts w:ascii="Book Antiqua" w:eastAsia="Book Antiqua" w:hAnsi="Book Antiqua" w:cs="Book Antiqua"/>
          <w:b/>
          <w:bCs/>
        </w:rPr>
        <w:t>944</w:t>
      </w:r>
      <w:r w:rsidRPr="00D301DC">
        <w:rPr>
          <w:rFonts w:ascii="Book Antiqua" w:eastAsia="Book Antiqua" w:hAnsi="Book Antiqua" w:cs="Book Antiqua"/>
        </w:rPr>
        <w:t>: 175595 [PMID: 36804547 DOI: 10.1016/j.ejphar.2023.175595]</w:t>
      </w:r>
    </w:p>
    <w:p w14:paraId="16457872"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11 </w:t>
      </w:r>
      <w:r w:rsidRPr="00D301DC">
        <w:rPr>
          <w:rFonts w:ascii="Book Antiqua" w:eastAsia="Book Antiqua" w:hAnsi="Book Antiqua" w:cs="Book Antiqua"/>
          <w:b/>
          <w:bCs/>
        </w:rPr>
        <w:t>Paul BD</w:t>
      </w:r>
      <w:r w:rsidRPr="00D301DC">
        <w:rPr>
          <w:rFonts w:ascii="Book Antiqua" w:eastAsia="Book Antiqua" w:hAnsi="Book Antiqua" w:cs="Book Antiqua"/>
        </w:rPr>
        <w:t xml:space="preserve">, Pieper AA. Protective Roles of Hydrogen Sulfide in Alzheimer's Disease and Traumatic Brain Injury. </w:t>
      </w:r>
      <w:r w:rsidRPr="00D301DC">
        <w:rPr>
          <w:rFonts w:ascii="Book Antiqua" w:eastAsia="Book Antiqua" w:hAnsi="Book Antiqua" w:cs="Book Antiqua"/>
          <w:i/>
          <w:iCs/>
        </w:rPr>
        <w:t>Antioxidants (Basel)</w:t>
      </w:r>
      <w:r w:rsidRPr="00D301DC">
        <w:rPr>
          <w:rFonts w:ascii="Book Antiqua" w:eastAsia="Book Antiqua" w:hAnsi="Book Antiqua" w:cs="Book Antiqua"/>
        </w:rPr>
        <w:t xml:space="preserve"> 2023; </w:t>
      </w:r>
      <w:r w:rsidRPr="00D301DC">
        <w:rPr>
          <w:rFonts w:ascii="Book Antiqua" w:eastAsia="Book Antiqua" w:hAnsi="Book Antiqua" w:cs="Book Antiqua"/>
          <w:b/>
          <w:bCs/>
        </w:rPr>
        <w:t>12</w:t>
      </w:r>
      <w:r w:rsidRPr="00D301DC">
        <w:rPr>
          <w:rFonts w:ascii="Book Antiqua" w:eastAsia="Book Antiqua" w:hAnsi="Book Antiqua" w:cs="Book Antiqua"/>
        </w:rPr>
        <w:t xml:space="preserve"> [PMID: 37237961 DOI: 10.3390/antiox12051095]</w:t>
      </w:r>
    </w:p>
    <w:p w14:paraId="022A5A26"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lastRenderedPageBreak/>
        <w:t xml:space="preserve">12 </w:t>
      </w:r>
      <w:r w:rsidRPr="00D301DC">
        <w:rPr>
          <w:rFonts w:ascii="Book Antiqua" w:eastAsia="Book Antiqua" w:hAnsi="Book Antiqua" w:cs="Book Antiqua"/>
          <w:b/>
          <w:bCs/>
        </w:rPr>
        <w:t>Wang S</w:t>
      </w:r>
      <w:r w:rsidRPr="00D301DC">
        <w:rPr>
          <w:rFonts w:ascii="Book Antiqua" w:eastAsia="Book Antiqua" w:hAnsi="Book Antiqua" w:cs="Book Antiqua"/>
        </w:rPr>
        <w:t xml:space="preserve">, Paton JF, Kasparov S. Differential sensitivity of excitatory and inhibitory synaptic transmission to modulation by nitric oxide in rat nucleus tractus solitarii. </w:t>
      </w:r>
      <w:r w:rsidRPr="00D301DC">
        <w:rPr>
          <w:rFonts w:ascii="Book Antiqua" w:eastAsia="Book Antiqua" w:hAnsi="Book Antiqua" w:cs="Book Antiqua"/>
          <w:i/>
          <w:iCs/>
        </w:rPr>
        <w:t>Exp Physiol</w:t>
      </w:r>
      <w:r w:rsidRPr="00D301DC">
        <w:rPr>
          <w:rFonts w:ascii="Book Antiqua" w:eastAsia="Book Antiqua" w:hAnsi="Book Antiqua" w:cs="Book Antiqua"/>
        </w:rPr>
        <w:t xml:space="preserve"> 2007; </w:t>
      </w:r>
      <w:r w:rsidRPr="00D301DC">
        <w:rPr>
          <w:rFonts w:ascii="Book Antiqua" w:eastAsia="Book Antiqua" w:hAnsi="Book Antiqua" w:cs="Book Antiqua"/>
          <w:b/>
          <w:bCs/>
        </w:rPr>
        <w:t>92</w:t>
      </w:r>
      <w:r w:rsidRPr="00D301DC">
        <w:rPr>
          <w:rFonts w:ascii="Book Antiqua" w:eastAsia="Book Antiqua" w:hAnsi="Book Antiqua" w:cs="Book Antiqua"/>
        </w:rPr>
        <w:t>: 371-382 [PMID: 17138620 DOI: 10.1113/expphysiol.2006.036103]</w:t>
      </w:r>
    </w:p>
    <w:p w14:paraId="2DD12824"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13 </w:t>
      </w:r>
      <w:r w:rsidRPr="00D301DC">
        <w:rPr>
          <w:rFonts w:ascii="Book Antiqua" w:eastAsia="Book Antiqua" w:hAnsi="Book Antiqua" w:cs="Book Antiqua"/>
          <w:b/>
          <w:bCs/>
        </w:rPr>
        <w:t>Li Q</w:t>
      </w:r>
      <w:r w:rsidRPr="00D301DC">
        <w:rPr>
          <w:rFonts w:ascii="Book Antiqua" w:eastAsia="Book Antiqua" w:hAnsi="Book Antiqua" w:cs="Book Antiqua"/>
        </w:rPr>
        <w:t xml:space="preserve">, Sun B, Wang X, Jin Z, Zhou Y, Dong L, Jiang LH, Rong W. A crucial role for hydrogen sulfide in oxygen sensing via modulating large conductance calcium-activated potassium channels. </w:t>
      </w:r>
      <w:r w:rsidRPr="00D301DC">
        <w:rPr>
          <w:rFonts w:ascii="Book Antiqua" w:eastAsia="Book Antiqua" w:hAnsi="Book Antiqua" w:cs="Book Antiqua"/>
          <w:i/>
          <w:iCs/>
        </w:rPr>
        <w:t>Antioxid Redox Signal</w:t>
      </w:r>
      <w:r w:rsidRPr="00D301DC">
        <w:rPr>
          <w:rFonts w:ascii="Book Antiqua" w:eastAsia="Book Antiqua" w:hAnsi="Book Antiqua" w:cs="Book Antiqua"/>
        </w:rPr>
        <w:t xml:space="preserve"> 2010; </w:t>
      </w:r>
      <w:r w:rsidRPr="00D301DC">
        <w:rPr>
          <w:rFonts w:ascii="Book Antiqua" w:eastAsia="Book Antiqua" w:hAnsi="Book Antiqua" w:cs="Book Antiqua"/>
          <w:b/>
          <w:bCs/>
        </w:rPr>
        <w:t>12</w:t>
      </w:r>
      <w:r w:rsidRPr="00D301DC">
        <w:rPr>
          <w:rFonts w:ascii="Book Antiqua" w:eastAsia="Book Antiqua" w:hAnsi="Book Antiqua" w:cs="Book Antiqua"/>
        </w:rPr>
        <w:t>: 1179-1189 [PMID: 19803741 DOI: 10.1089/ars.2009.2926]</w:t>
      </w:r>
    </w:p>
    <w:p w14:paraId="4BFDB9BB"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14 </w:t>
      </w:r>
      <w:r w:rsidRPr="00D301DC">
        <w:rPr>
          <w:rFonts w:ascii="Book Antiqua" w:eastAsia="Book Antiqua" w:hAnsi="Book Antiqua" w:cs="Book Antiqua"/>
          <w:b/>
          <w:bCs/>
        </w:rPr>
        <w:t>Gallego D</w:t>
      </w:r>
      <w:r w:rsidRPr="00D301DC">
        <w:rPr>
          <w:rFonts w:ascii="Book Antiqua" w:eastAsia="Book Antiqua" w:hAnsi="Book Antiqua" w:cs="Book Antiqua"/>
        </w:rPr>
        <w:t xml:space="preserve">, Clavé P, Donovan J, Rahmati R, Grundy D, Jiménez M, Beyak MJ. The gaseous mediator, hydrogen sulphide, inhibits in vitro motor patterns in the human, rat and mouse colon and jejunum. </w:t>
      </w:r>
      <w:r w:rsidRPr="00D301DC">
        <w:rPr>
          <w:rFonts w:ascii="Book Antiqua" w:eastAsia="Book Antiqua" w:hAnsi="Book Antiqua" w:cs="Book Antiqua"/>
          <w:i/>
          <w:iCs/>
        </w:rPr>
        <w:t>Neurogastroenterol Motil</w:t>
      </w:r>
      <w:r w:rsidRPr="00D301DC">
        <w:rPr>
          <w:rFonts w:ascii="Book Antiqua" w:eastAsia="Book Antiqua" w:hAnsi="Book Antiqua" w:cs="Book Antiqua"/>
        </w:rPr>
        <w:t xml:space="preserve"> 2008; </w:t>
      </w:r>
      <w:r w:rsidRPr="00D301DC">
        <w:rPr>
          <w:rFonts w:ascii="Book Antiqua" w:eastAsia="Book Antiqua" w:hAnsi="Book Antiqua" w:cs="Book Antiqua"/>
          <w:b/>
          <w:bCs/>
        </w:rPr>
        <w:t>20</w:t>
      </w:r>
      <w:r w:rsidRPr="00D301DC">
        <w:rPr>
          <w:rFonts w:ascii="Book Antiqua" w:eastAsia="Book Antiqua" w:hAnsi="Book Antiqua" w:cs="Book Antiqua"/>
        </w:rPr>
        <w:t>: 1306-1316 [PMID: 19019033 DOI: 10.1111/j.1365-2982.2008.01201.x]</w:t>
      </w:r>
    </w:p>
    <w:p w14:paraId="5FCB24CE"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15 </w:t>
      </w:r>
      <w:r w:rsidRPr="00D301DC">
        <w:rPr>
          <w:rFonts w:ascii="Book Antiqua" w:eastAsia="Book Antiqua" w:hAnsi="Book Antiqua" w:cs="Book Antiqua"/>
          <w:b/>
          <w:bCs/>
        </w:rPr>
        <w:t>Fernandes VS</w:t>
      </w:r>
      <w:r w:rsidRPr="00D301DC">
        <w:rPr>
          <w:rFonts w:ascii="Book Antiqua" w:eastAsia="Book Antiqua" w:hAnsi="Book Antiqua" w:cs="Book Antiqua"/>
        </w:rPr>
        <w:t xml:space="preserve">, Ribeiro AS, Barahona MV, Orensanz LM, Martínez-Sáenz A, Recio P, Martínez AC, Bustamante S, Carballido J, García-Sacristán A, Prieto D, Hernández M. Hydrogen sulfide mediated inhibitory neurotransmission to the pig bladder neck: role of KATP channels, sensory nerves and calcium signaling. </w:t>
      </w:r>
      <w:r w:rsidRPr="00D301DC">
        <w:rPr>
          <w:rFonts w:ascii="Book Antiqua" w:eastAsia="Book Antiqua" w:hAnsi="Book Antiqua" w:cs="Book Antiqua"/>
          <w:i/>
          <w:iCs/>
        </w:rPr>
        <w:t>J Urol</w:t>
      </w:r>
      <w:r w:rsidRPr="00D301DC">
        <w:rPr>
          <w:rFonts w:ascii="Book Antiqua" w:eastAsia="Book Antiqua" w:hAnsi="Book Antiqua" w:cs="Book Antiqua"/>
        </w:rPr>
        <w:t xml:space="preserve"> 2013; </w:t>
      </w:r>
      <w:r w:rsidRPr="00D301DC">
        <w:rPr>
          <w:rFonts w:ascii="Book Antiqua" w:eastAsia="Book Antiqua" w:hAnsi="Book Antiqua" w:cs="Book Antiqua"/>
          <w:b/>
          <w:bCs/>
        </w:rPr>
        <w:t>190</w:t>
      </w:r>
      <w:r w:rsidRPr="00D301DC">
        <w:rPr>
          <w:rFonts w:ascii="Book Antiqua" w:eastAsia="Book Antiqua" w:hAnsi="Book Antiqua" w:cs="Book Antiqua"/>
        </w:rPr>
        <w:t>: 746-756 [PMID: 23454157 DOI: 10.1016/j.juro.2013.02.103]</w:t>
      </w:r>
    </w:p>
    <w:p w14:paraId="0F4FE5EE"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16 </w:t>
      </w:r>
      <w:r w:rsidRPr="00D301DC">
        <w:rPr>
          <w:rFonts w:ascii="Book Antiqua" w:eastAsia="Book Antiqua" w:hAnsi="Book Antiqua" w:cs="Book Antiqua"/>
          <w:b/>
          <w:bCs/>
        </w:rPr>
        <w:t>Unuma K</w:t>
      </w:r>
      <w:r w:rsidRPr="00D301DC">
        <w:rPr>
          <w:rFonts w:ascii="Book Antiqua" w:eastAsia="Book Antiqua" w:hAnsi="Book Antiqua" w:cs="Book Antiqua"/>
        </w:rPr>
        <w:t xml:space="preserve">, Aki T, Yamashita A, Yoshikawa A, Uemura K. Hydrogen sulfide donor NaHS causes bronchitis with enhanced respiratory secretion in rats. </w:t>
      </w:r>
      <w:r w:rsidRPr="00D301DC">
        <w:rPr>
          <w:rFonts w:ascii="Book Antiqua" w:eastAsia="Book Antiqua" w:hAnsi="Book Antiqua" w:cs="Book Antiqua"/>
          <w:i/>
          <w:iCs/>
        </w:rPr>
        <w:t>J Toxicol Sci</w:t>
      </w:r>
      <w:r w:rsidRPr="00D301DC">
        <w:rPr>
          <w:rFonts w:ascii="Book Antiqua" w:eastAsia="Book Antiqua" w:hAnsi="Book Antiqua" w:cs="Book Antiqua"/>
        </w:rPr>
        <w:t xml:space="preserve"> 2019; </w:t>
      </w:r>
      <w:r w:rsidRPr="00D301DC">
        <w:rPr>
          <w:rFonts w:ascii="Book Antiqua" w:eastAsia="Book Antiqua" w:hAnsi="Book Antiqua" w:cs="Book Antiqua"/>
          <w:b/>
          <w:bCs/>
        </w:rPr>
        <w:t>44</w:t>
      </w:r>
      <w:r w:rsidRPr="00D301DC">
        <w:rPr>
          <w:rFonts w:ascii="Book Antiqua" w:eastAsia="Book Antiqua" w:hAnsi="Book Antiqua" w:cs="Book Antiqua"/>
        </w:rPr>
        <w:t>: 107-112 [PMID: 30726810 DOI: 10.2131/jts.44.107]</w:t>
      </w:r>
    </w:p>
    <w:p w14:paraId="07348EF1"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17 </w:t>
      </w:r>
      <w:r w:rsidRPr="00D301DC">
        <w:rPr>
          <w:rFonts w:ascii="Book Antiqua" w:eastAsia="Book Antiqua" w:hAnsi="Book Antiqua" w:cs="Book Antiqua"/>
          <w:b/>
          <w:bCs/>
        </w:rPr>
        <w:t>Scammahorn JJ</w:t>
      </w:r>
      <w:r w:rsidRPr="00D301DC">
        <w:rPr>
          <w:rFonts w:ascii="Book Antiqua" w:eastAsia="Book Antiqua" w:hAnsi="Book Antiqua" w:cs="Book Antiqua"/>
        </w:rPr>
        <w:t xml:space="preserve">, Nguyen ITN, Bos EM, Van Goor H, Joles JA. Fighting Oxidative Stress with Sulfur: Hydrogen Sulfide in the Renal and Cardiovascular Systems. </w:t>
      </w:r>
      <w:r w:rsidRPr="00D301DC">
        <w:rPr>
          <w:rFonts w:ascii="Book Antiqua" w:eastAsia="Book Antiqua" w:hAnsi="Book Antiqua" w:cs="Book Antiqua"/>
          <w:i/>
          <w:iCs/>
        </w:rPr>
        <w:t>Antioxidants (Basel)</w:t>
      </w:r>
      <w:r w:rsidRPr="00D301DC">
        <w:rPr>
          <w:rFonts w:ascii="Book Antiqua" w:eastAsia="Book Antiqua" w:hAnsi="Book Antiqua" w:cs="Book Antiqua"/>
        </w:rPr>
        <w:t xml:space="preserve"> 2021; </w:t>
      </w:r>
      <w:r w:rsidRPr="00D301DC">
        <w:rPr>
          <w:rFonts w:ascii="Book Antiqua" w:eastAsia="Book Antiqua" w:hAnsi="Book Antiqua" w:cs="Book Antiqua"/>
          <w:b/>
          <w:bCs/>
        </w:rPr>
        <w:t>10</w:t>
      </w:r>
      <w:r w:rsidRPr="00D301DC">
        <w:rPr>
          <w:rFonts w:ascii="Book Antiqua" w:eastAsia="Book Antiqua" w:hAnsi="Book Antiqua" w:cs="Book Antiqua"/>
        </w:rPr>
        <w:t xml:space="preserve"> [PMID: 33801446 DOI: 10.3390/antiox10030373]</w:t>
      </w:r>
    </w:p>
    <w:p w14:paraId="065C5EDD"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18 </w:t>
      </w:r>
      <w:r w:rsidRPr="00D301DC">
        <w:rPr>
          <w:rFonts w:ascii="Book Antiqua" w:eastAsia="Book Antiqua" w:hAnsi="Book Antiqua" w:cs="Book Antiqua"/>
          <w:b/>
          <w:bCs/>
        </w:rPr>
        <w:t>Kimura Y</w:t>
      </w:r>
      <w:r w:rsidRPr="00D301DC">
        <w:rPr>
          <w:rFonts w:ascii="Book Antiqua" w:eastAsia="Book Antiqua" w:hAnsi="Book Antiqua" w:cs="Book Antiqua"/>
        </w:rPr>
        <w:t xml:space="preserve">, Shibuya N, Kimura H. Sulfite protects neurons from oxidative stress. </w:t>
      </w:r>
      <w:r w:rsidRPr="00D301DC">
        <w:rPr>
          <w:rFonts w:ascii="Book Antiqua" w:eastAsia="Book Antiqua" w:hAnsi="Book Antiqua" w:cs="Book Antiqua"/>
          <w:i/>
          <w:iCs/>
        </w:rPr>
        <w:t>Br J Pharmacol</w:t>
      </w:r>
      <w:r w:rsidRPr="00D301DC">
        <w:rPr>
          <w:rFonts w:ascii="Book Antiqua" w:eastAsia="Book Antiqua" w:hAnsi="Book Antiqua" w:cs="Book Antiqua"/>
        </w:rPr>
        <w:t xml:space="preserve"> 2019; </w:t>
      </w:r>
      <w:r w:rsidRPr="00D301DC">
        <w:rPr>
          <w:rFonts w:ascii="Book Antiqua" w:eastAsia="Book Antiqua" w:hAnsi="Book Antiqua" w:cs="Book Antiqua"/>
          <w:b/>
          <w:bCs/>
        </w:rPr>
        <w:t>176</w:t>
      </w:r>
      <w:r w:rsidRPr="00D301DC">
        <w:rPr>
          <w:rFonts w:ascii="Book Antiqua" w:eastAsia="Book Antiqua" w:hAnsi="Book Antiqua" w:cs="Book Antiqua"/>
        </w:rPr>
        <w:t>: 571-582 [PMID: 29808913 DOI: 10.1111/bph.14373]</w:t>
      </w:r>
    </w:p>
    <w:p w14:paraId="20AFF750"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19 </w:t>
      </w:r>
      <w:r w:rsidRPr="00D301DC">
        <w:rPr>
          <w:rFonts w:ascii="Book Antiqua" w:eastAsia="Book Antiqua" w:hAnsi="Book Antiqua" w:cs="Book Antiqua"/>
          <w:b/>
          <w:bCs/>
        </w:rPr>
        <w:t>Derbenev AV</w:t>
      </w:r>
      <w:r w:rsidRPr="00D301DC">
        <w:rPr>
          <w:rFonts w:ascii="Book Antiqua" w:eastAsia="Book Antiqua" w:hAnsi="Book Antiqua" w:cs="Book Antiqua"/>
        </w:rPr>
        <w:t xml:space="preserve">, Monroe MJ, Glatzer NR, Smith BN. Vanilloid-mediated heterosynaptic facilitation of inhibitory synaptic input to neurons of the rat dorsal motor nucleus of the vagus. </w:t>
      </w:r>
      <w:r w:rsidRPr="00D301DC">
        <w:rPr>
          <w:rFonts w:ascii="Book Antiqua" w:eastAsia="Book Antiqua" w:hAnsi="Book Antiqua" w:cs="Book Antiqua"/>
          <w:i/>
          <w:iCs/>
        </w:rPr>
        <w:t>J Neurosci</w:t>
      </w:r>
      <w:r w:rsidRPr="00D301DC">
        <w:rPr>
          <w:rFonts w:ascii="Book Antiqua" w:eastAsia="Book Antiqua" w:hAnsi="Book Antiqua" w:cs="Book Antiqua"/>
        </w:rPr>
        <w:t xml:space="preserve"> 2006; </w:t>
      </w:r>
      <w:r w:rsidRPr="00D301DC">
        <w:rPr>
          <w:rFonts w:ascii="Book Antiqua" w:eastAsia="Book Antiqua" w:hAnsi="Book Antiqua" w:cs="Book Antiqua"/>
          <w:b/>
          <w:bCs/>
        </w:rPr>
        <w:t>26</w:t>
      </w:r>
      <w:r w:rsidRPr="00D301DC">
        <w:rPr>
          <w:rFonts w:ascii="Book Antiqua" w:eastAsia="Book Antiqua" w:hAnsi="Book Antiqua" w:cs="Book Antiqua"/>
        </w:rPr>
        <w:t>: 9666-9672 [PMID: 16988037 DOI: 10.1523/JNEUROSCI.1591-06.2006]</w:t>
      </w:r>
    </w:p>
    <w:p w14:paraId="19AF864A"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lastRenderedPageBreak/>
        <w:t xml:space="preserve">20 </w:t>
      </w:r>
      <w:r w:rsidRPr="00D301DC">
        <w:rPr>
          <w:rFonts w:ascii="Book Antiqua" w:eastAsia="Book Antiqua" w:hAnsi="Book Antiqua" w:cs="Book Antiqua"/>
          <w:b/>
          <w:bCs/>
        </w:rPr>
        <w:t>Peters JH</w:t>
      </w:r>
      <w:r w:rsidRPr="00D301DC">
        <w:rPr>
          <w:rFonts w:ascii="Book Antiqua" w:eastAsia="Book Antiqua" w:hAnsi="Book Antiqua" w:cs="Book Antiqua"/>
        </w:rPr>
        <w:t xml:space="preserve">, McDougall SJ, Fawley JA, Smith SM, Andresen MC. Primary afferent activation of thermosensitive TRPV1 triggers asynchronous glutamate release at central neurons. </w:t>
      </w:r>
      <w:r w:rsidRPr="00D301DC">
        <w:rPr>
          <w:rFonts w:ascii="Book Antiqua" w:eastAsia="Book Antiqua" w:hAnsi="Book Antiqua" w:cs="Book Antiqua"/>
          <w:i/>
          <w:iCs/>
        </w:rPr>
        <w:t>Neuron</w:t>
      </w:r>
      <w:r w:rsidRPr="00D301DC">
        <w:rPr>
          <w:rFonts w:ascii="Book Antiqua" w:eastAsia="Book Antiqua" w:hAnsi="Book Antiqua" w:cs="Book Antiqua"/>
        </w:rPr>
        <w:t xml:space="preserve"> 2010; </w:t>
      </w:r>
      <w:r w:rsidRPr="00D301DC">
        <w:rPr>
          <w:rFonts w:ascii="Book Antiqua" w:eastAsia="Book Antiqua" w:hAnsi="Book Antiqua" w:cs="Book Antiqua"/>
          <w:b/>
          <w:bCs/>
        </w:rPr>
        <w:t>65</w:t>
      </w:r>
      <w:r w:rsidRPr="00D301DC">
        <w:rPr>
          <w:rFonts w:ascii="Book Antiqua" w:eastAsia="Book Antiqua" w:hAnsi="Book Antiqua" w:cs="Book Antiqua"/>
        </w:rPr>
        <w:t>: 657-669 [PMID: 20223201 DOI: 10.1016/j.neuron.2010.02.017]</w:t>
      </w:r>
    </w:p>
    <w:p w14:paraId="7DBF90A2"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21 </w:t>
      </w:r>
      <w:r w:rsidRPr="00D301DC">
        <w:rPr>
          <w:rFonts w:ascii="Book Antiqua" w:eastAsia="Book Antiqua" w:hAnsi="Book Antiqua" w:cs="Book Antiqua"/>
          <w:b/>
          <w:bCs/>
        </w:rPr>
        <w:t>Jin YH</w:t>
      </w:r>
      <w:r w:rsidRPr="00D301DC">
        <w:rPr>
          <w:rFonts w:ascii="Book Antiqua" w:eastAsia="Book Antiqua" w:hAnsi="Book Antiqua" w:cs="Book Antiqua"/>
        </w:rPr>
        <w:t xml:space="preserve">, Bailey TW, Andresen MC. Cranial afferent glutamate heterosynaptically modulates GABA release onto second-order neurons via distinctly segregated metabotropic glutamate receptors. </w:t>
      </w:r>
      <w:r w:rsidRPr="00D301DC">
        <w:rPr>
          <w:rFonts w:ascii="Book Antiqua" w:eastAsia="Book Antiqua" w:hAnsi="Book Antiqua" w:cs="Book Antiqua"/>
          <w:i/>
          <w:iCs/>
        </w:rPr>
        <w:t>J Neurosci</w:t>
      </w:r>
      <w:r w:rsidRPr="00D301DC">
        <w:rPr>
          <w:rFonts w:ascii="Book Antiqua" w:eastAsia="Book Antiqua" w:hAnsi="Book Antiqua" w:cs="Book Antiqua"/>
        </w:rPr>
        <w:t xml:space="preserve"> 2004; </w:t>
      </w:r>
      <w:r w:rsidRPr="00D301DC">
        <w:rPr>
          <w:rFonts w:ascii="Book Antiqua" w:eastAsia="Book Antiqua" w:hAnsi="Book Antiqua" w:cs="Book Antiqua"/>
          <w:b/>
          <w:bCs/>
        </w:rPr>
        <w:t>24</w:t>
      </w:r>
      <w:r w:rsidRPr="00D301DC">
        <w:rPr>
          <w:rFonts w:ascii="Book Antiqua" w:eastAsia="Book Antiqua" w:hAnsi="Book Antiqua" w:cs="Book Antiqua"/>
        </w:rPr>
        <w:t>: 9332-9340 [PMID: 15496669 DOI: 10.1523/JNEUROSCI.1991-04.2004]</w:t>
      </w:r>
    </w:p>
    <w:p w14:paraId="391C8931"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22 </w:t>
      </w:r>
      <w:r w:rsidRPr="00D301DC">
        <w:rPr>
          <w:rFonts w:ascii="Book Antiqua" w:eastAsia="Book Antiqua" w:hAnsi="Book Antiqua" w:cs="Book Antiqua"/>
          <w:b/>
          <w:bCs/>
        </w:rPr>
        <w:t>Lappin SC</w:t>
      </w:r>
      <w:r w:rsidRPr="00D301DC">
        <w:rPr>
          <w:rFonts w:ascii="Book Antiqua" w:eastAsia="Book Antiqua" w:hAnsi="Book Antiqua" w:cs="Book Antiqua"/>
        </w:rPr>
        <w:t xml:space="preserve">, Randall AD, Gunthorpe MJ, Morisset V. TRPV1 antagonist, SB-366791, inhibits glutamatergic synaptic transmission in rat spinal dorsal horn following peripheral inflammation. </w:t>
      </w:r>
      <w:r w:rsidRPr="00D301DC">
        <w:rPr>
          <w:rFonts w:ascii="Book Antiqua" w:eastAsia="Book Antiqua" w:hAnsi="Book Antiqua" w:cs="Book Antiqua"/>
          <w:i/>
          <w:iCs/>
        </w:rPr>
        <w:t>Eur J Pharmacol</w:t>
      </w:r>
      <w:r w:rsidRPr="00D301DC">
        <w:rPr>
          <w:rFonts w:ascii="Book Antiqua" w:eastAsia="Book Antiqua" w:hAnsi="Book Antiqua" w:cs="Book Antiqua"/>
        </w:rPr>
        <w:t xml:space="preserve"> 2006; </w:t>
      </w:r>
      <w:r w:rsidRPr="00D301DC">
        <w:rPr>
          <w:rFonts w:ascii="Book Antiqua" w:eastAsia="Book Antiqua" w:hAnsi="Book Antiqua" w:cs="Book Antiqua"/>
          <w:b/>
          <w:bCs/>
        </w:rPr>
        <w:t>540</w:t>
      </w:r>
      <w:r w:rsidRPr="00D301DC">
        <w:rPr>
          <w:rFonts w:ascii="Book Antiqua" w:eastAsia="Book Antiqua" w:hAnsi="Book Antiqua" w:cs="Book Antiqua"/>
        </w:rPr>
        <w:t>: 73-81 [PMID: 16737693 DOI: 10.1016/j.ejphar.2006.04.046]</w:t>
      </w:r>
    </w:p>
    <w:p w14:paraId="16C7FDD6"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23 </w:t>
      </w:r>
      <w:r w:rsidRPr="00D301DC">
        <w:rPr>
          <w:rFonts w:ascii="Book Antiqua" w:eastAsia="Book Antiqua" w:hAnsi="Book Antiqua" w:cs="Book Antiqua"/>
          <w:b/>
          <w:bCs/>
        </w:rPr>
        <w:t>Garcia-Recio S</w:t>
      </w:r>
      <w:r w:rsidRPr="00D301DC">
        <w:rPr>
          <w:rFonts w:ascii="Book Antiqua" w:eastAsia="Book Antiqua" w:hAnsi="Book Antiqua" w:cs="Book Antiqua"/>
        </w:rPr>
        <w:t xml:space="preserve">, Gascón P. Biological and Pharmacological Aspects of the NK1-Receptor. </w:t>
      </w:r>
      <w:r w:rsidRPr="00D301DC">
        <w:rPr>
          <w:rFonts w:ascii="Book Antiqua" w:eastAsia="Book Antiqua" w:hAnsi="Book Antiqua" w:cs="Book Antiqua"/>
          <w:i/>
          <w:iCs/>
        </w:rPr>
        <w:t>Biomed Res Int</w:t>
      </w:r>
      <w:r w:rsidRPr="00D301DC">
        <w:rPr>
          <w:rFonts w:ascii="Book Antiqua" w:eastAsia="Book Antiqua" w:hAnsi="Book Antiqua" w:cs="Book Antiqua"/>
        </w:rPr>
        <w:t xml:space="preserve"> 2015; </w:t>
      </w:r>
      <w:r w:rsidRPr="00D301DC">
        <w:rPr>
          <w:rFonts w:ascii="Book Antiqua" w:eastAsia="Book Antiqua" w:hAnsi="Book Antiqua" w:cs="Book Antiqua"/>
          <w:b/>
          <w:bCs/>
        </w:rPr>
        <w:t>2015</w:t>
      </w:r>
      <w:r w:rsidRPr="00D301DC">
        <w:rPr>
          <w:rFonts w:ascii="Book Antiqua" w:eastAsia="Book Antiqua" w:hAnsi="Book Antiqua" w:cs="Book Antiqua"/>
        </w:rPr>
        <w:t>: 495704 [PMID: 26421291 DOI: 10.1155/2015/495704]</w:t>
      </w:r>
    </w:p>
    <w:p w14:paraId="1161B6D6"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24 </w:t>
      </w:r>
      <w:r w:rsidRPr="00D301DC">
        <w:rPr>
          <w:rFonts w:ascii="Book Antiqua" w:eastAsia="Book Antiqua" w:hAnsi="Book Antiqua" w:cs="Book Antiqua"/>
          <w:b/>
          <w:bCs/>
        </w:rPr>
        <w:t>Krueger D</w:t>
      </w:r>
      <w:r w:rsidRPr="00D301DC">
        <w:rPr>
          <w:rFonts w:ascii="Book Antiqua" w:eastAsia="Book Antiqua" w:hAnsi="Book Antiqua" w:cs="Book Antiqua"/>
        </w:rPr>
        <w:t xml:space="preserve">, Foerster M, Mueller K, Zeller F, Slotta-Huspenina J, Donovan J, Grundy D, Schemann M. Signaling mechanisms involved in the intestinal pro-secretory actions of hydrogen sulfide. </w:t>
      </w:r>
      <w:r w:rsidRPr="00D301DC">
        <w:rPr>
          <w:rFonts w:ascii="Book Antiqua" w:eastAsia="Book Antiqua" w:hAnsi="Book Antiqua" w:cs="Book Antiqua"/>
          <w:i/>
          <w:iCs/>
        </w:rPr>
        <w:t>Neurogastroenterol Motil</w:t>
      </w:r>
      <w:r w:rsidRPr="00D301DC">
        <w:rPr>
          <w:rFonts w:ascii="Book Antiqua" w:eastAsia="Book Antiqua" w:hAnsi="Book Antiqua" w:cs="Book Antiqua"/>
        </w:rPr>
        <w:t xml:space="preserve"> 2010; </w:t>
      </w:r>
      <w:r w:rsidRPr="00D301DC">
        <w:rPr>
          <w:rFonts w:ascii="Book Antiqua" w:eastAsia="Book Antiqua" w:hAnsi="Book Antiqua" w:cs="Book Antiqua"/>
          <w:b/>
          <w:bCs/>
        </w:rPr>
        <w:t>22</w:t>
      </w:r>
      <w:r w:rsidRPr="00D301DC">
        <w:rPr>
          <w:rFonts w:ascii="Book Antiqua" w:eastAsia="Book Antiqua" w:hAnsi="Book Antiqua" w:cs="Book Antiqua"/>
        </w:rPr>
        <w:t>: 1224-1231, e319-e320 [PMID: 20659296 DOI: 10.1111/j.1365-2982.2010.01571.x]</w:t>
      </w:r>
    </w:p>
    <w:p w14:paraId="6CAFFD24"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25 </w:t>
      </w:r>
      <w:r w:rsidRPr="00D301DC">
        <w:rPr>
          <w:rFonts w:ascii="Book Antiqua" w:eastAsia="Book Antiqua" w:hAnsi="Book Antiqua" w:cs="Book Antiqua"/>
          <w:b/>
          <w:bCs/>
        </w:rPr>
        <w:t>Couture R</w:t>
      </w:r>
      <w:r w:rsidRPr="00D301DC">
        <w:rPr>
          <w:rFonts w:ascii="Book Antiqua" w:eastAsia="Book Antiqua" w:hAnsi="Book Antiqua" w:cs="Book Antiqua"/>
        </w:rPr>
        <w:t xml:space="preserve">, Harrisson M, Vianna RM, Cloutier F. Kinin receptors in pain and inflammation. </w:t>
      </w:r>
      <w:r w:rsidRPr="00D301DC">
        <w:rPr>
          <w:rFonts w:ascii="Book Antiqua" w:eastAsia="Book Antiqua" w:hAnsi="Book Antiqua" w:cs="Book Antiqua"/>
          <w:i/>
          <w:iCs/>
        </w:rPr>
        <w:t>Eur J Pharmacol</w:t>
      </w:r>
      <w:r w:rsidRPr="00D301DC">
        <w:rPr>
          <w:rFonts w:ascii="Book Antiqua" w:eastAsia="Book Antiqua" w:hAnsi="Book Antiqua" w:cs="Book Antiqua"/>
        </w:rPr>
        <w:t xml:space="preserve"> 2001; </w:t>
      </w:r>
      <w:r w:rsidRPr="00D301DC">
        <w:rPr>
          <w:rFonts w:ascii="Book Antiqua" w:eastAsia="Book Antiqua" w:hAnsi="Book Antiqua" w:cs="Book Antiqua"/>
          <w:b/>
          <w:bCs/>
        </w:rPr>
        <w:t>429</w:t>
      </w:r>
      <w:r w:rsidRPr="00D301DC">
        <w:rPr>
          <w:rFonts w:ascii="Book Antiqua" w:eastAsia="Book Antiqua" w:hAnsi="Book Antiqua" w:cs="Book Antiqua"/>
        </w:rPr>
        <w:t>: 161-176 [PMID: 11698039 DOI: 10.1016/S0014-2999(01)01318-8]</w:t>
      </w:r>
    </w:p>
    <w:p w14:paraId="368F4045"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26 </w:t>
      </w:r>
      <w:r w:rsidRPr="00D301DC">
        <w:rPr>
          <w:rFonts w:ascii="Book Antiqua" w:eastAsia="Book Antiqua" w:hAnsi="Book Antiqua" w:cs="Book Antiqua"/>
          <w:b/>
          <w:bCs/>
        </w:rPr>
        <w:t>Severini C</w:t>
      </w:r>
      <w:r w:rsidRPr="00D301DC">
        <w:rPr>
          <w:rFonts w:ascii="Book Antiqua" w:eastAsia="Book Antiqua" w:hAnsi="Book Antiqua" w:cs="Book Antiqua"/>
        </w:rPr>
        <w:t xml:space="preserve">, Improta G, Falconieri-Erspamer G, Salvadori S, Erspamer V. The tachykinin peptide family. </w:t>
      </w:r>
      <w:r w:rsidRPr="00D301DC">
        <w:rPr>
          <w:rFonts w:ascii="Book Antiqua" w:eastAsia="Book Antiqua" w:hAnsi="Book Antiqua" w:cs="Book Antiqua"/>
          <w:i/>
          <w:iCs/>
        </w:rPr>
        <w:t>Pharmacol Rev</w:t>
      </w:r>
      <w:r w:rsidRPr="00D301DC">
        <w:rPr>
          <w:rFonts w:ascii="Book Antiqua" w:eastAsia="Book Antiqua" w:hAnsi="Book Antiqua" w:cs="Book Antiqua"/>
        </w:rPr>
        <w:t xml:space="preserve"> 2002; </w:t>
      </w:r>
      <w:r w:rsidRPr="00D301DC">
        <w:rPr>
          <w:rFonts w:ascii="Book Antiqua" w:eastAsia="Book Antiqua" w:hAnsi="Book Antiqua" w:cs="Book Antiqua"/>
          <w:b/>
          <w:bCs/>
        </w:rPr>
        <w:t>54</w:t>
      </w:r>
      <w:r w:rsidRPr="00D301DC">
        <w:rPr>
          <w:rFonts w:ascii="Book Antiqua" w:eastAsia="Book Antiqua" w:hAnsi="Book Antiqua" w:cs="Book Antiqua"/>
        </w:rPr>
        <w:t>: 285-322 [PMID: 12037144 DOI: 10.1124/pr.54.2.285]</w:t>
      </w:r>
    </w:p>
    <w:p w14:paraId="30A16A03"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27 </w:t>
      </w:r>
      <w:r w:rsidRPr="00D301DC">
        <w:rPr>
          <w:rFonts w:ascii="Book Antiqua" w:eastAsia="Book Antiqua" w:hAnsi="Book Antiqua" w:cs="Book Antiqua"/>
          <w:b/>
          <w:bCs/>
        </w:rPr>
        <w:t>Nakaya Y</w:t>
      </w:r>
      <w:r w:rsidRPr="00D301DC">
        <w:rPr>
          <w:rFonts w:ascii="Book Antiqua" w:eastAsia="Book Antiqua" w:hAnsi="Book Antiqua" w:cs="Book Antiqua"/>
        </w:rPr>
        <w:t xml:space="preserve">, Kaneko T, Shigemoto R, Nakanishi S, Mizuno N. Immunohistochemical localization of substance P receptor in the central nervous system of the adult rat. </w:t>
      </w:r>
      <w:r w:rsidRPr="00D301DC">
        <w:rPr>
          <w:rFonts w:ascii="Book Antiqua" w:eastAsia="Book Antiqua" w:hAnsi="Book Antiqua" w:cs="Book Antiqua"/>
          <w:i/>
          <w:iCs/>
        </w:rPr>
        <w:t>J Comp Neurol</w:t>
      </w:r>
      <w:r w:rsidRPr="00D301DC">
        <w:rPr>
          <w:rFonts w:ascii="Book Antiqua" w:eastAsia="Book Antiqua" w:hAnsi="Book Antiqua" w:cs="Book Antiqua"/>
        </w:rPr>
        <w:t xml:space="preserve"> 1994; </w:t>
      </w:r>
      <w:r w:rsidRPr="00D301DC">
        <w:rPr>
          <w:rFonts w:ascii="Book Antiqua" w:eastAsia="Book Antiqua" w:hAnsi="Book Antiqua" w:cs="Book Antiqua"/>
          <w:b/>
          <w:bCs/>
        </w:rPr>
        <w:t>347</w:t>
      </w:r>
      <w:r w:rsidRPr="00D301DC">
        <w:rPr>
          <w:rFonts w:ascii="Book Antiqua" w:eastAsia="Book Antiqua" w:hAnsi="Book Antiqua" w:cs="Book Antiqua"/>
        </w:rPr>
        <w:t>: 249-274 [PMID: 7814667 DOI: 10.1002/cne.903470208]</w:t>
      </w:r>
    </w:p>
    <w:p w14:paraId="3B6CD1DA"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28 </w:t>
      </w:r>
      <w:r w:rsidRPr="00D301DC">
        <w:rPr>
          <w:rFonts w:ascii="Book Antiqua" w:eastAsia="Book Antiqua" w:hAnsi="Book Antiqua" w:cs="Book Antiqua"/>
          <w:b/>
          <w:bCs/>
        </w:rPr>
        <w:t>Mashaghi A</w:t>
      </w:r>
      <w:r w:rsidRPr="00D301DC">
        <w:rPr>
          <w:rFonts w:ascii="Book Antiqua" w:eastAsia="Book Antiqua" w:hAnsi="Book Antiqua" w:cs="Book Antiqua"/>
        </w:rPr>
        <w:t xml:space="preserve">, Marmalidou A, Tehrani M, Grace PM, Pothoulakis C, Dana R. Neuropeptide substance P and the immune response. </w:t>
      </w:r>
      <w:r w:rsidRPr="00D301DC">
        <w:rPr>
          <w:rFonts w:ascii="Book Antiqua" w:eastAsia="Book Antiqua" w:hAnsi="Book Antiqua" w:cs="Book Antiqua"/>
          <w:i/>
          <w:iCs/>
        </w:rPr>
        <w:t>Cell Mol Life Sci</w:t>
      </w:r>
      <w:r w:rsidRPr="00D301DC">
        <w:rPr>
          <w:rFonts w:ascii="Book Antiqua" w:eastAsia="Book Antiqua" w:hAnsi="Book Antiqua" w:cs="Book Antiqua"/>
        </w:rPr>
        <w:t xml:space="preserve"> 2016; </w:t>
      </w:r>
      <w:r w:rsidRPr="00D301DC">
        <w:rPr>
          <w:rFonts w:ascii="Book Antiqua" w:eastAsia="Book Antiqua" w:hAnsi="Book Antiqua" w:cs="Book Antiqua"/>
          <w:b/>
          <w:bCs/>
        </w:rPr>
        <w:t>73</w:t>
      </w:r>
      <w:r w:rsidRPr="00D301DC">
        <w:rPr>
          <w:rFonts w:ascii="Book Antiqua" w:eastAsia="Book Antiqua" w:hAnsi="Book Antiqua" w:cs="Book Antiqua"/>
        </w:rPr>
        <w:t>: 4249-4264 [PMID: 27314883 DOI: 10.1007/s00018-016-2293-z]</w:t>
      </w:r>
    </w:p>
    <w:p w14:paraId="58BB6D16"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lastRenderedPageBreak/>
        <w:t xml:space="preserve">29 </w:t>
      </w:r>
      <w:r w:rsidRPr="00D301DC">
        <w:rPr>
          <w:rFonts w:ascii="Book Antiqua" w:eastAsia="Book Antiqua" w:hAnsi="Book Antiqua" w:cs="Book Antiqua"/>
          <w:b/>
          <w:bCs/>
        </w:rPr>
        <w:t>Zimmermann M</w:t>
      </w:r>
      <w:r w:rsidRPr="00D301DC">
        <w:rPr>
          <w:rFonts w:ascii="Book Antiqua" w:eastAsia="Book Antiqua" w:hAnsi="Book Antiqua" w:cs="Book Antiqua"/>
        </w:rPr>
        <w:t xml:space="preserve">. Ethical considerations in relation to pain in animal experimentation. </w:t>
      </w:r>
      <w:r w:rsidRPr="00D301DC">
        <w:rPr>
          <w:rFonts w:ascii="Book Antiqua" w:eastAsia="Book Antiqua" w:hAnsi="Book Antiqua" w:cs="Book Antiqua"/>
          <w:i/>
          <w:iCs/>
        </w:rPr>
        <w:t>Acta Physiol Scand Suppl</w:t>
      </w:r>
      <w:r w:rsidRPr="00D301DC">
        <w:rPr>
          <w:rFonts w:ascii="Book Antiqua" w:eastAsia="Book Antiqua" w:hAnsi="Book Antiqua" w:cs="Book Antiqua"/>
        </w:rPr>
        <w:t xml:space="preserve"> 1986; </w:t>
      </w:r>
      <w:r w:rsidRPr="00D301DC">
        <w:rPr>
          <w:rFonts w:ascii="Book Antiqua" w:eastAsia="Book Antiqua" w:hAnsi="Book Antiqua" w:cs="Book Antiqua"/>
          <w:b/>
          <w:bCs/>
        </w:rPr>
        <w:t>554</w:t>
      </w:r>
      <w:r w:rsidRPr="00D301DC">
        <w:rPr>
          <w:rFonts w:ascii="Book Antiqua" w:eastAsia="Book Antiqua" w:hAnsi="Book Antiqua" w:cs="Book Antiqua"/>
        </w:rPr>
        <w:t>: 221-233 [PMID: 3469880]</w:t>
      </w:r>
    </w:p>
    <w:p w14:paraId="2954DD7B"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30 </w:t>
      </w:r>
      <w:r w:rsidRPr="00D301DC">
        <w:rPr>
          <w:rFonts w:ascii="Book Antiqua" w:eastAsia="Book Antiqua" w:hAnsi="Book Antiqua" w:cs="Book Antiqua"/>
          <w:b/>
          <w:bCs/>
        </w:rPr>
        <w:t>Murison R</w:t>
      </w:r>
      <w:r w:rsidRPr="00D301DC">
        <w:rPr>
          <w:rFonts w:ascii="Book Antiqua" w:eastAsia="Book Antiqua" w:hAnsi="Book Antiqua" w:cs="Book Antiqua"/>
        </w:rPr>
        <w:t xml:space="preserve">, Overmier JB. Some psychosomatic causal factors of restraint-in-water stress ulcers. </w:t>
      </w:r>
      <w:r w:rsidRPr="00D301DC">
        <w:rPr>
          <w:rFonts w:ascii="Book Antiqua" w:eastAsia="Book Antiqua" w:hAnsi="Book Antiqua" w:cs="Book Antiqua"/>
          <w:i/>
          <w:iCs/>
        </w:rPr>
        <w:t>Physiol Behav</w:t>
      </w:r>
      <w:r w:rsidRPr="00D301DC">
        <w:rPr>
          <w:rFonts w:ascii="Book Antiqua" w:eastAsia="Book Antiqua" w:hAnsi="Book Antiqua" w:cs="Book Antiqua"/>
        </w:rPr>
        <w:t xml:space="preserve"> 1993; </w:t>
      </w:r>
      <w:r w:rsidRPr="00D301DC">
        <w:rPr>
          <w:rFonts w:ascii="Book Antiqua" w:eastAsia="Book Antiqua" w:hAnsi="Book Antiqua" w:cs="Book Antiqua"/>
          <w:b/>
          <w:bCs/>
        </w:rPr>
        <w:t>53</w:t>
      </w:r>
      <w:r w:rsidRPr="00D301DC">
        <w:rPr>
          <w:rFonts w:ascii="Book Antiqua" w:eastAsia="Book Antiqua" w:hAnsi="Book Antiqua" w:cs="Book Antiqua"/>
        </w:rPr>
        <w:t>: 577-581 [PMID: 8451325 DOI: 10.1016/0031-9384(93)90155-9]</w:t>
      </w:r>
    </w:p>
    <w:p w14:paraId="37C16E28"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31 </w:t>
      </w:r>
      <w:r w:rsidRPr="00D301DC">
        <w:rPr>
          <w:rFonts w:ascii="Book Antiqua" w:eastAsia="Book Antiqua" w:hAnsi="Book Antiqua" w:cs="Book Antiqua"/>
          <w:b/>
          <w:bCs/>
        </w:rPr>
        <w:t>Sun H</w:t>
      </w:r>
      <w:r w:rsidRPr="00D301DC">
        <w:rPr>
          <w:rFonts w:ascii="Book Antiqua" w:eastAsia="Book Antiqua" w:hAnsi="Book Antiqua" w:cs="Book Antiqua"/>
        </w:rPr>
        <w:t xml:space="preserve">, Yang J, Shi Y, Wang Y, Li C, Zhu M. Hydrogen sulfide in the nucleus tractus solitarii regulates gastric acid secretion in rats. </w:t>
      </w:r>
      <w:r w:rsidRPr="00D301DC">
        <w:rPr>
          <w:rFonts w:ascii="Book Antiqua" w:eastAsia="Book Antiqua" w:hAnsi="Book Antiqua" w:cs="Book Antiqua"/>
          <w:i/>
          <w:iCs/>
        </w:rPr>
        <w:t>J Physiol Pharmacol</w:t>
      </w:r>
      <w:r w:rsidRPr="00D301DC">
        <w:rPr>
          <w:rFonts w:ascii="Book Antiqua" w:eastAsia="Book Antiqua" w:hAnsi="Book Antiqua" w:cs="Book Antiqua"/>
        </w:rPr>
        <w:t xml:space="preserve"> 2020; </w:t>
      </w:r>
      <w:r w:rsidRPr="00D301DC">
        <w:rPr>
          <w:rFonts w:ascii="Book Antiqua" w:eastAsia="Book Antiqua" w:hAnsi="Book Antiqua" w:cs="Book Antiqua"/>
          <w:b/>
          <w:bCs/>
        </w:rPr>
        <w:t>71</w:t>
      </w:r>
      <w:r w:rsidRPr="00D301DC">
        <w:rPr>
          <w:rFonts w:ascii="Book Antiqua" w:eastAsia="Book Antiqua" w:hAnsi="Book Antiqua" w:cs="Book Antiqua"/>
        </w:rPr>
        <w:t xml:space="preserve"> [PMID: 33214338 DOI: 10.26402/jpp.2020.4.05]</w:t>
      </w:r>
    </w:p>
    <w:p w14:paraId="12ABD065"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32 </w:t>
      </w:r>
      <w:r w:rsidRPr="00D301DC">
        <w:rPr>
          <w:rFonts w:ascii="Book Antiqua" w:eastAsia="Book Antiqua" w:hAnsi="Book Antiqua" w:cs="Book Antiqua"/>
          <w:b/>
          <w:bCs/>
        </w:rPr>
        <w:t>Mancuso C</w:t>
      </w:r>
      <w:r w:rsidRPr="00D301DC">
        <w:rPr>
          <w:rFonts w:ascii="Book Antiqua" w:eastAsia="Book Antiqua" w:hAnsi="Book Antiqua" w:cs="Book Antiqua"/>
        </w:rPr>
        <w:t xml:space="preserve">, Navarra P, Preziosi P. Roles of nitric oxide, carbon monoxide, and hydrogen sulfide in the regulation of the hypothalamic-pituitary-adrenal axis. </w:t>
      </w:r>
      <w:r w:rsidRPr="00D301DC">
        <w:rPr>
          <w:rFonts w:ascii="Book Antiqua" w:eastAsia="Book Antiqua" w:hAnsi="Book Antiqua" w:cs="Book Antiqua"/>
          <w:i/>
          <w:iCs/>
        </w:rPr>
        <w:t>J Neurochem</w:t>
      </w:r>
      <w:r w:rsidRPr="00D301DC">
        <w:rPr>
          <w:rFonts w:ascii="Book Antiqua" w:eastAsia="Book Antiqua" w:hAnsi="Book Antiqua" w:cs="Book Antiqua"/>
        </w:rPr>
        <w:t xml:space="preserve"> 2010; </w:t>
      </w:r>
      <w:r w:rsidRPr="00D301DC">
        <w:rPr>
          <w:rFonts w:ascii="Book Antiqua" w:eastAsia="Book Antiqua" w:hAnsi="Book Antiqua" w:cs="Book Antiqua"/>
          <w:b/>
          <w:bCs/>
        </w:rPr>
        <w:t>113</w:t>
      </w:r>
      <w:r w:rsidRPr="00D301DC">
        <w:rPr>
          <w:rFonts w:ascii="Book Antiqua" w:eastAsia="Book Antiqua" w:hAnsi="Book Antiqua" w:cs="Book Antiqua"/>
        </w:rPr>
        <w:t>: 563-575 [PMID: 20089135 DOI: 10.1111/j.1471-4159.2010.06606.x]</w:t>
      </w:r>
    </w:p>
    <w:p w14:paraId="646680B1"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33 </w:t>
      </w:r>
      <w:r w:rsidRPr="00D301DC">
        <w:rPr>
          <w:rFonts w:ascii="Book Antiqua" w:eastAsia="Book Antiqua" w:hAnsi="Book Antiqua" w:cs="Book Antiqua"/>
          <w:b/>
          <w:bCs/>
        </w:rPr>
        <w:t>Levitt MD</w:t>
      </w:r>
      <w:r w:rsidRPr="00D301DC">
        <w:rPr>
          <w:rFonts w:ascii="Book Antiqua" w:eastAsia="Book Antiqua" w:hAnsi="Book Antiqua" w:cs="Book Antiqua"/>
        </w:rPr>
        <w:t xml:space="preserve">, Abdel-Rehim MS, Furne J. Free and acid-labile hydrogen sulfide concentrations in mouse tissues: anomalously high free hydrogen sulfide in aortic tissue. </w:t>
      </w:r>
      <w:r w:rsidRPr="00D301DC">
        <w:rPr>
          <w:rFonts w:ascii="Book Antiqua" w:eastAsia="Book Antiqua" w:hAnsi="Book Antiqua" w:cs="Book Antiqua"/>
          <w:i/>
          <w:iCs/>
        </w:rPr>
        <w:t>Antioxid Redox Signal</w:t>
      </w:r>
      <w:r w:rsidRPr="00D301DC">
        <w:rPr>
          <w:rFonts w:ascii="Book Antiqua" w:eastAsia="Book Antiqua" w:hAnsi="Book Antiqua" w:cs="Book Antiqua"/>
        </w:rPr>
        <w:t xml:space="preserve"> 2011; </w:t>
      </w:r>
      <w:r w:rsidRPr="00D301DC">
        <w:rPr>
          <w:rFonts w:ascii="Book Antiqua" w:eastAsia="Book Antiqua" w:hAnsi="Book Antiqua" w:cs="Book Antiqua"/>
          <w:b/>
          <w:bCs/>
        </w:rPr>
        <w:t>15</w:t>
      </w:r>
      <w:r w:rsidRPr="00D301DC">
        <w:rPr>
          <w:rFonts w:ascii="Book Antiqua" w:eastAsia="Book Antiqua" w:hAnsi="Book Antiqua" w:cs="Book Antiqua"/>
        </w:rPr>
        <w:t>: 373-378 [PMID: 20812866 DOI: 10.1089/ars.2010.3525]</w:t>
      </w:r>
    </w:p>
    <w:p w14:paraId="4B63E383"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34 </w:t>
      </w:r>
      <w:r w:rsidRPr="00D301DC">
        <w:rPr>
          <w:rFonts w:ascii="Book Antiqua" w:eastAsia="Book Antiqua" w:hAnsi="Book Antiqua" w:cs="Book Antiqua"/>
          <w:b/>
          <w:bCs/>
        </w:rPr>
        <w:t>Ritter JM</w:t>
      </w:r>
      <w:r w:rsidRPr="00D301DC">
        <w:rPr>
          <w:rFonts w:ascii="Book Antiqua" w:eastAsia="Book Antiqua" w:hAnsi="Book Antiqua" w:cs="Book Antiqua"/>
        </w:rPr>
        <w:t xml:space="preserve">. Human pharmacology of hydrogen sulfide, putative gaseous mediator. </w:t>
      </w:r>
      <w:r w:rsidRPr="00D301DC">
        <w:rPr>
          <w:rFonts w:ascii="Book Antiqua" w:eastAsia="Book Antiqua" w:hAnsi="Book Antiqua" w:cs="Book Antiqua"/>
          <w:i/>
          <w:iCs/>
        </w:rPr>
        <w:t>Br J Clin Pharmacol</w:t>
      </w:r>
      <w:r w:rsidRPr="00D301DC">
        <w:rPr>
          <w:rFonts w:ascii="Book Antiqua" w:eastAsia="Book Antiqua" w:hAnsi="Book Antiqua" w:cs="Book Antiqua"/>
        </w:rPr>
        <w:t xml:space="preserve"> 2010; </w:t>
      </w:r>
      <w:r w:rsidRPr="00D301DC">
        <w:rPr>
          <w:rFonts w:ascii="Book Antiqua" w:eastAsia="Book Antiqua" w:hAnsi="Book Antiqua" w:cs="Book Antiqua"/>
          <w:b/>
          <w:bCs/>
        </w:rPr>
        <w:t>69</w:t>
      </w:r>
      <w:r w:rsidRPr="00D301DC">
        <w:rPr>
          <w:rFonts w:ascii="Book Antiqua" w:eastAsia="Book Antiqua" w:hAnsi="Book Antiqua" w:cs="Book Antiqua"/>
        </w:rPr>
        <w:t>: 573-575 [PMID: 20565447 DOI: 10.1111/j.1365-2125.2010.03690.x]</w:t>
      </w:r>
    </w:p>
    <w:p w14:paraId="521BF0EE"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35 </w:t>
      </w:r>
      <w:r w:rsidRPr="00D301DC">
        <w:rPr>
          <w:rFonts w:ascii="Book Antiqua" w:eastAsia="Book Antiqua" w:hAnsi="Book Antiqua" w:cs="Book Antiqua"/>
          <w:b/>
          <w:bCs/>
        </w:rPr>
        <w:t>Fiorucci S</w:t>
      </w:r>
      <w:r w:rsidRPr="00D301DC">
        <w:rPr>
          <w:rFonts w:ascii="Book Antiqua" w:eastAsia="Book Antiqua" w:hAnsi="Book Antiqua" w:cs="Book Antiqua"/>
        </w:rPr>
        <w:t xml:space="preserve">, Antonelli E, Distrutti E, Rizzo G, Mencarelli A, Orlandi S, Zanardo R, Renga B, Di Sante M, Morelli A, Cirino G, Wallace JL. Inhibition of hydrogen sulfide generation contributes to gastric injury caused by anti-inflammatory nonsteroidal drugs. </w:t>
      </w:r>
      <w:r w:rsidRPr="00D301DC">
        <w:rPr>
          <w:rFonts w:ascii="Book Antiqua" w:eastAsia="Book Antiqua" w:hAnsi="Book Antiqua" w:cs="Book Antiqua"/>
          <w:i/>
          <w:iCs/>
        </w:rPr>
        <w:t>Gastroenterology</w:t>
      </w:r>
      <w:r w:rsidRPr="00D301DC">
        <w:rPr>
          <w:rFonts w:ascii="Book Antiqua" w:eastAsia="Book Antiqua" w:hAnsi="Book Antiqua" w:cs="Book Antiqua"/>
        </w:rPr>
        <w:t xml:space="preserve"> 2005; </w:t>
      </w:r>
      <w:r w:rsidRPr="00D301DC">
        <w:rPr>
          <w:rFonts w:ascii="Book Antiqua" w:eastAsia="Book Antiqua" w:hAnsi="Book Antiqua" w:cs="Book Antiqua"/>
          <w:b/>
          <w:bCs/>
        </w:rPr>
        <w:t>129</w:t>
      </w:r>
      <w:r w:rsidRPr="00D301DC">
        <w:rPr>
          <w:rFonts w:ascii="Book Antiqua" w:eastAsia="Book Antiqua" w:hAnsi="Book Antiqua" w:cs="Book Antiqua"/>
        </w:rPr>
        <w:t>: 1210-1224 [PMID: 16230075 DOI: 10.1053/j.gastro.2005.07.060]</w:t>
      </w:r>
    </w:p>
    <w:p w14:paraId="14F6BA39"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36 </w:t>
      </w:r>
      <w:r w:rsidRPr="00D301DC">
        <w:rPr>
          <w:rFonts w:ascii="Book Antiqua" w:eastAsia="Book Antiqua" w:hAnsi="Book Antiqua" w:cs="Book Antiqua"/>
          <w:b/>
          <w:bCs/>
        </w:rPr>
        <w:t>Malik R</w:t>
      </w:r>
      <w:r w:rsidRPr="00D301DC">
        <w:rPr>
          <w:rFonts w:ascii="Book Antiqua" w:eastAsia="Book Antiqua" w:hAnsi="Book Antiqua" w:cs="Book Antiqua"/>
        </w:rPr>
        <w:t xml:space="preserve">, Ferguson AV. Hydrogen sulfide depolarizes neurons in the nucleus of the solitary tract of the rat. </w:t>
      </w:r>
      <w:r w:rsidRPr="00D301DC">
        <w:rPr>
          <w:rFonts w:ascii="Book Antiqua" w:eastAsia="Book Antiqua" w:hAnsi="Book Antiqua" w:cs="Book Antiqua"/>
          <w:i/>
          <w:iCs/>
        </w:rPr>
        <w:t>Brain Res</w:t>
      </w:r>
      <w:r w:rsidRPr="00D301DC">
        <w:rPr>
          <w:rFonts w:ascii="Book Antiqua" w:eastAsia="Book Antiqua" w:hAnsi="Book Antiqua" w:cs="Book Antiqua"/>
        </w:rPr>
        <w:t xml:space="preserve"> 2016; </w:t>
      </w:r>
      <w:r w:rsidRPr="00D301DC">
        <w:rPr>
          <w:rFonts w:ascii="Book Antiqua" w:eastAsia="Book Antiqua" w:hAnsi="Book Antiqua" w:cs="Book Antiqua"/>
          <w:b/>
          <w:bCs/>
        </w:rPr>
        <w:t>1633</w:t>
      </w:r>
      <w:r w:rsidRPr="00D301DC">
        <w:rPr>
          <w:rFonts w:ascii="Book Antiqua" w:eastAsia="Book Antiqua" w:hAnsi="Book Antiqua" w:cs="Book Antiqua"/>
        </w:rPr>
        <w:t>: 1-9 [PMID: 26721687 DOI: 10.1016/j.brainres.2015.12.029]</w:t>
      </w:r>
    </w:p>
    <w:p w14:paraId="5852D56D"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37 </w:t>
      </w:r>
      <w:r w:rsidRPr="00D301DC">
        <w:rPr>
          <w:rFonts w:ascii="Book Antiqua" w:eastAsia="Book Antiqua" w:hAnsi="Book Antiqua" w:cs="Book Antiqua"/>
          <w:b/>
          <w:bCs/>
        </w:rPr>
        <w:t>Bellusci L</w:t>
      </w:r>
      <w:r w:rsidRPr="00D301DC">
        <w:rPr>
          <w:rFonts w:ascii="Book Antiqua" w:eastAsia="Book Antiqua" w:hAnsi="Book Antiqua" w:cs="Book Antiqua"/>
        </w:rPr>
        <w:t xml:space="preserve">, Kim E, Garcia DuBar S, Gillis RA, Vicini S, Sahibzada N. Brainstem activation of GABA(B) receptors in the nucleus tractus solitarius increases gastric motility. </w:t>
      </w:r>
      <w:r w:rsidRPr="00D301DC">
        <w:rPr>
          <w:rFonts w:ascii="Book Antiqua" w:eastAsia="Book Antiqua" w:hAnsi="Book Antiqua" w:cs="Book Antiqua"/>
          <w:i/>
          <w:iCs/>
        </w:rPr>
        <w:t>Front Neurosci</w:t>
      </w:r>
      <w:r w:rsidRPr="00D301DC">
        <w:rPr>
          <w:rFonts w:ascii="Book Antiqua" w:eastAsia="Book Antiqua" w:hAnsi="Book Antiqua" w:cs="Book Antiqua"/>
        </w:rPr>
        <w:t xml:space="preserve"> 2022; </w:t>
      </w:r>
      <w:r w:rsidRPr="00D301DC">
        <w:rPr>
          <w:rFonts w:ascii="Book Antiqua" w:eastAsia="Book Antiqua" w:hAnsi="Book Antiqua" w:cs="Book Antiqua"/>
          <w:b/>
          <w:bCs/>
        </w:rPr>
        <w:t>16</w:t>
      </w:r>
      <w:r w:rsidRPr="00D301DC">
        <w:rPr>
          <w:rFonts w:ascii="Book Antiqua" w:eastAsia="Book Antiqua" w:hAnsi="Book Antiqua" w:cs="Book Antiqua"/>
        </w:rPr>
        <w:t>: 961042 [PMID: 35983226 DOI: 10.3389/fnins.2022.961042]</w:t>
      </w:r>
    </w:p>
    <w:p w14:paraId="7CD2A3B1"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lastRenderedPageBreak/>
        <w:t xml:space="preserve">38 </w:t>
      </w:r>
      <w:r w:rsidRPr="00D301DC">
        <w:rPr>
          <w:rFonts w:ascii="Book Antiqua" w:eastAsia="Book Antiqua" w:hAnsi="Book Antiqua" w:cs="Book Antiqua"/>
          <w:b/>
          <w:bCs/>
        </w:rPr>
        <w:t>McDougal DH</w:t>
      </w:r>
      <w:r w:rsidRPr="00D301DC">
        <w:rPr>
          <w:rFonts w:ascii="Book Antiqua" w:eastAsia="Book Antiqua" w:hAnsi="Book Antiqua" w:cs="Book Antiqua"/>
        </w:rPr>
        <w:t xml:space="preserve">, Viard E, Hermann GE, Rogers RC. Astrocytes in the hindbrain detect glucoprivation and regulate gastric motility. </w:t>
      </w:r>
      <w:r w:rsidRPr="00D301DC">
        <w:rPr>
          <w:rFonts w:ascii="Book Antiqua" w:eastAsia="Book Antiqua" w:hAnsi="Book Antiqua" w:cs="Book Antiqua"/>
          <w:i/>
          <w:iCs/>
        </w:rPr>
        <w:t>Auton Neurosci</w:t>
      </w:r>
      <w:r w:rsidRPr="00D301DC">
        <w:rPr>
          <w:rFonts w:ascii="Book Antiqua" w:eastAsia="Book Antiqua" w:hAnsi="Book Antiqua" w:cs="Book Antiqua"/>
        </w:rPr>
        <w:t xml:space="preserve"> 2013; </w:t>
      </w:r>
      <w:r w:rsidRPr="00D301DC">
        <w:rPr>
          <w:rFonts w:ascii="Book Antiqua" w:eastAsia="Book Antiqua" w:hAnsi="Book Antiqua" w:cs="Book Antiqua"/>
          <w:b/>
          <w:bCs/>
        </w:rPr>
        <w:t>175</w:t>
      </w:r>
      <w:r w:rsidRPr="00D301DC">
        <w:rPr>
          <w:rFonts w:ascii="Book Antiqua" w:eastAsia="Book Antiqua" w:hAnsi="Book Antiqua" w:cs="Book Antiqua"/>
        </w:rPr>
        <w:t>: 61-69 [PMID: 23313342 DOI: 10.1016/j.autneu.2012.12.006]</w:t>
      </w:r>
    </w:p>
    <w:p w14:paraId="37DEA920"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39 </w:t>
      </w:r>
      <w:r w:rsidRPr="00D301DC">
        <w:rPr>
          <w:rFonts w:ascii="Book Antiqua" w:eastAsia="Book Antiqua" w:hAnsi="Book Antiqua" w:cs="Book Antiqua"/>
          <w:b/>
          <w:bCs/>
        </w:rPr>
        <w:t>Ferreira M Jr</w:t>
      </w:r>
      <w:r w:rsidRPr="00D301DC">
        <w:rPr>
          <w:rFonts w:ascii="Book Antiqua" w:eastAsia="Book Antiqua" w:hAnsi="Book Antiqua" w:cs="Book Antiqua"/>
        </w:rPr>
        <w:t xml:space="preserve">, Browning KN, Sahibzada N, Verbalis JG, Gillis RA, Travagli RA. Glucose effects on gastric motility and tone evoked from the rat dorsal vagal complex. </w:t>
      </w:r>
      <w:r w:rsidRPr="00D301DC">
        <w:rPr>
          <w:rFonts w:ascii="Book Antiqua" w:eastAsia="Book Antiqua" w:hAnsi="Book Antiqua" w:cs="Book Antiqua"/>
          <w:i/>
          <w:iCs/>
        </w:rPr>
        <w:t>J Physiol</w:t>
      </w:r>
      <w:r w:rsidRPr="00D301DC">
        <w:rPr>
          <w:rFonts w:ascii="Book Antiqua" w:eastAsia="Book Antiqua" w:hAnsi="Book Antiqua" w:cs="Book Antiqua"/>
        </w:rPr>
        <w:t xml:space="preserve"> 2001; </w:t>
      </w:r>
      <w:r w:rsidRPr="00D301DC">
        <w:rPr>
          <w:rFonts w:ascii="Book Antiqua" w:eastAsia="Book Antiqua" w:hAnsi="Book Antiqua" w:cs="Book Antiqua"/>
          <w:b/>
          <w:bCs/>
        </w:rPr>
        <w:t>536</w:t>
      </w:r>
      <w:r w:rsidRPr="00D301DC">
        <w:rPr>
          <w:rFonts w:ascii="Book Antiqua" w:eastAsia="Book Antiqua" w:hAnsi="Book Antiqua" w:cs="Book Antiqua"/>
        </w:rPr>
        <w:t>: 141-152 [PMID: 11579164 DOI: 10.1111/j.1469-7793.2001.t01-1-00141.x]</w:t>
      </w:r>
    </w:p>
    <w:p w14:paraId="740AF2C9"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40 </w:t>
      </w:r>
      <w:r w:rsidRPr="00D301DC">
        <w:rPr>
          <w:rFonts w:ascii="Book Antiqua" w:eastAsia="Book Antiqua" w:hAnsi="Book Antiqua" w:cs="Book Antiqua"/>
          <w:b/>
          <w:bCs/>
        </w:rPr>
        <w:t>Talman WT</w:t>
      </w:r>
      <w:r w:rsidRPr="00D301DC">
        <w:rPr>
          <w:rFonts w:ascii="Book Antiqua" w:eastAsia="Book Antiqua" w:hAnsi="Book Antiqua" w:cs="Book Antiqua"/>
        </w:rPr>
        <w:t xml:space="preserve">, Andreasen K, Calvin J, Eversmann-Johanns S. Cholecystokinin in nucleus tractus solitarii modulates tonic and phasic gastric pressure. </w:t>
      </w:r>
      <w:r w:rsidRPr="00D301DC">
        <w:rPr>
          <w:rFonts w:ascii="Book Antiqua" w:eastAsia="Book Antiqua" w:hAnsi="Book Antiqua" w:cs="Book Antiqua"/>
          <w:i/>
          <w:iCs/>
        </w:rPr>
        <w:t>Am J Physiol</w:t>
      </w:r>
      <w:r w:rsidRPr="00D301DC">
        <w:rPr>
          <w:rFonts w:ascii="Book Antiqua" w:eastAsia="Book Antiqua" w:hAnsi="Book Antiqua" w:cs="Book Antiqua"/>
        </w:rPr>
        <w:t xml:space="preserve"> 1991; </w:t>
      </w:r>
      <w:r w:rsidRPr="00D301DC">
        <w:rPr>
          <w:rFonts w:ascii="Book Antiqua" w:eastAsia="Book Antiqua" w:hAnsi="Book Antiqua" w:cs="Book Antiqua"/>
          <w:b/>
          <w:bCs/>
        </w:rPr>
        <w:t>261</w:t>
      </w:r>
      <w:r w:rsidRPr="00D301DC">
        <w:rPr>
          <w:rFonts w:ascii="Book Antiqua" w:eastAsia="Book Antiqua" w:hAnsi="Book Antiqua" w:cs="Book Antiqua"/>
        </w:rPr>
        <w:t>: R217-R222 [PMID: 1858949 DOI: 10.1152/ajpregu.1991.261.1.R217]</w:t>
      </w:r>
    </w:p>
    <w:p w14:paraId="6310F1C4"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41 </w:t>
      </w:r>
      <w:r w:rsidRPr="00D301DC">
        <w:rPr>
          <w:rFonts w:ascii="Book Antiqua" w:eastAsia="Book Antiqua" w:hAnsi="Book Antiqua" w:cs="Book Antiqua"/>
          <w:b/>
          <w:bCs/>
        </w:rPr>
        <w:t>Cruz MT</w:t>
      </w:r>
      <w:r w:rsidRPr="00D301DC">
        <w:rPr>
          <w:rFonts w:ascii="Book Antiqua" w:eastAsia="Book Antiqua" w:hAnsi="Book Antiqua" w:cs="Book Antiqua"/>
        </w:rPr>
        <w:t xml:space="preserve">, Dezfuli G, Murphy EC, Vicini S, Sahibzada N, Gillis RA. GABA(B) Receptor Signaling in the Dorsal Motor Nucleus of the Vagus Stimulates Gastric Motility via a Cholinergic Pathway. </w:t>
      </w:r>
      <w:r w:rsidRPr="00D301DC">
        <w:rPr>
          <w:rFonts w:ascii="Book Antiqua" w:eastAsia="Book Antiqua" w:hAnsi="Book Antiqua" w:cs="Book Antiqua"/>
          <w:i/>
          <w:iCs/>
        </w:rPr>
        <w:t>Front Neurosci</w:t>
      </w:r>
      <w:r w:rsidRPr="00D301DC">
        <w:rPr>
          <w:rFonts w:ascii="Book Antiqua" w:eastAsia="Book Antiqua" w:hAnsi="Book Antiqua" w:cs="Book Antiqua"/>
        </w:rPr>
        <w:t xml:space="preserve"> 2019; </w:t>
      </w:r>
      <w:r w:rsidRPr="00D301DC">
        <w:rPr>
          <w:rFonts w:ascii="Book Antiqua" w:eastAsia="Book Antiqua" w:hAnsi="Book Antiqua" w:cs="Book Antiqua"/>
          <w:b/>
          <w:bCs/>
        </w:rPr>
        <w:t>13</w:t>
      </w:r>
      <w:r w:rsidRPr="00D301DC">
        <w:rPr>
          <w:rFonts w:ascii="Book Antiqua" w:eastAsia="Book Antiqua" w:hAnsi="Book Antiqua" w:cs="Book Antiqua"/>
        </w:rPr>
        <w:t>: 967 [PMID: 31572117 DOI: 10.3389/fnins.2019.00967]</w:t>
      </w:r>
    </w:p>
    <w:p w14:paraId="1C17EA03"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42 </w:t>
      </w:r>
      <w:r w:rsidRPr="00D301DC">
        <w:rPr>
          <w:rFonts w:ascii="Book Antiqua" w:eastAsia="Book Antiqua" w:hAnsi="Book Antiqua" w:cs="Book Antiqua"/>
          <w:b/>
          <w:bCs/>
        </w:rPr>
        <w:t>Herman MA</w:t>
      </w:r>
      <w:r w:rsidRPr="00D301DC">
        <w:rPr>
          <w:rFonts w:ascii="Book Antiqua" w:eastAsia="Book Antiqua" w:hAnsi="Book Antiqua" w:cs="Book Antiqua"/>
        </w:rPr>
        <w:t xml:space="preserve">, Cruz MT, Sahibzada N, Verbalis J, Gillis RA. GABA signaling in the nucleus tractus solitarius sets the level of activity in dorsal motor nucleus of the vagus cholinergic neurons in the vagovagal circuit. </w:t>
      </w:r>
      <w:r w:rsidRPr="00D301DC">
        <w:rPr>
          <w:rFonts w:ascii="Book Antiqua" w:eastAsia="Book Antiqua" w:hAnsi="Book Antiqua" w:cs="Book Antiqua"/>
          <w:i/>
          <w:iCs/>
        </w:rPr>
        <w:t>Am J Physiol Gastrointest Liver Physiol</w:t>
      </w:r>
      <w:r w:rsidRPr="00D301DC">
        <w:rPr>
          <w:rFonts w:ascii="Book Antiqua" w:eastAsia="Book Antiqua" w:hAnsi="Book Antiqua" w:cs="Book Antiqua"/>
        </w:rPr>
        <w:t xml:space="preserve"> 2009; </w:t>
      </w:r>
      <w:r w:rsidRPr="00D301DC">
        <w:rPr>
          <w:rFonts w:ascii="Book Antiqua" w:eastAsia="Book Antiqua" w:hAnsi="Book Antiqua" w:cs="Book Antiqua"/>
          <w:b/>
          <w:bCs/>
        </w:rPr>
        <w:t>296</w:t>
      </w:r>
      <w:r w:rsidRPr="00D301DC">
        <w:rPr>
          <w:rFonts w:ascii="Book Antiqua" w:eastAsia="Book Antiqua" w:hAnsi="Book Antiqua" w:cs="Book Antiqua"/>
        </w:rPr>
        <w:t>: G101-G111 [PMID: 19008339 DOI: 10.1152/ajpgi.90504.2008]</w:t>
      </w:r>
    </w:p>
    <w:p w14:paraId="5C792797"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43 </w:t>
      </w:r>
      <w:r w:rsidRPr="00D301DC">
        <w:rPr>
          <w:rFonts w:ascii="Book Antiqua" w:eastAsia="Book Antiqua" w:hAnsi="Book Antiqua" w:cs="Book Antiqua"/>
          <w:b/>
          <w:bCs/>
        </w:rPr>
        <w:t>Holmes GM</w:t>
      </w:r>
      <w:r w:rsidRPr="00D301DC">
        <w:rPr>
          <w:rFonts w:ascii="Book Antiqua" w:eastAsia="Book Antiqua" w:hAnsi="Book Antiqua" w:cs="Book Antiqua"/>
        </w:rPr>
        <w:t xml:space="preserve">, Browning KN, Tong M, Qualls-Creekmore E, Travagli RA. Vagally mediated effects of glucagon-like peptide 1: in vitro and in vivo gastric actions. </w:t>
      </w:r>
      <w:r w:rsidRPr="00D301DC">
        <w:rPr>
          <w:rFonts w:ascii="Book Antiqua" w:eastAsia="Book Antiqua" w:hAnsi="Book Antiqua" w:cs="Book Antiqua"/>
          <w:i/>
          <w:iCs/>
        </w:rPr>
        <w:t>J Physiol</w:t>
      </w:r>
      <w:r w:rsidRPr="00D301DC">
        <w:rPr>
          <w:rFonts w:ascii="Book Antiqua" w:eastAsia="Book Antiqua" w:hAnsi="Book Antiqua" w:cs="Book Antiqua"/>
        </w:rPr>
        <w:t xml:space="preserve"> 2009; </w:t>
      </w:r>
      <w:r w:rsidRPr="00D301DC">
        <w:rPr>
          <w:rFonts w:ascii="Book Antiqua" w:eastAsia="Book Antiqua" w:hAnsi="Book Antiqua" w:cs="Book Antiqua"/>
          <w:b/>
          <w:bCs/>
        </w:rPr>
        <w:t>587</w:t>
      </w:r>
      <w:r w:rsidRPr="00D301DC">
        <w:rPr>
          <w:rFonts w:ascii="Book Antiqua" w:eastAsia="Book Antiqua" w:hAnsi="Book Antiqua" w:cs="Book Antiqua"/>
        </w:rPr>
        <w:t>: 4749-4759 [PMID: 19675064 DOI: 10.1113/jphysiol.2009.175067]</w:t>
      </w:r>
    </w:p>
    <w:p w14:paraId="2EF0B608"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44 </w:t>
      </w:r>
      <w:r w:rsidRPr="00D301DC">
        <w:rPr>
          <w:rFonts w:ascii="Book Antiqua" w:eastAsia="Book Antiqua" w:hAnsi="Book Antiqua" w:cs="Book Antiqua"/>
          <w:b/>
          <w:bCs/>
        </w:rPr>
        <w:t>Li C</w:t>
      </w:r>
      <w:r w:rsidRPr="00D301DC">
        <w:rPr>
          <w:rFonts w:ascii="Book Antiqua" w:eastAsia="Book Antiqua" w:hAnsi="Book Antiqua" w:cs="Book Antiqua"/>
        </w:rPr>
        <w:t xml:space="preserve">, Sun H, Shi Y, Yu Y, Ji X, Li E, Zhou X, Liu X, Xue X, Sun H. Effects of Exogenous Hydrogen Sulfide in the Hypothalamic Paraventricular Nucleus on Gastric Function in Rats. </w:t>
      </w:r>
      <w:r w:rsidRPr="00D301DC">
        <w:rPr>
          <w:rFonts w:ascii="Book Antiqua" w:eastAsia="Book Antiqua" w:hAnsi="Book Antiqua" w:cs="Book Antiqua"/>
          <w:i/>
          <w:iCs/>
        </w:rPr>
        <w:t>Front Pharmacol</w:t>
      </w:r>
      <w:r w:rsidRPr="00D301DC">
        <w:rPr>
          <w:rFonts w:ascii="Book Antiqua" w:eastAsia="Book Antiqua" w:hAnsi="Book Antiqua" w:cs="Book Antiqua"/>
        </w:rPr>
        <w:t xml:space="preserve"> 2021; </w:t>
      </w:r>
      <w:r w:rsidRPr="00D301DC">
        <w:rPr>
          <w:rFonts w:ascii="Book Antiqua" w:eastAsia="Book Antiqua" w:hAnsi="Book Antiqua" w:cs="Book Antiqua"/>
          <w:b/>
          <w:bCs/>
        </w:rPr>
        <w:t>12</w:t>
      </w:r>
      <w:r w:rsidRPr="00D301DC">
        <w:rPr>
          <w:rFonts w:ascii="Book Antiqua" w:eastAsia="Book Antiqua" w:hAnsi="Book Antiqua" w:cs="Book Antiqua"/>
        </w:rPr>
        <w:t>: 806012 [PMID: 35095514 DOI: 10.3389/fphar.2021.806012]</w:t>
      </w:r>
    </w:p>
    <w:p w14:paraId="63841324"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45 </w:t>
      </w:r>
      <w:r w:rsidRPr="00D301DC">
        <w:rPr>
          <w:rFonts w:ascii="Book Antiqua" w:eastAsia="Book Antiqua" w:hAnsi="Book Antiqua" w:cs="Book Antiqua"/>
          <w:b/>
          <w:bCs/>
        </w:rPr>
        <w:t>Sun H</w:t>
      </w:r>
      <w:r w:rsidRPr="00D301DC">
        <w:rPr>
          <w:rFonts w:ascii="Book Antiqua" w:eastAsia="Book Antiqua" w:hAnsi="Book Antiqua" w:cs="Book Antiqua"/>
        </w:rPr>
        <w:t xml:space="preserve">, Ding H, Shi Y, Li C, Jin H, Yang X, Chen Z, Tian P, Zhu J, Sun H. Exogenous Hydrogen Sulfide Within the Nucleus Ambiguus Inhibits Gastrointestinal Motility in Rats. </w:t>
      </w:r>
      <w:r w:rsidRPr="00D301DC">
        <w:rPr>
          <w:rFonts w:ascii="Book Antiqua" w:eastAsia="Book Antiqua" w:hAnsi="Book Antiqua" w:cs="Book Antiqua"/>
          <w:i/>
          <w:iCs/>
        </w:rPr>
        <w:t>Front Physiol</w:t>
      </w:r>
      <w:r w:rsidRPr="00D301DC">
        <w:rPr>
          <w:rFonts w:ascii="Book Antiqua" w:eastAsia="Book Antiqua" w:hAnsi="Book Antiqua" w:cs="Book Antiqua"/>
        </w:rPr>
        <w:t xml:space="preserve"> 2020; </w:t>
      </w:r>
      <w:r w:rsidRPr="00D301DC">
        <w:rPr>
          <w:rFonts w:ascii="Book Antiqua" w:eastAsia="Book Antiqua" w:hAnsi="Book Antiqua" w:cs="Book Antiqua"/>
          <w:b/>
          <w:bCs/>
        </w:rPr>
        <w:t>11</w:t>
      </w:r>
      <w:r w:rsidRPr="00D301DC">
        <w:rPr>
          <w:rFonts w:ascii="Book Antiqua" w:eastAsia="Book Antiqua" w:hAnsi="Book Antiqua" w:cs="Book Antiqua"/>
        </w:rPr>
        <w:t>: 545184 [PMID: 33013478 DOI: 10.3389/fphys.2020.545184]</w:t>
      </w:r>
    </w:p>
    <w:p w14:paraId="5CDF3BCB"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46 </w:t>
      </w:r>
      <w:r w:rsidRPr="00D301DC">
        <w:rPr>
          <w:rFonts w:ascii="Book Antiqua" w:eastAsia="Book Antiqua" w:hAnsi="Book Antiqua" w:cs="Book Antiqua"/>
          <w:b/>
          <w:bCs/>
        </w:rPr>
        <w:t>Xuan A</w:t>
      </w:r>
      <w:r w:rsidRPr="00D301DC">
        <w:rPr>
          <w:rFonts w:ascii="Book Antiqua" w:eastAsia="Book Antiqua" w:hAnsi="Book Antiqua" w:cs="Book Antiqua"/>
        </w:rPr>
        <w:t xml:space="preserve">, Long D, Li J, Ji W, Zhang M, Hong L, Liu J. Hydrogen sulfide attenuates spatial memory impairment and hippocampal neuroinflammation in β-amyloid rat </w:t>
      </w:r>
      <w:r w:rsidRPr="00D301DC">
        <w:rPr>
          <w:rFonts w:ascii="Book Antiqua" w:eastAsia="Book Antiqua" w:hAnsi="Book Antiqua" w:cs="Book Antiqua"/>
        </w:rPr>
        <w:lastRenderedPageBreak/>
        <w:t xml:space="preserve">model of Alzheimer's disease. </w:t>
      </w:r>
      <w:r w:rsidRPr="00D301DC">
        <w:rPr>
          <w:rFonts w:ascii="Book Antiqua" w:eastAsia="Book Antiqua" w:hAnsi="Book Antiqua" w:cs="Book Antiqua"/>
          <w:i/>
          <w:iCs/>
        </w:rPr>
        <w:t>J Neuroinflammation</w:t>
      </w:r>
      <w:r w:rsidRPr="00D301DC">
        <w:rPr>
          <w:rFonts w:ascii="Book Antiqua" w:eastAsia="Book Antiqua" w:hAnsi="Book Antiqua" w:cs="Book Antiqua"/>
        </w:rPr>
        <w:t xml:space="preserve"> 2012; </w:t>
      </w:r>
      <w:r w:rsidRPr="00D301DC">
        <w:rPr>
          <w:rFonts w:ascii="Book Antiqua" w:eastAsia="Book Antiqua" w:hAnsi="Book Antiqua" w:cs="Book Antiqua"/>
          <w:b/>
          <w:bCs/>
        </w:rPr>
        <w:t>9</w:t>
      </w:r>
      <w:r w:rsidRPr="00D301DC">
        <w:rPr>
          <w:rFonts w:ascii="Book Antiqua" w:eastAsia="Book Antiqua" w:hAnsi="Book Antiqua" w:cs="Book Antiqua"/>
        </w:rPr>
        <w:t>: 202 [PMID: 22898621 DOI: 10.1186/1742-2094-9-202]</w:t>
      </w:r>
    </w:p>
    <w:p w14:paraId="7B05D447"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47 </w:t>
      </w:r>
      <w:r w:rsidRPr="00D301DC">
        <w:rPr>
          <w:rFonts w:ascii="Book Antiqua" w:eastAsia="Book Antiqua" w:hAnsi="Book Antiqua" w:cs="Book Antiqua"/>
          <w:b/>
          <w:bCs/>
        </w:rPr>
        <w:t>Hu LF</w:t>
      </w:r>
      <w:r w:rsidRPr="00D301DC">
        <w:rPr>
          <w:rFonts w:ascii="Book Antiqua" w:eastAsia="Book Antiqua" w:hAnsi="Book Antiqua" w:cs="Book Antiqua"/>
        </w:rPr>
        <w:t xml:space="preserve">, Wong PT, Moore PK, Bian JS. Hydrogen sulfide attenuates lipopolysaccharide-induced inflammation by inhibition of p38 mitogen-activated protein kinase in microglia. </w:t>
      </w:r>
      <w:r w:rsidRPr="00D301DC">
        <w:rPr>
          <w:rFonts w:ascii="Book Antiqua" w:eastAsia="Book Antiqua" w:hAnsi="Book Antiqua" w:cs="Book Antiqua"/>
          <w:i/>
          <w:iCs/>
        </w:rPr>
        <w:t>J Neurochem</w:t>
      </w:r>
      <w:r w:rsidRPr="00D301DC">
        <w:rPr>
          <w:rFonts w:ascii="Book Antiqua" w:eastAsia="Book Antiqua" w:hAnsi="Book Antiqua" w:cs="Book Antiqua"/>
        </w:rPr>
        <w:t xml:space="preserve"> 2007; </w:t>
      </w:r>
      <w:r w:rsidRPr="00D301DC">
        <w:rPr>
          <w:rFonts w:ascii="Book Antiqua" w:eastAsia="Book Antiqua" w:hAnsi="Book Antiqua" w:cs="Book Antiqua"/>
          <w:b/>
          <w:bCs/>
        </w:rPr>
        <w:t>100</w:t>
      </w:r>
      <w:r w:rsidRPr="00D301DC">
        <w:rPr>
          <w:rFonts w:ascii="Book Antiqua" w:eastAsia="Book Antiqua" w:hAnsi="Book Antiqua" w:cs="Book Antiqua"/>
        </w:rPr>
        <w:t>: 1121-1128 [PMID: 17212697 DOI: 10.1111/j.1471-4159.2006.04283.x]</w:t>
      </w:r>
    </w:p>
    <w:p w14:paraId="29AD9976"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48 </w:t>
      </w:r>
      <w:r w:rsidRPr="00D301DC">
        <w:rPr>
          <w:rFonts w:ascii="Book Antiqua" w:eastAsia="Book Antiqua" w:hAnsi="Book Antiqua" w:cs="Book Antiqua"/>
          <w:b/>
          <w:bCs/>
        </w:rPr>
        <w:t>Sun HZ</w:t>
      </w:r>
      <w:r w:rsidRPr="00D301DC">
        <w:rPr>
          <w:rFonts w:ascii="Book Antiqua" w:eastAsia="Book Antiqua" w:hAnsi="Book Antiqua" w:cs="Book Antiqua"/>
        </w:rPr>
        <w:t xml:space="preserve">, Zheng S, Lu K, Hou FT, Bi JX, Liu XL, Wang SS. Hydrogen sulfide attenuates gastric mucosal injury induced by restraint water-immersion stress via activation of K(ATP) channel and NF-κB dependent pathway. </w:t>
      </w:r>
      <w:r w:rsidRPr="00D301DC">
        <w:rPr>
          <w:rFonts w:ascii="Book Antiqua" w:eastAsia="Book Antiqua" w:hAnsi="Book Antiqua" w:cs="Book Antiqua"/>
          <w:i/>
          <w:iCs/>
        </w:rPr>
        <w:t>World J Gastroenterol</w:t>
      </w:r>
      <w:r w:rsidRPr="00D301DC">
        <w:rPr>
          <w:rFonts w:ascii="Book Antiqua" w:eastAsia="Book Antiqua" w:hAnsi="Book Antiqua" w:cs="Book Antiqua"/>
        </w:rPr>
        <w:t xml:space="preserve"> 2017; </w:t>
      </w:r>
      <w:r w:rsidRPr="00D301DC">
        <w:rPr>
          <w:rFonts w:ascii="Book Antiqua" w:eastAsia="Book Antiqua" w:hAnsi="Book Antiqua" w:cs="Book Antiqua"/>
          <w:b/>
          <w:bCs/>
        </w:rPr>
        <w:t>23</w:t>
      </w:r>
      <w:r w:rsidRPr="00D301DC">
        <w:rPr>
          <w:rFonts w:ascii="Book Antiqua" w:eastAsia="Book Antiqua" w:hAnsi="Book Antiqua" w:cs="Book Antiqua"/>
        </w:rPr>
        <w:t>: 87-92 [PMID: 28104983 DOI: 10.3748/wjg.v23.i1.87]</w:t>
      </w:r>
    </w:p>
    <w:p w14:paraId="03E50C7A"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49 </w:t>
      </w:r>
      <w:r w:rsidRPr="00D301DC">
        <w:rPr>
          <w:rFonts w:ascii="Book Antiqua" w:eastAsia="Book Antiqua" w:hAnsi="Book Antiqua" w:cs="Book Antiqua"/>
          <w:b/>
          <w:bCs/>
        </w:rPr>
        <w:t>Guo C</w:t>
      </w:r>
      <w:r w:rsidRPr="00D301DC">
        <w:rPr>
          <w:rFonts w:ascii="Book Antiqua" w:eastAsia="Book Antiqua" w:hAnsi="Book Antiqua" w:cs="Book Antiqua"/>
        </w:rPr>
        <w:t xml:space="preserve">, Liang F, Shah Masood W, Yan X. Hydrogen sulfide protected gastric epithelial cell from ischemia/reperfusion injury by Keap1 s-sulfhydration, MAPK dependent anti-apoptosis and NF-κB dependent anti-inflammation pathway. </w:t>
      </w:r>
      <w:r w:rsidRPr="00D301DC">
        <w:rPr>
          <w:rFonts w:ascii="Book Antiqua" w:eastAsia="Book Antiqua" w:hAnsi="Book Antiqua" w:cs="Book Antiqua"/>
          <w:i/>
          <w:iCs/>
        </w:rPr>
        <w:t>Eur J Pharmacol</w:t>
      </w:r>
      <w:r w:rsidRPr="00D301DC">
        <w:rPr>
          <w:rFonts w:ascii="Book Antiqua" w:eastAsia="Book Antiqua" w:hAnsi="Book Antiqua" w:cs="Book Antiqua"/>
        </w:rPr>
        <w:t xml:space="preserve"> 2014; </w:t>
      </w:r>
      <w:r w:rsidRPr="00D301DC">
        <w:rPr>
          <w:rFonts w:ascii="Book Antiqua" w:eastAsia="Book Antiqua" w:hAnsi="Book Antiqua" w:cs="Book Antiqua"/>
          <w:b/>
          <w:bCs/>
        </w:rPr>
        <w:t>725</w:t>
      </w:r>
      <w:r w:rsidRPr="00D301DC">
        <w:rPr>
          <w:rFonts w:ascii="Book Antiqua" w:eastAsia="Book Antiqua" w:hAnsi="Book Antiqua" w:cs="Book Antiqua"/>
        </w:rPr>
        <w:t>: 70-78 [PMID: 24444438 DOI: 10.1016/j.ejphar.2014.01.009]</w:t>
      </w:r>
    </w:p>
    <w:p w14:paraId="051C582D"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50 </w:t>
      </w:r>
      <w:r w:rsidRPr="00D301DC">
        <w:rPr>
          <w:rFonts w:ascii="Book Antiqua" w:eastAsia="Book Antiqua" w:hAnsi="Book Antiqua" w:cs="Book Antiqua"/>
          <w:b/>
          <w:bCs/>
        </w:rPr>
        <w:t>Bhatia M</w:t>
      </w:r>
      <w:r w:rsidRPr="00D301DC">
        <w:rPr>
          <w:rFonts w:ascii="Book Antiqua" w:eastAsia="Book Antiqua" w:hAnsi="Book Antiqua" w:cs="Book Antiqua"/>
        </w:rPr>
        <w:t>. H</w:t>
      </w:r>
      <w:r w:rsidRPr="00D301DC">
        <w:rPr>
          <w:rFonts w:eastAsia="Book Antiqua"/>
        </w:rPr>
        <w:t>₂</w:t>
      </w:r>
      <w:r w:rsidRPr="00D301DC">
        <w:rPr>
          <w:rFonts w:ascii="Book Antiqua" w:eastAsia="Book Antiqua" w:hAnsi="Book Antiqua" w:cs="Book Antiqua"/>
        </w:rPr>
        <w:t xml:space="preserve">S and substance P in inflammation. </w:t>
      </w:r>
      <w:r w:rsidRPr="00D301DC">
        <w:rPr>
          <w:rFonts w:ascii="Book Antiqua" w:eastAsia="Book Antiqua" w:hAnsi="Book Antiqua" w:cs="Book Antiqua"/>
          <w:i/>
          <w:iCs/>
        </w:rPr>
        <w:t>Methods Enzymol</w:t>
      </w:r>
      <w:r w:rsidRPr="00D301DC">
        <w:rPr>
          <w:rFonts w:ascii="Book Antiqua" w:eastAsia="Book Antiqua" w:hAnsi="Book Antiqua" w:cs="Book Antiqua"/>
        </w:rPr>
        <w:t xml:space="preserve"> 2015; </w:t>
      </w:r>
      <w:r w:rsidRPr="00D301DC">
        <w:rPr>
          <w:rFonts w:ascii="Book Antiqua" w:eastAsia="Book Antiqua" w:hAnsi="Book Antiqua" w:cs="Book Antiqua"/>
          <w:b/>
          <w:bCs/>
        </w:rPr>
        <w:t>555</w:t>
      </w:r>
      <w:r w:rsidRPr="00D301DC">
        <w:rPr>
          <w:rFonts w:ascii="Book Antiqua" w:eastAsia="Book Antiqua" w:hAnsi="Book Antiqua" w:cs="Book Antiqua"/>
        </w:rPr>
        <w:t>: 195-205 [PMID: 25747481 DOI: 10.1016/bs.mie.2014.11.024]</w:t>
      </w:r>
    </w:p>
    <w:p w14:paraId="2B6F5E23"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51 </w:t>
      </w:r>
      <w:r w:rsidRPr="00D301DC">
        <w:rPr>
          <w:rFonts w:ascii="Book Antiqua" w:eastAsia="Book Antiqua" w:hAnsi="Book Antiqua" w:cs="Book Antiqua"/>
          <w:b/>
          <w:bCs/>
        </w:rPr>
        <w:t>Ang SF</w:t>
      </w:r>
      <w:r w:rsidRPr="00D301DC">
        <w:rPr>
          <w:rFonts w:ascii="Book Antiqua" w:eastAsia="Book Antiqua" w:hAnsi="Book Antiqua" w:cs="Book Antiqua"/>
        </w:rPr>
        <w:t xml:space="preserve">, Moochhala SM, MacAry PA, Bhatia M. Hydrogen sulfide and neurogenic inflammation in polymicrobial sepsis: involvement of substance P and ERK-NF-κB signaling. </w:t>
      </w:r>
      <w:r w:rsidRPr="00D301DC">
        <w:rPr>
          <w:rFonts w:ascii="Book Antiqua" w:eastAsia="Book Antiqua" w:hAnsi="Book Antiqua" w:cs="Book Antiqua"/>
          <w:i/>
          <w:iCs/>
        </w:rPr>
        <w:t>PLoS One</w:t>
      </w:r>
      <w:r w:rsidRPr="00D301DC">
        <w:rPr>
          <w:rFonts w:ascii="Book Antiqua" w:eastAsia="Book Antiqua" w:hAnsi="Book Antiqua" w:cs="Book Antiqua"/>
        </w:rPr>
        <w:t xml:space="preserve"> 2011; </w:t>
      </w:r>
      <w:r w:rsidRPr="00D301DC">
        <w:rPr>
          <w:rFonts w:ascii="Book Antiqua" w:eastAsia="Book Antiqua" w:hAnsi="Book Antiqua" w:cs="Book Antiqua"/>
          <w:b/>
          <w:bCs/>
        </w:rPr>
        <w:t>6</w:t>
      </w:r>
      <w:r w:rsidRPr="00D301DC">
        <w:rPr>
          <w:rFonts w:ascii="Book Antiqua" w:eastAsia="Book Antiqua" w:hAnsi="Book Antiqua" w:cs="Book Antiqua"/>
        </w:rPr>
        <w:t>: e24535 [PMID: 21931742 DOI: 10.1371/journal.pone.0024535]</w:t>
      </w:r>
    </w:p>
    <w:p w14:paraId="6A7B297F"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52 </w:t>
      </w:r>
      <w:r w:rsidRPr="00D301DC">
        <w:rPr>
          <w:rFonts w:ascii="Book Antiqua" w:eastAsia="Book Antiqua" w:hAnsi="Book Antiqua" w:cs="Book Antiqua"/>
          <w:b/>
          <w:bCs/>
        </w:rPr>
        <w:t>Holzer P</w:t>
      </w:r>
      <w:r w:rsidRPr="00D301DC">
        <w:rPr>
          <w:rFonts w:ascii="Book Antiqua" w:eastAsia="Book Antiqua" w:hAnsi="Book Antiqua" w:cs="Book Antiqua"/>
        </w:rPr>
        <w:t xml:space="preserve">. TRPV1 and the gut: from a tasty receptor for a painful vanilloid to a key player in hyperalgesia. </w:t>
      </w:r>
      <w:r w:rsidRPr="00D301DC">
        <w:rPr>
          <w:rFonts w:ascii="Book Antiqua" w:eastAsia="Book Antiqua" w:hAnsi="Book Antiqua" w:cs="Book Antiqua"/>
          <w:i/>
          <w:iCs/>
        </w:rPr>
        <w:t>Eur J Pharmacol</w:t>
      </w:r>
      <w:r w:rsidRPr="00D301DC">
        <w:rPr>
          <w:rFonts w:ascii="Book Antiqua" w:eastAsia="Book Antiqua" w:hAnsi="Book Antiqua" w:cs="Book Antiqua"/>
        </w:rPr>
        <w:t xml:space="preserve"> 2004; </w:t>
      </w:r>
      <w:r w:rsidRPr="00D301DC">
        <w:rPr>
          <w:rFonts w:ascii="Book Antiqua" w:eastAsia="Book Antiqua" w:hAnsi="Book Antiqua" w:cs="Book Antiqua"/>
          <w:b/>
          <w:bCs/>
        </w:rPr>
        <w:t>500</w:t>
      </w:r>
      <w:r w:rsidRPr="00D301DC">
        <w:rPr>
          <w:rFonts w:ascii="Book Antiqua" w:eastAsia="Book Antiqua" w:hAnsi="Book Antiqua" w:cs="Book Antiqua"/>
        </w:rPr>
        <w:t>: 231-241 [PMID: 15464036 DOI: 10.1016/j.ejphar.2004.07.028]</w:t>
      </w:r>
    </w:p>
    <w:p w14:paraId="11F3E39A"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53 </w:t>
      </w:r>
      <w:r w:rsidRPr="00D301DC">
        <w:rPr>
          <w:rFonts w:ascii="Book Antiqua" w:eastAsia="Book Antiqua" w:hAnsi="Book Antiqua" w:cs="Book Antiqua"/>
          <w:b/>
          <w:bCs/>
        </w:rPr>
        <w:t>Wang Y</w:t>
      </w:r>
      <w:r w:rsidRPr="00D301DC">
        <w:rPr>
          <w:rFonts w:ascii="Book Antiqua" w:eastAsia="Book Antiqua" w:hAnsi="Book Antiqua" w:cs="Book Antiqua"/>
        </w:rPr>
        <w:t xml:space="preserve">, Cui L, Xu H, Liu S, Zhu F, Yan F, Shen S, Zhu M. TRPV1 agonism inhibits endothelial cell inflammation via activation of eNOS/NO pathway. </w:t>
      </w:r>
      <w:r w:rsidRPr="00D301DC">
        <w:rPr>
          <w:rFonts w:ascii="Book Antiqua" w:eastAsia="Book Antiqua" w:hAnsi="Book Antiqua" w:cs="Book Antiqua"/>
          <w:i/>
          <w:iCs/>
        </w:rPr>
        <w:t>Atherosclerosis</w:t>
      </w:r>
      <w:r w:rsidRPr="00D301DC">
        <w:rPr>
          <w:rFonts w:ascii="Book Antiqua" w:eastAsia="Book Antiqua" w:hAnsi="Book Antiqua" w:cs="Book Antiqua"/>
        </w:rPr>
        <w:t xml:space="preserve"> 2017; </w:t>
      </w:r>
      <w:r w:rsidRPr="00D301DC">
        <w:rPr>
          <w:rFonts w:ascii="Book Antiqua" w:eastAsia="Book Antiqua" w:hAnsi="Book Antiqua" w:cs="Book Antiqua"/>
          <w:b/>
          <w:bCs/>
        </w:rPr>
        <w:t>260</w:t>
      </w:r>
      <w:r w:rsidRPr="00D301DC">
        <w:rPr>
          <w:rFonts w:ascii="Book Antiqua" w:eastAsia="Book Antiqua" w:hAnsi="Book Antiqua" w:cs="Book Antiqua"/>
        </w:rPr>
        <w:t>: 13-19 [PMID: 28324760 DOI: 10.1016/j.atherosclerosis.2017.03.016]</w:t>
      </w:r>
    </w:p>
    <w:p w14:paraId="546F4517"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54 </w:t>
      </w:r>
      <w:r w:rsidRPr="00D301DC">
        <w:rPr>
          <w:rFonts w:ascii="Book Antiqua" w:eastAsia="Book Antiqua" w:hAnsi="Book Antiqua" w:cs="Book Antiqua"/>
          <w:b/>
          <w:bCs/>
        </w:rPr>
        <w:t>Han J</w:t>
      </w:r>
      <w:r w:rsidRPr="00D301DC">
        <w:rPr>
          <w:rFonts w:ascii="Book Antiqua" w:eastAsia="Book Antiqua" w:hAnsi="Book Antiqua" w:cs="Book Antiqua"/>
        </w:rPr>
        <w:t xml:space="preserve">, Zhang S, Liu X, Xiao C. Fabrication of capsaicin emulsions: improving the stability of the system and relieving the irritation to the gastrointestinal tract of rats. </w:t>
      </w:r>
      <w:r w:rsidRPr="00D301DC">
        <w:rPr>
          <w:rFonts w:ascii="Book Antiqua" w:eastAsia="Book Antiqua" w:hAnsi="Book Antiqua" w:cs="Book Antiqua"/>
          <w:i/>
          <w:iCs/>
        </w:rPr>
        <w:t>J Sci Food Agric</w:t>
      </w:r>
      <w:r w:rsidRPr="00D301DC">
        <w:rPr>
          <w:rFonts w:ascii="Book Antiqua" w:eastAsia="Book Antiqua" w:hAnsi="Book Antiqua" w:cs="Book Antiqua"/>
        </w:rPr>
        <w:t xml:space="preserve"> 2020; </w:t>
      </w:r>
      <w:r w:rsidRPr="00D301DC">
        <w:rPr>
          <w:rFonts w:ascii="Book Antiqua" w:eastAsia="Book Antiqua" w:hAnsi="Book Antiqua" w:cs="Book Antiqua"/>
          <w:b/>
          <w:bCs/>
        </w:rPr>
        <w:t>100</w:t>
      </w:r>
      <w:r w:rsidRPr="00D301DC">
        <w:rPr>
          <w:rFonts w:ascii="Book Antiqua" w:eastAsia="Book Antiqua" w:hAnsi="Book Antiqua" w:cs="Book Antiqua"/>
        </w:rPr>
        <w:t>: 129-138 [PMID: 31452202 DOI: 10.1002/jsfa.10002]</w:t>
      </w:r>
    </w:p>
    <w:p w14:paraId="4BBA5B65"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lastRenderedPageBreak/>
        <w:t xml:space="preserve">55 </w:t>
      </w:r>
      <w:r w:rsidRPr="00D301DC">
        <w:rPr>
          <w:rFonts w:ascii="Book Antiqua" w:eastAsia="Book Antiqua" w:hAnsi="Book Antiqua" w:cs="Book Antiqua"/>
          <w:b/>
          <w:bCs/>
        </w:rPr>
        <w:t>Lu M</w:t>
      </w:r>
      <w:r w:rsidRPr="00D301DC">
        <w:rPr>
          <w:rFonts w:ascii="Book Antiqua" w:eastAsia="Book Antiqua" w:hAnsi="Book Antiqua" w:cs="Book Antiqua"/>
        </w:rPr>
        <w:t xml:space="preserve">, Cao Y, Ho CT, Huang Q. The enhanced anti-obesity effect and reduced gastric mucosa irritation of capsaicin-loaded nanoemulsions. </w:t>
      </w:r>
      <w:r w:rsidRPr="00D301DC">
        <w:rPr>
          <w:rFonts w:ascii="Book Antiqua" w:eastAsia="Book Antiqua" w:hAnsi="Book Antiqua" w:cs="Book Antiqua"/>
          <w:i/>
          <w:iCs/>
        </w:rPr>
        <w:t>Food Funct</w:t>
      </w:r>
      <w:r w:rsidRPr="00D301DC">
        <w:rPr>
          <w:rFonts w:ascii="Book Antiqua" w:eastAsia="Book Antiqua" w:hAnsi="Book Antiqua" w:cs="Book Antiqua"/>
        </w:rPr>
        <w:t xml:space="preserve"> 2017; </w:t>
      </w:r>
      <w:r w:rsidRPr="00D301DC">
        <w:rPr>
          <w:rFonts w:ascii="Book Antiqua" w:eastAsia="Book Antiqua" w:hAnsi="Book Antiqua" w:cs="Book Antiqua"/>
          <w:b/>
          <w:bCs/>
        </w:rPr>
        <w:t>8</w:t>
      </w:r>
      <w:r w:rsidRPr="00D301DC">
        <w:rPr>
          <w:rFonts w:ascii="Book Antiqua" w:eastAsia="Book Antiqua" w:hAnsi="Book Antiqua" w:cs="Book Antiqua"/>
        </w:rPr>
        <w:t>: 1803-1809 [PMID: 28443906 DOI: 10.1039/c7fo00173h]</w:t>
      </w:r>
    </w:p>
    <w:p w14:paraId="47511BF1"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56 </w:t>
      </w:r>
      <w:r w:rsidRPr="00D301DC">
        <w:rPr>
          <w:rFonts w:ascii="Book Antiqua" w:eastAsia="Book Antiqua" w:hAnsi="Book Antiqua" w:cs="Book Antiqua"/>
          <w:b/>
          <w:bCs/>
        </w:rPr>
        <w:t>van Wanrooij SJ</w:t>
      </w:r>
      <w:r w:rsidRPr="00D301DC">
        <w:rPr>
          <w:rFonts w:ascii="Book Antiqua" w:eastAsia="Book Antiqua" w:hAnsi="Book Antiqua" w:cs="Book Antiqua"/>
        </w:rPr>
        <w:t xml:space="preserve">, Wouters MM, Van Oudenhove L, Vanbrabant W, Mondelaers S, Kollmann P, Kreutz F, Schemann M, Boeckxstaens GE. Sensitivity testing in irritable bowel syndrome with rectal capsaicin stimulations: role of TRPV1 upregulation and sensitization in visceral hypersensitivity? </w:t>
      </w:r>
      <w:r w:rsidRPr="00D301DC">
        <w:rPr>
          <w:rFonts w:ascii="Book Antiqua" w:eastAsia="Book Antiqua" w:hAnsi="Book Antiqua" w:cs="Book Antiqua"/>
          <w:i/>
          <w:iCs/>
        </w:rPr>
        <w:t>Am J Gastroenterol</w:t>
      </w:r>
      <w:r w:rsidRPr="00D301DC">
        <w:rPr>
          <w:rFonts w:ascii="Book Antiqua" w:eastAsia="Book Antiqua" w:hAnsi="Book Antiqua" w:cs="Book Antiqua"/>
        </w:rPr>
        <w:t xml:space="preserve"> 2014; </w:t>
      </w:r>
      <w:r w:rsidRPr="00D301DC">
        <w:rPr>
          <w:rFonts w:ascii="Book Antiqua" w:eastAsia="Book Antiqua" w:hAnsi="Book Antiqua" w:cs="Book Antiqua"/>
          <w:b/>
          <w:bCs/>
        </w:rPr>
        <w:t>109</w:t>
      </w:r>
      <w:r w:rsidRPr="00D301DC">
        <w:rPr>
          <w:rFonts w:ascii="Book Antiqua" w:eastAsia="Book Antiqua" w:hAnsi="Book Antiqua" w:cs="Book Antiqua"/>
        </w:rPr>
        <w:t>: 99-109 [PMID: 24189713 DOI: 10.1038/ajg.2013.371]</w:t>
      </w:r>
    </w:p>
    <w:p w14:paraId="0DA9B5C2"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57 </w:t>
      </w:r>
      <w:r w:rsidRPr="00D301DC">
        <w:rPr>
          <w:rFonts w:ascii="Book Antiqua" w:eastAsia="Book Antiqua" w:hAnsi="Book Antiqua" w:cs="Book Antiqua"/>
          <w:b/>
          <w:bCs/>
        </w:rPr>
        <w:t>Xiang Q</w:t>
      </w:r>
      <w:r w:rsidRPr="00D301DC">
        <w:rPr>
          <w:rFonts w:ascii="Book Antiqua" w:eastAsia="Book Antiqua" w:hAnsi="Book Antiqua" w:cs="Book Antiqua"/>
        </w:rPr>
        <w:t xml:space="preserve">, Tang X, Cui S, Zhang Q, Liu X, Zhao J, Zhang H, Mao B, Chen W. Capsaicin, the Spicy Ingredient of Chili Peppers: Effects on Gastrointestinal Tract and Composition of Gut Microbiota at Various Dosages. </w:t>
      </w:r>
      <w:r w:rsidRPr="00D301DC">
        <w:rPr>
          <w:rFonts w:ascii="Book Antiqua" w:eastAsia="Book Antiqua" w:hAnsi="Book Antiqua" w:cs="Book Antiqua"/>
          <w:i/>
          <w:iCs/>
        </w:rPr>
        <w:t>Foods</w:t>
      </w:r>
      <w:r w:rsidRPr="00D301DC">
        <w:rPr>
          <w:rFonts w:ascii="Book Antiqua" w:eastAsia="Book Antiqua" w:hAnsi="Book Antiqua" w:cs="Book Antiqua"/>
        </w:rPr>
        <w:t xml:space="preserve"> 2022; </w:t>
      </w:r>
      <w:r w:rsidRPr="00D301DC">
        <w:rPr>
          <w:rFonts w:ascii="Book Antiqua" w:eastAsia="Book Antiqua" w:hAnsi="Book Antiqua" w:cs="Book Antiqua"/>
          <w:b/>
          <w:bCs/>
        </w:rPr>
        <w:t>11</w:t>
      </w:r>
      <w:r w:rsidRPr="00D301DC">
        <w:rPr>
          <w:rFonts w:ascii="Book Antiqua" w:eastAsia="Book Antiqua" w:hAnsi="Book Antiqua" w:cs="Book Antiqua"/>
        </w:rPr>
        <w:t xml:space="preserve"> [PMID: 35267319 DOI: 10.3390/foods11050686]</w:t>
      </w:r>
    </w:p>
    <w:p w14:paraId="42AE98B6"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58 </w:t>
      </w:r>
      <w:r w:rsidRPr="00D301DC">
        <w:rPr>
          <w:rFonts w:ascii="Book Antiqua" w:eastAsia="Book Antiqua" w:hAnsi="Book Antiqua" w:cs="Book Antiqua"/>
          <w:b/>
          <w:bCs/>
        </w:rPr>
        <w:t>Boudaka A</w:t>
      </w:r>
      <w:r w:rsidRPr="00D301DC">
        <w:rPr>
          <w:rFonts w:ascii="Book Antiqua" w:eastAsia="Book Antiqua" w:hAnsi="Book Antiqua" w:cs="Book Antiqua"/>
        </w:rPr>
        <w:t xml:space="preserve">, Wörl J, Shiina T, Neuhuber WL, Kobayashi H, Shimizu Y, Takewaki T. Involvement of TRPV1-dependent and -independent components in the regulation of vagally induced contractions in the mouse esophagus. </w:t>
      </w:r>
      <w:r w:rsidRPr="00D301DC">
        <w:rPr>
          <w:rFonts w:ascii="Book Antiqua" w:eastAsia="Book Antiqua" w:hAnsi="Book Antiqua" w:cs="Book Antiqua"/>
          <w:i/>
          <w:iCs/>
        </w:rPr>
        <w:t>Eur J Pharmacol</w:t>
      </w:r>
      <w:r w:rsidRPr="00D301DC">
        <w:rPr>
          <w:rFonts w:ascii="Book Antiqua" w:eastAsia="Book Antiqua" w:hAnsi="Book Antiqua" w:cs="Book Antiqua"/>
        </w:rPr>
        <w:t xml:space="preserve"> 2007; </w:t>
      </w:r>
      <w:r w:rsidRPr="00D301DC">
        <w:rPr>
          <w:rFonts w:ascii="Book Antiqua" w:eastAsia="Book Antiqua" w:hAnsi="Book Antiqua" w:cs="Book Antiqua"/>
          <w:b/>
          <w:bCs/>
        </w:rPr>
        <w:t>556</w:t>
      </w:r>
      <w:r w:rsidRPr="00D301DC">
        <w:rPr>
          <w:rFonts w:ascii="Book Antiqua" w:eastAsia="Book Antiqua" w:hAnsi="Book Antiqua" w:cs="Book Antiqua"/>
        </w:rPr>
        <w:t>: 157-165 [PMID: 17156774 DOI: 10.1016/j.ejphar.2006.11.005]</w:t>
      </w:r>
    </w:p>
    <w:p w14:paraId="3F2551AA"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59 </w:t>
      </w:r>
      <w:r w:rsidRPr="00D301DC">
        <w:rPr>
          <w:rFonts w:ascii="Book Antiqua" w:eastAsia="Book Antiqua" w:hAnsi="Book Antiqua" w:cs="Book Antiqua"/>
          <w:b/>
          <w:bCs/>
        </w:rPr>
        <w:t>Benko R</w:t>
      </w:r>
      <w:r w:rsidRPr="00D301DC">
        <w:rPr>
          <w:rFonts w:ascii="Book Antiqua" w:eastAsia="Book Antiqua" w:hAnsi="Book Antiqua" w:cs="Book Antiqua"/>
        </w:rPr>
        <w:t xml:space="preserve">, Lazar Z, Undi S, Illenyi L, Antal A, Horvath OP, Rumbus Z, Wolf M, Maggi CA, Bartho L. Inhibition of nitric oxide synthesis blocks the inhibitory response to capsaicin in intestinal circular muscle preparations from different species. </w:t>
      </w:r>
      <w:r w:rsidRPr="00D301DC">
        <w:rPr>
          <w:rFonts w:ascii="Book Antiqua" w:eastAsia="Book Antiqua" w:hAnsi="Book Antiqua" w:cs="Book Antiqua"/>
          <w:i/>
          <w:iCs/>
        </w:rPr>
        <w:t>Life Sci</w:t>
      </w:r>
      <w:r w:rsidRPr="00D301DC">
        <w:rPr>
          <w:rFonts w:ascii="Book Antiqua" w:eastAsia="Book Antiqua" w:hAnsi="Book Antiqua" w:cs="Book Antiqua"/>
        </w:rPr>
        <w:t xml:space="preserve"> 2005; </w:t>
      </w:r>
      <w:r w:rsidRPr="00D301DC">
        <w:rPr>
          <w:rFonts w:ascii="Book Antiqua" w:eastAsia="Book Antiqua" w:hAnsi="Book Antiqua" w:cs="Book Antiqua"/>
          <w:b/>
          <w:bCs/>
        </w:rPr>
        <w:t>76</w:t>
      </w:r>
      <w:r w:rsidRPr="00D301DC">
        <w:rPr>
          <w:rFonts w:ascii="Book Antiqua" w:eastAsia="Book Antiqua" w:hAnsi="Book Antiqua" w:cs="Book Antiqua"/>
        </w:rPr>
        <w:t>: 2773-2782 [PMID: 15808879 DOI: 10.1016/j.lfs.2004.07.033]</w:t>
      </w:r>
    </w:p>
    <w:p w14:paraId="15BAAE8B"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60 </w:t>
      </w:r>
      <w:r w:rsidRPr="00D301DC">
        <w:rPr>
          <w:rFonts w:ascii="Book Antiqua" w:eastAsia="Book Antiqua" w:hAnsi="Book Antiqua" w:cs="Book Antiqua"/>
          <w:b/>
          <w:bCs/>
        </w:rPr>
        <w:t>Medeiros JV</w:t>
      </w:r>
      <w:r w:rsidRPr="00D301DC">
        <w:rPr>
          <w:rFonts w:ascii="Book Antiqua" w:eastAsia="Book Antiqua" w:hAnsi="Book Antiqua" w:cs="Book Antiqua"/>
        </w:rPr>
        <w:t xml:space="preserve">, Bezerra VH, Lucetti LT, Lima-Júnior RC, Barbosa AL, Tavares BM, Magalhães PJ, Santos AA, Cunha FQ, Soares PM, Souza MH. Role of KATP channels and TRPV1 receptors in hydrogen sulfide-enhanced gastric emptying of liquid in awake mice. </w:t>
      </w:r>
      <w:r w:rsidRPr="00D301DC">
        <w:rPr>
          <w:rFonts w:ascii="Book Antiqua" w:eastAsia="Book Antiqua" w:hAnsi="Book Antiqua" w:cs="Book Antiqua"/>
          <w:i/>
          <w:iCs/>
        </w:rPr>
        <w:t>Eur J Pharmacol</w:t>
      </w:r>
      <w:r w:rsidRPr="00D301DC">
        <w:rPr>
          <w:rFonts w:ascii="Book Antiqua" w:eastAsia="Book Antiqua" w:hAnsi="Book Antiqua" w:cs="Book Antiqua"/>
        </w:rPr>
        <w:t xml:space="preserve"> 2012; </w:t>
      </w:r>
      <w:r w:rsidRPr="00D301DC">
        <w:rPr>
          <w:rFonts w:ascii="Book Antiqua" w:eastAsia="Book Antiqua" w:hAnsi="Book Antiqua" w:cs="Book Antiqua"/>
          <w:b/>
          <w:bCs/>
        </w:rPr>
        <w:t>693</w:t>
      </w:r>
      <w:r w:rsidRPr="00D301DC">
        <w:rPr>
          <w:rFonts w:ascii="Book Antiqua" w:eastAsia="Book Antiqua" w:hAnsi="Book Antiqua" w:cs="Book Antiqua"/>
        </w:rPr>
        <w:t>: 57-63 [PMID: 22884438 DOI: 10.1016/j.ejphar.2012.07.004]</w:t>
      </w:r>
    </w:p>
    <w:p w14:paraId="35C6BE6C"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61 </w:t>
      </w:r>
      <w:r w:rsidRPr="00D301DC">
        <w:rPr>
          <w:rFonts w:ascii="Book Antiqua" w:eastAsia="Book Antiqua" w:hAnsi="Book Antiqua" w:cs="Book Antiqua"/>
          <w:b/>
          <w:bCs/>
        </w:rPr>
        <w:t>Trevisani M</w:t>
      </w:r>
      <w:r w:rsidRPr="00D301DC">
        <w:rPr>
          <w:rFonts w:ascii="Book Antiqua" w:eastAsia="Book Antiqua" w:hAnsi="Book Antiqua" w:cs="Book Antiqua"/>
        </w:rPr>
        <w:t xml:space="preserve">, Patacchini R, Nicoletti P, Gatti R, Gazzieri D, Lissi N, Zagli G, Creminon C, Geppetti P, Harrison S. Hydrogen sulfide causes vanilloid receptor 1-mediated neurogenic inflammation in the airways. </w:t>
      </w:r>
      <w:r w:rsidRPr="00D301DC">
        <w:rPr>
          <w:rFonts w:ascii="Book Antiqua" w:eastAsia="Book Antiqua" w:hAnsi="Book Antiqua" w:cs="Book Antiqua"/>
          <w:i/>
          <w:iCs/>
        </w:rPr>
        <w:t>Br J Pharmacol</w:t>
      </w:r>
      <w:r w:rsidRPr="00D301DC">
        <w:rPr>
          <w:rFonts w:ascii="Book Antiqua" w:eastAsia="Book Antiqua" w:hAnsi="Book Antiqua" w:cs="Book Antiqua"/>
        </w:rPr>
        <w:t xml:space="preserve"> 2005; </w:t>
      </w:r>
      <w:r w:rsidRPr="00D301DC">
        <w:rPr>
          <w:rFonts w:ascii="Book Antiqua" w:eastAsia="Book Antiqua" w:hAnsi="Book Antiqua" w:cs="Book Antiqua"/>
          <w:b/>
          <w:bCs/>
        </w:rPr>
        <w:t>145</w:t>
      </w:r>
      <w:r w:rsidRPr="00D301DC">
        <w:rPr>
          <w:rFonts w:ascii="Book Antiqua" w:eastAsia="Book Antiqua" w:hAnsi="Book Antiqua" w:cs="Book Antiqua"/>
        </w:rPr>
        <w:t>: 1123-1131 [PMID: 15937520 DOI: 10.1038/sj.bjp.0706277]</w:t>
      </w:r>
    </w:p>
    <w:p w14:paraId="24840A5B"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lastRenderedPageBreak/>
        <w:t xml:space="preserve">62 </w:t>
      </w:r>
      <w:r w:rsidRPr="00D301DC">
        <w:rPr>
          <w:rFonts w:ascii="Book Antiqua" w:eastAsia="Book Antiqua" w:hAnsi="Book Antiqua" w:cs="Book Antiqua"/>
          <w:b/>
          <w:bCs/>
        </w:rPr>
        <w:t>Holzer P</w:t>
      </w:r>
      <w:r w:rsidRPr="00D301DC">
        <w:rPr>
          <w:rFonts w:ascii="Book Antiqua" w:eastAsia="Book Antiqua" w:hAnsi="Book Antiqua" w:cs="Book Antiqua"/>
        </w:rPr>
        <w:t xml:space="preserve">. Efferent-like roles of afferent neurons in the gut: Blood flow regulation and tissue protection. </w:t>
      </w:r>
      <w:r w:rsidRPr="00D301DC">
        <w:rPr>
          <w:rFonts w:ascii="Book Antiqua" w:eastAsia="Book Antiqua" w:hAnsi="Book Antiqua" w:cs="Book Antiqua"/>
          <w:i/>
          <w:iCs/>
        </w:rPr>
        <w:t>Auton Neurosci</w:t>
      </w:r>
      <w:r w:rsidRPr="00D301DC">
        <w:rPr>
          <w:rFonts w:ascii="Book Antiqua" w:eastAsia="Book Antiqua" w:hAnsi="Book Antiqua" w:cs="Book Antiqua"/>
        </w:rPr>
        <w:t xml:space="preserve"> 2006; </w:t>
      </w:r>
      <w:r w:rsidRPr="00D301DC">
        <w:rPr>
          <w:rFonts w:ascii="Book Antiqua" w:eastAsia="Book Antiqua" w:hAnsi="Book Antiqua" w:cs="Book Antiqua"/>
          <w:b/>
          <w:bCs/>
        </w:rPr>
        <w:t>125</w:t>
      </w:r>
      <w:r w:rsidRPr="00D301DC">
        <w:rPr>
          <w:rFonts w:ascii="Book Antiqua" w:eastAsia="Book Antiqua" w:hAnsi="Book Antiqua" w:cs="Book Antiqua"/>
        </w:rPr>
        <w:t>: 70-75 [PMID: 16542883 DOI: 10.1016/j.autneu.2006.01.004]</w:t>
      </w:r>
    </w:p>
    <w:p w14:paraId="788E05B8"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63 </w:t>
      </w:r>
      <w:r w:rsidRPr="00D301DC">
        <w:rPr>
          <w:rFonts w:ascii="Book Antiqua" w:eastAsia="Book Antiqua" w:hAnsi="Book Antiqua" w:cs="Book Antiqua"/>
          <w:b/>
          <w:bCs/>
        </w:rPr>
        <w:t>Zieglgänsberger W</w:t>
      </w:r>
      <w:r w:rsidRPr="00D301DC">
        <w:rPr>
          <w:rFonts w:ascii="Book Antiqua" w:eastAsia="Book Antiqua" w:hAnsi="Book Antiqua" w:cs="Book Antiqua"/>
        </w:rPr>
        <w:t xml:space="preserve">. Substance P and pain chronicity. </w:t>
      </w:r>
      <w:r w:rsidRPr="00D301DC">
        <w:rPr>
          <w:rFonts w:ascii="Book Antiqua" w:eastAsia="Book Antiqua" w:hAnsi="Book Antiqua" w:cs="Book Antiqua"/>
          <w:i/>
          <w:iCs/>
        </w:rPr>
        <w:t>Cell Tissue Res</w:t>
      </w:r>
      <w:r w:rsidRPr="00D301DC">
        <w:rPr>
          <w:rFonts w:ascii="Book Antiqua" w:eastAsia="Book Antiqua" w:hAnsi="Book Antiqua" w:cs="Book Antiqua"/>
        </w:rPr>
        <w:t xml:space="preserve"> 2019; </w:t>
      </w:r>
      <w:r w:rsidRPr="00D301DC">
        <w:rPr>
          <w:rFonts w:ascii="Book Antiqua" w:eastAsia="Book Antiqua" w:hAnsi="Book Antiqua" w:cs="Book Antiqua"/>
          <w:b/>
          <w:bCs/>
        </w:rPr>
        <w:t>375</w:t>
      </w:r>
      <w:r w:rsidRPr="00D301DC">
        <w:rPr>
          <w:rFonts w:ascii="Book Antiqua" w:eastAsia="Book Antiqua" w:hAnsi="Book Antiqua" w:cs="Book Antiqua"/>
        </w:rPr>
        <w:t>: 227-241 [PMID: 30284083 DOI: 10.1007/s00441-018-2922-y]</w:t>
      </w:r>
    </w:p>
    <w:p w14:paraId="7B7E5AAD"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64 </w:t>
      </w:r>
      <w:r w:rsidRPr="00D301DC">
        <w:rPr>
          <w:rFonts w:ascii="Book Antiqua" w:eastAsia="Book Antiqua" w:hAnsi="Book Antiqua" w:cs="Book Antiqua"/>
          <w:b/>
          <w:bCs/>
        </w:rPr>
        <w:t>Patacchini R</w:t>
      </w:r>
      <w:r w:rsidRPr="00D301DC">
        <w:rPr>
          <w:rFonts w:ascii="Book Antiqua" w:eastAsia="Book Antiqua" w:hAnsi="Book Antiqua" w:cs="Book Antiqua"/>
        </w:rPr>
        <w:t xml:space="preserve">, Santicioli P, Giuliani S, Maggi CA. Hydrogen sulfide (H2S) stimulates capsaicin-sensitive primary afferent neurons in the rat urinary bladder. </w:t>
      </w:r>
      <w:r w:rsidRPr="00D301DC">
        <w:rPr>
          <w:rFonts w:ascii="Book Antiqua" w:eastAsia="Book Antiqua" w:hAnsi="Book Antiqua" w:cs="Book Antiqua"/>
          <w:i/>
          <w:iCs/>
        </w:rPr>
        <w:t>Br J Pharmacol</w:t>
      </w:r>
      <w:r w:rsidRPr="00D301DC">
        <w:rPr>
          <w:rFonts w:ascii="Book Antiqua" w:eastAsia="Book Antiqua" w:hAnsi="Book Antiqua" w:cs="Book Antiqua"/>
        </w:rPr>
        <w:t xml:space="preserve"> 2004; </w:t>
      </w:r>
      <w:r w:rsidRPr="00D301DC">
        <w:rPr>
          <w:rFonts w:ascii="Book Antiqua" w:eastAsia="Book Antiqua" w:hAnsi="Book Antiqua" w:cs="Book Antiqua"/>
          <w:b/>
          <w:bCs/>
        </w:rPr>
        <w:t>142</w:t>
      </w:r>
      <w:r w:rsidRPr="00D301DC">
        <w:rPr>
          <w:rFonts w:ascii="Book Antiqua" w:eastAsia="Book Antiqua" w:hAnsi="Book Antiqua" w:cs="Book Antiqua"/>
        </w:rPr>
        <w:t>: 31-34 [PMID: 15051627 DOI: 10.1038/sj.bjp.0705764]</w:t>
      </w:r>
    </w:p>
    <w:p w14:paraId="3969A259"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65 </w:t>
      </w:r>
      <w:r w:rsidRPr="00D301DC">
        <w:rPr>
          <w:rFonts w:ascii="Book Antiqua" w:eastAsia="Book Antiqua" w:hAnsi="Book Antiqua" w:cs="Book Antiqua"/>
          <w:b/>
          <w:bCs/>
        </w:rPr>
        <w:t>Spencer SE</w:t>
      </w:r>
      <w:r w:rsidRPr="00D301DC">
        <w:rPr>
          <w:rFonts w:ascii="Book Antiqua" w:eastAsia="Book Antiqua" w:hAnsi="Book Antiqua" w:cs="Book Antiqua"/>
        </w:rPr>
        <w:t xml:space="preserve">, Talman WT. Central modulation of gastric pressure by substance P: a comparison with glutamate and acetylcholine. </w:t>
      </w:r>
      <w:r w:rsidRPr="00D301DC">
        <w:rPr>
          <w:rFonts w:ascii="Book Antiqua" w:eastAsia="Book Antiqua" w:hAnsi="Book Antiqua" w:cs="Book Antiqua"/>
          <w:i/>
          <w:iCs/>
        </w:rPr>
        <w:t>Brain Res</w:t>
      </w:r>
      <w:r w:rsidRPr="00D301DC">
        <w:rPr>
          <w:rFonts w:ascii="Book Antiqua" w:eastAsia="Book Antiqua" w:hAnsi="Book Antiqua" w:cs="Book Antiqua"/>
        </w:rPr>
        <w:t xml:space="preserve"> 1986; </w:t>
      </w:r>
      <w:r w:rsidRPr="00D301DC">
        <w:rPr>
          <w:rFonts w:ascii="Book Antiqua" w:eastAsia="Book Antiqua" w:hAnsi="Book Antiqua" w:cs="Book Antiqua"/>
          <w:b/>
          <w:bCs/>
        </w:rPr>
        <w:t>385</w:t>
      </w:r>
      <w:r w:rsidRPr="00D301DC">
        <w:rPr>
          <w:rFonts w:ascii="Book Antiqua" w:eastAsia="Book Antiqua" w:hAnsi="Book Antiqua" w:cs="Book Antiqua"/>
        </w:rPr>
        <w:t>: 371-374 [PMID: 2430670 DOI: 10.1016/0006-8993(86)91085-1]</w:t>
      </w:r>
    </w:p>
    <w:p w14:paraId="248601C8"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66 </w:t>
      </w:r>
      <w:r w:rsidRPr="00D301DC">
        <w:rPr>
          <w:rFonts w:ascii="Book Antiqua" w:eastAsia="Book Antiqua" w:hAnsi="Book Antiqua" w:cs="Book Antiqua"/>
          <w:b/>
          <w:bCs/>
        </w:rPr>
        <w:t>Clyburn C</w:t>
      </w:r>
      <w:r w:rsidRPr="00D301DC">
        <w:rPr>
          <w:rFonts w:ascii="Book Antiqua" w:eastAsia="Book Antiqua" w:hAnsi="Book Antiqua" w:cs="Book Antiqua"/>
        </w:rPr>
        <w:t xml:space="preserve">, Browning KN. Glutamatergic plasticity within neurocircuits of the dorsal vagal complex and the regulation of gastric functions. </w:t>
      </w:r>
      <w:r w:rsidRPr="00D301DC">
        <w:rPr>
          <w:rFonts w:ascii="Book Antiqua" w:eastAsia="Book Antiqua" w:hAnsi="Book Antiqua" w:cs="Book Antiqua"/>
          <w:i/>
          <w:iCs/>
        </w:rPr>
        <w:t>Am J Physiol Gastrointest Liver Physiol</w:t>
      </w:r>
      <w:r w:rsidRPr="00D301DC">
        <w:rPr>
          <w:rFonts w:ascii="Book Antiqua" w:eastAsia="Book Antiqua" w:hAnsi="Book Antiqua" w:cs="Book Antiqua"/>
        </w:rPr>
        <w:t xml:space="preserve"> 2021; </w:t>
      </w:r>
      <w:r w:rsidRPr="00D301DC">
        <w:rPr>
          <w:rFonts w:ascii="Book Antiqua" w:eastAsia="Book Antiqua" w:hAnsi="Book Antiqua" w:cs="Book Antiqua"/>
          <w:b/>
          <w:bCs/>
        </w:rPr>
        <w:t>320</w:t>
      </w:r>
      <w:r w:rsidRPr="00D301DC">
        <w:rPr>
          <w:rFonts w:ascii="Book Antiqua" w:eastAsia="Book Antiqua" w:hAnsi="Book Antiqua" w:cs="Book Antiqua"/>
        </w:rPr>
        <w:t>: G880-G887 [PMID: 33730858 DOI: 10.1152/ajpgi.00014.2021]</w:t>
      </w:r>
    </w:p>
    <w:p w14:paraId="43FF1A24"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67 </w:t>
      </w:r>
      <w:r w:rsidRPr="00D301DC">
        <w:rPr>
          <w:rFonts w:ascii="Book Antiqua" w:eastAsia="Book Antiqua" w:hAnsi="Book Antiqua" w:cs="Book Antiqua"/>
          <w:b/>
          <w:bCs/>
        </w:rPr>
        <w:t>Jocic M</w:t>
      </w:r>
      <w:r w:rsidRPr="00D301DC">
        <w:rPr>
          <w:rFonts w:ascii="Book Antiqua" w:eastAsia="Book Antiqua" w:hAnsi="Book Antiqua" w:cs="Book Antiqua"/>
        </w:rPr>
        <w:t xml:space="preserve">, Schuligoi R, Schöninkle E, Pabst MA, Holzer P. Cooperation of NMDA and tachykinin NK(1) and NK(2) receptors in the medullary transmission of vagal afferent input from the acid-threatened rat stomach. </w:t>
      </w:r>
      <w:r w:rsidRPr="00D301DC">
        <w:rPr>
          <w:rFonts w:ascii="Book Antiqua" w:eastAsia="Book Antiqua" w:hAnsi="Book Antiqua" w:cs="Book Antiqua"/>
          <w:i/>
          <w:iCs/>
        </w:rPr>
        <w:t>Pain</w:t>
      </w:r>
      <w:r w:rsidRPr="00D301DC">
        <w:rPr>
          <w:rFonts w:ascii="Book Antiqua" w:eastAsia="Book Antiqua" w:hAnsi="Book Antiqua" w:cs="Book Antiqua"/>
        </w:rPr>
        <w:t xml:space="preserve"> 2001; </w:t>
      </w:r>
      <w:r w:rsidRPr="00D301DC">
        <w:rPr>
          <w:rFonts w:ascii="Book Antiqua" w:eastAsia="Book Antiqua" w:hAnsi="Book Antiqua" w:cs="Book Antiqua"/>
          <w:b/>
          <w:bCs/>
        </w:rPr>
        <w:t>89</w:t>
      </w:r>
      <w:r w:rsidRPr="00D301DC">
        <w:rPr>
          <w:rFonts w:ascii="Book Antiqua" w:eastAsia="Book Antiqua" w:hAnsi="Book Antiqua" w:cs="Book Antiqua"/>
        </w:rPr>
        <w:t>: 147-157 [PMID: 11166470 DOI: 10.1016/s0304-3959(00)00357-2]</w:t>
      </w:r>
    </w:p>
    <w:p w14:paraId="2C9AB1AB"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68 </w:t>
      </w:r>
      <w:r w:rsidRPr="00D301DC">
        <w:rPr>
          <w:rFonts w:ascii="Book Antiqua" w:eastAsia="Book Antiqua" w:hAnsi="Book Antiqua" w:cs="Book Antiqua"/>
          <w:b/>
          <w:bCs/>
        </w:rPr>
        <w:t>Krowicki ZK</w:t>
      </w:r>
      <w:r w:rsidRPr="00D301DC">
        <w:rPr>
          <w:rFonts w:ascii="Book Antiqua" w:eastAsia="Book Antiqua" w:hAnsi="Book Antiqua" w:cs="Book Antiqua"/>
        </w:rPr>
        <w:t xml:space="preserve">, Hornby PJ. Substance P in the dorsal motor nucleus of the vagus evokes gastric motor inhibition via neurokinin 1 receptor in rat. </w:t>
      </w:r>
      <w:r w:rsidRPr="00D301DC">
        <w:rPr>
          <w:rFonts w:ascii="Book Antiqua" w:eastAsia="Book Antiqua" w:hAnsi="Book Antiqua" w:cs="Book Antiqua"/>
          <w:i/>
          <w:iCs/>
        </w:rPr>
        <w:t>J Pharmacol Exp Ther</w:t>
      </w:r>
      <w:r w:rsidRPr="00D301DC">
        <w:rPr>
          <w:rFonts w:ascii="Book Antiqua" w:eastAsia="Book Antiqua" w:hAnsi="Book Antiqua" w:cs="Book Antiqua"/>
        </w:rPr>
        <w:t xml:space="preserve"> 2000; </w:t>
      </w:r>
      <w:r w:rsidRPr="00D301DC">
        <w:rPr>
          <w:rFonts w:ascii="Book Antiqua" w:eastAsia="Book Antiqua" w:hAnsi="Book Antiqua" w:cs="Book Antiqua"/>
          <w:b/>
          <w:bCs/>
        </w:rPr>
        <w:t>293</w:t>
      </w:r>
      <w:r w:rsidRPr="00D301DC">
        <w:rPr>
          <w:rFonts w:ascii="Book Antiqua" w:eastAsia="Book Antiqua" w:hAnsi="Book Antiqua" w:cs="Book Antiqua"/>
        </w:rPr>
        <w:t>: 214-221 [PMID: 10734172]</w:t>
      </w:r>
    </w:p>
    <w:p w14:paraId="459EB7C0"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69 </w:t>
      </w:r>
      <w:r w:rsidRPr="00D301DC">
        <w:rPr>
          <w:rFonts w:ascii="Book Antiqua" w:eastAsia="Book Antiqua" w:hAnsi="Book Antiqua" w:cs="Book Antiqua"/>
          <w:b/>
          <w:bCs/>
        </w:rPr>
        <w:t>Hahn MK</w:t>
      </w:r>
      <w:r w:rsidRPr="00D301DC">
        <w:rPr>
          <w:rFonts w:ascii="Book Antiqua" w:eastAsia="Book Antiqua" w:hAnsi="Book Antiqua" w:cs="Book Antiqua"/>
        </w:rPr>
        <w:t xml:space="preserve">, Bannon MJ. Stress-induced C-fos expression in the rat locus coeruleus is dependent on neurokinin 1 receptor activation. </w:t>
      </w:r>
      <w:r w:rsidRPr="00D301DC">
        <w:rPr>
          <w:rFonts w:ascii="Book Antiqua" w:eastAsia="Book Antiqua" w:hAnsi="Book Antiqua" w:cs="Book Antiqua"/>
          <w:i/>
          <w:iCs/>
        </w:rPr>
        <w:t>Neuroscience</w:t>
      </w:r>
      <w:r w:rsidRPr="00D301DC">
        <w:rPr>
          <w:rFonts w:ascii="Book Antiqua" w:eastAsia="Book Antiqua" w:hAnsi="Book Antiqua" w:cs="Book Antiqua"/>
        </w:rPr>
        <w:t xml:space="preserve"> 1999; </w:t>
      </w:r>
      <w:r w:rsidRPr="00D301DC">
        <w:rPr>
          <w:rFonts w:ascii="Book Antiqua" w:eastAsia="Book Antiqua" w:hAnsi="Book Antiqua" w:cs="Book Antiqua"/>
          <w:b/>
          <w:bCs/>
        </w:rPr>
        <w:t>94</w:t>
      </w:r>
      <w:r w:rsidRPr="00D301DC">
        <w:rPr>
          <w:rFonts w:ascii="Book Antiqua" w:eastAsia="Book Antiqua" w:hAnsi="Book Antiqua" w:cs="Book Antiqua"/>
        </w:rPr>
        <w:t>: 1183-1188 [PMID: 10625057 DOI: 10.1016/s0306-4522(99)00319-x]</w:t>
      </w:r>
    </w:p>
    <w:p w14:paraId="74FC174A"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70 </w:t>
      </w:r>
      <w:r w:rsidRPr="00D301DC">
        <w:rPr>
          <w:rFonts w:ascii="Book Antiqua" w:eastAsia="Book Antiqua" w:hAnsi="Book Antiqua" w:cs="Book Antiqua"/>
          <w:b/>
          <w:bCs/>
        </w:rPr>
        <w:t>Santarelli L</w:t>
      </w:r>
      <w:r w:rsidRPr="00D301DC">
        <w:rPr>
          <w:rFonts w:ascii="Book Antiqua" w:eastAsia="Book Antiqua" w:hAnsi="Book Antiqua" w:cs="Book Antiqua"/>
        </w:rPr>
        <w:t xml:space="preserve">, Gobbi G, Blier P, Hen R. Behavioral and physiologic effects of genetic or pharmacologic inactivation of the substance P receptor (NK1). </w:t>
      </w:r>
      <w:r w:rsidRPr="00D301DC">
        <w:rPr>
          <w:rFonts w:ascii="Book Antiqua" w:eastAsia="Book Antiqua" w:hAnsi="Book Antiqua" w:cs="Book Antiqua"/>
          <w:i/>
          <w:iCs/>
        </w:rPr>
        <w:t>J Clin Psychiatry</w:t>
      </w:r>
      <w:r w:rsidRPr="00D301DC">
        <w:rPr>
          <w:rFonts w:ascii="Book Antiqua" w:eastAsia="Book Antiqua" w:hAnsi="Book Antiqua" w:cs="Book Antiqua"/>
        </w:rPr>
        <w:t xml:space="preserve"> 2002; </w:t>
      </w:r>
      <w:r w:rsidRPr="00D301DC">
        <w:rPr>
          <w:rFonts w:ascii="Book Antiqua" w:eastAsia="Book Antiqua" w:hAnsi="Book Antiqua" w:cs="Book Antiqua"/>
          <w:b/>
          <w:bCs/>
        </w:rPr>
        <w:t xml:space="preserve">63 </w:t>
      </w:r>
      <w:r w:rsidRPr="00D301DC">
        <w:rPr>
          <w:rFonts w:ascii="Book Antiqua" w:eastAsia="Book Antiqua" w:hAnsi="Book Antiqua" w:cs="Book Antiqua"/>
        </w:rPr>
        <w:t>Suppl 11: 11-17 [PMID: 12562138]</w:t>
      </w:r>
    </w:p>
    <w:p w14:paraId="06166A39"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71 </w:t>
      </w:r>
      <w:r w:rsidRPr="00D301DC">
        <w:rPr>
          <w:rFonts w:ascii="Book Antiqua" w:eastAsia="Book Antiqua" w:hAnsi="Book Antiqua" w:cs="Book Antiqua"/>
          <w:b/>
          <w:bCs/>
        </w:rPr>
        <w:t>Singewald N</w:t>
      </w:r>
      <w:r w:rsidRPr="00D301DC">
        <w:rPr>
          <w:rFonts w:ascii="Book Antiqua" w:eastAsia="Book Antiqua" w:hAnsi="Book Antiqua" w:cs="Book Antiqua"/>
        </w:rPr>
        <w:t>, Chicchi GG, Thurner CC, Tsao KL, Spetea M, Schmidhammer H, Sreepathi HK, Ferraguti F, Singewald GM, Ebner K. Modulation of basal and stress-</w:t>
      </w:r>
      <w:r w:rsidRPr="00D301DC">
        <w:rPr>
          <w:rFonts w:ascii="Book Antiqua" w:eastAsia="Book Antiqua" w:hAnsi="Book Antiqua" w:cs="Book Antiqua"/>
        </w:rPr>
        <w:lastRenderedPageBreak/>
        <w:t xml:space="preserve">induced amygdaloid substance P release by the potent and selective NK1 receptor antagonist L-822429. </w:t>
      </w:r>
      <w:r w:rsidRPr="00D301DC">
        <w:rPr>
          <w:rFonts w:ascii="Book Antiqua" w:eastAsia="Book Antiqua" w:hAnsi="Book Antiqua" w:cs="Book Antiqua"/>
          <w:i/>
          <w:iCs/>
        </w:rPr>
        <w:t>J Neurochem</w:t>
      </w:r>
      <w:r w:rsidRPr="00D301DC">
        <w:rPr>
          <w:rFonts w:ascii="Book Antiqua" w:eastAsia="Book Antiqua" w:hAnsi="Book Antiqua" w:cs="Book Antiqua"/>
        </w:rPr>
        <w:t xml:space="preserve"> 2008; </w:t>
      </w:r>
      <w:r w:rsidRPr="00D301DC">
        <w:rPr>
          <w:rFonts w:ascii="Book Antiqua" w:eastAsia="Book Antiqua" w:hAnsi="Book Antiqua" w:cs="Book Antiqua"/>
          <w:b/>
          <w:bCs/>
        </w:rPr>
        <w:t>106</w:t>
      </w:r>
      <w:r w:rsidRPr="00D301DC">
        <w:rPr>
          <w:rFonts w:ascii="Book Antiqua" w:eastAsia="Book Antiqua" w:hAnsi="Book Antiqua" w:cs="Book Antiqua"/>
        </w:rPr>
        <w:t>: 2476-2488 [PMID: 18673452 DOI: 10.1111/j.1471-4159.2008.05596.x]</w:t>
      </w:r>
    </w:p>
    <w:p w14:paraId="24F5B565"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72 </w:t>
      </w:r>
      <w:r w:rsidRPr="00D301DC">
        <w:rPr>
          <w:rFonts w:ascii="Book Antiqua" w:eastAsia="Book Antiqua" w:hAnsi="Book Antiqua" w:cs="Book Antiqua"/>
          <w:b/>
          <w:bCs/>
        </w:rPr>
        <w:t>Abbadie C</w:t>
      </w:r>
      <w:r w:rsidRPr="00D301DC">
        <w:rPr>
          <w:rFonts w:ascii="Book Antiqua" w:eastAsia="Book Antiqua" w:hAnsi="Book Antiqua" w:cs="Book Antiqua"/>
        </w:rPr>
        <w:t xml:space="preserve">, Brown JL, Mantyh PW, Basbaum AI. Spinal cord substance P receptor immunoreactivity increases in both inflammatory and nerve injury models of persistent pain. </w:t>
      </w:r>
      <w:r w:rsidRPr="00D301DC">
        <w:rPr>
          <w:rFonts w:ascii="Book Antiqua" w:eastAsia="Book Antiqua" w:hAnsi="Book Antiqua" w:cs="Book Antiqua"/>
          <w:i/>
          <w:iCs/>
        </w:rPr>
        <w:t>Neuroscience</w:t>
      </w:r>
      <w:r w:rsidRPr="00D301DC">
        <w:rPr>
          <w:rFonts w:ascii="Book Antiqua" w:eastAsia="Book Antiqua" w:hAnsi="Book Antiqua" w:cs="Book Antiqua"/>
        </w:rPr>
        <w:t xml:space="preserve"> 1996; </w:t>
      </w:r>
      <w:r w:rsidRPr="00D301DC">
        <w:rPr>
          <w:rFonts w:ascii="Book Antiqua" w:eastAsia="Book Antiqua" w:hAnsi="Book Antiqua" w:cs="Book Antiqua"/>
          <w:b/>
          <w:bCs/>
        </w:rPr>
        <w:t>70</w:t>
      </w:r>
      <w:r w:rsidRPr="00D301DC">
        <w:rPr>
          <w:rFonts w:ascii="Book Antiqua" w:eastAsia="Book Antiqua" w:hAnsi="Book Antiqua" w:cs="Book Antiqua"/>
        </w:rPr>
        <w:t>: 201-209 [PMID: 8848125 DOI: 10.1016/0306-4522(95)00343-h]</w:t>
      </w:r>
    </w:p>
    <w:p w14:paraId="013CAF60"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rPr>
        <w:t xml:space="preserve">73 </w:t>
      </w:r>
      <w:r w:rsidRPr="00D301DC">
        <w:rPr>
          <w:rFonts w:ascii="Book Antiqua" w:eastAsia="Book Antiqua" w:hAnsi="Book Antiqua" w:cs="Book Antiqua"/>
          <w:b/>
          <w:bCs/>
        </w:rPr>
        <w:t>Souza-Moreira L</w:t>
      </w:r>
      <w:r w:rsidRPr="00D301DC">
        <w:rPr>
          <w:rFonts w:ascii="Book Antiqua" w:eastAsia="Book Antiqua" w:hAnsi="Book Antiqua" w:cs="Book Antiqua"/>
        </w:rPr>
        <w:t xml:space="preserve">, Campos-Salinas J, Caro M, Gonzalez-Rey E. Neuropeptides as pleiotropic modulators of the immune response. </w:t>
      </w:r>
      <w:r w:rsidRPr="00D301DC">
        <w:rPr>
          <w:rFonts w:ascii="Book Antiqua" w:eastAsia="Book Antiqua" w:hAnsi="Book Antiqua" w:cs="Book Antiqua"/>
          <w:i/>
          <w:iCs/>
        </w:rPr>
        <w:t>Neuroendocrinology</w:t>
      </w:r>
      <w:r w:rsidRPr="00D301DC">
        <w:rPr>
          <w:rFonts w:ascii="Book Antiqua" w:eastAsia="Book Antiqua" w:hAnsi="Book Antiqua" w:cs="Book Antiqua"/>
        </w:rPr>
        <w:t xml:space="preserve"> 2011; </w:t>
      </w:r>
      <w:r w:rsidRPr="00D301DC">
        <w:rPr>
          <w:rFonts w:ascii="Book Antiqua" w:eastAsia="Book Antiqua" w:hAnsi="Book Antiqua" w:cs="Book Antiqua"/>
          <w:b/>
          <w:bCs/>
        </w:rPr>
        <w:t>94</w:t>
      </w:r>
      <w:r w:rsidRPr="00D301DC">
        <w:rPr>
          <w:rFonts w:ascii="Book Antiqua" w:eastAsia="Book Antiqua" w:hAnsi="Book Antiqua" w:cs="Book Antiqua"/>
        </w:rPr>
        <w:t>: 89-100 [PMID: 21734355 DOI: 10.1159/000328636]</w:t>
      </w:r>
    </w:p>
    <w:p w14:paraId="10209486" w14:textId="77777777" w:rsidR="001E58B4" w:rsidRPr="00D301DC" w:rsidRDefault="001E58B4">
      <w:pPr>
        <w:spacing w:line="360" w:lineRule="auto"/>
        <w:jc w:val="both"/>
        <w:sectPr w:rsidR="001E58B4" w:rsidRPr="00D301DC">
          <w:pgSz w:w="12240" w:h="15840"/>
          <w:pgMar w:top="1440" w:right="1440" w:bottom="1440" w:left="1440" w:header="720" w:footer="720" w:gutter="0"/>
          <w:cols w:space="720"/>
          <w:docGrid w:linePitch="360"/>
        </w:sectPr>
      </w:pPr>
    </w:p>
    <w:p w14:paraId="4CEE9752" w14:textId="77777777" w:rsidR="001E58B4" w:rsidRPr="00D301DC" w:rsidRDefault="00000000">
      <w:pPr>
        <w:spacing w:line="360" w:lineRule="auto"/>
        <w:jc w:val="both"/>
      </w:pPr>
      <w:r w:rsidRPr="00D301DC">
        <w:rPr>
          <w:rFonts w:ascii="Book Antiqua" w:eastAsia="Book Antiqua" w:hAnsi="Book Antiqua" w:cs="Book Antiqua"/>
          <w:b/>
          <w:color w:val="000000"/>
        </w:rPr>
        <w:lastRenderedPageBreak/>
        <w:t>Footnotes</w:t>
      </w:r>
    </w:p>
    <w:p w14:paraId="7830046F" w14:textId="77777777" w:rsidR="001E58B4" w:rsidRPr="00D301DC" w:rsidRDefault="00000000">
      <w:pPr>
        <w:spacing w:line="360" w:lineRule="auto"/>
        <w:jc w:val="both"/>
      </w:pPr>
      <w:r w:rsidRPr="00D301DC">
        <w:rPr>
          <w:rFonts w:ascii="Book Antiqua" w:eastAsia="Book Antiqua" w:hAnsi="Book Antiqua" w:cs="Book Antiqua"/>
          <w:b/>
          <w:bCs/>
        </w:rPr>
        <w:t xml:space="preserve">Institutional animal care and use committee statement: </w:t>
      </w:r>
      <w:r w:rsidRPr="00D301DC">
        <w:rPr>
          <w:rFonts w:ascii="Book Antiqua" w:eastAsia="Book Antiqua" w:hAnsi="Book Antiqua" w:cs="Book Antiqua"/>
          <w:color w:val="000000"/>
        </w:rPr>
        <w:t xml:space="preserve">All </w:t>
      </w:r>
      <w:r w:rsidRPr="00D301DC">
        <w:rPr>
          <w:rFonts w:ascii="Book Antiqua" w:eastAsia="Book Antiqua" w:hAnsi="Book Antiqua" w:cs="Book Antiqua"/>
        </w:rPr>
        <w:t xml:space="preserve">animal </w:t>
      </w:r>
      <w:r w:rsidRPr="00D301DC">
        <w:rPr>
          <w:rFonts w:ascii="Book Antiqua" w:eastAsia="Book Antiqua" w:hAnsi="Book Antiqua" w:cs="Book Antiqua"/>
          <w:color w:val="000000"/>
        </w:rPr>
        <w:t xml:space="preserve">procedures were reviewed and approved by the Institutional Animal Care and Use Committee </w:t>
      </w:r>
      <w:r w:rsidRPr="00D301DC">
        <w:rPr>
          <w:rFonts w:ascii="Book Antiqua" w:eastAsia="Book Antiqua" w:hAnsi="Book Antiqua" w:cs="Book Antiqua"/>
        </w:rPr>
        <w:t>(IACUC) of Qi Lu Normal University (Approval No. 14276).</w:t>
      </w:r>
    </w:p>
    <w:p w14:paraId="6526FE2C" w14:textId="77777777" w:rsidR="001E58B4" w:rsidRPr="00D301DC" w:rsidRDefault="001E58B4">
      <w:pPr>
        <w:spacing w:line="360" w:lineRule="auto"/>
        <w:jc w:val="both"/>
      </w:pPr>
    </w:p>
    <w:p w14:paraId="23F1D4E6" w14:textId="77777777" w:rsidR="001E58B4" w:rsidRPr="00D301DC" w:rsidRDefault="00000000">
      <w:pPr>
        <w:spacing w:line="360" w:lineRule="auto"/>
        <w:jc w:val="both"/>
      </w:pPr>
      <w:r w:rsidRPr="00D301DC">
        <w:rPr>
          <w:rFonts w:ascii="Book Antiqua" w:eastAsia="Book Antiqua" w:hAnsi="Book Antiqua" w:cs="Book Antiqua"/>
          <w:b/>
          <w:bCs/>
        </w:rPr>
        <w:t xml:space="preserve">Conflict-of-interest statement: </w:t>
      </w:r>
      <w:r w:rsidRPr="00D301DC">
        <w:rPr>
          <w:rFonts w:ascii="Book Antiqua" w:eastAsia="Book Antiqua" w:hAnsi="Book Antiqua" w:cs="Book Antiqua"/>
        </w:rPr>
        <w:t>The authors declare no conflicts of interest.</w:t>
      </w:r>
    </w:p>
    <w:p w14:paraId="0F813926" w14:textId="77777777" w:rsidR="001E58B4" w:rsidRPr="00D301DC" w:rsidRDefault="001E58B4">
      <w:pPr>
        <w:spacing w:line="360" w:lineRule="auto"/>
        <w:jc w:val="both"/>
      </w:pPr>
    </w:p>
    <w:p w14:paraId="6B7A261E" w14:textId="77777777" w:rsidR="001E58B4" w:rsidRPr="00D301DC" w:rsidRDefault="00000000">
      <w:pPr>
        <w:spacing w:line="360" w:lineRule="auto"/>
        <w:jc w:val="both"/>
      </w:pPr>
      <w:r w:rsidRPr="00D301DC">
        <w:rPr>
          <w:rFonts w:ascii="Book Antiqua" w:eastAsia="Book Antiqua" w:hAnsi="Book Antiqua" w:cs="Book Antiqua"/>
          <w:b/>
          <w:bCs/>
        </w:rPr>
        <w:t xml:space="preserve">Data sharing statement: </w:t>
      </w:r>
      <w:r w:rsidRPr="00D301DC">
        <w:rPr>
          <w:rFonts w:ascii="Book Antiqua" w:eastAsia="Book Antiqua" w:hAnsi="Book Antiqua" w:cs="Book Antiqua"/>
          <w:color w:val="000000"/>
        </w:rPr>
        <w:t>No additional data are available.</w:t>
      </w:r>
    </w:p>
    <w:p w14:paraId="48153965" w14:textId="77777777" w:rsidR="001E58B4" w:rsidRPr="00D301DC" w:rsidRDefault="001E58B4">
      <w:pPr>
        <w:spacing w:line="360" w:lineRule="auto"/>
        <w:jc w:val="both"/>
      </w:pPr>
    </w:p>
    <w:p w14:paraId="7147B221" w14:textId="77777777" w:rsidR="001E58B4" w:rsidRPr="00D301DC" w:rsidRDefault="00000000">
      <w:pPr>
        <w:spacing w:line="360" w:lineRule="auto"/>
        <w:jc w:val="both"/>
      </w:pPr>
      <w:r w:rsidRPr="00D301DC">
        <w:rPr>
          <w:rFonts w:ascii="Book Antiqua" w:eastAsia="Book Antiqua" w:hAnsi="Book Antiqua" w:cs="Book Antiqua"/>
          <w:b/>
          <w:bCs/>
        </w:rPr>
        <w:t xml:space="preserve">ARRIVE guidelines statement: </w:t>
      </w:r>
      <w:r w:rsidRPr="00D301DC">
        <w:rPr>
          <w:rFonts w:ascii="Book Antiqua" w:eastAsia="Book Antiqua" w:hAnsi="Book Antiqua" w:cs="Book Antiqua"/>
          <w:color w:val="000000"/>
        </w:rPr>
        <w:t>The authors have read the ARRIVE Guidelines, and the manuscript was prepared and revised according to the ARRIVE Guidelines.</w:t>
      </w:r>
    </w:p>
    <w:p w14:paraId="66897F0B" w14:textId="77777777" w:rsidR="001E58B4" w:rsidRPr="00D301DC" w:rsidRDefault="001E58B4">
      <w:pPr>
        <w:spacing w:line="360" w:lineRule="auto"/>
        <w:jc w:val="both"/>
      </w:pPr>
    </w:p>
    <w:p w14:paraId="43DBA7EE" w14:textId="77777777" w:rsidR="001E58B4" w:rsidRPr="00D301DC" w:rsidRDefault="00000000">
      <w:pPr>
        <w:spacing w:line="360" w:lineRule="auto"/>
        <w:jc w:val="both"/>
      </w:pPr>
      <w:r w:rsidRPr="00D301DC">
        <w:rPr>
          <w:rFonts w:ascii="Book Antiqua" w:eastAsia="Book Antiqua" w:hAnsi="Book Antiqua" w:cs="Book Antiqua"/>
          <w:b/>
          <w:bCs/>
        </w:rPr>
        <w:t xml:space="preserve">Open-Access: </w:t>
      </w:r>
      <w:r w:rsidRPr="00D301D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CC6349E" w14:textId="77777777" w:rsidR="001E58B4" w:rsidRPr="00D301DC" w:rsidRDefault="001E58B4">
      <w:pPr>
        <w:spacing w:line="360" w:lineRule="auto"/>
        <w:jc w:val="both"/>
      </w:pPr>
    </w:p>
    <w:p w14:paraId="3ADD8577" w14:textId="77777777" w:rsidR="001E58B4" w:rsidRPr="00D301DC" w:rsidRDefault="00000000">
      <w:pPr>
        <w:spacing w:line="360" w:lineRule="auto"/>
        <w:jc w:val="both"/>
      </w:pPr>
      <w:r w:rsidRPr="00D301DC">
        <w:rPr>
          <w:rFonts w:ascii="Book Antiqua" w:eastAsia="Book Antiqua" w:hAnsi="Book Antiqua" w:cs="Book Antiqua"/>
          <w:b/>
          <w:color w:val="000000"/>
        </w:rPr>
        <w:t xml:space="preserve">Provenance and peer review: </w:t>
      </w:r>
      <w:r w:rsidRPr="00D301DC">
        <w:rPr>
          <w:rFonts w:ascii="Book Antiqua" w:eastAsia="Book Antiqua" w:hAnsi="Book Antiqua" w:cs="Book Antiqua"/>
        </w:rPr>
        <w:t>Unsolicited article; Externally peer reviewed.</w:t>
      </w:r>
    </w:p>
    <w:p w14:paraId="5F55E791" w14:textId="77777777" w:rsidR="001E58B4" w:rsidRPr="00D301DC" w:rsidRDefault="00000000">
      <w:pPr>
        <w:spacing w:line="360" w:lineRule="auto"/>
        <w:jc w:val="both"/>
      </w:pPr>
      <w:r w:rsidRPr="00D301DC">
        <w:rPr>
          <w:rFonts w:ascii="Book Antiqua" w:eastAsia="Book Antiqua" w:hAnsi="Book Antiqua" w:cs="Book Antiqua"/>
          <w:b/>
          <w:color w:val="000000"/>
        </w:rPr>
        <w:t xml:space="preserve">Peer-review model: </w:t>
      </w:r>
      <w:r w:rsidRPr="00D301DC">
        <w:rPr>
          <w:rFonts w:ascii="Book Antiqua" w:eastAsia="Book Antiqua" w:hAnsi="Book Antiqua" w:cs="Book Antiqua"/>
        </w:rPr>
        <w:t>Single blind</w:t>
      </w:r>
    </w:p>
    <w:p w14:paraId="7DA18E7F" w14:textId="77777777" w:rsidR="001E58B4" w:rsidRPr="00D301DC" w:rsidRDefault="001E58B4">
      <w:pPr>
        <w:spacing w:line="360" w:lineRule="auto"/>
        <w:jc w:val="both"/>
      </w:pPr>
    </w:p>
    <w:p w14:paraId="39E4A2C3" w14:textId="77777777" w:rsidR="001E58B4" w:rsidRPr="00D301DC" w:rsidRDefault="00000000">
      <w:pPr>
        <w:spacing w:line="360" w:lineRule="auto"/>
        <w:jc w:val="both"/>
      </w:pPr>
      <w:r w:rsidRPr="00D301DC">
        <w:rPr>
          <w:rFonts w:ascii="Book Antiqua" w:eastAsia="Book Antiqua" w:hAnsi="Book Antiqua" w:cs="Book Antiqua"/>
          <w:b/>
          <w:color w:val="000000"/>
        </w:rPr>
        <w:t xml:space="preserve">Peer-review started: </w:t>
      </w:r>
      <w:r w:rsidRPr="00D301DC">
        <w:rPr>
          <w:rFonts w:ascii="Book Antiqua" w:eastAsia="Book Antiqua" w:hAnsi="Book Antiqua" w:cs="Book Antiqua"/>
        </w:rPr>
        <w:t>May 18, 2023</w:t>
      </w:r>
    </w:p>
    <w:p w14:paraId="1344D9CD" w14:textId="77777777" w:rsidR="001E58B4" w:rsidRPr="00D301DC" w:rsidRDefault="00000000">
      <w:pPr>
        <w:spacing w:line="360" w:lineRule="auto"/>
        <w:jc w:val="both"/>
      </w:pPr>
      <w:r w:rsidRPr="00D301DC">
        <w:rPr>
          <w:rFonts w:ascii="Book Antiqua" w:eastAsia="Book Antiqua" w:hAnsi="Book Antiqua" w:cs="Book Antiqua"/>
          <w:b/>
          <w:color w:val="000000"/>
        </w:rPr>
        <w:t xml:space="preserve">First decision: </w:t>
      </w:r>
      <w:r w:rsidRPr="00D301DC">
        <w:rPr>
          <w:rFonts w:ascii="Book Antiqua" w:eastAsia="Book Antiqua" w:hAnsi="Book Antiqua" w:cs="Book Antiqua"/>
        </w:rPr>
        <w:t>June 20, 2023</w:t>
      </w:r>
    </w:p>
    <w:p w14:paraId="53644179" w14:textId="7D276C35" w:rsidR="001E58B4" w:rsidRPr="00D301DC" w:rsidRDefault="00000000">
      <w:pPr>
        <w:spacing w:line="360" w:lineRule="auto"/>
        <w:jc w:val="both"/>
      </w:pPr>
      <w:r w:rsidRPr="00D301DC">
        <w:rPr>
          <w:rFonts w:ascii="Book Antiqua" w:eastAsia="Book Antiqua" w:hAnsi="Book Antiqua" w:cs="Book Antiqua"/>
          <w:b/>
          <w:color w:val="000000"/>
        </w:rPr>
        <w:t xml:space="preserve">Article in press: </w:t>
      </w:r>
      <w:r w:rsidR="00177A90" w:rsidRPr="00D301DC">
        <w:rPr>
          <w:rFonts w:ascii="Book Antiqua" w:eastAsia="Book Antiqua" w:hAnsi="Book Antiqua" w:cs="Book Antiqua"/>
        </w:rPr>
        <w:t>July 19, 2023</w:t>
      </w:r>
    </w:p>
    <w:p w14:paraId="48309B0B" w14:textId="77777777" w:rsidR="001E58B4" w:rsidRPr="00D301DC" w:rsidRDefault="001E58B4">
      <w:pPr>
        <w:spacing w:line="360" w:lineRule="auto"/>
        <w:jc w:val="both"/>
      </w:pPr>
    </w:p>
    <w:p w14:paraId="0BB8D7E8" w14:textId="77777777" w:rsidR="001E58B4" w:rsidRPr="00D301DC" w:rsidRDefault="00000000">
      <w:pPr>
        <w:spacing w:line="360" w:lineRule="auto"/>
        <w:jc w:val="both"/>
      </w:pPr>
      <w:r w:rsidRPr="00D301DC">
        <w:rPr>
          <w:rFonts w:ascii="Book Antiqua" w:eastAsia="Book Antiqua" w:hAnsi="Book Antiqua" w:cs="Book Antiqua"/>
          <w:b/>
          <w:color w:val="000000"/>
        </w:rPr>
        <w:t xml:space="preserve">Specialty type: </w:t>
      </w:r>
      <w:r w:rsidRPr="00D301DC">
        <w:rPr>
          <w:rFonts w:ascii="Book Antiqua" w:eastAsia="Book Antiqua" w:hAnsi="Book Antiqua" w:cs="Book Antiqua"/>
        </w:rPr>
        <w:t>Gastroenterology and hepatology</w:t>
      </w:r>
    </w:p>
    <w:p w14:paraId="4D3F89C4" w14:textId="77777777" w:rsidR="001E58B4" w:rsidRPr="00D301DC" w:rsidRDefault="00000000">
      <w:pPr>
        <w:spacing w:line="360" w:lineRule="auto"/>
        <w:jc w:val="both"/>
      </w:pPr>
      <w:r w:rsidRPr="00D301DC">
        <w:rPr>
          <w:rFonts w:ascii="Book Antiqua" w:eastAsia="Book Antiqua" w:hAnsi="Book Antiqua" w:cs="Book Antiqua"/>
          <w:b/>
          <w:color w:val="000000"/>
        </w:rPr>
        <w:t xml:space="preserve">Country/Territory of origin: </w:t>
      </w:r>
      <w:r w:rsidRPr="00D301DC">
        <w:rPr>
          <w:rFonts w:ascii="Book Antiqua" w:eastAsia="Book Antiqua" w:hAnsi="Book Antiqua" w:cs="Book Antiqua"/>
        </w:rPr>
        <w:t>China</w:t>
      </w:r>
    </w:p>
    <w:p w14:paraId="1994FDAC" w14:textId="77777777" w:rsidR="001E58B4" w:rsidRPr="00D301DC" w:rsidRDefault="00000000">
      <w:pPr>
        <w:spacing w:line="360" w:lineRule="auto"/>
        <w:jc w:val="both"/>
      </w:pPr>
      <w:r w:rsidRPr="00D301DC">
        <w:rPr>
          <w:rFonts w:ascii="Book Antiqua" w:eastAsia="Book Antiqua" w:hAnsi="Book Antiqua" w:cs="Book Antiqua"/>
          <w:b/>
          <w:color w:val="000000"/>
        </w:rPr>
        <w:lastRenderedPageBreak/>
        <w:t>Peer-review report’s scientific quality classification</w:t>
      </w:r>
    </w:p>
    <w:p w14:paraId="03D45E52" w14:textId="77777777" w:rsidR="001E58B4" w:rsidRPr="00D301DC" w:rsidRDefault="00000000">
      <w:pPr>
        <w:spacing w:line="360" w:lineRule="auto"/>
        <w:jc w:val="both"/>
      </w:pPr>
      <w:r w:rsidRPr="00D301DC">
        <w:rPr>
          <w:rFonts w:ascii="Book Antiqua" w:eastAsia="Book Antiqua" w:hAnsi="Book Antiqua" w:cs="Book Antiqua"/>
        </w:rPr>
        <w:t>Grade A (Excellent): 0</w:t>
      </w:r>
    </w:p>
    <w:p w14:paraId="05331110" w14:textId="77777777" w:rsidR="001E58B4" w:rsidRPr="00D301DC" w:rsidRDefault="00000000">
      <w:pPr>
        <w:spacing w:line="360" w:lineRule="auto"/>
        <w:jc w:val="both"/>
      </w:pPr>
      <w:r w:rsidRPr="00D301DC">
        <w:rPr>
          <w:rFonts w:ascii="Book Antiqua" w:eastAsia="Book Antiqua" w:hAnsi="Book Antiqua" w:cs="Book Antiqua"/>
        </w:rPr>
        <w:t>Grade B (Very good): 0</w:t>
      </w:r>
    </w:p>
    <w:p w14:paraId="132238CE" w14:textId="77777777" w:rsidR="001E58B4" w:rsidRPr="00D301DC" w:rsidRDefault="00000000">
      <w:pPr>
        <w:spacing w:line="360" w:lineRule="auto"/>
        <w:jc w:val="both"/>
      </w:pPr>
      <w:r w:rsidRPr="00D301DC">
        <w:rPr>
          <w:rFonts w:ascii="Book Antiqua" w:eastAsia="Book Antiqua" w:hAnsi="Book Antiqua" w:cs="Book Antiqua"/>
        </w:rPr>
        <w:t>Grade C (Good): C, C</w:t>
      </w:r>
    </w:p>
    <w:p w14:paraId="22E9EDD6" w14:textId="77777777" w:rsidR="001E58B4" w:rsidRPr="00D301DC" w:rsidRDefault="00000000">
      <w:pPr>
        <w:spacing w:line="360" w:lineRule="auto"/>
        <w:jc w:val="both"/>
      </w:pPr>
      <w:r w:rsidRPr="00D301DC">
        <w:rPr>
          <w:rFonts w:ascii="Book Antiqua" w:eastAsia="Book Antiqua" w:hAnsi="Book Antiqua" w:cs="Book Antiqua"/>
        </w:rPr>
        <w:t>Grade D (Fair): 0</w:t>
      </w:r>
    </w:p>
    <w:p w14:paraId="0355EAA9" w14:textId="77777777" w:rsidR="001E58B4" w:rsidRPr="00D301DC" w:rsidRDefault="00000000">
      <w:pPr>
        <w:spacing w:line="360" w:lineRule="auto"/>
        <w:jc w:val="both"/>
      </w:pPr>
      <w:r w:rsidRPr="00D301DC">
        <w:rPr>
          <w:rFonts w:ascii="Book Antiqua" w:eastAsia="Book Antiqua" w:hAnsi="Book Antiqua" w:cs="Book Antiqua"/>
        </w:rPr>
        <w:t>Grade E (Poor): 0</w:t>
      </w:r>
    </w:p>
    <w:p w14:paraId="1218068D" w14:textId="77777777" w:rsidR="001E58B4" w:rsidRPr="00D301DC" w:rsidRDefault="001E58B4">
      <w:pPr>
        <w:spacing w:line="360" w:lineRule="auto"/>
        <w:jc w:val="both"/>
      </w:pPr>
    </w:p>
    <w:p w14:paraId="3A3752BD" w14:textId="77777777" w:rsidR="001E58B4" w:rsidRPr="00D301DC" w:rsidRDefault="00000000">
      <w:pPr>
        <w:spacing w:line="360" w:lineRule="auto"/>
        <w:jc w:val="both"/>
        <w:rPr>
          <w:rFonts w:ascii="Book Antiqua" w:eastAsia="Book Antiqua" w:hAnsi="Book Antiqua" w:cs="Book Antiqua"/>
          <w:bCs/>
          <w:color w:val="000000"/>
        </w:rPr>
      </w:pPr>
      <w:r w:rsidRPr="00D301DC">
        <w:rPr>
          <w:rFonts w:ascii="Book Antiqua" w:eastAsia="Book Antiqua" w:hAnsi="Book Antiqua" w:cs="Book Antiqua"/>
          <w:b/>
          <w:color w:val="000000"/>
        </w:rPr>
        <w:t xml:space="preserve">P-Reviewer: </w:t>
      </w:r>
      <w:r w:rsidRPr="00D301DC">
        <w:rPr>
          <w:rFonts w:ascii="Book Antiqua" w:eastAsia="Book Antiqua" w:hAnsi="Book Antiqua" w:cs="Book Antiqua"/>
        </w:rPr>
        <w:t>Sato T, Japan; Zayachkivska O, Ukraine</w:t>
      </w:r>
      <w:r w:rsidRPr="00D301DC">
        <w:rPr>
          <w:rFonts w:ascii="Book Antiqua" w:eastAsia="Book Antiqua" w:hAnsi="Book Antiqua" w:cs="Book Antiqua"/>
          <w:b/>
          <w:color w:val="000000"/>
        </w:rPr>
        <w:t xml:space="preserve"> S-Editor: </w:t>
      </w:r>
      <w:r w:rsidRPr="00D301DC">
        <w:rPr>
          <w:rFonts w:ascii="Book Antiqua" w:eastAsia="Book Antiqua" w:hAnsi="Book Antiqua" w:cs="Book Antiqua"/>
          <w:bCs/>
          <w:color w:val="000000"/>
        </w:rPr>
        <w:t>Chen YL</w:t>
      </w:r>
      <w:r w:rsidRPr="00D301DC">
        <w:rPr>
          <w:rFonts w:ascii="Book Antiqua" w:eastAsia="Book Antiqua" w:hAnsi="Book Antiqua" w:cs="Book Antiqua"/>
          <w:b/>
          <w:color w:val="000000"/>
        </w:rPr>
        <w:t xml:space="preserve"> L-Editor: </w:t>
      </w:r>
      <w:r w:rsidRPr="00D301DC">
        <w:rPr>
          <w:rFonts w:ascii="Book Antiqua" w:eastAsia="Book Antiqua" w:hAnsi="Book Antiqua" w:cs="Book Antiqua"/>
          <w:bCs/>
          <w:color w:val="000000"/>
        </w:rPr>
        <w:t>A</w:t>
      </w:r>
      <w:r w:rsidRPr="00D301DC">
        <w:rPr>
          <w:rFonts w:ascii="Book Antiqua" w:eastAsia="Book Antiqua" w:hAnsi="Book Antiqua" w:cs="Book Antiqua"/>
          <w:b/>
          <w:color w:val="000000"/>
        </w:rPr>
        <w:t xml:space="preserve"> P-Editor: </w:t>
      </w:r>
      <w:r w:rsidR="00177A90" w:rsidRPr="00D301DC">
        <w:rPr>
          <w:rFonts w:ascii="Book Antiqua" w:eastAsia="Book Antiqua" w:hAnsi="Book Antiqua" w:cs="Book Antiqua"/>
          <w:b/>
          <w:color w:val="000000"/>
        </w:rPr>
        <w:t xml:space="preserve"> </w:t>
      </w:r>
      <w:r w:rsidR="00177A90" w:rsidRPr="00D301DC">
        <w:rPr>
          <w:rFonts w:ascii="Book Antiqua" w:eastAsia="Book Antiqua" w:hAnsi="Book Antiqua" w:cs="Book Antiqua"/>
          <w:bCs/>
          <w:color w:val="000000"/>
        </w:rPr>
        <w:t>Cai YX</w:t>
      </w:r>
    </w:p>
    <w:p w14:paraId="3EC008B1" w14:textId="285017F3" w:rsidR="00177A90" w:rsidRPr="00D301DC" w:rsidRDefault="00177A90">
      <w:pPr>
        <w:spacing w:line="360" w:lineRule="auto"/>
        <w:jc w:val="both"/>
        <w:sectPr w:rsidR="00177A90" w:rsidRPr="00D301DC">
          <w:pgSz w:w="12240" w:h="15840"/>
          <w:pgMar w:top="1440" w:right="1440" w:bottom="1440" w:left="1440" w:header="720" w:footer="720" w:gutter="0"/>
          <w:cols w:space="720"/>
          <w:docGrid w:linePitch="360"/>
        </w:sectPr>
      </w:pPr>
    </w:p>
    <w:p w14:paraId="681A545A" w14:textId="77777777" w:rsidR="001E58B4" w:rsidRPr="00D301DC" w:rsidRDefault="00000000">
      <w:pPr>
        <w:spacing w:line="360" w:lineRule="auto"/>
        <w:jc w:val="both"/>
        <w:rPr>
          <w:rFonts w:ascii="Book Antiqua" w:eastAsia="Book Antiqua" w:hAnsi="Book Antiqua" w:cs="Book Antiqua"/>
          <w:b/>
          <w:color w:val="000000"/>
        </w:rPr>
      </w:pPr>
      <w:r w:rsidRPr="00D301DC">
        <w:rPr>
          <w:rFonts w:ascii="Book Antiqua" w:eastAsia="Book Antiqua" w:hAnsi="Book Antiqua" w:cs="Book Antiqua"/>
          <w:b/>
          <w:color w:val="000000"/>
        </w:rPr>
        <w:lastRenderedPageBreak/>
        <w:t>Figure Legends</w:t>
      </w:r>
    </w:p>
    <w:p w14:paraId="5522E9AB" w14:textId="7BF299C3" w:rsidR="001E58B4" w:rsidRPr="00D301DC" w:rsidRDefault="00BA456C">
      <w:pPr>
        <w:spacing w:line="360" w:lineRule="auto"/>
        <w:jc w:val="both"/>
      </w:pPr>
      <w:r>
        <w:rPr>
          <w:noProof/>
          <w:lang w:eastAsia="zh-CN"/>
        </w:rPr>
        <w:drawing>
          <wp:inline distT="0" distB="0" distL="0" distR="0" wp14:anchorId="786C0FA1" wp14:editId="5DBECE06">
            <wp:extent cx="5943600" cy="2955925"/>
            <wp:effectExtent l="0" t="0" r="0" b="0"/>
            <wp:docPr id="5117759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55925"/>
                    </a:xfrm>
                    <a:prstGeom prst="rect">
                      <a:avLst/>
                    </a:prstGeom>
                    <a:noFill/>
                    <a:ln>
                      <a:noFill/>
                    </a:ln>
                  </pic:spPr>
                </pic:pic>
              </a:graphicData>
            </a:graphic>
          </wp:inline>
        </w:drawing>
      </w:r>
    </w:p>
    <w:p w14:paraId="376B3152" w14:textId="77777777" w:rsidR="001E58B4" w:rsidRPr="00D301DC" w:rsidRDefault="00000000">
      <w:pPr>
        <w:spacing w:line="360" w:lineRule="auto"/>
        <w:jc w:val="both"/>
      </w:pPr>
      <w:r w:rsidRPr="00D301DC">
        <w:rPr>
          <w:rFonts w:ascii="Book Antiqua" w:eastAsia="Book Antiqua" w:hAnsi="Book Antiqua" w:cs="Book Antiqua"/>
          <w:b/>
          <w:bCs/>
        </w:rPr>
        <w:t>Figure 1</w:t>
      </w:r>
      <w:r w:rsidRPr="00D301DC">
        <w:rPr>
          <w:rFonts w:ascii="Book Antiqua" w:eastAsia="Book Antiqua" w:hAnsi="Book Antiqua" w:cs="Book Antiqua"/>
        </w:rPr>
        <w:t xml:space="preserve"> </w:t>
      </w:r>
      <w:r w:rsidRPr="00D301DC">
        <w:rPr>
          <w:rFonts w:ascii="Book Antiqua" w:eastAsia="Book Antiqua" w:hAnsi="Book Antiqua" w:cs="Book Antiqua"/>
          <w:b/>
          <w:bCs/>
        </w:rPr>
        <w:t>Co-expression of cystathionine beta-synthase (green) and c-Fos (red) neurons in the nucleus tractus solitarius at different times of restraint water-immersion stress.</w:t>
      </w:r>
      <w:r w:rsidRPr="00D301DC">
        <w:rPr>
          <w:rFonts w:ascii="Book Antiqua" w:eastAsia="Book Antiqua" w:hAnsi="Book Antiqua" w:cs="Book Antiqua"/>
        </w:rPr>
        <w:t xml:space="preserve"> A: Expression of cystathionine beta-synthase (CBS) and c-Fos in restraint water-immersion stress (RWIS) at 0 h; B: Expressions of CBS and c-Fos in RWIS at 1 h; C: Expression of CBS and c-Fos in RWIS at 3 h; D: Quantification of neurons co-expressing CBS and c-Fos in the nucleus tractus solitarius (</w:t>
      </w:r>
      <w:r w:rsidRPr="00D301DC">
        <w:rPr>
          <w:rFonts w:ascii="Book Antiqua" w:eastAsia="Book Antiqua" w:hAnsi="Book Antiqua" w:cs="Book Antiqua"/>
          <w:i/>
          <w:iCs/>
        </w:rPr>
        <w:t>n</w:t>
      </w:r>
      <w:r w:rsidRPr="00D301DC">
        <w:rPr>
          <w:rFonts w:ascii="Book Antiqua" w:eastAsia="Book Antiqua" w:hAnsi="Book Antiqua" w:cs="Book Antiqua"/>
        </w:rPr>
        <w:t xml:space="preserve"> = 6). </w:t>
      </w:r>
      <w:r w:rsidRPr="00D301DC">
        <w:rPr>
          <w:rFonts w:ascii="Book Antiqua" w:eastAsia="Book Antiqua" w:hAnsi="Book Antiqua" w:cs="Book Antiqua"/>
          <w:szCs w:val="30"/>
          <w:vertAlign w:val="superscript"/>
        </w:rPr>
        <w:t>a</w:t>
      </w:r>
      <w:r w:rsidRPr="00D301DC">
        <w:rPr>
          <w:rFonts w:ascii="Book Antiqua" w:eastAsia="Book Antiqua" w:hAnsi="Book Antiqua" w:cs="Book Antiqua"/>
          <w:i/>
          <w:iCs/>
        </w:rPr>
        <w:t xml:space="preserve">P </w:t>
      </w:r>
      <w:r w:rsidRPr="00D301DC">
        <w:rPr>
          <w:rFonts w:ascii="Book Antiqua" w:eastAsia="Book Antiqua" w:hAnsi="Book Antiqua" w:cs="Book Antiqua"/>
        </w:rPr>
        <w:t xml:space="preserve">&lt; 0.01 </w:t>
      </w:r>
      <w:r w:rsidRPr="00D301DC">
        <w:rPr>
          <w:rFonts w:ascii="Book Antiqua" w:eastAsia="Book Antiqua" w:hAnsi="Book Antiqua" w:cs="Book Antiqua"/>
          <w:i/>
          <w:iCs/>
        </w:rPr>
        <w:t>vs</w:t>
      </w:r>
      <w:r w:rsidRPr="00D301DC">
        <w:rPr>
          <w:rFonts w:ascii="Book Antiqua" w:eastAsia="Book Antiqua" w:hAnsi="Book Antiqua" w:cs="Book Antiqua"/>
        </w:rPr>
        <w:t xml:space="preserve"> RWIS 0 h group. NTS: Nucleus tractus solitarius; RWIS: Restraint water-immersion stress; CBS: Cystathionine beta-synthase.</w:t>
      </w:r>
    </w:p>
    <w:p w14:paraId="264FD55B" w14:textId="77777777" w:rsidR="001E58B4" w:rsidRPr="00D301DC" w:rsidRDefault="001E58B4">
      <w:pPr>
        <w:spacing w:line="360" w:lineRule="auto"/>
        <w:jc w:val="both"/>
        <w:sectPr w:rsidR="001E58B4" w:rsidRPr="00D301DC">
          <w:pgSz w:w="12240" w:h="15840"/>
          <w:pgMar w:top="1440" w:right="1440" w:bottom="1440" w:left="1440" w:header="720" w:footer="720" w:gutter="0"/>
          <w:cols w:space="720"/>
          <w:docGrid w:linePitch="360"/>
        </w:sectPr>
      </w:pPr>
    </w:p>
    <w:p w14:paraId="5FB8D13C" w14:textId="4588F432" w:rsidR="001E58B4" w:rsidRPr="00D301DC" w:rsidRDefault="00BA456C">
      <w:pPr>
        <w:spacing w:line="360" w:lineRule="auto"/>
        <w:jc w:val="both"/>
      </w:pPr>
      <w:r>
        <w:rPr>
          <w:noProof/>
          <w:lang w:eastAsia="zh-CN"/>
        </w:rPr>
        <w:lastRenderedPageBreak/>
        <w:drawing>
          <wp:inline distT="0" distB="0" distL="0" distR="0" wp14:anchorId="237B94F5" wp14:editId="50897CE3">
            <wp:extent cx="4997450" cy="2456180"/>
            <wp:effectExtent l="0" t="0" r="0" b="0"/>
            <wp:docPr id="18624444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7450" cy="2456180"/>
                    </a:xfrm>
                    <a:prstGeom prst="rect">
                      <a:avLst/>
                    </a:prstGeom>
                    <a:noFill/>
                    <a:ln>
                      <a:noFill/>
                    </a:ln>
                  </pic:spPr>
                </pic:pic>
              </a:graphicData>
            </a:graphic>
          </wp:inline>
        </w:drawing>
      </w:r>
    </w:p>
    <w:p w14:paraId="503FC815" w14:textId="77777777" w:rsidR="001E58B4" w:rsidRPr="00D301DC" w:rsidRDefault="00000000">
      <w:pPr>
        <w:spacing w:line="360" w:lineRule="auto"/>
        <w:jc w:val="both"/>
      </w:pPr>
      <w:r w:rsidRPr="00D301DC">
        <w:rPr>
          <w:rFonts w:ascii="Book Antiqua" w:eastAsia="Book Antiqua" w:hAnsi="Book Antiqua" w:cs="Book Antiqua"/>
          <w:b/>
          <w:bCs/>
        </w:rPr>
        <w:t xml:space="preserve">Figure 2 Histological identification of microinjections located at the nucleus tractus solitarius in the brain. </w:t>
      </w:r>
      <w:r w:rsidRPr="00D301DC">
        <w:rPr>
          <w:rFonts w:ascii="Book Antiqua" w:eastAsia="Book Antiqua" w:hAnsi="Book Antiqua" w:cs="Book Antiqua"/>
        </w:rPr>
        <w:t>A: Location of the nucleus tractus solitarius (NTS) in the brain atlas; B: Neutral red stained brain section with blue dot sites representing injection into the NTS. NTS: Nucleus tractus solitarius.</w:t>
      </w:r>
    </w:p>
    <w:p w14:paraId="39EBACF0" w14:textId="77777777" w:rsidR="001E58B4" w:rsidRPr="00D301DC" w:rsidRDefault="001E58B4">
      <w:pPr>
        <w:spacing w:line="360" w:lineRule="auto"/>
        <w:jc w:val="both"/>
        <w:sectPr w:rsidR="001E58B4" w:rsidRPr="00D301DC">
          <w:pgSz w:w="12240" w:h="15840"/>
          <w:pgMar w:top="1440" w:right="1440" w:bottom="1440" w:left="1440" w:header="720" w:footer="720" w:gutter="0"/>
          <w:cols w:space="720"/>
          <w:docGrid w:linePitch="360"/>
        </w:sectPr>
      </w:pPr>
    </w:p>
    <w:p w14:paraId="21564ED4" w14:textId="6EFD53A3" w:rsidR="001E58B4" w:rsidRPr="00D301DC" w:rsidRDefault="00BA456C">
      <w:pPr>
        <w:spacing w:line="360" w:lineRule="auto"/>
        <w:jc w:val="both"/>
      </w:pPr>
      <w:r>
        <w:rPr>
          <w:noProof/>
          <w:lang w:eastAsia="zh-CN"/>
        </w:rPr>
        <w:lastRenderedPageBreak/>
        <w:drawing>
          <wp:inline distT="0" distB="0" distL="0" distR="0" wp14:anchorId="2CECA6DE" wp14:editId="14467B85">
            <wp:extent cx="5497195" cy="4720590"/>
            <wp:effectExtent l="0" t="0" r="0" b="0"/>
            <wp:docPr id="3136950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7195" cy="4720590"/>
                    </a:xfrm>
                    <a:prstGeom prst="rect">
                      <a:avLst/>
                    </a:prstGeom>
                    <a:noFill/>
                    <a:ln>
                      <a:noFill/>
                    </a:ln>
                  </pic:spPr>
                </pic:pic>
              </a:graphicData>
            </a:graphic>
          </wp:inline>
        </w:drawing>
      </w:r>
    </w:p>
    <w:p w14:paraId="071AD41D" w14:textId="77777777" w:rsidR="001E58B4" w:rsidRPr="00D301DC" w:rsidRDefault="00000000">
      <w:pPr>
        <w:spacing w:line="360" w:lineRule="auto"/>
        <w:jc w:val="both"/>
      </w:pPr>
      <w:r w:rsidRPr="00D301DC">
        <w:rPr>
          <w:rFonts w:ascii="Book Antiqua" w:eastAsia="Book Antiqua" w:hAnsi="Book Antiqua" w:cs="Book Antiqua"/>
          <w:b/>
          <w:bCs/>
        </w:rPr>
        <w:t>Figure 3 Effect of microinjection of drugs in the nucleus tractus solitarius on gastric motility in rats.</w:t>
      </w:r>
      <w:r w:rsidRPr="00D301DC">
        <w:rPr>
          <w:rFonts w:ascii="Book Antiqua" w:eastAsia="Book Antiqua" w:hAnsi="Book Antiqua" w:cs="Book Antiqua"/>
        </w:rPr>
        <w:t xml:space="preserve"> A: Gastric motility curves were recorded in rats microinjected with saline at the nucleus tractus solitarius (NTS); B: Gastric motility curves were recorded in rats microinjected with 4 nmol NaHS in the NTS; C: Gastric motility curves were recorded in rats microinjected with 8 nmol NaHS in the NTS. PS: Physiological saline.</w:t>
      </w:r>
    </w:p>
    <w:p w14:paraId="2B481FBF" w14:textId="77777777" w:rsidR="001E58B4" w:rsidRPr="00D301DC" w:rsidRDefault="001E58B4">
      <w:pPr>
        <w:spacing w:line="360" w:lineRule="auto"/>
        <w:jc w:val="both"/>
        <w:sectPr w:rsidR="001E58B4" w:rsidRPr="00D301DC">
          <w:pgSz w:w="12240" w:h="15840"/>
          <w:pgMar w:top="1440" w:right="1440" w:bottom="1440" w:left="1440" w:header="720" w:footer="720" w:gutter="0"/>
          <w:cols w:space="720"/>
          <w:docGrid w:linePitch="360"/>
        </w:sectPr>
      </w:pPr>
    </w:p>
    <w:p w14:paraId="08F6B99B" w14:textId="7878A092" w:rsidR="001E58B4" w:rsidRPr="00D301DC" w:rsidRDefault="00BA456C">
      <w:pPr>
        <w:spacing w:line="360" w:lineRule="auto"/>
        <w:jc w:val="both"/>
      </w:pPr>
      <w:r>
        <w:rPr>
          <w:noProof/>
          <w:lang w:eastAsia="zh-CN"/>
        </w:rPr>
        <w:lastRenderedPageBreak/>
        <w:drawing>
          <wp:inline distT="0" distB="0" distL="0" distR="0" wp14:anchorId="595CC362" wp14:editId="4FC5F5EF">
            <wp:extent cx="5582285" cy="3987165"/>
            <wp:effectExtent l="0" t="0" r="0" b="0"/>
            <wp:docPr id="8060454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2285" cy="3987165"/>
                    </a:xfrm>
                    <a:prstGeom prst="rect">
                      <a:avLst/>
                    </a:prstGeom>
                    <a:noFill/>
                    <a:ln>
                      <a:noFill/>
                    </a:ln>
                  </pic:spPr>
                </pic:pic>
              </a:graphicData>
            </a:graphic>
          </wp:inline>
        </w:drawing>
      </w:r>
    </w:p>
    <w:p w14:paraId="7C3B3344" w14:textId="29C2AFEA" w:rsidR="001E58B4" w:rsidRPr="00D301DC" w:rsidRDefault="00000000">
      <w:pPr>
        <w:spacing w:line="360" w:lineRule="auto"/>
        <w:jc w:val="both"/>
      </w:pPr>
      <w:r w:rsidRPr="00D301DC">
        <w:rPr>
          <w:rFonts w:ascii="Book Antiqua" w:eastAsia="Book Antiqua" w:hAnsi="Book Antiqua" w:cs="Book Antiqua"/>
          <w:b/>
          <w:bCs/>
        </w:rPr>
        <w:t xml:space="preserve">Figure 4 Effects of the microinjection of NaHS (4 nmol and 8 nmol) and physiological saline into the nucleus tractus solitarius before and after the gastric motility data. </w:t>
      </w:r>
      <w:r w:rsidRPr="00D301DC">
        <w:rPr>
          <w:rFonts w:ascii="Book Antiqua" w:eastAsia="Book Antiqua" w:hAnsi="Book Antiqua" w:cs="Book Antiqua"/>
        </w:rPr>
        <w:t>A: Total amplitude of the contraction wave (T.A.C.W.); B: Total duration of the contraction wave (T.D.C.W.); C: Gastric motility index (G.M.I.); D</w:t>
      </w:r>
      <w:r w:rsidR="00DC5434" w:rsidRPr="00D301DC">
        <w:rPr>
          <w:rFonts w:ascii="Book Antiqua" w:eastAsia="Book Antiqua" w:hAnsi="Book Antiqua" w:cs="Book Antiqua"/>
        </w:rPr>
        <w:t>:</w:t>
      </w:r>
      <w:r w:rsidRPr="00D301DC">
        <w:rPr>
          <w:rFonts w:ascii="Book Antiqua" w:eastAsia="Book Antiqua" w:hAnsi="Book Antiqua" w:cs="Book Antiqua"/>
        </w:rPr>
        <w:t xml:space="preserve"> Inhibition rates of T.A.C.W., T.D.C.W., and G.M.I. </w:t>
      </w:r>
      <w:r w:rsidRPr="00D301DC">
        <w:rPr>
          <w:rFonts w:ascii="Book Antiqua" w:eastAsia="Book Antiqua" w:hAnsi="Book Antiqua" w:cs="Book Antiqua"/>
          <w:szCs w:val="30"/>
          <w:vertAlign w:val="superscript"/>
        </w:rPr>
        <w:t>a</w:t>
      </w:r>
      <w:r w:rsidRPr="00D301DC">
        <w:rPr>
          <w:rFonts w:ascii="Book Antiqua" w:eastAsia="Book Antiqua" w:hAnsi="Book Antiqua" w:cs="Book Antiqua"/>
          <w:i/>
          <w:iCs/>
        </w:rPr>
        <w:t>P</w:t>
      </w:r>
      <w:r w:rsidRPr="00D301DC">
        <w:rPr>
          <w:rFonts w:ascii="Book Antiqua" w:eastAsia="Book Antiqua" w:hAnsi="Book Antiqua" w:cs="Book Antiqua"/>
        </w:rPr>
        <w:t xml:space="preserve"> &lt; 0.01 </w:t>
      </w:r>
      <w:r w:rsidRPr="00D301DC">
        <w:rPr>
          <w:rFonts w:ascii="Book Antiqua" w:eastAsia="Book Antiqua" w:hAnsi="Book Antiqua" w:cs="Book Antiqua"/>
          <w:i/>
          <w:iCs/>
        </w:rPr>
        <w:t>vs</w:t>
      </w:r>
      <w:r w:rsidRPr="00D301DC">
        <w:rPr>
          <w:rFonts w:ascii="Book Antiqua" w:eastAsia="Book Antiqua" w:hAnsi="Book Antiqua" w:cs="Book Antiqua"/>
        </w:rPr>
        <w:t xml:space="preserve"> before injection. PS: Physiological saline; T.A.C.W.: Total amplitude of the contraction wave; T.D.C.W.: Total duration of the contraction wave; G.M.I.: Gastric motility index.</w:t>
      </w:r>
    </w:p>
    <w:p w14:paraId="062AAE3E" w14:textId="77777777" w:rsidR="001E58B4" w:rsidRPr="00D301DC" w:rsidRDefault="001E58B4">
      <w:pPr>
        <w:spacing w:line="360" w:lineRule="auto"/>
        <w:jc w:val="both"/>
        <w:sectPr w:rsidR="001E58B4" w:rsidRPr="00D301DC">
          <w:pgSz w:w="12240" w:h="15840"/>
          <w:pgMar w:top="1440" w:right="1440" w:bottom="1440" w:left="1440" w:header="720" w:footer="720" w:gutter="0"/>
          <w:cols w:space="720"/>
          <w:docGrid w:linePitch="360"/>
        </w:sectPr>
      </w:pPr>
    </w:p>
    <w:p w14:paraId="2E6B41CA" w14:textId="5FEEC5FF" w:rsidR="001E58B4" w:rsidRPr="00D301DC" w:rsidRDefault="00BA456C">
      <w:pPr>
        <w:spacing w:line="360" w:lineRule="auto"/>
        <w:jc w:val="both"/>
      </w:pPr>
      <w:r>
        <w:rPr>
          <w:noProof/>
          <w:lang w:eastAsia="zh-CN"/>
        </w:rPr>
        <w:lastRenderedPageBreak/>
        <w:drawing>
          <wp:inline distT="0" distB="0" distL="0" distR="0" wp14:anchorId="07AA83BB" wp14:editId="6FC47CA5">
            <wp:extent cx="5943600" cy="3391535"/>
            <wp:effectExtent l="0" t="0" r="0" b="0"/>
            <wp:docPr id="20616746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91535"/>
                    </a:xfrm>
                    <a:prstGeom prst="rect">
                      <a:avLst/>
                    </a:prstGeom>
                    <a:noFill/>
                    <a:ln>
                      <a:noFill/>
                    </a:ln>
                  </pic:spPr>
                </pic:pic>
              </a:graphicData>
            </a:graphic>
          </wp:inline>
        </w:drawing>
      </w:r>
    </w:p>
    <w:p w14:paraId="63C79DE0" w14:textId="46B4FD92" w:rsidR="001E58B4" w:rsidRPr="00D301DC" w:rsidRDefault="001E58B4">
      <w:pPr>
        <w:spacing w:line="360" w:lineRule="auto"/>
        <w:jc w:val="both"/>
      </w:pPr>
    </w:p>
    <w:p w14:paraId="7C007CC1" w14:textId="77777777" w:rsidR="001E58B4" w:rsidRPr="00D301DC" w:rsidRDefault="00000000">
      <w:pPr>
        <w:spacing w:line="360" w:lineRule="auto"/>
        <w:jc w:val="both"/>
      </w:pPr>
      <w:r w:rsidRPr="00D301DC">
        <w:rPr>
          <w:rFonts w:ascii="Book Antiqua" w:eastAsia="Book Antiqua" w:hAnsi="Book Antiqua" w:cs="Book Antiqua"/>
          <w:b/>
          <w:bCs/>
        </w:rPr>
        <w:t xml:space="preserve">Figure 5 Effect of microinjection of 4 nmol NaHS and 4 nmol NaHS + pyrrolidine dithiocarbamate into the nucleus tractus solitarius on gastric motility in rats. </w:t>
      </w:r>
      <w:r w:rsidRPr="00D301DC">
        <w:rPr>
          <w:rFonts w:ascii="Book Antiqua" w:eastAsia="Book Antiqua" w:hAnsi="Book Antiqua" w:cs="Book Antiqua"/>
        </w:rPr>
        <w:t xml:space="preserve">A: Gastric motility curve recorded in rats with 4 nmol NaHS + pyrrolidine dithiocarbamate microinjection in nucleus tractus solitarius; B: Data of total amplitude of the contraction wave; C: Data of total duration of the contraction wave; D: Data of gastric motility index. </w:t>
      </w:r>
      <w:r w:rsidRPr="00D301DC">
        <w:rPr>
          <w:rFonts w:ascii="Book Antiqua" w:eastAsia="Book Antiqua" w:hAnsi="Book Antiqua" w:cs="Book Antiqua"/>
          <w:szCs w:val="30"/>
          <w:vertAlign w:val="superscript"/>
        </w:rPr>
        <w:t>a</w:t>
      </w:r>
      <w:r w:rsidRPr="00D301DC">
        <w:rPr>
          <w:rFonts w:ascii="Book Antiqua" w:eastAsia="Book Antiqua" w:hAnsi="Book Antiqua" w:cs="Book Antiqua"/>
          <w:i/>
          <w:iCs/>
        </w:rPr>
        <w:t>P</w:t>
      </w:r>
      <w:r w:rsidRPr="00D301DC">
        <w:rPr>
          <w:rFonts w:ascii="Book Antiqua" w:eastAsia="Book Antiqua" w:hAnsi="Book Antiqua" w:cs="Book Antiqua"/>
        </w:rPr>
        <w:t xml:space="preserve"> &lt; 0.01 </w:t>
      </w:r>
      <w:r w:rsidRPr="00D301DC">
        <w:rPr>
          <w:rFonts w:ascii="Book Antiqua" w:eastAsia="Book Antiqua" w:hAnsi="Book Antiqua" w:cs="Book Antiqua"/>
          <w:i/>
          <w:iCs/>
        </w:rPr>
        <w:t>vs</w:t>
      </w:r>
      <w:r w:rsidRPr="00D301DC">
        <w:rPr>
          <w:rFonts w:ascii="Book Antiqua" w:eastAsia="Book Antiqua" w:hAnsi="Book Antiqua" w:cs="Book Antiqua"/>
        </w:rPr>
        <w:t xml:space="preserve"> before injection. PDTC: Pyrrolidine dithiocarbamate; T.A.C.W.: Total amplitude of the contraction wave; T.D.C.W.: Total duration of the contraction wave.</w:t>
      </w:r>
    </w:p>
    <w:p w14:paraId="39BEE4E9" w14:textId="77777777" w:rsidR="001E58B4" w:rsidRPr="00D301DC" w:rsidRDefault="001E58B4">
      <w:pPr>
        <w:spacing w:line="360" w:lineRule="auto"/>
        <w:jc w:val="both"/>
        <w:sectPr w:rsidR="001E58B4" w:rsidRPr="00D301DC">
          <w:pgSz w:w="12240" w:h="15840"/>
          <w:pgMar w:top="1440" w:right="1440" w:bottom="1440" w:left="1440" w:header="720" w:footer="720" w:gutter="0"/>
          <w:cols w:space="720"/>
          <w:docGrid w:linePitch="360"/>
        </w:sectPr>
      </w:pPr>
    </w:p>
    <w:p w14:paraId="6B608E97" w14:textId="1301D7C6" w:rsidR="001E58B4" w:rsidRPr="00D301DC" w:rsidRDefault="00BA456C">
      <w:pPr>
        <w:spacing w:line="360" w:lineRule="auto"/>
        <w:jc w:val="both"/>
      </w:pPr>
      <w:r>
        <w:rPr>
          <w:noProof/>
          <w:lang w:eastAsia="zh-CN"/>
        </w:rPr>
        <w:lastRenderedPageBreak/>
        <w:drawing>
          <wp:inline distT="0" distB="0" distL="0" distR="0" wp14:anchorId="7B2851B9" wp14:editId="5FB3E26A">
            <wp:extent cx="5943600" cy="2998470"/>
            <wp:effectExtent l="0" t="0" r="0" b="0"/>
            <wp:docPr id="3909865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98470"/>
                    </a:xfrm>
                    <a:prstGeom prst="rect">
                      <a:avLst/>
                    </a:prstGeom>
                    <a:noFill/>
                    <a:ln>
                      <a:noFill/>
                    </a:ln>
                  </pic:spPr>
                </pic:pic>
              </a:graphicData>
            </a:graphic>
          </wp:inline>
        </w:drawing>
      </w:r>
    </w:p>
    <w:p w14:paraId="724B2FC9" w14:textId="77777777" w:rsidR="001E58B4" w:rsidRPr="00D301DC" w:rsidRDefault="00000000">
      <w:pPr>
        <w:spacing w:line="360" w:lineRule="auto"/>
        <w:jc w:val="both"/>
      </w:pPr>
      <w:r w:rsidRPr="00D301DC">
        <w:rPr>
          <w:rFonts w:ascii="Book Antiqua" w:eastAsia="Book Antiqua" w:hAnsi="Book Antiqua" w:cs="Book Antiqua"/>
          <w:b/>
          <w:bCs/>
        </w:rPr>
        <w:t xml:space="preserve">Figure 6 Effects of microinjection of 4 nmol NaHS and 4 nmol NaHS + Capsazepine into the nucleus tractus solitarius on gastric motility in rats. </w:t>
      </w:r>
      <w:r w:rsidRPr="00D301DC">
        <w:rPr>
          <w:rFonts w:ascii="Book Antiqua" w:eastAsia="Book Antiqua" w:hAnsi="Book Antiqua" w:cs="Book Antiqua"/>
        </w:rPr>
        <w:t xml:space="preserve">A: Gastric motility curve recorded in rats with 4 nmol NaHS + Capsazepine microinjection in nucleus tractus solitarius; B: Data of total amplitude of the contraction wave; C: Data of total duration of the contraction wave; D: Data of gastric motility index. </w:t>
      </w:r>
      <w:r w:rsidRPr="00D301DC">
        <w:rPr>
          <w:rFonts w:ascii="Book Antiqua" w:eastAsia="Book Antiqua" w:hAnsi="Book Antiqua" w:cs="Book Antiqua"/>
          <w:szCs w:val="30"/>
          <w:vertAlign w:val="superscript"/>
        </w:rPr>
        <w:t>a</w:t>
      </w:r>
      <w:r w:rsidRPr="00D301DC">
        <w:rPr>
          <w:rFonts w:ascii="Book Antiqua" w:eastAsia="Book Antiqua" w:hAnsi="Book Antiqua" w:cs="Book Antiqua"/>
          <w:i/>
          <w:iCs/>
        </w:rPr>
        <w:t>P</w:t>
      </w:r>
      <w:r w:rsidRPr="00D301DC">
        <w:rPr>
          <w:rFonts w:ascii="Book Antiqua" w:eastAsia="Book Antiqua" w:hAnsi="Book Antiqua" w:cs="Book Antiqua"/>
        </w:rPr>
        <w:t xml:space="preserve"> &lt; 0.01 </w:t>
      </w:r>
      <w:r w:rsidRPr="00D301DC">
        <w:rPr>
          <w:rFonts w:ascii="Book Antiqua" w:eastAsia="Book Antiqua" w:hAnsi="Book Antiqua" w:cs="Book Antiqua"/>
          <w:i/>
          <w:iCs/>
        </w:rPr>
        <w:t>vs</w:t>
      </w:r>
      <w:r w:rsidRPr="00D301DC">
        <w:rPr>
          <w:rFonts w:ascii="Book Antiqua" w:eastAsia="Book Antiqua" w:hAnsi="Book Antiqua" w:cs="Book Antiqua"/>
        </w:rPr>
        <w:t xml:space="preserve"> before injection. T.A.C.W.: Total amplitude of the contraction wave; T.D.C.W.: Total duration of the contraction wave.</w:t>
      </w:r>
    </w:p>
    <w:p w14:paraId="497538D1" w14:textId="77777777" w:rsidR="001E58B4" w:rsidRPr="00D301DC" w:rsidRDefault="001E58B4">
      <w:pPr>
        <w:spacing w:line="360" w:lineRule="auto"/>
        <w:jc w:val="both"/>
        <w:sectPr w:rsidR="001E58B4" w:rsidRPr="00D301DC">
          <w:pgSz w:w="12240" w:h="15840"/>
          <w:pgMar w:top="1440" w:right="1440" w:bottom="1440" w:left="1440" w:header="720" w:footer="720" w:gutter="0"/>
          <w:cols w:space="720"/>
          <w:docGrid w:linePitch="360"/>
        </w:sectPr>
      </w:pPr>
    </w:p>
    <w:p w14:paraId="31117B13" w14:textId="704125CA" w:rsidR="001E58B4" w:rsidRPr="00D301DC" w:rsidRDefault="00BA456C">
      <w:pPr>
        <w:spacing w:line="360" w:lineRule="auto"/>
        <w:jc w:val="both"/>
      </w:pPr>
      <w:r>
        <w:rPr>
          <w:noProof/>
          <w:lang w:eastAsia="zh-CN"/>
        </w:rPr>
        <w:lastRenderedPageBreak/>
        <w:drawing>
          <wp:inline distT="0" distB="0" distL="0" distR="0" wp14:anchorId="7890987D" wp14:editId="7A462688">
            <wp:extent cx="5943600" cy="3434080"/>
            <wp:effectExtent l="0" t="0" r="0" b="0"/>
            <wp:docPr id="12260776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434080"/>
                    </a:xfrm>
                    <a:prstGeom prst="rect">
                      <a:avLst/>
                    </a:prstGeom>
                    <a:noFill/>
                    <a:ln>
                      <a:noFill/>
                    </a:ln>
                  </pic:spPr>
                </pic:pic>
              </a:graphicData>
            </a:graphic>
          </wp:inline>
        </w:drawing>
      </w:r>
    </w:p>
    <w:p w14:paraId="06AB56E1" w14:textId="77777777" w:rsidR="001E58B4" w:rsidRPr="00D301DC" w:rsidRDefault="00000000">
      <w:pPr>
        <w:spacing w:line="360" w:lineRule="auto"/>
        <w:jc w:val="both"/>
        <w:rPr>
          <w:rFonts w:ascii="Book Antiqua" w:eastAsia="Book Antiqua" w:hAnsi="Book Antiqua" w:cs="Book Antiqua"/>
        </w:rPr>
      </w:pPr>
      <w:r w:rsidRPr="00D301DC">
        <w:rPr>
          <w:rFonts w:ascii="Book Antiqua" w:eastAsia="Book Antiqua" w:hAnsi="Book Antiqua" w:cs="Book Antiqua"/>
          <w:b/>
          <w:bCs/>
        </w:rPr>
        <w:t xml:space="preserve">Figure 7 Effects of microinjection of 4 nmol NaHS and 4 nmol NaHS + L703606 into the nucleus tractus solitarius on gastric motility in rats. </w:t>
      </w:r>
      <w:r w:rsidRPr="00D301DC">
        <w:rPr>
          <w:rFonts w:ascii="Book Antiqua" w:eastAsia="Book Antiqua" w:hAnsi="Book Antiqua" w:cs="Book Antiqua"/>
        </w:rPr>
        <w:t xml:space="preserve">A: Gastric motility curve recorded in rats with 4 nmol NaHS + L703606 microinjection in nucleus tractus solitarius; B: Data of total amplitude of the contraction wave; C: Data of total duration of the contraction wave; D: Data of gastric motility index. </w:t>
      </w:r>
      <w:r w:rsidRPr="00D301DC">
        <w:rPr>
          <w:rFonts w:ascii="Book Antiqua" w:eastAsia="Book Antiqua" w:hAnsi="Book Antiqua" w:cs="Book Antiqua"/>
          <w:szCs w:val="30"/>
          <w:vertAlign w:val="superscript"/>
        </w:rPr>
        <w:t>a</w:t>
      </w:r>
      <w:r w:rsidRPr="00D301DC">
        <w:rPr>
          <w:rFonts w:ascii="Book Antiqua" w:eastAsia="Book Antiqua" w:hAnsi="Book Antiqua" w:cs="Book Antiqua"/>
          <w:i/>
          <w:iCs/>
        </w:rPr>
        <w:t>P</w:t>
      </w:r>
      <w:r w:rsidRPr="00D301DC">
        <w:rPr>
          <w:rFonts w:ascii="Book Antiqua" w:eastAsia="Book Antiqua" w:hAnsi="Book Antiqua" w:cs="Book Antiqua"/>
        </w:rPr>
        <w:t xml:space="preserve"> &lt; 0.01 </w:t>
      </w:r>
      <w:r w:rsidRPr="00D301DC">
        <w:rPr>
          <w:rFonts w:ascii="Book Antiqua" w:eastAsia="Book Antiqua" w:hAnsi="Book Antiqua" w:cs="Book Antiqua"/>
          <w:i/>
          <w:iCs/>
        </w:rPr>
        <w:t>vs</w:t>
      </w:r>
      <w:r w:rsidRPr="00D301DC">
        <w:rPr>
          <w:rFonts w:ascii="Book Antiqua" w:eastAsia="Book Antiqua" w:hAnsi="Book Antiqua" w:cs="Book Antiqua"/>
        </w:rPr>
        <w:t xml:space="preserve"> before injection. T.A.C.W.: Total amplitude of the contraction wave; T.D.C.W.: Total duration of the contraction wave.</w:t>
      </w:r>
    </w:p>
    <w:p w14:paraId="503271AA" w14:textId="77777777" w:rsidR="00D301DC" w:rsidRPr="00D301DC" w:rsidRDefault="00D301DC">
      <w:pPr>
        <w:spacing w:line="360" w:lineRule="auto"/>
        <w:jc w:val="both"/>
        <w:sectPr w:rsidR="00D301DC" w:rsidRPr="00D301DC">
          <w:pgSz w:w="12240" w:h="15840"/>
          <w:pgMar w:top="1440" w:right="1440" w:bottom="1440" w:left="1440" w:header="720" w:footer="720" w:gutter="0"/>
          <w:cols w:space="720"/>
          <w:docGrid w:linePitch="360"/>
        </w:sectPr>
      </w:pPr>
    </w:p>
    <w:p w14:paraId="3A3F6FCF" w14:textId="77777777" w:rsidR="00D301DC" w:rsidRPr="00D301DC" w:rsidRDefault="00D301DC" w:rsidP="00D301DC">
      <w:pPr>
        <w:ind w:leftChars="100" w:left="240"/>
        <w:jc w:val="center"/>
        <w:rPr>
          <w:rFonts w:ascii="Book Antiqua" w:hAnsi="Book Antiqua"/>
          <w:lang w:val="pt-BR" w:eastAsia="zh-CN"/>
        </w:rPr>
      </w:pPr>
      <w:bookmarkStart w:id="6" w:name="_Hlk88512952"/>
    </w:p>
    <w:p w14:paraId="2EB12501" w14:textId="77777777" w:rsidR="00D301DC" w:rsidRPr="00D301DC" w:rsidRDefault="00D301DC" w:rsidP="00D301DC">
      <w:pPr>
        <w:ind w:leftChars="100" w:left="240"/>
        <w:jc w:val="center"/>
        <w:rPr>
          <w:rFonts w:ascii="Book Antiqua" w:hAnsi="Book Antiqua"/>
          <w:lang w:val="pt-BR" w:eastAsia="zh-CN"/>
        </w:rPr>
      </w:pPr>
    </w:p>
    <w:p w14:paraId="5CE551CE" w14:textId="77777777" w:rsidR="00D301DC" w:rsidRPr="00D301DC" w:rsidRDefault="00D301DC" w:rsidP="00D301DC">
      <w:pPr>
        <w:ind w:leftChars="100" w:left="240"/>
        <w:jc w:val="center"/>
        <w:rPr>
          <w:rFonts w:ascii="Book Antiqua" w:hAnsi="Book Antiqua"/>
          <w:lang w:val="pt-BR" w:eastAsia="zh-CN"/>
        </w:rPr>
      </w:pPr>
    </w:p>
    <w:p w14:paraId="64803FC0" w14:textId="77777777" w:rsidR="00D301DC" w:rsidRPr="00D301DC" w:rsidRDefault="00D301DC" w:rsidP="00D301DC">
      <w:pPr>
        <w:ind w:leftChars="100" w:left="240"/>
        <w:jc w:val="center"/>
        <w:rPr>
          <w:rFonts w:ascii="Book Antiqua" w:hAnsi="Book Antiqua"/>
          <w:lang w:val="pt-BR" w:eastAsia="zh-CN"/>
        </w:rPr>
      </w:pPr>
    </w:p>
    <w:p w14:paraId="271A8284" w14:textId="77777777" w:rsidR="00D301DC" w:rsidRPr="00D301DC" w:rsidRDefault="00D301DC" w:rsidP="00D301DC">
      <w:pPr>
        <w:ind w:leftChars="100" w:left="240"/>
        <w:jc w:val="center"/>
        <w:rPr>
          <w:rFonts w:ascii="Book Antiqua" w:hAnsi="Book Antiqua"/>
          <w:lang w:eastAsia="zh-CN"/>
        </w:rPr>
      </w:pPr>
      <w:r w:rsidRPr="00D301DC">
        <w:rPr>
          <w:rFonts w:ascii="Book Antiqua" w:hAnsi="Book Antiqua"/>
          <w:noProof/>
          <w:lang w:eastAsia="zh-CN"/>
        </w:rPr>
        <w:drawing>
          <wp:inline distT="0" distB="0" distL="0" distR="0" wp14:anchorId="5B424433" wp14:editId="183F3BB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F0DCCA8" w14:textId="77777777" w:rsidR="00D301DC" w:rsidRPr="00D301DC" w:rsidRDefault="00D301DC" w:rsidP="00D301DC">
      <w:pPr>
        <w:ind w:leftChars="100" w:left="240"/>
        <w:jc w:val="center"/>
        <w:rPr>
          <w:rFonts w:ascii="Book Antiqua" w:hAnsi="Book Antiqua"/>
          <w:lang w:eastAsia="zh-CN"/>
        </w:rPr>
      </w:pPr>
    </w:p>
    <w:p w14:paraId="0F71268C" w14:textId="77777777" w:rsidR="00D301DC" w:rsidRPr="00D301DC" w:rsidRDefault="00D301DC" w:rsidP="00D301DC">
      <w:pPr>
        <w:autoSpaceDE w:val="0"/>
        <w:autoSpaceDN w:val="0"/>
        <w:adjustRightInd w:val="0"/>
        <w:ind w:leftChars="100" w:left="240"/>
        <w:jc w:val="center"/>
        <w:rPr>
          <w:rFonts w:ascii="Book Antiqua" w:eastAsia="Garamond-Bold" w:hAnsi="Book Antiqua" w:cs="Garamond-Bold"/>
          <w:b/>
          <w:bCs/>
          <w:color w:val="000000"/>
          <w:sz w:val="28"/>
          <w:szCs w:val="28"/>
        </w:rPr>
      </w:pPr>
      <w:r w:rsidRPr="00D301DC">
        <w:rPr>
          <w:rFonts w:ascii="Book Antiqua" w:eastAsia="TimesNewRomanPSMT" w:hAnsi="Book Antiqua" w:cs="TimesNewRomanPSMT"/>
          <w:color w:val="000000"/>
          <w:sz w:val="28"/>
          <w:szCs w:val="28"/>
        </w:rPr>
        <w:t xml:space="preserve">Published by </w:t>
      </w:r>
      <w:r w:rsidRPr="00D301DC">
        <w:rPr>
          <w:rFonts w:ascii="Book Antiqua" w:eastAsia="Garamond-Bold" w:hAnsi="Book Antiqua" w:cs="Garamond-Bold"/>
          <w:b/>
          <w:bCs/>
          <w:color w:val="000000"/>
          <w:sz w:val="28"/>
          <w:szCs w:val="28"/>
        </w:rPr>
        <w:t>Baishideng Publishing Group Inc</w:t>
      </w:r>
    </w:p>
    <w:p w14:paraId="02E0705A" w14:textId="77777777" w:rsidR="00D301DC" w:rsidRPr="00D301DC" w:rsidRDefault="00D301DC" w:rsidP="00D301DC">
      <w:pPr>
        <w:autoSpaceDE w:val="0"/>
        <w:autoSpaceDN w:val="0"/>
        <w:adjustRightInd w:val="0"/>
        <w:ind w:leftChars="100" w:left="240"/>
        <w:jc w:val="center"/>
        <w:rPr>
          <w:rFonts w:ascii="Book Antiqua" w:eastAsia="TimesNewRomanPSMT" w:hAnsi="Book Antiqua" w:cs="Garamond"/>
          <w:color w:val="000000"/>
          <w:sz w:val="28"/>
          <w:szCs w:val="28"/>
        </w:rPr>
      </w:pPr>
      <w:r w:rsidRPr="00D301DC">
        <w:rPr>
          <w:rFonts w:ascii="Book Antiqua" w:eastAsia="TimesNewRomanPSMT" w:hAnsi="Book Antiqua" w:cs="Garamond"/>
          <w:color w:val="000000"/>
          <w:sz w:val="28"/>
          <w:szCs w:val="28"/>
        </w:rPr>
        <w:t>7041 Koll Center Parkway, Suite 160, Pleasanton, CA 94566, USA</w:t>
      </w:r>
    </w:p>
    <w:p w14:paraId="7742D59A" w14:textId="77777777" w:rsidR="00D301DC" w:rsidRPr="00D301DC" w:rsidRDefault="00D301DC" w:rsidP="00D301DC">
      <w:pPr>
        <w:autoSpaceDE w:val="0"/>
        <w:autoSpaceDN w:val="0"/>
        <w:adjustRightInd w:val="0"/>
        <w:ind w:leftChars="100" w:left="240"/>
        <w:jc w:val="center"/>
        <w:rPr>
          <w:rFonts w:ascii="Book Antiqua" w:eastAsia="TimesNewRomanPSMT" w:hAnsi="Book Antiqua" w:cs="Garamond"/>
          <w:color w:val="000000"/>
          <w:sz w:val="28"/>
          <w:szCs w:val="28"/>
        </w:rPr>
      </w:pPr>
      <w:r w:rsidRPr="00D301DC">
        <w:rPr>
          <w:rFonts w:ascii="Book Antiqua" w:eastAsia="Garamond-Bold" w:hAnsi="Book Antiqua" w:cs="Garamond-Bold"/>
          <w:b/>
          <w:bCs/>
          <w:color w:val="000000"/>
          <w:sz w:val="28"/>
          <w:szCs w:val="28"/>
        </w:rPr>
        <w:t xml:space="preserve">Telephone: </w:t>
      </w:r>
      <w:r w:rsidRPr="00D301DC">
        <w:rPr>
          <w:rFonts w:ascii="Book Antiqua" w:eastAsia="TimesNewRomanPSMT" w:hAnsi="Book Antiqua" w:cs="Garamond"/>
          <w:color w:val="000000"/>
          <w:sz w:val="28"/>
          <w:szCs w:val="28"/>
        </w:rPr>
        <w:t>+1-925-3991568</w:t>
      </w:r>
    </w:p>
    <w:p w14:paraId="5A097BE4" w14:textId="77777777" w:rsidR="00D301DC" w:rsidRPr="00D301DC" w:rsidRDefault="00D301DC" w:rsidP="00D301DC">
      <w:pPr>
        <w:autoSpaceDE w:val="0"/>
        <w:autoSpaceDN w:val="0"/>
        <w:adjustRightInd w:val="0"/>
        <w:ind w:leftChars="100" w:left="240"/>
        <w:jc w:val="center"/>
        <w:rPr>
          <w:rFonts w:ascii="Book Antiqua" w:eastAsia="TimesNewRomanPSMT" w:hAnsi="Book Antiqua" w:cs="Garamond"/>
          <w:color w:val="D56400"/>
          <w:sz w:val="28"/>
          <w:szCs w:val="28"/>
        </w:rPr>
      </w:pPr>
      <w:r w:rsidRPr="00D301DC">
        <w:rPr>
          <w:rFonts w:ascii="Book Antiqua" w:eastAsia="Garamond-Bold" w:hAnsi="Book Antiqua" w:cs="Garamond-Bold"/>
          <w:b/>
          <w:bCs/>
          <w:color w:val="000000"/>
          <w:sz w:val="28"/>
          <w:szCs w:val="28"/>
        </w:rPr>
        <w:t xml:space="preserve">E-mail: </w:t>
      </w:r>
      <w:r w:rsidRPr="00D301DC">
        <w:rPr>
          <w:rFonts w:ascii="Book Antiqua" w:eastAsia="TimesNewRomanPSMT" w:hAnsi="Book Antiqua" w:cs="Garamond"/>
          <w:color w:val="D56400"/>
          <w:sz w:val="28"/>
          <w:szCs w:val="28"/>
        </w:rPr>
        <w:t>bpgoffice@wjgnet.com</w:t>
      </w:r>
    </w:p>
    <w:p w14:paraId="38E2CFD7" w14:textId="77777777" w:rsidR="00D301DC" w:rsidRPr="00D301DC" w:rsidRDefault="00D301DC" w:rsidP="00D301DC">
      <w:pPr>
        <w:autoSpaceDE w:val="0"/>
        <w:autoSpaceDN w:val="0"/>
        <w:adjustRightInd w:val="0"/>
        <w:ind w:leftChars="100" w:left="240"/>
        <w:jc w:val="center"/>
        <w:rPr>
          <w:rFonts w:ascii="Book Antiqua" w:eastAsia="TimesNewRomanPSMT" w:hAnsi="Book Antiqua" w:cs="Garamond"/>
          <w:color w:val="D56400"/>
          <w:sz w:val="28"/>
          <w:szCs w:val="28"/>
        </w:rPr>
      </w:pPr>
      <w:r w:rsidRPr="00D301DC">
        <w:rPr>
          <w:rFonts w:ascii="Book Antiqua" w:eastAsia="Garamond-Bold" w:hAnsi="Book Antiqua" w:cs="Garamond-Bold"/>
          <w:b/>
          <w:bCs/>
          <w:color w:val="000000"/>
          <w:sz w:val="28"/>
          <w:szCs w:val="28"/>
        </w:rPr>
        <w:t xml:space="preserve">Help Desk: </w:t>
      </w:r>
      <w:r w:rsidRPr="00D301DC">
        <w:rPr>
          <w:rFonts w:ascii="Book Antiqua" w:eastAsia="TimesNewRomanPSMT" w:hAnsi="Book Antiqua" w:cs="Garamond"/>
          <w:color w:val="D56400"/>
          <w:sz w:val="28"/>
          <w:szCs w:val="28"/>
        </w:rPr>
        <w:t>https://www.f6publishing.com/helpdesk</w:t>
      </w:r>
    </w:p>
    <w:p w14:paraId="704C482A" w14:textId="77777777" w:rsidR="00D301DC" w:rsidRPr="00D301DC" w:rsidRDefault="00D301DC" w:rsidP="00D301DC">
      <w:pPr>
        <w:ind w:leftChars="100" w:left="240"/>
        <w:jc w:val="center"/>
        <w:rPr>
          <w:rFonts w:ascii="Book Antiqua" w:hAnsi="Book Antiqua"/>
          <w:lang w:eastAsia="zh-CN"/>
        </w:rPr>
      </w:pPr>
      <w:r w:rsidRPr="00D301DC">
        <w:rPr>
          <w:rFonts w:ascii="Book Antiqua" w:eastAsia="TimesNewRomanPSMT" w:hAnsi="Book Antiqua" w:cs="Garamond"/>
          <w:color w:val="D56400"/>
          <w:sz w:val="28"/>
          <w:szCs w:val="28"/>
        </w:rPr>
        <w:t>https://www.wjgnet.com</w:t>
      </w:r>
    </w:p>
    <w:p w14:paraId="39796407" w14:textId="77777777" w:rsidR="00D301DC" w:rsidRPr="00D301DC" w:rsidRDefault="00D301DC" w:rsidP="00D301DC">
      <w:pPr>
        <w:ind w:leftChars="100" w:left="240"/>
        <w:jc w:val="center"/>
        <w:rPr>
          <w:rFonts w:ascii="Book Antiqua" w:hAnsi="Book Antiqua"/>
          <w:lang w:eastAsia="zh-CN"/>
        </w:rPr>
      </w:pPr>
    </w:p>
    <w:p w14:paraId="00FF2242" w14:textId="77777777" w:rsidR="00D301DC" w:rsidRPr="00D301DC" w:rsidRDefault="00D301DC" w:rsidP="00D301DC">
      <w:pPr>
        <w:ind w:leftChars="100" w:left="240"/>
        <w:jc w:val="center"/>
        <w:rPr>
          <w:rFonts w:ascii="Book Antiqua" w:hAnsi="Book Antiqua"/>
          <w:lang w:eastAsia="zh-CN"/>
        </w:rPr>
      </w:pPr>
    </w:p>
    <w:p w14:paraId="56D1FCEA" w14:textId="77777777" w:rsidR="00D301DC" w:rsidRPr="00D301DC" w:rsidRDefault="00D301DC" w:rsidP="00D301DC">
      <w:pPr>
        <w:ind w:leftChars="100" w:left="240"/>
        <w:jc w:val="center"/>
        <w:rPr>
          <w:rFonts w:ascii="Book Antiqua" w:hAnsi="Book Antiqua"/>
          <w:lang w:eastAsia="zh-CN"/>
        </w:rPr>
      </w:pPr>
    </w:p>
    <w:p w14:paraId="50E08D07" w14:textId="77777777" w:rsidR="00D301DC" w:rsidRPr="00D301DC" w:rsidRDefault="00D301DC" w:rsidP="00D301DC">
      <w:pPr>
        <w:ind w:leftChars="100" w:left="240"/>
        <w:jc w:val="center"/>
        <w:rPr>
          <w:rFonts w:ascii="Book Antiqua" w:hAnsi="Book Antiqua"/>
          <w:lang w:eastAsia="zh-CN"/>
        </w:rPr>
      </w:pPr>
      <w:r w:rsidRPr="00D301DC">
        <w:rPr>
          <w:rFonts w:ascii="Book Antiqua" w:hAnsi="Book Antiqua"/>
          <w:noProof/>
          <w:lang w:eastAsia="zh-CN"/>
        </w:rPr>
        <w:drawing>
          <wp:inline distT="0" distB="0" distL="0" distR="0" wp14:anchorId="4CE378A8" wp14:editId="4D98AB4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18F19B0" w14:textId="77777777" w:rsidR="00D301DC" w:rsidRPr="00D301DC" w:rsidRDefault="00D301DC" w:rsidP="00D301DC">
      <w:pPr>
        <w:ind w:leftChars="100" w:left="240"/>
        <w:jc w:val="center"/>
        <w:rPr>
          <w:rFonts w:ascii="Book Antiqua" w:hAnsi="Book Antiqua"/>
          <w:lang w:eastAsia="zh-CN"/>
        </w:rPr>
      </w:pPr>
    </w:p>
    <w:p w14:paraId="79D94E19" w14:textId="77777777" w:rsidR="00D301DC" w:rsidRPr="00D301DC" w:rsidRDefault="00D301DC" w:rsidP="00D301DC">
      <w:pPr>
        <w:ind w:leftChars="100" w:left="240"/>
        <w:jc w:val="center"/>
        <w:rPr>
          <w:rFonts w:ascii="Book Antiqua" w:hAnsi="Book Antiqua"/>
          <w:lang w:eastAsia="zh-CN"/>
        </w:rPr>
      </w:pPr>
    </w:p>
    <w:p w14:paraId="20961B22" w14:textId="77777777" w:rsidR="00D301DC" w:rsidRPr="00D301DC" w:rsidRDefault="00D301DC" w:rsidP="00D301DC">
      <w:pPr>
        <w:ind w:leftChars="100" w:left="240"/>
        <w:jc w:val="center"/>
        <w:rPr>
          <w:rFonts w:ascii="Book Antiqua" w:hAnsi="Book Antiqua"/>
          <w:lang w:eastAsia="zh-CN"/>
        </w:rPr>
      </w:pPr>
    </w:p>
    <w:p w14:paraId="399B992E" w14:textId="77777777" w:rsidR="00D301DC" w:rsidRPr="00D301DC" w:rsidRDefault="00D301DC" w:rsidP="00D301DC">
      <w:pPr>
        <w:ind w:leftChars="100" w:left="240"/>
        <w:jc w:val="center"/>
        <w:rPr>
          <w:rFonts w:ascii="Book Antiqua" w:hAnsi="Book Antiqua"/>
          <w:lang w:eastAsia="zh-CN"/>
        </w:rPr>
      </w:pPr>
    </w:p>
    <w:p w14:paraId="21504B89" w14:textId="77777777" w:rsidR="00D301DC" w:rsidRPr="00D301DC" w:rsidRDefault="00D301DC" w:rsidP="00D301DC">
      <w:pPr>
        <w:ind w:leftChars="100" w:left="240"/>
        <w:jc w:val="center"/>
        <w:rPr>
          <w:rFonts w:ascii="Book Antiqua" w:hAnsi="Book Antiqua"/>
          <w:lang w:eastAsia="zh-CN"/>
        </w:rPr>
      </w:pPr>
    </w:p>
    <w:p w14:paraId="206E87BC" w14:textId="77777777" w:rsidR="00D301DC" w:rsidRPr="00D301DC" w:rsidRDefault="00D301DC" w:rsidP="00D301DC">
      <w:pPr>
        <w:ind w:leftChars="100" w:left="240"/>
        <w:jc w:val="center"/>
        <w:rPr>
          <w:rFonts w:ascii="Book Antiqua" w:hAnsi="Book Antiqua"/>
          <w:lang w:eastAsia="zh-CN"/>
        </w:rPr>
      </w:pPr>
    </w:p>
    <w:p w14:paraId="4B59FD48" w14:textId="77777777" w:rsidR="00D301DC" w:rsidRPr="00D301DC" w:rsidRDefault="00D301DC" w:rsidP="00D301DC">
      <w:pPr>
        <w:ind w:leftChars="100" w:left="240"/>
        <w:jc w:val="center"/>
        <w:rPr>
          <w:rFonts w:ascii="Book Antiqua" w:hAnsi="Book Antiqua"/>
          <w:lang w:eastAsia="zh-CN"/>
        </w:rPr>
      </w:pPr>
    </w:p>
    <w:p w14:paraId="56567FA8" w14:textId="77777777" w:rsidR="00D301DC" w:rsidRPr="00D301DC" w:rsidRDefault="00D301DC" w:rsidP="00D301DC">
      <w:pPr>
        <w:ind w:leftChars="100" w:left="240"/>
        <w:jc w:val="center"/>
        <w:rPr>
          <w:rFonts w:ascii="Book Antiqua" w:hAnsi="Book Antiqua"/>
          <w:lang w:eastAsia="zh-CN"/>
        </w:rPr>
      </w:pPr>
    </w:p>
    <w:p w14:paraId="4F6C3B54" w14:textId="77777777" w:rsidR="00D301DC" w:rsidRPr="00D301DC" w:rsidRDefault="00D301DC" w:rsidP="00D301DC">
      <w:pPr>
        <w:ind w:leftChars="100" w:left="240"/>
        <w:jc w:val="center"/>
        <w:rPr>
          <w:rFonts w:ascii="Book Antiqua" w:hAnsi="Book Antiqua"/>
          <w:lang w:eastAsia="zh-CN"/>
        </w:rPr>
      </w:pPr>
    </w:p>
    <w:p w14:paraId="062CE38E" w14:textId="77777777" w:rsidR="00D301DC" w:rsidRPr="00D301DC" w:rsidRDefault="00D301DC" w:rsidP="00D301DC">
      <w:pPr>
        <w:ind w:leftChars="100" w:left="240"/>
        <w:jc w:val="right"/>
        <w:rPr>
          <w:rFonts w:ascii="Book Antiqua" w:hAnsi="Book Antiqua"/>
          <w:color w:val="000000" w:themeColor="text1"/>
          <w:lang w:eastAsia="zh-CN"/>
        </w:rPr>
      </w:pPr>
    </w:p>
    <w:p w14:paraId="0322707E" w14:textId="77777777" w:rsidR="00D301DC" w:rsidRPr="00763D22" w:rsidRDefault="00D301DC" w:rsidP="00D301DC">
      <w:pPr>
        <w:ind w:leftChars="100" w:left="240"/>
        <w:jc w:val="center"/>
        <w:rPr>
          <w:rFonts w:ascii="Book Antiqua" w:hAnsi="Book Antiqua"/>
          <w:color w:val="000000" w:themeColor="text1"/>
          <w:lang w:eastAsia="zh-CN"/>
        </w:rPr>
      </w:pPr>
      <w:r w:rsidRPr="00D301DC">
        <w:rPr>
          <w:rFonts w:ascii="Book Antiqua" w:eastAsia="BookAntiqua-Bold" w:hAnsi="Book Antiqua" w:cs="BookAntiqua-Bold"/>
          <w:b/>
          <w:bCs/>
          <w:color w:val="000000" w:themeColor="text1"/>
        </w:rPr>
        <w:t>© 2023 Baishideng Publishing Group Inc. All rights reserved.</w:t>
      </w:r>
      <w:r w:rsidRPr="00D301DC">
        <w:rPr>
          <w:rFonts w:ascii="Book Antiqua" w:hAnsi="Book Antiqua"/>
          <w:color w:val="000000" w:themeColor="text1"/>
          <w:lang w:eastAsia="zh-CN"/>
        </w:rPr>
        <w:fldChar w:fldCharType="begin"/>
      </w:r>
      <w:r w:rsidRPr="00D301DC">
        <w:rPr>
          <w:rFonts w:ascii="Book Antiqua" w:hAnsi="Book Antiqua"/>
          <w:color w:val="000000" w:themeColor="text1"/>
          <w:lang w:eastAsia="zh-CN"/>
        </w:rPr>
        <w:instrText xml:space="preserve"> ADDIN EN.REFLIST </w:instrText>
      </w:r>
      <w:r w:rsidRPr="00D301DC">
        <w:rPr>
          <w:rFonts w:ascii="Book Antiqua" w:hAnsi="Book Antiqua"/>
          <w:color w:val="000000" w:themeColor="text1"/>
          <w:lang w:eastAsia="zh-CN"/>
        </w:rPr>
        <w:fldChar w:fldCharType="end"/>
      </w:r>
      <w:bookmarkEnd w:id="6"/>
    </w:p>
    <w:p w14:paraId="43072ED2" w14:textId="77777777" w:rsidR="00D301DC" w:rsidRDefault="00D301DC">
      <w:pPr>
        <w:spacing w:line="360" w:lineRule="auto"/>
        <w:jc w:val="both"/>
      </w:pPr>
    </w:p>
    <w:sectPr w:rsidR="00D301DC" w:rsidSect="00BD7A2A">
      <w:footerReference w:type="default" r:id="rId18"/>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7F8CF" w14:textId="77777777" w:rsidR="00AB2FED" w:rsidRDefault="00AB2FED">
      <w:r>
        <w:separator/>
      </w:r>
    </w:p>
  </w:endnote>
  <w:endnote w:type="continuationSeparator" w:id="0">
    <w:p w14:paraId="2113A6CD" w14:textId="77777777" w:rsidR="00AB2FED" w:rsidRDefault="00AB2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099768"/>
      <w:docPartObj>
        <w:docPartGallery w:val="AutoText"/>
      </w:docPartObj>
    </w:sdtPr>
    <w:sdtContent>
      <w:sdt>
        <w:sdtPr>
          <w:id w:val="-1769616900"/>
          <w:docPartObj>
            <w:docPartGallery w:val="AutoText"/>
          </w:docPartObj>
        </w:sdtPr>
        <w:sdtContent>
          <w:p w14:paraId="5C5C8599" w14:textId="77777777" w:rsidR="001E58B4" w:rsidRDefault="00000000">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39</w:t>
            </w:r>
            <w:r>
              <w:rPr>
                <w:b/>
                <w:bCs/>
                <w:sz w:val="24"/>
                <w:szCs w:val="24"/>
              </w:rPr>
              <w:fldChar w:fldCharType="end"/>
            </w:r>
          </w:p>
        </w:sdtContent>
      </w:sdt>
    </w:sdtContent>
  </w:sdt>
  <w:p w14:paraId="647E1C51" w14:textId="77777777" w:rsidR="001E58B4" w:rsidRDefault="001E58B4">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74F0CD36" w14:textId="77777777" w:rsidR="00000000" w:rsidRDefault="00000000" w:rsidP="00134D22">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54FD96D0" w14:textId="77777777" w:rsidR="00000000" w:rsidRDefault="0000000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AFF2E" w14:textId="77777777" w:rsidR="00AB2FED" w:rsidRDefault="00AB2FED">
      <w:r>
        <w:separator/>
      </w:r>
    </w:p>
  </w:footnote>
  <w:footnote w:type="continuationSeparator" w:id="0">
    <w:p w14:paraId="20813E7F" w14:textId="77777777" w:rsidR="00AB2FED" w:rsidRDefault="00AB2F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zA5MWFlZGQ5ZmE1ZmI5NWQyYTI4MjM4M2JkYWMxMjYifQ=="/>
  </w:docVars>
  <w:rsids>
    <w:rsidRoot w:val="00A77B3E"/>
    <w:rsid w:val="000A37B1"/>
    <w:rsid w:val="00177A90"/>
    <w:rsid w:val="001A25C6"/>
    <w:rsid w:val="001C0DE9"/>
    <w:rsid w:val="001E58B4"/>
    <w:rsid w:val="00215706"/>
    <w:rsid w:val="00327C1E"/>
    <w:rsid w:val="00370EFD"/>
    <w:rsid w:val="00432707"/>
    <w:rsid w:val="00466C3C"/>
    <w:rsid w:val="00495BAE"/>
    <w:rsid w:val="004D7B60"/>
    <w:rsid w:val="00527C5C"/>
    <w:rsid w:val="00757866"/>
    <w:rsid w:val="00797841"/>
    <w:rsid w:val="008B3FD1"/>
    <w:rsid w:val="00A25DF9"/>
    <w:rsid w:val="00A77B3E"/>
    <w:rsid w:val="00AB2FED"/>
    <w:rsid w:val="00B14B47"/>
    <w:rsid w:val="00BA456C"/>
    <w:rsid w:val="00C37845"/>
    <w:rsid w:val="00CA2A55"/>
    <w:rsid w:val="00D301DC"/>
    <w:rsid w:val="00D86D69"/>
    <w:rsid w:val="00DC5434"/>
    <w:rsid w:val="00E94F13"/>
    <w:rsid w:val="0815718F"/>
    <w:rsid w:val="190E75E2"/>
    <w:rsid w:val="6F013B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45720F"/>
  <w15:docId w15:val="{23FE9C9E-8D1C-4BEB-9B30-BC0637775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character" w:customStyle="1" w:styleId="a6">
    <w:name w:val="页眉 字符"/>
    <w:basedOn w:val="a0"/>
    <w:link w:val="a5"/>
    <w:qFormat/>
    <w:rPr>
      <w:sz w:val="18"/>
      <w:szCs w:val="18"/>
    </w:rPr>
  </w:style>
  <w:style w:type="character" w:customStyle="1" w:styleId="a4">
    <w:name w:val="页脚 字符"/>
    <w:basedOn w:val="a0"/>
    <w:link w:val="a3"/>
    <w:uiPriority w:val="99"/>
    <w:qFormat/>
    <w:rPr>
      <w:sz w:val="18"/>
      <w:szCs w:val="18"/>
    </w:rPr>
  </w:style>
  <w:style w:type="paragraph" w:customStyle="1" w:styleId="1">
    <w:name w:val="修订1"/>
    <w:hidden/>
    <w:uiPriority w:val="99"/>
    <w:semiHidden/>
    <w:qFormat/>
    <w:rPr>
      <w:sz w:val="24"/>
      <w:szCs w:val="24"/>
      <w:lang w:eastAsia="en-US"/>
    </w:rPr>
  </w:style>
  <w:style w:type="paragraph" w:styleId="a7">
    <w:name w:val="Revision"/>
    <w:hidden/>
    <w:uiPriority w:val="99"/>
    <w:unhideWhenUsed/>
    <w:rsid w:val="00370EFD"/>
    <w:rPr>
      <w:sz w:val="24"/>
      <w:szCs w:val="24"/>
      <w:lang w:eastAsia="en-US"/>
    </w:rPr>
  </w:style>
  <w:style w:type="character" w:styleId="a8">
    <w:name w:val="Hyperlink"/>
    <w:basedOn w:val="a0"/>
    <w:rsid w:val="00D301DC"/>
    <w:rPr>
      <w:color w:val="0000FF" w:themeColor="hyperlink"/>
      <w:u w:val="single"/>
    </w:rPr>
  </w:style>
  <w:style w:type="character" w:styleId="a9">
    <w:name w:val="Unresolved Mention"/>
    <w:basedOn w:val="a0"/>
    <w:uiPriority w:val="99"/>
    <w:semiHidden/>
    <w:unhideWhenUsed/>
    <w:rsid w:val="00D30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9/i29/4557.htm"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D0555-745D-480C-B8C6-A10D1F3CA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9437</Words>
  <Characters>53796</Characters>
  <Application>Microsoft Office Word</Application>
  <DocSecurity>0</DocSecurity>
  <Lines>448</Lines>
  <Paragraphs>126</Paragraphs>
  <ScaleCrop>false</ScaleCrop>
  <Company/>
  <LinksUpToDate>false</LinksUpToDate>
  <CharactersWithSpaces>63107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 Jia-Hui</cp:lastModifiedBy>
  <cp:revision>21</cp:revision>
  <dcterms:created xsi:type="dcterms:W3CDTF">2023-07-18T02:48:00Z</dcterms:created>
  <dcterms:modified xsi:type="dcterms:W3CDTF">2023-08-02T04:51:00Z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F8380455465E4345BB74E3583C7C068A_12</vt:lpwstr>
  </property>
</Properties>
</file>