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3C00"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rPr>
        <w:t xml:space="preserve">Name of Journal: </w:t>
      </w:r>
      <w:r w:rsidRPr="00694F4E">
        <w:rPr>
          <w:rFonts w:ascii="Book Antiqua" w:eastAsia="Book Antiqua" w:hAnsi="Book Antiqua" w:cs="Book Antiqua"/>
          <w:i/>
        </w:rPr>
        <w:t>World Journal of Gastrointestinal Oncology</w:t>
      </w:r>
    </w:p>
    <w:p w14:paraId="2755C60F"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rPr>
        <w:t xml:space="preserve">Manuscript NO: </w:t>
      </w:r>
      <w:r w:rsidRPr="00694F4E">
        <w:rPr>
          <w:rFonts w:ascii="Book Antiqua" w:eastAsia="Book Antiqua" w:hAnsi="Book Antiqua" w:cs="Book Antiqua"/>
        </w:rPr>
        <w:t>86048</w:t>
      </w:r>
    </w:p>
    <w:p w14:paraId="209C032B"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rPr>
        <w:t xml:space="preserve">Manuscript Type: </w:t>
      </w:r>
      <w:r w:rsidRPr="00694F4E">
        <w:rPr>
          <w:rFonts w:ascii="Book Antiqua" w:eastAsia="Book Antiqua" w:hAnsi="Book Antiqua" w:cs="Book Antiqua"/>
        </w:rPr>
        <w:t>ORIGINAL ARTICLE</w:t>
      </w:r>
    </w:p>
    <w:p w14:paraId="1C325AAC" w14:textId="77777777" w:rsidR="00A77B3E" w:rsidRPr="00694F4E" w:rsidRDefault="00A77B3E" w:rsidP="00A62589">
      <w:pPr>
        <w:spacing w:line="360" w:lineRule="auto"/>
        <w:jc w:val="both"/>
        <w:rPr>
          <w:rFonts w:ascii="Book Antiqua" w:hAnsi="Book Antiqua"/>
        </w:rPr>
      </w:pPr>
    </w:p>
    <w:p w14:paraId="52CD27FD"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rPr>
        <w:t>Retrospective Cohort Study</w:t>
      </w:r>
    </w:p>
    <w:p w14:paraId="2383F4E5" w14:textId="577D3BB1" w:rsidR="00A77B3E" w:rsidRPr="00694F4E" w:rsidRDefault="00FB79D2" w:rsidP="00A62589">
      <w:pPr>
        <w:spacing w:line="360" w:lineRule="auto"/>
        <w:jc w:val="both"/>
        <w:rPr>
          <w:rFonts w:ascii="Book Antiqua" w:hAnsi="Book Antiqua"/>
          <w:b/>
        </w:rPr>
      </w:pPr>
      <w:r w:rsidRPr="00694F4E">
        <w:rPr>
          <w:rFonts w:ascii="Book Antiqua" w:hAnsi="Book Antiqua" w:cs="Book Antiqua"/>
          <w:b/>
          <w:lang w:eastAsia="zh-CN"/>
        </w:rPr>
        <w:t>I</w:t>
      </w:r>
      <w:r w:rsidRPr="00694F4E">
        <w:rPr>
          <w:rFonts w:ascii="Book Antiqua" w:eastAsia="Book Antiqua" w:hAnsi="Book Antiqua" w:cs="Book Antiqua"/>
          <w:b/>
        </w:rPr>
        <w:t>ncidence</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and</w:t>
      </w:r>
      <w:r w:rsidR="00D157AA" w:rsidRPr="00694F4E">
        <w:rPr>
          <w:rFonts w:ascii="Book Antiqua" w:eastAsia="Book Antiqua" w:hAnsi="Book Antiqua" w:cs="Book Antiqua"/>
          <w:b/>
          <w:color w:val="000000"/>
        </w:rPr>
        <w:t xml:space="preserve"> </w:t>
      </w:r>
      <w:r w:rsidRPr="00694F4E">
        <w:rPr>
          <w:rFonts w:ascii="Book Antiqua" w:eastAsia="Book Antiqua" w:hAnsi="Book Antiqua" w:cs="Book Antiqua"/>
          <w:b/>
        </w:rPr>
        <w:t>prevalence</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of</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g</w:t>
      </w:r>
      <w:r w:rsidRPr="00694F4E">
        <w:rPr>
          <w:rFonts w:ascii="Book Antiqua" w:eastAsia="Book Antiqua" w:hAnsi="Book Antiqua" w:cs="Book Antiqua"/>
          <w:b/>
          <w:color w:val="000000"/>
        </w:rPr>
        <w:t>astric neuroendocrine tumors</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in</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patients</w:t>
      </w:r>
      <w:r w:rsidR="00D157AA" w:rsidRPr="00694F4E">
        <w:rPr>
          <w:rFonts w:ascii="Book Antiqua" w:eastAsia="Book Antiqua" w:hAnsi="Book Antiqua" w:cs="Book Antiqua"/>
          <w:b/>
          <w:color w:val="000000"/>
        </w:rPr>
        <w:t xml:space="preserve"> </w:t>
      </w:r>
      <w:r w:rsidRPr="00694F4E">
        <w:rPr>
          <w:rFonts w:ascii="Book Antiqua" w:hAnsi="Book Antiqua" w:cs="Book Antiqua"/>
          <w:b/>
          <w:color w:val="000000"/>
          <w:lang w:eastAsia="zh-CN"/>
        </w:rPr>
        <w:t>with</w:t>
      </w:r>
      <w:r w:rsidR="00D157AA" w:rsidRPr="00694F4E">
        <w:rPr>
          <w:rFonts w:ascii="Book Antiqua" w:eastAsia="Book Antiqua" w:hAnsi="Book Antiqua" w:cs="Book Antiqua"/>
          <w:b/>
          <w:color w:val="000000"/>
        </w:rPr>
        <w:t xml:space="preserve"> </w:t>
      </w:r>
      <w:r w:rsidRPr="00694F4E">
        <w:rPr>
          <w:rFonts w:ascii="Book Antiqua" w:eastAsia="Book Antiqua" w:hAnsi="Book Antiqua" w:cs="Book Antiqua"/>
          <w:b/>
        </w:rPr>
        <w:t>chronic</w:t>
      </w:r>
      <w:r w:rsidR="00D157AA" w:rsidRPr="00694F4E">
        <w:rPr>
          <w:rFonts w:ascii="Book Antiqua" w:eastAsia="Book Antiqua" w:hAnsi="Book Antiqua" w:cs="Book Antiqua"/>
          <w:b/>
          <w:color w:val="000000"/>
        </w:rPr>
        <w:t xml:space="preserve"> </w:t>
      </w:r>
      <w:r w:rsidRPr="00694F4E">
        <w:rPr>
          <w:rFonts w:ascii="Book Antiqua" w:hAnsi="Book Antiqua" w:cs="Book Antiqua"/>
          <w:b/>
          <w:lang w:eastAsia="zh-CN"/>
        </w:rPr>
        <w:t>a</w:t>
      </w:r>
      <w:r w:rsidRPr="00694F4E">
        <w:rPr>
          <w:rFonts w:ascii="Book Antiqua" w:eastAsia="Book Antiqua" w:hAnsi="Book Antiqua" w:cs="Book Antiqua"/>
          <w:b/>
        </w:rPr>
        <w:t>trophic autoimmune</w:t>
      </w:r>
      <w:r w:rsidR="00D157AA" w:rsidRPr="00694F4E">
        <w:rPr>
          <w:rFonts w:ascii="Book Antiqua" w:eastAsia="Book Antiqua" w:hAnsi="Book Antiqua" w:cs="Book Antiqua"/>
          <w:b/>
          <w:color w:val="000000"/>
        </w:rPr>
        <w:t xml:space="preserve"> </w:t>
      </w:r>
      <w:r w:rsidRPr="00694F4E">
        <w:rPr>
          <w:rFonts w:ascii="Book Antiqua" w:eastAsia="Book Antiqua" w:hAnsi="Book Antiqua" w:cs="Book Antiqua"/>
          <w:b/>
        </w:rPr>
        <w:t xml:space="preserve">gastritis </w:t>
      </w:r>
    </w:p>
    <w:p w14:paraId="1856C2D2" w14:textId="7EB129CB" w:rsidR="00A77B3E" w:rsidRPr="00694F4E" w:rsidRDefault="00A77B3E" w:rsidP="00A62589">
      <w:pPr>
        <w:spacing w:line="360" w:lineRule="auto"/>
        <w:jc w:val="both"/>
        <w:rPr>
          <w:rFonts w:ascii="Book Antiqua" w:hAnsi="Book Antiqua"/>
        </w:rPr>
      </w:pPr>
    </w:p>
    <w:p w14:paraId="537CACA8" w14:textId="6020645F" w:rsidR="00A77B3E" w:rsidRPr="00694F4E" w:rsidRDefault="00095237" w:rsidP="00A62589">
      <w:pPr>
        <w:spacing w:line="360" w:lineRule="auto"/>
        <w:jc w:val="both"/>
        <w:rPr>
          <w:rFonts w:ascii="Book Antiqua" w:hAnsi="Book Antiqua"/>
          <w:lang w:eastAsia="zh-CN"/>
        </w:rPr>
      </w:pPr>
      <w:r w:rsidRPr="00694F4E">
        <w:rPr>
          <w:rFonts w:ascii="Book Antiqua" w:eastAsia="Book Antiqua" w:hAnsi="Book Antiqua" w:cs="Book Antiqua"/>
          <w:color w:val="000000"/>
        </w:rPr>
        <w:t xml:space="preserve">Massironi </w:t>
      </w:r>
      <w:r w:rsidRPr="00694F4E">
        <w:rPr>
          <w:rFonts w:ascii="Book Antiqua" w:hAnsi="Book Antiqua" w:cs="Book Antiqua"/>
          <w:color w:val="000000"/>
          <w:lang w:eastAsia="zh-CN"/>
        </w:rPr>
        <w:t xml:space="preserve">S </w:t>
      </w:r>
      <w:r w:rsidRPr="00694F4E">
        <w:rPr>
          <w:rFonts w:ascii="Book Antiqua" w:hAnsi="Book Antiqua" w:cs="Book Antiqua"/>
          <w:i/>
          <w:color w:val="000000"/>
          <w:lang w:eastAsia="zh-CN"/>
        </w:rPr>
        <w:t>et al</w:t>
      </w:r>
      <w:r w:rsidRPr="00694F4E">
        <w:rPr>
          <w:rFonts w:ascii="Book Antiqua" w:hAnsi="Book Antiqua" w:cs="Book Antiqua"/>
          <w:color w:val="000000"/>
          <w:lang w:eastAsia="zh-CN"/>
        </w:rPr>
        <w:t xml:space="preserve">. </w:t>
      </w:r>
      <w:r w:rsidR="00D157AA" w:rsidRPr="00694F4E">
        <w:rPr>
          <w:rFonts w:ascii="Book Antiqua" w:eastAsia="Book Antiqua" w:hAnsi="Book Antiqua" w:cs="Book Antiqua"/>
          <w:color w:val="000000"/>
        </w:rPr>
        <w:t>Gastric neuroendocrine tumors in autoimmune gastritis</w:t>
      </w:r>
    </w:p>
    <w:p w14:paraId="70F895F9" w14:textId="77777777" w:rsidR="00A77B3E" w:rsidRPr="00694F4E" w:rsidRDefault="00A77B3E" w:rsidP="00A62589">
      <w:pPr>
        <w:spacing w:line="360" w:lineRule="auto"/>
        <w:jc w:val="both"/>
        <w:rPr>
          <w:rFonts w:ascii="Book Antiqua" w:hAnsi="Book Antiqua"/>
        </w:rPr>
      </w:pPr>
    </w:p>
    <w:p w14:paraId="0B9E75B6"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Sara Massironi, Camilla Gallo, Alessandra Elvevi, Marta Stegagnini, Lorenzo Andrea Coltro, Pietro Invernizzi</w:t>
      </w:r>
    </w:p>
    <w:p w14:paraId="59166B28" w14:textId="77777777" w:rsidR="00A77B3E" w:rsidRPr="00694F4E" w:rsidRDefault="00A77B3E" w:rsidP="00A62589">
      <w:pPr>
        <w:spacing w:line="360" w:lineRule="auto"/>
        <w:jc w:val="both"/>
        <w:rPr>
          <w:rFonts w:ascii="Book Antiqua" w:hAnsi="Book Antiqua"/>
        </w:rPr>
      </w:pPr>
    </w:p>
    <w:p w14:paraId="4C19C588" w14:textId="1288C05A"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color w:val="000000"/>
        </w:rPr>
        <w:t xml:space="preserve">Sara Massironi, Camilla Gallo, Alessandra Elvevi, Marta Stegagnini, Lorenzo Andrea Coltro, Pietro Invernizzi, </w:t>
      </w:r>
      <w:r w:rsidRPr="00694F4E">
        <w:rPr>
          <w:rFonts w:ascii="Book Antiqua" w:eastAsia="Book Antiqua" w:hAnsi="Book Antiqua" w:cs="Book Antiqua"/>
          <w:color w:val="000000"/>
        </w:rPr>
        <w:t>Division of Gastroenterology, Fondazione IRCCS San Gerardo dei Tintori, University of Milano-Bicocca</w:t>
      </w:r>
      <w:r w:rsidR="006E5646" w:rsidRPr="00694F4E">
        <w:rPr>
          <w:rFonts w:ascii="Book Antiqua" w:eastAsia="Book Antiqua" w:hAnsi="Book Antiqua" w:cs="Book Antiqua"/>
          <w:color w:val="000000"/>
        </w:rPr>
        <w:t>,</w:t>
      </w:r>
      <w:r w:rsidRPr="00694F4E">
        <w:rPr>
          <w:rFonts w:ascii="Book Antiqua" w:eastAsia="Book Antiqua" w:hAnsi="Book Antiqua" w:cs="Book Antiqua"/>
          <w:color w:val="000000"/>
        </w:rPr>
        <w:t xml:space="preserve"> School of Medicine, Monza 20900, Italy</w:t>
      </w:r>
    </w:p>
    <w:p w14:paraId="13BBD0BE" w14:textId="77777777" w:rsidR="00A77B3E" w:rsidRPr="00694F4E" w:rsidRDefault="00A77B3E" w:rsidP="00A62589">
      <w:pPr>
        <w:spacing w:line="360" w:lineRule="auto"/>
        <w:jc w:val="both"/>
        <w:rPr>
          <w:rFonts w:ascii="Book Antiqua" w:hAnsi="Book Antiqua"/>
        </w:rPr>
      </w:pPr>
    </w:p>
    <w:p w14:paraId="2743D6CD" w14:textId="66C42E7D"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color w:val="000000"/>
        </w:rPr>
        <w:t xml:space="preserve">Author contributions: </w:t>
      </w:r>
      <w:r w:rsidR="00904B97" w:rsidRPr="00694F4E">
        <w:rPr>
          <w:rFonts w:ascii="Book Antiqua" w:eastAsia="Book Antiqua" w:hAnsi="Book Antiqua" w:cs="Book Antiqua"/>
          <w:color w:val="000000"/>
        </w:rPr>
        <w:t xml:space="preserve">Massironi </w:t>
      </w:r>
      <w:r w:rsidRPr="00694F4E">
        <w:rPr>
          <w:rFonts w:ascii="Book Antiqua" w:eastAsia="Book Antiqua" w:hAnsi="Book Antiqua" w:cs="Book Antiqua"/>
          <w:color w:val="000000"/>
        </w:rPr>
        <w:t xml:space="preserve">S supervised the whole article preparation process, </w:t>
      </w:r>
      <w:r w:rsidRPr="00694F4E">
        <w:rPr>
          <w:rFonts w:ascii="Book Antiqua" w:eastAsia="Book Antiqua" w:hAnsi="Book Antiqua" w:cs="Book Antiqua"/>
          <w:color w:val="000000"/>
          <w:shd w:val="clear" w:color="auto" w:fill="FFFFFF"/>
        </w:rPr>
        <w:t>revised the manuscript</w:t>
      </w:r>
      <w:r w:rsidR="006E5646" w:rsidRPr="00694F4E">
        <w:rPr>
          <w:rFonts w:ascii="Book Antiqua" w:eastAsia="Book Antiqua" w:hAnsi="Book Antiqua" w:cs="Book Antiqua"/>
          <w:color w:val="000000"/>
          <w:shd w:val="clear" w:color="auto" w:fill="FFFFFF"/>
        </w:rPr>
        <w:t>,</w:t>
      </w:r>
      <w:r w:rsidR="00904B97"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 xml:space="preserve">and performed most of </w:t>
      </w:r>
      <w:r w:rsidR="006E5646" w:rsidRPr="00694F4E">
        <w:rPr>
          <w:rFonts w:ascii="Book Antiqua" w:eastAsia="Book Antiqua" w:hAnsi="Book Antiqua" w:cs="Book Antiqua"/>
          <w:color w:val="000000"/>
          <w:shd w:val="clear" w:color="auto" w:fill="FFFFFF"/>
        </w:rPr>
        <w:t xml:space="preserve">the </w:t>
      </w:r>
      <w:r w:rsidRPr="00694F4E">
        <w:rPr>
          <w:rFonts w:ascii="Book Antiqua" w:eastAsia="Book Antiqua" w:hAnsi="Book Antiqua" w:cs="Book Antiqua"/>
          <w:color w:val="000000"/>
          <w:shd w:val="clear" w:color="auto" w:fill="FFFFFF"/>
        </w:rPr>
        <w:t xml:space="preserve">data analysis; </w:t>
      </w:r>
      <w:r w:rsidR="00904B97" w:rsidRPr="00694F4E">
        <w:rPr>
          <w:rFonts w:ascii="Book Antiqua" w:eastAsia="Book Antiqua" w:hAnsi="Book Antiqua" w:cs="Book Antiqua"/>
          <w:color w:val="000000"/>
        </w:rPr>
        <w:t>Gallo</w:t>
      </w:r>
      <w:r w:rsidR="00904B97" w:rsidRPr="00694F4E">
        <w:rPr>
          <w:rFonts w:ascii="Book Antiqua" w:hAnsi="Book Antiqua" w:cs="Book Antiqua"/>
          <w:color w:val="000000"/>
          <w:lang w:eastAsia="zh-CN"/>
        </w:rPr>
        <w:t xml:space="preserve"> C</w:t>
      </w:r>
      <w:r w:rsidRPr="00694F4E">
        <w:rPr>
          <w:rFonts w:ascii="Book Antiqua" w:eastAsia="Book Antiqua" w:hAnsi="Book Antiqua" w:cs="Book Antiqua"/>
          <w:color w:val="000000"/>
          <w:shd w:val="clear" w:color="auto" w:fill="FFFFFF"/>
        </w:rPr>
        <w:t xml:space="preserve"> wrote the manuscript, </w:t>
      </w:r>
      <w:r w:rsidR="00540F41" w:rsidRPr="00694F4E">
        <w:rPr>
          <w:rFonts w:ascii="Book Antiqua" w:eastAsia="Book Antiqua" w:hAnsi="Book Antiqua" w:cs="Book Antiqua"/>
          <w:color w:val="000000"/>
          <w:shd w:val="clear" w:color="auto" w:fill="FFFFFF"/>
        </w:rPr>
        <w:t xml:space="preserve">created </w:t>
      </w:r>
      <w:r w:rsidRPr="00694F4E">
        <w:rPr>
          <w:rFonts w:ascii="Book Antiqua" w:eastAsia="Book Antiqua" w:hAnsi="Book Antiqua" w:cs="Book Antiqua"/>
          <w:color w:val="000000"/>
          <w:shd w:val="clear" w:color="auto" w:fill="FFFFFF"/>
        </w:rPr>
        <w:t>the figure and tables, revised the whole article</w:t>
      </w:r>
      <w:r w:rsidR="006E5646"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and contributed to data analysis; </w:t>
      </w:r>
      <w:r w:rsidR="00904B97" w:rsidRPr="00694F4E">
        <w:rPr>
          <w:rFonts w:ascii="Book Antiqua" w:eastAsia="Book Antiqua" w:hAnsi="Book Antiqua" w:cs="Book Antiqua"/>
          <w:color w:val="000000"/>
        </w:rPr>
        <w:t>Elvevi</w:t>
      </w:r>
      <w:r w:rsidR="00904B97"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 xml:space="preserve">A contributed to </w:t>
      </w:r>
      <w:r w:rsidR="00540F41" w:rsidRPr="00694F4E">
        <w:rPr>
          <w:rFonts w:ascii="Book Antiqua" w:eastAsia="Book Antiqua" w:hAnsi="Book Antiqua" w:cs="Book Antiqua"/>
          <w:color w:val="000000"/>
          <w:shd w:val="clear" w:color="auto" w:fill="FFFFFF"/>
        </w:rPr>
        <w:t xml:space="preserve">writing </w:t>
      </w:r>
      <w:r w:rsidRPr="00694F4E">
        <w:rPr>
          <w:rFonts w:ascii="Book Antiqua" w:eastAsia="Book Antiqua" w:hAnsi="Book Antiqua" w:cs="Book Antiqua"/>
          <w:color w:val="000000"/>
          <w:shd w:val="clear" w:color="auto" w:fill="FFFFFF"/>
        </w:rPr>
        <w:t xml:space="preserve">the manuscript and revised the article; </w:t>
      </w:r>
      <w:r w:rsidR="00904B97" w:rsidRPr="00694F4E">
        <w:rPr>
          <w:rFonts w:ascii="Book Antiqua" w:eastAsia="Book Antiqua" w:hAnsi="Book Antiqua" w:cs="Book Antiqua"/>
          <w:color w:val="000000"/>
        </w:rPr>
        <w:t>Stegagnini</w:t>
      </w:r>
      <w:r w:rsidR="00904B97" w:rsidRPr="00694F4E">
        <w:rPr>
          <w:rFonts w:ascii="Book Antiqua" w:hAnsi="Book Antiqua" w:cs="Book Antiqua"/>
          <w:color w:val="000000"/>
          <w:lang w:eastAsia="zh-CN"/>
        </w:rPr>
        <w:t xml:space="preserve"> M</w:t>
      </w:r>
      <w:r w:rsidRPr="00694F4E">
        <w:rPr>
          <w:rFonts w:ascii="Book Antiqua" w:eastAsia="Book Antiqua" w:hAnsi="Book Antiqua" w:cs="Book Antiqua"/>
          <w:color w:val="000000"/>
          <w:shd w:val="clear" w:color="auto" w:fill="FFFFFF"/>
        </w:rPr>
        <w:t xml:space="preserve"> contributed to </w:t>
      </w:r>
      <w:r w:rsidR="00540F41" w:rsidRPr="00694F4E">
        <w:rPr>
          <w:rFonts w:ascii="Book Antiqua" w:eastAsia="Book Antiqua" w:hAnsi="Book Antiqua" w:cs="Book Antiqua"/>
          <w:color w:val="000000"/>
          <w:shd w:val="clear" w:color="auto" w:fill="FFFFFF"/>
        </w:rPr>
        <w:t xml:space="preserve">writing </w:t>
      </w:r>
      <w:r w:rsidRPr="00694F4E">
        <w:rPr>
          <w:rFonts w:ascii="Book Antiqua" w:eastAsia="Book Antiqua" w:hAnsi="Book Antiqua" w:cs="Book Antiqua"/>
          <w:color w:val="000000"/>
          <w:shd w:val="clear" w:color="auto" w:fill="FFFFFF"/>
        </w:rPr>
        <w:t>the manuscript and check</w:t>
      </w:r>
      <w:r w:rsidR="00540F41" w:rsidRPr="00694F4E">
        <w:rPr>
          <w:rFonts w:ascii="Book Antiqua" w:eastAsia="Book Antiqua" w:hAnsi="Book Antiqua" w:cs="Book Antiqua"/>
          <w:color w:val="000000"/>
          <w:shd w:val="clear" w:color="auto" w:fill="FFFFFF"/>
        </w:rPr>
        <w:t>ing</w:t>
      </w:r>
      <w:r w:rsidRPr="00694F4E">
        <w:rPr>
          <w:rFonts w:ascii="Book Antiqua" w:eastAsia="Book Antiqua" w:hAnsi="Book Antiqua" w:cs="Book Antiqua"/>
          <w:color w:val="000000"/>
          <w:shd w:val="clear" w:color="auto" w:fill="FFFFFF"/>
        </w:rPr>
        <w:t xml:space="preserve"> the references; </w:t>
      </w:r>
      <w:r w:rsidR="00904B97" w:rsidRPr="00694F4E">
        <w:rPr>
          <w:rFonts w:ascii="Book Antiqua" w:eastAsia="Book Antiqua" w:hAnsi="Book Antiqua" w:cs="Book Antiqua"/>
          <w:color w:val="000000"/>
        </w:rPr>
        <w:t>Coltro</w:t>
      </w:r>
      <w:r w:rsidR="00904B97"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L</w:t>
      </w:r>
      <w:r w:rsidR="00904B97" w:rsidRPr="00694F4E">
        <w:rPr>
          <w:rFonts w:ascii="Book Antiqua" w:hAnsi="Book Antiqua" w:cs="Book Antiqua"/>
          <w:color w:val="000000"/>
          <w:shd w:val="clear" w:color="auto" w:fill="FFFFFF"/>
          <w:lang w:eastAsia="zh-CN"/>
        </w:rPr>
        <w:t>A</w:t>
      </w:r>
      <w:r w:rsidRPr="00694F4E">
        <w:rPr>
          <w:rFonts w:ascii="Book Antiqua" w:eastAsia="Book Antiqua" w:hAnsi="Book Antiqua" w:cs="Book Antiqua"/>
          <w:color w:val="000000"/>
          <w:shd w:val="clear" w:color="auto" w:fill="FFFFFF"/>
        </w:rPr>
        <w:t xml:space="preserve"> contributed to data analysis; </w:t>
      </w:r>
      <w:r w:rsidR="001D064E" w:rsidRPr="00694F4E">
        <w:rPr>
          <w:rFonts w:ascii="Book Antiqua" w:eastAsia="Book Antiqua" w:hAnsi="Book Antiqua" w:cs="Book Antiqua"/>
          <w:color w:val="000000"/>
        </w:rPr>
        <w:t>Invernizzi</w:t>
      </w:r>
      <w:r w:rsidR="001D064E"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P revised the entire article preparation process.</w:t>
      </w:r>
    </w:p>
    <w:p w14:paraId="5D2B19B1" w14:textId="77777777" w:rsidR="00880C1E" w:rsidRPr="00694F4E" w:rsidRDefault="00880C1E" w:rsidP="00A62589">
      <w:pPr>
        <w:spacing w:line="360" w:lineRule="auto"/>
        <w:jc w:val="both"/>
        <w:rPr>
          <w:rFonts w:ascii="Book Antiqua" w:hAnsi="Book Antiqua"/>
          <w:lang w:eastAsia="zh-CN"/>
        </w:rPr>
      </w:pPr>
    </w:p>
    <w:p w14:paraId="02393D00" w14:textId="5217A604"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color w:val="000000"/>
        </w:rPr>
        <w:t xml:space="preserve">Corresponding author: Sara Massironi, MD, PhD, Chief Physician, Doctor, Medical Assistant, Research Scientist, </w:t>
      </w:r>
      <w:r w:rsidRPr="00694F4E">
        <w:rPr>
          <w:rFonts w:ascii="Book Antiqua" w:eastAsia="Book Antiqua" w:hAnsi="Book Antiqua" w:cs="Book Antiqua"/>
          <w:color w:val="000000"/>
        </w:rPr>
        <w:t xml:space="preserve">Division of Gastroenterology, Fondazione IRCCS San Gerardo dei Tintori, University of Milano-Bicocca School </w:t>
      </w:r>
      <w:r w:rsidR="006F2ED2" w:rsidRPr="00694F4E">
        <w:rPr>
          <w:rFonts w:ascii="Book Antiqua" w:eastAsia="Book Antiqua" w:hAnsi="Book Antiqua" w:cs="Book Antiqua"/>
          <w:color w:val="000000"/>
        </w:rPr>
        <w:t>of Medicine, Via G.B. Pergolesi</w:t>
      </w:r>
      <w:r w:rsidRPr="00694F4E">
        <w:rPr>
          <w:rFonts w:ascii="Book Antiqua" w:eastAsia="Book Antiqua" w:hAnsi="Book Antiqua" w:cs="Book Antiqua"/>
          <w:color w:val="000000"/>
        </w:rPr>
        <w:t xml:space="preserve"> 33, Monza 20900, Italy. sara.massironi@libero.it</w:t>
      </w:r>
    </w:p>
    <w:p w14:paraId="68E5E145" w14:textId="77777777" w:rsidR="00A77B3E" w:rsidRPr="00694F4E" w:rsidRDefault="00A77B3E" w:rsidP="00A62589">
      <w:pPr>
        <w:spacing w:line="360" w:lineRule="auto"/>
        <w:jc w:val="both"/>
        <w:rPr>
          <w:rFonts w:ascii="Book Antiqua" w:hAnsi="Book Antiqua"/>
        </w:rPr>
      </w:pPr>
    </w:p>
    <w:p w14:paraId="55FFFDB7"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lastRenderedPageBreak/>
        <w:t xml:space="preserve">Received: </w:t>
      </w:r>
      <w:r w:rsidRPr="00694F4E">
        <w:rPr>
          <w:rFonts w:ascii="Book Antiqua" w:eastAsia="Book Antiqua" w:hAnsi="Book Antiqua" w:cs="Book Antiqua"/>
        </w:rPr>
        <w:t>June 4, 2023</w:t>
      </w:r>
    </w:p>
    <w:p w14:paraId="58B54AAB" w14:textId="21111CC6"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Revised: </w:t>
      </w:r>
      <w:r w:rsidR="005616F0" w:rsidRPr="00694F4E">
        <w:rPr>
          <w:rFonts w:ascii="Book Antiqua" w:hAnsi="Book Antiqua"/>
        </w:rPr>
        <w:t>June 23, 2023</w:t>
      </w:r>
    </w:p>
    <w:p w14:paraId="3DFE5F42" w14:textId="72100E86"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Accepted: </w:t>
      </w:r>
      <w:r w:rsidR="003C0337" w:rsidRPr="00694F4E">
        <w:rPr>
          <w:rFonts w:ascii="Book Antiqua" w:eastAsia="Book Antiqua" w:hAnsi="Book Antiqua" w:cs="Book Antiqua"/>
        </w:rPr>
        <w:t>July 7, 2023</w:t>
      </w:r>
    </w:p>
    <w:p w14:paraId="62993859"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Published online: </w:t>
      </w:r>
    </w:p>
    <w:p w14:paraId="2B139237" w14:textId="77777777" w:rsidR="00A77B3E" w:rsidRPr="00694F4E" w:rsidRDefault="00A77B3E" w:rsidP="00A62589">
      <w:pPr>
        <w:spacing w:line="360" w:lineRule="auto"/>
        <w:jc w:val="both"/>
        <w:rPr>
          <w:rFonts w:ascii="Book Antiqua" w:hAnsi="Book Antiqua"/>
        </w:rPr>
        <w:sectPr w:rsidR="00A77B3E" w:rsidRPr="00694F4E">
          <w:footerReference w:type="default" r:id="rId7"/>
          <w:pgSz w:w="12240" w:h="15840"/>
          <w:pgMar w:top="1440" w:right="1440" w:bottom="1440" w:left="1440" w:header="720" w:footer="720" w:gutter="0"/>
          <w:cols w:space="720"/>
          <w:docGrid w:linePitch="360"/>
        </w:sectPr>
      </w:pPr>
    </w:p>
    <w:p w14:paraId="28DD0054"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lastRenderedPageBreak/>
        <w:t>Abstract</w:t>
      </w:r>
    </w:p>
    <w:p w14:paraId="416260C5"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BACKGROUND</w:t>
      </w:r>
    </w:p>
    <w:p w14:paraId="76273FA1" w14:textId="02435308"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 xml:space="preserve">The incidence of </w:t>
      </w:r>
      <w:r w:rsidR="00616B64" w:rsidRPr="00694F4E">
        <w:rPr>
          <w:rFonts w:ascii="Book Antiqua" w:hAnsi="Book Antiqua" w:cs="Book Antiqua"/>
          <w:lang w:eastAsia="zh-CN"/>
        </w:rPr>
        <w:t>t</w:t>
      </w:r>
      <w:r w:rsidR="00616B64" w:rsidRPr="00694F4E">
        <w:rPr>
          <w:rFonts w:ascii="Book Antiqua" w:eastAsia="Book Antiqua" w:hAnsi="Book Antiqua" w:cs="Book Antiqua"/>
          <w:color w:val="000000"/>
          <w:shd w:val="clear" w:color="auto" w:fill="FFFFFF"/>
        </w:rPr>
        <w:t xml:space="preserve">ype I </w:t>
      </w:r>
      <w:r w:rsidR="00616B64" w:rsidRPr="00694F4E">
        <w:rPr>
          <w:rFonts w:ascii="Book Antiqua" w:hAnsi="Book Antiqua" w:cs="Book Antiqua"/>
          <w:color w:val="000000"/>
          <w:shd w:val="clear" w:color="auto" w:fill="FFFFFF"/>
          <w:lang w:eastAsia="zh-CN"/>
        </w:rPr>
        <w:t>g</w:t>
      </w:r>
      <w:r w:rsidR="00616B64" w:rsidRPr="00694F4E">
        <w:rPr>
          <w:rFonts w:ascii="Book Antiqua" w:eastAsia="Book Antiqua" w:hAnsi="Book Antiqua" w:cs="Book Antiqua"/>
          <w:color w:val="000000"/>
          <w:shd w:val="clear" w:color="auto" w:fill="FFFFFF"/>
        </w:rPr>
        <w:t>astric neuroendocrine neoplasms (gNENs)</w:t>
      </w:r>
      <w:r w:rsidRPr="00694F4E">
        <w:rPr>
          <w:rFonts w:ascii="Book Antiqua" w:eastAsia="Book Antiqua" w:hAnsi="Book Antiqua" w:cs="Book Antiqua"/>
        </w:rPr>
        <w:t xml:space="preserve"> has increased significantly over the past 50 years. Although </w:t>
      </w:r>
      <w:r w:rsidR="00C26062" w:rsidRPr="00694F4E">
        <w:rPr>
          <w:rFonts w:ascii="Book Antiqua" w:hAnsi="Book Antiqua"/>
          <w:iCs/>
          <w:lang w:eastAsia="zh-CN"/>
        </w:rPr>
        <w:t>a</w:t>
      </w:r>
      <w:r w:rsidR="00C26062" w:rsidRPr="00694F4E">
        <w:rPr>
          <w:rFonts w:ascii="Book Antiqua" w:hAnsi="Book Antiqua"/>
          <w:iCs/>
        </w:rPr>
        <w:t>uto</w:t>
      </w:r>
      <w:r w:rsidR="009979DF" w:rsidRPr="00694F4E">
        <w:rPr>
          <w:rFonts w:ascii="Book Antiqua" w:hAnsi="Book Antiqua"/>
          <w:iCs/>
          <w:lang w:eastAsia="zh-CN"/>
        </w:rPr>
        <w:t>i</w:t>
      </w:r>
      <w:r w:rsidR="00C26062" w:rsidRPr="00694F4E">
        <w:rPr>
          <w:rFonts w:ascii="Book Antiqua" w:hAnsi="Book Antiqua"/>
          <w:iCs/>
        </w:rPr>
        <w:t xml:space="preserve">mmune </w:t>
      </w:r>
      <w:r w:rsidR="00C26062" w:rsidRPr="00694F4E">
        <w:rPr>
          <w:rFonts w:ascii="Book Antiqua" w:hAnsi="Book Antiqua"/>
          <w:iCs/>
          <w:lang w:eastAsia="zh-CN"/>
        </w:rPr>
        <w:t>g</w:t>
      </w:r>
      <w:r w:rsidR="00C26062" w:rsidRPr="00694F4E">
        <w:rPr>
          <w:rFonts w:ascii="Book Antiqua" w:hAnsi="Book Antiqua"/>
          <w:iCs/>
        </w:rPr>
        <w:t>astritis</w:t>
      </w:r>
      <w:r w:rsidR="00C26062" w:rsidRPr="00694F4E">
        <w:rPr>
          <w:rFonts w:ascii="Book Antiqua" w:eastAsia="Book Antiqua" w:hAnsi="Book Antiqua" w:cs="Book Antiqua"/>
        </w:rPr>
        <w:t xml:space="preserve"> </w:t>
      </w:r>
      <w:r w:rsidR="00C26062" w:rsidRPr="00694F4E">
        <w:rPr>
          <w:rFonts w:ascii="Book Antiqua" w:hAnsi="Book Antiqua" w:cs="Book Antiqua"/>
          <w:lang w:eastAsia="zh-CN"/>
        </w:rPr>
        <w:t>(</w:t>
      </w:r>
      <w:r w:rsidRPr="00694F4E">
        <w:rPr>
          <w:rFonts w:ascii="Book Antiqua" w:eastAsia="Book Antiqua" w:hAnsi="Book Antiqua" w:cs="Book Antiqua"/>
        </w:rPr>
        <w:t>AIG</w:t>
      </w:r>
      <w:r w:rsidR="00C26062" w:rsidRPr="00694F4E">
        <w:rPr>
          <w:rFonts w:ascii="Book Antiqua" w:hAnsi="Book Antiqua" w:cs="Book Antiqua"/>
          <w:lang w:eastAsia="zh-CN"/>
        </w:rPr>
        <w:t>)</w:t>
      </w:r>
      <w:r w:rsidRPr="00694F4E">
        <w:rPr>
          <w:rFonts w:ascii="Book Antiqua" w:eastAsia="Book Antiqua" w:hAnsi="Book Antiqua" w:cs="Book Antiqua"/>
        </w:rPr>
        <w:t xml:space="preserve"> increases the likelihood of developing gNENs, the exact incidence and prevalence of this association remain unclear.</w:t>
      </w:r>
    </w:p>
    <w:p w14:paraId="5AC0EA10" w14:textId="77777777" w:rsidR="00A77B3E" w:rsidRPr="00694F4E" w:rsidRDefault="00A77B3E" w:rsidP="00A62589">
      <w:pPr>
        <w:spacing w:line="360" w:lineRule="auto"/>
        <w:jc w:val="both"/>
        <w:rPr>
          <w:rFonts w:ascii="Book Antiqua" w:hAnsi="Book Antiqua"/>
        </w:rPr>
      </w:pPr>
    </w:p>
    <w:p w14:paraId="35E05B47"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AIM</w:t>
      </w:r>
    </w:p>
    <w:p w14:paraId="7B1A891B" w14:textId="604E5D1A"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To evaluate the incidence and prevalence of type I gNENs in a cohort of patients with a histological diagnosis of AIG</w:t>
      </w:r>
      <w:r w:rsidR="00540F41" w:rsidRPr="00694F4E">
        <w:rPr>
          <w:rFonts w:ascii="Book Antiqua" w:eastAsia="Book Antiqua" w:hAnsi="Book Antiqua" w:cs="Book Antiqua"/>
        </w:rPr>
        <w:t xml:space="preserve">. </w:t>
      </w:r>
    </w:p>
    <w:p w14:paraId="440ADA9A" w14:textId="77777777" w:rsidR="00A77B3E" w:rsidRPr="00694F4E" w:rsidRDefault="00A77B3E" w:rsidP="00A62589">
      <w:pPr>
        <w:spacing w:line="360" w:lineRule="auto"/>
        <w:jc w:val="both"/>
        <w:rPr>
          <w:rFonts w:ascii="Book Antiqua" w:hAnsi="Book Antiqua"/>
        </w:rPr>
      </w:pPr>
    </w:p>
    <w:p w14:paraId="6F712148"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METHODS</w:t>
      </w:r>
    </w:p>
    <w:p w14:paraId="6216B11A" w14:textId="39568D75"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Patients with a histological diagnosis of AIG were enrolled between October 2020 and May 2022</w:t>
      </w:r>
      <w:r w:rsidR="00540F41" w:rsidRPr="00694F4E">
        <w:rPr>
          <w:rFonts w:ascii="Book Antiqua" w:eastAsia="Book Antiqua" w:hAnsi="Book Antiqua" w:cs="Book Antiqua"/>
        </w:rPr>
        <w:t>. C</w:t>
      </w:r>
      <w:r w:rsidRPr="00694F4E">
        <w:rPr>
          <w:rFonts w:ascii="Book Antiqua" w:eastAsia="Book Antiqua" w:hAnsi="Book Antiqua" w:cs="Book Antiqua"/>
        </w:rPr>
        <w:t xml:space="preserve">irculating levels of </w:t>
      </w:r>
      <w:r w:rsidR="00DA157A" w:rsidRPr="00694F4E">
        <w:rPr>
          <w:rFonts w:ascii="Book Antiqua" w:eastAsia="Book Antiqua" w:hAnsi="Book Antiqua" w:cs="Book Antiqua"/>
        </w:rPr>
        <w:t>CgA</w:t>
      </w:r>
      <w:r w:rsidRPr="00694F4E">
        <w:rPr>
          <w:rFonts w:ascii="Book Antiqua" w:eastAsia="Book Antiqua" w:hAnsi="Book Antiqua" w:cs="Book Antiqua"/>
        </w:rPr>
        <w:t xml:space="preserve"> and gastrin were assessed at enrollment. Included patients underwent regular endoscopic follow-up to detect gastric neoplastic lesions, </w:t>
      </w:r>
      <w:r w:rsidR="00540F41" w:rsidRPr="00694F4E">
        <w:rPr>
          <w:rFonts w:ascii="Book Antiqua" w:eastAsia="Book Antiqua" w:hAnsi="Book Antiqua" w:cs="Book Antiqua"/>
        </w:rPr>
        <w:t>enterochromaffin-like (</w:t>
      </w:r>
      <w:r w:rsidR="00DA157A" w:rsidRPr="00694F4E">
        <w:rPr>
          <w:rFonts w:ascii="Book Antiqua" w:eastAsia="Book Antiqua" w:hAnsi="Book Antiqua" w:cs="Book Antiqua"/>
        </w:rPr>
        <w:t>ECL</w:t>
      </w:r>
      <w:r w:rsidR="00540F41" w:rsidRPr="00694F4E">
        <w:rPr>
          <w:rFonts w:ascii="Book Antiqua" w:eastAsia="Book Antiqua" w:hAnsi="Book Antiqua" w:cs="Book Antiqua"/>
        </w:rPr>
        <w:t>)</w:t>
      </w:r>
      <w:r w:rsidRPr="00694F4E">
        <w:rPr>
          <w:rFonts w:ascii="Book Antiqua" w:eastAsia="Book Antiqua" w:hAnsi="Book Antiqua" w:cs="Book Antiqua"/>
        </w:rPr>
        <w:t xml:space="preserve"> cell hyperplasia, and </w:t>
      </w:r>
      <w:r w:rsidR="001639C7" w:rsidRPr="00694F4E">
        <w:rPr>
          <w:rFonts w:ascii="Book Antiqua" w:eastAsia="Book Antiqua" w:hAnsi="Book Antiqua" w:cs="Book Antiqua"/>
        </w:rPr>
        <w:t xml:space="preserve">the </w:t>
      </w:r>
      <w:r w:rsidRPr="00694F4E">
        <w:rPr>
          <w:rFonts w:ascii="Book Antiqua" w:eastAsia="Book Antiqua" w:hAnsi="Book Antiqua" w:cs="Book Antiqua"/>
        </w:rPr>
        <w:t>development of gNEN.</w:t>
      </w:r>
    </w:p>
    <w:p w14:paraId="1B952CA8" w14:textId="77777777" w:rsidR="00A77B3E" w:rsidRPr="00694F4E" w:rsidRDefault="00A77B3E" w:rsidP="00A62589">
      <w:pPr>
        <w:spacing w:line="360" w:lineRule="auto"/>
        <w:jc w:val="both"/>
        <w:rPr>
          <w:rFonts w:ascii="Book Antiqua" w:hAnsi="Book Antiqua"/>
        </w:rPr>
      </w:pPr>
    </w:p>
    <w:p w14:paraId="44DEE653"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RESULTS</w:t>
      </w:r>
    </w:p>
    <w:p w14:paraId="3636C7F5" w14:textId="2D0F8BCB"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We included 176 patients [142 women (80.7%), median age 64 years</w:t>
      </w:r>
      <w:r w:rsidR="00C94E46" w:rsidRPr="00694F4E">
        <w:rPr>
          <w:rFonts w:ascii="Book Antiqua" w:hAnsi="Book Antiqua" w:cs="Book Antiqua"/>
          <w:lang w:eastAsia="zh-CN"/>
        </w:rPr>
        <w:t>,</w:t>
      </w:r>
      <w:r w:rsidRPr="00694F4E">
        <w:rPr>
          <w:rFonts w:ascii="Book Antiqua" w:eastAsia="Book Antiqua" w:hAnsi="Book Antiqua" w:cs="Book Antiqua"/>
        </w:rPr>
        <w:t xml:space="preserve"> </w:t>
      </w:r>
      <w:r w:rsidR="00FE2E3D" w:rsidRPr="00694F4E">
        <w:rPr>
          <w:rFonts w:ascii="Book Antiqua" w:eastAsia="Book Antiqua" w:hAnsi="Book Antiqua" w:cs="Book Antiqua"/>
          <w:color w:val="000000"/>
          <w:shd w:val="clear" w:color="auto" w:fill="FFFFFF"/>
        </w:rPr>
        <w:t>interquartile range (IQR)</w:t>
      </w:r>
      <w:r w:rsidRPr="00694F4E">
        <w:rPr>
          <w:rFonts w:ascii="Book Antiqua" w:eastAsia="Book Antiqua" w:hAnsi="Book Antiqua" w:cs="Book Antiqua"/>
        </w:rPr>
        <w:t xml:space="preserve"> 53</w:t>
      </w:r>
      <w:r w:rsidR="00540F41" w:rsidRPr="00694F4E">
        <w:rPr>
          <w:rFonts w:ascii="Book Antiqua" w:eastAsia="Book Antiqua" w:hAnsi="Book Antiqua" w:cs="Book Antiqua"/>
        </w:rPr>
        <w:t>–</w:t>
      </w:r>
      <w:r w:rsidRPr="00694F4E">
        <w:rPr>
          <w:rFonts w:ascii="Book Antiqua" w:eastAsia="Book Antiqua" w:hAnsi="Book Antiqua" w:cs="Book Antiqua"/>
        </w:rPr>
        <w:t>71</w:t>
      </w:r>
      <w:r w:rsidR="00540F41" w:rsidRPr="00694F4E">
        <w:rPr>
          <w:rFonts w:ascii="Book Antiqua" w:eastAsia="Book Antiqua" w:hAnsi="Book Antiqua" w:cs="Book Antiqua"/>
        </w:rPr>
        <w:t xml:space="preserve"> years</w:t>
      </w:r>
      <w:r w:rsidRPr="00694F4E">
        <w:rPr>
          <w:rFonts w:ascii="Book Antiqua" w:eastAsia="Book Antiqua" w:hAnsi="Book Antiqua" w:cs="Book Antiqua"/>
        </w:rPr>
        <w:t>] diagnosed with AIG between January 1990 and June 2022. At enrollment</w:t>
      </w:r>
      <w:r w:rsidR="00540F41" w:rsidRPr="00694F4E">
        <w:rPr>
          <w:rFonts w:ascii="Book Antiqua" w:eastAsia="Book Antiqua" w:hAnsi="Book Antiqua" w:cs="Book Antiqua"/>
        </w:rPr>
        <w:t xml:space="preserve">. One hundred and sixteen </w:t>
      </w:r>
      <w:r w:rsidRPr="00694F4E">
        <w:rPr>
          <w:rFonts w:ascii="Book Antiqua" w:eastAsia="Book Antiqua" w:hAnsi="Book Antiqua" w:cs="Book Antiqua"/>
        </w:rPr>
        <w:t xml:space="preserve">patients (65.9%) had ECL hyperplasia, of </w:t>
      </w:r>
      <w:r w:rsidR="00540F41" w:rsidRPr="00694F4E">
        <w:rPr>
          <w:rFonts w:ascii="Book Antiqua" w:eastAsia="Book Antiqua" w:hAnsi="Book Antiqua" w:cs="Book Antiqua"/>
        </w:rPr>
        <w:t xml:space="preserve">whom, </w:t>
      </w:r>
      <w:r w:rsidRPr="00694F4E">
        <w:rPr>
          <w:rFonts w:ascii="Book Antiqua" w:eastAsia="Book Antiqua" w:hAnsi="Book Antiqua" w:cs="Book Antiqua"/>
        </w:rPr>
        <w:t>29.5% had simple/</w:t>
      </w:r>
      <w:r w:rsidR="00CA358E" w:rsidRPr="00694F4E">
        <w:rPr>
          <w:rFonts w:ascii="Book Antiqua" w:hAnsi="Book Antiqua" w:cs="Book Antiqua"/>
          <w:lang w:eastAsia="zh-CN"/>
        </w:rPr>
        <w:t>l</w:t>
      </w:r>
      <w:r w:rsidRPr="00694F4E">
        <w:rPr>
          <w:rFonts w:ascii="Book Antiqua" w:eastAsia="Book Antiqua" w:hAnsi="Book Antiqua" w:cs="Book Antiqua"/>
        </w:rPr>
        <w:t>inear, 30.7% had micronodular, and 5.7% had macronodular</w:t>
      </w:r>
      <w:r w:rsidR="00DC533A" w:rsidRPr="00694F4E">
        <w:rPr>
          <w:rFonts w:ascii="Book Antiqua" w:eastAsia="Book Antiqua" w:hAnsi="Book Antiqua" w:cs="Book Antiqua"/>
        </w:rPr>
        <w:t xml:space="preserve"> type</w:t>
      </w:r>
      <w:r w:rsidRPr="00694F4E">
        <w:rPr>
          <w:rFonts w:ascii="Book Antiqua" w:eastAsia="Book Antiqua" w:hAnsi="Book Antiqua" w:cs="Book Antiqua"/>
        </w:rPr>
        <w:t>. The median follow-up time was 5 (3</w:t>
      </w:r>
      <w:r w:rsidR="00DC533A" w:rsidRPr="00694F4E">
        <w:rPr>
          <w:rFonts w:ascii="Book Antiqua" w:eastAsia="Book Antiqua" w:hAnsi="Book Antiqua" w:cs="Book Antiqua"/>
        </w:rPr>
        <w:t>–</w:t>
      </w:r>
      <w:r w:rsidRPr="00694F4E">
        <w:rPr>
          <w:rFonts w:ascii="Book Antiqua" w:eastAsia="Book Antiqua" w:hAnsi="Book Antiqua" w:cs="Book Antiqua"/>
        </w:rPr>
        <w:t>7.5)</w:t>
      </w:r>
      <w:r w:rsidR="00DC533A" w:rsidRPr="00694F4E">
        <w:rPr>
          <w:rFonts w:ascii="Book Antiqua" w:eastAsia="Book Antiqua" w:hAnsi="Book Antiqua" w:cs="Book Antiqua"/>
        </w:rPr>
        <w:t xml:space="preserve"> years</w:t>
      </w:r>
      <w:r w:rsidRPr="00694F4E">
        <w:rPr>
          <w:rFonts w:ascii="Book Antiqua" w:eastAsia="Book Antiqua" w:hAnsi="Book Antiqua" w:cs="Book Antiqua"/>
        </w:rPr>
        <w:t xml:space="preserve">. After 1032 person-years, 33 patients developed a total of 50 </w:t>
      </w:r>
      <w:r w:rsidR="00DC533A" w:rsidRPr="00694F4E">
        <w:rPr>
          <w:rFonts w:ascii="Book Antiqua" w:eastAsia="Book Antiqua" w:hAnsi="Book Antiqua" w:cs="Book Antiqua"/>
        </w:rPr>
        <w:t xml:space="preserve">type I </w:t>
      </w:r>
      <w:r w:rsidRPr="00694F4E">
        <w:rPr>
          <w:rFonts w:ascii="Book Antiqua" w:eastAsia="Book Antiqua" w:hAnsi="Book Antiqua" w:cs="Book Antiqua"/>
        </w:rPr>
        <w:t>gNEN</w:t>
      </w:r>
      <w:r w:rsidR="00DC533A" w:rsidRPr="00694F4E">
        <w:rPr>
          <w:rFonts w:ascii="Book Antiqua" w:eastAsia="Book Antiqua" w:hAnsi="Book Antiqua" w:cs="Book Antiqua"/>
        </w:rPr>
        <w:t>s</w:t>
      </w:r>
      <w:r w:rsidRPr="00694F4E">
        <w:rPr>
          <w:rFonts w:ascii="Book Antiqua" w:eastAsia="Book Antiqua" w:hAnsi="Book Antiqua" w:cs="Book Antiqua"/>
        </w:rPr>
        <w:t>, with an incidence rate of 0.057 person-years, corresponding to an annual cumulative incidence of 5.7%. Circulating CgA levels did not significantly differ between AIG patients who developed gNENs and those who did not</w:t>
      </w:r>
      <w:r w:rsidR="00DC533A" w:rsidRPr="00694F4E">
        <w:rPr>
          <w:rFonts w:ascii="Book Antiqua" w:eastAsia="Book Antiqua" w:hAnsi="Book Antiqua" w:cs="Book Antiqua"/>
        </w:rPr>
        <w:t>. C</w:t>
      </w:r>
      <w:r w:rsidRPr="00694F4E">
        <w:rPr>
          <w:rFonts w:ascii="Book Antiqua" w:eastAsia="Book Antiqua" w:hAnsi="Book Antiqua" w:cs="Book Antiqua"/>
        </w:rPr>
        <w:t>onversely, gastrin levels were significantly higher in AIG patients who developed gNENs [median 992 pg/mL IQR</w:t>
      </w:r>
      <w:r w:rsidR="007E2FB8" w:rsidRPr="00694F4E">
        <w:rPr>
          <w:rFonts w:ascii="Book Antiqua" w:hAnsi="Book Antiqua" w:cs="Book Antiqua"/>
          <w:lang w:eastAsia="zh-CN"/>
        </w:rPr>
        <w:t xml:space="preserve"> </w:t>
      </w:r>
      <w:r w:rsidRPr="00694F4E">
        <w:rPr>
          <w:rFonts w:ascii="Book Antiqua" w:eastAsia="Book Antiqua" w:hAnsi="Book Antiqua" w:cs="Book Antiqua"/>
        </w:rPr>
        <w:t>=</w:t>
      </w:r>
      <w:r w:rsidR="007E2FB8" w:rsidRPr="00694F4E">
        <w:rPr>
          <w:rFonts w:ascii="Book Antiqua" w:hAnsi="Book Antiqua" w:cs="Book Antiqua"/>
          <w:lang w:eastAsia="zh-CN"/>
        </w:rPr>
        <w:t xml:space="preserve"> </w:t>
      </w:r>
      <w:r w:rsidRPr="00694F4E">
        <w:rPr>
          <w:rFonts w:ascii="Book Antiqua" w:eastAsia="Book Antiqua" w:hAnsi="Book Antiqua" w:cs="Book Antiqua"/>
        </w:rPr>
        <w:t>449</w:t>
      </w:r>
      <w:r w:rsidR="00DC533A" w:rsidRPr="00694F4E">
        <w:rPr>
          <w:rFonts w:ascii="Book Antiqua" w:eastAsia="Book Antiqua" w:hAnsi="Book Antiqua" w:cs="Book Antiqua"/>
        </w:rPr>
        <w:t>–</w:t>
      </w:r>
      <w:r w:rsidR="007E2FB8" w:rsidRPr="00694F4E">
        <w:rPr>
          <w:rFonts w:ascii="Book Antiqua" w:eastAsia="Book Antiqua" w:hAnsi="Book Antiqua" w:cs="Book Antiqua"/>
        </w:rPr>
        <w:t xml:space="preserve">1500 </w:t>
      </w:r>
      <w:r w:rsidR="007E2FB8" w:rsidRPr="00694F4E">
        <w:rPr>
          <w:rFonts w:ascii="Book Antiqua" w:eastAsia="Book Antiqua" w:hAnsi="Book Antiqua" w:cs="Book Antiqua"/>
          <w:i/>
        </w:rPr>
        <w:t>vs</w:t>
      </w:r>
      <w:r w:rsidRPr="00694F4E">
        <w:rPr>
          <w:rFonts w:ascii="Book Antiqua" w:eastAsia="Book Antiqua" w:hAnsi="Book Antiqua" w:cs="Book Antiqua"/>
        </w:rPr>
        <w:t xml:space="preserve"> 688 pg/mL IQR =</w:t>
      </w:r>
      <w:r w:rsidR="007E2FB8" w:rsidRPr="00694F4E">
        <w:rPr>
          <w:rFonts w:ascii="Book Antiqua" w:hAnsi="Book Antiqua" w:cs="Book Antiqua"/>
          <w:lang w:eastAsia="zh-CN"/>
        </w:rPr>
        <w:t xml:space="preserve"> </w:t>
      </w:r>
      <w:r w:rsidRPr="00694F4E">
        <w:rPr>
          <w:rFonts w:ascii="Book Antiqua" w:eastAsia="Book Antiqua" w:hAnsi="Book Antiqua" w:cs="Book Antiqua"/>
        </w:rPr>
        <w:t>423</w:t>
      </w:r>
      <w:r w:rsidR="00DC533A" w:rsidRPr="00694F4E">
        <w:rPr>
          <w:rFonts w:ascii="Book Antiqua" w:eastAsia="Book Antiqua" w:hAnsi="Book Antiqua" w:cs="Book Antiqua"/>
        </w:rPr>
        <w:t>–</w:t>
      </w:r>
      <w:r w:rsidRPr="00694F4E">
        <w:rPr>
          <w:rFonts w:ascii="Book Antiqua" w:eastAsia="Book Antiqua" w:hAnsi="Book Antiqua" w:cs="Book Antiqua"/>
        </w:rPr>
        <w:t xml:space="preserve">1200, </w:t>
      </w:r>
      <w:r w:rsidRPr="00694F4E">
        <w:rPr>
          <w:rFonts w:ascii="Book Antiqua" w:eastAsia="Book Antiqua" w:hAnsi="Book Antiqua" w:cs="Book Antiqua"/>
          <w:i/>
          <w:iCs/>
        </w:rPr>
        <w:t>P</w:t>
      </w:r>
      <w:r w:rsidRPr="00694F4E">
        <w:rPr>
          <w:rFonts w:ascii="Book Antiqua" w:eastAsia="Book Antiqua" w:hAnsi="Book Antiqua" w:cs="Book Antiqua"/>
        </w:rPr>
        <w:t xml:space="preserve"> = 0.03]. Calculated gastrin sensitivity and specificity were 90.9% and 1.4%, respectively, with an </w:t>
      </w:r>
      <w:r w:rsidRPr="00694F4E">
        <w:rPr>
          <w:rFonts w:ascii="Book Antiqua" w:eastAsia="Book Antiqua" w:hAnsi="Book Antiqua" w:cs="Book Antiqua"/>
        </w:rPr>
        <w:lastRenderedPageBreak/>
        <w:t xml:space="preserve">overall diagnostic accuracy of 30% and a calculated area under the gastrin </w:t>
      </w:r>
      <w:r w:rsidR="00C34D27" w:rsidRPr="00694F4E">
        <w:rPr>
          <w:rFonts w:ascii="Book Antiqua" w:hAnsi="Book Antiqua" w:cs="Book Antiqua"/>
          <w:color w:val="000000"/>
          <w:lang w:eastAsia="zh-CN"/>
        </w:rPr>
        <w:t>r</w:t>
      </w:r>
      <w:r w:rsidR="00C34D27" w:rsidRPr="00694F4E">
        <w:rPr>
          <w:rFonts w:ascii="Book Antiqua" w:eastAsia="Book Antiqua" w:hAnsi="Book Antiqua" w:cs="Book Antiqua"/>
          <w:color w:val="000000"/>
        </w:rPr>
        <w:t xml:space="preserve">eceiver </w:t>
      </w:r>
      <w:r w:rsidR="00C34D27" w:rsidRPr="00694F4E">
        <w:rPr>
          <w:rFonts w:ascii="Book Antiqua" w:hAnsi="Book Antiqua" w:cs="Book Antiqua"/>
          <w:color w:val="000000"/>
          <w:lang w:eastAsia="zh-CN"/>
        </w:rPr>
        <w:t>o</w:t>
      </w:r>
      <w:r w:rsidR="00C34D27" w:rsidRPr="00694F4E">
        <w:rPr>
          <w:rFonts w:ascii="Book Antiqua" w:eastAsia="Book Antiqua" w:hAnsi="Book Antiqua" w:cs="Book Antiqua"/>
          <w:color w:val="000000"/>
        </w:rPr>
        <w:t xml:space="preserve">perating </w:t>
      </w:r>
      <w:r w:rsidR="00C34D27" w:rsidRPr="00694F4E">
        <w:rPr>
          <w:rFonts w:ascii="Book Antiqua" w:hAnsi="Book Antiqua" w:cs="Book Antiqua"/>
          <w:color w:val="000000"/>
          <w:lang w:eastAsia="zh-CN"/>
        </w:rPr>
        <w:t>c</w:t>
      </w:r>
      <w:r w:rsidR="00C34D27" w:rsidRPr="00694F4E">
        <w:rPr>
          <w:rFonts w:ascii="Book Antiqua" w:eastAsia="Book Antiqua" w:hAnsi="Book Antiqua" w:cs="Book Antiqua"/>
          <w:color w:val="000000"/>
        </w:rPr>
        <w:t>haracteristic</w:t>
      </w:r>
      <w:r w:rsidRPr="00694F4E">
        <w:rPr>
          <w:rFonts w:ascii="Book Antiqua" w:eastAsia="Book Antiqua" w:hAnsi="Book Antiqua" w:cs="Book Antiqua"/>
        </w:rPr>
        <w:t xml:space="preserve"> curve (AUROC or AUC) of 0.53.</w:t>
      </w:r>
    </w:p>
    <w:p w14:paraId="6EA1D89E" w14:textId="77777777" w:rsidR="00A77B3E" w:rsidRPr="00694F4E" w:rsidRDefault="00A77B3E" w:rsidP="00A62589">
      <w:pPr>
        <w:spacing w:line="360" w:lineRule="auto"/>
        <w:jc w:val="both"/>
        <w:rPr>
          <w:rFonts w:ascii="Book Antiqua" w:hAnsi="Book Antiqua"/>
        </w:rPr>
      </w:pPr>
    </w:p>
    <w:p w14:paraId="23A38AE5" w14:textId="4872C4A9" w:rsidR="00694F4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CONCLUSION</w:t>
      </w:r>
    </w:p>
    <w:p w14:paraId="7DE275E7" w14:textId="4A76A9F0" w:rsidR="00E77CA2" w:rsidRPr="00694F4E" w:rsidRDefault="00E77CA2" w:rsidP="00A62589">
      <w:pPr>
        <w:spacing w:line="360" w:lineRule="auto"/>
        <w:jc w:val="both"/>
        <w:rPr>
          <w:rFonts w:ascii="Book Antiqua" w:eastAsia="Book Antiqua" w:hAnsi="Book Antiqua" w:cs="Book Antiqua"/>
        </w:rPr>
      </w:pPr>
      <w:r w:rsidRPr="00694F4E">
        <w:rPr>
          <w:rFonts w:ascii="Book Antiqua" w:eastAsia="Book Antiqua" w:hAnsi="Book Antiqua" w:cs="Book Antiqua"/>
        </w:rPr>
        <w:t>Type I gNENs are a significant complication in AIG. Gastrin</w:t>
      </w:r>
      <w:r w:rsidR="00694F4E" w:rsidRPr="00694F4E">
        <w:rPr>
          <w:rFonts w:ascii="Book Antiqua" w:eastAsia="Book Antiqua" w:hAnsi="Book Antiqua" w:cs="Book Antiqua"/>
        </w:rPr>
        <w:t>’</w:t>
      </w:r>
      <w:r w:rsidRPr="00694F4E">
        <w:rPr>
          <w:rFonts w:ascii="Book Antiqua" w:eastAsia="Book Antiqua" w:hAnsi="Book Antiqua" w:cs="Book Antiqua"/>
        </w:rPr>
        <w:t xml:space="preserve">s low diagnostic accuracy prevents it from serving as a marker for early diagnosis. </w:t>
      </w:r>
      <w:r w:rsidR="00694F4E" w:rsidRPr="00694F4E">
        <w:rPr>
          <w:rFonts w:ascii="Book Antiqua" w:eastAsia="Book Antiqua" w:hAnsi="Book Antiqua" w:cs="Book Antiqua"/>
        </w:rPr>
        <w:t>E</w:t>
      </w:r>
      <w:r w:rsidRPr="00694F4E">
        <w:rPr>
          <w:rFonts w:ascii="Book Antiqua" w:eastAsia="Book Antiqua" w:hAnsi="Book Antiqua" w:cs="Book Antiqua"/>
        </w:rPr>
        <w:t xml:space="preserve">ffective strategies for early detection and treatment </w:t>
      </w:r>
      <w:r w:rsidR="00694F4E" w:rsidRPr="00694F4E">
        <w:rPr>
          <w:rFonts w:ascii="Book Antiqua" w:eastAsia="Book Antiqua" w:hAnsi="Book Antiqua" w:cs="Book Antiqua"/>
        </w:rPr>
        <w:t>are needed</w:t>
      </w:r>
      <w:r w:rsidRPr="00694F4E">
        <w:rPr>
          <w:rFonts w:ascii="Book Antiqua" w:eastAsia="Book Antiqua" w:hAnsi="Book Antiqua" w:cs="Book Antiqua"/>
        </w:rPr>
        <w:t>.</w:t>
      </w:r>
    </w:p>
    <w:p w14:paraId="3850ADF9" w14:textId="77777777" w:rsidR="00A77B3E" w:rsidRPr="00694F4E" w:rsidRDefault="00A77B3E" w:rsidP="00A62589">
      <w:pPr>
        <w:spacing w:line="360" w:lineRule="auto"/>
        <w:jc w:val="both"/>
        <w:rPr>
          <w:rFonts w:ascii="Book Antiqua" w:hAnsi="Book Antiqua"/>
        </w:rPr>
      </w:pPr>
    </w:p>
    <w:p w14:paraId="0A2EEF12" w14:textId="47A0655D" w:rsidR="00A77B3E" w:rsidRPr="00694F4E" w:rsidRDefault="00D157AA" w:rsidP="00A62589">
      <w:pPr>
        <w:spacing w:line="360" w:lineRule="auto"/>
        <w:jc w:val="both"/>
        <w:rPr>
          <w:rFonts w:ascii="Book Antiqua" w:hAnsi="Book Antiqua"/>
          <w:lang w:eastAsia="zh-CN"/>
        </w:rPr>
      </w:pPr>
      <w:r w:rsidRPr="00694F4E">
        <w:rPr>
          <w:rFonts w:ascii="Book Antiqua" w:eastAsia="Book Antiqua" w:hAnsi="Book Antiqua" w:cs="Book Antiqua"/>
          <w:b/>
          <w:bCs/>
        </w:rPr>
        <w:t xml:space="preserve">Key Words: </w:t>
      </w:r>
      <w:r w:rsidRPr="00694F4E">
        <w:rPr>
          <w:rFonts w:ascii="Book Antiqua" w:eastAsia="Book Antiqua" w:hAnsi="Book Antiqua" w:cs="Book Antiqua"/>
        </w:rPr>
        <w:t xml:space="preserve">Atrophic gastritis; </w:t>
      </w:r>
      <w:r w:rsidR="00D85AD6" w:rsidRPr="00694F4E">
        <w:rPr>
          <w:rFonts w:ascii="Book Antiqua" w:hAnsi="Book Antiqua" w:cs="Book Antiqua"/>
          <w:lang w:eastAsia="zh-CN"/>
        </w:rPr>
        <w:t>A</w:t>
      </w:r>
      <w:r w:rsidRPr="00694F4E">
        <w:rPr>
          <w:rFonts w:ascii="Book Antiqua" w:eastAsia="Book Antiqua" w:hAnsi="Book Antiqua" w:cs="Book Antiqua"/>
        </w:rPr>
        <w:t xml:space="preserve">utoimmune gastritis; </w:t>
      </w:r>
      <w:r w:rsidR="00D85AD6" w:rsidRPr="00694F4E">
        <w:rPr>
          <w:rFonts w:ascii="Book Antiqua" w:hAnsi="Book Antiqua" w:cs="Book Antiqua"/>
          <w:lang w:eastAsia="zh-CN"/>
        </w:rPr>
        <w:t>G</w:t>
      </w:r>
      <w:r w:rsidRPr="00694F4E">
        <w:rPr>
          <w:rFonts w:ascii="Book Antiqua" w:eastAsia="Book Antiqua" w:hAnsi="Book Antiqua" w:cs="Book Antiqua"/>
        </w:rPr>
        <w:t xml:space="preserve">astrin; </w:t>
      </w:r>
      <w:r w:rsidR="00D85AD6" w:rsidRPr="00694F4E">
        <w:rPr>
          <w:rFonts w:ascii="Book Antiqua" w:hAnsi="Book Antiqua" w:cs="Book Antiqua"/>
          <w:lang w:eastAsia="zh-CN"/>
        </w:rPr>
        <w:t>G</w:t>
      </w:r>
      <w:r w:rsidRPr="00694F4E">
        <w:rPr>
          <w:rFonts w:ascii="Book Antiqua" w:eastAsia="Book Antiqua" w:hAnsi="Book Antiqua" w:cs="Book Antiqua"/>
        </w:rPr>
        <w:t>astric neuroendocrine tumors</w:t>
      </w:r>
    </w:p>
    <w:p w14:paraId="45962F33" w14:textId="77777777" w:rsidR="00A77B3E" w:rsidRPr="00694F4E" w:rsidRDefault="00A77B3E" w:rsidP="00A62589">
      <w:pPr>
        <w:spacing w:line="360" w:lineRule="auto"/>
        <w:jc w:val="both"/>
        <w:rPr>
          <w:rFonts w:ascii="Book Antiqua" w:hAnsi="Book Antiqua"/>
        </w:rPr>
      </w:pPr>
    </w:p>
    <w:p w14:paraId="2D9D9111" w14:textId="5B25A942"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 xml:space="preserve">Massironi S, Gallo C, Elvevi A, Stegagnini M, Coltro LA, Invernizzi P. </w:t>
      </w:r>
      <w:r w:rsidR="00FB79D2" w:rsidRPr="00694F4E">
        <w:rPr>
          <w:rFonts w:ascii="Book Antiqua" w:hAnsi="Book Antiqua" w:cs="Book Antiqua"/>
          <w:lang w:eastAsia="zh-CN"/>
        </w:rPr>
        <w:t>I</w:t>
      </w:r>
      <w:r w:rsidR="00FB79D2" w:rsidRPr="00694F4E">
        <w:rPr>
          <w:rFonts w:ascii="Book Antiqua" w:eastAsia="Book Antiqua" w:hAnsi="Book Antiqua" w:cs="Book Antiqua"/>
        </w:rPr>
        <w:t>ncidence</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color w:val="000000"/>
          <w:lang w:eastAsia="zh-CN"/>
        </w:rPr>
        <w:t>and</w:t>
      </w:r>
      <w:r w:rsidR="00FB79D2" w:rsidRPr="00694F4E">
        <w:rPr>
          <w:rFonts w:ascii="Book Antiqua" w:eastAsia="Book Antiqua" w:hAnsi="Book Antiqua" w:cs="Book Antiqua"/>
          <w:color w:val="000000"/>
        </w:rPr>
        <w:t xml:space="preserve"> </w:t>
      </w:r>
      <w:r w:rsidR="00FB79D2" w:rsidRPr="00694F4E">
        <w:rPr>
          <w:rFonts w:ascii="Book Antiqua" w:eastAsia="Book Antiqua" w:hAnsi="Book Antiqua" w:cs="Book Antiqua"/>
        </w:rPr>
        <w:t>prevalence</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color w:val="000000"/>
          <w:lang w:eastAsia="zh-CN"/>
        </w:rPr>
        <w:t>of</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color w:val="000000"/>
          <w:lang w:eastAsia="zh-CN"/>
        </w:rPr>
        <w:t>g</w:t>
      </w:r>
      <w:r w:rsidR="00FB79D2" w:rsidRPr="00694F4E">
        <w:rPr>
          <w:rFonts w:ascii="Book Antiqua" w:eastAsia="Book Antiqua" w:hAnsi="Book Antiqua" w:cs="Book Antiqua"/>
          <w:color w:val="000000"/>
        </w:rPr>
        <w:t xml:space="preserve">astric neuroendocrine tumors </w:t>
      </w:r>
      <w:r w:rsidR="00FB79D2" w:rsidRPr="00694F4E">
        <w:rPr>
          <w:rFonts w:ascii="Book Antiqua" w:hAnsi="Book Antiqua" w:cs="Book Antiqua"/>
          <w:color w:val="000000"/>
          <w:lang w:eastAsia="zh-CN"/>
        </w:rPr>
        <w:t>in</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color w:val="000000"/>
          <w:lang w:eastAsia="zh-CN"/>
        </w:rPr>
        <w:t>patients</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color w:val="000000"/>
          <w:lang w:eastAsia="zh-CN"/>
        </w:rPr>
        <w:t>with</w:t>
      </w:r>
      <w:r w:rsidR="00FB79D2" w:rsidRPr="00694F4E">
        <w:rPr>
          <w:rFonts w:ascii="Book Antiqua" w:eastAsia="Book Antiqua" w:hAnsi="Book Antiqua" w:cs="Book Antiqua"/>
          <w:color w:val="000000"/>
        </w:rPr>
        <w:t xml:space="preserve"> </w:t>
      </w:r>
      <w:r w:rsidR="00FB79D2" w:rsidRPr="00694F4E">
        <w:rPr>
          <w:rFonts w:ascii="Book Antiqua" w:eastAsia="Book Antiqua" w:hAnsi="Book Antiqua" w:cs="Book Antiqua"/>
        </w:rPr>
        <w:t>chronic</w:t>
      </w:r>
      <w:r w:rsidR="00FB79D2" w:rsidRPr="00694F4E">
        <w:rPr>
          <w:rFonts w:ascii="Book Antiqua" w:eastAsia="Book Antiqua" w:hAnsi="Book Antiqua" w:cs="Book Antiqua"/>
          <w:color w:val="000000"/>
        </w:rPr>
        <w:t xml:space="preserve"> </w:t>
      </w:r>
      <w:r w:rsidR="00FB79D2" w:rsidRPr="00694F4E">
        <w:rPr>
          <w:rFonts w:ascii="Book Antiqua" w:hAnsi="Book Antiqua" w:cs="Book Antiqua"/>
          <w:lang w:eastAsia="zh-CN"/>
        </w:rPr>
        <w:t>a</w:t>
      </w:r>
      <w:r w:rsidR="00FB79D2" w:rsidRPr="00694F4E">
        <w:rPr>
          <w:rFonts w:ascii="Book Antiqua" w:eastAsia="Book Antiqua" w:hAnsi="Book Antiqua" w:cs="Book Antiqua"/>
        </w:rPr>
        <w:t>trophic autoimmune</w:t>
      </w:r>
      <w:r w:rsidR="00FB79D2" w:rsidRPr="00694F4E">
        <w:rPr>
          <w:rFonts w:ascii="Book Antiqua" w:eastAsia="Book Antiqua" w:hAnsi="Book Antiqua" w:cs="Book Antiqua"/>
          <w:color w:val="000000"/>
        </w:rPr>
        <w:t xml:space="preserve"> </w:t>
      </w:r>
      <w:r w:rsidR="00FB79D2" w:rsidRPr="00694F4E">
        <w:rPr>
          <w:rFonts w:ascii="Book Antiqua" w:eastAsia="Book Antiqua" w:hAnsi="Book Antiqua" w:cs="Book Antiqua"/>
        </w:rPr>
        <w:t>gastritis</w:t>
      </w:r>
      <w:r w:rsidRPr="00694F4E">
        <w:rPr>
          <w:rFonts w:ascii="Book Antiqua" w:eastAsia="Book Antiqua" w:hAnsi="Book Antiqua" w:cs="Book Antiqua"/>
        </w:rPr>
        <w:t xml:space="preserve">. </w:t>
      </w:r>
      <w:r w:rsidRPr="00694F4E">
        <w:rPr>
          <w:rFonts w:ascii="Book Antiqua" w:eastAsia="Book Antiqua" w:hAnsi="Book Antiqua" w:cs="Book Antiqua"/>
          <w:i/>
          <w:iCs/>
        </w:rPr>
        <w:t>World J Gastrointest Oncol</w:t>
      </w:r>
      <w:r w:rsidRPr="00694F4E">
        <w:rPr>
          <w:rFonts w:ascii="Book Antiqua" w:eastAsia="Book Antiqua" w:hAnsi="Book Antiqua" w:cs="Book Antiqua"/>
        </w:rPr>
        <w:t xml:space="preserve"> 2023; In press</w:t>
      </w:r>
    </w:p>
    <w:p w14:paraId="10D31557" w14:textId="77777777" w:rsidR="00A77B3E" w:rsidRPr="00694F4E" w:rsidRDefault="00A77B3E" w:rsidP="00A62589">
      <w:pPr>
        <w:spacing w:line="360" w:lineRule="auto"/>
        <w:jc w:val="both"/>
        <w:rPr>
          <w:rFonts w:ascii="Book Antiqua" w:hAnsi="Book Antiqua"/>
        </w:rPr>
      </w:pPr>
    </w:p>
    <w:p w14:paraId="0CE66E1F" w14:textId="696D3B7C"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Core </w:t>
      </w:r>
      <w:r w:rsidR="00DC533A" w:rsidRPr="00694F4E">
        <w:rPr>
          <w:rFonts w:ascii="Book Antiqua" w:eastAsia="Book Antiqua" w:hAnsi="Book Antiqua" w:cs="Book Antiqua"/>
          <w:b/>
          <w:bCs/>
        </w:rPr>
        <w:t>tip</w:t>
      </w:r>
      <w:r w:rsidRPr="00694F4E">
        <w:rPr>
          <w:rFonts w:ascii="Book Antiqua" w:eastAsia="Book Antiqua" w:hAnsi="Book Antiqua" w:cs="Book Antiqua"/>
          <w:b/>
          <w:bCs/>
        </w:rPr>
        <w:t xml:space="preserve">: </w:t>
      </w:r>
      <w:r w:rsidR="00616B64" w:rsidRPr="00694F4E">
        <w:rPr>
          <w:rFonts w:ascii="Book Antiqua" w:hAnsi="Book Antiqua" w:cs="Book Antiqua"/>
          <w:lang w:eastAsia="zh-CN"/>
        </w:rPr>
        <w:t>T</w:t>
      </w:r>
      <w:r w:rsidR="00616B64" w:rsidRPr="00694F4E">
        <w:rPr>
          <w:rFonts w:ascii="Book Antiqua" w:eastAsia="Book Antiqua" w:hAnsi="Book Antiqua" w:cs="Book Antiqua"/>
          <w:color w:val="000000"/>
          <w:shd w:val="clear" w:color="auto" w:fill="FFFFFF"/>
        </w:rPr>
        <w:t xml:space="preserve">ype I </w:t>
      </w:r>
      <w:r w:rsidR="00616B64" w:rsidRPr="00694F4E">
        <w:rPr>
          <w:rFonts w:ascii="Book Antiqua" w:hAnsi="Book Antiqua" w:cs="Book Antiqua"/>
          <w:color w:val="000000"/>
          <w:shd w:val="clear" w:color="auto" w:fill="FFFFFF"/>
          <w:lang w:eastAsia="zh-CN"/>
        </w:rPr>
        <w:t>g</w:t>
      </w:r>
      <w:r w:rsidR="00616B64" w:rsidRPr="00694F4E">
        <w:rPr>
          <w:rFonts w:ascii="Book Antiqua" w:eastAsia="Book Antiqua" w:hAnsi="Book Antiqua" w:cs="Book Antiqua"/>
          <w:color w:val="000000"/>
          <w:shd w:val="clear" w:color="auto" w:fill="FFFFFF"/>
        </w:rPr>
        <w:t>astric neuroendocrine neoplasms (gNENs)</w:t>
      </w:r>
      <w:r w:rsidRPr="00694F4E">
        <w:rPr>
          <w:rFonts w:ascii="Book Antiqua" w:eastAsia="Book Antiqua" w:hAnsi="Book Antiqua" w:cs="Book Antiqua"/>
        </w:rPr>
        <w:t xml:space="preserve"> in chronic </w:t>
      </w:r>
      <w:r w:rsidR="007206FD" w:rsidRPr="00694F4E">
        <w:rPr>
          <w:rFonts w:ascii="Book Antiqua" w:hAnsi="Book Antiqua"/>
          <w:iCs/>
          <w:lang w:eastAsia="zh-CN"/>
        </w:rPr>
        <w:t>a</w:t>
      </w:r>
      <w:r w:rsidR="007206FD" w:rsidRPr="00694F4E">
        <w:rPr>
          <w:rFonts w:ascii="Book Antiqua" w:hAnsi="Book Antiqua"/>
          <w:iCs/>
        </w:rPr>
        <w:t>uto</w:t>
      </w:r>
      <w:r w:rsidR="007206FD" w:rsidRPr="00694F4E">
        <w:rPr>
          <w:rFonts w:ascii="Book Antiqua" w:hAnsi="Book Antiqua"/>
          <w:iCs/>
          <w:lang w:eastAsia="zh-CN"/>
        </w:rPr>
        <w:t>i</w:t>
      </w:r>
      <w:r w:rsidR="007206FD" w:rsidRPr="00694F4E">
        <w:rPr>
          <w:rFonts w:ascii="Book Antiqua" w:hAnsi="Book Antiqua"/>
          <w:iCs/>
        </w:rPr>
        <w:t xml:space="preserve">mmune </w:t>
      </w:r>
      <w:r w:rsidR="007206FD" w:rsidRPr="00694F4E">
        <w:rPr>
          <w:rFonts w:ascii="Book Antiqua" w:hAnsi="Book Antiqua"/>
          <w:iCs/>
          <w:lang w:eastAsia="zh-CN"/>
        </w:rPr>
        <w:t>g</w:t>
      </w:r>
      <w:r w:rsidR="007206FD" w:rsidRPr="00694F4E">
        <w:rPr>
          <w:rFonts w:ascii="Book Antiqua" w:hAnsi="Book Antiqua"/>
          <w:iCs/>
        </w:rPr>
        <w:t>astritis</w:t>
      </w:r>
      <w:r w:rsidR="007206FD" w:rsidRPr="00694F4E">
        <w:rPr>
          <w:rFonts w:ascii="Book Antiqua" w:eastAsia="Book Antiqua" w:hAnsi="Book Antiqua" w:cs="Book Antiqua"/>
        </w:rPr>
        <w:t xml:space="preserve"> </w:t>
      </w:r>
      <w:r w:rsidR="007206FD" w:rsidRPr="00694F4E">
        <w:rPr>
          <w:rFonts w:ascii="Book Antiqua" w:hAnsi="Book Antiqua" w:cs="Book Antiqua"/>
          <w:lang w:eastAsia="zh-CN"/>
        </w:rPr>
        <w:t>(</w:t>
      </w:r>
      <w:r w:rsidR="007206FD" w:rsidRPr="00694F4E">
        <w:rPr>
          <w:rFonts w:ascii="Book Antiqua" w:eastAsia="Book Antiqua" w:hAnsi="Book Antiqua" w:cs="Book Antiqua"/>
        </w:rPr>
        <w:t>AIG</w:t>
      </w:r>
      <w:r w:rsidR="007206FD" w:rsidRPr="00694F4E">
        <w:rPr>
          <w:rFonts w:ascii="Book Antiqua" w:hAnsi="Book Antiqua" w:cs="Book Antiqua"/>
          <w:lang w:eastAsia="zh-CN"/>
        </w:rPr>
        <w:t>)</w:t>
      </w:r>
      <w:r w:rsidRPr="00694F4E">
        <w:rPr>
          <w:rFonts w:ascii="Book Antiqua" w:eastAsia="Book Antiqua" w:hAnsi="Book Antiqua" w:cs="Book Antiqua"/>
        </w:rPr>
        <w:t xml:space="preserve"> are increasingly diagnosed, but no accurate data are available. </w:t>
      </w:r>
      <w:r w:rsidR="00DC533A" w:rsidRPr="00694F4E">
        <w:rPr>
          <w:rFonts w:ascii="Book Antiqua" w:eastAsia="Book Antiqua" w:hAnsi="Book Antiqua" w:cs="Book Antiqua"/>
        </w:rPr>
        <w:t>N</w:t>
      </w:r>
      <w:r w:rsidRPr="00694F4E">
        <w:rPr>
          <w:rFonts w:ascii="Book Antiqua" w:eastAsia="Book Antiqua" w:hAnsi="Book Antiqua" w:cs="Book Antiqua"/>
        </w:rPr>
        <w:t xml:space="preserve">oninvasive biomarkers of gNENs in AIG have </w:t>
      </w:r>
      <w:r w:rsidR="00DC533A" w:rsidRPr="00694F4E">
        <w:rPr>
          <w:rFonts w:ascii="Book Antiqua" w:eastAsia="Book Antiqua" w:hAnsi="Book Antiqua" w:cs="Book Antiqua"/>
        </w:rPr>
        <w:t xml:space="preserve">not yet </w:t>
      </w:r>
      <w:r w:rsidRPr="00694F4E">
        <w:rPr>
          <w:rFonts w:ascii="Book Antiqua" w:eastAsia="Book Antiqua" w:hAnsi="Book Antiqua" w:cs="Book Antiqua"/>
        </w:rPr>
        <w:t xml:space="preserve">been identified. According to our results, a </w:t>
      </w:r>
      <w:r w:rsidR="001639C7" w:rsidRPr="00694F4E">
        <w:rPr>
          <w:rFonts w:ascii="Book Antiqua" w:eastAsia="Book Antiqua" w:hAnsi="Book Antiqua" w:cs="Book Antiqua"/>
        </w:rPr>
        <w:t>non-neglig</w:t>
      </w:r>
      <w:r w:rsidR="00DC533A" w:rsidRPr="00694F4E">
        <w:rPr>
          <w:rFonts w:ascii="Book Antiqua" w:eastAsia="Book Antiqua" w:hAnsi="Book Antiqua" w:cs="Book Antiqua"/>
        </w:rPr>
        <w:t>i</w:t>
      </w:r>
      <w:r w:rsidR="001639C7" w:rsidRPr="00694F4E">
        <w:rPr>
          <w:rFonts w:ascii="Book Antiqua" w:eastAsia="Book Antiqua" w:hAnsi="Book Antiqua" w:cs="Book Antiqua"/>
        </w:rPr>
        <w:t>ble</w:t>
      </w:r>
      <w:r w:rsidRPr="00694F4E">
        <w:rPr>
          <w:rFonts w:ascii="Book Antiqua" w:eastAsia="Book Antiqua" w:hAnsi="Book Antiqua" w:cs="Book Antiqua"/>
        </w:rPr>
        <w:t xml:space="preserve"> annual cumulative gNEN incidence of 5.7% was revealed, and among all considered variables, only gastrin proved to have significantly higher median circulating levels in patients who developed gNENs compared to AIG patients without lesions</w:t>
      </w:r>
      <w:r w:rsidR="00DC533A" w:rsidRPr="00694F4E">
        <w:rPr>
          <w:rFonts w:ascii="Book Antiqua" w:eastAsia="Book Antiqua" w:hAnsi="Book Antiqua" w:cs="Book Antiqua"/>
        </w:rPr>
        <w:t>; nevertheless,</w:t>
      </w:r>
      <w:r w:rsidRPr="00694F4E">
        <w:rPr>
          <w:rFonts w:ascii="Book Antiqua" w:eastAsia="Book Antiqua" w:hAnsi="Book Antiqua" w:cs="Book Antiqua"/>
        </w:rPr>
        <w:t xml:space="preserve"> with low diagnostic accuracy. Further efforts are needed to identify effective strategies for individualizing endoscopic follow-up of AIG patients, to </w:t>
      </w:r>
      <w:r w:rsidR="00DC533A" w:rsidRPr="00694F4E">
        <w:rPr>
          <w:rFonts w:ascii="Book Antiqua" w:eastAsia="Book Antiqua" w:hAnsi="Book Antiqua" w:cs="Book Antiqua"/>
        </w:rPr>
        <w:t xml:space="preserve">achieve </w:t>
      </w:r>
      <w:r w:rsidRPr="00694F4E">
        <w:rPr>
          <w:rFonts w:ascii="Book Antiqua" w:eastAsia="Book Antiqua" w:hAnsi="Book Antiqua" w:cs="Book Antiqua"/>
        </w:rPr>
        <w:t xml:space="preserve">early </w:t>
      </w:r>
      <w:r w:rsidR="00DC533A" w:rsidRPr="00694F4E">
        <w:rPr>
          <w:rFonts w:ascii="Book Antiqua" w:eastAsia="Book Antiqua" w:hAnsi="Book Antiqua" w:cs="Book Antiqua"/>
        </w:rPr>
        <w:t xml:space="preserve">diagnosis </w:t>
      </w:r>
      <w:r w:rsidRPr="00694F4E">
        <w:rPr>
          <w:rFonts w:ascii="Book Antiqua" w:eastAsia="Book Antiqua" w:hAnsi="Book Antiqua" w:cs="Book Antiqua"/>
        </w:rPr>
        <w:t>and treat superimposed neuroendocrine lesions.</w:t>
      </w:r>
    </w:p>
    <w:p w14:paraId="7F1B419F" w14:textId="77777777" w:rsidR="00A77B3E" w:rsidRPr="00694F4E" w:rsidRDefault="00A77B3E" w:rsidP="00A62589">
      <w:pPr>
        <w:spacing w:line="360" w:lineRule="auto"/>
        <w:jc w:val="both"/>
        <w:rPr>
          <w:rFonts w:ascii="Book Antiqua" w:hAnsi="Book Antiqua"/>
        </w:rPr>
      </w:pPr>
    </w:p>
    <w:p w14:paraId="53B170F7"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INTRODUCTION</w:t>
      </w:r>
    </w:p>
    <w:p w14:paraId="5947857A" w14:textId="51BA2EF1" w:rsidR="00A77B3E" w:rsidRPr="00694F4E" w:rsidRDefault="00837E07" w:rsidP="00A62589">
      <w:pPr>
        <w:spacing w:line="360" w:lineRule="auto"/>
        <w:jc w:val="both"/>
        <w:rPr>
          <w:rFonts w:ascii="Book Antiqua" w:hAnsi="Book Antiqua"/>
        </w:rPr>
      </w:pPr>
      <w:r w:rsidRPr="00694F4E">
        <w:rPr>
          <w:rFonts w:ascii="Book Antiqua" w:hAnsi="Book Antiqua" w:cs="Book Antiqua"/>
          <w:lang w:eastAsia="zh-CN"/>
        </w:rPr>
        <w:t>T</w:t>
      </w:r>
      <w:r w:rsidRPr="00694F4E">
        <w:rPr>
          <w:rFonts w:ascii="Book Antiqua" w:eastAsia="Book Antiqua" w:hAnsi="Book Antiqua" w:cs="Book Antiqua"/>
          <w:color w:val="000000"/>
          <w:shd w:val="clear" w:color="auto" w:fill="FFFFFF"/>
        </w:rPr>
        <w:t xml:space="preserve">ype I </w:t>
      </w:r>
      <w:r w:rsidRPr="00694F4E">
        <w:rPr>
          <w:rFonts w:ascii="Book Antiqua" w:hAnsi="Book Antiqua" w:cs="Book Antiqua"/>
          <w:color w:val="000000"/>
          <w:shd w:val="clear" w:color="auto" w:fill="FFFFFF"/>
          <w:lang w:eastAsia="zh-CN"/>
        </w:rPr>
        <w:t>g</w:t>
      </w:r>
      <w:r w:rsidRPr="00694F4E">
        <w:rPr>
          <w:rFonts w:ascii="Book Antiqua" w:eastAsia="Book Antiqua" w:hAnsi="Book Antiqua" w:cs="Book Antiqua"/>
          <w:color w:val="000000"/>
          <w:shd w:val="clear" w:color="auto" w:fill="FFFFFF"/>
        </w:rPr>
        <w:t>astric neuroendocrine neoplasms (gNENs)</w:t>
      </w:r>
      <w:r w:rsidR="00D157AA" w:rsidRPr="00694F4E">
        <w:rPr>
          <w:rFonts w:ascii="Book Antiqua" w:eastAsia="Book Antiqua" w:hAnsi="Book Antiqua" w:cs="Book Antiqua"/>
          <w:color w:val="000000"/>
          <w:shd w:val="clear" w:color="auto" w:fill="FFFFFF"/>
        </w:rPr>
        <w:t xml:space="preserve"> develop in the neuroendocrine gastric </w:t>
      </w:r>
      <w:proofErr w:type="gramStart"/>
      <w:r w:rsidR="00D157AA" w:rsidRPr="00694F4E">
        <w:rPr>
          <w:rFonts w:ascii="Book Antiqua" w:eastAsia="Book Antiqua" w:hAnsi="Book Antiqua" w:cs="Book Antiqua"/>
          <w:color w:val="000000"/>
          <w:shd w:val="clear" w:color="auto" w:fill="FFFFFF"/>
        </w:rPr>
        <w:t>cells</w:t>
      </w:r>
      <w:r w:rsidR="00830EC3" w:rsidRPr="00694F4E">
        <w:rPr>
          <w:rFonts w:ascii="Book Antiqua" w:hAnsi="Book Antiqua" w:cs="Book Antiqua"/>
          <w:color w:val="000000"/>
          <w:shd w:val="clear" w:color="auto" w:fill="FFFFFF"/>
          <w:vertAlign w:val="superscript"/>
          <w:lang w:eastAsia="zh-CN"/>
        </w:rPr>
        <w:t>[</w:t>
      </w:r>
      <w:proofErr w:type="gramEnd"/>
      <w:r w:rsidR="00D157AA" w:rsidRPr="00694F4E">
        <w:rPr>
          <w:rFonts w:ascii="Book Antiqua" w:eastAsia="Book Antiqua" w:hAnsi="Book Antiqua" w:cs="Book Antiqua"/>
          <w:color w:val="000000"/>
          <w:vertAlign w:val="superscript"/>
        </w:rPr>
        <w:t>1,2</w:t>
      </w:r>
      <w:r w:rsidR="00830EC3" w:rsidRPr="00694F4E">
        <w:rPr>
          <w:rFonts w:ascii="Book Antiqua" w:hAnsi="Book Antiqua" w:cs="Book Antiqua"/>
          <w:color w:val="000000"/>
          <w:vertAlign w:val="superscript"/>
          <w:lang w:eastAsia="zh-CN"/>
        </w:rPr>
        <w:t>]</w:t>
      </w:r>
      <w:r w:rsidR="00D157AA" w:rsidRPr="00694F4E">
        <w:rPr>
          <w:rFonts w:ascii="Book Antiqua" w:eastAsia="Book Antiqua" w:hAnsi="Book Antiqua" w:cs="Book Antiqua"/>
          <w:color w:val="000000"/>
          <w:shd w:val="clear" w:color="auto" w:fill="FFFFFF"/>
        </w:rPr>
        <w:t xml:space="preserve">. Type I gNENs are the most common subtype, and they </w:t>
      </w:r>
      <w:r w:rsidR="00633BB1" w:rsidRPr="00694F4E">
        <w:rPr>
          <w:rFonts w:ascii="Book Antiqua" w:eastAsia="Book Antiqua" w:hAnsi="Book Antiqua" w:cs="Book Antiqua"/>
          <w:color w:val="000000"/>
          <w:shd w:val="clear" w:color="auto" w:fill="FFFFFF"/>
        </w:rPr>
        <w:t>a</w:t>
      </w:r>
      <w:r w:rsidR="00D157AA" w:rsidRPr="00694F4E">
        <w:rPr>
          <w:rFonts w:ascii="Book Antiqua" w:eastAsia="Book Antiqua" w:hAnsi="Book Antiqua" w:cs="Book Antiqua"/>
          <w:color w:val="000000"/>
          <w:shd w:val="clear" w:color="auto" w:fill="FFFFFF"/>
        </w:rPr>
        <w:t xml:space="preserve">rise in the context of chronic </w:t>
      </w:r>
      <w:r w:rsidR="007206FD" w:rsidRPr="00694F4E">
        <w:rPr>
          <w:rFonts w:ascii="Book Antiqua" w:hAnsi="Book Antiqua"/>
          <w:iCs/>
          <w:lang w:eastAsia="zh-CN"/>
        </w:rPr>
        <w:t>a</w:t>
      </w:r>
      <w:r w:rsidR="007206FD" w:rsidRPr="00694F4E">
        <w:rPr>
          <w:rFonts w:ascii="Book Antiqua" w:hAnsi="Book Antiqua"/>
          <w:iCs/>
        </w:rPr>
        <w:t>uto</w:t>
      </w:r>
      <w:r w:rsidR="007206FD" w:rsidRPr="00694F4E">
        <w:rPr>
          <w:rFonts w:ascii="Book Antiqua" w:hAnsi="Book Antiqua"/>
          <w:iCs/>
          <w:lang w:eastAsia="zh-CN"/>
        </w:rPr>
        <w:t>i</w:t>
      </w:r>
      <w:r w:rsidR="007206FD" w:rsidRPr="00694F4E">
        <w:rPr>
          <w:rFonts w:ascii="Book Antiqua" w:hAnsi="Book Antiqua"/>
          <w:iCs/>
        </w:rPr>
        <w:t xml:space="preserve">mmune </w:t>
      </w:r>
      <w:r w:rsidR="007206FD" w:rsidRPr="00694F4E">
        <w:rPr>
          <w:rFonts w:ascii="Book Antiqua" w:hAnsi="Book Antiqua"/>
          <w:iCs/>
          <w:lang w:eastAsia="zh-CN"/>
        </w:rPr>
        <w:t>g</w:t>
      </w:r>
      <w:r w:rsidR="007206FD" w:rsidRPr="00694F4E">
        <w:rPr>
          <w:rFonts w:ascii="Book Antiqua" w:hAnsi="Book Antiqua"/>
          <w:iCs/>
        </w:rPr>
        <w:t>astritis</w:t>
      </w:r>
      <w:r w:rsidR="007206FD" w:rsidRPr="00694F4E">
        <w:rPr>
          <w:rFonts w:ascii="Book Antiqua" w:eastAsia="Book Antiqua" w:hAnsi="Book Antiqua" w:cs="Book Antiqua"/>
        </w:rPr>
        <w:t xml:space="preserve"> </w:t>
      </w:r>
      <w:r w:rsidR="007206FD" w:rsidRPr="00694F4E">
        <w:rPr>
          <w:rFonts w:ascii="Book Antiqua" w:hAnsi="Book Antiqua" w:cs="Book Antiqua"/>
          <w:lang w:eastAsia="zh-CN"/>
        </w:rPr>
        <w:t>(</w:t>
      </w:r>
      <w:r w:rsidR="007206FD" w:rsidRPr="00694F4E">
        <w:rPr>
          <w:rFonts w:ascii="Book Antiqua" w:eastAsia="Book Antiqua" w:hAnsi="Book Antiqua" w:cs="Book Antiqua"/>
        </w:rPr>
        <w:t>AIG</w:t>
      </w:r>
      <w:proofErr w:type="gramStart"/>
      <w:r w:rsidR="007206FD" w:rsidRPr="00694F4E">
        <w:rPr>
          <w:rFonts w:ascii="Book Antiqua" w:hAnsi="Book Antiqua" w:cs="Book Antiqua"/>
          <w:lang w:eastAsia="zh-CN"/>
        </w:rPr>
        <w:t>)</w:t>
      </w:r>
      <w:r w:rsidR="00830EC3" w:rsidRPr="00694F4E">
        <w:rPr>
          <w:rFonts w:ascii="Book Antiqua" w:hAnsi="Book Antiqua" w:cs="Book Antiqua"/>
          <w:vertAlign w:val="superscript"/>
          <w:lang w:eastAsia="zh-CN"/>
        </w:rPr>
        <w:t>[</w:t>
      </w:r>
      <w:proofErr w:type="gramEnd"/>
      <w:r w:rsidR="00D157AA" w:rsidRPr="00694F4E">
        <w:rPr>
          <w:rFonts w:ascii="Book Antiqua" w:eastAsia="Book Antiqua" w:hAnsi="Book Antiqua" w:cs="Book Antiqua"/>
          <w:color w:val="000000"/>
          <w:vertAlign w:val="superscript"/>
        </w:rPr>
        <w:t>3,4</w:t>
      </w:r>
      <w:r w:rsidR="00830EC3" w:rsidRPr="00694F4E">
        <w:rPr>
          <w:rFonts w:ascii="Book Antiqua" w:hAnsi="Book Antiqua" w:cs="Book Antiqua"/>
          <w:color w:val="000000"/>
          <w:vertAlign w:val="superscript"/>
          <w:lang w:eastAsia="zh-CN"/>
        </w:rPr>
        <w:t>]</w:t>
      </w:r>
      <w:r w:rsidR="00D157AA" w:rsidRPr="00694F4E">
        <w:rPr>
          <w:rFonts w:ascii="Book Antiqua" w:eastAsia="Book Antiqua" w:hAnsi="Book Antiqua" w:cs="Book Antiqua"/>
          <w:color w:val="000000"/>
          <w:shd w:val="clear" w:color="auto" w:fill="FFFFFF"/>
        </w:rPr>
        <w:t xml:space="preserve">. AIG is an organ-specific disease characterized by the immune-mediated destruction of gastric parietal cells, determining inflammation </w:t>
      </w:r>
      <w:r w:rsidR="00D157AA" w:rsidRPr="00694F4E">
        <w:rPr>
          <w:rFonts w:ascii="Book Antiqua" w:eastAsia="Book Antiqua" w:hAnsi="Book Antiqua" w:cs="Book Antiqua"/>
          <w:color w:val="000000"/>
          <w:shd w:val="clear" w:color="auto" w:fill="FFFFFF"/>
        </w:rPr>
        <w:lastRenderedPageBreak/>
        <w:t xml:space="preserve">mainly localized in the </w:t>
      </w:r>
      <w:r w:rsidR="00633BB1" w:rsidRPr="00694F4E">
        <w:rPr>
          <w:rFonts w:ascii="Book Antiqua" w:eastAsia="Book Antiqua" w:hAnsi="Book Antiqua" w:cs="Book Antiqua"/>
          <w:color w:val="000000"/>
          <w:shd w:val="clear" w:color="auto" w:fill="FFFFFF"/>
        </w:rPr>
        <w:t xml:space="preserve">gastric </w:t>
      </w:r>
      <w:r w:rsidR="00E54933" w:rsidRPr="00694F4E">
        <w:rPr>
          <w:rFonts w:ascii="Book Antiqua" w:eastAsia="Book Antiqua" w:hAnsi="Book Antiqua" w:cs="Book Antiqua"/>
          <w:color w:val="000000"/>
          <w:shd w:val="clear" w:color="auto" w:fill="FFFFFF"/>
        </w:rPr>
        <w:t>corpus</w:t>
      </w:r>
      <w:r w:rsidR="00633BB1" w:rsidRPr="00694F4E">
        <w:rPr>
          <w:rFonts w:ascii="Book Antiqua" w:eastAsia="Book Antiqua" w:hAnsi="Book Antiqua" w:cs="Book Antiqua"/>
          <w:color w:val="000000"/>
          <w:shd w:val="clear" w:color="auto" w:fill="FFFFFF"/>
        </w:rPr>
        <w:t>–</w:t>
      </w:r>
      <w:proofErr w:type="gramStart"/>
      <w:r w:rsidR="00D157AA" w:rsidRPr="00694F4E">
        <w:rPr>
          <w:rFonts w:ascii="Book Antiqua" w:eastAsia="Book Antiqua" w:hAnsi="Book Antiqua" w:cs="Book Antiqua"/>
          <w:color w:val="000000"/>
          <w:shd w:val="clear" w:color="auto" w:fill="FFFFFF"/>
        </w:rPr>
        <w:t>fundus</w:t>
      </w:r>
      <w:r w:rsidR="00830EC3" w:rsidRPr="00694F4E">
        <w:rPr>
          <w:rFonts w:ascii="Book Antiqua" w:hAnsi="Book Antiqua" w:cs="Book Antiqua"/>
          <w:color w:val="000000"/>
          <w:shd w:val="clear" w:color="auto" w:fill="FFFFFF"/>
          <w:vertAlign w:val="superscript"/>
          <w:lang w:eastAsia="zh-CN"/>
        </w:rPr>
        <w:t>[</w:t>
      </w:r>
      <w:proofErr w:type="gramEnd"/>
      <w:r w:rsidR="00D157AA" w:rsidRPr="00694F4E">
        <w:rPr>
          <w:rFonts w:ascii="Book Antiqua" w:eastAsia="Book Antiqua" w:hAnsi="Book Antiqua" w:cs="Book Antiqua"/>
          <w:color w:val="000000"/>
          <w:vertAlign w:val="superscript"/>
        </w:rPr>
        <w:t>5</w:t>
      </w:r>
      <w:r w:rsidR="00830EC3" w:rsidRPr="00694F4E">
        <w:rPr>
          <w:rFonts w:ascii="Book Antiqua" w:hAnsi="Book Antiqua" w:cs="Book Antiqua"/>
          <w:color w:val="000000"/>
          <w:vertAlign w:val="superscript"/>
          <w:lang w:eastAsia="zh-CN"/>
        </w:rPr>
        <w:t>]</w:t>
      </w:r>
      <w:r w:rsidR="00D157AA" w:rsidRPr="00694F4E">
        <w:rPr>
          <w:rFonts w:ascii="Book Antiqua" w:eastAsia="Book Antiqua" w:hAnsi="Book Antiqua" w:cs="Book Antiqua"/>
          <w:color w:val="000000"/>
          <w:shd w:val="clear" w:color="auto" w:fill="FFFFFF"/>
        </w:rPr>
        <w:t>. Gastric parietal cell proton pump H</w:t>
      </w:r>
      <w:r w:rsidR="00D157AA" w:rsidRPr="00694F4E">
        <w:rPr>
          <w:rFonts w:ascii="Book Antiqua" w:eastAsia="Book Antiqua" w:hAnsi="Book Antiqua" w:cs="Book Antiqua"/>
          <w:color w:val="000000"/>
          <w:shd w:val="clear" w:color="auto" w:fill="FFFFFF"/>
          <w:vertAlign w:val="superscript"/>
        </w:rPr>
        <w:t>+</w:t>
      </w:r>
      <w:r w:rsidR="00D157AA" w:rsidRPr="00694F4E">
        <w:rPr>
          <w:rFonts w:ascii="Book Antiqua" w:eastAsia="Book Antiqua" w:hAnsi="Book Antiqua" w:cs="Book Antiqua"/>
          <w:color w:val="000000"/>
          <w:shd w:val="clear" w:color="auto" w:fill="FFFFFF"/>
        </w:rPr>
        <w:t>/K</w:t>
      </w:r>
      <w:r w:rsidR="00D157AA" w:rsidRPr="00694F4E">
        <w:rPr>
          <w:rFonts w:ascii="Book Antiqua" w:eastAsia="Book Antiqua" w:hAnsi="Book Antiqua" w:cs="Book Antiqua"/>
          <w:color w:val="000000"/>
          <w:shd w:val="clear" w:color="auto" w:fill="FFFFFF"/>
          <w:vertAlign w:val="superscript"/>
        </w:rPr>
        <w:t>+</w:t>
      </w:r>
      <w:r w:rsidR="00D157AA" w:rsidRPr="00694F4E">
        <w:rPr>
          <w:rFonts w:ascii="Book Antiqua" w:eastAsia="Book Antiqua" w:hAnsi="Book Antiqua" w:cs="Book Antiqua"/>
          <w:color w:val="000000"/>
          <w:shd w:val="clear" w:color="auto" w:fill="FFFFFF"/>
        </w:rPr>
        <w:t xml:space="preserve">-ATPase) represents the major </w:t>
      </w:r>
      <w:proofErr w:type="gramStart"/>
      <w:r w:rsidR="00D157AA" w:rsidRPr="00694F4E">
        <w:rPr>
          <w:rFonts w:ascii="Book Antiqua" w:eastAsia="Book Antiqua" w:hAnsi="Book Antiqua" w:cs="Book Antiqua"/>
          <w:color w:val="000000"/>
          <w:shd w:val="clear" w:color="auto" w:fill="FFFFFF"/>
        </w:rPr>
        <w:t>autoantigen</w:t>
      </w:r>
      <w:r w:rsidR="00830EC3" w:rsidRPr="00694F4E">
        <w:rPr>
          <w:rFonts w:ascii="Book Antiqua" w:hAnsi="Book Antiqua" w:cs="Book Antiqua"/>
          <w:color w:val="000000"/>
          <w:shd w:val="clear" w:color="auto" w:fill="FFFFFF"/>
          <w:vertAlign w:val="superscript"/>
          <w:lang w:eastAsia="zh-CN"/>
        </w:rPr>
        <w:t>[</w:t>
      </w:r>
      <w:proofErr w:type="gramEnd"/>
      <w:r w:rsidR="00D157AA" w:rsidRPr="00694F4E">
        <w:rPr>
          <w:rFonts w:ascii="Book Antiqua" w:eastAsia="Book Antiqua" w:hAnsi="Book Antiqua" w:cs="Book Antiqua"/>
          <w:color w:val="000000"/>
          <w:vertAlign w:val="superscript"/>
        </w:rPr>
        <w:t>6–8</w:t>
      </w:r>
      <w:r w:rsidR="00830EC3" w:rsidRPr="00694F4E">
        <w:rPr>
          <w:rFonts w:ascii="Book Antiqua" w:hAnsi="Book Antiqua" w:cs="Book Antiqua"/>
          <w:color w:val="000000"/>
          <w:vertAlign w:val="superscript"/>
          <w:lang w:eastAsia="zh-CN"/>
        </w:rPr>
        <w:t>]</w:t>
      </w:r>
      <w:r w:rsidR="00D157AA" w:rsidRPr="00694F4E">
        <w:rPr>
          <w:rFonts w:ascii="Book Antiqua" w:eastAsia="Book Antiqua" w:hAnsi="Book Antiqua" w:cs="Book Antiqua"/>
          <w:color w:val="000000"/>
          <w:shd w:val="clear" w:color="auto" w:fill="FFFFFF"/>
        </w:rPr>
        <w:t xml:space="preserve">. </w:t>
      </w:r>
    </w:p>
    <w:p w14:paraId="4F007E09" w14:textId="6EA7BD6C" w:rsidR="008D120E" w:rsidRPr="00694F4E" w:rsidRDefault="00D157AA" w:rsidP="00830EC3">
      <w:pPr>
        <w:spacing w:line="360" w:lineRule="auto"/>
        <w:ind w:firstLineChars="200" w:firstLine="480"/>
        <w:jc w:val="both"/>
        <w:rPr>
          <w:rFonts w:ascii="Book Antiqua" w:eastAsia="Book Antiqua" w:hAnsi="Book Antiqua" w:cs="Book Antiqua"/>
          <w:color w:val="000000"/>
          <w:shd w:val="clear" w:color="auto" w:fill="FFFFFF"/>
        </w:rPr>
      </w:pPr>
      <w:r w:rsidRPr="00694F4E">
        <w:rPr>
          <w:rFonts w:ascii="Book Antiqua" w:eastAsia="Book Antiqua" w:hAnsi="Book Antiqua" w:cs="Book Antiqua"/>
          <w:color w:val="000000"/>
          <w:shd w:val="clear" w:color="auto" w:fill="FFFFFF"/>
        </w:rPr>
        <w:t xml:space="preserve">In this condition, the destruction of the oxyntic mucosa and subsequent development of hypo- and achlorhydria and high circulating gastrin levels </w:t>
      </w:r>
      <w:r w:rsidR="00E54933" w:rsidRPr="00694F4E">
        <w:rPr>
          <w:rFonts w:ascii="Book Antiqua" w:eastAsia="Book Antiqua" w:hAnsi="Book Antiqua" w:cs="Book Antiqua"/>
          <w:color w:val="000000"/>
          <w:shd w:val="clear" w:color="auto" w:fill="FFFFFF"/>
        </w:rPr>
        <w:t>are the</w:t>
      </w:r>
      <w:r w:rsidRPr="00694F4E">
        <w:rPr>
          <w:rFonts w:ascii="Book Antiqua" w:eastAsia="Book Antiqua" w:hAnsi="Book Antiqua" w:cs="Book Antiqua"/>
          <w:color w:val="000000"/>
          <w:shd w:val="clear" w:color="auto" w:fill="FFFFFF"/>
        </w:rPr>
        <w:t xml:space="preserve"> hallmark</w:t>
      </w:r>
      <w:r w:rsidR="00E54933" w:rsidRPr="00694F4E">
        <w:rPr>
          <w:rFonts w:ascii="Book Antiqua" w:eastAsia="Book Antiqua" w:hAnsi="Book Antiqua" w:cs="Book Antiqua"/>
          <w:color w:val="000000"/>
          <w:shd w:val="clear" w:color="auto" w:fill="FFFFFF"/>
        </w:rPr>
        <w:t>s</w:t>
      </w:r>
      <w:r w:rsidRPr="00694F4E">
        <w:rPr>
          <w:rFonts w:ascii="Book Antiqua" w:eastAsia="Book Antiqua" w:hAnsi="Book Antiqua" w:cs="Book Antiqua"/>
          <w:color w:val="000000"/>
          <w:shd w:val="clear" w:color="auto" w:fill="FFFFFF"/>
        </w:rPr>
        <w:t xml:space="preserve"> of </w:t>
      </w:r>
      <w:proofErr w:type="gramStart"/>
      <w:r w:rsidRPr="00694F4E">
        <w:rPr>
          <w:rFonts w:ascii="Book Antiqua" w:eastAsia="Book Antiqua" w:hAnsi="Book Antiqua" w:cs="Book Antiqua"/>
          <w:color w:val="000000"/>
          <w:shd w:val="clear" w:color="auto" w:fill="FFFFFF"/>
        </w:rPr>
        <w:t>AIG</w:t>
      </w:r>
      <w:r w:rsidR="00186A46"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7,9</w:t>
      </w:r>
      <w:r w:rsidR="00186A46"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27D879AE" w14:textId="36F0224F" w:rsidR="00A77B3E" w:rsidRPr="00694F4E" w:rsidRDefault="00D157AA" w:rsidP="00186A46">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Hypergastrinemia leads to the hyperplasia and neoplasia of enterochromaffin-like (ECL) cells of the gastric corpus, increasing the risk of developing type I </w:t>
      </w:r>
      <w:proofErr w:type="gramStart"/>
      <w:r w:rsidRPr="00694F4E">
        <w:rPr>
          <w:rFonts w:ascii="Book Antiqua" w:eastAsia="Book Antiqua" w:hAnsi="Book Antiqua" w:cs="Book Antiqua"/>
          <w:color w:val="000000"/>
          <w:shd w:val="clear" w:color="auto" w:fill="FFFFFF"/>
        </w:rPr>
        <w:t>gNEN</w:t>
      </w:r>
      <w:r w:rsidRPr="00694F4E">
        <w:rPr>
          <w:rFonts w:ascii="Book Antiqua" w:eastAsia="Book Antiqua" w:hAnsi="Book Antiqua" w:cs="Book Antiqua"/>
          <w:color w:val="000000"/>
        </w:rPr>
        <w:t>s</w:t>
      </w:r>
      <w:r w:rsidR="00186A46" w:rsidRPr="00694F4E">
        <w:rPr>
          <w:rFonts w:ascii="Book Antiqua" w:hAnsi="Book Antiqua" w:cs="Book Antiqua"/>
          <w:color w:val="000000"/>
          <w:vertAlign w:val="superscript"/>
          <w:lang w:eastAsia="zh-CN"/>
        </w:rPr>
        <w:t>[</w:t>
      </w:r>
      <w:proofErr w:type="gramEnd"/>
      <w:r w:rsidRPr="00694F4E">
        <w:rPr>
          <w:rFonts w:ascii="Book Antiqua" w:eastAsia="Book Antiqua" w:hAnsi="Book Antiqua" w:cs="Book Antiqua"/>
          <w:color w:val="000000"/>
          <w:vertAlign w:val="superscript"/>
        </w:rPr>
        <w:t>1</w:t>
      </w:r>
      <w:r w:rsidR="008D120E" w:rsidRPr="00694F4E">
        <w:rPr>
          <w:rFonts w:ascii="Book Antiqua" w:eastAsia="Book Antiqua" w:hAnsi="Book Antiqua" w:cs="Book Antiqua"/>
          <w:color w:val="000000"/>
          <w:vertAlign w:val="superscript"/>
        </w:rPr>
        <w:t>0</w:t>
      </w:r>
      <w:r w:rsidRPr="00694F4E">
        <w:rPr>
          <w:rFonts w:ascii="Book Antiqua" w:eastAsia="Book Antiqua" w:hAnsi="Book Antiqua" w:cs="Book Antiqua"/>
          <w:color w:val="000000"/>
          <w:vertAlign w:val="superscript"/>
        </w:rPr>
        <w:t>–1</w:t>
      </w:r>
      <w:r w:rsidR="008D120E" w:rsidRPr="00694F4E">
        <w:rPr>
          <w:rFonts w:ascii="Book Antiqua" w:eastAsia="Book Antiqua" w:hAnsi="Book Antiqua" w:cs="Book Antiqua"/>
          <w:color w:val="000000"/>
          <w:vertAlign w:val="superscript"/>
        </w:rPr>
        <w:t>3</w:t>
      </w:r>
      <w:r w:rsidR="00186A46"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 xml:space="preserve">These tumors are usually well-differentiated epithelial lesions originating from ECL cells and growing toward the submucosal layer. They appear as regular lesions covered with a round-shaped pattern of the </w:t>
      </w:r>
      <w:proofErr w:type="gramStart"/>
      <w:r w:rsidRPr="00694F4E">
        <w:rPr>
          <w:rFonts w:ascii="Book Antiqua" w:eastAsia="Book Antiqua" w:hAnsi="Book Antiqua" w:cs="Book Antiqua"/>
          <w:color w:val="000000"/>
          <w:shd w:val="clear" w:color="auto" w:fill="FFFFFF"/>
        </w:rPr>
        <w:t>mucosa</w:t>
      </w:r>
      <w:r w:rsidR="006C01BF"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9,1</w:t>
      </w:r>
      <w:r w:rsidR="00D235F2" w:rsidRPr="00694F4E">
        <w:rPr>
          <w:rFonts w:ascii="Book Antiqua" w:eastAsia="Book Antiqua" w:hAnsi="Book Antiqua" w:cs="Book Antiqua"/>
          <w:color w:val="000000"/>
          <w:vertAlign w:val="superscript"/>
        </w:rPr>
        <w:t>4</w:t>
      </w:r>
      <w:r w:rsidR="006C01BF"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Moreover, as demonstrated also through </w:t>
      </w:r>
      <w:r w:rsidRPr="00694F4E">
        <w:rPr>
          <w:rFonts w:ascii="Book Antiqua" w:eastAsia="Book Antiqua" w:hAnsi="Book Antiqua" w:cs="Book Antiqua"/>
          <w:i/>
          <w:iCs/>
          <w:color w:val="000000"/>
          <w:shd w:val="clear" w:color="auto" w:fill="FFFFFF"/>
        </w:rPr>
        <w:t>in vivo</w:t>
      </w:r>
      <w:r w:rsidRPr="00694F4E">
        <w:rPr>
          <w:rFonts w:ascii="Book Antiqua" w:eastAsia="Book Antiqua" w:hAnsi="Book Antiqua" w:cs="Book Antiqua"/>
          <w:color w:val="000000"/>
          <w:shd w:val="clear" w:color="auto" w:fill="FFFFFF"/>
        </w:rPr>
        <w:t xml:space="preserve"> animal studies, hypergastrinemia represents an influential trophic stimulus for the gastric mucosa</w:t>
      </w:r>
      <w:r w:rsidR="00E54933" w:rsidRPr="00694F4E">
        <w:rPr>
          <w:rFonts w:ascii="Book Antiqua" w:eastAsia="Book Antiqua" w:hAnsi="Book Antiqua" w:cs="Book Antiqua"/>
          <w:color w:val="000000"/>
          <w:shd w:val="clear" w:color="auto" w:fill="FFFFFF"/>
        </w:rPr>
        <w:t xml:space="preserve">. </w:t>
      </w:r>
      <w:r w:rsidR="00E54933" w:rsidRPr="00694F4E">
        <w:rPr>
          <w:rFonts w:ascii="Book Antiqua" w:hAnsi="Book Antiqua" w:cs="Book Antiqua"/>
          <w:color w:val="000000"/>
          <w:shd w:val="clear" w:color="auto" w:fill="FFFFFF"/>
          <w:lang w:eastAsia="zh-CN"/>
        </w:rPr>
        <w:t>H</w:t>
      </w:r>
      <w:r w:rsidRPr="00694F4E">
        <w:rPr>
          <w:rFonts w:ascii="Book Antiqua" w:eastAsia="Book Antiqua" w:hAnsi="Book Antiqua" w:cs="Book Antiqua"/>
          <w:color w:val="000000"/>
          <w:shd w:val="clear" w:color="auto" w:fill="FFFFFF"/>
        </w:rPr>
        <w:t>ypergastrinemia increase</w:t>
      </w:r>
      <w:r w:rsidR="00E54933" w:rsidRPr="00694F4E">
        <w:rPr>
          <w:rFonts w:ascii="Book Antiqua" w:eastAsia="Book Antiqua" w:hAnsi="Book Antiqua" w:cs="Book Antiqua"/>
          <w:color w:val="000000"/>
          <w:shd w:val="clear" w:color="auto" w:fill="FFFFFF"/>
        </w:rPr>
        <w:t>d</w:t>
      </w:r>
      <w:r w:rsidRPr="00694F4E">
        <w:rPr>
          <w:rFonts w:ascii="Book Antiqua" w:eastAsia="Book Antiqua" w:hAnsi="Book Antiqua" w:cs="Book Antiqua"/>
          <w:color w:val="000000"/>
          <w:shd w:val="clear" w:color="auto" w:fill="FFFFFF"/>
        </w:rPr>
        <w:t xml:space="preserve"> cell proliferation in the ulcer margin in rats with induced ulcer</w:t>
      </w:r>
      <w:r w:rsidR="009430DD" w:rsidRPr="00694F4E">
        <w:rPr>
          <w:rFonts w:ascii="Book Antiqua" w:eastAsia="Book Antiqua" w:hAnsi="Book Antiqua" w:cs="Book Antiqua"/>
          <w:color w:val="000000"/>
          <w:shd w:val="clear" w:color="auto" w:fill="FFFFFF"/>
        </w:rPr>
        <w:t>s</w:t>
      </w:r>
      <w:r w:rsidRPr="00694F4E">
        <w:rPr>
          <w:rFonts w:ascii="Book Antiqua" w:eastAsia="Book Antiqua" w:hAnsi="Book Antiqua" w:cs="Book Antiqua"/>
          <w:color w:val="000000"/>
          <w:shd w:val="clear" w:color="auto" w:fill="FFFFFF"/>
        </w:rPr>
        <w:t xml:space="preserve"> in the corpus </w:t>
      </w:r>
      <w:proofErr w:type="gramStart"/>
      <w:r w:rsidRPr="00694F4E">
        <w:rPr>
          <w:rFonts w:ascii="Book Antiqua" w:eastAsia="Book Antiqua" w:hAnsi="Book Antiqua" w:cs="Book Antiqua"/>
          <w:color w:val="000000"/>
          <w:shd w:val="clear" w:color="auto" w:fill="FFFFFF"/>
        </w:rPr>
        <w:t>region</w:t>
      </w:r>
      <w:r w:rsidR="006C01BF"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w:t>
      </w:r>
      <w:r w:rsidR="00D235F2" w:rsidRPr="00694F4E">
        <w:rPr>
          <w:rFonts w:ascii="Book Antiqua" w:eastAsia="Book Antiqua" w:hAnsi="Book Antiqua" w:cs="Book Antiqua"/>
          <w:color w:val="000000"/>
          <w:vertAlign w:val="superscript"/>
        </w:rPr>
        <w:t>5</w:t>
      </w:r>
      <w:r w:rsidR="006C01BF"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1E51398E" w14:textId="3560EF91" w:rsidR="00A77B3E" w:rsidRPr="00694F4E" w:rsidRDefault="00D157AA" w:rsidP="006C01BF">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While the spectrum of gastric neuroendocrine hyperplastic and neoplastic </w:t>
      </w:r>
      <w:r w:rsidR="009430DD" w:rsidRPr="00694F4E">
        <w:rPr>
          <w:rFonts w:ascii="Book Antiqua" w:eastAsia="Book Antiqua" w:hAnsi="Book Antiqua" w:cs="Book Antiqua"/>
          <w:color w:val="000000"/>
          <w:shd w:val="clear" w:color="auto" w:fill="FFFFFF"/>
        </w:rPr>
        <w:t>proliferation</w:t>
      </w:r>
      <w:r w:rsidRPr="00694F4E">
        <w:rPr>
          <w:rFonts w:ascii="Book Antiqua" w:eastAsia="Book Antiqua" w:hAnsi="Book Antiqua" w:cs="Book Antiqua"/>
          <w:color w:val="000000"/>
          <w:shd w:val="clear" w:color="auto" w:fill="FFFFFF"/>
        </w:rPr>
        <w:t xml:space="preserve"> is well documented, the exact prevalence and incidence of type I gNENs have not yet been defined. However, studies have shown that their incidence has increased significantly</w:t>
      </w:r>
      <w:r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 xml:space="preserve">over the past 50 </w:t>
      </w:r>
      <w:proofErr w:type="gramStart"/>
      <w:r w:rsidRPr="00694F4E">
        <w:rPr>
          <w:rFonts w:ascii="Book Antiqua" w:eastAsia="Book Antiqua" w:hAnsi="Book Antiqua" w:cs="Book Antiqua"/>
          <w:color w:val="000000"/>
          <w:shd w:val="clear" w:color="auto" w:fill="FFFFFF"/>
        </w:rPr>
        <w:t>years</w:t>
      </w:r>
      <w:r w:rsidR="006C01BF"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9,16–22</w:t>
      </w:r>
      <w:r w:rsidR="006C01BF"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Determining the exact prevalence and incidence of type I gNENs could help in the development of new strategies for monitoring AIG and more effective surveillance and treatment</w:t>
      </w:r>
      <w:r w:rsidR="009430DD"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 xml:space="preserve">strategies in these </w:t>
      </w:r>
      <w:proofErr w:type="gramStart"/>
      <w:r w:rsidRPr="00694F4E">
        <w:rPr>
          <w:rFonts w:ascii="Book Antiqua" w:eastAsia="Book Antiqua" w:hAnsi="Book Antiqua" w:cs="Book Antiqua"/>
          <w:color w:val="000000"/>
          <w:shd w:val="clear" w:color="auto" w:fill="FFFFFF"/>
        </w:rPr>
        <w:t>patients</w:t>
      </w:r>
      <w:r w:rsidR="006C01BF"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23</w:t>
      </w:r>
      <w:r w:rsidR="006C01BF"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Optimizing surveillance of AIG and identifying associated risk factors could help identify high-risk patients, and early detection and intervention could potentially prevent the development of type I </w:t>
      </w:r>
      <w:proofErr w:type="gramStart"/>
      <w:r w:rsidRPr="00694F4E">
        <w:rPr>
          <w:rFonts w:ascii="Book Antiqua" w:eastAsia="Book Antiqua" w:hAnsi="Book Antiqua" w:cs="Book Antiqua"/>
          <w:color w:val="000000"/>
          <w:shd w:val="clear" w:color="auto" w:fill="FFFFFF"/>
        </w:rPr>
        <w:t>gNENs</w:t>
      </w:r>
      <w:r w:rsidR="006C01BF"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24</w:t>
      </w:r>
      <w:r w:rsidR="006C01BF"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In addition, a better understanding of the complex interplay between autoimmune diseases and cancer could lead to the development of more effective surveillance and treatment strategies for type I gNENs in AIG.</w:t>
      </w:r>
    </w:p>
    <w:p w14:paraId="2D19C50B" w14:textId="77777777" w:rsidR="00A77B3E" w:rsidRPr="00694F4E" w:rsidRDefault="00A77B3E" w:rsidP="00A62589">
      <w:pPr>
        <w:spacing w:line="360" w:lineRule="auto"/>
        <w:jc w:val="both"/>
        <w:rPr>
          <w:rFonts w:ascii="Book Antiqua" w:hAnsi="Book Antiqua"/>
        </w:rPr>
      </w:pPr>
    </w:p>
    <w:p w14:paraId="50A90346"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MATERIALS AND METHODS</w:t>
      </w:r>
    </w:p>
    <w:p w14:paraId="7EEF6AD2" w14:textId="5FB56B42"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 xml:space="preserve">The study included patients with a confirmed diagnosis of AIG who were followed from January 2020 to June 2022 in </w:t>
      </w:r>
      <w:r w:rsidR="001639C7" w:rsidRPr="00694F4E">
        <w:rPr>
          <w:rFonts w:ascii="Book Antiqua" w:eastAsia="Book Antiqua" w:hAnsi="Book Antiqua" w:cs="Book Antiqua"/>
          <w:color w:val="000000"/>
          <w:shd w:val="clear" w:color="auto" w:fill="FFFFFF"/>
        </w:rPr>
        <w:t xml:space="preserve">the </w:t>
      </w:r>
      <w:r w:rsidRPr="00694F4E">
        <w:rPr>
          <w:rFonts w:ascii="Book Antiqua" w:eastAsia="Book Antiqua" w:hAnsi="Book Antiqua" w:cs="Book Antiqua"/>
          <w:color w:val="000000"/>
          <w:shd w:val="clear" w:color="auto" w:fill="FFFFFF"/>
        </w:rPr>
        <w:t>Department of Gastroenterology of the Fondazione IRCCS</w:t>
      </w:r>
      <w:r w:rsidR="006C01BF" w:rsidRPr="00694F4E">
        <w:rPr>
          <w:rFonts w:ascii="Book Antiqua" w:eastAsia="Book Antiqua" w:hAnsi="Book Antiqua" w:cs="Book Antiqua"/>
          <w:color w:val="000000"/>
          <w:shd w:val="clear" w:color="auto" w:fill="FFFFFF"/>
        </w:rPr>
        <w:t xml:space="preserve"> San Gerardo dei Tintori, Monza-</w:t>
      </w:r>
      <w:r w:rsidRPr="00694F4E">
        <w:rPr>
          <w:rFonts w:ascii="Book Antiqua" w:eastAsia="Book Antiqua" w:hAnsi="Book Antiqua" w:cs="Book Antiqua"/>
          <w:color w:val="000000"/>
          <w:shd w:val="clear" w:color="auto" w:fill="FFFFFF"/>
        </w:rPr>
        <w:t xml:space="preserve">University of Milan-Bicocca. All subjects gave </w:t>
      </w:r>
      <w:r w:rsidRPr="00694F4E">
        <w:rPr>
          <w:rFonts w:ascii="Book Antiqua" w:eastAsia="Book Antiqua" w:hAnsi="Book Antiqua" w:cs="Book Antiqua"/>
          <w:color w:val="000000"/>
          <w:shd w:val="clear" w:color="auto" w:fill="FFFFFF"/>
        </w:rPr>
        <w:lastRenderedPageBreak/>
        <w:t>written informed consent to participate in the study, which was approved by the local ethics committee.</w:t>
      </w:r>
    </w:p>
    <w:p w14:paraId="41E1E4B0" w14:textId="73DC9285" w:rsidR="00A77B3E" w:rsidRPr="00694F4E" w:rsidRDefault="00D157AA" w:rsidP="006C01BF">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The diagnosis of AIG was based on the presence of atrophic gastritis on the fundus, positivity of antibodies against parietal cells orintrinsic factor (IF), and</w:t>
      </w:r>
      <w:r w:rsidR="001639C7"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 xml:space="preserve">circulating gastrin </w:t>
      </w:r>
      <w:proofErr w:type="gramStart"/>
      <w:r w:rsidRPr="00694F4E">
        <w:rPr>
          <w:rFonts w:ascii="Book Antiqua" w:eastAsia="Book Antiqua" w:hAnsi="Book Antiqua" w:cs="Book Antiqua"/>
          <w:color w:val="000000"/>
          <w:shd w:val="clear" w:color="auto" w:fill="FFFFFF"/>
        </w:rPr>
        <w:t>levels</w:t>
      </w:r>
      <w:r w:rsidR="00F362A7"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1,25,26</w:t>
      </w:r>
      <w:r w:rsidR="00F362A7"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A retrospective analysis was performed on a prospectively collected monocentric database including all consecutive AIG patients from January 1990 to June 2022. </w:t>
      </w:r>
    </w:p>
    <w:p w14:paraId="120F0B15" w14:textId="5A01B5BD" w:rsidR="00A77B3E" w:rsidRPr="00694F4E" w:rsidRDefault="00D157AA" w:rsidP="00F362A7">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All included patients underwent a baseline examination that included clinical data (sex, age at AIG diagnosis, concomitant diseases, and previous therapies), biometric data </w:t>
      </w:r>
      <w:r w:rsidR="00F362A7" w:rsidRPr="00694F4E">
        <w:rPr>
          <w:rFonts w:ascii="Book Antiqua" w:hAnsi="Book Antiqua" w:cs="Book Antiqua"/>
          <w:color w:val="000000"/>
          <w:shd w:val="clear" w:color="auto" w:fill="FFFFFF"/>
          <w:lang w:eastAsia="zh-CN"/>
        </w:rPr>
        <w:t>[</w:t>
      </w:r>
      <w:r w:rsidRPr="00694F4E">
        <w:rPr>
          <w:rFonts w:ascii="Book Antiqua" w:eastAsia="Book Antiqua" w:hAnsi="Book Antiqua" w:cs="Book Antiqua"/>
          <w:color w:val="000000"/>
          <w:shd w:val="clear" w:color="auto" w:fill="FFFFFF"/>
        </w:rPr>
        <w:t>weight, height, and body mass index</w:t>
      </w:r>
      <w:r w:rsidR="00F362A7"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BMI)</w:t>
      </w:r>
      <w:r w:rsidR="00F362A7" w:rsidRPr="00694F4E">
        <w:rPr>
          <w:rFonts w:ascii="Book Antiqua" w:hAnsi="Book Antiqua" w:cs="Book Antiqua"/>
          <w:color w:val="000000"/>
          <w:shd w:val="clear" w:color="auto" w:fill="FFFFFF"/>
          <w:lang w:eastAsia="zh-CN"/>
        </w:rPr>
        <w:t>]</w:t>
      </w:r>
      <w:r w:rsidRPr="00694F4E">
        <w:rPr>
          <w:rFonts w:ascii="Book Antiqua" w:eastAsia="Book Antiqua" w:hAnsi="Book Antiqua" w:cs="Book Antiqua"/>
          <w:color w:val="000000"/>
          <w:shd w:val="clear" w:color="auto" w:fill="FFFFFF"/>
        </w:rPr>
        <w:t>, blood tests, and upper gastrointestinal endoscopy with biopsy collection and histologic</w:t>
      </w:r>
      <w:r w:rsidR="00E54933" w:rsidRPr="00694F4E">
        <w:rPr>
          <w:rFonts w:ascii="Book Antiqua" w:eastAsia="Book Antiqua" w:hAnsi="Book Antiqua" w:cs="Book Antiqua"/>
          <w:color w:val="000000"/>
          <w:shd w:val="clear" w:color="auto" w:fill="FFFFFF"/>
        </w:rPr>
        <w:t>al</w:t>
      </w:r>
      <w:r w:rsidRPr="00694F4E">
        <w:rPr>
          <w:rFonts w:ascii="Book Antiqua" w:eastAsia="Book Antiqua" w:hAnsi="Book Antiqua" w:cs="Book Antiqua"/>
          <w:color w:val="000000"/>
          <w:shd w:val="clear" w:color="auto" w:fill="FFFFFF"/>
        </w:rPr>
        <w:t xml:space="preserve"> examination. Unavailable histologic</w:t>
      </w:r>
      <w:r w:rsidR="00E54933" w:rsidRPr="00694F4E">
        <w:rPr>
          <w:rFonts w:ascii="Book Antiqua" w:eastAsia="Book Antiqua" w:hAnsi="Book Antiqua" w:cs="Book Antiqua"/>
          <w:color w:val="000000"/>
          <w:shd w:val="clear" w:color="auto" w:fill="FFFFFF"/>
        </w:rPr>
        <w:t>al</w:t>
      </w:r>
      <w:r w:rsidRPr="00694F4E">
        <w:rPr>
          <w:rFonts w:ascii="Book Antiqua" w:eastAsia="Book Antiqua" w:hAnsi="Book Antiqua" w:cs="Book Antiqua"/>
          <w:color w:val="000000"/>
          <w:shd w:val="clear" w:color="auto" w:fill="FFFFFF"/>
        </w:rPr>
        <w:t xml:space="preserve"> data, inadequate biopsy collection, inconsistent laboratory tests, concurrent active neoplasms, or severe organ failure were the study exclusion criteria</w:t>
      </w:r>
      <w:r w:rsidRPr="00694F4E">
        <w:rPr>
          <w:rFonts w:ascii="Book Antiqua" w:eastAsia="Book Antiqua" w:hAnsi="Book Antiqua" w:cs="Book Antiqua"/>
          <w:color w:val="000000"/>
        </w:rPr>
        <w:t>.</w:t>
      </w:r>
    </w:p>
    <w:p w14:paraId="6628E19E" w14:textId="6C6C0011" w:rsidR="00A77B3E" w:rsidRPr="00694F4E" w:rsidRDefault="00D157AA" w:rsidP="00F362A7">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For each included patient, the following clinical information was recorded: </w:t>
      </w:r>
      <w:r w:rsidR="00E54933" w:rsidRPr="00694F4E">
        <w:rPr>
          <w:rFonts w:ascii="Book Antiqua" w:hAnsi="Book Antiqua" w:cs="Book Antiqua"/>
          <w:color w:val="000000"/>
          <w:shd w:val="clear" w:color="auto" w:fill="FFFFFF"/>
          <w:lang w:eastAsia="zh-CN"/>
        </w:rPr>
        <w:t>c</w:t>
      </w:r>
      <w:r w:rsidR="00E54933" w:rsidRPr="00694F4E">
        <w:rPr>
          <w:rFonts w:ascii="Book Antiqua" w:eastAsia="Book Antiqua" w:hAnsi="Book Antiqua" w:cs="Book Antiqua"/>
          <w:color w:val="000000"/>
          <w:shd w:val="clear" w:color="auto" w:fill="FFFFFF"/>
        </w:rPr>
        <w:t xml:space="preserve">oncomitant </w:t>
      </w:r>
      <w:r w:rsidRPr="00694F4E">
        <w:rPr>
          <w:rFonts w:ascii="Book Antiqua" w:eastAsia="Book Antiqua" w:hAnsi="Book Antiqua" w:cs="Book Antiqua"/>
          <w:color w:val="000000"/>
          <w:shd w:val="clear" w:color="auto" w:fill="FFFFFF"/>
        </w:rPr>
        <w:t>autoimmune diseases (thyroiditis, celiac disease, type 1 diabetes mellitus, vitiligo, Addison’s disease, myasthenia, oral lichen planus, autoimmune liver disease, autoimmune connective tissue disease</w:t>
      </w:r>
      <w:r w:rsidR="00E54933"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other endocrine autoimmune diseases and possible autoimmune polyglandular syndrome (APS</w:t>
      </w:r>
      <w:r w:rsidR="00E54933"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previous administration of proton-pump inhibitors (PPIs)</w:t>
      </w:r>
      <w:r w:rsidR="00E54933"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and previous or concurrent </w:t>
      </w:r>
      <w:r w:rsidR="00F362A7" w:rsidRPr="00694F4E">
        <w:rPr>
          <w:rFonts w:ascii="Book Antiqua" w:hAnsi="Book Antiqua"/>
          <w:i/>
          <w:iCs/>
        </w:rPr>
        <w:t xml:space="preserve">Helicobacter </w:t>
      </w:r>
      <w:r w:rsidR="00F362A7" w:rsidRPr="00694F4E">
        <w:rPr>
          <w:rFonts w:ascii="Book Antiqua" w:hAnsi="Book Antiqua"/>
          <w:i/>
          <w:iCs/>
          <w:lang w:eastAsia="zh-CN"/>
        </w:rPr>
        <w:t>p</w:t>
      </w:r>
      <w:r w:rsidR="00F362A7" w:rsidRPr="00694F4E">
        <w:rPr>
          <w:rFonts w:ascii="Book Antiqua" w:hAnsi="Book Antiqua"/>
          <w:i/>
          <w:iCs/>
        </w:rPr>
        <w:t>ylori</w:t>
      </w:r>
      <w:r w:rsidR="00F362A7" w:rsidRPr="00694F4E">
        <w:rPr>
          <w:rFonts w:ascii="Book Antiqua" w:eastAsia="Book Antiqua" w:hAnsi="Book Antiqua" w:cs="Book Antiqua"/>
          <w:i/>
          <w:iCs/>
          <w:color w:val="000000"/>
          <w:shd w:val="clear" w:color="auto" w:fill="FFFFFF"/>
        </w:rPr>
        <w:t xml:space="preserve"> </w:t>
      </w:r>
      <w:r w:rsidRPr="00694F4E">
        <w:rPr>
          <w:rFonts w:ascii="Book Antiqua" w:eastAsia="Book Antiqua" w:hAnsi="Book Antiqua" w:cs="Book Antiqua"/>
          <w:color w:val="000000"/>
          <w:shd w:val="clear" w:color="auto" w:fill="FFFFFF"/>
        </w:rPr>
        <w:t xml:space="preserve">infection, its eventual treatment (dual or triple therapy) and, if available, stool antigen tests for eradication. In case of </w:t>
      </w:r>
      <w:r w:rsidRPr="00694F4E">
        <w:rPr>
          <w:rFonts w:ascii="Book Antiqua" w:eastAsia="Book Antiqua" w:hAnsi="Book Antiqua" w:cs="Book Antiqua"/>
          <w:i/>
          <w:iCs/>
          <w:color w:val="000000"/>
          <w:shd w:val="clear" w:color="auto" w:fill="FFFFFF"/>
        </w:rPr>
        <w:t xml:space="preserve">H. </w:t>
      </w:r>
      <w:r w:rsidR="00E54933" w:rsidRPr="00694F4E">
        <w:rPr>
          <w:rFonts w:ascii="Book Antiqua" w:eastAsia="Book Antiqua" w:hAnsi="Book Antiqua" w:cs="Book Antiqua"/>
          <w:i/>
          <w:iCs/>
          <w:color w:val="000000"/>
          <w:shd w:val="clear" w:color="auto" w:fill="FFFFFF"/>
        </w:rPr>
        <w:t>pylori</w:t>
      </w:r>
      <w:r w:rsidR="00E54933"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 xml:space="preserve">positivity at the first finding of atrophic gastritis, and strong suspicion of AIG, a second esophagogastroduodenoscopy (EGD) was performed at least </w:t>
      </w:r>
      <w:r w:rsidR="00E54933" w:rsidRPr="00694F4E">
        <w:rPr>
          <w:rFonts w:ascii="Book Antiqua" w:eastAsia="Book Antiqua" w:hAnsi="Book Antiqua" w:cs="Book Antiqua"/>
          <w:color w:val="000000"/>
          <w:shd w:val="clear" w:color="auto" w:fill="FFFFFF"/>
        </w:rPr>
        <w:t>3 mo</w:t>
      </w:r>
      <w:r w:rsidRPr="00694F4E">
        <w:rPr>
          <w:rFonts w:ascii="Book Antiqua" w:eastAsia="Book Antiqua" w:hAnsi="Book Antiqua" w:cs="Book Antiqua"/>
          <w:color w:val="000000"/>
          <w:shd w:val="clear" w:color="auto" w:fill="FFFFFF"/>
        </w:rPr>
        <w:t xml:space="preserve"> after </w:t>
      </w:r>
      <w:r w:rsidRPr="00694F4E">
        <w:rPr>
          <w:rFonts w:ascii="Book Antiqua" w:eastAsia="Book Antiqua" w:hAnsi="Book Antiqua" w:cs="Book Antiqua"/>
          <w:i/>
          <w:iCs/>
          <w:color w:val="000000"/>
          <w:shd w:val="clear" w:color="auto" w:fill="FFFFFF"/>
        </w:rPr>
        <w:t xml:space="preserve">H. </w:t>
      </w:r>
      <w:r w:rsidR="00E54933" w:rsidRPr="00694F4E">
        <w:rPr>
          <w:rFonts w:ascii="Book Antiqua" w:eastAsia="Book Antiqua" w:hAnsi="Book Antiqua" w:cs="Book Antiqua"/>
          <w:i/>
          <w:iCs/>
          <w:color w:val="000000"/>
          <w:shd w:val="clear" w:color="auto" w:fill="FFFFFF"/>
        </w:rPr>
        <w:t>pylori</w:t>
      </w:r>
      <w:r w:rsidR="00E54933"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 xml:space="preserve">eradication, to establish the correct </w:t>
      </w:r>
      <w:proofErr w:type="gramStart"/>
      <w:r w:rsidRPr="00694F4E">
        <w:rPr>
          <w:rFonts w:ascii="Book Antiqua" w:eastAsia="Book Antiqua" w:hAnsi="Book Antiqua" w:cs="Book Antiqua"/>
          <w:color w:val="000000"/>
          <w:shd w:val="clear" w:color="auto" w:fill="FFFFFF"/>
        </w:rPr>
        <w:t>diagnosis</w:t>
      </w:r>
      <w:r w:rsidR="00852D28"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27</w:t>
      </w:r>
      <w:r w:rsidR="00852D28"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4964650E" w14:textId="77777777" w:rsidR="00A77B3E" w:rsidRPr="00694F4E" w:rsidRDefault="00D157AA" w:rsidP="00852D28">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For AIG patients who were retrospectively enrolled, clinical data were extracted from medical records and outpatient visits. All data for each patient were anonymized after collection, recorded, evaluated, and finally analyzed. </w:t>
      </w:r>
    </w:p>
    <w:p w14:paraId="2B85B130" w14:textId="77777777" w:rsidR="00A77B3E" w:rsidRPr="00694F4E" w:rsidRDefault="00A77B3E" w:rsidP="00A62589">
      <w:pPr>
        <w:spacing w:line="360" w:lineRule="auto"/>
        <w:jc w:val="both"/>
        <w:rPr>
          <w:rFonts w:ascii="Book Antiqua" w:hAnsi="Book Antiqua"/>
        </w:rPr>
      </w:pPr>
    </w:p>
    <w:p w14:paraId="42EB55E1" w14:textId="77777777" w:rsidR="00A77B3E" w:rsidRPr="00694F4E" w:rsidRDefault="00D157AA" w:rsidP="00A62589">
      <w:pPr>
        <w:spacing w:line="360" w:lineRule="auto"/>
        <w:jc w:val="both"/>
        <w:rPr>
          <w:rFonts w:ascii="Book Antiqua" w:hAnsi="Book Antiqua"/>
          <w:b/>
        </w:rPr>
      </w:pPr>
      <w:r w:rsidRPr="00694F4E">
        <w:rPr>
          <w:rFonts w:ascii="Book Antiqua" w:eastAsia="Book Antiqua" w:hAnsi="Book Antiqua" w:cs="Book Antiqua"/>
          <w:b/>
          <w:i/>
          <w:iCs/>
          <w:color w:val="000000"/>
        </w:rPr>
        <w:t>Endoscopic examinations</w:t>
      </w:r>
    </w:p>
    <w:p w14:paraId="594A719A" w14:textId="092D670B"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A standard gastroscope was used for all diagnostic and monitoring</w:t>
      </w:r>
      <w:r w:rsidR="002679C2" w:rsidRPr="00694F4E">
        <w:rPr>
          <w:rFonts w:ascii="Book Antiqua" w:hAnsi="Book Antiqua" w:cs="Book Antiqua"/>
          <w:color w:val="000000"/>
          <w:shd w:val="clear" w:color="auto" w:fill="FFFFFF"/>
          <w:lang w:eastAsia="zh-CN"/>
        </w:rPr>
        <w:t xml:space="preserve"> </w:t>
      </w:r>
      <w:proofErr w:type="gramStart"/>
      <w:r w:rsidRPr="00694F4E">
        <w:rPr>
          <w:rFonts w:ascii="Book Antiqua" w:eastAsia="Book Antiqua" w:hAnsi="Book Antiqua" w:cs="Book Antiqua"/>
          <w:color w:val="000000"/>
          <w:shd w:val="clear" w:color="auto" w:fill="FFFFFF"/>
        </w:rPr>
        <w:t>EGDs</w:t>
      </w:r>
      <w:r w:rsidR="002679C2"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28</w:t>
      </w:r>
      <w:r w:rsidR="002679C2"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Patients receiving PPIs were discontinued from medication and the examination was repeated </w:t>
      </w:r>
      <w:r w:rsidRPr="00694F4E">
        <w:rPr>
          <w:rFonts w:ascii="Book Antiqua" w:eastAsia="Book Antiqua" w:hAnsi="Book Antiqua" w:cs="Book Antiqua"/>
          <w:color w:val="000000"/>
          <w:shd w:val="clear" w:color="auto" w:fill="FFFFFF"/>
        </w:rPr>
        <w:lastRenderedPageBreak/>
        <w:t xml:space="preserve">after at least 15 </w:t>
      </w:r>
      <w:proofErr w:type="gramStart"/>
      <w:r w:rsidRPr="00694F4E">
        <w:rPr>
          <w:rFonts w:ascii="Book Antiqua" w:eastAsia="Book Antiqua" w:hAnsi="Book Antiqua" w:cs="Book Antiqua"/>
          <w:color w:val="000000"/>
          <w:shd w:val="clear" w:color="auto" w:fill="FFFFFF"/>
        </w:rPr>
        <w:t>d</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29</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During surveillance EGDs, at least five gastric biopsies were obtained according to the updated Sydney </w:t>
      </w:r>
      <w:proofErr w:type="gramStart"/>
      <w:r w:rsidRPr="00694F4E">
        <w:rPr>
          <w:rFonts w:ascii="Book Antiqua" w:eastAsia="Book Antiqua" w:hAnsi="Book Antiqua" w:cs="Book Antiqua"/>
          <w:color w:val="000000"/>
          <w:shd w:val="clear" w:color="auto" w:fill="FFFFFF"/>
        </w:rPr>
        <w:t>protocol</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30</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Two biopsies were taken from the antrum, one from the incisura angularis, and two from the gastric </w:t>
      </w:r>
      <w:r w:rsidR="00E54933" w:rsidRPr="00694F4E">
        <w:rPr>
          <w:rFonts w:ascii="Book Antiqua" w:eastAsia="Book Antiqua" w:hAnsi="Book Antiqua" w:cs="Book Antiqua"/>
          <w:color w:val="000000"/>
          <w:shd w:val="clear" w:color="auto" w:fill="FFFFFF"/>
        </w:rPr>
        <w:t xml:space="preserve">corpus </w:t>
      </w:r>
      <w:r w:rsidRPr="00694F4E">
        <w:rPr>
          <w:rFonts w:ascii="Book Antiqua" w:eastAsia="Book Antiqua" w:hAnsi="Book Antiqua" w:cs="Book Antiqua"/>
          <w:color w:val="000000"/>
          <w:shd w:val="clear" w:color="auto" w:fill="FFFFFF"/>
        </w:rPr>
        <w:t>and fundus. The collected histological specimens were sent directly to the pathology laboratory for examination. For visible polypoid mucosal lesions, the year of occurrence, location (antrum, body, or fundus), size, treatment, and histologic</w:t>
      </w:r>
      <w:r w:rsidR="00E54933" w:rsidRPr="00694F4E">
        <w:rPr>
          <w:rFonts w:ascii="Book Antiqua" w:eastAsia="Book Antiqua" w:hAnsi="Book Antiqua" w:cs="Book Antiqua"/>
          <w:color w:val="000000"/>
          <w:shd w:val="clear" w:color="auto" w:fill="FFFFFF"/>
        </w:rPr>
        <w:t>al</w:t>
      </w:r>
      <w:r w:rsidRPr="00694F4E">
        <w:rPr>
          <w:rFonts w:ascii="Book Antiqua" w:eastAsia="Book Antiqua" w:hAnsi="Book Antiqua" w:cs="Book Antiqua"/>
          <w:color w:val="000000"/>
          <w:shd w:val="clear" w:color="auto" w:fill="FFFFFF"/>
        </w:rPr>
        <w:t xml:space="preserve"> characterization were </w:t>
      </w:r>
      <w:proofErr w:type="gramStart"/>
      <w:r w:rsidRPr="00694F4E">
        <w:rPr>
          <w:rFonts w:ascii="Book Antiqua" w:eastAsia="Book Antiqua" w:hAnsi="Book Antiqua" w:cs="Book Antiqua"/>
          <w:color w:val="000000"/>
          <w:shd w:val="clear" w:color="auto" w:fill="FFFFFF"/>
        </w:rPr>
        <w:t>evaluated</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31,32</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All identified lesions were biopsied, or, in the case of multiple polyps, the largest lesion was biopsied and removed, when </w:t>
      </w:r>
      <w:proofErr w:type="gramStart"/>
      <w:r w:rsidRPr="00694F4E">
        <w:rPr>
          <w:rFonts w:ascii="Book Antiqua" w:eastAsia="Book Antiqua" w:hAnsi="Book Antiqua" w:cs="Book Antiqua"/>
          <w:color w:val="000000"/>
          <w:shd w:val="clear" w:color="auto" w:fill="FFFFFF"/>
        </w:rPr>
        <w:t>possible</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33</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Lesions were resected with forceps by cold biopsy if their diameter was </w:t>
      </w:r>
      <w:r w:rsidR="00E54933"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5 mm. For lesions </w:t>
      </w:r>
      <w:r w:rsidR="00E54933" w:rsidRPr="00694F4E">
        <w:rPr>
          <w:rFonts w:ascii="Book Antiqua" w:eastAsia="Book Antiqua" w:hAnsi="Book Antiqua" w:cs="Book Antiqua"/>
          <w:color w:val="000000"/>
          <w:shd w:val="clear" w:color="auto" w:fill="FFFFFF"/>
        </w:rPr>
        <w:t>&gt;</w:t>
      </w:r>
      <w:r w:rsidRPr="00694F4E">
        <w:rPr>
          <w:rFonts w:ascii="Book Antiqua" w:eastAsia="Book Antiqua" w:hAnsi="Book Antiqua" w:cs="Book Antiqua"/>
          <w:color w:val="000000"/>
          <w:shd w:val="clear" w:color="auto" w:fill="FFFFFF"/>
        </w:rPr>
        <w:t xml:space="preserve"> 5 mm</w:t>
      </w:r>
      <w:r w:rsidRPr="00694F4E">
        <w:rPr>
          <w:rFonts w:ascii="Book Antiqua" w:eastAsia="Book Antiqua" w:hAnsi="Book Antiqua" w:cs="Book Antiqua"/>
          <w:color w:val="000000"/>
        </w:rPr>
        <w:t>,</w:t>
      </w:r>
      <w:r w:rsidRPr="00694F4E">
        <w:rPr>
          <w:rFonts w:ascii="Book Antiqua" w:eastAsia="Book Antiqua" w:hAnsi="Book Antiqua" w:cs="Book Antiqua"/>
          <w:color w:val="000000"/>
          <w:shd w:val="clear" w:color="auto" w:fill="FFFFFF"/>
        </w:rPr>
        <w:t xml:space="preserve"> endoscopic mucosal resection was performed. For lesions </w:t>
      </w:r>
      <w:r w:rsidR="00E54933" w:rsidRPr="00694F4E">
        <w:rPr>
          <w:rFonts w:ascii="Book Antiqua" w:eastAsia="Book Antiqua" w:hAnsi="Book Antiqua" w:cs="Book Antiqua"/>
          <w:color w:val="000000"/>
          <w:shd w:val="clear" w:color="auto" w:fill="FFFFFF"/>
        </w:rPr>
        <w:t>&gt;</w:t>
      </w:r>
      <w:r w:rsidRPr="00694F4E">
        <w:rPr>
          <w:rFonts w:ascii="Book Antiqua" w:eastAsia="Book Antiqua" w:hAnsi="Book Antiqua" w:cs="Book Antiqua"/>
          <w:color w:val="000000"/>
          <w:shd w:val="clear" w:color="auto" w:fill="FFFFFF"/>
        </w:rPr>
        <w:t xml:space="preserve"> 1 cm, endoscopic ultrasonography was performed to assess the degree of wall invasion before resection and, if necessary, to plan endoscopic submucosal dissection.</w:t>
      </w:r>
    </w:p>
    <w:p w14:paraId="17F50B1F" w14:textId="3F2D1D26" w:rsidR="00A77B3E" w:rsidRPr="00694F4E" w:rsidRDefault="00D157AA" w:rsidP="002C66BE">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Patients with uncomplicated chronic AIG underwent endoscopic surveillance every three years, whereas patients with gNENs underwent endoscopic surveillance </w:t>
      </w:r>
      <w:proofErr w:type="gramStart"/>
      <w:r w:rsidRPr="00694F4E">
        <w:rPr>
          <w:rFonts w:ascii="Book Antiqua" w:eastAsia="Book Antiqua" w:hAnsi="Book Antiqua" w:cs="Book Antiqua"/>
          <w:color w:val="000000"/>
          <w:shd w:val="clear" w:color="auto" w:fill="FFFFFF"/>
        </w:rPr>
        <w:t>annually</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34</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For patients with gastric adenocarcinoma, follow-up was </w:t>
      </w:r>
      <w:r w:rsidR="009430DD" w:rsidRPr="00694F4E">
        <w:rPr>
          <w:rFonts w:ascii="Book Antiqua" w:eastAsia="Book Antiqua" w:hAnsi="Book Antiqua" w:cs="Book Antiqua"/>
          <w:color w:val="000000"/>
          <w:shd w:val="clear" w:color="auto" w:fill="FFFFFF"/>
        </w:rPr>
        <w:t>performed</w:t>
      </w:r>
      <w:r w:rsidRPr="00694F4E">
        <w:rPr>
          <w:rFonts w:ascii="Book Antiqua" w:eastAsia="Book Antiqua" w:hAnsi="Book Antiqua" w:cs="Book Antiqua"/>
          <w:color w:val="000000"/>
          <w:shd w:val="clear" w:color="auto" w:fill="FFFFFF"/>
        </w:rPr>
        <w:t xml:space="preserve"> on a case-by-case basis to determine the most appropriate type of intervention and timing of follow-</w:t>
      </w:r>
      <w:proofErr w:type="gramStart"/>
      <w:r w:rsidRPr="00694F4E">
        <w:rPr>
          <w:rFonts w:ascii="Book Antiqua" w:eastAsia="Book Antiqua" w:hAnsi="Book Antiqua" w:cs="Book Antiqua"/>
          <w:color w:val="000000"/>
          <w:shd w:val="clear" w:color="auto" w:fill="FFFFFF"/>
        </w:rPr>
        <w:t>up</w:t>
      </w:r>
      <w:r w:rsidR="002C66BE"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35</w:t>
      </w:r>
      <w:r w:rsidR="002C66BE"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2EB86680" w14:textId="77777777" w:rsidR="00A77B3E" w:rsidRPr="00694F4E" w:rsidRDefault="00A77B3E" w:rsidP="00A62589">
      <w:pPr>
        <w:spacing w:line="360" w:lineRule="auto"/>
        <w:jc w:val="both"/>
        <w:rPr>
          <w:rFonts w:ascii="Book Antiqua" w:hAnsi="Book Antiqua"/>
        </w:rPr>
      </w:pPr>
    </w:p>
    <w:p w14:paraId="734105DA" w14:textId="77777777" w:rsidR="00A77B3E" w:rsidRPr="00694F4E" w:rsidRDefault="00D157AA" w:rsidP="00A62589">
      <w:pPr>
        <w:spacing w:line="360" w:lineRule="auto"/>
        <w:jc w:val="both"/>
        <w:rPr>
          <w:rFonts w:ascii="Book Antiqua" w:hAnsi="Book Antiqua"/>
          <w:b/>
        </w:rPr>
      </w:pPr>
      <w:r w:rsidRPr="00694F4E">
        <w:rPr>
          <w:rFonts w:ascii="Book Antiqua" w:eastAsia="Book Antiqua" w:hAnsi="Book Antiqua" w:cs="Book Antiqua"/>
          <w:b/>
          <w:i/>
          <w:iCs/>
          <w:color w:val="000000"/>
        </w:rPr>
        <w:t>Histological findings</w:t>
      </w:r>
    </w:p>
    <w:p w14:paraId="208A75BB" w14:textId="1918DACE"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 xml:space="preserve">AIG was diagnosed by the presence of </w:t>
      </w:r>
      <w:r w:rsidR="00A946EC" w:rsidRPr="00694F4E">
        <w:rPr>
          <w:rFonts w:ascii="Book Antiqua" w:eastAsia="Book Antiqua" w:hAnsi="Book Antiqua" w:cs="Book Antiqua"/>
          <w:color w:val="000000"/>
          <w:shd w:val="clear" w:color="auto" w:fill="FFFFFF"/>
        </w:rPr>
        <w:t>corpus–</w:t>
      </w:r>
      <w:r w:rsidRPr="00694F4E">
        <w:rPr>
          <w:rFonts w:ascii="Book Antiqua" w:eastAsia="Book Antiqua" w:hAnsi="Book Antiqua" w:cs="Book Antiqua"/>
          <w:color w:val="000000"/>
          <w:shd w:val="clear" w:color="auto" w:fill="FFFFFF"/>
        </w:rPr>
        <w:t xml:space="preserve">fundus-predominant atrophic </w:t>
      </w:r>
      <w:proofErr w:type="gramStart"/>
      <w:r w:rsidRPr="00694F4E">
        <w:rPr>
          <w:rFonts w:ascii="Book Antiqua" w:eastAsia="Book Antiqua" w:hAnsi="Book Antiqua" w:cs="Book Antiqua"/>
          <w:color w:val="000000"/>
          <w:shd w:val="clear" w:color="auto" w:fill="FFFFFF"/>
        </w:rPr>
        <w:t>gastritis</w:t>
      </w:r>
      <w:r w:rsidR="007722B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36</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During EGD, topographical biopsies were taken and collected in separate jars according to the updated Sydney </w:t>
      </w:r>
      <w:proofErr w:type="gramStart"/>
      <w:r w:rsidRPr="00694F4E">
        <w:rPr>
          <w:rFonts w:ascii="Book Antiqua" w:eastAsia="Book Antiqua" w:hAnsi="Book Antiqua" w:cs="Book Antiqua"/>
          <w:color w:val="000000"/>
          <w:shd w:val="clear" w:color="auto" w:fill="FFFFFF"/>
        </w:rPr>
        <w:t>classification</w:t>
      </w:r>
      <w:r w:rsidR="007722B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30</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i/>
          <w:iCs/>
          <w:color w:val="000000"/>
          <w:shd w:val="clear" w:color="auto" w:fill="FFFFFF"/>
        </w:rPr>
        <w:t xml:space="preserve">H. </w:t>
      </w:r>
      <w:r w:rsidR="00A946EC" w:rsidRPr="00694F4E">
        <w:rPr>
          <w:rFonts w:ascii="Book Antiqua" w:eastAsia="Book Antiqua" w:hAnsi="Book Antiqua" w:cs="Book Antiqua"/>
          <w:i/>
          <w:iCs/>
          <w:color w:val="000000"/>
          <w:shd w:val="clear" w:color="auto" w:fill="FFFFFF"/>
        </w:rPr>
        <w:t>pylori</w:t>
      </w:r>
      <w:r w:rsidR="00A946EC"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infection was investigated</w:t>
      </w:r>
      <w:r w:rsidRPr="00694F4E">
        <w:rPr>
          <w:rFonts w:ascii="Book Antiqua" w:eastAsia="Book Antiqua" w:hAnsi="Book Antiqua" w:cs="Book Antiqua"/>
          <w:color w:val="000000"/>
        </w:rPr>
        <w:t xml:space="preserve"> in</w:t>
      </w:r>
      <w:r w:rsidRPr="00694F4E">
        <w:rPr>
          <w:rFonts w:ascii="Book Antiqua" w:eastAsia="Book Antiqua" w:hAnsi="Book Antiqua" w:cs="Book Antiqua"/>
          <w:color w:val="000000"/>
          <w:shd w:val="clear" w:color="auto" w:fill="FFFFFF"/>
        </w:rPr>
        <w:t xml:space="preserve"> each patient. The Operative Link on Gastritis Assessment (OLGA) score was used to assess the stage of mucosal atrophy and the risk of gastric </w:t>
      </w:r>
      <w:proofErr w:type="gramStart"/>
      <w:r w:rsidRPr="00694F4E">
        <w:rPr>
          <w:rFonts w:ascii="Book Antiqua" w:eastAsia="Book Antiqua" w:hAnsi="Book Antiqua" w:cs="Book Antiqua"/>
          <w:color w:val="000000"/>
          <w:shd w:val="clear" w:color="auto" w:fill="FFFFFF"/>
        </w:rPr>
        <w:t>cancer</w:t>
      </w:r>
      <w:r w:rsidR="007722B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37</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while the Operative Link on Gastric Intestinal Metaplasia (OLGIM) score was used to estimate the stage of intestinal metaplasia</w:t>
      </w:r>
      <w:r w:rsidR="007722B5" w:rsidRPr="00694F4E">
        <w:rPr>
          <w:rFonts w:ascii="Book Antiqua" w:hAnsi="Book Antiqua" w:cs="Book Antiqua"/>
          <w:color w:val="000000"/>
          <w:shd w:val="clear" w:color="auto" w:fill="FFFFFF"/>
          <w:vertAlign w:val="superscript"/>
          <w:lang w:eastAsia="zh-CN"/>
        </w:rPr>
        <w:t>[</w:t>
      </w:r>
      <w:r w:rsidRPr="00694F4E">
        <w:rPr>
          <w:rFonts w:ascii="Book Antiqua" w:eastAsia="Book Antiqua" w:hAnsi="Book Antiqua" w:cs="Book Antiqua"/>
          <w:color w:val="000000"/>
          <w:vertAlign w:val="superscript"/>
        </w:rPr>
        <w:t>38,39</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Pseudopyloric metaplasia was also evaluated for its presence and </w:t>
      </w:r>
      <w:proofErr w:type="gramStart"/>
      <w:r w:rsidRPr="00694F4E">
        <w:rPr>
          <w:rFonts w:ascii="Book Antiqua" w:eastAsia="Book Antiqua" w:hAnsi="Book Antiqua" w:cs="Book Antiqua"/>
          <w:color w:val="000000"/>
          <w:shd w:val="clear" w:color="auto" w:fill="FFFFFF"/>
        </w:rPr>
        <w:t>severity</w:t>
      </w:r>
      <w:r w:rsidR="007722B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w:t>
      </w:r>
      <w:r w:rsidR="008D120E" w:rsidRPr="00694F4E">
        <w:rPr>
          <w:rFonts w:ascii="Book Antiqua" w:eastAsia="Book Antiqua" w:hAnsi="Book Antiqua" w:cs="Book Antiqua"/>
          <w:color w:val="000000"/>
          <w:vertAlign w:val="superscript"/>
        </w:rPr>
        <w:t>13</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Hyperplasia of ECL cells, stained with chromogranin A (CgA), was defined as proliferation </w:t>
      </w:r>
      <w:r w:rsidR="00A946EC" w:rsidRPr="00694F4E">
        <w:rPr>
          <w:rFonts w:ascii="Book Antiqua" w:eastAsia="Book Antiqua" w:hAnsi="Book Antiqua" w:cs="Book Antiqua"/>
          <w:color w:val="000000"/>
          <w:shd w:val="clear" w:color="auto" w:fill="FFFFFF"/>
        </w:rPr>
        <w:t>&gt;</w:t>
      </w:r>
      <w:r w:rsidRPr="00694F4E">
        <w:rPr>
          <w:rFonts w:ascii="Book Antiqua" w:eastAsia="Book Antiqua" w:hAnsi="Book Antiqua" w:cs="Book Antiqua"/>
          <w:color w:val="000000"/>
          <w:shd w:val="clear" w:color="auto" w:fill="FFFFFF"/>
        </w:rPr>
        <w:t xml:space="preserve"> 150 µm in diameter and classified as simple, linear, micronodular, or macronodular according to Solcia </w:t>
      </w:r>
      <w:r w:rsidRPr="00694F4E">
        <w:rPr>
          <w:rFonts w:ascii="Book Antiqua" w:eastAsia="Book Antiqua" w:hAnsi="Book Antiqua" w:cs="Book Antiqua"/>
          <w:i/>
          <w:iCs/>
          <w:color w:val="000000"/>
          <w:shd w:val="clear" w:color="auto" w:fill="FFFFFF"/>
        </w:rPr>
        <w:t xml:space="preserve">et </w:t>
      </w:r>
      <w:proofErr w:type="gramStart"/>
      <w:r w:rsidRPr="00694F4E">
        <w:rPr>
          <w:rFonts w:ascii="Book Antiqua" w:eastAsia="Book Antiqua" w:hAnsi="Book Antiqua" w:cs="Book Antiqua"/>
          <w:i/>
          <w:iCs/>
          <w:color w:val="000000"/>
          <w:shd w:val="clear" w:color="auto" w:fill="FFFFFF"/>
        </w:rPr>
        <w:t>al</w:t>
      </w:r>
      <w:r w:rsidR="007722B5" w:rsidRPr="00694F4E">
        <w:rPr>
          <w:rFonts w:ascii="Book Antiqua" w:hAnsi="Book Antiqua" w:cs="Book Antiqua"/>
          <w:iCs/>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4</w:t>
      </w:r>
      <w:r w:rsidR="008D120E" w:rsidRPr="00694F4E">
        <w:rPr>
          <w:rFonts w:ascii="Book Antiqua" w:eastAsia="Book Antiqua" w:hAnsi="Book Antiqua" w:cs="Book Antiqua"/>
          <w:color w:val="000000"/>
          <w:vertAlign w:val="superscript"/>
        </w:rPr>
        <w:t>0</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Specimens were fixed in formalin and routinely processed. Gastric mucosal sections were stained with hematoxylin</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eosin for routine </w:t>
      </w:r>
      <w:r w:rsidRPr="00694F4E">
        <w:rPr>
          <w:rFonts w:ascii="Book Antiqua" w:eastAsia="Book Antiqua" w:hAnsi="Book Antiqua" w:cs="Book Antiqua"/>
          <w:color w:val="000000"/>
          <w:shd w:val="clear" w:color="auto" w:fill="FFFFFF"/>
        </w:rPr>
        <w:lastRenderedPageBreak/>
        <w:t>examination and with Alcian blue</w:t>
      </w:r>
      <w:r w:rsidR="00A946EC" w:rsidRPr="00694F4E">
        <w:rPr>
          <w:rFonts w:ascii="Book Antiqua" w:eastAsia="Book Antiqua" w:hAnsi="Book Antiqua" w:cs="Book Antiqua"/>
          <w:color w:val="000000"/>
          <w:shd w:val="clear" w:color="auto" w:fill="FFFFFF"/>
        </w:rPr>
        <w:t xml:space="preserve">/periodic acid–Schiff stain </w:t>
      </w:r>
      <w:r w:rsidRPr="00694F4E">
        <w:rPr>
          <w:rFonts w:ascii="Book Antiqua" w:eastAsia="Book Antiqua" w:hAnsi="Book Antiqua" w:cs="Book Antiqua"/>
          <w:color w:val="000000"/>
          <w:shd w:val="clear" w:color="auto" w:fill="FFFFFF"/>
        </w:rPr>
        <w:t xml:space="preserve">to assess intestinal metaplasia. </w:t>
      </w:r>
      <w:r w:rsidR="00E77CA2" w:rsidRPr="00694F4E">
        <w:rPr>
          <w:rFonts w:ascii="Book Antiqua" w:eastAsia="Book Antiqua" w:hAnsi="Book Antiqua" w:cs="Book Antiqua"/>
          <w:color w:val="000000"/>
          <w:shd w:val="clear" w:color="auto" w:fill="FFFFFF"/>
        </w:rPr>
        <w:t xml:space="preserve">Specimens of gNENs were analyzed for specific markers such as chromogranin A (CgA) and synaptophysin. The MIB-I antibody was used to detect and measure the level of Ki-67, an indicator of neoplastic proliferation. </w:t>
      </w:r>
      <w:r w:rsidRPr="00694F4E">
        <w:rPr>
          <w:rFonts w:ascii="Book Antiqua" w:eastAsia="Book Antiqua" w:hAnsi="Book Antiqua" w:cs="Book Antiqua"/>
          <w:color w:val="000000"/>
          <w:shd w:val="clear" w:color="auto" w:fill="FFFFFF"/>
        </w:rPr>
        <w:t xml:space="preserve">All neuroendocrine tumors were classified according to the 2019 WHO grading </w:t>
      </w:r>
      <w:proofErr w:type="gramStart"/>
      <w:r w:rsidRPr="00694F4E">
        <w:rPr>
          <w:rFonts w:ascii="Book Antiqua" w:eastAsia="Book Antiqua" w:hAnsi="Book Antiqua" w:cs="Book Antiqua"/>
          <w:color w:val="000000"/>
          <w:shd w:val="clear" w:color="auto" w:fill="FFFFFF"/>
        </w:rPr>
        <w:t>system</w:t>
      </w:r>
      <w:r w:rsidR="007722B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4</w:t>
      </w:r>
      <w:r w:rsidR="008D120E" w:rsidRPr="00694F4E">
        <w:rPr>
          <w:rFonts w:ascii="Book Antiqua" w:eastAsia="Book Antiqua" w:hAnsi="Book Antiqua" w:cs="Book Antiqua"/>
          <w:color w:val="000000"/>
          <w:vertAlign w:val="superscript"/>
        </w:rPr>
        <w:t>1</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and the European Neuroendocrine Tumor Society guidelines TNM staging system</w:t>
      </w:r>
      <w:r w:rsidR="007722B5" w:rsidRPr="00694F4E">
        <w:rPr>
          <w:rFonts w:ascii="Book Antiqua" w:hAnsi="Book Antiqua" w:cs="Book Antiqua"/>
          <w:color w:val="000000"/>
          <w:shd w:val="clear" w:color="auto" w:fill="FFFFFF"/>
          <w:vertAlign w:val="superscript"/>
          <w:lang w:eastAsia="zh-CN"/>
        </w:rPr>
        <w:t>[</w:t>
      </w:r>
      <w:r w:rsidRPr="00694F4E">
        <w:rPr>
          <w:rFonts w:ascii="Book Antiqua" w:eastAsia="Book Antiqua" w:hAnsi="Book Antiqua" w:cs="Book Antiqua"/>
          <w:color w:val="000000"/>
          <w:vertAlign w:val="superscript"/>
        </w:rPr>
        <w:t>4</w:t>
      </w:r>
      <w:r w:rsidR="008D120E" w:rsidRPr="00694F4E">
        <w:rPr>
          <w:rFonts w:ascii="Book Antiqua" w:eastAsia="Book Antiqua" w:hAnsi="Book Antiqua" w:cs="Book Antiqua"/>
          <w:color w:val="000000"/>
          <w:vertAlign w:val="superscript"/>
        </w:rPr>
        <w:t>2</w:t>
      </w:r>
      <w:r w:rsidR="007722B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7AD35262" w14:textId="77777777" w:rsidR="00A77B3E" w:rsidRPr="00694F4E" w:rsidRDefault="00A77B3E" w:rsidP="00A62589">
      <w:pPr>
        <w:spacing w:line="360" w:lineRule="auto"/>
        <w:jc w:val="both"/>
        <w:rPr>
          <w:rFonts w:ascii="Book Antiqua" w:hAnsi="Book Antiqua"/>
        </w:rPr>
      </w:pPr>
    </w:p>
    <w:p w14:paraId="180C766F" w14:textId="77777777" w:rsidR="00A77B3E" w:rsidRPr="00694F4E" w:rsidRDefault="00D157AA" w:rsidP="00A62589">
      <w:pPr>
        <w:spacing w:line="360" w:lineRule="auto"/>
        <w:jc w:val="both"/>
        <w:rPr>
          <w:rFonts w:ascii="Book Antiqua" w:hAnsi="Book Antiqua"/>
          <w:b/>
        </w:rPr>
      </w:pPr>
      <w:r w:rsidRPr="00694F4E">
        <w:rPr>
          <w:rFonts w:ascii="Book Antiqua" w:eastAsia="Book Antiqua" w:hAnsi="Book Antiqua" w:cs="Book Antiqua"/>
          <w:b/>
          <w:i/>
          <w:iCs/>
          <w:color w:val="000000"/>
        </w:rPr>
        <w:t>Laboratory investigations</w:t>
      </w:r>
    </w:p>
    <w:p w14:paraId="31284B7B" w14:textId="6C39019D"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 xml:space="preserve">Morning fasting blood samples were used for all biochemical tests. Tubes containing anticoagulants were used for serum samples, while those with </w:t>
      </w:r>
      <w:r w:rsidR="00A946EC" w:rsidRPr="00694F4E">
        <w:rPr>
          <w:rFonts w:ascii="Book Antiqua" w:eastAsia="Book Antiqua" w:hAnsi="Book Antiqua" w:cs="Book Antiqua"/>
          <w:color w:val="000000"/>
          <w:shd w:val="clear" w:color="auto" w:fill="FFFFFF"/>
        </w:rPr>
        <w:t>EDTA</w:t>
      </w:r>
      <w:r w:rsidRPr="00694F4E">
        <w:rPr>
          <w:rFonts w:ascii="Book Antiqua" w:eastAsia="Book Antiqua" w:hAnsi="Book Antiqua" w:cs="Book Antiqua"/>
          <w:color w:val="000000"/>
          <w:shd w:val="clear" w:color="auto" w:fill="FFFFFF"/>
        </w:rPr>
        <w:t xml:space="preserve"> (1 mg/mL) or heparin were used for plasma samples. Anemia was diagnosed when the hemoglobin level was </w:t>
      </w:r>
      <w:r w:rsidR="00A946EC" w:rsidRPr="00694F4E">
        <w:rPr>
          <w:rFonts w:ascii="Book Antiqua" w:eastAsia="Book Antiqua" w:hAnsi="Book Antiqua" w:cs="Book Antiqua"/>
          <w:color w:val="000000"/>
          <w:shd w:val="clear" w:color="auto" w:fill="FFFFFF"/>
        </w:rPr>
        <w:t>&lt;</w:t>
      </w:r>
      <w:r w:rsidRPr="00694F4E">
        <w:rPr>
          <w:rFonts w:ascii="Book Antiqua" w:eastAsia="Book Antiqua" w:hAnsi="Book Antiqua" w:cs="Book Antiqua"/>
          <w:color w:val="000000"/>
          <w:shd w:val="clear" w:color="auto" w:fill="FFFFFF"/>
        </w:rPr>
        <w:t xml:space="preserve"> 12 g/dL in women and </w:t>
      </w:r>
      <w:r w:rsidR="00A946EC" w:rsidRPr="00694F4E">
        <w:rPr>
          <w:rFonts w:ascii="Book Antiqua" w:eastAsia="Book Antiqua" w:hAnsi="Book Antiqua" w:cs="Book Antiqua"/>
          <w:color w:val="000000"/>
          <w:shd w:val="clear" w:color="auto" w:fill="FFFFFF"/>
        </w:rPr>
        <w:t xml:space="preserve">&lt; </w:t>
      </w:r>
      <w:r w:rsidRPr="00694F4E">
        <w:rPr>
          <w:rFonts w:ascii="Book Antiqua" w:eastAsia="Book Antiqua" w:hAnsi="Book Antiqua" w:cs="Book Antiqua"/>
          <w:color w:val="000000"/>
          <w:shd w:val="clear" w:color="auto" w:fill="FFFFFF"/>
        </w:rPr>
        <w:t xml:space="preserve">13 g/dL in men. Mean corpuscular volume </w:t>
      </w:r>
      <w:r w:rsidR="00A946EC" w:rsidRPr="00694F4E">
        <w:rPr>
          <w:rFonts w:ascii="Book Antiqua" w:eastAsia="Book Antiqua" w:hAnsi="Book Antiqua" w:cs="Book Antiqua"/>
          <w:color w:val="000000"/>
          <w:shd w:val="clear" w:color="auto" w:fill="FFFFFF"/>
        </w:rPr>
        <w:t>&gt;</w:t>
      </w:r>
      <w:r w:rsidRPr="00694F4E">
        <w:rPr>
          <w:rFonts w:ascii="Book Antiqua" w:eastAsia="Book Antiqua" w:hAnsi="Book Antiqua" w:cs="Book Antiqua"/>
          <w:color w:val="000000"/>
          <w:shd w:val="clear" w:color="auto" w:fill="FFFFFF"/>
        </w:rPr>
        <w:t xml:space="preserve"> 99 fL was indicative of macrocytic anemia. In addition, white blood cell count (4</w:t>
      </w:r>
      <w:r w:rsidR="00A946EC" w:rsidRPr="00694F4E">
        <w:rPr>
          <w:rFonts w:ascii="Book Antiqua" w:eastAsia="Book Antiqua" w:hAnsi="Book Antiqua" w:cs="Book Antiqua"/>
          <w:color w:val="000000"/>
          <w:shd w:val="clear" w:color="auto" w:fill="FFFFFF"/>
        </w:rPr>
        <w:t xml:space="preserve"> × 10</w:t>
      </w:r>
      <w:r w:rsidR="00A946EC" w:rsidRPr="00694F4E">
        <w:rPr>
          <w:rFonts w:ascii="Book Antiqua" w:eastAsia="Book Antiqua" w:hAnsi="Book Antiqua" w:cs="Book Antiqua"/>
          <w:color w:val="000000"/>
          <w:shd w:val="clear" w:color="auto" w:fill="FFFFFF"/>
          <w:vertAlign w:val="superscript"/>
        </w:rPr>
        <w:t>3</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11</w:t>
      </w:r>
      <w:r w:rsidR="0087252D" w:rsidRPr="00694F4E">
        <w:rPr>
          <w:rFonts w:ascii="Book Antiqua" w:hAnsi="Book Antiqua" w:cs="Book Antiqua"/>
          <w:color w:val="000000"/>
          <w:shd w:val="clear" w:color="auto" w:fill="FFFFFF"/>
          <w:lang w:eastAsia="zh-CN"/>
        </w:rPr>
        <w:t xml:space="preserve"> </w:t>
      </w:r>
      <w:r w:rsidR="007722B5"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10</w:t>
      </w:r>
      <w:r w:rsidRPr="00694F4E">
        <w:rPr>
          <w:rFonts w:ascii="Book Antiqua" w:eastAsia="Book Antiqua" w:hAnsi="Book Antiqua" w:cs="Book Antiqua"/>
          <w:color w:val="000000"/>
          <w:shd w:val="clear" w:color="auto" w:fill="FFFFFF"/>
          <w:vertAlign w:val="superscript"/>
        </w:rPr>
        <w:t>3</w:t>
      </w:r>
      <w:r w:rsidRPr="00694F4E">
        <w:rPr>
          <w:rFonts w:ascii="Book Antiqua" w:eastAsia="Book Antiqua" w:hAnsi="Book Antiqua" w:cs="Book Antiqua"/>
          <w:color w:val="000000"/>
          <w:shd w:val="clear" w:color="auto" w:fill="FFFFFF"/>
        </w:rPr>
        <w:t>/μL), platelet count (140</w:t>
      </w:r>
      <w:r w:rsidR="00A946EC" w:rsidRPr="00694F4E">
        <w:rPr>
          <w:rFonts w:ascii="Book Antiqua" w:eastAsia="Book Antiqua" w:hAnsi="Book Antiqua" w:cs="Book Antiqua"/>
          <w:color w:val="000000"/>
          <w:shd w:val="clear" w:color="auto" w:fill="FFFFFF"/>
        </w:rPr>
        <w:t xml:space="preserve"> × 10</w:t>
      </w:r>
      <w:r w:rsidR="00A946EC" w:rsidRPr="00694F4E">
        <w:rPr>
          <w:rFonts w:ascii="Book Antiqua" w:eastAsia="Book Antiqua" w:hAnsi="Book Antiqua" w:cs="Book Antiqua"/>
          <w:color w:val="000000"/>
          <w:shd w:val="clear" w:color="auto" w:fill="FFFFFF"/>
          <w:vertAlign w:val="superscript"/>
        </w:rPr>
        <w:t>3</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440 </w:t>
      </w:r>
      <w:r w:rsidR="0087252D"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10</w:t>
      </w:r>
      <w:r w:rsidRPr="00694F4E">
        <w:rPr>
          <w:rFonts w:ascii="Book Antiqua" w:eastAsia="Book Antiqua" w:hAnsi="Book Antiqua" w:cs="Book Antiqua"/>
          <w:color w:val="000000"/>
          <w:shd w:val="clear" w:color="auto" w:fill="FFFFFF"/>
          <w:vertAlign w:val="superscript"/>
        </w:rPr>
        <w:t>3</w:t>
      </w:r>
      <w:r w:rsidRPr="00694F4E">
        <w:rPr>
          <w:rFonts w:ascii="Book Antiqua" w:eastAsia="Book Antiqua" w:hAnsi="Book Antiqua" w:cs="Book Antiqua"/>
          <w:color w:val="000000"/>
          <w:shd w:val="clear" w:color="auto" w:fill="FFFFFF"/>
        </w:rPr>
        <w:t>/μL), lactate dehydrogenase levels (135</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214 U/L), thyroid-stimulating hormone levels (0.27</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4.2 μU/mL), vitamin B12 </w:t>
      </w:r>
      <w:r w:rsidR="0087252D" w:rsidRPr="00694F4E">
        <w:rPr>
          <w:rFonts w:ascii="Book Antiqua" w:hAnsi="Book Antiqua" w:cs="Book Antiqua"/>
          <w:color w:val="000000"/>
          <w:shd w:val="clear" w:color="auto" w:fill="FFFFFF"/>
          <w:lang w:eastAsia="zh-CN"/>
        </w:rPr>
        <w:t>l</w:t>
      </w:r>
      <w:r w:rsidRPr="00694F4E">
        <w:rPr>
          <w:rFonts w:ascii="Book Antiqua" w:eastAsia="Book Antiqua" w:hAnsi="Book Antiqua" w:cs="Book Antiqua"/>
          <w:color w:val="000000"/>
          <w:shd w:val="clear" w:color="auto" w:fill="FFFFFF"/>
        </w:rPr>
        <w:t>evels (197</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771 pg/mL), iron levels (33</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193 </w:t>
      </w:r>
      <w:r w:rsidR="00A946EC" w:rsidRPr="00694F4E">
        <w:rPr>
          <w:rFonts w:ascii="Book Antiqua" w:eastAsia="Book Antiqua" w:hAnsi="Book Antiqua" w:cs="Book Antiqua"/>
          <w:color w:val="000000"/>
          <w:shd w:val="clear" w:color="auto" w:fill="FFFFFF"/>
        </w:rPr>
        <w:sym w:font="Symbol" w:char="F06D"/>
      </w:r>
      <w:r w:rsidRPr="00694F4E">
        <w:rPr>
          <w:rFonts w:ascii="Book Antiqua" w:eastAsia="Book Antiqua" w:hAnsi="Book Antiqua" w:cs="Book Antiqua"/>
          <w:color w:val="000000"/>
          <w:shd w:val="clear" w:color="auto" w:fill="FFFFFF"/>
        </w:rPr>
        <w:t>g/dL), and homocysteine levels (5</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12 mmol/L) were also assessed.</w:t>
      </w:r>
    </w:p>
    <w:p w14:paraId="71E46846" w14:textId="5D2B1D90" w:rsidR="00A77B3E" w:rsidRPr="00694F4E" w:rsidRDefault="00D157AA" w:rsidP="00E94BAA">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Detection of APCA</w:t>
      </w:r>
      <w:r w:rsidR="00A946EC" w:rsidRPr="00694F4E">
        <w:rPr>
          <w:rFonts w:ascii="Book Antiqua" w:eastAsia="Book Antiqua" w:hAnsi="Book Antiqua" w:cs="Book Antiqua"/>
          <w:color w:val="000000"/>
          <w:shd w:val="clear" w:color="auto" w:fill="FFFFFF"/>
        </w:rPr>
        <w:t>s</w:t>
      </w:r>
      <w:r w:rsidRPr="00694F4E">
        <w:rPr>
          <w:rFonts w:ascii="Book Antiqua" w:eastAsia="Book Antiqua" w:hAnsi="Book Antiqua" w:cs="Book Antiqua"/>
          <w:color w:val="000000"/>
          <w:shd w:val="clear" w:color="auto" w:fill="FFFFFF"/>
        </w:rPr>
        <w:t xml:space="preserve"> and </w:t>
      </w:r>
      <w:r w:rsidR="009430DD" w:rsidRPr="00694F4E">
        <w:rPr>
          <w:rFonts w:ascii="Book Antiqua" w:eastAsia="Book Antiqua" w:hAnsi="Book Antiqua" w:cs="Book Antiqua"/>
          <w:color w:val="000000"/>
          <w:shd w:val="clear" w:color="auto" w:fill="FFFFFF"/>
        </w:rPr>
        <w:t>anti-IF</w:t>
      </w:r>
      <w:r w:rsidRPr="00694F4E">
        <w:rPr>
          <w:rFonts w:ascii="Book Antiqua" w:eastAsia="Book Antiqua" w:hAnsi="Book Antiqua" w:cs="Book Antiqua"/>
          <w:color w:val="000000"/>
          <w:shd w:val="clear" w:color="auto" w:fill="FFFFFF"/>
        </w:rPr>
        <w:t xml:space="preserve"> antibodies was performed by dilution and direct immunofluorescence techniques, and positivity was defined as </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1:80. Blood gastrin levels were measured by the quantitative chemiluminescence immunoassay, with a normal range </w:t>
      </w:r>
      <w:r w:rsidR="00A946EC" w:rsidRPr="00694F4E">
        <w:rPr>
          <w:rFonts w:ascii="Book Antiqua" w:eastAsia="Book Antiqua" w:hAnsi="Book Antiqua" w:cs="Book Antiqua"/>
          <w:color w:val="000000"/>
          <w:shd w:val="clear" w:color="auto" w:fill="FFFFFF"/>
        </w:rPr>
        <w:t>&lt;</w:t>
      </w:r>
      <w:r w:rsidRPr="00694F4E">
        <w:rPr>
          <w:rFonts w:ascii="Book Antiqua" w:eastAsia="Book Antiqua" w:hAnsi="Book Antiqua" w:cs="Book Antiqua"/>
          <w:color w:val="000000"/>
          <w:shd w:val="clear" w:color="auto" w:fill="FFFFFF"/>
        </w:rPr>
        <w:t xml:space="preserve"> 115 pg/mL. Similarly, circulating CgA levels were measured using the available IF TRACE kit, with a normal range </w:t>
      </w:r>
      <w:r w:rsidR="00A946EC" w:rsidRPr="00694F4E">
        <w:rPr>
          <w:rFonts w:ascii="Book Antiqua" w:eastAsia="Book Antiqua" w:hAnsi="Book Antiqua" w:cs="Book Antiqua"/>
          <w:color w:val="000000"/>
          <w:shd w:val="clear" w:color="auto" w:fill="FFFFFF"/>
        </w:rPr>
        <w:t>&lt;</w:t>
      </w:r>
      <w:r w:rsidRPr="00694F4E">
        <w:rPr>
          <w:rFonts w:ascii="Book Antiqua" w:eastAsia="Book Antiqua" w:hAnsi="Book Antiqua" w:cs="Book Antiqua"/>
          <w:color w:val="000000"/>
          <w:shd w:val="clear" w:color="auto" w:fill="FFFFFF"/>
        </w:rPr>
        <w:t xml:space="preserve"> 84.7 ng/</w:t>
      </w:r>
      <w:proofErr w:type="gramStart"/>
      <w:r w:rsidRPr="00694F4E">
        <w:rPr>
          <w:rFonts w:ascii="Book Antiqua" w:eastAsia="Book Antiqua" w:hAnsi="Book Antiqua" w:cs="Book Antiqua"/>
          <w:color w:val="000000"/>
          <w:shd w:val="clear" w:color="auto" w:fill="FFFFFF"/>
        </w:rPr>
        <w:t>mL</w:t>
      </w:r>
      <w:r w:rsidR="00E94BAA"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4</w:t>
      </w:r>
      <w:r w:rsidR="008D120E" w:rsidRPr="00694F4E">
        <w:rPr>
          <w:rFonts w:ascii="Book Antiqua" w:eastAsia="Book Antiqua" w:hAnsi="Book Antiqua" w:cs="Book Antiqua"/>
          <w:color w:val="000000"/>
          <w:vertAlign w:val="superscript"/>
        </w:rPr>
        <w:t>3</w:t>
      </w:r>
      <w:r w:rsidRPr="00694F4E">
        <w:rPr>
          <w:rFonts w:ascii="Book Antiqua" w:eastAsia="Book Antiqua" w:hAnsi="Book Antiqua" w:cs="Book Antiqua"/>
          <w:color w:val="000000"/>
          <w:vertAlign w:val="superscript"/>
        </w:rPr>
        <w:t>,4</w:t>
      </w:r>
      <w:r w:rsidR="008D120E" w:rsidRPr="00694F4E">
        <w:rPr>
          <w:rFonts w:ascii="Book Antiqua" w:eastAsia="Book Antiqua" w:hAnsi="Book Antiqua" w:cs="Book Antiqua"/>
          <w:color w:val="000000"/>
          <w:vertAlign w:val="superscript"/>
        </w:rPr>
        <w:t>4</w:t>
      </w:r>
      <w:r w:rsidR="00E94BAA"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AIG patients diagnosed before 2010 were excluded from the study sample since baseline CgA levels were measured using the </w:t>
      </w:r>
      <w:r w:rsidR="009430DD" w:rsidRPr="00694F4E">
        <w:rPr>
          <w:rFonts w:ascii="Book Antiqua" w:eastAsia="Book Antiqua" w:hAnsi="Book Antiqua" w:cs="Book Antiqua"/>
          <w:color w:val="000000"/>
          <w:shd w:val="clear" w:color="auto" w:fill="FFFFFF"/>
        </w:rPr>
        <w:t>radioimmunoassay</w:t>
      </w:r>
      <w:r w:rsidRPr="00694F4E">
        <w:rPr>
          <w:rFonts w:ascii="Book Antiqua" w:eastAsia="Book Antiqua" w:hAnsi="Book Antiqua" w:cs="Book Antiqua"/>
          <w:color w:val="000000"/>
          <w:shd w:val="clear" w:color="auto" w:fill="FFFFFF"/>
        </w:rPr>
        <w:t xml:space="preserve"> method, which is not comparable to the IF TRACE method. </w:t>
      </w:r>
    </w:p>
    <w:p w14:paraId="62814747" w14:textId="6974F6CA" w:rsidR="00A77B3E" w:rsidRPr="00694F4E" w:rsidRDefault="00D157AA" w:rsidP="00E94BAA">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It should be noted that in patients receiving PPI treatment, the medication was discontinued, and the blood te</w:t>
      </w:r>
      <w:r w:rsidR="00FE2E3D" w:rsidRPr="00694F4E">
        <w:rPr>
          <w:rFonts w:ascii="Book Antiqua" w:eastAsia="Book Antiqua" w:hAnsi="Book Antiqua" w:cs="Book Antiqua"/>
          <w:color w:val="000000"/>
          <w:shd w:val="clear" w:color="auto" w:fill="FFFFFF"/>
        </w:rPr>
        <w:t>st was repeated at least 15 d</w:t>
      </w:r>
      <w:r w:rsidRPr="00694F4E">
        <w:rPr>
          <w:rFonts w:ascii="Book Antiqua" w:eastAsia="Book Antiqua" w:hAnsi="Book Antiqua" w:cs="Book Antiqua"/>
          <w:color w:val="000000"/>
          <w:shd w:val="clear" w:color="auto" w:fill="FFFFFF"/>
        </w:rPr>
        <w:t xml:space="preserve"> after discontinuation.</w:t>
      </w:r>
    </w:p>
    <w:p w14:paraId="149866C2" w14:textId="77777777" w:rsidR="00A77B3E" w:rsidRPr="00694F4E" w:rsidRDefault="00A77B3E" w:rsidP="00A62589">
      <w:pPr>
        <w:spacing w:line="360" w:lineRule="auto"/>
        <w:jc w:val="both"/>
        <w:rPr>
          <w:rFonts w:ascii="Book Antiqua" w:hAnsi="Book Antiqua"/>
        </w:rPr>
      </w:pPr>
    </w:p>
    <w:p w14:paraId="35AACC89" w14:textId="77777777" w:rsidR="00A77B3E" w:rsidRPr="00694F4E" w:rsidRDefault="00D157AA" w:rsidP="00A62589">
      <w:pPr>
        <w:spacing w:line="360" w:lineRule="auto"/>
        <w:jc w:val="both"/>
        <w:rPr>
          <w:rFonts w:ascii="Book Antiqua" w:hAnsi="Book Antiqua"/>
          <w:b/>
        </w:rPr>
      </w:pPr>
      <w:r w:rsidRPr="00694F4E">
        <w:rPr>
          <w:rFonts w:ascii="Book Antiqua" w:eastAsia="Book Antiqua" w:hAnsi="Book Antiqua" w:cs="Book Antiqua"/>
          <w:b/>
          <w:i/>
          <w:iCs/>
          <w:color w:val="000000"/>
        </w:rPr>
        <w:t xml:space="preserve">Statistical analysis </w:t>
      </w:r>
    </w:p>
    <w:p w14:paraId="7475761D" w14:textId="68546D0F"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lastRenderedPageBreak/>
        <w:t xml:space="preserve">Continuous variables were presented using the median and interquartile range (IQR), whereas categorical variables were presented as </w:t>
      </w:r>
      <w:r w:rsidR="009430DD" w:rsidRPr="00694F4E">
        <w:rPr>
          <w:rFonts w:ascii="Book Antiqua" w:eastAsia="Book Antiqua" w:hAnsi="Book Antiqua" w:cs="Book Antiqua"/>
          <w:color w:val="000000"/>
          <w:shd w:val="clear" w:color="auto" w:fill="FFFFFF"/>
        </w:rPr>
        <w:t>numbers</w:t>
      </w:r>
      <w:r w:rsidRPr="00694F4E">
        <w:rPr>
          <w:rFonts w:ascii="Book Antiqua" w:eastAsia="Book Antiqua" w:hAnsi="Book Antiqua" w:cs="Book Antiqua"/>
          <w:color w:val="000000"/>
          <w:shd w:val="clear" w:color="auto" w:fill="FFFFFF"/>
        </w:rPr>
        <w:t xml:space="preserve"> (percentage). The Kolmogorov</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Smirnoff test was utilized to assess the normality of data distribution. Differences between groups were assessed using the Mann</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Whitney and Kruskal</w:t>
      </w:r>
      <w:r w:rsidR="00A946EC"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Wallis tests. Fisher’s exact test was used to compare percentages. Spearman’s rank correlation coefficient was used to determine the association between variables of interest, such as sex, age, BMI, use of PPIs, presence of </w:t>
      </w:r>
      <w:r w:rsidRPr="00694F4E">
        <w:rPr>
          <w:rFonts w:ascii="Book Antiqua" w:eastAsia="Book Antiqua" w:hAnsi="Book Antiqua" w:cs="Book Antiqua"/>
          <w:i/>
          <w:iCs/>
          <w:color w:val="000000"/>
          <w:shd w:val="clear" w:color="auto" w:fill="FFFFFF"/>
        </w:rPr>
        <w:t xml:space="preserve">H. </w:t>
      </w:r>
      <w:r w:rsidR="00A946EC" w:rsidRPr="00694F4E">
        <w:rPr>
          <w:rFonts w:ascii="Book Antiqua" w:eastAsia="Book Antiqua" w:hAnsi="Book Antiqua" w:cs="Book Antiqua"/>
          <w:i/>
          <w:iCs/>
          <w:color w:val="000000"/>
          <w:shd w:val="clear" w:color="auto" w:fill="FFFFFF"/>
        </w:rPr>
        <w:t>pylori</w:t>
      </w:r>
      <w:r w:rsidR="00A946EC"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infection, positivity for APCA</w:t>
      </w:r>
      <w:r w:rsidR="00A946EC" w:rsidRPr="00694F4E">
        <w:rPr>
          <w:rFonts w:ascii="Book Antiqua" w:eastAsia="Book Antiqua" w:hAnsi="Book Antiqua" w:cs="Book Antiqua"/>
          <w:color w:val="000000"/>
          <w:shd w:val="clear" w:color="auto" w:fill="FFFFFF"/>
        </w:rPr>
        <w:t>s</w:t>
      </w:r>
      <w:r w:rsidRPr="00694F4E">
        <w:rPr>
          <w:rFonts w:ascii="Book Antiqua" w:eastAsia="Book Antiqua" w:hAnsi="Book Antiqua" w:cs="Book Antiqua"/>
          <w:color w:val="000000"/>
          <w:shd w:val="clear" w:color="auto" w:fill="FFFFFF"/>
        </w:rPr>
        <w:t xml:space="preserve"> and/or </w:t>
      </w:r>
      <w:r w:rsidR="00A946EC" w:rsidRPr="00694F4E">
        <w:rPr>
          <w:rFonts w:ascii="Book Antiqua" w:eastAsia="Book Antiqua" w:hAnsi="Book Antiqua" w:cs="Book Antiqua"/>
          <w:color w:val="000000"/>
          <w:shd w:val="clear" w:color="auto" w:fill="FFFFFF"/>
        </w:rPr>
        <w:t>anti-</w:t>
      </w:r>
      <w:r w:rsidRPr="00694F4E">
        <w:rPr>
          <w:rFonts w:ascii="Book Antiqua" w:eastAsia="Book Antiqua" w:hAnsi="Book Antiqua" w:cs="Book Antiqua"/>
          <w:color w:val="000000"/>
          <w:shd w:val="clear" w:color="auto" w:fill="FFFFFF"/>
        </w:rPr>
        <w:t>IF</w:t>
      </w:r>
      <w:r w:rsidR="00A946EC" w:rsidRPr="00694F4E">
        <w:rPr>
          <w:rFonts w:ascii="Book Antiqua" w:eastAsia="Book Antiqua" w:hAnsi="Book Antiqua" w:cs="Book Antiqua"/>
          <w:color w:val="000000"/>
          <w:shd w:val="clear" w:color="auto" w:fill="FFFFFF"/>
        </w:rPr>
        <w:t xml:space="preserve"> antibodies</w:t>
      </w:r>
      <w:r w:rsidRPr="00694F4E">
        <w:rPr>
          <w:rFonts w:ascii="Book Antiqua" w:eastAsia="Book Antiqua" w:hAnsi="Book Antiqua" w:cs="Book Antiqua"/>
          <w:color w:val="000000"/>
          <w:shd w:val="clear" w:color="auto" w:fill="FFFFFF"/>
        </w:rPr>
        <w:t xml:space="preserve">, OLGA and OLGIM grading, plasma concentration of gastrin, CgA values, and presence of gNENs. A two-sided </w:t>
      </w:r>
      <w:r w:rsidR="00022C5E" w:rsidRPr="00694F4E">
        <w:rPr>
          <w:rFonts w:ascii="Book Antiqua" w:hAnsi="Book Antiqua" w:cs="Book Antiqua"/>
          <w:i/>
          <w:color w:val="000000"/>
          <w:shd w:val="clear" w:color="auto" w:fill="FFFFFF"/>
          <w:lang w:eastAsia="zh-CN"/>
        </w:rPr>
        <w:t>P</w:t>
      </w:r>
      <w:r w:rsidR="00022C5E" w:rsidRPr="00694F4E">
        <w:rPr>
          <w:rFonts w:ascii="Book Antiqua" w:hAnsi="Book Antiqua" w:cs="Book Antiqua"/>
          <w:color w:val="000000"/>
          <w:shd w:val="clear" w:color="auto" w:fill="FFFFFF"/>
          <w:lang w:eastAsia="zh-CN"/>
        </w:rPr>
        <w:t xml:space="preserve"> </w:t>
      </w:r>
      <w:r w:rsidR="00A946EC" w:rsidRPr="00694F4E">
        <w:rPr>
          <w:rFonts w:ascii="Book Antiqua" w:eastAsia="Book Antiqua" w:hAnsi="Book Antiqua" w:cs="Book Antiqua"/>
          <w:color w:val="000000"/>
          <w:shd w:val="clear" w:color="auto" w:fill="FFFFFF"/>
        </w:rPr>
        <w:t>&lt;</w:t>
      </w:r>
      <w:r w:rsidRPr="00694F4E">
        <w:rPr>
          <w:rFonts w:ascii="Book Antiqua" w:eastAsia="Book Antiqua" w:hAnsi="Book Antiqua" w:cs="Book Antiqua"/>
          <w:color w:val="000000"/>
          <w:shd w:val="clear" w:color="auto" w:fill="FFFFFF"/>
        </w:rPr>
        <w:t xml:space="preserve"> 0.05 was considered statistically significant. GraphPad Prism version 5.0, State Mat version 2 (GraphPad Software, San Diego, </w:t>
      </w:r>
      <w:r w:rsidR="00A946EC" w:rsidRPr="00694F4E">
        <w:rPr>
          <w:rFonts w:ascii="Book Antiqua" w:eastAsia="Book Antiqua" w:hAnsi="Book Antiqua" w:cs="Book Antiqua"/>
          <w:color w:val="000000"/>
          <w:shd w:val="clear" w:color="auto" w:fill="FFFFFF"/>
        </w:rPr>
        <w:t>CA, USA</w:t>
      </w:r>
      <w:r w:rsidRPr="00694F4E">
        <w:rPr>
          <w:rFonts w:ascii="Book Antiqua" w:eastAsia="Book Antiqua" w:hAnsi="Book Antiqua" w:cs="Book Antiqua"/>
          <w:color w:val="000000"/>
          <w:shd w:val="clear" w:color="auto" w:fill="FFFFFF"/>
        </w:rPr>
        <w:t>)</w:t>
      </w:r>
      <w:r w:rsidR="009430DD"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and MedCalc software were used for data analysis.</w:t>
      </w:r>
    </w:p>
    <w:p w14:paraId="59412846" w14:textId="77777777" w:rsidR="00A77B3E" w:rsidRPr="00694F4E" w:rsidRDefault="00A77B3E" w:rsidP="00A62589">
      <w:pPr>
        <w:spacing w:line="360" w:lineRule="auto"/>
        <w:jc w:val="both"/>
        <w:rPr>
          <w:rFonts w:ascii="Book Antiqua" w:hAnsi="Book Antiqua"/>
        </w:rPr>
      </w:pPr>
    </w:p>
    <w:p w14:paraId="33B2FB71"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RESULTS</w:t>
      </w:r>
    </w:p>
    <w:p w14:paraId="7464FB1C" w14:textId="7E67B795"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 xml:space="preserve">The study included 176 patients, the majority of whom were female (142, 80.7%), had a median </w:t>
      </w:r>
      <w:r w:rsidR="004E50B6" w:rsidRPr="00694F4E">
        <w:rPr>
          <w:rFonts w:ascii="Book Antiqua" w:eastAsia="Book Antiqua" w:hAnsi="Book Antiqua" w:cs="Book Antiqua"/>
          <w:color w:val="000000"/>
          <w:shd w:val="clear" w:color="auto" w:fill="FFFFFF"/>
        </w:rPr>
        <w:t>BMI</w:t>
      </w:r>
      <w:r w:rsidRPr="00694F4E">
        <w:rPr>
          <w:rFonts w:ascii="Book Antiqua" w:eastAsia="Book Antiqua" w:hAnsi="Book Antiqua" w:cs="Book Antiqua"/>
          <w:color w:val="000000"/>
          <w:shd w:val="clear" w:color="auto" w:fill="FFFFFF"/>
        </w:rPr>
        <w:t xml:space="preserve"> of 24.6 kg/m</w:t>
      </w:r>
      <w:r w:rsidRPr="00694F4E">
        <w:rPr>
          <w:rFonts w:ascii="Book Antiqua" w:eastAsia="Book Antiqua" w:hAnsi="Book Antiqua" w:cs="Book Antiqua"/>
          <w:color w:val="000000"/>
          <w:shd w:val="clear" w:color="auto" w:fill="FFFFFF"/>
          <w:vertAlign w:val="superscript"/>
        </w:rPr>
        <w:t>2</w:t>
      </w:r>
      <w:r w:rsidRPr="00694F4E">
        <w:rPr>
          <w:rFonts w:ascii="Book Antiqua" w:eastAsia="Book Antiqua" w:hAnsi="Book Antiqua" w:cs="Book Antiqua"/>
          <w:color w:val="000000"/>
        </w:rPr>
        <w:t xml:space="preserve"> </w:t>
      </w:r>
      <w:r w:rsidR="004E50B6" w:rsidRPr="00694F4E">
        <w:rPr>
          <w:rFonts w:ascii="Book Antiqua" w:hAnsi="Book Antiqua" w:cs="Book Antiqua"/>
          <w:color w:val="000000"/>
          <w:lang w:eastAsia="zh-CN"/>
        </w:rPr>
        <w:t>(</w:t>
      </w:r>
      <w:r w:rsidRPr="00694F4E">
        <w:rPr>
          <w:rFonts w:ascii="Book Antiqua" w:eastAsia="Book Antiqua" w:hAnsi="Book Antiqua" w:cs="Book Antiqua"/>
          <w:color w:val="000000"/>
        </w:rPr>
        <w:t>IQR 18.3</w:t>
      </w:r>
      <w:r w:rsidR="0096578A" w:rsidRPr="00694F4E">
        <w:rPr>
          <w:rFonts w:ascii="Book Antiqua" w:eastAsia="Book Antiqua" w:hAnsi="Book Antiqua" w:cs="Book Antiqua"/>
          <w:color w:val="000000"/>
        </w:rPr>
        <w:t>–</w:t>
      </w:r>
      <w:r w:rsidRPr="00694F4E">
        <w:rPr>
          <w:rFonts w:ascii="Book Antiqua" w:eastAsia="Book Antiqua" w:hAnsi="Book Antiqua" w:cs="Book Antiqua"/>
          <w:color w:val="000000"/>
        </w:rPr>
        <w:t>52.7</w:t>
      </w:r>
      <w:r w:rsidR="004E50B6" w:rsidRPr="00694F4E">
        <w:rPr>
          <w:rFonts w:ascii="Book Antiqua" w:hAnsi="Book Antiqua" w:cs="Book Antiqua"/>
          <w:color w:val="000000"/>
          <w:lang w:eastAsia="zh-CN"/>
        </w:rPr>
        <w:t>)</w:t>
      </w:r>
      <w:r w:rsidRPr="00694F4E">
        <w:rPr>
          <w:rFonts w:ascii="Book Antiqua" w:eastAsia="Book Antiqua" w:hAnsi="Book Antiqua" w:cs="Book Antiqua"/>
          <w:color w:val="000000"/>
        </w:rPr>
        <w:t xml:space="preserve">, and a median age of 64 years </w:t>
      </w:r>
      <w:r w:rsidR="004E50B6" w:rsidRPr="00694F4E">
        <w:rPr>
          <w:rFonts w:ascii="Book Antiqua" w:hAnsi="Book Antiqua" w:cs="Book Antiqua"/>
          <w:color w:val="000000"/>
          <w:lang w:eastAsia="zh-CN"/>
        </w:rPr>
        <w:t>(</w:t>
      </w:r>
      <w:r w:rsidRPr="00694F4E">
        <w:rPr>
          <w:rFonts w:ascii="Book Antiqua" w:eastAsia="Book Antiqua" w:hAnsi="Book Antiqua" w:cs="Book Antiqua"/>
          <w:color w:val="000000"/>
        </w:rPr>
        <w:t>IQR 53</w:t>
      </w:r>
      <w:r w:rsidR="0096578A" w:rsidRPr="00694F4E">
        <w:rPr>
          <w:rFonts w:ascii="Book Antiqua" w:eastAsia="Book Antiqua" w:hAnsi="Book Antiqua" w:cs="Book Antiqua"/>
          <w:color w:val="000000"/>
        </w:rPr>
        <w:t>–</w:t>
      </w:r>
      <w:r w:rsidRPr="00694F4E">
        <w:rPr>
          <w:rFonts w:ascii="Book Antiqua" w:eastAsia="Book Antiqua" w:hAnsi="Book Antiqua" w:cs="Book Antiqua"/>
          <w:color w:val="000000"/>
        </w:rPr>
        <w:t>71</w:t>
      </w:r>
      <w:r w:rsidR="004E50B6" w:rsidRPr="00694F4E">
        <w:rPr>
          <w:rFonts w:ascii="Book Antiqua" w:hAnsi="Book Antiqua" w:cs="Book Antiqua"/>
          <w:color w:val="000000"/>
          <w:lang w:eastAsia="zh-CN"/>
        </w:rPr>
        <w:t>)</w:t>
      </w:r>
      <w:r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 xml:space="preserve">At baseline, 72% of the patients had at least one autoimmune endocrine disease, with autoimmune thyroid disease being the most common (35.8%). Other autoimmune diseases included diabetes mellitus, vitiligo, psoriasis, celiac disease, </w:t>
      </w:r>
      <w:r w:rsidR="0096578A" w:rsidRPr="00694F4E">
        <w:rPr>
          <w:rFonts w:ascii="Book Antiqua" w:eastAsia="Book Antiqua" w:hAnsi="Book Antiqua" w:cs="Book Antiqua"/>
          <w:color w:val="000000"/>
          <w:shd w:val="clear" w:color="auto" w:fill="FFFFFF"/>
        </w:rPr>
        <w:t xml:space="preserve">Addison’s </w:t>
      </w:r>
      <w:r w:rsidRPr="00694F4E">
        <w:rPr>
          <w:rFonts w:ascii="Book Antiqua" w:eastAsia="Book Antiqua" w:hAnsi="Book Antiqua" w:cs="Book Antiqua"/>
          <w:color w:val="000000"/>
          <w:shd w:val="clear" w:color="auto" w:fill="FFFFFF"/>
        </w:rPr>
        <w:t xml:space="preserve">disease, and autoimmune liver diseases such as primary biliary cholangitis, autoimmune hepatitis, and fibromyalgia. </w:t>
      </w:r>
      <w:r w:rsidRPr="00694F4E">
        <w:rPr>
          <w:rFonts w:ascii="Book Antiqua" w:eastAsia="Book Antiqua" w:hAnsi="Book Antiqua" w:cs="Book Antiqua"/>
          <w:i/>
          <w:iCs/>
          <w:color w:val="000000"/>
          <w:shd w:val="clear" w:color="auto" w:fill="FFFFFF"/>
        </w:rPr>
        <w:t xml:space="preserve">H. </w:t>
      </w:r>
      <w:r w:rsidR="0096578A" w:rsidRPr="00694F4E">
        <w:rPr>
          <w:rFonts w:ascii="Book Antiqua" w:eastAsia="Book Antiqua" w:hAnsi="Book Antiqua" w:cs="Book Antiqua"/>
          <w:i/>
          <w:iCs/>
          <w:color w:val="000000"/>
          <w:shd w:val="clear" w:color="auto" w:fill="FFFFFF"/>
        </w:rPr>
        <w:t>pylori</w:t>
      </w:r>
      <w:r w:rsidR="0096578A"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infection was detected in 20.4% of patients but eradicated in all cases. APCA positivity was found in 83</w:t>
      </w:r>
      <w:r w:rsidR="00886CEC" w:rsidRPr="00694F4E">
        <w:rPr>
          <w:rFonts w:ascii="Book Antiqua" w:hAnsi="Book Antiqua" w:cs="Book Antiqua"/>
          <w:color w:val="000000"/>
          <w:shd w:val="clear" w:color="auto" w:fill="FFFFFF"/>
          <w:lang w:eastAsia="zh-CN"/>
        </w:rPr>
        <w:t>.</w:t>
      </w:r>
      <w:r w:rsidRPr="00694F4E">
        <w:rPr>
          <w:rFonts w:ascii="Book Antiqua" w:eastAsia="Book Antiqua" w:hAnsi="Book Antiqua" w:cs="Book Antiqua"/>
          <w:color w:val="000000"/>
          <w:shd w:val="clear" w:color="auto" w:fill="FFFFFF"/>
        </w:rPr>
        <w:t xml:space="preserve">5% of cases. The median gastrin value of the whole studied population was 668 pg/mL and the median circulating CgA level was 146 ng/mL. APS was diagnosed in 22.1% of patients with at least one autoimmune disease. Further details on the characteristics of the patients, including anthropometric, clinical, biochemical, and baseline histological features, are provided in </w:t>
      </w:r>
      <w:r w:rsidRPr="00694F4E">
        <w:rPr>
          <w:rFonts w:ascii="Book Antiqua" w:eastAsia="Book Antiqua" w:hAnsi="Book Antiqua" w:cs="Book Antiqua"/>
          <w:bCs/>
          <w:color w:val="000000"/>
          <w:shd w:val="clear" w:color="auto" w:fill="FFFFFF"/>
        </w:rPr>
        <w:t>Table 1.</w:t>
      </w:r>
    </w:p>
    <w:p w14:paraId="610251F0" w14:textId="3698DDA1" w:rsidR="00A77B3E" w:rsidRPr="00694F4E" w:rsidRDefault="00D157AA" w:rsidP="00111A95">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A total of 507 EGDs were performed in 176 patients,</w:t>
      </w:r>
      <w:r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 xml:space="preserve">with a mean number of </w:t>
      </w:r>
      <w:r w:rsidR="0096578A" w:rsidRPr="00694F4E">
        <w:rPr>
          <w:rFonts w:ascii="Book Antiqua" w:eastAsia="Book Antiqua" w:hAnsi="Book Antiqua" w:cs="Book Antiqua"/>
          <w:color w:val="000000"/>
          <w:shd w:val="clear" w:color="auto" w:fill="FFFFFF"/>
        </w:rPr>
        <w:t>three</w:t>
      </w:r>
      <w:r w:rsidRPr="00694F4E">
        <w:rPr>
          <w:rFonts w:ascii="Book Antiqua" w:eastAsia="Book Antiqua" w:hAnsi="Book Antiqua" w:cs="Book Antiqua"/>
          <w:color w:val="000000"/>
          <w:shd w:val="clear" w:color="auto" w:fill="FFFFFF"/>
        </w:rPr>
        <w:t xml:space="preserve"> for each patient. All patients showed atrophy of the </w:t>
      </w:r>
      <w:r w:rsidR="0096578A" w:rsidRPr="00694F4E">
        <w:rPr>
          <w:rFonts w:ascii="Book Antiqua" w:eastAsia="Book Antiqua" w:hAnsi="Book Antiqua" w:cs="Book Antiqua"/>
          <w:color w:val="000000"/>
          <w:shd w:val="clear" w:color="auto" w:fill="FFFFFF"/>
        </w:rPr>
        <w:t>corpus–</w:t>
      </w:r>
      <w:r w:rsidRPr="00694F4E">
        <w:rPr>
          <w:rFonts w:ascii="Book Antiqua" w:eastAsia="Book Antiqua" w:hAnsi="Book Antiqua" w:cs="Book Antiqua"/>
          <w:color w:val="000000"/>
          <w:shd w:val="clear" w:color="auto" w:fill="FFFFFF"/>
        </w:rPr>
        <w:t>fundus, with varying degrees of severity</w:t>
      </w:r>
      <w:r w:rsidR="0096578A"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rPr>
        <w:t>16.2% of them had a mild degree of atrophy, 44% had moderate atrophy, and 39.8%had severe</w:t>
      </w:r>
      <w:r w:rsidR="0096578A" w:rsidRPr="00694F4E">
        <w:rPr>
          <w:rFonts w:ascii="Book Antiqua" w:eastAsia="Book Antiqua" w:hAnsi="Book Antiqua" w:cs="Book Antiqua"/>
          <w:color w:val="000000"/>
        </w:rPr>
        <w:t xml:space="preserve"> atrophy</w:t>
      </w:r>
      <w:r w:rsidRPr="00694F4E">
        <w:rPr>
          <w:rFonts w:ascii="Book Antiqua" w:eastAsia="Book Antiqua" w:hAnsi="Book Antiqua" w:cs="Book Antiqua"/>
          <w:color w:val="000000"/>
          <w:shd w:val="clear" w:color="auto" w:fill="FFFFFF"/>
        </w:rPr>
        <w:t xml:space="preserve">. Intestinal metaplasia was detected in 126 patients (71.5%), </w:t>
      </w:r>
      <w:r w:rsidRPr="00694F4E">
        <w:rPr>
          <w:rFonts w:ascii="Book Antiqua" w:eastAsia="Book Antiqua" w:hAnsi="Book Antiqua" w:cs="Book Antiqua"/>
          <w:color w:val="000000"/>
        </w:rPr>
        <w:t xml:space="preserve">with </w:t>
      </w:r>
      <w:r w:rsidRPr="00694F4E">
        <w:rPr>
          <w:rFonts w:ascii="Book Antiqua" w:eastAsia="Book Antiqua" w:hAnsi="Book Antiqua" w:cs="Book Antiqua"/>
          <w:color w:val="000000"/>
        </w:rPr>
        <w:lastRenderedPageBreak/>
        <w:t xml:space="preserve">a mild degree in 32.9%, moderate in 28.9%, and severe in 9.6%. </w:t>
      </w:r>
      <w:r w:rsidRPr="00694F4E">
        <w:rPr>
          <w:rFonts w:ascii="Book Antiqua" w:eastAsia="Book Antiqua" w:hAnsi="Book Antiqua" w:cs="Book Antiqua"/>
          <w:color w:val="000000"/>
          <w:shd w:val="clear" w:color="auto" w:fill="FFFFFF"/>
        </w:rPr>
        <w:t xml:space="preserve">Pseudopyloric metaplasia was reported in 27 patients (15.3%). OLGA Stage I, II or III atrophic gastritis </w:t>
      </w:r>
      <w:r w:rsidR="0096578A" w:rsidRPr="00694F4E">
        <w:rPr>
          <w:rFonts w:ascii="Book Antiqua" w:eastAsia="Book Antiqua" w:hAnsi="Book Antiqua" w:cs="Book Antiqua"/>
          <w:color w:val="000000"/>
          <w:shd w:val="clear" w:color="auto" w:fill="FFFFFF"/>
        </w:rPr>
        <w:t xml:space="preserve">was </w:t>
      </w:r>
      <w:r w:rsidRPr="00694F4E">
        <w:rPr>
          <w:rFonts w:ascii="Book Antiqua" w:eastAsia="Book Antiqua" w:hAnsi="Book Antiqua" w:cs="Book Antiqua"/>
          <w:color w:val="000000"/>
          <w:shd w:val="clear" w:color="auto" w:fill="FFFFFF"/>
        </w:rPr>
        <w:t xml:space="preserve">reported in 115 patients, and OLGA IV stage atrophic gastritis was observed in </w:t>
      </w:r>
      <w:r w:rsidR="0096578A" w:rsidRPr="00694F4E">
        <w:rPr>
          <w:rFonts w:ascii="Book Antiqua" w:eastAsia="Book Antiqua" w:hAnsi="Book Antiqua" w:cs="Book Antiqua"/>
          <w:color w:val="000000"/>
          <w:shd w:val="clear" w:color="auto" w:fill="FFFFFF"/>
        </w:rPr>
        <w:t xml:space="preserve">three </w:t>
      </w:r>
      <w:r w:rsidRPr="00694F4E">
        <w:rPr>
          <w:rFonts w:ascii="Book Antiqua" w:eastAsia="Book Antiqua" w:hAnsi="Book Antiqua" w:cs="Book Antiqua"/>
          <w:color w:val="000000"/>
          <w:shd w:val="clear" w:color="auto" w:fill="FFFFFF"/>
        </w:rPr>
        <w:t xml:space="preserve">patients, who had severe gastric atrophy in the </w:t>
      </w:r>
      <w:r w:rsidR="0096578A" w:rsidRPr="00694F4E">
        <w:rPr>
          <w:rFonts w:ascii="Book Antiqua" w:eastAsia="Book Antiqua" w:hAnsi="Book Antiqua" w:cs="Book Antiqua"/>
          <w:color w:val="000000"/>
          <w:shd w:val="clear" w:color="auto" w:fill="FFFFFF"/>
        </w:rPr>
        <w:t>corpus–</w:t>
      </w:r>
      <w:r w:rsidRPr="00694F4E">
        <w:rPr>
          <w:rFonts w:ascii="Book Antiqua" w:eastAsia="Book Antiqua" w:hAnsi="Book Antiqua" w:cs="Book Antiqua"/>
          <w:color w:val="000000"/>
          <w:shd w:val="clear" w:color="auto" w:fill="FFFFFF"/>
        </w:rPr>
        <w:t xml:space="preserve">fundus but moderate atrophy in the antrum. ECL hyperplasia was present in 110 patients, </w:t>
      </w:r>
      <w:r w:rsidR="0096578A" w:rsidRPr="00694F4E">
        <w:rPr>
          <w:rFonts w:ascii="Book Antiqua" w:eastAsia="Book Antiqua" w:hAnsi="Book Antiqua" w:cs="Book Antiqua"/>
          <w:color w:val="000000"/>
          <w:shd w:val="clear" w:color="auto" w:fill="FFFFFF"/>
        </w:rPr>
        <w:t xml:space="preserve">but </w:t>
      </w:r>
      <w:r w:rsidRPr="00694F4E">
        <w:rPr>
          <w:rFonts w:ascii="Book Antiqua" w:eastAsia="Book Antiqua" w:hAnsi="Book Antiqua" w:cs="Book Antiqua"/>
          <w:color w:val="000000"/>
          <w:shd w:val="clear" w:color="auto" w:fill="FFFFFF"/>
        </w:rPr>
        <w:t>60 (34</w:t>
      </w:r>
      <w:r w:rsidR="00D52BF6" w:rsidRPr="00694F4E">
        <w:rPr>
          <w:rFonts w:ascii="Book Antiqua" w:hAnsi="Book Antiqua" w:cs="Book Antiqua"/>
          <w:color w:val="000000"/>
          <w:shd w:val="clear" w:color="auto" w:fill="FFFFFF"/>
          <w:lang w:eastAsia="zh-CN"/>
        </w:rPr>
        <w:t>.</w:t>
      </w:r>
      <w:r w:rsidRPr="00694F4E">
        <w:rPr>
          <w:rFonts w:ascii="Book Antiqua" w:eastAsia="Book Antiqua" w:hAnsi="Book Antiqua" w:cs="Book Antiqua"/>
          <w:color w:val="000000"/>
          <w:shd w:val="clear" w:color="auto" w:fill="FFFFFF"/>
        </w:rPr>
        <w:t>1%) patients did not show ECL hyperplasia.</w:t>
      </w:r>
    </w:p>
    <w:p w14:paraId="310E4C44" w14:textId="0E8579B4" w:rsidR="00A77B3E" w:rsidRPr="00694F4E" w:rsidRDefault="00D157AA" w:rsidP="00D52BF6">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At enrollment, 116 of 176 patients (65.9%) had ECL hyperplasia, with simple/</w:t>
      </w:r>
      <w:r w:rsidR="0096578A" w:rsidRPr="00694F4E">
        <w:rPr>
          <w:rFonts w:ascii="Book Antiqua" w:eastAsia="Book Antiqua" w:hAnsi="Book Antiqua" w:cs="Book Antiqua"/>
          <w:color w:val="000000"/>
          <w:shd w:val="clear" w:color="auto" w:fill="FFFFFF"/>
        </w:rPr>
        <w:t>linear</w:t>
      </w:r>
      <w:r w:rsidRPr="00694F4E">
        <w:rPr>
          <w:rFonts w:ascii="Book Antiqua" w:eastAsia="Book Antiqua" w:hAnsi="Book Antiqua" w:cs="Book Antiqua"/>
          <w:color w:val="000000"/>
          <w:shd w:val="clear" w:color="auto" w:fill="FFFFFF"/>
        </w:rPr>
        <w:t>, micronodular, and macronodular patterns reported in 29.5%, 30.7% and 5.7% of cases, respectively.</w:t>
      </w:r>
    </w:p>
    <w:p w14:paraId="204A0299" w14:textId="66A088B7" w:rsidR="00A77B3E" w:rsidRPr="00694F4E" w:rsidRDefault="00D157AA" w:rsidP="002273D1">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The median follow-up duration was 5 years, with a range from 3 to 7.5 years. During the follow-up period, after 1032 person-years, 33 patients developed a total of 50 type I gNENs, corresponding to an annual cumulative incidence of 5.7% and an incidence rate of 0.057 person-years.</w:t>
      </w:r>
    </w:p>
    <w:p w14:paraId="52527043" w14:textId="319AA23E" w:rsidR="00A77B3E" w:rsidRPr="00694F4E" w:rsidRDefault="00D157AA" w:rsidP="002273D1">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Patients with and without type I gNEN had similar characteristics (</w:t>
      </w:r>
      <w:r w:rsidRPr="00694F4E">
        <w:rPr>
          <w:rFonts w:ascii="Book Antiqua" w:eastAsia="Book Antiqua" w:hAnsi="Book Antiqua" w:cs="Book Antiqua"/>
          <w:bCs/>
          <w:color w:val="000000"/>
          <w:shd w:val="clear" w:color="auto" w:fill="FFFFFF"/>
        </w:rPr>
        <w:t>Table 2</w:t>
      </w:r>
      <w:r w:rsidRPr="00694F4E">
        <w:rPr>
          <w:rFonts w:ascii="Book Antiqua" w:eastAsia="Book Antiqua" w:hAnsi="Book Antiqua" w:cs="Book Antiqua"/>
          <w:color w:val="000000"/>
          <w:shd w:val="clear" w:color="auto" w:fill="FFFFFF"/>
        </w:rPr>
        <w:t>), both in terms of anthropometric, clinical, and serological features, and according to histological findings (both atrophy and intestinal metaplasia, and ECL hyperplasia). Specifically, with regard to immune-mediated comorbidities, no significant differences were found in</w:t>
      </w:r>
      <w:r w:rsidR="00CE0B44"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 xml:space="preserve">the baseline prevalence of thyroiditis, celiac disease, type 1 diabetes mellitus, vitiligo, psoriasis, Addison’s disease, myasthenia, fibromyalgia, oral lichen planus, autoimmune liver disease, autoimmune connective tissue disease, or </w:t>
      </w:r>
      <w:r w:rsidR="00F362A7" w:rsidRPr="00694F4E">
        <w:rPr>
          <w:rFonts w:ascii="Book Antiqua" w:eastAsia="Book Antiqua" w:hAnsi="Book Antiqua" w:cs="Book Antiqua"/>
          <w:color w:val="000000"/>
          <w:shd w:val="clear" w:color="auto" w:fill="FFFFFF"/>
        </w:rPr>
        <w:t>APS</w:t>
      </w:r>
      <w:r w:rsidRPr="00694F4E">
        <w:rPr>
          <w:rFonts w:ascii="Book Antiqua" w:eastAsia="Book Antiqua" w:hAnsi="Book Antiqua" w:cs="Book Antiqua"/>
          <w:color w:val="000000"/>
          <w:shd w:val="clear" w:color="auto" w:fill="FFFFFF"/>
        </w:rPr>
        <w:t xml:space="preserve"> between AIG patients who developed one or more neuroendocrine tumors and AIG patients who did not. </w:t>
      </w:r>
    </w:p>
    <w:p w14:paraId="3FA99B86" w14:textId="7296FBC8" w:rsidR="00A77B3E" w:rsidRPr="00694F4E" w:rsidRDefault="00D157AA" w:rsidP="000A41B2">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Circulating CgA levels did not significantly differ between the two groups; conversely, the two groups significantly differed in baseline circulating gastrin levels, as AIG patients with gNENs showed higher levels of gastrin (median 992 pg/mL, IQR</w:t>
      </w:r>
      <w:r w:rsidR="000A41B2"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w:t>
      </w:r>
      <w:r w:rsidR="000A41B2"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449</w:t>
      </w:r>
      <w:r w:rsidR="0096578A"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1500 </w:t>
      </w:r>
      <w:r w:rsidRPr="00694F4E">
        <w:rPr>
          <w:rFonts w:ascii="Book Antiqua" w:eastAsia="Book Antiqua" w:hAnsi="Book Antiqua" w:cs="Book Antiqua"/>
          <w:i/>
          <w:iCs/>
          <w:color w:val="000000"/>
          <w:shd w:val="clear" w:color="auto" w:fill="FFFFFF"/>
        </w:rPr>
        <w:t>vs</w:t>
      </w:r>
      <w:r w:rsidRPr="00694F4E">
        <w:rPr>
          <w:rFonts w:ascii="Book Antiqua" w:eastAsia="Book Antiqua" w:hAnsi="Book Antiqua" w:cs="Book Antiqua"/>
          <w:color w:val="000000"/>
          <w:shd w:val="clear" w:color="auto" w:fill="FFFFFF"/>
        </w:rPr>
        <w:t xml:space="preserve"> 688 pg/mL, IQR =</w:t>
      </w:r>
      <w:r w:rsidR="000A41B2" w:rsidRPr="00694F4E">
        <w:rPr>
          <w:rFonts w:ascii="Book Antiqua" w:hAnsi="Book Antiqua" w:cs="Book Antiqua"/>
          <w:color w:val="000000"/>
          <w:shd w:val="clear" w:color="auto" w:fill="FFFFFF"/>
          <w:lang w:eastAsia="zh-CN"/>
        </w:rPr>
        <w:t xml:space="preserve"> </w:t>
      </w:r>
      <w:r w:rsidRPr="00694F4E">
        <w:rPr>
          <w:rFonts w:ascii="Book Antiqua" w:eastAsia="Book Antiqua" w:hAnsi="Book Antiqua" w:cs="Book Antiqua"/>
          <w:color w:val="000000"/>
          <w:shd w:val="clear" w:color="auto" w:fill="FFFFFF"/>
        </w:rPr>
        <w:t>423</w:t>
      </w:r>
      <w:r w:rsidR="0096578A"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1200, </w:t>
      </w:r>
      <w:r w:rsidRPr="00694F4E">
        <w:rPr>
          <w:rFonts w:ascii="Book Antiqua" w:eastAsia="Book Antiqua" w:hAnsi="Book Antiqua" w:cs="Book Antiqua"/>
          <w:i/>
          <w:iCs/>
          <w:color w:val="000000"/>
          <w:shd w:val="clear" w:color="auto" w:fill="FFFFFF"/>
        </w:rPr>
        <w:t>P</w:t>
      </w:r>
      <w:r w:rsidRPr="00694F4E">
        <w:rPr>
          <w:rFonts w:ascii="Book Antiqua" w:eastAsia="Book Antiqua" w:hAnsi="Book Antiqua" w:cs="Book Antiqua"/>
          <w:color w:val="000000"/>
          <w:shd w:val="clear" w:color="auto" w:fill="FFFFFF"/>
        </w:rPr>
        <w:t xml:space="preserve"> = 0.03</w:t>
      </w:r>
      <w:r w:rsidR="0096578A" w:rsidRPr="00694F4E">
        <w:rPr>
          <w:rFonts w:ascii="Book Antiqua" w:hAnsi="Book Antiqua" w:cs="Book Antiqua"/>
          <w:color w:val="000000"/>
          <w:shd w:val="clear" w:color="auto" w:fill="FFFFFF"/>
          <w:lang w:eastAsia="zh-CN"/>
        </w:rPr>
        <w:t>) (</w:t>
      </w:r>
      <w:r w:rsidRPr="00694F4E">
        <w:rPr>
          <w:rFonts w:ascii="Book Antiqua" w:eastAsia="Book Antiqua" w:hAnsi="Book Antiqua" w:cs="Book Antiqua"/>
          <w:bCs/>
          <w:color w:val="000000"/>
          <w:shd w:val="clear" w:color="auto" w:fill="FFFFFF"/>
        </w:rPr>
        <w:t>Figure 1</w:t>
      </w:r>
      <w:r w:rsidRPr="00694F4E">
        <w:rPr>
          <w:rFonts w:ascii="Book Antiqua" w:eastAsia="Book Antiqua" w:hAnsi="Book Antiqua" w:cs="Book Antiqua"/>
          <w:color w:val="000000"/>
          <w:shd w:val="clear" w:color="auto" w:fill="FFFFFF"/>
        </w:rPr>
        <w:t>) when compared to AIG patients without type I gNEN.</w:t>
      </w:r>
    </w:p>
    <w:p w14:paraId="68C02DB5" w14:textId="17E4371B" w:rsidR="00A77B3E" w:rsidRPr="00694F4E" w:rsidRDefault="00D157AA" w:rsidP="000A41B2">
      <w:pPr>
        <w:spacing w:line="360" w:lineRule="auto"/>
        <w:ind w:firstLineChars="200" w:firstLine="480"/>
        <w:jc w:val="both"/>
        <w:rPr>
          <w:rFonts w:ascii="Book Antiqua" w:hAnsi="Book Antiqua"/>
        </w:rPr>
      </w:pPr>
      <w:r w:rsidRPr="00694F4E">
        <w:rPr>
          <w:rFonts w:ascii="Book Antiqua" w:eastAsia="Book Antiqua" w:hAnsi="Book Antiqua" w:cs="Book Antiqua"/>
          <w:color w:val="000000"/>
        </w:rPr>
        <w:t xml:space="preserve">Calculated gastrin sensitivity and specificity were 90.9% and 1.4%, respectively, with a calculated overall diagnostic accuracy of 30%. A </w:t>
      </w:r>
      <w:r w:rsidR="00C34D27" w:rsidRPr="00694F4E">
        <w:rPr>
          <w:rFonts w:ascii="Book Antiqua" w:hAnsi="Book Antiqua" w:cs="Book Antiqua"/>
          <w:color w:val="000000"/>
          <w:lang w:eastAsia="zh-CN"/>
        </w:rPr>
        <w:t>r</w:t>
      </w:r>
      <w:r w:rsidRPr="00694F4E">
        <w:rPr>
          <w:rFonts w:ascii="Book Antiqua" w:eastAsia="Book Antiqua" w:hAnsi="Book Antiqua" w:cs="Book Antiqua"/>
          <w:color w:val="000000"/>
        </w:rPr>
        <w:t xml:space="preserve">eceiver </w:t>
      </w:r>
      <w:r w:rsidR="00C34D27" w:rsidRPr="00694F4E">
        <w:rPr>
          <w:rFonts w:ascii="Book Antiqua" w:hAnsi="Book Antiqua" w:cs="Book Antiqua"/>
          <w:color w:val="000000"/>
          <w:lang w:eastAsia="zh-CN"/>
        </w:rPr>
        <w:t>o</w:t>
      </w:r>
      <w:r w:rsidRPr="00694F4E">
        <w:rPr>
          <w:rFonts w:ascii="Book Antiqua" w:eastAsia="Book Antiqua" w:hAnsi="Book Antiqua" w:cs="Book Antiqua"/>
          <w:color w:val="000000"/>
        </w:rPr>
        <w:t xml:space="preserve">perating </w:t>
      </w:r>
      <w:r w:rsidR="00C34D27" w:rsidRPr="00694F4E">
        <w:rPr>
          <w:rFonts w:ascii="Book Antiqua" w:hAnsi="Book Antiqua" w:cs="Book Antiqua"/>
          <w:color w:val="000000"/>
          <w:lang w:eastAsia="zh-CN"/>
        </w:rPr>
        <w:t>c</w:t>
      </w:r>
      <w:r w:rsidRPr="00694F4E">
        <w:rPr>
          <w:rFonts w:ascii="Book Antiqua" w:eastAsia="Book Antiqua" w:hAnsi="Book Antiqua" w:cs="Book Antiqua"/>
          <w:color w:val="000000"/>
        </w:rPr>
        <w:t xml:space="preserve">haracteristic (ROC) curve has been also created to analyze the connection between clinical sensitivity and specificity of gastrin circulating values in terms of gNENs detection, and to identify the </w:t>
      </w:r>
      <w:r w:rsidRPr="00694F4E">
        <w:rPr>
          <w:rFonts w:ascii="Book Antiqua" w:eastAsia="Book Antiqua" w:hAnsi="Book Antiqua" w:cs="Book Antiqua"/>
          <w:color w:val="000000"/>
        </w:rPr>
        <w:lastRenderedPageBreak/>
        <w:t xml:space="preserve">best-performing circulating gastrin cutoff value. The calculated area under the gastrin ROC curve (AUROC or AUC) was 0.53 </w:t>
      </w:r>
      <w:r w:rsidR="00637BA2" w:rsidRPr="00694F4E">
        <w:rPr>
          <w:rFonts w:ascii="Book Antiqua" w:hAnsi="Book Antiqua" w:cs="Book Antiqua"/>
          <w:color w:val="000000"/>
          <w:lang w:eastAsia="zh-CN"/>
        </w:rPr>
        <w:t>(</w:t>
      </w:r>
      <w:r w:rsidRPr="00694F4E">
        <w:rPr>
          <w:rFonts w:ascii="Book Antiqua" w:eastAsia="Book Antiqua" w:hAnsi="Book Antiqua" w:cs="Book Antiqua"/>
          <w:color w:val="000000"/>
        </w:rPr>
        <w:t>0.45</w:t>
      </w:r>
      <w:r w:rsidR="0096578A" w:rsidRPr="00694F4E">
        <w:rPr>
          <w:rFonts w:ascii="Book Antiqua" w:eastAsia="Book Antiqua" w:hAnsi="Book Antiqua" w:cs="Book Antiqua"/>
          <w:color w:val="000000"/>
        </w:rPr>
        <w:t>–</w:t>
      </w:r>
      <w:r w:rsidRPr="00694F4E">
        <w:rPr>
          <w:rFonts w:ascii="Book Antiqua" w:eastAsia="Book Antiqua" w:hAnsi="Book Antiqua" w:cs="Book Antiqua"/>
          <w:color w:val="000000"/>
        </w:rPr>
        <w:t>0.61</w:t>
      </w:r>
      <w:r w:rsidR="00637BA2" w:rsidRPr="00694F4E">
        <w:rPr>
          <w:rFonts w:ascii="Book Antiqua" w:hAnsi="Book Antiqua" w:cs="Book Antiqua"/>
          <w:color w:val="000000"/>
          <w:lang w:eastAsia="zh-CN"/>
        </w:rPr>
        <w:t>)</w:t>
      </w:r>
      <w:r w:rsidRPr="00694F4E">
        <w:rPr>
          <w:rFonts w:ascii="Book Antiqua" w:eastAsia="Book Antiqua" w:hAnsi="Book Antiqua" w:cs="Book Antiqua"/>
          <w:color w:val="000000"/>
        </w:rPr>
        <w:t xml:space="preserve">, with a Youden index J of 0.14 corresponding to a circulating gastrin cutoff value of 857 pg/mL, with a sensibility of 53.1% and a specificity of 61.2%. </w:t>
      </w:r>
    </w:p>
    <w:p w14:paraId="2FA66447" w14:textId="77777777" w:rsidR="00A77B3E" w:rsidRPr="00694F4E" w:rsidRDefault="00A77B3E" w:rsidP="00A62589">
      <w:pPr>
        <w:spacing w:line="360" w:lineRule="auto"/>
        <w:jc w:val="both"/>
        <w:rPr>
          <w:rFonts w:ascii="Book Antiqua" w:hAnsi="Book Antiqua"/>
        </w:rPr>
      </w:pPr>
    </w:p>
    <w:p w14:paraId="1D61C45F"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DISCUSSION</w:t>
      </w:r>
    </w:p>
    <w:p w14:paraId="4AB73C6A" w14:textId="085E1C2E"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AIG is a chronic autoimmune disease that progressively leads to destruction of the oxyntic gastric mucosa and, consequently, to hypo-/achlorhydria. This results in elevated plasma gastrin levels, hyperplasia</w:t>
      </w:r>
      <w:r w:rsidR="00FE3387"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and degeneration of ECL cells, leading to an increased incidence of type I </w:t>
      </w:r>
      <w:proofErr w:type="gramStart"/>
      <w:r w:rsidRPr="00694F4E">
        <w:rPr>
          <w:rFonts w:ascii="Book Antiqua" w:eastAsia="Book Antiqua" w:hAnsi="Book Antiqua" w:cs="Book Antiqua"/>
          <w:color w:val="000000"/>
          <w:shd w:val="clear" w:color="auto" w:fill="FFFFFF"/>
        </w:rPr>
        <w:t>gNENs</w:t>
      </w:r>
      <w:r w:rsidR="008440A1"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6,7,9,1</w:t>
      </w:r>
      <w:r w:rsidR="00755BA7" w:rsidRPr="00694F4E">
        <w:rPr>
          <w:rFonts w:ascii="Book Antiqua" w:eastAsia="Book Antiqua" w:hAnsi="Book Antiqua" w:cs="Book Antiqua"/>
          <w:color w:val="000000"/>
          <w:vertAlign w:val="superscript"/>
        </w:rPr>
        <w:t>0,</w:t>
      </w:r>
      <w:r w:rsidR="008D120E" w:rsidRPr="00694F4E">
        <w:rPr>
          <w:rFonts w:ascii="Book Antiqua" w:eastAsia="Book Antiqua" w:hAnsi="Book Antiqua" w:cs="Book Antiqua"/>
          <w:color w:val="000000"/>
          <w:vertAlign w:val="superscript"/>
        </w:rPr>
        <w:t>13</w:t>
      </w:r>
      <w:r w:rsidR="008440A1"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w:t>
      </w:r>
    </w:p>
    <w:p w14:paraId="7295886B" w14:textId="365C7CA8" w:rsidR="00A77B3E" w:rsidRPr="00694F4E" w:rsidRDefault="00D157AA" w:rsidP="008440A1">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Our study evaluated the incidence of gNENs among 176 patients diagnosed with AIG between January 1990 and June 2022. Over the course of 1032 person-years, 33 patients developed a total of 50 type I gNENs, resulting in an incidence rate of 5.7 per 100 person-years. The findings of this study provide important insights regarding the incidence of gNENs in AIG. It shows that the incidence rate of gNENs is 5.7% per year, which is higher than </w:t>
      </w:r>
      <w:r w:rsidR="00FE3387" w:rsidRPr="00694F4E">
        <w:rPr>
          <w:rFonts w:ascii="Book Antiqua" w:eastAsia="Book Antiqua" w:hAnsi="Book Antiqua" w:cs="Book Antiqua"/>
          <w:color w:val="000000"/>
          <w:shd w:val="clear" w:color="auto" w:fill="FFFFFF"/>
        </w:rPr>
        <w:t>that</w:t>
      </w:r>
      <w:r w:rsidRPr="00694F4E">
        <w:rPr>
          <w:rFonts w:ascii="Book Antiqua" w:eastAsia="Book Antiqua" w:hAnsi="Book Antiqua" w:cs="Book Antiqua"/>
          <w:color w:val="000000"/>
          <w:shd w:val="clear" w:color="auto" w:fill="FFFFFF"/>
        </w:rPr>
        <w:t xml:space="preserve"> reported in the general population, but consistent with previous </w:t>
      </w:r>
      <w:proofErr w:type="gramStart"/>
      <w:r w:rsidR="00FE3387" w:rsidRPr="00694F4E">
        <w:rPr>
          <w:rFonts w:ascii="Book Antiqua" w:eastAsia="Book Antiqua" w:hAnsi="Book Antiqua" w:cs="Book Antiqua"/>
          <w:color w:val="000000"/>
          <w:shd w:val="clear" w:color="auto" w:fill="FFFFFF"/>
        </w:rPr>
        <w:t>studies</w:t>
      </w:r>
      <w:r w:rsidR="005314E6"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21,22,34,4</w:t>
      </w:r>
      <w:r w:rsidR="006C7AAF" w:rsidRPr="00694F4E">
        <w:rPr>
          <w:rFonts w:ascii="Book Antiqua" w:eastAsia="Book Antiqua" w:hAnsi="Book Antiqua" w:cs="Book Antiqua"/>
          <w:color w:val="000000"/>
          <w:vertAlign w:val="superscript"/>
        </w:rPr>
        <w:t>5</w:t>
      </w:r>
      <w:r w:rsidR="005314E6"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w:t>
      </w:r>
    </w:p>
    <w:p w14:paraId="6D9F6FDF" w14:textId="12A19790" w:rsidR="00A77B3E" w:rsidRPr="00694F4E" w:rsidRDefault="00D157AA" w:rsidP="005314E6">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The anthropometric, demographic and clinical characteristics of the population included in our study represented the features of previously reported AIG </w:t>
      </w:r>
      <w:proofErr w:type="gramStart"/>
      <w:r w:rsidRPr="00694F4E">
        <w:rPr>
          <w:rFonts w:ascii="Book Antiqua" w:eastAsia="Book Antiqua" w:hAnsi="Book Antiqua" w:cs="Book Antiqua"/>
          <w:color w:val="000000"/>
          <w:shd w:val="clear" w:color="auto" w:fill="FFFFFF"/>
        </w:rPr>
        <w:t>populations</w:t>
      </w:r>
      <w:r w:rsidR="005314E6"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4</w:t>
      </w:r>
      <w:r w:rsidR="006C7AAF" w:rsidRPr="00694F4E">
        <w:rPr>
          <w:rFonts w:ascii="Book Antiqua" w:eastAsia="Book Antiqua" w:hAnsi="Book Antiqua" w:cs="Book Antiqua"/>
          <w:color w:val="000000"/>
          <w:vertAlign w:val="superscript"/>
        </w:rPr>
        <w:t>6</w:t>
      </w:r>
      <w:r w:rsidR="005314E6"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This correspondence emphasizes that type I gNENs represent a neoplastic complication in AIG patients and that they should not be </w:t>
      </w:r>
      <w:proofErr w:type="gramStart"/>
      <w:r w:rsidRPr="00694F4E">
        <w:rPr>
          <w:rFonts w:ascii="Book Antiqua" w:eastAsia="Book Antiqua" w:hAnsi="Book Antiqua" w:cs="Book Antiqua"/>
          <w:color w:val="000000"/>
          <w:shd w:val="clear" w:color="auto" w:fill="FFFFFF"/>
        </w:rPr>
        <w:t>overlooked</w:t>
      </w:r>
      <w:r w:rsidR="005314E6"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1,4</w:t>
      </w:r>
      <w:r w:rsidR="006C7AAF" w:rsidRPr="00694F4E">
        <w:rPr>
          <w:rFonts w:ascii="Book Antiqua" w:eastAsia="Book Antiqua" w:hAnsi="Book Antiqua" w:cs="Book Antiqua"/>
          <w:color w:val="000000"/>
          <w:vertAlign w:val="superscript"/>
        </w:rPr>
        <w:t>7</w:t>
      </w:r>
      <w:r w:rsidRPr="00694F4E">
        <w:rPr>
          <w:rFonts w:ascii="Book Antiqua" w:eastAsia="Book Antiqua" w:hAnsi="Book Antiqua" w:cs="Book Antiqua"/>
          <w:color w:val="000000"/>
          <w:vertAlign w:val="superscript"/>
        </w:rPr>
        <w:t>–</w:t>
      </w:r>
      <w:r w:rsidR="006C7AAF" w:rsidRPr="00694F4E">
        <w:rPr>
          <w:rFonts w:ascii="Book Antiqua" w:eastAsia="Book Antiqua" w:hAnsi="Book Antiqua" w:cs="Book Antiqua"/>
          <w:color w:val="000000"/>
          <w:vertAlign w:val="superscript"/>
        </w:rPr>
        <w:t>49</w:t>
      </w:r>
      <w:r w:rsidR="005314E6"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Overall, these findings underscore the importance of vigilance and long-term monitoring in patients diagnosed with AIG.</w:t>
      </w:r>
    </w:p>
    <w:p w14:paraId="1893B9B9" w14:textId="5C40257C" w:rsidR="00A77B3E" w:rsidRPr="00694F4E" w:rsidRDefault="00D157AA" w:rsidP="005314E6">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In addition, at baseline, nearly two-thirds (65.9%) of the AIG patients had ECL hyperplasia, which suggests a heightened susceptibility of AIG patients to early lesions that may progress to gNENs.</w:t>
      </w:r>
    </w:p>
    <w:p w14:paraId="76489D7C" w14:textId="24379389" w:rsidR="00A77B3E" w:rsidRPr="00694F4E" w:rsidRDefault="00D157AA" w:rsidP="00E67D23">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The comparison between AIG patients who developed</w:t>
      </w:r>
      <w:r w:rsidR="00FE3387"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or not</w:t>
      </w:r>
      <w:r w:rsidR="00FE3387"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gNENs during follow-up showed that, while the two populations </w:t>
      </w:r>
      <w:r w:rsidR="00FE3387" w:rsidRPr="00694F4E">
        <w:rPr>
          <w:rFonts w:ascii="Book Antiqua" w:eastAsia="Book Antiqua" w:hAnsi="Book Antiqua" w:cs="Book Antiqua"/>
          <w:color w:val="000000"/>
          <w:shd w:val="clear" w:color="auto" w:fill="FFFFFF"/>
        </w:rPr>
        <w:t xml:space="preserve">were </w:t>
      </w:r>
      <w:r w:rsidRPr="00694F4E">
        <w:rPr>
          <w:rFonts w:ascii="Book Antiqua" w:eastAsia="Book Antiqua" w:hAnsi="Book Antiqua" w:cs="Book Antiqua"/>
          <w:color w:val="000000"/>
          <w:shd w:val="clear" w:color="auto" w:fill="FFFFFF"/>
        </w:rPr>
        <w:t xml:space="preserve">comparable in terms of anthropometric and demographic features, </w:t>
      </w:r>
      <w:r w:rsidR="009430DD" w:rsidRPr="00694F4E">
        <w:rPr>
          <w:rFonts w:ascii="Book Antiqua" w:eastAsia="Book Antiqua" w:hAnsi="Book Antiqua" w:cs="Book Antiqua"/>
          <w:color w:val="000000"/>
          <w:shd w:val="clear" w:color="auto" w:fill="FFFFFF"/>
        </w:rPr>
        <w:t xml:space="preserve">the </w:t>
      </w:r>
      <w:r w:rsidRPr="00694F4E">
        <w:rPr>
          <w:rFonts w:ascii="Book Antiqua" w:eastAsia="Book Antiqua" w:hAnsi="Book Antiqua" w:cs="Book Antiqua"/>
          <w:color w:val="000000"/>
          <w:shd w:val="clear" w:color="auto" w:fill="FFFFFF"/>
        </w:rPr>
        <w:t xml:space="preserve">incidence of </w:t>
      </w:r>
      <w:r w:rsidRPr="00694F4E">
        <w:rPr>
          <w:rFonts w:ascii="Book Antiqua" w:eastAsia="Book Antiqua" w:hAnsi="Book Antiqua" w:cs="Book Antiqua"/>
          <w:i/>
          <w:iCs/>
          <w:color w:val="000000"/>
          <w:shd w:val="clear" w:color="auto" w:fill="FFFFFF"/>
        </w:rPr>
        <w:t xml:space="preserve">H. </w:t>
      </w:r>
      <w:r w:rsidR="00FE3387" w:rsidRPr="00694F4E">
        <w:rPr>
          <w:rFonts w:ascii="Book Antiqua" w:eastAsia="Book Antiqua" w:hAnsi="Book Antiqua" w:cs="Book Antiqua"/>
          <w:i/>
          <w:iCs/>
          <w:color w:val="000000"/>
          <w:shd w:val="clear" w:color="auto" w:fill="FFFFFF"/>
        </w:rPr>
        <w:t>pylori</w:t>
      </w:r>
      <w:r w:rsidR="00FE3387"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 xml:space="preserve">infection, APCA </w:t>
      </w:r>
      <w:r w:rsidRPr="00694F4E">
        <w:rPr>
          <w:rFonts w:ascii="Book Antiqua" w:eastAsia="Book Antiqua" w:hAnsi="Book Antiqua" w:cs="Book Antiqua"/>
          <w:color w:val="000000"/>
          <w:shd w:val="clear" w:color="auto" w:fill="FFFFFF"/>
        </w:rPr>
        <w:lastRenderedPageBreak/>
        <w:t xml:space="preserve">positivity, OLGA and OLGIM scores, and baseline circulating CgA levels, </w:t>
      </w:r>
      <w:r w:rsidR="0020665C" w:rsidRPr="00694F4E">
        <w:rPr>
          <w:rFonts w:ascii="Book Antiqua" w:eastAsia="Book Antiqua" w:hAnsi="Book Antiqua" w:cs="Book Antiqua"/>
          <w:color w:val="000000"/>
          <w:shd w:val="clear" w:color="auto" w:fill="FFFFFF"/>
        </w:rPr>
        <w:t xml:space="preserve">circulating gastrin levels differed </w:t>
      </w:r>
      <w:r w:rsidRPr="00694F4E">
        <w:rPr>
          <w:rFonts w:ascii="Book Antiqua" w:eastAsia="Book Antiqua" w:hAnsi="Book Antiqua" w:cs="Book Antiqua"/>
          <w:color w:val="000000"/>
          <w:shd w:val="clear" w:color="auto" w:fill="FFFFFF"/>
        </w:rPr>
        <w:t xml:space="preserve">significantly. </w:t>
      </w:r>
    </w:p>
    <w:p w14:paraId="5ACE8F7D" w14:textId="1C7A024C" w:rsidR="00A77B3E" w:rsidRPr="00694F4E" w:rsidRDefault="00D157AA" w:rsidP="00702D9D">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Currently</w:t>
      </w:r>
      <w:r w:rsidR="009430DD"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 the most widely used scores to define the degree of severity of gastric mucosal alteration in AIG are OLGA and OLGIM scores. Our study confirms that, as expected, these scores are not sufficiently accurate in the AIG population, especially with </w:t>
      </w:r>
      <w:r w:rsidR="00D22137" w:rsidRPr="00694F4E">
        <w:rPr>
          <w:rFonts w:ascii="Book Antiqua" w:eastAsia="Book Antiqua" w:hAnsi="Book Antiqua" w:cs="Book Antiqua"/>
          <w:color w:val="000000"/>
          <w:shd w:val="clear" w:color="auto" w:fill="FFFFFF"/>
        </w:rPr>
        <w:t xml:space="preserve">reference </w:t>
      </w:r>
      <w:r w:rsidRPr="00694F4E">
        <w:rPr>
          <w:rFonts w:ascii="Book Antiqua" w:eastAsia="Book Antiqua" w:hAnsi="Book Antiqua" w:cs="Book Antiqua"/>
          <w:color w:val="000000"/>
          <w:shd w:val="clear" w:color="auto" w:fill="FFFFFF"/>
        </w:rPr>
        <w:t>to advanced disease stages</w:t>
      </w:r>
      <w:r w:rsidR="00D22137" w:rsidRPr="00694F4E">
        <w:rPr>
          <w:rFonts w:ascii="Book Antiqua" w:eastAsia="Book Antiqua" w:hAnsi="Book Antiqua" w:cs="Book Antiqua"/>
          <w:color w:val="000000"/>
          <w:shd w:val="clear" w:color="auto" w:fill="FFFFFF"/>
        </w:rPr>
        <w:t xml:space="preserve">. </w:t>
      </w:r>
      <w:r w:rsidR="00A635CF" w:rsidRPr="00694F4E">
        <w:rPr>
          <w:rFonts w:ascii="Book Antiqua" w:hAnsi="Book Antiqua" w:cs="Book Antiqua"/>
          <w:color w:val="000000"/>
          <w:shd w:val="clear" w:color="auto" w:fill="FFFFFF"/>
          <w:lang w:eastAsia="zh-CN"/>
        </w:rPr>
        <w:t>I</w:t>
      </w:r>
      <w:r w:rsidRPr="00694F4E">
        <w:rPr>
          <w:rFonts w:ascii="Book Antiqua" w:eastAsia="Book Antiqua" w:hAnsi="Book Antiqua" w:cs="Book Antiqua"/>
          <w:color w:val="000000"/>
          <w:shd w:val="clear" w:color="auto" w:fill="FFFFFF"/>
        </w:rPr>
        <w:t xml:space="preserve">n AIG, the antrum is almost always preserved and histologically normal (except for those who have or have had </w:t>
      </w:r>
      <w:r w:rsidR="00B00D04" w:rsidRPr="00694F4E">
        <w:rPr>
          <w:rFonts w:ascii="Book Antiqua" w:hAnsi="Book Antiqua"/>
          <w:i/>
          <w:iCs/>
        </w:rPr>
        <w:t>H</w:t>
      </w:r>
      <w:r w:rsidR="00702D9D" w:rsidRPr="00694F4E">
        <w:rPr>
          <w:rFonts w:ascii="Book Antiqua" w:hAnsi="Book Antiqua"/>
          <w:i/>
          <w:iCs/>
          <w:lang w:eastAsia="zh-CN"/>
        </w:rPr>
        <w:t>.</w:t>
      </w:r>
      <w:r w:rsidR="00B00D04" w:rsidRPr="00694F4E">
        <w:rPr>
          <w:rFonts w:ascii="Book Antiqua" w:hAnsi="Book Antiqua"/>
          <w:i/>
          <w:iCs/>
        </w:rPr>
        <w:t xml:space="preserve"> </w:t>
      </w:r>
      <w:r w:rsidR="00B00D04" w:rsidRPr="00694F4E">
        <w:rPr>
          <w:rFonts w:ascii="Book Antiqua" w:hAnsi="Book Antiqua"/>
          <w:i/>
          <w:iCs/>
          <w:lang w:eastAsia="zh-CN"/>
        </w:rPr>
        <w:t>p</w:t>
      </w:r>
      <w:r w:rsidR="00B00D04" w:rsidRPr="00694F4E">
        <w:rPr>
          <w:rFonts w:ascii="Book Antiqua" w:hAnsi="Book Antiqua"/>
          <w:i/>
          <w:iCs/>
        </w:rPr>
        <w:t>ylori</w:t>
      </w:r>
      <w:r w:rsidRPr="00694F4E">
        <w:rPr>
          <w:rFonts w:ascii="Book Antiqua" w:eastAsia="Book Antiqua" w:hAnsi="Book Antiqua" w:cs="Book Antiqua"/>
          <w:color w:val="000000"/>
          <w:shd w:val="clear" w:color="auto" w:fill="FFFFFF"/>
        </w:rPr>
        <w:t xml:space="preserve"> infection). </w:t>
      </w:r>
      <w:r w:rsidR="00D22137" w:rsidRPr="00694F4E">
        <w:rPr>
          <w:rFonts w:ascii="Book Antiqua" w:eastAsia="Book Antiqua" w:hAnsi="Book Antiqua" w:cs="Book Antiqua"/>
          <w:color w:val="000000"/>
          <w:shd w:val="clear" w:color="auto" w:fill="FFFFFF"/>
        </w:rPr>
        <w:t>I</w:t>
      </w:r>
      <w:r w:rsidRPr="00694F4E">
        <w:rPr>
          <w:rFonts w:ascii="Book Antiqua" w:eastAsia="Book Antiqua" w:hAnsi="Book Antiqua" w:cs="Book Antiqua"/>
          <w:color w:val="000000"/>
          <w:shd w:val="clear" w:color="auto" w:fill="FFFFFF"/>
        </w:rPr>
        <w:t xml:space="preserve">n the </w:t>
      </w:r>
      <w:r w:rsidR="00D22137" w:rsidRPr="00694F4E">
        <w:rPr>
          <w:rFonts w:ascii="Book Antiqua" w:eastAsia="Book Antiqua" w:hAnsi="Book Antiqua" w:cs="Book Antiqua"/>
          <w:color w:val="000000"/>
          <w:shd w:val="clear" w:color="auto" w:fill="FFFFFF"/>
        </w:rPr>
        <w:t xml:space="preserve">patients </w:t>
      </w:r>
      <w:r w:rsidRPr="00694F4E">
        <w:rPr>
          <w:rFonts w:ascii="Book Antiqua" w:eastAsia="Book Antiqua" w:hAnsi="Book Antiqua" w:cs="Book Antiqua"/>
          <w:color w:val="000000"/>
          <w:shd w:val="clear" w:color="auto" w:fill="FFFFFF"/>
        </w:rPr>
        <w:t xml:space="preserve">included in our study, OLGA and OLGIM scores did not significantly differ between patients who developed gNEN and those who did not. Therefore, patients with AIG should all be monitored with EGD (with different timing depending on the findings and risk factors), regardless of the OLGA or OLGIM </w:t>
      </w:r>
      <w:proofErr w:type="gramStart"/>
      <w:r w:rsidRPr="00694F4E">
        <w:rPr>
          <w:rFonts w:ascii="Book Antiqua" w:eastAsia="Book Antiqua" w:hAnsi="Book Antiqua" w:cs="Book Antiqua"/>
          <w:color w:val="000000"/>
          <w:shd w:val="clear" w:color="auto" w:fill="FFFFFF"/>
        </w:rPr>
        <w:t>scores</w:t>
      </w:r>
      <w:r w:rsidR="008E2DF7"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w:t>
      </w:r>
      <w:r w:rsidR="008E2DF7"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rPr>
        <w:t xml:space="preserve">. </w:t>
      </w:r>
    </w:p>
    <w:p w14:paraId="4163888D" w14:textId="76E7037A" w:rsidR="00A77B3E" w:rsidRPr="00694F4E" w:rsidRDefault="00D22137" w:rsidP="008E2DF7">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C</w:t>
      </w:r>
      <w:r w:rsidR="00D157AA" w:rsidRPr="00694F4E">
        <w:rPr>
          <w:rFonts w:ascii="Book Antiqua" w:eastAsia="Book Antiqua" w:hAnsi="Book Antiqua" w:cs="Book Antiqua"/>
          <w:color w:val="000000"/>
          <w:shd w:val="clear" w:color="auto" w:fill="FFFFFF"/>
        </w:rPr>
        <w:t>irculating gastrin levels were significantly more elevated in AIG patients who developed gNENs when compared to AIG patients who did not. Hence, our results</w:t>
      </w:r>
      <w:r w:rsidR="00D157AA" w:rsidRPr="00694F4E">
        <w:rPr>
          <w:rFonts w:ascii="Book Antiqua" w:eastAsia="Book Antiqua" w:hAnsi="Book Antiqua" w:cs="Book Antiqua"/>
          <w:b/>
          <w:bCs/>
          <w:color w:val="000000"/>
          <w:shd w:val="clear" w:color="auto" w:fill="FFFFFF"/>
        </w:rPr>
        <w:t xml:space="preserve"> </w:t>
      </w:r>
      <w:r w:rsidR="00D157AA" w:rsidRPr="00694F4E">
        <w:rPr>
          <w:rFonts w:ascii="Book Antiqua" w:eastAsia="Book Antiqua" w:hAnsi="Book Antiqua" w:cs="Book Antiqua"/>
          <w:color w:val="000000"/>
          <w:shd w:val="clear" w:color="auto" w:fill="FFFFFF"/>
        </w:rPr>
        <w:t>confirm</w:t>
      </w:r>
      <w:r w:rsidR="00D157AA" w:rsidRPr="00694F4E">
        <w:rPr>
          <w:rFonts w:ascii="Book Antiqua" w:eastAsia="Book Antiqua" w:hAnsi="Book Antiqua" w:cs="Book Antiqua"/>
          <w:b/>
          <w:bCs/>
          <w:color w:val="000000"/>
          <w:shd w:val="clear" w:color="auto" w:fill="FFFFFF"/>
        </w:rPr>
        <w:t xml:space="preserve"> </w:t>
      </w:r>
      <w:r w:rsidR="00D157AA" w:rsidRPr="00694F4E">
        <w:rPr>
          <w:rFonts w:ascii="Book Antiqua" w:eastAsia="Book Antiqua" w:hAnsi="Book Antiqua" w:cs="Book Antiqua"/>
          <w:color w:val="000000"/>
          <w:shd w:val="clear" w:color="auto" w:fill="FFFFFF"/>
        </w:rPr>
        <w:t xml:space="preserve">that patients who develop gNENs have significantly higher baseline circulating levels of gastrin compared to those who do not, as reported in previous </w:t>
      </w:r>
      <w:proofErr w:type="gramStart"/>
      <w:r w:rsidR="00D157AA" w:rsidRPr="00694F4E">
        <w:rPr>
          <w:rFonts w:ascii="Book Antiqua" w:eastAsia="Book Antiqua" w:hAnsi="Book Antiqua" w:cs="Book Antiqua"/>
          <w:color w:val="000000"/>
          <w:shd w:val="clear" w:color="auto" w:fill="FFFFFF"/>
        </w:rPr>
        <w:t>studies</w:t>
      </w:r>
      <w:r w:rsidR="008E2DF7" w:rsidRPr="00694F4E">
        <w:rPr>
          <w:rFonts w:ascii="Book Antiqua" w:hAnsi="Book Antiqua" w:cs="Book Antiqua"/>
          <w:color w:val="000000"/>
          <w:shd w:val="clear" w:color="auto" w:fill="FFFFFF"/>
          <w:vertAlign w:val="superscript"/>
          <w:lang w:eastAsia="zh-CN"/>
        </w:rPr>
        <w:t>[</w:t>
      </w:r>
      <w:proofErr w:type="gramEnd"/>
      <w:r w:rsidR="00D157AA" w:rsidRPr="00694F4E">
        <w:rPr>
          <w:rFonts w:ascii="Book Antiqua" w:eastAsia="Book Antiqua" w:hAnsi="Book Antiqua" w:cs="Book Antiqua"/>
          <w:color w:val="000000"/>
          <w:vertAlign w:val="superscript"/>
        </w:rPr>
        <w:t>5</w:t>
      </w:r>
      <w:r w:rsidR="006C7AAF" w:rsidRPr="00694F4E">
        <w:rPr>
          <w:rFonts w:ascii="Book Antiqua" w:eastAsia="Book Antiqua" w:hAnsi="Book Antiqua" w:cs="Book Antiqua"/>
          <w:color w:val="000000"/>
          <w:vertAlign w:val="superscript"/>
        </w:rPr>
        <w:t>0</w:t>
      </w:r>
      <w:r w:rsidR="00D157AA" w:rsidRPr="00694F4E">
        <w:rPr>
          <w:rFonts w:ascii="Book Antiqua" w:eastAsia="Book Antiqua" w:hAnsi="Book Antiqua" w:cs="Book Antiqua"/>
          <w:color w:val="000000"/>
          <w:vertAlign w:val="superscript"/>
        </w:rPr>
        <w:t>,5</w:t>
      </w:r>
      <w:r w:rsidR="006C7AAF" w:rsidRPr="00694F4E">
        <w:rPr>
          <w:rFonts w:ascii="Book Antiqua" w:eastAsia="Book Antiqua" w:hAnsi="Book Antiqua" w:cs="Book Antiqua"/>
          <w:color w:val="000000"/>
          <w:vertAlign w:val="superscript"/>
        </w:rPr>
        <w:t>1</w:t>
      </w:r>
      <w:r w:rsidR="008E2DF7" w:rsidRPr="00694F4E">
        <w:rPr>
          <w:rFonts w:ascii="Book Antiqua" w:hAnsi="Book Antiqua" w:cs="Book Antiqua"/>
          <w:color w:val="000000"/>
          <w:vertAlign w:val="superscript"/>
          <w:lang w:eastAsia="zh-CN"/>
        </w:rPr>
        <w:t>]</w:t>
      </w:r>
      <w:r w:rsidR="00D157AA" w:rsidRPr="00694F4E">
        <w:rPr>
          <w:rFonts w:ascii="Book Antiqua" w:eastAsia="Book Antiqua" w:hAnsi="Book Antiqua" w:cs="Book Antiqua"/>
          <w:color w:val="000000"/>
          <w:shd w:val="clear" w:color="auto" w:fill="FFFFFF"/>
        </w:rPr>
        <w:t>.</w:t>
      </w:r>
    </w:p>
    <w:p w14:paraId="227A5068" w14:textId="3C8D6E78" w:rsidR="00A77B3E" w:rsidRPr="00694F4E" w:rsidRDefault="00D157AA" w:rsidP="008E2DF7">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Gastrin, a peptide hormone involved in gastric acid secretion, plays a critical role in regulating ECL cell proliferation. In </w:t>
      </w:r>
      <w:r w:rsidR="009430DD" w:rsidRPr="00694F4E">
        <w:rPr>
          <w:rFonts w:ascii="Book Antiqua" w:eastAsia="Book Antiqua" w:hAnsi="Book Antiqua" w:cs="Book Antiqua"/>
          <w:color w:val="000000"/>
          <w:shd w:val="clear" w:color="auto" w:fill="FFFFFF"/>
        </w:rPr>
        <w:t xml:space="preserve">the </w:t>
      </w:r>
      <w:r w:rsidRPr="00694F4E">
        <w:rPr>
          <w:rFonts w:ascii="Book Antiqua" w:eastAsia="Book Antiqua" w:hAnsi="Book Antiqua" w:cs="Book Antiqua"/>
          <w:color w:val="000000"/>
          <w:shd w:val="clear" w:color="auto" w:fill="FFFFFF"/>
        </w:rPr>
        <w:t xml:space="preserve">case of gastric hypo- and achlorhydria, which typically happens in </w:t>
      </w:r>
      <w:r w:rsidR="009430DD" w:rsidRPr="00694F4E">
        <w:rPr>
          <w:rFonts w:ascii="Book Antiqua" w:eastAsia="Book Antiqua" w:hAnsi="Book Antiqua" w:cs="Book Antiqua"/>
          <w:color w:val="000000"/>
          <w:shd w:val="clear" w:color="auto" w:fill="FFFFFF"/>
        </w:rPr>
        <w:t xml:space="preserve">the </w:t>
      </w:r>
      <w:r w:rsidRPr="00694F4E">
        <w:rPr>
          <w:rFonts w:ascii="Book Antiqua" w:eastAsia="Book Antiqua" w:hAnsi="Book Antiqua" w:cs="Book Antiqua"/>
          <w:color w:val="000000"/>
          <w:shd w:val="clear" w:color="auto" w:fill="FFFFFF"/>
        </w:rPr>
        <w:t xml:space="preserve">case of AIG, and which is mainly due to the immune-mediated destruction of oxyntic gastric mucosa, gastric neuroendocrine cells oversecrete gastrin, and elevated gastrin levels promote the growth and proliferation of gastric mucosa, including ECL </w:t>
      </w:r>
      <w:proofErr w:type="gramStart"/>
      <w:r w:rsidRPr="00694F4E">
        <w:rPr>
          <w:rFonts w:ascii="Book Antiqua" w:eastAsia="Book Antiqua" w:hAnsi="Book Antiqua" w:cs="Book Antiqua"/>
          <w:color w:val="000000"/>
          <w:shd w:val="clear" w:color="auto" w:fill="FFFFFF"/>
        </w:rPr>
        <w:t>cells</w:t>
      </w:r>
      <w:r w:rsidR="00111BA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1</w:t>
      </w:r>
      <w:r w:rsidR="00B96834" w:rsidRPr="00694F4E">
        <w:rPr>
          <w:rFonts w:ascii="Book Antiqua" w:eastAsia="Book Antiqua" w:hAnsi="Book Antiqua" w:cs="Book Antiqua"/>
          <w:color w:val="000000"/>
          <w:vertAlign w:val="superscript"/>
        </w:rPr>
        <w:t>5</w:t>
      </w:r>
      <w:r w:rsidR="00111BA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w:t>
      </w:r>
      <w:r w:rsidR="00D22137" w:rsidRPr="00694F4E">
        <w:rPr>
          <w:rFonts w:ascii="Book Antiqua" w:eastAsia="Book Antiqua" w:hAnsi="Book Antiqua" w:cs="Book Antiqua"/>
          <w:color w:val="000000"/>
          <w:shd w:val="clear" w:color="auto" w:fill="FFFFFF"/>
        </w:rPr>
        <w:t xml:space="preserve">gNENs </w:t>
      </w:r>
      <w:r w:rsidRPr="00694F4E">
        <w:rPr>
          <w:rFonts w:ascii="Book Antiqua" w:eastAsia="Book Antiqua" w:hAnsi="Book Antiqua" w:cs="Book Antiqua"/>
          <w:color w:val="000000"/>
          <w:shd w:val="clear" w:color="auto" w:fill="FFFFFF"/>
        </w:rPr>
        <w:t xml:space="preserve">derive from the aberrant proliferation of ECL </w:t>
      </w:r>
      <w:proofErr w:type="gramStart"/>
      <w:r w:rsidRPr="00694F4E">
        <w:rPr>
          <w:rFonts w:ascii="Book Antiqua" w:eastAsia="Book Antiqua" w:hAnsi="Book Antiqua" w:cs="Book Antiqua"/>
          <w:color w:val="000000"/>
          <w:shd w:val="clear" w:color="auto" w:fill="FFFFFF"/>
        </w:rPr>
        <w:t>cells</w:t>
      </w:r>
      <w:r w:rsidR="00111BA5" w:rsidRPr="00694F4E">
        <w:rPr>
          <w:rFonts w:ascii="Book Antiqua" w:hAnsi="Book Antiqua" w:cs="Book Antiqua"/>
          <w:color w:val="000000"/>
          <w:shd w:val="clear" w:color="auto" w:fill="FFFFFF"/>
          <w:vertAlign w:val="superscript"/>
          <w:lang w:eastAsia="zh-CN"/>
        </w:rPr>
        <w:t>[</w:t>
      </w:r>
      <w:proofErr w:type="gramEnd"/>
      <w:r w:rsidRPr="00694F4E">
        <w:rPr>
          <w:rFonts w:ascii="Book Antiqua" w:eastAsia="Book Antiqua" w:hAnsi="Book Antiqua" w:cs="Book Antiqua"/>
          <w:color w:val="000000"/>
          <w:vertAlign w:val="superscript"/>
        </w:rPr>
        <w:t>6,</w:t>
      </w:r>
      <w:r w:rsidR="00B96834" w:rsidRPr="00694F4E">
        <w:rPr>
          <w:rFonts w:ascii="Book Antiqua" w:eastAsia="Book Antiqua" w:hAnsi="Book Antiqua" w:cs="Book Antiqua"/>
          <w:color w:val="000000"/>
          <w:vertAlign w:val="superscript"/>
        </w:rPr>
        <w:t>49</w:t>
      </w:r>
      <w:r w:rsidR="00111BA5" w:rsidRPr="00694F4E">
        <w:rPr>
          <w:rFonts w:ascii="Book Antiqua" w:hAnsi="Book Antiqua" w:cs="Book Antiqua"/>
          <w:color w:val="000000"/>
          <w:vertAlign w:val="superscript"/>
          <w:lang w:eastAsia="zh-CN"/>
        </w:rPr>
        <w:t>]</w:t>
      </w:r>
      <w:r w:rsidRPr="00694F4E">
        <w:rPr>
          <w:rFonts w:ascii="Book Antiqua" w:eastAsia="Book Antiqua" w:hAnsi="Book Antiqua" w:cs="Book Antiqua"/>
          <w:color w:val="000000"/>
          <w:shd w:val="clear" w:color="auto" w:fill="FFFFFF"/>
        </w:rPr>
        <w:t xml:space="preserve">. The development of neuroendocrine neoplasms, specifically from simple hyperplasia of </w:t>
      </w:r>
      <w:r w:rsidR="00111BA5" w:rsidRPr="00694F4E">
        <w:rPr>
          <w:rFonts w:ascii="Book Antiqua" w:eastAsia="Book Antiqua" w:hAnsi="Book Antiqua" w:cs="Book Antiqua"/>
          <w:color w:val="000000"/>
          <w:shd w:val="clear" w:color="auto" w:fill="FFFFFF"/>
        </w:rPr>
        <w:t>ECL</w:t>
      </w:r>
      <w:r w:rsidRPr="00694F4E">
        <w:rPr>
          <w:rFonts w:ascii="Book Antiqua" w:eastAsia="Book Antiqua" w:hAnsi="Book Antiqua" w:cs="Book Antiqua"/>
          <w:color w:val="000000"/>
          <w:shd w:val="clear" w:color="auto" w:fill="FFFFFF"/>
        </w:rPr>
        <w:t xml:space="preserve"> cells to abnormal neoplastic growth of mucosal neuroendocrine cells, is a complex process that is not yet fully understood. However, current research suggests that this progression may require a two-step process, in which the initial step may be ECL cell hyperplasia and the second step, which leads to the development of abnormal neoplastic growth of mucosal neuroendocrine cells, is less clearly understood. It is believed that certain genetic and environmental factors may contribute to the transformation of hyperplastic ECL cells into neoplastic cells. These factors may include mutations in specific genes involved in cell growth and division, as well as exposure to carcinogens or </w:t>
      </w:r>
      <w:r w:rsidRPr="00694F4E">
        <w:rPr>
          <w:rFonts w:ascii="Book Antiqua" w:eastAsia="Book Antiqua" w:hAnsi="Book Antiqua" w:cs="Book Antiqua"/>
          <w:color w:val="000000"/>
          <w:shd w:val="clear" w:color="auto" w:fill="FFFFFF"/>
        </w:rPr>
        <w:lastRenderedPageBreak/>
        <w:t xml:space="preserve">other damaging agents. However, further research is needed to fully elucidate the mechanisms underlying this progression. By gaining a better understanding of the molecular and cellular changes that occur during each step, researchers hope to develop improved diagnostic and therapeutic approaches for neuroendocrine neoplasms. </w:t>
      </w:r>
    </w:p>
    <w:p w14:paraId="496B6EB0" w14:textId="77777777" w:rsidR="00A77B3E" w:rsidRPr="00694F4E" w:rsidRDefault="00D157AA" w:rsidP="00111BA5">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Despite the multifactorial mechanisms, it is worth noting that the measurement of circulating gastrin levels may serve as a valuable biomarker for indirect assessment of neuroendocrine activity, thus reflecting the risk of developing gNEN in AIG patients. Indeed, in our series, we observed an overall sensitivity of 90.9% for gastrin in detecting gNEN. However, it is important to recognize that elevated gastrin levels also mark neuroendocrine activation resulting from the hypo/anacid condition typical of AIG patients. The calculated gastrin specificity in our series, in fact, only reached 1.4%. Therefore, while elevated gastrin levels may indicate an increased risk of gNEN in AIG patients, this hormone is not able to differentiate the presence of gNEN from gastrin-driven hypergastrinemia associated with AIG. </w:t>
      </w:r>
    </w:p>
    <w:p w14:paraId="4EF02620" w14:textId="78533D32" w:rsidR="00EE11D9" w:rsidRPr="00694F4E" w:rsidRDefault="00D157AA" w:rsidP="00EE0479">
      <w:pPr>
        <w:spacing w:line="360" w:lineRule="auto"/>
        <w:ind w:firstLineChars="200" w:firstLine="480"/>
        <w:jc w:val="both"/>
        <w:rPr>
          <w:rFonts w:ascii="Book Antiqua" w:eastAsia="Book Antiqua" w:hAnsi="Book Antiqua" w:cs="Book Antiqua"/>
          <w:color w:val="000000"/>
        </w:rPr>
      </w:pPr>
      <w:r w:rsidRPr="00694F4E">
        <w:rPr>
          <w:rFonts w:ascii="Book Antiqua" w:eastAsia="Book Antiqua" w:hAnsi="Book Antiqua" w:cs="Book Antiqua"/>
          <w:color w:val="000000"/>
          <w:shd w:val="clear" w:color="auto" w:fill="FFFFFF"/>
        </w:rPr>
        <w:t xml:space="preserve">Overall, the analysis of the gastrin ROC curve yielded an </w:t>
      </w:r>
      <w:r w:rsidR="00EE0479" w:rsidRPr="00694F4E">
        <w:rPr>
          <w:rFonts w:ascii="Book Antiqua" w:eastAsia="Book Antiqua" w:hAnsi="Book Antiqua" w:cs="Book Antiqua"/>
          <w:color w:val="000000"/>
          <w:shd w:val="clear" w:color="auto" w:fill="FFFFFF"/>
        </w:rPr>
        <w:t>AUC</w:t>
      </w:r>
      <w:r w:rsidRPr="00694F4E">
        <w:rPr>
          <w:rFonts w:ascii="Book Antiqua" w:eastAsia="Book Antiqua" w:hAnsi="Book Antiqua" w:cs="Book Antiqua"/>
          <w:color w:val="000000"/>
          <w:shd w:val="clear" w:color="auto" w:fill="FFFFFF"/>
        </w:rPr>
        <w:t xml:space="preserve"> of 0.53, indicating that gastrin </w:t>
      </w:r>
      <w:r w:rsidR="00122173" w:rsidRPr="00694F4E">
        <w:rPr>
          <w:rFonts w:ascii="Book Antiqua" w:eastAsia="Book Antiqua" w:hAnsi="Book Antiqua" w:cs="Book Antiqua"/>
          <w:color w:val="000000"/>
          <w:shd w:val="clear" w:color="auto" w:fill="FFFFFF"/>
        </w:rPr>
        <w:t xml:space="preserve">had </w:t>
      </w:r>
      <w:r w:rsidRPr="00694F4E">
        <w:rPr>
          <w:rFonts w:ascii="Book Antiqua" w:eastAsia="Book Antiqua" w:hAnsi="Book Antiqua" w:cs="Book Antiqua"/>
          <w:color w:val="000000"/>
          <w:shd w:val="clear" w:color="auto" w:fill="FFFFFF"/>
        </w:rPr>
        <w:t xml:space="preserve">low diagnostic accuracy as a biochemical marker for gNENs, with nearly 50% sensibility and 60% specificity. The identified best-performing cutoff point of 857 pg/mL, which achieved </w:t>
      </w:r>
      <w:r w:rsidR="00122173"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50% sensitivity and </w:t>
      </w:r>
      <w:r w:rsidR="00122173"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 xml:space="preserve">60% specificity, emphasizes the limited discriminatory power of gastrin in diagnosing gNENs, specifically in the population </w:t>
      </w:r>
      <w:r w:rsidR="00122173" w:rsidRPr="00694F4E">
        <w:rPr>
          <w:rFonts w:ascii="Book Antiqua" w:eastAsia="Book Antiqua" w:hAnsi="Book Antiqua" w:cs="Book Antiqua"/>
          <w:color w:val="000000"/>
          <w:shd w:val="clear" w:color="auto" w:fill="FFFFFF"/>
        </w:rPr>
        <w:t xml:space="preserve">in which </w:t>
      </w:r>
      <w:r w:rsidRPr="00694F4E">
        <w:rPr>
          <w:rFonts w:ascii="Book Antiqua" w:eastAsia="Book Antiqua" w:hAnsi="Book Antiqua" w:cs="Book Antiqua"/>
          <w:color w:val="000000"/>
          <w:shd w:val="clear" w:color="auto" w:fill="FFFFFF"/>
        </w:rPr>
        <w:t xml:space="preserve">its utilization would be </w:t>
      </w:r>
      <w:r w:rsidR="00122173" w:rsidRPr="00694F4E">
        <w:rPr>
          <w:rFonts w:ascii="Book Antiqua" w:eastAsia="Book Antiqua" w:hAnsi="Book Antiqua" w:cs="Book Antiqua"/>
          <w:color w:val="000000"/>
          <w:shd w:val="clear" w:color="auto" w:fill="FFFFFF"/>
        </w:rPr>
        <w:t>appropriate</w:t>
      </w:r>
      <w:r w:rsidRPr="00694F4E">
        <w:rPr>
          <w:rFonts w:ascii="Book Antiqua" w:eastAsia="Book Antiqua" w:hAnsi="Book Antiqua" w:cs="Book Antiqua"/>
          <w:color w:val="000000"/>
          <w:shd w:val="clear" w:color="auto" w:fill="FFFFFF"/>
        </w:rPr>
        <w:t>. These findings suggest that while gastrin may be associated with the presence of gNENs, its overall diagnostic performance is modest and may not be reliable as a stand</w:t>
      </w:r>
      <w:r w:rsidR="00122173" w:rsidRPr="00694F4E">
        <w:rPr>
          <w:rFonts w:ascii="Book Antiqua" w:eastAsia="Book Antiqua" w:hAnsi="Book Antiqua" w:cs="Book Antiqua"/>
          <w:color w:val="000000"/>
          <w:shd w:val="clear" w:color="auto" w:fill="FFFFFF"/>
        </w:rPr>
        <w:t>-</w:t>
      </w:r>
      <w:r w:rsidRPr="00694F4E">
        <w:rPr>
          <w:rFonts w:ascii="Book Antiqua" w:eastAsia="Book Antiqua" w:hAnsi="Book Antiqua" w:cs="Book Antiqua"/>
          <w:color w:val="000000"/>
          <w:shd w:val="clear" w:color="auto" w:fill="FFFFFF"/>
        </w:rPr>
        <w:t>alone marker for gNEN diagnosis in AIG patients.</w:t>
      </w:r>
      <w:r w:rsidRPr="00694F4E">
        <w:rPr>
          <w:rFonts w:ascii="Book Antiqua" w:eastAsia="Book Antiqua" w:hAnsi="Book Antiqua" w:cs="Book Antiqua"/>
          <w:color w:val="000000"/>
        </w:rPr>
        <w:t xml:space="preserve"> </w:t>
      </w:r>
    </w:p>
    <w:p w14:paraId="3034074F" w14:textId="2C5F8DAB" w:rsidR="00EE11D9" w:rsidRPr="00694F4E" w:rsidRDefault="00EE11D9" w:rsidP="00EE0479">
      <w:pPr>
        <w:spacing w:line="360" w:lineRule="auto"/>
        <w:ind w:firstLineChars="200" w:firstLine="480"/>
        <w:jc w:val="both"/>
        <w:rPr>
          <w:rFonts w:ascii="Book Antiqua" w:eastAsia="Book Antiqua" w:hAnsi="Book Antiqua" w:cs="Book Antiqua"/>
          <w:color w:val="000000"/>
          <w:shd w:val="clear" w:color="auto" w:fill="FFFFFF"/>
        </w:rPr>
      </w:pPr>
      <w:r w:rsidRPr="00694F4E">
        <w:rPr>
          <w:rFonts w:ascii="Book Antiqua" w:eastAsia="Book Antiqua" w:hAnsi="Book Antiqua" w:cs="Book Antiqua"/>
          <w:color w:val="000000"/>
          <w:shd w:val="clear" w:color="auto" w:fill="FFFFFF"/>
        </w:rPr>
        <w:t xml:space="preserve">The diagnostic accuracy remains low because gastrin levels are consistently elevated in AIG, due to hypochloridria and regardless of the presence of gNENs. In this context, the development of gNENs is only a final epiphenomenon </w:t>
      </w:r>
      <w:r w:rsidR="00694F4E" w:rsidRPr="00694F4E">
        <w:rPr>
          <w:rFonts w:ascii="Book Antiqua" w:eastAsia="Book Antiqua" w:hAnsi="Book Antiqua" w:cs="Book Antiqua"/>
          <w:color w:val="000000"/>
          <w:shd w:val="clear" w:color="auto" w:fill="FFFFFF"/>
        </w:rPr>
        <w:t>r</w:t>
      </w:r>
      <w:r w:rsidRPr="00694F4E">
        <w:rPr>
          <w:rFonts w:ascii="Book Antiqua" w:eastAsia="Book Antiqua" w:hAnsi="Book Antiqua" w:cs="Book Antiqua"/>
          <w:color w:val="000000"/>
          <w:shd w:val="clear" w:color="auto" w:fill="FFFFFF"/>
        </w:rPr>
        <w:t>esulting from activation of ECL cells. This further contributes to the challenge of using gastrin as a reliable marker for early detection of gNENs in AIG patients.</w:t>
      </w:r>
    </w:p>
    <w:p w14:paraId="50EBA86C" w14:textId="77777777" w:rsidR="00A77B3E" w:rsidRPr="00694F4E" w:rsidRDefault="00D157AA" w:rsidP="00A3750F">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Unfortunately, also incorporating CgA levels alongside gastrin levels, the combination of the two markers did not achieve sufficient diagnostic specificity and, thus, accuracy for the detection of gNENs associated with AIG. This is due to the lack of </w:t>
      </w:r>
      <w:r w:rsidRPr="00694F4E">
        <w:rPr>
          <w:rFonts w:ascii="Book Antiqua" w:eastAsia="Book Antiqua" w:hAnsi="Book Antiqua" w:cs="Book Antiqua"/>
          <w:color w:val="000000"/>
          <w:shd w:val="clear" w:color="auto" w:fill="FFFFFF"/>
        </w:rPr>
        <w:lastRenderedPageBreak/>
        <w:t>significant difference in circulating levels of CgA between AIG patients who developed at least one gNEN and those who did not develop any gNEN, which can be explained by the nonspecific secretion of CgA by neuroendocrine cells in cases of gastric mucosal atrophy. Unlike gastrin, CgA has no pathogenic role in the proliferation of ECLs and thus in the genesis of gNENs.</w:t>
      </w:r>
    </w:p>
    <w:p w14:paraId="22D2571E" w14:textId="70176215" w:rsidR="00A77B3E" w:rsidRPr="00694F4E" w:rsidRDefault="00D157AA" w:rsidP="00122173">
      <w:pPr>
        <w:spacing w:line="360" w:lineRule="auto"/>
        <w:ind w:firstLineChars="200" w:firstLine="480"/>
        <w:jc w:val="both"/>
        <w:rPr>
          <w:rFonts w:ascii="Book Antiqua" w:hAnsi="Book Antiqua"/>
        </w:rPr>
      </w:pPr>
      <w:r w:rsidRPr="00694F4E">
        <w:rPr>
          <w:rFonts w:ascii="Book Antiqua" w:eastAsia="Book Antiqua" w:hAnsi="Book Antiqua" w:cs="Book Antiqua"/>
          <w:color w:val="000000"/>
          <w:shd w:val="clear" w:color="auto" w:fill="FFFFFF"/>
        </w:rPr>
        <w:t xml:space="preserve">It is important to acknowledge the limitations of our study. Firstly, the study </w:t>
      </w:r>
      <w:r w:rsidR="00122173" w:rsidRPr="00694F4E">
        <w:rPr>
          <w:rFonts w:ascii="Book Antiqua" w:eastAsia="Book Antiqua" w:hAnsi="Book Antiqua" w:cs="Book Antiqua"/>
          <w:color w:val="000000"/>
          <w:shd w:val="clear" w:color="auto" w:fill="FFFFFF"/>
        </w:rPr>
        <w:t>was</w:t>
      </w:r>
      <w:r w:rsidRPr="00694F4E">
        <w:rPr>
          <w:rFonts w:ascii="Book Antiqua" w:eastAsia="Book Antiqua" w:hAnsi="Book Antiqua" w:cs="Book Antiqua"/>
          <w:color w:val="000000"/>
          <w:shd w:val="clear" w:color="auto" w:fill="FFFFFF"/>
        </w:rPr>
        <w:t xml:space="preserve"> retrospective, which means that the findings should be interpreted with caution. </w:t>
      </w:r>
      <w:r w:rsidR="00122173" w:rsidRPr="00694F4E">
        <w:rPr>
          <w:rFonts w:ascii="Book Antiqua" w:eastAsia="Book Antiqua" w:hAnsi="Book Antiqua" w:cs="Book Antiqua"/>
          <w:color w:val="000000"/>
          <w:shd w:val="clear" w:color="auto" w:fill="FFFFFF"/>
        </w:rPr>
        <w:t xml:space="preserve">Secondly, </w:t>
      </w:r>
      <w:r w:rsidR="00122173" w:rsidRPr="00694F4E">
        <w:rPr>
          <w:rFonts w:ascii="Book Antiqua" w:hAnsi="Book Antiqua"/>
        </w:rPr>
        <w:t>it was</w:t>
      </w:r>
      <w:r w:rsidRPr="00694F4E">
        <w:rPr>
          <w:rFonts w:ascii="Book Antiqua" w:eastAsia="Book Antiqua" w:hAnsi="Book Antiqua" w:cs="Book Antiqua"/>
          <w:color w:val="000000"/>
          <w:shd w:val="clear" w:color="auto" w:fill="FFFFFF"/>
        </w:rPr>
        <w:t xml:space="preserve"> a </w:t>
      </w:r>
      <w:r w:rsidR="009430DD" w:rsidRPr="00694F4E">
        <w:rPr>
          <w:rFonts w:ascii="Book Antiqua" w:eastAsia="Book Antiqua" w:hAnsi="Book Antiqua" w:cs="Book Antiqua"/>
          <w:color w:val="000000"/>
          <w:shd w:val="clear" w:color="auto" w:fill="FFFFFF"/>
        </w:rPr>
        <w:t>single-center</w:t>
      </w:r>
      <w:r w:rsidRPr="00694F4E">
        <w:rPr>
          <w:rFonts w:ascii="Book Antiqua" w:eastAsia="Book Antiqua" w:hAnsi="Book Antiqua" w:cs="Book Antiqua"/>
          <w:color w:val="000000"/>
          <w:shd w:val="clear" w:color="auto" w:fill="FFFFFF"/>
        </w:rPr>
        <w:t xml:space="preserve"> study with a small sample size, which may limit generaliza</w:t>
      </w:r>
      <w:r w:rsidR="00122173" w:rsidRPr="00694F4E">
        <w:rPr>
          <w:rFonts w:ascii="Book Antiqua" w:eastAsia="Book Antiqua" w:hAnsi="Book Antiqua" w:cs="Book Antiqua"/>
          <w:color w:val="000000"/>
          <w:shd w:val="clear" w:color="auto" w:fill="FFFFFF"/>
        </w:rPr>
        <w:t>tion</w:t>
      </w:r>
      <w:r w:rsidRPr="00694F4E">
        <w:rPr>
          <w:rFonts w:ascii="Book Antiqua" w:eastAsia="Book Antiqua" w:hAnsi="Book Antiqua" w:cs="Book Antiqua"/>
          <w:color w:val="000000"/>
          <w:shd w:val="clear" w:color="auto" w:fill="FFFFFF"/>
        </w:rPr>
        <w:t xml:space="preserve"> of our results. However, the long duration of follow-up and extensive clinical and laboratory investigations provide solid data on the association between AIG and gNEN and its risk magnitude.</w:t>
      </w:r>
    </w:p>
    <w:p w14:paraId="7A64CE6C" w14:textId="77777777" w:rsidR="00A77B3E" w:rsidRPr="00694F4E" w:rsidRDefault="00A77B3E" w:rsidP="00A62589">
      <w:pPr>
        <w:spacing w:line="360" w:lineRule="auto"/>
        <w:jc w:val="both"/>
        <w:rPr>
          <w:rFonts w:ascii="Book Antiqua" w:hAnsi="Book Antiqua"/>
        </w:rPr>
      </w:pPr>
    </w:p>
    <w:p w14:paraId="084FEBBD"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CONCLUSION</w:t>
      </w:r>
    </w:p>
    <w:p w14:paraId="6EE4A150" w14:textId="3EBBAA90" w:rsidR="00A77B3E" w:rsidRPr="00694F4E" w:rsidRDefault="00122173" w:rsidP="00694F4E">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Our</w:t>
      </w:r>
      <w:r w:rsidR="00D157AA" w:rsidRPr="00694F4E">
        <w:rPr>
          <w:rFonts w:ascii="Book Antiqua" w:eastAsia="Book Antiqua" w:hAnsi="Book Antiqua" w:cs="Book Antiqua"/>
          <w:color w:val="000000"/>
          <w:shd w:val="clear" w:color="auto" w:fill="FFFFFF"/>
        </w:rPr>
        <w:t xml:space="preserve"> study confirms that type I gNENs represent a non-negligible complication in patients with AIG and that they are related to hypergastrinemia.</w:t>
      </w:r>
      <w:r w:rsidR="00D157AA"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shd w:val="clear" w:color="auto" w:fill="FFFFFF"/>
        </w:rPr>
        <w:t>Gastrin has only moderate</w:t>
      </w:r>
      <w:r w:rsidR="00D157AA" w:rsidRPr="00694F4E">
        <w:rPr>
          <w:rFonts w:ascii="Book Antiqua" w:eastAsia="Book Antiqua" w:hAnsi="Book Antiqua" w:cs="Book Antiqua"/>
          <w:color w:val="000000"/>
          <w:shd w:val="clear" w:color="auto" w:fill="FFFFFF"/>
        </w:rPr>
        <w:t xml:space="preserve"> diagnostic accuracy</w:t>
      </w:r>
      <w:r w:rsidRPr="00694F4E">
        <w:rPr>
          <w:rFonts w:ascii="Book Antiqua" w:eastAsia="Book Antiqua" w:hAnsi="Book Antiqua" w:cs="Book Antiqua"/>
          <w:color w:val="000000"/>
          <w:shd w:val="clear" w:color="auto" w:fill="FFFFFF"/>
        </w:rPr>
        <w:t xml:space="preserve">; therefore, it </w:t>
      </w:r>
      <w:r w:rsidR="00D157AA" w:rsidRPr="00694F4E">
        <w:rPr>
          <w:rFonts w:ascii="Book Antiqua" w:eastAsia="Book Antiqua" w:hAnsi="Book Antiqua" w:cs="Book Antiqua"/>
          <w:color w:val="000000"/>
          <w:shd w:val="clear" w:color="auto" w:fill="FFFFFF"/>
        </w:rPr>
        <w:t>cannot be a noninvasive marker of early diagnosis of gNEN in AIG because of its low specificity. Given these findings, further efforts must be made to identify new noninvasive early markers of aberrant ECL cell proliferation so as to identify effective strategies for individualizing endoscopic follow-up of AIG patients</w:t>
      </w:r>
      <w:r w:rsidRPr="00694F4E">
        <w:rPr>
          <w:rFonts w:ascii="Book Antiqua" w:eastAsia="Book Antiqua" w:hAnsi="Book Antiqua" w:cs="Book Antiqua"/>
          <w:color w:val="000000"/>
          <w:shd w:val="clear" w:color="auto" w:fill="FFFFFF"/>
        </w:rPr>
        <w:t>,</w:t>
      </w:r>
      <w:r w:rsidR="00D157AA" w:rsidRPr="00694F4E">
        <w:rPr>
          <w:rFonts w:ascii="Book Antiqua" w:eastAsia="Book Antiqua" w:hAnsi="Book Antiqua" w:cs="Book Antiqua"/>
          <w:color w:val="000000"/>
          <w:shd w:val="clear" w:color="auto" w:fill="FFFFFF"/>
        </w:rPr>
        <w:t xml:space="preserve"> </w:t>
      </w:r>
      <w:r w:rsidRPr="00694F4E">
        <w:rPr>
          <w:rFonts w:ascii="Book Antiqua" w:eastAsia="Book Antiqua" w:hAnsi="Book Antiqua" w:cs="Book Antiqua"/>
          <w:color w:val="000000"/>
          <w:shd w:val="clear" w:color="auto" w:fill="FFFFFF"/>
        </w:rPr>
        <w:t>for</w:t>
      </w:r>
      <w:r w:rsidR="00D157AA" w:rsidRPr="00694F4E">
        <w:rPr>
          <w:rFonts w:ascii="Book Antiqua" w:eastAsia="Book Antiqua" w:hAnsi="Book Antiqua" w:cs="Book Antiqua"/>
          <w:color w:val="000000"/>
          <w:shd w:val="clear" w:color="auto" w:fill="FFFFFF"/>
        </w:rPr>
        <w:t xml:space="preserve"> early </w:t>
      </w:r>
      <w:r w:rsidRPr="00694F4E">
        <w:rPr>
          <w:rFonts w:ascii="Book Antiqua" w:eastAsia="Book Antiqua" w:hAnsi="Book Antiqua" w:cs="Book Antiqua"/>
          <w:color w:val="000000"/>
          <w:shd w:val="clear" w:color="auto" w:fill="FFFFFF"/>
        </w:rPr>
        <w:t xml:space="preserve">diagnosis </w:t>
      </w:r>
      <w:r w:rsidR="00D157AA" w:rsidRPr="00694F4E">
        <w:rPr>
          <w:rFonts w:ascii="Book Antiqua" w:eastAsia="Book Antiqua" w:hAnsi="Book Antiqua" w:cs="Book Antiqua"/>
          <w:color w:val="000000"/>
          <w:shd w:val="clear" w:color="auto" w:fill="FFFFFF"/>
        </w:rPr>
        <w:t>and treat</w:t>
      </w:r>
      <w:r w:rsidRPr="00694F4E">
        <w:rPr>
          <w:rFonts w:ascii="Book Antiqua" w:eastAsia="Book Antiqua" w:hAnsi="Book Antiqua" w:cs="Book Antiqua"/>
          <w:color w:val="000000"/>
          <w:shd w:val="clear" w:color="auto" w:fill="FFFFFF"/>
        </w:rPr>
        <w:t>ment of</w:t>
      </w:r>
      <w:r w:rsidR="00D157AA" w:rsidRPr="00694F4E">
        <w:rPr>
          <w:rFonts w:ascii="Book Antiqua" w:eastAsia="Book Antiqua" w:hAnsi="Book Antiqua" w:cs="Book Antiqua"/>
          <w:color w:val="000000"/>
          <w:shd w:val="clear" w:color="auto" w:fill="FFFFFF"/>
        </w:rPr>
        <w:t xml:space="preserve"> superimposed neuroendocrine lesions.</w:t>
      </w:r>
      <w:r w:rsidRPr="00694F4E">
        <w:rPr>
          <w:rFonts w:ascii="Book Antiqua" w:eastAsia="Book Antiqua" w:hAnsi="Book Antiqua" w:cs="Book Antiqua"/>
          <w:color w:val="000000"/>
          <w:shd w:val="clear" w:color="auto" w:fill="FFFFFF"/>
        </w:rPr>
        <w:t xml:space="preserve"> </w:t>
      </w:r>
      <w:r w:rsidR="00D157AA" w:rsidRPr="00694F4E">
        <w:rPr>
          <w:rFonts w:ascii="Book Antiqua" w:eastAsia="Book Antiqua" w:hAnsi="Book Antiqua" w:cs="Book Antiqua"/>
          <w:color w:val="000000"/>
          <w:shd w:val="clear" w:color="auto" w:fill="FFFFFF"/>
        </w:rPr>
        <w:t xml:space="preserve">Further studies are needed to </w:t>
      </w:r>
      <w:r w:rsidR="009430DD" w:rsidRPr="00694F4E">
        <w:rPr>
          <w:rFonts w:ascii="Book Antiqua" w:eastAsia="Book Antiqua" w:hAnsi="Book Antiqua" w:cs="Book Antiqua"/>
          <w:color w:val="000000"/>
          <w:shd w:val="clear" w:color="auto" w:fill="FFFFFF"/>
        </w:rPr>
        <w:t>explore the potential clinical implications of these results in managing</w:t>
      </w:r>
      <w:r w:rsidR="00D157AA" w:rsidRPr="00694F4E">
        <w:rPr>
          <w:rFonts w:ascii="Book Antiqua" w:eastAsia="Book Antiqua" w:hAnsi="Book Antiqua" w:cs="Book Antiqua"/>
          <w:color w:val="000000"/>
          <w:shd w:val="clear" w:color="auto" w:fill="FFFFFF"/>
        </w:rPr>
        <w:t xml:space="preserve"> AIG patients.</w:t>
      </w:r>
    </w:p>
    <w:p w14:paraId="540D6163" w14:textId="77777777" w:rsidR="00A77B3E" w:rsidRPr="00694F4E" w:rsidRDefault="00A77B3E" w:rsidP="00A62589">
      <w:pPr>
        <w:spacing w:line="360" w:lineRule="auto"/>
        <w:jc w:val="both"/>
        <w:rPr>
          <w:rFonts w:ascii="Book Antiqua" w:hAnsi="Book Antiqua"/>
        </w:rPr>
      </w:pPr>
    </w:p>
    <w:p w14:paraId="205DFF63"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aps/>
          <w:color w:val="000000"/>
          <w:u w:val="single"/>
        </w:rPr>
        <w:t>ARTICLE HIGHLIGHTS</w:t>
      </w:r>
    </w:p>
    <w:p w14:paraId="511B4C6F"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background</w:t>
      </w:r>
    </w:p>
    <w:p w14:paraId="1F502581" w14:textId="2D47E893"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shd w:val="clear" w:color="auto" w:fill="FFFFFF"/>
        </w:rPr>
        <w:t xml:space="preserve">Type I </w:t>
      </w:r>
      <w:r w:rsidR="00616B64" w:rsidRPr="00694F4E">
        <w:rPr>
          <w:rFonts w:ascii="Book Antiqua" w:hAnsi="Book Antiqua" w:cs="Book Antiqua"/>
          <w:color w:val="000000"/>
          <w:shd w:val="clear" w:color="auto" w:fill="FFFFFF"/>
          <w:lang w:eastAsia="zh-CN"/>
        </w:rPr>
        <w:t>g</w:t>
      </w:r>
      <w:r w:rsidR="00616B64" w:rsidRPr="00694F4E">
        <w:rPr>
          <w:rFonts w:ascii="Book Antiqua" w:eastAsia="Book Antiqua" w:hAnsi="Book Antiqua" w:cs="Book Antiqua"/>
          <w:color w:val="000000"/>
          <w:shd w:val="clear" w:color="auto" w:fill="FFFFFF"/>
        </w:rPr>
        <w:t>astric neuroendocrine neoplasms</w:t>
      </w:r>
      <w:r w:rsidRPr="00694F4E">
        <w:rPr>
          <w:rFonts w:ascii="Book Antiqua" w:eastAsia="Book Antiqua" w:hAnsi="Book Antiqua" w:cs="Book Antiqua"/>
          <w:color w:val="000000"/>
          <w:shd w:val="clear" w:color="auto" w:fill="FFFFFF"/>
        </w:rPr>
        <w:t xml:space="preserve"> (gNENs) in chronic autoimmune gastritis (AIG) are increasingly </w:t>
      </w:r>
      <w:r w:rsidR="00667F68" w:rsidRPr="00694F4E">
        <w:rPr>
          <w:rFonts w:ascii="Book Antiqua" w:eastAsia="Book Antiqua" w:hAnsi="Book Antiqua" w:cs="Book Antiqua"/>
          <w:color w:val="000000"/>
          <w:shd w:val="clear" w:color="auto" w:fill="FFFFFF"/>
        </w:rPr>
        <w:t xml:space="preserve">being </w:t>
      </w:r>
      <w:r w:rsidRPr="00694F4E">
        <w:rPr>
          <w:rFonts w:ascii="Book Antiqua" w:eastAsia="Book Antiqua" w:hAnsi="Book Antiqua" w:cs="Book Antiqua"/>
          <w:color w:val="000000"/>
          <w:shd w:val="clear" w:color="auto" w:fill="FFFFFF"/>
        </w:rPr>
        <w:t xml:space="preserve">diagnosed, but no accurate data are available. </w:t>
      </w:r>
    </w:p>
    <w:p w14:paraId="60BB7DE8" w14:textId="77777777" w:rsidR="00A77B3E" w:rsidRPr="00694F4E" w:rsidRDefault="00A77B3E" w:rsidP="00A62589">
      <w:pPr>
        <w:spacing w:line="360" w:lineRule="auto"/>
        <w:jc w:val="both"/>
        <w:rPr>
          <w:rFonts w:ascii="Book Antiqua" w:hAnsi="Book Antiqua"/>
        </w:rPr>
      </w:pPr>
    </w:p>
    <w:p w14:paraId="13DA2864"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motivation</w:t>
      </w:r>
    </w:p>
    <w:p w14:paraId="334C4884" w14:textId="66D13B58"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lastRenderedPageBreak/>
        <w:t>To date</w:t>
      </w:r>
      <w:r w:rsidR="00667F68" w:rsidRPr="00694F4E">
        <w:rPr>
          <w:rFonts w:ascii="Book Antiqua" w:eastAsia="Book Antiqua" w:hAnsi="Book Antiqua" w:cs="Book Antiqua"/>
          <w:color w:val="000000"/>
        </w:rPr>
        <w:t>,</w:t>
      </w:r>
      <w:r w:rsidRPr="00694F4E">
        <w:rPr>
          <w:rFonts w:ascii="Book Antiqua" w:eastAsia="Book Antiqua" w:hAnsi="Book Antiqua" w:cs="Book Antiqua"/>
          <w:color w:val="000000"/>
        </w:rPr>
        <w:t xml:space="preserve"> no risk factors for malignant transformation of AIG</w:t>
      </w:r>
      <w:r w:rsidR="003B59E0" w:rsidRPr="00694F4E">
        <w:rPr>
          <w:rFonts w:ascii="Book Antiqua" w:hAnsi="Book Antiqua" w:cs="Book Antiqua"/>
          <w:color w:val="000000"/>
          <w:lang w:eastAsia="zh-CN"/>
        </w:rPr>
        <w:t xml:space="preserve"> </w:t>
      </w:r>
      <w:r w:rsidRPr="00694F4E">
        <w:rPr>
          <w:rFonts w:ascii="Book Antiqua" w:eastAsia="Book Antiqua" w:hAnsi="Book Antiqua" w:cs="Book Antiqua"/>
          <w:color w:val="000000"/>
        </w:rPr>
        <w:t>into NEN</w:t>
      </w:r>
      <w:r w:rsidR="00667F68" w:rsidRPr="00694F4E">
        <w:rPr>
          <w:rFonts w:ascii="Book Antiqua" w:eastAsia="Book Antiqua" w:hAnsi="Book Antiqua" w:cs="Book Antiqua"/>
          <w:color w:val="000000"/>
        </w:rPr>
        <w:t xml:space="preserve">s </w:t>
      </w:r>
      <w:r w:rsidRPr="00694F4E">
        <w:rPr>
          <w:rFonts w:ascii="Book Antiqua" w:eastAsia="Book Antiqua" w:hAnsi="Book Antiqua" w:cs="Book Antiqua"/>
          <w:color w:val="000000"/>
        </w:rPr>
        <w:t>have</w:t>
      </w:r>
      <w:r w:rsidR="00667F68" w:rsidRPr="00694F4E">
        <w:rPr>
          <w:rFonts w:ascii="Book Antiqua" w:eastAsia="Book Antiqua" w:hAnsi="Book Antiqua" w:cs="Book Antiqua"/>
          <w:color w:val="000000"/>
        </w:rPr>
        <w:t xml:space="preserve"> </w:t>
      </w:r>
      <w:r w:rsidRPr="00694F4E">
        <w:rPr>
          <w:rFonts w:ascii="Book Antiqua" w:eastAsia="Book Antiqua" w:hAnsi="Book Antiqua" w:cs="Book Antiqua"/>
          <w:color w:val="000000"/>
        </w:rPr>
        <w:t xml:space="preserve">been identified. Their identification may significantly help </w:t>
      </w:r>
      <w:r w:rsidR="00667F68" w:rsidRPr="00694F4E">
        <w:rPr>
          <w:rFonts w:ascii="Book Antiqua" w:eastAsia="Book Antiqua" w:hAnsi="Book Antiqua" w:cs="Book Antiqua"/>
          <w:color w:val="000000"/>
        </w:rPr>
        <w:t xml:space="preserve">to optimize </w:t>
      </w:r>
      <w:r w:rsidRPr="00694F4E">
        <w:rPr>
          <w:rFonts w:ascii="Book Antiqua" w:eastAsia="Book Antiqua" w:hAnsi="Book Antiqua" w:cs="Book Antiqua"/>
          <w:color w:val="000000"/>
        </w:rPr>
        <w:t>endoscopic follow-up</w:t>
      </w:r>
      <w:r w:rsidR="00667F68" w:rsidRPr="00694F4E">
        <w:rPr>
          <w:rFonts w:ascii="Book Antiqua" w:eastAsia="Book Antiqua" w:hAnsi="Book Antiqua" w:cs="Book Antiqua"/>
          <w:color w:val="000000"/>
        </w:rPr>
        <w:t xml:space="preserve"> ofAIG</w:t>
      </w:r>
      <w:r w:rsidRPr="00694F4E">
        <w:rPr>
          <w:rFonts w:ascii="Book Antiqua" w:eastAsia="Book Antiqua" w:hAnsi="Book Antiqua" w:cs="Book Antiqua"/>
          <w:color w:val="000000"/>
        </w:rPr>
        <w:t>.</w:t>
      </w:r>
    </w:p>
    <w:p w14:paraId="1086AEAC" w14:textId="77777777" w:rsidR="00A77B3E" w:rsidRPr="00694F4E" w:rsidRDefault="00A77B3E" w:rsidP="00A62589">
      <w:pPr>
        <w:spacing w:line="360" w:lineRule="auto"/>
        <w:jc w:val="both"/>
        <w:rPr>
          <w:rFonts w:ascii="Book Antiqua" w:hAnsi="Book Antiqua"/>
        </w:rPr>
      </w:pPr>
    </w:p>
    <w:p w14:paraId="19E7B13D"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objectives</w:t>
      </w:r>
    </w:p>
    <w:p w14:paraId="68871FD7" w14:textId="0B657100"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 xml:space="preserve">The main objective was to evaluate the incidence and prevalence of type I gNENs in a cohort of AIG patients. Secondly, the study aimed </w:t>
      </w:r>
      <w:r w:rsidR="00667F68" w:rsidRPr="00694F4E">
        <w:rPr>
          <w:rFonts w:ascii="Book Antiqua" w:eastAsia="Book Antiqua" w:hAnsi="Book Antiqua" w:cs="Book Antiqua"/>
          <w:color w:val="000000"/>
        </w:rPr>
        <w:t xml:space="preserve">to </w:t>
      </w:r>
      <w:r w:rsidRPr="00694F4E">
        <w:rPr>
          <w:rFonts w:ascii="Book Antiqua" w:eastAsia="Book Antiqua" w:hAnsi="Book Antiqua" w:cs="Book Antiqua"/>
          <w:color w:val="000000"/>
        </w:rPr>
        <w:t>identify potential risk factors for malignant transformation of AIG.</w:t>
      </w:r>
    </w:p>
    <w:p w14:paraId="22DD5B2A" w14:textId="77777777" w:rsidR="00A77B3E" w:rsidRPr="00694F4E" w:rsidRDefault="00A77B3E" w:rsidP="00A62589">
      <w:pPr>
        <w:spacing w:line="360" w:lineRule="auto"/>
        <w:jc w:val="both"/>
        <w:rPr>
          <w:rFonts w:ascii="Book Antiqua" w:hAnsi="Book Antiqua"/>
        </w:rPr>
      </w:pPr>
    </w:p>
    <w:p w14:paraId="20FF2EDB"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methods</w:t>
      </w:r>
    </w:p>
    <w:p w14:paraId="78B53DCE" w14:textId="7860AE7B"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Patients with a histological diagnosis of AIG were enrolled between October 2020 and May 2022</w:t>
      </w:r>
      <w:r w:rsidR="00667F68" w:rsidRPr="00694F4E">
        <w:rPr>
          <w:rFonts w:ascii="Book Antiqua" w:eastAsia="Book Antiqua" w:hAnsi="Book Antiqua" w:cs="Book Antiqua"/>
          <w:color w:val="000000"/>
        </w:rPr>
        <w:t>. C</w:t>
      </w:r>
      <w:r w:rsidRPr="00694F4E">
        <w:rPr>
          <w:rFonts w:ascii="Book Antiqua" w:eastAsia="Book Antiqua" w:hAnsi="Book Antiqua" w:cs="Book Antiqua"/>
          <w:color w:val="000000"/>
        </w:rPr>
        <w:t xml:space="preserve">irculating levels of </w:t>
      </w:r>
      <w:proofErr w:type="gramStart"/>
      <w:r w:rsidRPr="00694F4E">
        <w:rPr>
          <w:rFonts w:ascii="Book Antiqua" w:eastAsia="Book Antiqua" w:hAnsi="Book Antiqua" w:cs="Book Antiqua"/>
          <w:color w:val="000000"/>
        </w:rPr>
        <w:t>chromogranin</w:t>
      </w:r>
      <w:proofErr w:type="gramEnd"/>
      <w:r w:rsidRPr="00694F4E">
        <w:rPr>
          <w:rFonts w:ascii="Book Antiqua" w:eastAsia="Book Antiqua" w:hAnsi="Book Antiqua" w:cs="Book Antiqua"/>
          <w:color w:val="000000"/>
        </w:rPr>
        <w:t xml:space="preserve"> A and gastrin were assessed at enrollment. </w:t>
      </w:r>
      <w:r w:rsidR="00667F68" w:rsidRPr="00694F4E">
        <w:rPr>
          <w:rFonts w:ascii="Book Antiqua" w:eastAsia="Book Antiqua" w:hAnsi="Book Antiqua" w:cs="Book Antiqua"/>
          <w:color w:val="000000"/>
        </w:rPr>
        <w:t>P</w:t>
      </w:r>
      <w:r w:rsidRPr="00694F4E">
        <w:rPr>
          <w:rFonts w:ascii="Book Antiqua" w:eastAsia="Book Antiqua" w:hAnsi="Book Antiqua" w:cs="Book Antiqua"/>
          <w:color w:val="000000"/>
        </w:rPr>
        <w:t xml:space="preserve">atients underwent regular endoscopic follow-up to detect gastric neoplastic lesions, enterochromaffin-like cell hyperplasia, and </w:t>
      </w:r>
      <w:r w:rsidR="009430DD" w:rsidRPr="00694F4E">
        <w:rPr>
          <w:rFonts w:ascii="Book Antiqua" w:eastAsia="Book Antiqua" w:hAnsi="Book Antiqua" w:cs="Book Antiqua"/>
          <w:color w:val="000000"/>
        </w:rPr>
        <w:t xml:space="preserve">the </w:t>
      </w:r>
      <w:r w:rsidRPr="00694F4E">
        <w:rPr>
          <w:rFonts w:ascii="Book Antiqua" w:eastAsia="Book Antiqua" w:hAnsi="Book Antiqua" w:cs="Book Antiqua"/>
          <w:color w:val="000000"/>
        </w:rPr>
        <w:t>development of gNEN.</w:t>
      </w:r>
    </w:p>
    <w:p w14:paraId="5C10F528" w14:textId="77777777" w:rsidR="00A77B3E" w:rsidRPr="00694F4E" w:rsidRDefault="00A77B3E" w:rsidP="00A62589">
      <w:pPr>
        <w:spacing w:line="360" w:lineRule="auto"/>
        <w:jc w:val="both"/>
        <w:rPr>
          <w:rFonts w:ascii="Book Antiqua" w:hAnsi="Book Antiqua"/>
        </w:rPr>
      </w:pPr>
    </w:p>
    <w:p w14:paraId="1199D9F9"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results</w:t>
      </w:r>
    </w:p>
    <w:p w14:paraId="564BE226" w14:textId="15FF27E2"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Among 176 included patients, after 1032 person-years, 33 patients developed a total of 50 gNEN type I, with an incidence rate of 0.057 person-years, corresponding to an annual cumulative incidence of 5.7%. Gastrin levels were significantly higher in AIG patients who developed gNENs [median 992 pg/mL</w:t>
      </w:r>
      <w:r w:rsidR="005948FE" w:rsidRPr="00694F4E">
        <w:rPr>
          <w:rFonts w:ascii="Book Antiqua" w:hAnsi="Book Antiqua" w:cs="Book Antiqua"/>
          <w:color w:val="000000"/>
          <w:lang w:eastAsia="zh-CN"/>
        </w:rPr>
        <w:t>,</w:t>
      </w:r>
      <w:r w:rsidRPr="00694F4E">
        <w:rPr>
          <w:rFonts w:ascii="Book Antiqua" w:eastAsia="Book Antiqua" w:hAnsi="Book Antiqua" w:cs="Book Antiqua"/>
          <w:color w:val="000000"/>
        </w:rPr>
        <w:t xml:space="preserve"> </w:t>
      </w:r>
      <w:r w:rsidR="000D5C88" w:rsidRPr="00694F4E">
        <w:rPr>
          <w:rFonts w:ascii="Book Antiqua" w:hAnsi="Book Antiqua" w:cs="Book Antiqua"/>
          <w:lang w:eastAsia="zh-CN"/>
        </w:rPr>
        <w:t>[</w:t>
      </w:r>
      <w:r w:rsidR="003646EA" w:rsidRPr="00694F4E">
        <w:rPr>
          <w:rFonts w:ascii="Book Antiqua" w:eastAsia="Book Antiqua" w:hAnsi="Book Antiqua" w:cs="Book Antiqua"/>
          <w:color w:val="000000"/>
          <w:shd w:val="clear" w:color="auto" w:fill="FFFFFF"/>
        </w:rPr>
        <w:t>interquartile range (IQR)</w:t>
      </w:r>
      <w:r w:rsidR="005948FE" w:rsidRPr="00694F4E">
        <w:rPr>
          <w:rFonts w:ascii="Book Antiqua" w:hAnsi="Book Antiqua" w:cs="Book Antiqua"/>
          <w:color w:val="000000"/>
          <w:lang w:eastAsia="zh-CN"/>
        </w:rPr>
        <w:t xml:space="preserve"> </w:t>
      </w:r>
      <w:r w:rsidRPr="00694F4E">
        <w:rPr>
          <w:rFonts w:ascii="Book Antiqua" w:eastAsia="Book Antiqua" w:hAnsi="Book Antiqua" w:cs="Book Antiqua"/>
          <w:color w:val="000000"/>
        </w:rPr>
        <w:t>=</w:t>
      </w:r>
      <w:r w:rsidR="005948FE" w:rsidRPr="00694F4E">
        <w:rPr>
          <w:rFonts w:ascii="Book Antiqua" w:hAnsi="Book Antiqua" w:cs="Book Antiqua"/>
          <w:color w:val="000000"/>
          <w:lang w:eastAsia="zh-CN"/>
        </w:rPr>
        <w:t xml:space="preserve"> </w:t>
      </w:r>
      <w:r w:rsidR="005948FE" w:rsidRPr="00694F4E">
        <w:rPr>
          <w:rFonts w:ascii="Book Antiqua" w:eastAsia="Book Antiqua" w:hAnsi="Book Antiqua" w:cs="Book Antiqua"/>
          <w:color w:val="000000"/>
        </w:rPr>
        <w:t>449</w:t>
      </w:r>
      <w:r w:rsidR="00667F68" w:rsidRPr="00694F4E">
        <w:rPr>
          <w:rFonts w:ascii="Book Antiqua" w:eastAsia="Book Antiqua" w:hAnsi="Book Antiqua" w:cs="Book Antiqua"/>
          <w:color w:val="000000"/>
        </w:rPr>
        <w:t>–</w:t>
      </w:r>
      <w:r w:rsidR="005948FE" w:rsidRPr="00694F4E">
        <w:rPr>
          <w:rFonts w:ascii="Book Antiqua" w:eastAsia="Book Antiqua" w:hAnsi="Book Antiqua" w:cs="Book Antiqua"/>
          <w:color w:val="000000"/>
        </w:rPr>
        <w:t xml:space="preserve">1500 </w:t>
      </w:r>
      <w:r w:rsidR="005948FE" w:rsidRPr="00694F4E">
        <w:rPr>
          <w:rFonts w:ascii="Book Antiqua" w:eastAsia="Book Antiqua" w:hAnsi="Book Antiqua" w:cs="Book Antiqua"/>
          <w:i/>
          <w:color w:val="000000"/>
        </w:rPr>
        <w:t>vs</w:t>
      </w:r>
      <w:r w:rsidRPr="00694F4E">
        <w:rPr>
          <w:rFonts w:ascii="Book Antiqua" w:eastAsia="Book Antiqua" w:hAnsi="Book Antiqua" w:cs="Book Antiqua"/>
          <w:color w:val="000000"/>
        </w:rPr>
        <w:t xml:space="preserve"> 688 pg/mL</w:t>
      </w:r>
      <w:r w:rsidR="005948FE" w:rsidRPr="00694F4E">
        <w:rPr>
          <w:rFonts w:ascii="Book Antiqua" w:hAnsi="Book Antiqua" w:cs="Book Antiqua"/>
          <w:color w:val="000000"/>
          <w:lang w:eastAsia="zh-CN"/>
        </w:rPr>
        <w:t xml:space="preserve">, </w:t>
      </w:r>
      <w:r w:rsidRPr="00694F4E">
        <w:rPr>
          <w:rFonts w:ascii="Book Antiqua" w:eastAsia="Book Antiqua" w:hAnsi="Book Antiqua" w:cs="Book Antiqua"/>
          <w:color w:val="000000"/>
        </w:rPr>
        <w:t>IQR =</w:t>
      </w:r>
      <w:r w:rsidR="005948FE" w:rsidRPr="00694F4E">
        <w:rPr>
          <w:rFonts w:ascii="Book Antiqua" w:hAnsi="Book Antiqua" w:cs="Book Antiqua"/>
          <w:color w:val="000000"/>
          <w:lang w:eastAsia="zh-CN"/>
        </w:rPr>
        <w:t xml:space="preserve"> </w:t>
      </w:r>
      <w:r w:rsidRPr="00694F4E">
        <w:rPr>
          <w:rFonts w:ascii="Book Antiqua" w:eastAsia="Book Antiqua" w:hAnsi="Book Antiqua" w:cs="Book Antiqua"/>
          <w:color w:val="000000"/>
        </w:rPr>
        <w:t>423</w:t>
      </w:r>
      <w:r w:rsidR="00667F68" w:rsidRPr="00694F4E">
        <w:rPr>
          <w:rFonts w:ascii="Book Antiqua" w:eastAsia="Book Antiqua" w:hAnsi="Book Antiqua" w:cs="Book Antiqua"/>
          <w:color w:val="000000"/>
        </w:rPr>
        <w:t>–</w:t>
      </w:r>
      <w:r w:rsidRPr="00694F4E">
        <w:rPr>
          <w:rFonts w:ascii="Book Antiqua" w:eastAsia="Book Antiqua" w:hAnsi="Book Antiqua" w:cs="Book Antiqua"/>
          <w:color w:val="000000"/>
        </w:rPr>
        <w:t>1200</w:t>
      </w:r>
      <w:r w:rsidR="00667F68" w:rsidRPr="00694F4E">
        <w:rPr>
          <w:rFonts w:ascii="Book Antiqua" w:eastAsia="Book Antiqua" w:hAnsi="Book Antiqua" w:cs="Book Antiqua"/>
          <w:color w:val="000000"/>
        </w:rPr>
        <w:t>[ (</w:t>
      </w:r>
      <w:r w:rsidRPr="00694F4E">
        <w:rPr>
          <w:rFonts w:ascii="Book Antiqua" w:eastAsia="Book Antiqua" w:hAnsi="Book Antiqua" w:cs="Book Antiqua"/>
          <w:i/>
          <w:iCs/>
          <w:color w:val="000000"/>
        </w:rPr>
        <w:t>P</w:t>
      </w:r>
      <w:r w:rsidRPr="00694F4E">
        <w:rPr>
          <w:rFonts w:ascii="Book Antiqua" w:eastAsia="Book Antiqua" w:hAnsi="Book Antiqua" w:cs="Book Antiqua"/>
          <w:color w:val="000000"/>
        </w:rPr>
        <w:t xml:space="preserve"> = 0.03]</w:t>
      </w:r>
      <w:r w:rsidR="00667F68" w:rsidRPr="00694F4E">
        <w:rPr>
          <w:rFonts w:ascii="Book Antiqua" w:eastAsia="Book Antiqua" w:hAnsi="Book Antiqua" w:cs="Book Antiqua"/>
          <w:color w:val="000000"/>
        </w:rPr>
        <w:t>)</w:t>
      </w:r>
      <w:r w:rsidRPr="00694F4E">
        <w:rPr>
          <w:rFonts w:ascii="Book Antiqua" w:eastAsia="Book Antiqua" w:hAnsi="Book Antiqua" w:cs="Book Antiqua"/>
          <w:color w:val="000000"/>
        </w:rPr>
        <w:t xml:space="preserve">. Calculated gastrin sensitivity and specificity were 90.9% and 1.4%, respectively, with an overall diagnostic accuracy of 30% and a calculated area under the gastrin </w:t>
      </w:r>
      <w:r w:rsidR="002E4B23" w:rsidRPr="00694F4E">
        <w:rPr>
          <w:rFonts w:ascii="Book Antiqua" w:hAnsi="Book Antiqua" w:cs="Book Antiqua"/>
          <w:color w:val="000000"/>
          <w:lang w:eastAsia="zh-CN"/>
        </w:rPr>
        <w:t>r</w:t>
      </w:r>
      <w:r w:rsidR="002E4B23" w:rsidRPr="00694F4E">
        <w:rPr>
          <w:rFonts w:ascii="Book Antiqua" w:eastAsia="Book Antiqua" w:hAnsi="Book Antiqua" w:cs="Book Antiqua"/>
          <w:color w:val="000000"/>
        </w:rPr>
        <w:t xml:space="preserve">eceiver </w:t>
      </w:r>
      <w:r w:rsidR="002E4B23" w:rsidRPr="00694F4E">
        <w:rPr>
          <w:rFonts w:ascii="Book Antiqua" w:hAnsi="Book Antiqua" w:cs="Book Antiqua"/>
          <w:color w:val="000000"/>
          <w:lang w:eastAsia="zh-CN"/>
        </w:rPr>
        <w:t>o</w:t>
      </w:r>
      <w:r w:rsidR="002E4B23" w:rsidRPr="00694F4E">
        <w:rPr>
          <w:rFonts w:ascii="Book Antiqua" w:eastAsia="Book Antiqua" w:hAnsi="Book Antiqua" w:cs="Book Antiqua"/>
          <w:color w:val="000000"/>
        </w:rPr>
        <w:t xml:space="preserve">perating </w:t>
      </w:r>
      <w:r w:rsidR="002E4B23" w:rsidRPr="00694F4E">
        <w:rPr>
          <w:rFonts w:ascii="Book Antiqua" w:hAnsi="Book Antiqua" w:cs="Book Antiqua"/>
          <w:color w:val="000000"/>
          <w:lang w:eastAsia="zh-CN"/>
        </w:rPr>
        <w:t>c</w:t>
      </w:r>
      <w:r w:rsidR="002E4B23" w:rsidRPr="00694F4E">
        <w:rPr>
          <w:rFonts w:ascii="Book Antiqua" w:eastAsia="Book Antiqua" w:hAnsi="Book Antiqua" w:cs="Book Antiqua"/>
          <w:color w:val="000000"/>
        </w:rPr>
        <w:t>haracteristic</w:t>
      </w:r>
      <w:r w:rsidRPr="00694F4E">
        <w:rPr>
          <w:rFonts w:ascii="Book Antiqua" w:eastAsia="Book Antiqua" w:hAnsi="Book Antiqua" w:cs="Book Antiqua"/>
          <w:color w:val="000000"/>
        </w:rPr>
        <w:t xml:space="preserve"> curve (AUROC or AUC) of 0.53.</w:t>
      </w:r>
    </w:p>
    <w:p w14:paraId="382FAA97" w14:textId="77777777" w:rsidR="00A77B3E" w:rsidRPr="00694F4E" w:rsidRDefault="00A77B3E" w:rsidP="00A62589">
      <w:pPr>
        <w:spacing w:line="360" w:lineRule="auto"/>
        <w:jc w:val="both"/>
        <w:rPr>
          <w:rFonts w:ascii="Book Antiqua" w:hAnsi="Book Antiqua"/>
        </w:rPr>
      </w:pPr>
    </w:p>
    <w:p w14:paraId="17B03415"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conclusions</w:t>
      </w:r>
    </w:p>
    <w:p w14:paraId="5DCAB935" w14:textId="75366A4E"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t xml:space="preserve">Type I gNENs are a frequent complication of AIG. Hypergastrinemia plays a trophic role </w:t>
      </w:r>
      <w:r w:rsidR="0058451E" w:rsidRPr="00694F4E">
        <w:rPr>
          <w:rFonts w:ascii="Book Antiqua" w:eastAsia="Book Antiqua" w:hAnsi="Book Antiqua" w:cs="Book Antiqua"/>
          <w:color w:val="000000"/>
        </w:rPr>
        <w:t xml:space="preserve">in </w:t>
      </w:r>
      <w:r w:rsidRPr="00694F4E">
        <w:rPr>
          <w:rFonts w:ascii="Book Antiqua" w:eastAsia="Book Antiqua" w:hAnsi="Book Antiqua" w:cs="Book Antiqua"/>
          <w:color w:val="000000"/>
        </w:rPr>
        <w:t xml:space="preserve">the gastric mucosa, but due to its low specificity, it cannot be a noninvasive marker of early diagnosis of gNEN in AIG. </w:t>
      </w:r>
    </w:p>
    <w:p w14:paraId="45300D35" w14:textId="77777777" w:rsidR="00A77B3E" w:rsidRPr="00694F4E" w:rsidRDefault="00A77B3E" w:rsidP="00A62589">
      <w:pPr>
        <w:spacing w:line="360" w:lineRule="auto"/>
        <w:jc w:val="both"/>
        <w:rPr>
          <w:rFonts w:ascii="Book Antiqua" w:hAnsi="Book Antiqua"/>
        </w:rPr>
      </w:pPr>
    </w:p>
    <w:p w14:paraId="5F7773C2"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i/>
          <w:color w:val="000000"/>
        </w:rPr>
        <w:t>Research perspectives</w:t>
      </w:r>
    </w:p>
    <w:p w14:paraId="04A0BA96" w14:textId="66125704"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color w:val="000000"/>
        </w:rPr>
        <w:lastRenderedPageBreak/>
        <w:t xml:space="preserve">Further efforts are needed to identify effective strategies for individualizing endoscopic follow-up of AIG patients </w:t>
      </w:r>
      <w:r w:rsidR="0058451E" w:rsidRPr="00694F4E">
        <w:rPr>
          <w:rFonts w:ascii="Book Antiqua" w:eastAsia="Book Antiqua" w:hAnsi="Book Antiqua" w:cs="Book Antiqua"/>
          <w:color w:val="000000"/>
        </w:rPr>
        <w:t>for</w:t>
      </w:r>
      <w:r w:rsidRPr="00694F4E">
        <w:rPr>
          <w:rFonts w:ascii="Book Antiqua" w:eastAsia="Book Antiqua" w:hAnsi="Book Antiqua" w:cs="Book Antiqua"/>
          <w:color w:val="000000"/>
        </w:rPr>
        <w:t xml:space="preserve"> early </w:t>
      </w:r>
      <w:r w:rsidR="0058451E" w:rsidRPr="00694F4E">
        <w:rPr>
          <w:rFonts w:ascii="Book Antiqua" w:eastAsia="Book Antiqua" w:hAnsi="Book Antiqua" w:cs="Book Antiqua"/>
          <w:color w:val="000000"/>
        </w:rPr>
        <w:t xml:space="preserve">diagnosis </w:t>
      </w:r>
      <w:r w:rsidRPr="00694F4E">
        <w:rPr>
          <w:rFonts w:ascii="Book Antiqua" w:eastAsia="Book Antiqua" w:hAnsi="Book Antiqua" w:cs="Book Antiqua"/>
          <w:color w:val="000000"/>
        </w:rPr>
        <w:t>and treat</w:t>
      </w:r>
      <w:r w:rsidR="0058451E" w:rsidRPr="00694F4E">
        <w:rPr>
          <w:rFonts w:ascii="Book Antiqua" w:eastAsia="Book Antiqua" w:hAnsi="Book Antiqua" w:cs="Book Antiqua"/>
          <w:color w:val="000000"/>
        </w:rPr>
        <w:t>ment of</w:t>
      </w:r>
      <w:r w:rsidRPr="00694F4E">
        <w:rPr>
          <w:rFonts w:ascii="Book Antiqua" w:eastAsia="Book Antiqua" w:hAnsi="Book Antiqua" w:cs="Book Antiqua"/>
          <w:color w:val="000000"/>
        </w:rPr>
        <w:t xml:space="preserve"> superimposed neuroendocrine lesions.</w:t>
      </w:r>
    </w:p>
    <w:p w14:paraId="3D3DE59F" w14:textId="77777777" w:rsidR="00A77B3E" w:rsidRPr="00694F4E" w:rsidRDefault="00A77B3E" w:rsidP="00A62589">
      <w:pPr>
        <w:spacing w:line="360" w:lineRule="auto"/>
        <w:jc w:val="both"/>
        <w:rPr>
          <w:rFonts w:ascii="Book Antiqua" w:hAnsi="Book Antiqua"/>
        </w:rPr>
      </w:pPr>
    </w:p>
    <w:p w14:paraId="0A9ECCEC"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REFERENCES</w:t>
      </w:r>
    </w:p>
    <w:p w14:paraId="790F3A71"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 </w:t>
      </w:r>
      <w:r w:rsidRPr="00694F4E">
        <w:rPr>
          <w:rFonts w:ascii="Book Antiqua" w:hAnsi="Book Antiqua"/>
          <w:b/>
          <w:bCs/>
        </w:rPr>
        <w:t>Shah SC</w:t>
      </w:r>
      <w:r w:rsidRPr="00694F4E">
        <w:rPr>
          <w:rFonts w:ascii="Book Antiqua" w:hAnsi="Book Antiqua"/>
        </w:rPr>
        <w:t xml:space="preserve">, Piazuelo MB, Kuipers EJ, Li D. AGA Clinical Practice Update on the Diagnosis and Management of Atrophic Gastritis: Expert Review. </w:t>
      </w:r>
      <w:r w:rsidRPr="00694F4E">
        <w:rPr>
          <w:rFonts w:ascii="Book Antiqua" w:hAnsi="Book Antiqua"/>
          <w:i/>
          <w:iCs/>
        </w:rPr>
        <w:t>Gastroenterology</w:t>
      </w:r>
      <w:r w:rsidRPr="00694F4E">
        <w:rPr>
          <w:rFonts w:ascii="Book Antiqua" w:hAnsi="Book Antiqua"/>
        </w:rPr>
        <w:t xml:space="preserve"> 2021; </w:t>
      </w:r>
      <w:r w:rsidRPr="00694F4E">
        <w:rPr>
          <w:rFonts w:ascii="Book Antiqua" w:hAnsi="Book Antiqua"/>
          <w:b/>
          <w:bCs/>
        </w:rPr>
        <w:t>161</w:t>
      </w:r>
      <w:r w:rsidRPr="00694F4E">
        <w:rPr>
          <w:rFonts w:ascii="Book Antiqua" w:hAnsi="Book Antiqua"/>
        </w:rPr>
        <w:t>: 1325-1332.e7 [PMID: 34454714 DOI: 10.1053/j.gastro.2021.06.078]</w:t>
      </w:r>
    </w:p>
    <w:p w14:paraId="58420646"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 </w:t>
      </w:r>
      <w:r w:rsidRPr="00694F4E">
        <w:rPr>
          <w:rFonts w:ascii="Book Antiqua" w:hAnsi="Book Antiqua"/>
          <w:b/>
          <w:bCs/>
        </w:rPr>
        <w:t>Köseoğlu H</w:t>
      </w:r>
      <w:r w:rsidRPr="00694F4E">
        <w:rPr>
          <w:rFonts w:ascii="Book Antiqua" w:hAnsi="Book Antiqua"/>
        </w:rPr>
        <w:t xml:space="preserve">, Duzenli T, Sezikli M. Gastric neuroendocrine neoplasms: A review. </w:t>
      </w:r>
      <w:r w:rsidRPr="00694F4E">
        <w:rPr>
          <w:rFonts w:ascii="Book Antiqua" w:hAnsi="Book Antiqua"/>
          <w:i/>
          <w:iCs/>
        </w:rPr>
        <w:t>World J Clin Cases</w:t>
      </w:r>
      <w:r w:rsidRPr="00694F4E">
        <w:rPr>
          <w:rFonts w:ascii="Book Antiqua" w:hAnsi="Book Antiqua"/>
        </w:rPr>
        <w:t xml:space="preserve"> 2021; </w:t>
      </w:r>
      <w:r w:rsidRPr="00694F4E">
        <w:rPr>
          <w:rFonts w:ascii="Book Antiqua" w:hAnsi="Book Antiqua"/>
          <w:b/>
          <w:bCs/>
        </w:rPr>
        <w:t>9</w:t>
      </w:r>
      <w:r w:rsidRPr="00694F4E">
        <w:rPr>
          <w:rFonts w:ascii="Book Antiqua" w:hAnsi="Book Antiqua"/>
        </w:rPr>
        <w:t>: 7973-7985 [PMID: 34621854 DOI: 10.12998/</w:t>
      </w:r>
      <w:proofErr w:type="gramStart"/>
      <w:r w:rsidRPr="00694F4E">
        <w:rPr>
          <w:rFonts w:ascii="Book Antiqua" w:hAnsi="Book Antiqua"/>
        </w:rPr>
        <w:t>wjcc.v</w:t>
      </w:r>
      <w:proofErr w:type="gramEnd"/>
      <w:r w:rsidRPr="00694F4E">
        <w:rPr>
          <w:rFonts w:ascii="Book Antiqua" w:hAnsi="Book Antiqua"/>
        </w:rPr>
        <w:t>9.i27.7973]</w:t>
      </w:r>
    </w:p>
    <w:p w14:paraId="77F7839E"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 </w:t>
      </w:r>
      <w:r w:rsidRPr="00694F4E">
        <w:rPr>
          <w:rFonts w:ascii="Book Antiqua" w:hAnsi="Book Antiqua"/>
          <w:b/>
          <w:bCs/>
        </w:rPr>
        <w:t>Sheikh-Ahmad M</w:t>
      </w:r>
      <w:r w:rsidRPr="00694F4E">
        <w:rPr>
          <w:rFonts w:ascii="Book Antiqua" w:hAnsi="Book Antiqua"/>
        </w:rPr>
        <w:t xml:space="preserve">, Saiegh L, Shalata A, Bejar J, Kreizman-Shefer H, Sirhan MF, Matter I, Swaid F, Laniado M, Mubariki N, Rainis T, Rosenblatt I, Yovanovich E, Agbarya A. Factors Predicting Type I Gastric Neuroendocrine Neoplasia Recurrence: A Single-Center Study. </w:t>
      </w:r>
      <w:r w:rsidRPr="00694F4E">
        <w:rPr>
          <w:rFonts w:ascii="Book Antiqua" w:hAnsi="Book Antiqua"/>
          <w:i/>
          <w:iCs/>
        </w:rPr>
        <w:t>Biomedicines</w:t>
      </w:r>
      <w:r w:rsidRPr="00694F4E">
        <w:rPr>
          <w:rFonts w:ascii="Book Antiqua" w:hAnsi="Book Antiqua"/>
        </w:rPr>
        <w:t xml:space="preserve"> 2023; </w:t>
      </w:r>
      <w:r w:rsidRPr="00694F4E">
        <w:rPr>
          <w:rFonts w:ascii="Book Antiqua" w:hAnsi="Book Antiqua"/>
          <w:b/>
          <w:bCs/>
        </w:rPr>
        <w:t>11</w:t>
      </w:r>
      <w:r w:rsidRPr="00694F4E">
        <w:rPr>
          <w:rFonts w:ascii="Book Antiqua" w:hAnsi="Book Antiqua"/>
        </w:rPr>
        <w:t xml:space="preserve"> [PMID: 36979807 DOI: 10.3390/biomedicines11030828]</w:t>
      </w:r>
    </w:p>
    <w:p w14:paraId="6D813C95"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 </w:t>
      </w:r>
      <w:r w:rsidRPr="00694F4E">
        <w:rPr>
          <w:rFonts w:ascii="Book Antiqua" w:hAnsi="Book Antiqua"/>
          <w:b/>
          <w:bCs/>
        </w:rPr>
        <w:t>Pachuashvili NV</w:t>
      </w:r>
      <w:r w:rsidRPr="00694F4E">
        <w:rPr>
          <w:rFonts w:ascii="Book Antiqua" w:hAnsi="Book Antiqua"/>
        </w:rPr>
        <w:t xml:space="preserve">, Nagornaya DP, Tertychnyi AS. [Metachronous tumors of the stomach in a patient with autoimmune gastritis]. </w:t>
      </w:r>
      <w:r w:rsidRPr="00694F4E">
        <w:rPr>
          <w:rFonts w:ascii="Book Antiqua" w:hAnsi="Book Antiqua"/>
          <w:i/>
          <w:iCs/>
        </w:rPr>
        <w:t>Arkh Patol</w:t>
      </w:r>
      <w:r w:rsidRPr="00694F4E">
        <w:rPr>
          <w:rFonts w:ascii="Book Antiqua" w:hAnsi="Book Antiqua"/>
        </w:rPr>
        <w:t xml:space="preserve"> 2023; </w:t>
      </w:r>
      <w:r w:rsidRPr="00694F4E">
        <w:rPr>
          <w:rFonts w:ascii="Book Antiqua" w:hAnsi="Book Antiqua"/>
          <w:b/>
          <w:bCs/>
        </w:rPr>
        <w:t>85</w:t>
      </w:r>
      <w:r w:rsidRPr="00694F4E">
        <w:rPr>
          <w:rFonts w:ascii="Book Antiqua" w:hAnsi="Book Antiqua"/>
        </w:rPr>
        <w:t>: 57-61 [PMID: 36785963 DOI: 10.17116/patol20238501157]</w:t>
      </w:r>
    </w:p>
    <w:p w14:paraId="11FE0775"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5 </w:t>
      </w:r>
      <w:r w:rsidRPr="00694F4E">
        <w:rPr>
          <w:rFonts w:ascii="Book Antiqua" w:hAnsi="Book Antiqua"/>
          <w:b/>
          <w:bCs/>
        </w:rPr>
        <w:t>Neumann WL</w:t>
      </w:r>
      <w:r w:rsidRPr="00694F4E">
        <w:rPr>
          <w:rFonts w:ascii="Book Antiqua" w:hAnsi="Book Antiqua"/>
        </w:rPr>
        <w:t xml:space="preserve">, Coss E, Rugge M, Genta RM. Autoimmune atrophic gastritis--pathogenesis, pathology and management. </w:t>
      </w:r>
      <w:r w:rsidRPr="00694F4E">
        <w:rPr>
          <w:rFonts w:ascii="Book Antiqua" w:hAnsi="Book Antiqua"/>
          <w:i/>
          <w:iCs/>
        </w:rPr>
        <w:t>Nat Rev Gastroenterol Hepatol</w:t>
      </w:r>
      <w:r w:rsidRPr="00694F4E">
        <w:rPr>
          <w:rFonts w:ascii="Book Antiqua" w:hAnsi="Book Antiqua"/>
        </w:rPr>
        <w:t xml:space="preserve"> 2013; </w:t>
      </w:r>
      <w:r w:rsidRPr="00694F4E">
        <w:rPr>
          <w:rFonts w:ascii="Book Antiqua" w:hAnsi="Book Antiqua"/>
          <w:b/>
          <w:bCs/>
        </w:rPr>
        <w:t>10</w:t>
      </w:r>
      <w:r w:rsidRPr="00694F4E">
        <w:rPr>
          <w:rFonts w:ascii="Book Antiqua" w:hAnsi="Book Antiqua"/>
        </w:rPr>
        <w:t>: 529-541 [PMID: 23774773 DOI: 10.1038/nrgastro.2013.101]</w:t>
      </w:r>
    </w:p>
    <w:p w14:paraId="5970D990"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6 </w:t>
      </w:r>
      <w:r w:rsidRPr="00694F4E">
        <w:rPr>
          <w:rFonts w:ascii="Book Antiqua" w:hAnsi="Book Antiqua"/>
          <w:b/>
          <w:bCs/>
        </w:rPr>
        <w:t>Massironi S</w:t>
      </w:r>
      <w:r w:rsidRPr="00694F4E">
        <w:rPr>
          <w:rFonts w:ascii="Book Antiqua" w:hAnsi="Book Antiqua"/>
        </w:rPr>
        <w:t xml:space="preserve">, Zilli A, Elvevi A, Invernizzi P. The changing face of chronic autoimmune atrophic gastritis: an updated comprehensive perspective. </w:t>
      </w:r>
      <w:r w:rsidRPr="00694F4E">
        <w:rPr>
          <w:rFonts w:ascii="Book Antiqua" w:hAnsi="Book Antiqua"/>
          <w:i/>
          <w:iCs/>
        </w:rPr>
        <w:t>Autoimmun Rev</w:t>
      </w:r>
      <w:r w:rsidRPr="00694F4E">
        <w:rPr>
          <w:rFonts w:ascii="Book Antiqua" w:hAnsi="Book Antiqua"/>
        </w:rPr>
        <w:t xml:space="preserve"> 2019; </w:t>
      </w:r>
      <w:r w:rsidRPr="00694F4E">
        <w:rPr>
          <w:rFonts w:ascii="Book Antiqua" w:hAnsi="Book Antiqua"/>
          <w:b/>
          <w:bCs/>
        </w:rPr>
        <w:t>18</w:t>
      </w:r>
      <w:r w:rsidRPr="00694F4E">
        <w:rPr>
          <w:rFonts w:ascii="Book Antiqua" w:hAnsi="Book Antiqua"/>
        </w:rPr>
        <w:t>: 215-222 [PMID: 30639639 DOI: 10.1016/j.autrev.2018.08.011]</w:t>
      </w:r>
    </w:p>
    <w:p w14:paraId="59573CC8"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7 </w:t>
      </w:r>
      <w:r w:rsidRPr="00694F4E">
        <w:rPr>
          <w:rFonts w:ascii="Book Antiqua" w:hAnsi="Book Antiqua"/>
          <w:b/>
          <w:bCs/>
        </w:rPr>
        <w:t>Lenti MV</w:t>
      </w:r>
      <w:r w:rsidRPr="00694F4E">
        <w:rPr>
          <w:rFonts w:ascii="Book Antiqua" w:hAnsi="Book Antiqua"/>
        </w:rPr>
        <w:t xml:space="preserve">, Rugge M, Lahner E, Miceli E, Toh BH, Genta RM, De Block C, Hershko C, Di Sabatino A. Autoimmune gastritis. </w:t>
      </w:r>
      <w:r w:rsidRPr="00694F4E">
        <w:rPr>
          <w:rFonts w:ascii="Book Antiqua" w:hAnsi="Book Antiqua"/>
          <w:i/>
          <w:iCs/>
        </w:rPr>
        <w:t>Nat Rev Dis Primers</w:t>
      </w:r>
      <w:r w:rsidRPr="00694F4E">
        <w:rPr>
          <w:rFonts w:ascii="Book Antiqua" w:hAnsi="Book Antiqua"/>
        </w:rPr>
        <w:t xml:space="preserve"> 2020; </w:t>
      </w:r>
      <w:r w:rsidRPr="00694F4E">
        <w:rPr>
          <w:rFonts w:ascii="Book Antiqua" w:hAnsi="Book Antiqua"/>
          <w:b/>
          <w:bCs/>
        </w:rPr>
        <w:t>6</w:t>
      </w:r>
      <w:r w:rsidRPr="00694F4E">
        <w:rPr>
          <w:rFonts w:ascii="Book Antiqua" w:hAnsi="Book Antiqua"/>
        </w:rPr>
        <w:t>: 56 [PMID: 32647173 DOI: 10.1038/s41572-020-0187-8]</w:t>
      </w:r>
    </w:p>
    <w:p w14:paraId="02C3ABD6" w14:textId="044F9B2B" w:rsidR="00A62589" w:rsidRPr="00694F4E" w:rsidRDefault="00A62589" w:rsidP="00A62589">
      <w:pPr>
        <w:spacing w:line="360" w:lineRule="auto"/>
        <w:jc w:val="both"/>
        <w:rPr>
          <w:rFonts w:ascii="Book Antiqua" w:hAnsi="Book Antiqua"/>
        </w:rPr>
      </w:pPr>
      <w:r w:rsidRPr="00694F4E">
        <w:rPr>
          <w:rFonts w:ascii="Book Antiqua" w:hAnsi="Book Antiqua"/>
        </w:rPr>
        <w:t xml:space="preserve">8 </w:t>
      </w:r>
      <w:r w:rsidRPr="00694F4E">
        <w:rPr>
          <w:rFonts w:ascii="Book Antiqua" w:hAnsi="Book Antiqua"/>
          <w:b/>
          <w:bCs/>
        </w:rPr>
        <w:t>Gleeson PA,</w:t>
      </w:r>
      <w:r w:rsidRPr="00694F4E">
        <w:rPr>
          <w:rFonts w:ascii="Book Antiqua" w:hAnsi="Book Antiqua"/>
        </w:rPr>
        <w:t xml:space="preserve"> Toh B-H, Alderuccio F, van Driel IR. The Gastric H/K-ATPase: The </w:t>
      </w:r>
      <w:proofErr w:type="gramStart"/>
      <w:r w:rsidRPr="00694F4E">
        <w:rPr>
          <w:rFonts w:ascii="Book Antiqua" w:hAnsi="Book Antiqua"/>
        </w:rPr>
        <w:t>Principle</w:t>
      </w:r>
      <w:proofErr w:type="gramEnd"/>
      <w:r w:rsidRPr="00694F4E">
        <w:rPr>
          <w:rFonts w:ascii="Book Antiqua" w:hAnsi="Book Antiqua"/>
        </w:rPr>
        <w:t xml:space="preserve"> Target in Autoimmune Gastritis. In: Hirst BH, editor. Molecular and Cellular Mechanisms of H+ Transport. Berlin, Heidelberg: Springer</w:t>
      </w:r>
      <w:r w:rsidR="00CA744A" w:rsidRPr="00694F4E">
        <w:rPr>
          <w:rFonts w:ascii="Book Antiqua" w:hAnsi="Book Antiqua"/>
          <w:lang w:eastAsia="zh-CN"/>
        </w:rPr>
        <w:t>,</w:t>
      </w:r>
      <w:r w:rsidRPr="00694F4E">
        <w:rPr>
          <w:rFonts w:ascii="Book Antiqua" w:hAnsi="Book Antiqua"/>
        </w:rPr>
        <w:t xml:space="preserve"> 1994: 119–126 </w:t>
      </w:r>
    </w:p>
    <w:p w14:paraId="27A3E8CA" w14:textId="77777777" w:rsidR="00A62589" w:rsidRPr="00694F4E" w:rsidRDefault="00A62589" w:rsidP="00A62589">
      <w:pPr>
        <w:spacing w:line="360" w:lineRule="auto"/>
        <w:jc w:val="both"/>
        <w:rPr>
          <w:rFonts w:ascii="Book Antiqua" w:hAnsi="Book Antiqua"/>
        </w:rPr>
      </w:pPr>
      <w:r w:rsidRPr="00694F4E">
        <w:rPr>
          <w:rFonts w:ascii="Book Antiqua" w:hAnsi="Book Antiqua"/>
        </w:rPr>
        <w:lastRenderedPageBreak/>
        <w:t xml:space="preserve">9 </w:t>
      </w:r>
      <w:r w:rsidRPr="00694F4E">
        <w:rPr>
          <w:rFonts w:ascii="Book Antiqua" w:hAnsi="Book Antiqua"/>
          <w:b/>
          <w:bCs/>
        </w:rPr>
        <w:t>Ahmed M</w:t>
      </w:r>
      <w:r w:rsidRPr="00694F4E">
        <w:rPr>
          <w:rFonts w:ascii="Book Antiqua" w:hAnsi="Book Antiqua"/>
        </w:rPr>
        <w:t xml:space="preserve">. Gastrointestinal neuroendocrine tumors in 2020. </w:t>
      </w:r>
      <w:r w:rsidRPr="00694F4E">
        <w:rPr>
          <w:rFonts w:ascii="Book Antiqua" w:hAnsi="Book Antiqua"/>
          <w:i/>
          <w:iCs/>
        </w:rPr>
        <w:t>World J Gastrointest Oncol</w:t>
      </w:r>
      <w:r w:rsidRPr="00694F4E">
        <w:rPr>
          <w:rFonts w:ascii="Book Antiqua" w:hAnsi="Book Antiqua"/>
        </w:rPr>
        <w:t xml:space="preserve"> 2020; </w:t>
      </w:r>
      <w:r w:rsidRPr="00694F4E">
        <w:rPr>
          <w:rFonts w:ascii="Book Antiqua" w:hAnsi="Book Antiqua"/>
          <w:b/>
          <w:bCs/>
        </w:rPr>
        <w:t>12</w:t>
      </w:r>
      <w:r w:rsidRPr="00694F4E">
        <w:rPr>
          <w:rFonts w:ascii="Book Antiqua" w:hAnsi="Book Antiqua"/>
        </w:rPr>
        <w:t>: 791-807 [PMID: 32879660 DOI: 10.4251/</w:t>
      </w:r>
      <w:proofErr w:type="gramStart"/>
      <w:r w:rsidRPr="00694F4E">
        <w:rPr>
          <w:rFonts w:ascii="Book Antiqua" w:hAnsi="Book Antiqua"/>
        </w:rPr>
        <w:t>wjgo.v12.i</w:t>
      </w:r>
      <w:proofErr w:type="gramEnd"/>
      <w:r w:rsidRPr="00694F4E">
        <w:rPr>
          <w:rFonts w:ascii="Book Antiqua" w:hAnsi="Book Antiqua"/>
        </w:rPr>
        <w:t>8.791]</w:t>
      </w:r>
    </w:p>
    <w:p w14:paraId="56266221"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10 </w:t>
      </w:r>
      <w:r w:rsidRPr="00694F4E">
        <w:rPr>
          <w:rFonts w:ascii="Book Antiqua" w:hAnsi="Book Antiqua"/>
          <w:b/>
          <w:bCs/>
        </w:rPr>
        <w:t>Annibale B</w:t>
      </w:r>
      <w:r w:rsidRPr="00694F4E">
        <w:rPr>
          <w:rFonts w:ascii="Book Antiqua" w:hAnsi="Book Antiqua"/>
        </w:rPr>
        <w:t xml:space="preserve">, Azzoni C, Corleto VD, di Giulio E, Caruana P, D'Ambra G, Bordi C, Delle Fave G. Atrophic body gastritis patients with enterochromaffin-like cell dysplasia are at increased risk for the development of type I gastric carcinoid. </w:t>
      </w:r>
      <w:r w:rsidRPr="00694F4E">
        <w:rPr>
          <w:rFonts w:ascii="Book Antiqua" w:hAnsi="Book Antiqua"/>
          <w:i/>
          <w:iCs/>
        </w:rPr>
        <w:t>Eur J Gastroenterol Hepatol</w:t>
      </w:r>
      <w:r w:rsidRPr="00694F4E">
        <w:rPr>
          <w:rFonts w:ascii="Book Antiqua" w:hAnsi="Book Antiqua"/>
        </w:rPr>
        <w:t xml:space="preserve"> 2001; </w:t>
      </w:r>
      <w:r w:rsidRPr="00694F4E">
        <w:rPr>
          <w:rFonts w:ascii="Book Antiqua" w:hAnsi="Book Antiqua"/>
          <w:b/>
          <w:bCs/>
        </w:rPr>
        <w:t>13</w:t>
      </w:r>
      <w:r w:rsidRPr="00694F4E">
        <w:rPr>
          <w:rFonts w:ascii="Book Antiqua" w:hAnsi="Book Antiqua"/>
        </w:rPr>
        <w:t>: 1449-1456 [PMID: 11742193 DOI: 10.1097/00042737-200112000-00008]</w:t>
      </w:r>
    </w:p>
    <w:p w14:paraId="198F672E"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11 </w:t>
      </w:r>
      <w:r w:rsidRPr="00694F4E">
        <w:rPr>
          <w:rFonts w:ascii="Book Antiqua" w:hAnsi="Book Antiqua"/>
          <w:b/>
          <w:bCs/>
        </w:rPr>
        <w:t>Joo YE</w:t>
      </w:r>
      <w:r w:rsidRPr="00694F4E">
        <w:rPr>
          <w:rFonts w:ascii="Book Antiqua" w:hAnsi="Book Antiqua"/>
        </w:rPr>
        <w:t xml:space="preserve">, Park HK, Myung DS, Baik GH, Shin JE, Seo GS, Kim GH, Kim HU, Kim HY, Cho SI, Kim N. Prevalence and risk factors of atrophic gastritis and intestinal metaplasia: a nationwide multicenter prospective study in Korea. </w:t>
      </w:r>
      <w:r w:rsidRPr="00694F4E">
        <w:rPr>
          <w:rFonts w:ascii="Book Antiqua" w:hAnsi="Book Antiqua"/>
          <w:i/>
          <w:iCs/>
        </w:rPr>
        <w:t>Gut Liver</w:t>
      </w:r>
      <w:r w:rsidRPr="00694F4E">
        <w:rPr>
          <w:rFonts w:ascii="Book Antiqua" w:hAnsi="Book Antiqua"/>
        </w:rPr>
        <w:t xml:space="preserve"> 2013; </w:t>
      </w:r>
      <w:r w:rsidRPr="00694F4E">
        <w:rPr>
          <w:rFonts w:ascii="Book Antiqua" w:hAnsi="Book Antiqua"/>
          <w:b/>
          <w:bCs/>
        </w:rPr>
        <w:t>7</w:t>
      </w:r>
      <w:r w:rsidRPr="00694F4E">
        <w:rPr>
          <w:rFonts w:ascii="Book Antiqua" w:hAnsi="Book Antiqua"/>
        </w:rPr>
        <w:t>: 303-310 [PMID: 23710311 DOI: 10.5009/gnl.2013.7.3.303]</w:t>
      </w:r>
    </w:p>
    <w:p w14:paraId="2D76055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12 </w:t>
      </w:r>
      <w:r w:rsidRPr="00694F4E">
        <w:rPr>
          <w:rFonts w:ascii="Book Antiqua" w:hAnsi="Book Antiqua"/>
          <w:b/>
          <w:bCs/>
        </w:rPr>
        <w:t>Poveda JC</w:t>
      </w:r>
      <w:r w:rsidRPr="00694F4E">
        <w:rPr>
          <w:rFonts w:ascii="Book Antiqua" w:hAnsi="Book Antiqua"/>
        </w:rPr>
        <w:t xml:space="preserve">, Chahar S, Garcia-Buitrago MT, Montgomery EA, McDonald OG. The Morphologic Spectrum of Gastric Type 1 Enterochromaffin-Like Cell Neuroendocrine Tumors. </w:t>
      </w:r>
      <w:r w:rsidRPr="00694F4E">
        <w:rPr>
          <w:rFonts w:ascii="Book Antiqua" w:hAnsi="Book Antiqua"/>
          <w:i/>
          <w:iCs/>
        </w:rPr>
        <w:t>Mod Pathol</w:t>
      </w:r>
      <w:r w:rsidRPr="00694F4E">
        <w:rPr>
          <w:rFonts w:ascii="Book Antiqua" w:hAnsi="Book Antiqua"/>
        </w:rPr>
        <w:t xml:space="preserve"> 2023; </w:t>
      </w:r>
      <w:r w:rsidRPr="00694F4E">
        <w:rPr>
          <w:rFonts w:ascii="Book Antiqua" w:hAnsi="Book Antiqua"/>
          <w:b/>
          <w:bCs/>
        </w:rPr>
        <w:t>36</w:t>
      </w:r>
      <w:r w:rsidRPr="00694F4E">
        <w:rPr>
          <w:rFonts w:ascii="Book Antiqua" w:hAnsi="Book Antiqua"/>
        </w:rPr>
        <w:t>: 100098 [PMID: 36913909 DOI: 10.1016/j.modpat.2023.100098]</w:t>
      </w:r>
    </w:p>
    <w:p w14:paraId="23B8765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13 </w:t>
      </w:r>
      <w:r w:rsidRPr="00694F4E">
        <w:rPr>
          <w:rFonts w:ascii="Book Antiqua" w:hAnsi="Book Antiqua"/>
          <w:b/>
          <w:bCs/>
        </w:rPr>
        <w:t>Rugge M</w:t>
      </w:r>
      <w:r w:rsidRPr="00694F4E">
        <w:rPr>
          <w:rFonts w:ascii="Book Antiqua" w:hAnsi="Book Antiqua"/>
        </w:rPr>
        <w:t xml:space="preserve">, Bricca L, Guzzinati S, Sacchi D, Pizzi M, Savarino E, Farinati F, Zorzi M, Fassan M, Dei Tos AP, Malfertheiner P, Genta RM, Graham DY. Autoimmune gastritis: long-term natural history in naïve Helicobacter pylori-negative patients. </w:t>
      </w:r>
      <w:r w:rsidRPr="00694F4E">
        <w:rPr>
          <w:rFonts w:ascii="Book Antiqua" w:hAnsi="Book Antiqua"/>
          <w:i/>
          <w:iCs/>
        </w:rPr>
        <w:t>Gut</w:t>
      </w:r>
      <w:r w:rsidRPr="00694F4E">
        <w:rPr>
          <w:rFonts w:ascii="Book Antiqua" w:hAnsi="Book Antiqua"/>
        </w:rPr>
        <w:t xml:space="preserve"> 2023; </w:t>
      </w:r>
      <w:r w:rsidRPr="00694F4E">
        <w:rPr>
          <w:rFonts w:ascii="Book Antiqua" w:hAnsi="Book Antiqua"/>
          <w:b/>
          <w:bCs/>
        </w:rPr>
        <w:t>72</w:t>
      </w:r>
      <w:r w:rsidRPr="00694F4E">
        <w:rPr>
          <w:rFonts w:ascii="Book Antiqua" w:hAnsi="Book Antiqua"/>
        </w:rPr>
        <w:t>: 30-38 [PMID: 35772926 DOI: 10.1136/gutjnl-2022-327827]</w:t>
      </w:r>
    </w:p>
    <w:p w14:paraId="76A17C63"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14 </w:t>
      </w:r>
      <w:r w:rsidRPr="00694F4E">
        <w:rPr>
          <w:rFonts w:ascii="Book Antiqua" w:hAnsi="Book Antiqua"/>
          <w:b/>
          <w:bCs/>
        </w:rPr>
        <w:t>Hirabayashi K</w:t>
      </w:r>
      <w:r w:rsidRPr="00694F4E">
        <w:rPr>
          <w:rFonts w:ascii="Book Antiqua" w:hAnsi="Book Antiqua"/>
        </w:rPr>
        <w:t xml:space="preserve">, Zamboni G, Nishi T, Tanaka A, Kajiwara H, Nakamura N. Histopathology of gastrointestinal neuroendocrine neoplasms. </w:t>
      </w:r>
      <w:r w:rsidRPr="00694F4E">
        <w:rPr>
          <w:rFonts w:ascii="Book Antiqua" w:hAnsi="Book Antiqua"/>
          <w:i/>
          <w:iCs/>
        </w:rPr>
        <w:t>Front Oncol</w:t>
      </w:r>
      <w:r w:rsidRPr="00694F4E">
        <w:rPr>
          <w:rFonts w:ascii="Book Antiqua" w:hAnsi="Book Antiqua"/>
        </w:rPr>
        <w:t xml:space="preserve"> 2013; </w:t>
      </w:r>
      <w:r w:rsidRPr="00694F4E">
        <w:rPr>
          <w:rFonts w:ascii="Book Antiqua" w:hAnsi="Book Antiqua"/>
          <w:b/>
          <w:bCs/>
        </w:rPr>
        <w:t>3</w:t>
      </w:r>
      <w:r w:rsidRPr="00694F4E">
        <w:rPr>
          <w:rFonts w:ascii="Book Antiqua" w:hAnsi="Book Antiqua"/>
        </w:rPr>
        <w:t>: 2 [PMID: 23346552 DOI: 10.3389/fonc.2013.00002]</w:t>
      </w:r>
    </w:p>
    <w:p w14:paraId="2C2DE16B"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15 </w:t>
      </w:r>
      <w:r w:rsidRPr="00694F4E">
        <w:rPr>
          <w:rFonts w:ascii="Book Antiqua" w:hAnsi="Book Antiqua"/>
          <w:b/>
          <w:bCs/>
        </w:rPr>
        <w:t>Li H</w:t>
      </w:r>
      <w:r w:rsidRPr="00694F4E">
        <w:rPr>
          <w:rFonts w:ascii="Book Antiqua" w:hAnsi="Book Antiqua"/>
        </w:rPr>
        <w:t xml:space="preserve">, Helander HF. Hypergastrinemia increases proliferation of gastroduodenal epithelium during gastric ulcer healing in rats. </w:t>
      </w:r>
      <w:r w:rsidRPr="00694F4E">
        <w:rPr>
          <w:rFonts w:ascii="Book Antiqua" w:hAnsi="Book Antiqua"/>
          <w:i/>
          <w:iCs/>
        </w:rPr>
        <w:t>Dig Dis Sci</w:t>
      </w:r>
      <w:r w:rsidRPr="00694F4E">
        <w:rPr>
          <w:rFonts w:ascii="Book Antiqua" w:hAnsi="Book Antiqua"/>
        </w:rPr>
        <w:t xml:space="preserve"> 1996; </w:t>
      </w:r>
      <w:r w:rsidRPr="00694F4E">
        <w:rPr>
          <w:rFonts w:ascii="Book Antiqua" w:hAnsi="Book Antiqua"/>
          <w:b/>
          <w:bCs/>
        </w:rPr>
        <w:t>41</w:t>
      </w:r>
      <w:r w:rsidRPr="00694F4E">
        <w:rPr>
          <w:rFonts w:ascii="Book Antiqua" w:hAnsi="Book Antiqua"/>
        </w:rPr>
        <w:t>: 40-48 [PMID: 8565765 DOI: 10.1007/BF02208582]</w:t>
      </w:r>
    </w:p>
    <w:p w14:paraId="772D9EA8"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16 </w:t>
      </w:r>
      <w:r w:rsidRPr="00694F4E">
        <w:rPr>
          <w:rFonts w:ascii="Book Antiqua" w:hAnsi="Book Antiqua"/>
          <w:b/>
          <w:bCs/>
        </w:rPr>
        <w:t>Hu H</w:t>
      </w:r>
      <w:r w:rsidRPr="00694F4E">
        <w:rPr>
          <w:rFonts w:ascii="Book Antiqua" w:hAnsi="Book Antiqua"/>
        </w:rPr>
        <w:t xml:space="preserve">, Li R, Shao L, Zhang Q, Xu R, Zhang S. Gastric lesions in patients with autoimmune metaplastic atrophic gastritis: a retrospective study in a single center. </w:t>
      </w:r>
      <w:r w:rsidRPr="00694F4E">
        <w:rPr>
          <w:rFonts w:ascii="Book Antiqua" w:hAnsi="Book Antiqua"/>
          <w:i/>
          <w:iCs/>
        </w:rPr>
        <w:t>Scand J Gastroenterol</w:t>
      </w:r>
      <w:r w:rsidRPr="00694F4E">
        <w:rPr>
          <w:rFonts w:ascii="Book Antiqua" w:hAnsi="Book Antiqua"/>
        </w:rPr>
        <w:t xml:space="preserve"> 2022; </w:t>
      </w:r>
      <w:r w:rsidRPr="00694F4E">
        <w:rPr>
          <w:rFonts w:ascii="Book Antiqua" w:hAnsi="Book Antiqua"/>
          <w:b/>
          <w:bCs/>
        </w:rPr>
        <w:t>57</w:t>
      </w:r>
      <w:r w:rsidRPr="00694F4E">
        <w:rPr>
          <w:rFonts w:ascii="Book Antiqua" w:hAnsi="Book Antiqua"/>
        </w:rPr>
        <w:t>: 1296-1303 [PMID: 35645153 DOI: 10.1080/00365521.2022.2081061]</w:t>
      </w:r>
    </w:p>
    <w:p w14:paraId="2C2C9C9A"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17 </w:t>
      </w:r>
      <w:r w:rsidRPr="00694F4E">
        <w:rPr>
          <w:rFonts w:ascii="Book Antiqua" w:hAnsi="Book Antiqua"/>
          <w:b/>
          <w:bCs/>
        </w:rPr>
        <w:t>Rossi RE</w:t>
      </w:r>
      <w:r w:rsidRPr="00694F4E">
        <w:rPr>
          <w:rFonts w:ascii="Book Antiqua" w:hAnsi="Book Antiqua"/>
        </w:rPr>
        <w:t xml:space="preserve">, Massironi S. The Increasing Incidence of Neuroendocrine Neoplasms Worldwide: Current Knowledge and Open Issues. </w:t>
      </w:r>
      <w:r w:rsidRPr="00694F4E">
        <w:rPr>
          <w:rFonts w:ascii="Book Antiqua" w:hAnsi="Book Antiqua"/>
          <w:i/>
          <w:iCs/>
        </w:rPr>
        <w:t>J Clin Med</w:t>
      </w:r>
      <w:r w:rsidRPr="00694F4E">
        <w:rPr>
          <w:rFonts w:ascii="Book Antiqua" w:hAnsi="Book Antiqua"/>
        </w:rPr>
        <w:t xml:space="preserve"> 2022; </w:t>
      </w:r>
      <w:r w:rsidRPr="00694F4E">
        <w:rPr>
          <w:rFonts w:ascii="Book Antiqua" w:hAnsi="Book Antiqua"/>
          <w:b/>
          <w:bCs/>
        </w:rPr>
        <w:t>11</w:t>
      </w:r>
      <w:r w:rsidRPr="00694F4E">
        <w:rPr>
          <w:rFonts w:ascii="Book Antiqua" w:hAnsi="Book Antiqua"/>
        </w:rPr>
        <w:t xml:space="preserve"> [PMID: 35807078 DOI: 10.3390/jcm11133794]</w:t>
      </w:r>
    </w:p>
    <w:p w14:paraId="4680864E" w14:textId="77777777" w:rsidR="00A62589" w:rsidRPr="00694F4E" w:rsidRDefault="00A62589" w:rsidP="00A62589">
      <w:pPr>
        <w:spacing w:line="360" w:lineRule="auto"/>
        <w:jc w:val="both"/>
        <w:rPr>
          <w:rFonts w:ascii="Book Antiqua" w:hAnsi="Book Antiqua"/>
        </w:rPr>
      </w:pPr>
      <w:r w:rsidRPr="00694F4E">
        <w:rPr>
          <w:rFonts w:ascii="Book Antiqua" w:hAnsi="Book Antiqua"/>
        </w:rPr>
        <w:lastRenderedPageBreak/>
        <w:t xml:space="preserve">18 </w:t>
      </w:r>
      <w:r w:rsidRPr="00694F4E">
        <w:rPr>
          <w:rFonts w:ascii="Book Antiqua" w:hAnsi="Book Antiqua"/>
          <w:b/>
          <w:bCs/>
        </w:rPr>
        <w:t>Hu P</w:t>
      </w:r>
      <w:r w:rsidRPr="00694F4E">
        <w:rPr>
          <w:rFonts w:ascii="Book Antiqua" w:hAnsi="Book Antiqua"/>
        </w:rPr>
        <w:t xml:space="preserve">, Bai J, Liu M, Xue J, Chen T, Li R, Kuai X, Zhao H, Li X, Tian Y, Sun W, Xiong Y, Tang Q. Trends of incidence and prognosis of gastric neuroendocrine neoplasms: a study based on SEER and our multicenter research. </w:t>
      </w:r>
      <w:r w:rsidRPr="00694F4E">
        <w:rPr>
          <w:rFonts w:ascii="Book Antiqua" w:hAnsi="Book Antiqua"/>
          <w:i/>
          <w:iCs/>
        </w:rPr>
        <w:t>Gastric Cancer</w:t>
      </w:r>
      <w:r w:rsidRPr="00694F4E">
        <w:rPr>
          <w:rFonts w:ascii="Book Antiqua" w:hAnsi="Book Antiqua"/>
        </w:rPr>
        <w:t xml:space="preserve"> 2020; </w:t>
      </w:r>
      <w:r w:rsidRPr="00694F4E">
        <w:rPr>
          <w:rFonts w:ascii="Book Antiqua" w:hAnsi="Book Antiqua"/>
          <w:b/>
          <w:bCs/>
        </w:rPr>
        <w:t>23</w:t>
      </w:r>
      <w:r w:rsidRPr="00694F4E">
        <w:rPr>
          <w:rFonts w:ascii="Book Antiqua" w:hAnsi="Book Antiqua"/>
        </w:rPr>
        <w:t>: 591-599 [PMID: 32026156 DOI: 10.1007/s10120-020-01046-8]</w:t>
      </w:r>
    </w:p>
    <w:p w14:paraId="4BAD2751"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19 </w:t>
      </w:r>
      <w:r w:rsidRPr="00694F4E">
        <w:rPr>
          <w:rFonts w:ascii="Book Antiqua" w:hAnsi="Book Antiqua"/>
          <w:b/>
          <w:bCs/>
        </w:rPr>
        <w:t>Chen C</w:t>
      </w:r>
      <w:r w:rsidRPr="00694F4E">
        <w:rPr>
          <w:rFonts w:ascii="Book Antiqua" w:hAnsi="Book Antiqua"/>
        </w:rPr>
        <w:t xml:space="preserve">, Yang Y, Li P, Hu H. Incidence of Gastric Neoplasms Arising from Autoimmune Metaplastic Atrophic Gastritis: A Systematic Review and Case Reports. </w:t>
      </w:r>
      <w:r w:rsidRPr="00694F4E">
        <w:rPr>
          <w:rFonts w:ascii="Book Antiqua" w:hAnsi="Book Antiqua"/>
          <w:i/>
          <w:iCs/>
        </w:rPr>
        <w:t>J Clin Med</w:t>
      </w:r>
      <w:r w:rsidRPr="00694F4E">
        <w:rPr>
          <w:rFonts w:ascii="Book Antiqua" w:hAnsi="Book Antiqua"/>
        </w:rPr>
        <w:t xml:space="preserve"> 2023; </w:t>
      </w:r>
      <w:r w:rsidRPr="00694F4E">
        <w:rPr>
          <w:rFonts w:ascii="Book Antiqua" w:hAnsi="Book Antiqua"/>
          <w:b/>
          <w:bCs/>
        </w:rPr>
        <w:t>12</w:t>
      </w:r>
      <w:r w:rsidRPr="00694F4E">
        <w:rPr>
          <w:rFonts w:ascii="Book Antiqua" w:hAnsi="Book Antiqua"/>
        </w:rPr>
        <w:t xml:space="preserve"> [PMID: 36769710 DOI: 10.3390/jcm12031062]</w:t>
      </w:r>
    </w:p>
    <w:p w14:paraId="4CCA251E"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20 </w:t>
      </w:r>
      <w:r w:rsidRPr="00694F4E">
        <w:rPr>
          <w:rFonts w:ascii="Book Antiqua" w:hAnsi="Book Antiqua"/>
          <w:b/>
          <w:bCs/>
        </w:rPr>
        <w:t>Cao LL</w:t>
      </w:r>
      <w:r w:rsidRPr="00694F4E">
        <w:rPr>
          <w:rFonts w:ascii="Book Antiqua" w:hAnsi="Book Antiqua"/>
        </w:rPr>
        <w:t xml:space="preserve">, Lu J, Lin JX, Zheng CH, Li P, Xie JW, Wang JB, Chen QY, Lin M, Tu RH, Huang CM. Incidence and survival trends for gastric neuroendocrine neoplasms: An analysis of 3523 patients in the SEER database. </w:t>
      </w:r>
      <w:r w:rsidRPr="00694F4E">
        <w:rPr>
          <w:rFonts w:ascii="Book Antiqua" w:hAnsi="Book Antiqua"/>
          <w:i/>
          <w:iCs/>
        </w:rPr>
        <w:t>Eur J Surg Oncol</w:t>
      </w:r>
      <w:r w:rsidRPr="00694F4E">
        <w:rPr>
          <w:rFonts w:ascii="Book Antiqua" w:hAnsi="Book Antiqua"/>
        </w:rPr>
        <w:t xml:space="preserve"> 2018; </w:t>
      </w:r>
      <w:r w:rsidRPr="00694F4E">
        <w:rPr>
          <w:rFonts w:ascii="Book Antiqua" w:hAnsi="Book Antiqua"/>
          <w:b/>
          <w:bCs/>
        </w:rPr>
        <w:t>44</w:t>
      </w:r>
      <w:r w:rsidRPr="00694F4E">
        <w:rPr>
          <w:rFonts w:ascii="Book Antiqua" w:hAnsi="Book Antiqua"/>
        </w:rPr>
        <w:t>: 1628-1633 [PMID: 29983275 DOI: 10.1016/j.ejso.2018.01.082]</w:t>
      </w:r>
    </w:p>
    <w:p w14:paraId="01FECFD0"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21 </w:t>
      </w:r>
      <w:r w:rsidRPr="00694F4E">
        <w:rPr>
          <w:rFonts w:ascii="Book Antiqua" w:hAnsi="Book Antiqua"/>
          <w:b/>
          <w:bCs/>
        </w:rPr>
        <w:t>Miceli E</w:t>
      </w:r>
      <w:r w:rsidRPr="00694F4E">
        <w:rPr>
          <w:rFonts w:ascii="Book Antiqua" w:hAnsi="Book Antiqua"/>
        </w:rPr>
        <w:t xml:space="preserve">, Vanoli A, Lenti MV, Klersy C, Di Stefano M, Luinetti O, Caccia Dominioni C, Pisati M, Staiani M, Gentile A, Capuano F, Arpa G, Paulli M, Corazza GR, Di Sabatino A. Natural history of autoimmune atrophic gastritis: a prospective, single centre, long-term experience. </w:t>
      </w:r>
      <w:r w:rsidRPr="00694F4E">
        <w:rPr>
          <w:rFonts w:ascii="Book Antiqua" w:hAnsi="Book Antiqua"/>
          <w:i/>
          <w:iCs/>
        </w:rPr>
        <w:t>Aliment Pharmacol Ther</w:t>
      </w:r>
      <w:r w:rsidRPr="00694F4E">
        <w:rPr>
          <w:rFonts w:ascii="Book Antiqua" w:hAnsi="Book Antiqua"/>
        </w:rPr>
        <w:t xml:space="preserve"> 2019; </w:t>
      </w:r>
      <w:r w:rsidRPr="00694F4E">
        <w:rPr>
          <w:rFonts w:ascii="Book Antiqua" w:hAnsi="Book Antiqua"/>
          <w:b/>
          <w:bCs/>
        </w:rPr>
        <w:t>50</w:t>
      </w:r>
      <w:r w:rsidRPr="00694F4E">
        <w:rPr>
          <w:rFonts w:ascii="Book Antiqua" w:hAnsi="Book Antiqua"/>
        </w:rPr>
        <w:t>: 1172-1180 [PMID: 31621927 DOI: 10.1111/apt.15540]</w:t>
      </w:r>
    </w:p>
    <w:p w14:paraId="2776FED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22 </w:t>
      </w:r>
      <w:r w:rsidRPr="00694F4E">
        <w:rPr>
          <w:rFonts w:ascii="Book Antiqua" w:hAnsi="Book Antiqua"/>
          <w:b/>
          <w:bCs/>
        </w:rPr>
        <w:t>Dilaghi E</w:t>
      </w:r>
      <w:r w:rsidRPr="00694F4E">
        <w:rPr>
          <w:rFonts w:ascii="Book Antiqua" w:hAnsi="Book Antiqua"/>
        </w:rPr>
        <w:t xml:space="preserve">, Baldaro F, Pilozzi E, Conti L, Palumbo A, Esposito G, Annibale B, Lahner E. Pseudopyloric Metaplasia Is Not Associated </w:t>
      </w:r>
      <w:proofErr w:type="gramStart"/>
      <w:r w:rsidRPr="00694F4E">
        <w:rPr>
          <w:rFonts w:ascii="Book Antiqua" w:hAnsi="Book Antiqua"/>
        </w:rPr>
        <w:t>With</w:t>
      </w:r>
      <w:proofErr w:type="gramEnd"/>
      <w:r w:rsidRPr="00694F4E">
        <w:rPr>
          <w:rFonts w:ascii="Book Antiqua" w:hAnsi="Book Antiqua"/>
        </w:rPr>
        <w:t xml:space="preserve"> the Development of Gastric Cancer. </w:t>
      </w:r>
      <w:r w:rsidRPr="00694F4E">
        <w:rPr>
          <w:rFonts w:ascii="Book Antiqua" w:hAnsi="Book Antiqua"/>
          <w:i/>
          <w:iCs/>
        </w:rPr>
        <w:t>Am J Gastroenterol</w:t>
      </w:r>
      <w:r w:rsidRPr="00694F4E">
        <w:rPr>
          <w:rFonts w:ascii="Book Antiqua" w:hAnsi="Book Antiqua"/>
        </w:rPr>
        <w:t xml:space="preserve"> 2021; </w:t>
      </w:r>
      <w:r w:rsidRPr="00694F4E">
        <w:rPr>
          <w:rFonts w:ascii="Book Antiqua" w:hAnsi="Book Antiqua"/>
          <w:b/>
          <w:bCs/>
        </w:rPr>
        <w:t>116</w:t>
      </w:r>
      <w:r w:rsidRPr="00694F4E">
        <w:rPr>
          <w:rFonts w:ascii="Book Antiqua" w:hAnsi="Book Antiqua"/>
        </w:rPr>
        <w:t>: 1859-1867 [PMID: 34313623 DOI: 10.14309/ajg.0000000000001390]</w:t>
      </w:r>
    </w:p>
    <w:p w14:paraId="1B1BFC6B"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23 </w:t>
      </w:r>
      <w:r w:rsidRPr="00694F4E">
        <w:rPr>
          <w:rFonts w:ascii="Book Antiqua" w:hAnsi="Book Antiqua"/>
          <w:b/>
          <w:bCs/>
        </w:rPr>
        <w:t>Panzuto F</w:t>
      </w:r>
      <w:r w:rsidRPr="00694F4E">
        <w:rPr>
          <w:rFonts w:ascii="Book Antiqua" w:hAnsi="Book Antiqua"/>
        </w:rPr>
        <w:t xml:space="preserve">, Campana D, Massironi S, Faggiano A, Rinzivillo M, Lamberti G, Sciola V, Lahner E, Manuzzi L, Colao A, Annibale B. Tumour type and size are prognostic factors in gastric neuroendocrine neoplasia: A multicentre retrospective study. </w:t>
      </w:r>
      <w:r w:rsidRPr="00694F4E">
        <w:rPr>
          <w:rFonts w:ascii="Book Antiqua" w:hAnsi="Book Antiqua"/>
          <w:i/>
          <w:iCs/>
        </w:rPr>
        <w:t>Dig Liver Dis</w:t>
      </w:r>
      <w:r w:rsidRPr="00694F4E">
        <w:rPr>
          <w:rFonts w:ascii="Book Antiqua" w:hAnsi="Book Antiqua"/>
        </w:rPr>
        <w:t xml:space="preserve"> 2019; </w:t>
      </w:r>
      <w:r w:rsidRPr="00694F4E">
        <w:rPr>
          <w:rFonts w:ascii="Book Antiqua" w:hAnsi="Book Antiqua"/>
          <w:b/>
          <w:bCs/>
        </w:rPr>
        <w:t>51</w:t>
      </w:r>
      <w:r w:rsidRPr="00694F4E">
        <w:rPr>
          <w:rFonts w:ascii="Book Antiqua" w:hAnsi="Book Antiqua"/>
        </w:rPr>
        <w:t>: 1456-1460 [PMID: 31175013 DOI: 10.1016/j.dld.2019.04.016]</w:t>
      </w:r>
    </w:p>
    <w:p w14:paraId="1BAF4BB9"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24 </w:t>
      </w:r>
      <w:r w:rsidRPr="00694F4E">
        <w:rPr>
          <w:rFonts w:ascii="Book Antiqua" w:hAnsi="Book Antiqua"/>
          <w:b/>
          <w:bCs/>
        </w:rPr>
        <w:t>Dilaghi E</w:t>
      </w:r>
      <w:r w:rsidRPr="00694F4E">
        <w:rPr>
          <w:rFonts w:ascii="Book Antiqua" w:hAnsi="Book Antiqua"/>
        </w:rPr>
        <w:t xml:space="preserve">, Bellisario M, Esposito G, Carabotti M, Annibale B, Lahner E. The Impact of Proton Pump Inhibitors on the Development of Gastric Neoplastic Lesions in Patients </w:t>
      </w:r>
      <w:proofErr w:type="gramStart"/>
      <w:r w:rsidRPr="00694F4E">
        <w:rPr>
          <w:rFonts w:ascii="Book Antiqua" w:hAnsi="Book Antiqua"/>
        </w:rPr>
        <w:t>With</w:t>
      </w:r>
      <w:proofErr w:type="gramEnd"/>
      <w:r w:rsidRPr="00694F4E">
        <w:rPr>
          <w:rFonts w:ascii="Book Antiqua" w:hAnsi="Book Antiqua"/>
        </w:rPr>
        <w:t xml:space="preserve"> Autoimmune Atrophic Gastritis. </w:t>
      </w:r>
      <w:r w:rsidRPr="00694F4E">
        <w:rPr>
          <w:rFonts w:ascii="Book Antiqua" w:hAnsi="Book Antiqua"/>
          <w:i/>
          <w:iCs/>
        </w:rPr>
        <w:t>Front Immunol</w:t>
      </w:r>
      <w:r w:rsidRPr="00694F4E">
        <w:rPr>
          <w:rFonts w:ascii="Book Antiqua" w:hAnsi="Book Antiqua"/>
        </w:rPr>
        <w:t xml:space="preserve"> 2022; </w:t>
      </w:r>
      <w:r w:rsidRPr="00694F4E">
        <w:rPr>
          <w:rFonts w:ascii="Book Antiqua" w:hAnsi="Book Antiqua"/>
          <w:b/>
          <w:bCs/>
        </w:rPr>
        <w:t>13</w:t>
      </w:r>
      <w:r w:rsidRPr="00694F4E">
        <w:rPr>
          <w:rFonts w:ascii="Book Antiqua" w:hAnsi="Book Antiqua"/>
        </w:rPr>
        <w:t>: 910077 [PMID: 35935934 DOI: 10.3389/fimmu.2022.910077]</w:t>
      </w:r>
    </w:p>
    <w:p w14:paraId="2EF8AA30" w14:textId="77777777" w:rsidR="00A62589" w:rsidRPr="00694F4E" w:rsidRDefault="00A62589" w:rsidP="00A62589">
      <w:pPr>
        <w:spacing w:line="360" w:lineRule="auto"/>
        <w:jc w:val="both"/>
        <w:rPr>
          <w:rFonts w:ascii="Book Antiqua" w:hAnsi="Book Antiqua"/>
        </w:rPr>
      </w:pPr>
      <w:r w:rsidRPr="00694F4E">
        <w:rPr>
          <w:rFonts w:ascii="Book Antiqua" w:hAnsi="Book Antiqua"/>
        </w:rPr>
        <w:lastRenderedPageBreak/>
        <w:t xml:space="preserve">25 </w:t>
      </w:r>
      <w:r w:rsidRPr="00694F4E">
        <w:rPr>
          <w:rFonts w:ascii="Book Antiqua" w:hAnsi="Book Antiqua"/>
          <w:b/>
          <w:bCs/>
        </w:rPr>
        <w:t>Duan S</w:t>
      </w:r>
      <w:r w:rsidRPr="00694F4E">
        <w:rPr>
          <w:rFonts w:ascii="Book Antiqua" w:hAnsi="Book Antiqua"/>
        </w:rPr>
        <w:t xml:space="preserve">, Rico K, Merchant JL. Gastrin: From Physiology to Gastrointestinal Malignancies. </w:t>
      </w:r>
      <w:r w:rsidRPr="00694F4E">
        <w:rPr>
          <w:rFonts w:ascii="Book Antiqua" w:hAnsi="Book Antiqua"/>
          <w:i/>
          <w:iCs/>
        </w:rPr>
        <w:t>Function (Oxf)</w:t>
      </w:r>
      <w:r w:rsidRPr="00694F4E">
        <w:rPr>
          <w:rFonts w:ascii="Book Antiqua" w:hAnsi="Book Antiqua"/>
        </w:rPr>
        <w:t xml:space="preserve"> 2022; </w:t>
      </w:r>
      <w:r w:rsidRPr="00694F4E">
        <w:rPr>
          <w:rFonts w:ascii="Book Antiqua" w:hAnsi="Book Antiqua"/>
          <w:b/>
          <w:bCs/>
        </w:rPr>
        <w:t>3</w:t>
      </w:r>
      <w:r w:rsidRPr="00694F4E">
        <w:rPr>
          <w:rFonts w:ascii="Book Antiqua" w:hAnsi="Book Antiqua"/>
        </w:rPr>
        <w:t>: zqab062 [PMID: 35330921 DOI: 10.1093/function/zqab062]</w:t>
      </w:r>
    </w:p>
    <w:p w14:paraId="14A5ACD6"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26 </w:t>
      </w:r>
      <w:r w:rsidRPr="00694F4E">
        <w:rPr>
          <w:rFonts w:ascii="Book Antiqua" w:hAnsi="Book Antiqua"/>
          <w:b/>
          <w:bCs/>
        </w:rPr>
        <w:t>Rusak E</w:t>
      </w:r>
      <w:r w:rsidRPr="00694F4E">
        <w:rPr>
          <w:rFonts w:ascii="Book Antiqua" w:hAnsi="Book Antiqua"/>
        </w:rPr>
        <w:t xml:space="preserve">, Chobot A, Krzywicka A, Wenzlau J. Anti-parietal cell antibodies - diagnostic significance. </w:t>
      </w:r>
      <w:r w:rsidRPr="00694F4E">
        <w:rPr>
          <w:rFonts w:ascii="Book Antiqua" w:hAnsi="Book Antiqua"/>
          <w:i/>
          <w:iCs/>
        </w:rPr>
        <w:t>Adv Med Sci</w:t>
      </w:r>
      <w:r w:rsidRPr="00694F4E">
        <w:rPr>
          <w:rFonts w:ascii="Book Antiqua" w:hAnsi="Book Antiqua"/>
        </w:rPr>
        <w:t xml:space="preserve"> 2016; </w:t>
      </w:r>
      <w:r w:rsidRPr="00694F4E">
        <w:rPr>
          <w:rFonts w:ascii="Book Antiqua" w:hAnsi="Book Antiqua"/>
          <w:b/>
          <w:bCs/>
        </w:rPr>
        <w:t>61</w:t>
      </w:r>
      <w:r w:rsidRPr="00694F4E">
        <w:rPr>
          <w:rFonts w:ascii="Book Antiqua" w:hAnsi="Book Antiqua"/>
        </w:rPr>
        <w:t>: 175-179 [PMID: 26918709 DOI: 10.1016/j.advms.2015.12.004]</w:t>
      </w:r>
    </w:p>
    <w:p w14:paraId="32E44677"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27 </w:t>
      </w:r>
      <w:r w:rsidRPr="00694F4E">
        <w:rPr>
          <w:rFonts w:ascii="Book Antiqua" w:hAnsi="Book Antiqua"/>
          <w:b/>
          <w:bCs/>
        </w:rPr>
        <w:t>Toyoshima O</w:t>
      </w:r>
      <w:r w:rsidRPr="00694F4E">
        <w:rPr>
          <w:rFonts w:ascii="Book Antiqua" w:hAnsi="Book Antiqua"/>
        </w:rPr>
        <w:t xml:space="preserve">, Nishizawa T, Koike K. Endoscopic Kyoto classification of Helicobacter pylori infection and gastric cancer risk diagnosis. </w:t>
      </w:r>
      <w:r w:rsidRPr="00694F4E">
        <w:rPr>
          <w:rFonts w:ascii="Book Antiqua" w:hAnsi="Book Antiqua"/>
          <w:i/>
          <w:iCs/>
        </w:rPr>
        <w:t>World J Gastroenterol</w:t>
      </w:r>
      <w:r w:rsidRPr="00694F4E">
        <w:rPr>
          <w:rFonts w:ascii="Book Antiqua" w:hAnsi="Book Antiqua"/>
        </w:rPr>
        <w:t xml:space="preserve"> 2020; </w:t>
      </w:r>
      <w:r w:rsidRPr="00694F4E">
        <w:rPr>
          <w:rFonts w:ascii="Book Antiqua" w:hAnsi="Book Antiqua"/>
          <w:b/>
          <w:bCs/>
        </w:rPr>
        <w:t>26</w:t>
      </w:r>
      <w:r w:rsidRPr="00694F4E">
        <w:rPr>
          <w:rFonts w:ascii="Book Antiqua" w:hAnsi="Book Antiqua"/>
        </w:rPr>
        <w:t>: 466-477 [PMID: 32089624 DOI: 10.3748/</w:t>
      </w:r>
      <w:proofErr w:type="gramStart"/>
      <w:r w:rsidRPr="00694F4E">
        <w:rPr>
          <w:rFonts w:ascii="Book Antiqua" w:hAnsi="Book Antiqua"/>
        </w:rPr>
        <w:t>wjg.v26.i</w:t>
      </w:r>
      <w:proofErr w:type="gramEnd"/>
      <w:r w:rsidRPr="00694F4E">
        <w:rPr>
          <w:rFonts w:ascii="Book Antiqua" w:hAnsi="Book Antiqua"/>
        </w:rPr>
        <w:t>5.466]</w:t>
      </w:r>
    </w:p>
    <w:p w14:paraId="7A7009F6"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28 </w:t>
      </w:r>
      <w:r w:rsidRPr="00694F4E">
        <w:rPr>
          <w:rFonts w:ascii="Book Antiqua" w:hAnsi="Book Antiqua"/>
          <w:b/>
          <w:bCs/>
        </w:rPr>
        <w:t>Massironi S</w:t>
      </w:r>
      <w:r w:rsidRPr="00694F4E">
        <w:rPr>
          <w:rFonts w:ascii="Book Antiqua" w:hAnsi="Book Antiqua"/>
        </w:rPr>
        <w:t xml:space="preserve">, Gallo C, Laffusa A, Ciuffini C, Conti CB, Barbaro F, Boskoski I, Dinelli ME, Invernizzi P. Endoscopic techniques for gastric neuroendocrine tumors: An update. </w:t>
      </w:r>
      <w:r w:rsidRPr="00694F4E">
        <w:rPr>
          <w:rFonts w:ascii="Book Antiqua" w:hAnsi="Book Antiqua"/>
          <w:i/>
          <w:iCs/>
        </w:rPr>
        <w:t>World J Gastrointest Endosc</w:t>
      </w:r>
      <w:r w:rsidRPr="00694F4E">
        <w:rPr>
          <w:rFonts w:ascii="Book Antiqua" w:hAnsi="Book Antiqua"/>
        </w:rPr>
        <w:t xml:space="preserve"> 2023; </w:t>
      </w:r>
      <w:r w:rsidRPr="00694F4E">
        <w:rPr>
          <w:rFonts w:ascii="Book Antiqua" w:hAnsi="Book Antiqua"/>
          <w:b/>
          <w:bCs/>
        </w:rPr>
        <w:t>15</w:t>
      </w:r>
      <w:r w:rsidRPr="00694F4E">
        <w:rPr>
          <w:rFonts w:ascii="Book Antiqua" w:hAnsi="Book Antiqua"/>
        </w:rPr>
        <w:t>: 103-113 [PMID: 37034968 DOI: 10.4253/</w:t>
      </w:r>
      <w:proofErr w:type="gramStart"/>
      <w:r w:rsidRPr="00694F4E">
        <w:rPr>
          <w:rFonts w:ascii="Book Antiqua" w:hAnsi="Book Antiqua"/>
        </w:rPr>
        <w:t>wjge.v15.i</w:t>
      </w:r>
      <w:proofErr w:type="gramEnd"/>
      <w:r w:rsidRPr="00694F4E">
        <w:rPr>
          <w:rFonts w:ascii="Book Antiqua" w:hAnsi="Book Antiqua"/>
        </w:rPr>
        <w:t>3.103]</w:t>
      </w:r>
    </w:p>
    <w:p w14:paraId="373B0E31"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29 </w:t>
      </w:r>
      <w:r w:rsidRPr="00694F4E">
        <w:rPr>
          <w:rFonts w:ascii="Book Antiqua" w:hAnsi="Book Antiqua"/>
          <w:b/>
          <w:bCs/>
        </w:rPr>
        <w:t>Veysey-Smith R</w:t>
      </w:r>
      <w:r w:rsidRPr="00694F4E">
        <w:rPr>
          <w:rFonts w:ascii="Book Antiqua" w:hAnsi="Book Antiqua"/>
        </w:rPr>
        <w:t xml:space="preserve">, Moore AR, Murugesan SV, Tiszlavicz L, Dockray GJ, Varro A, Pritchard DM. Effects of Proton Pump Inhibitor Therapy, H. pylori Infection and Gastric Preneoplastic Pathology on Fasting Serum Gastrin Concentrations. </w:t>
      </w:r>
      <w:r w:rsidRPr="00694F4E">
        <w:rPr>
          <w:rFonts w:ascii="Book Antiqua" w:hAnsi="Book Antiqua"/>
          <w:i/>
          <w:iCs/>
        </w:rPr>
        <w:t>Front Endocrinol (Lausanne)</w:t>
      </w:r>
      <w:r w:rsidRPr="00694F4E">
        <w:rPr>
          <w:rFonts w:ascii="Book Antiqua" w:hAnsi="Book Antiqua"/>
        </w:rPr>
        <w:t xml:space="preserve"> 2021; </w:t>
      </w:r>
      <w:r w:rsidRPr="00694F4E">
        <w:rPr>
          <w:rFonts w:ascii="Book Antiqua" w:hAnsi="Book Antiqua"/>
          <w:b/>
          <w:bCs/>
        </w:rPr>
        <w:t>12</w:t>
      </w:r>
      <w:r w:rsidRPr="00694F4E">
        <w:rPr>
          <w:rFonts w:ascii="Book Antiqua" w:hAnsi="Book Antiqua"/>
        </w:rPr>
        <w:t>: 741887 [PMID: 34867785 DOI: 10.3389/fendo.2021.741887]</w:t>
      </w:r>
    </w:p>
    <w:p w14:paraId="6F9C2FF6"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30 </w:t>
      </w:r>
      <w:r w:rsidRPr="00694F4E">
        <w:rPr>
          <w:rFonts w:ascii="Book Antiqua" w:hAnsi="Book Antiqua"/>
          <w:b/>
          <w:bCs/>
        </w:rPr>
        <w:t>Dixon MF</w:t>
      </w:r>
      <w:r w:rsidRPr="00694F4E">
        <w:rPr>
          <w:rFonts w:ascii="Book Antiqua" w:hAnsi="Book Antiqua"/>
        </w:rPr>
        <w:t xml:space="preserve">, Genta RM, Yardley JH, Correa P. Classification and grading of gastritis. The updated Sydney System. International Workshop on the Histopathology of Gastritis, Houston 1994. </w:t>
      </w:r>
      <w:r w:rsidRPr="00694F4E">
        <w:rPr>
          <w:rFonts w:ascii="Book Antiqua" w:hAnsi="Book Antiqua"/>
          <w:i/>
          <w:iCs/>
        </w:rPr>
        <w:t>Am J Surg Pathol</w:t>
      </w:r>
      <w:r w:rsidRPr="00694F4E">
        <w:rPr>
          <w:rFonts w:ascii="Book Antiqua" w:hAnsi="Book Antiqua"/>
        </w:rPr>
        <w:t xml:space="preserve"> 1996; </w:t>
      </w:r>
      <w:r w:rsidRPr="00694F4E">
        <w:rPr>
          <w:rFonts w:ascii="Book Antiqua" w:hAnsi="Book Antiqua"/>
          <w:b/>
          <w:bCs/>
        </w:rPr>
        <w:t>20</w:t>
      </w:r>
      <w:r w:rsidRPr="00694F4E">
        <w:rPr>
          <w:rFonts w:ascii="Book Antiqua" w:hAnsi="Book Antiqua"/>
        </w:rPr>
        <w:t>: 1161-1181 [PMID: 8827022 DOI: 10.1097/00000478-199610000-00001]</w:t>
      </w:r>
    </w:p>
    <w:p w14:paraId="55E8D91E"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31 </w:t>
      </w:r>
      <w:r w:rsidRPr="00694F4E">
        <w:rPr>
          <w:rFonts w:ascii="Book Antiqua" w:hAnsi="Book Antiqua"/>
          <w:b/>
          <w:bCs/>
        </w:rPr>
        <w:t>Park DY</w:t>
      </w:r>
      <w:r w:rsidRPr="00694F4E">
        <w:rPr>
          <w:rFonts w:ascii="Book Antiqua" w:hAnsi="Book Antiqua"/>
        </w:rPr>
        <w:t xml:space="preserve">, Lauwers GY. Gastric polyps: classification and management. </w:t>
      </w:r>
      <w:r w:rsidRPr="00694F4E">
        <w:rPr>
          <w:rFonts w:ascii="Book Antiqua" w:hAnsi="Book Antiqua"/>
          <w:i/>
          <w:iCs/>
        </w:rPr>
        <w:t>Arch Pathol Lab Med</w:t>
      </w:r>
      <w:r w:rsidRPr="00694F4E">
        <w:rPr>
          <w:rFonts w:ascii="Book Antiqua" w:hAnsi="Book Antiqua"/>
        </w:rPr>
        <w:t xml:space="preserve"> 2008; </w:t>
      </w:r>
      <w:r w:rsidRPr="00694F4E">
        <w:rPr>
          <w:rFonts w:ascii="Book Antiqua" w:hAnsi="Book Antiqua"/>
          <w:b/>
          <w:bCs/>
        </w:rPr>
        <w:t>132</w:t>
      </w:r>
      <w:r w:rsidRPr="00694F4E">
        <w:rPr>
          <w:rFonts w:ascii="Book Antiqua" w:hAnsi="Book Antiqua"/>
        </w:rPr>
        <w:t>: 633-640 [PMID: 18384215 DOI: 10.5858/2008-132-633-GPCAM]</w:t>
      </w:r>
    </w:p>
    <w:p w14:paraId="60DE2B30"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32 </w:t>
      </w:r>
      <w:r w:rsidRPr="00694F4E">
        <w:rPr>
          <w:rFonts w:ascii="Book Antiqua" w:hAnsi="Book Antiqua"/>
          <w:b/>
          <w:bCs/>
        </w:rPr>
        <w:t>Yacoub H</w:t>
      </w:r>
      <w:r w:rsidRPr="00694F4E">
        <w:rPr>
          <w:rFonts w:ascii="Book Antiqua" w:hAnsi="Book Antiqua"/>
        </w:rPr>
        <w:t xml:space="preserve">, Bibani N, Sabbah M, Bellil N, Ouakaa A, Trad D, Gargouri D. Gastric polyps: a 10-year analysis of 18,496 upper endoscopies. </w:t>
      </w:r>
      <w:r w:rsidRPr="00694F4E">
        <w:rPr>
          <w:rFonts w:ascii="Book Antiqua" w:hAnsi="Book Antiqua"/>
          <w:i/>
          <w:iCs/>
        </w:rPr>
        <w:t>BMC Gastroenterol</w:t>
      </w:r>
      <w:r w:rsidRPr="00694F4E">
        <w:rPr>
          <w:rFonts w:ascii="Book Antiqua" w:hAnsi="Book Antiqua"/>
        </w:rPr>
        <w:t xml:space="preserve"> 2022; </w:t>
      </w:r>
      <w:r w:rsidRPr="00694F4E">
        <w:rPr>
          <w:rFonts w:ascii="Book Antiqua" w:hAnsi="Book Antiqua"/>
          <w:b/>
          <w:bCs/>
        </w:rPr>
        <w:t>22</w:t>
      </w:r>
      <w:r w:rsidRPr="00694F4E">
        <w:rPr>
          <w:rFonts w:ascii="Book Antiqua" w:hAnsi="Book Antiqua"/>
        </w:rPr>
        <w:t>: 70 [PMID: 35183117 DOI: 10.1186/s12876-022-02154-8]</w:t>
      </w:r>
    </w:p>
    <w:p w14:paraId="462BC1BB"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33 </w:t>
      </w:r>
      <w:r w:rsidRPr="00694F4E">
        <w:rPr>
          <w:rFonts w:ascii="Book Antiqua" w:hAnsi="Book Antiqua"/>
          <w:b/>
          <w:bCs/>
        </w:rPr>
        <w:t>Wang W</w:t>
      </w:r>
      <w:r w:rsidRPr="00694F4E">
        <w:rPr>
          <w:rFonts w:ascii="Book Antiqua" w:hAnsi="Book Antiqua"/>
        </w:rPr>
        <w:t xml:space="preserve">, Zhou ZW. [Surgical treatment of gastric neuroendocrine neoplasms]. </w:t>
      </w:r>
      <w:r w:rsidRPr="00694F4E">
        <w:rPr>
          <w:rFonts w:ascii="Book Antiqua" w:hAnsi="Book Antiqua"/>
          <w:i/>
          <w:iCs/>
        </w:rPr>
        <w:t>Zhonghua Wei Chang Wai Ke Za Zhi</w:t>
      </w:r>
      <w:r w:rsidRPr="00694F4E">
        <w:rPr>
          <w:rFonts w:ascii="Book Antiqua" w:hAnsi="Book Antiqua"/>
        </w:rPr>
        <w:t xml:space="preserve"> 2021; </w:t>
      </w:r>
      <w:r w:rsidRPr="00694F4E">
        <w:rPr>
          <w:rFonts w:ascii="Book Antiqua" w:hAnsi="Book Antiqua"/>
          <w:b/>
          <w:bCs/>
        </w:rPr>
        <w:t>24</w:t>
      </w:r>
      <w:r w:rsidRPr="00694F4E">
        <w:rPr>
          <w:rFonts w:ascii="Book Antiqua" w:hAnsi="Book Antiqua"/>
        </w:rPr>
        <w:t>: 849-853 [PMID: 34674458 DOI: 10.3760/cma.j.cn.441530-20210716-00284]</w:t>
      </w:r>
    </w:p>
    <w:p w14:paraId="17B3EEFD" w14:textId="77777777" w:rsidR="00A62589" w:rsidRPr="00694F4E" w:rsidRDefault="00A62589" w:rsidP="00A62589">
      <w:pPr>
        <w:spacing w:line="360" w:lineRule="auto"/>
        <w:jc w:val="both"/>
        <w:rPr>
          <w:rFonts w:ascii="Book Antiqua" w:hAnsi="Book Antiqua"/>
        </w:rPr>
      </w:pPr>
      <w:r w:rsidRPr="00694F4E">
        <w:rPr>
          <w:rFonts w:ascii="Book Antiqua" w:hAnsi="Book Antiqua"/>
        </w:rPr>
        <w:lastRenderedPageBreak/>
        <w:t xml:space="preserve">34 </w:t>
      </w:r>
      <w:r w:rsidRPr="00694F4E">
        <w:rPr>
          <w:rFonts w:ascii="Book Antiqua" w:hAnsi="Book Antiqua"/>
          <w:b/>
          <w:bCs/>
        </w:rPr>
        <w:t>Delle Fave G</w:t>
      </w:r>
      <w:r w:rsidRPr="00694F4E">
        <w:rPr>
          <w:rFonts w:ascii="Book Antiqua" w:hAnsi="Book Antiqua"/>
        </w:rPr>
        <w:t xml:space="preserve">, O'Toole D, Sundin A, Taal B, Ferolla P, Ramage JK, Ferone D, Ito T, Weber W, Zheng-Pei Z, De Herder WW, Pascher A, Ruszniewski P; Vienna Consensus Conference participants. ENETS Consensus Guidelines Update for Gastroduodenal Neuroendocrine Neoplasms. </w:t>
      </w:r>
      <w:r w:rsidRPr="00694F4E">
        <w:rPr>
          <w:rFonts w:ascii="Book Antiqua" w:hAnsi="Book Antiqua"/>
          <w:i/>
          <w:iCs/>
        </w:rPr>
        <w:t>Neuroendocrinology</w:t>
      </w:r>
      <w:r w:rsidRPr="00694F4E">
        <w:rPr>
          <w:rFonts w:ascii="Book Antiqua" w:hAnsi="Book Antiqua"/>
        </w:rPr>
        <w:t xml:space="preserve"> 2016; </w:t>
      </w:r>
      <w:r w:rsidRPr="00694F4E">
        <w:rPr>
          <w:rFonts w:ascii="Book Antiqua" w:hAnsi="Book Antiqua"/>
          <w:b/>
          <w:bCs/>
        </w:rPr>
        <w:t>103</w:t>
      </w:r>
      <w:r w:rsidRPr="00694F4E">
        <w:rPr>
          <w:rFonts w:ascii="Book Antiqua" w:hAnsi="Book Antiqua"/>
        </w:rPr>
        <w:t>: 119-124 [PMID: 26784901 DOI: 10.1159/000443168]</w:t>
      </w:r>
    </w:p>
    <w:p w14:paraId="6CE42165"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35 </w:t>
      </w:r>
      <w:r w:rsidRPr="00694F4E">
        <w:rPr>
          <w:rFonts w:ascii="Book Antiqua" w:hAnsi="Book Antiqua"/>
          <w:b/>
          <w:bCs/>
        </w:rPr>
        <w:t>Okamoto Y</w:t>
      </w:r>
      <w:r w:rsidRPr="00694F4E">
        <w:rPr>
          <w:rFonts w:ascii="Book Antiqua" w:hAnsi="Book Antiqua"/>
        </w:rPr>
        <w:t xml:space="preserve">, Kanzaki H, Tanaka T, Sakae H, Abe M, Iwamuro M, Kawano S, Kawahara Y, Okada H. Gastric Adenoma: A High Incidence Rate of Developing Carcinoma and Risk of Metachronous Gastric Cancer according to Long-Term Follow-Up. </w:t>
      </w:r>
      <w:r w:rsidRPr="00694F4E">
        <w:rPr>
          <w:rFonts w:ascii="Book Antiqua" w:hAnsi="Book Antiqua"/>
          <w:i/>
          <w:iCs/>
        </w:rPr>
        <w:t>Digestion</w:t>
      </w:r>
      <w:r w:rsidRPr="00694F4E">
        <w:rPr>
          <w:rFonts w:ascii="Book Antiqua" w:hAnsi="Book Antiqua"/>
        </w:rPr>
        <w:t xml:space="preserve"> 2021; </w:t>
      </w:r>
      <w:r w:rsidRPr="00694F4E">
        <w:rPr>
          <w:rFonts w:ascii="Book Antiqua" w:hAnsi="Book Antiqua"/>
          <w:b/>
          <w:bCs/>
        </w:rPr>
        <w:t>102</w:t>
      </w:r>
      <w:r w:rsidRPr="00694F4E">
        <w:rPr>
          <w:rFonts w:ascii="Book Antiqua" w:hAnsi="Book Antiqua"/>
        </w:rPr>
        <w:t>: 878-886 [PMID: 33839721 DOI: 10.1159/000515213]</w:t>
      </w:r>
    </w:p>
    <w:p w14:paraId="06E21675"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36 </w:t>
      </w:r>
      <w:r w:rsidRPr="00694F4E">
        <w:rPr>
          <w:rFonts w:ascii="Book Antiqua" w:hAnsi="Book Antiqua"/>
          <w:b/>
          <w:bCs/>
        </w:rPr>
        <w:t>Kishino M</w:t>
      </w:r>
      <w:r w:rsidRPr="00694F4E">
        <w:rPr>
          <w:rFonts w:ascii="Book Antiqua" w:hAnsi="Book Antiqua"/>
        </w:rPr>
        <w:t xml:space="preserve">, Nonaka K. Endoscopic Features of Autoimmune Gastritis: Focus on Typical Images and Early Images. </w:t>
      </w:r>
      <w:r w:rsidRPr="00694F4E">
        <w:rPr>
          <w:rFonts w:ascii="Book Antiqua" w:hAnsi="Book Antiqua"/>
          <w:i/>
          <w:iCs/>
        </w:rPr>
        <w:t>J Clin Med</w:t>
      </w:r>
      <w:r w:rsidRPr="00694F4E">
        <w:rPr>
          <w:rFonts w:ascii="Book Antiqua" w:hAnsi="Book Antiqua"/>
        </w:rPr>
        <w:t xml:space="preserve"> 2022; </w:t>
      </w:r>
      <w:r w:rsidRPr="00694F4E">
        <w:rPr>
          <w:rFonts w:ascii="Book Antiqua" w:hAnsi="Book Antiqua"/>
          <w:b/>
          <w:bCs/>
        </w:rPr>
        <w:t>11</w:t>
      </w:r>
      <w:r w:rsidRPr="00694F4E">
        <w:rPr>
          <w:rFonts w:ascii="Book Antiqua" w:hAnsi="Book Antiqua"/>
        </w:rPr>
        <w:t xml:space="preserve"> [PMID: 35743593 DOI: 10.3390/jcm11123523]</w:t>
      </w:r>
    </w:p>
    <w:p w14:paraId="2A84363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37 </w:t>
      </w:r>
      <w:r w:rsidRPr="00694F4E">
        <w:rPr>
          <w:rFonts w:ascii="Book Antiqua" w:hAnsi="Book Antiqua"/>
          <w:b/>
          <w:bCs/>
        </w:rPr>
        <w:t>Capelle LG</w:t>
      </w:r>
      <w:r w:rsidRPr="00694F4E">
        <w:rPr>
          <w:rFonts w:ascii="Book Antiqua" w:hAnsi="Book Antiqua"/>
        </w:rPr>
        <w:t xml:space="preserve">, de Vries AC, Haringsma J, Ter Borg F, de Vries RA, Bruno MJ, van Dekken H, Meijer J, van Grieken NC, Kuipers EJ. The staging of gastritis with the OLGA system by using intestinal metaplasia as an accurate alternative for atrophic gastritis. </w:t>
      </w:r>
      <w:r w:rsidRPr="00694F4E">
        <w:rPr>
          <w:rFonts w:ascii="Book Antiqua" w:hAnsi="Book Antiqua"/>
          <w:i/>
          <w:iCs/>
        </w:rPr>
        <w:t>Gastrointest Endosc</w:t>
      </w:r>
      <w:r w:rsidRPr="00694F4E">
        <w:rPr>
          <w:rFonts w:ascii="Book Antiqua" w:hAnsi="Book Antiqua"/>
        </w:rPr>
        <w:t xml:space="preserve"> 2010; </w:t>
      </w:r>
      <w:r w:rsidRPr="00694F4E">
        <w:rPr>
          <w:rFonts w:ascii="Book Antiqua" w:hAnsi="Book Antiqua"/>
          <w:b/>
          <w:bCs/>
        </w:rPr>
        <w:t>71</w:t>
      </w:r>
      <w:r w:rsidRPr="00694F4E">
        <w:rPr>
          <w:rFonts w:ascii="Book Antiqua" w:hAnsi="Book Antiqua"/>
        </w:rPr>
        <w:t>: 1150-1158 [PMID: 20381801 DOI: 10.1016/j.gie.2009.12.029]</w:t>
      </w:r>
    </w:p>
    <w:p w14:paraId="2D216A53"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38 </w:t>
      </w:r>
      <w:r w:rsidRPr="00694F4E">
        <w:rPr>
          <w:rFonts w:ascii="Book Antiqua" w:hAnsi="Book Antiqua"/>
          <w:b/>
          <w:bCs/>
        </w:rPr>
        <w:t>Yue H</w:t>
      </w:r>
      <w:r w:rsidRPr="00694F4E">
        <w:rPr>
          <w:rFonts w:ascii="Book Antiqua" w:hAnsi="Book Antiqua"/>
        </w:rPr>
        <w:t xml:space="preserve">, Shan L, Bin L. The significance of OLGA and OLGIM staging systems in the risk assessment of gastric cancer: a systematic review and meta-analysis. </w:t>
      </w:r>
      <w:r w:rsidRPr="00694F4E">
        <w:rPr>
          <w:rFonts w:ascii="Book Antiqua" w:hAnsi="Book Antiqua"/>
          <w:i/>
          <w:iCs/>
        </w:rPr>
        <w:t>Gastric Cancer</w:t>
      </w:r>
      <w:r w:rsidRPr="00694F4E">
        <w:rPr>
          <w:rFonts w:ascii="Book Antiqua" w:hAnsi="Book Antiqua"/>
        </w:rPr>
        <w:t xml:space="preserve"> 2018; </w:t>
      </w:r>
      <w:r w:rsidRPr="00694F4E">
        <w:rPr>
          <w:rFonts w:ascii="Book Antiqua" w:hAnsi="Book Antiqua"/>
          <w:b/>
          <w:bCs/>
        </w:rPr>
        <w:t>21</w:t>
      </w:r>
      <w:r w:rsidRPr="00694F4E">
        <w:rPr>
          <w:rFonts w:ascii="Book Antiqua" w:hAnsi="Book Antiqua"/>
        </w:rPr>
        <w:t>: 579-587 [PMID: 29460004 DOI: 10.1007/s10120-018-0812-3]</w:t>
      </w:r>
    </w:p>
    <w:p w14:paraId="75F8B369"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39 </w:t>
      </w:r>
      <w:r w:rsidRPr="00694F4E">
        <w:rPr>
          <w:rFonts w:ascii="Book Antiqua" w:hAnsi="Book Antiqua"/>
          <w:b/>
          <w:bCs/>
        </w:rPr>
        <w:t>Kinoshita H</w:t>
      </w:r>
      <w:r w:rsidRPr="00694F4E">
        <w:rPr>
          <w:rFonts w:ascii="Book Antiqua" w:hAnsi="Book Antiqua"/>
        </w:rPr>
        <w:t xml:space="preserve">, Hayakawa Y, Koike K. Metaplasia in the Stomach-Precursor of Gastric Cancer? </w:t>
      </w:r>
      <w:r w:rsidRPr="00694F4E">
        <w:rPr>
          <w:rFonts w:ascii="Book Antiqua" w:hAnsi="Book Antiqua"/>
          <w:i/>
          <w:iCs/>
        </w:rPr>
        <w:t>Int J Mol Sci</w:t>
      </w:r>
      <w:r w:rsidRPr="00694F4E">
        <w:rPr>
          <w:rFonts w:ascii="Book Antiqua" w:hAnsi="Book Antiqua"/>
        </w:rPr>
        <w:t xml:space="preserve"> 2017; </w:t>
      </w:r>
      <w:r w:rsidRPr="00694F4E">
        <w:rPr>
          <w:rFonts w:ascii="Book Antiqua" w:hAnsi="Book Antiqua"/>
          <w:b/>
          <w:bCs/>
        </w:rPr>
        <w:t>18</w:t>
      </w:r>
      <w:r w:rsidRPr="00694F4E">
        <w:rPr>
          <w:rFonts w:ascii="Book Antiqua" w:hAnsi="Book Antiqua"/>
        </w:rPr>
        <w:t xml:space="preserve"> [PMID: 28953255 DOI: 10.3390/ijms18102063]</w:t>
      </w:r>
    </w:p>
    <w:p w14:paraId="6107CB5D"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40 </w:t>
      </w:r>
      <w:r w:rsidRPr="00694F4E">
        <w:rPr>
          <w:rFonts w:ascii="Book Antiqua" w:hAnsi="Book Antiqua"/>
          <w:b/>
          <w:bCs/>
        </w:rPr>
        <w:t>Solcia E</w:t>
      </w:r>
      <w:r w:rsidRPr="00694F4E">
        <w:rPr>
          <w:rFonts w:ascii="Book Antiqua" w:hAnsi="Book Antiqua"/>
        </w:rPr>
        <w:t xml:space="preserve">, Rindi G, Silini E, Villani L. Enterochromaffin-like (ECL) cells and their growths: relationships to gastrin, reduced acid secretion and gastritis. </w:t>
      </w:r>
      <w:r w:rsidRPr="00694F4E">
        <w:rPr>
          <w:rFonts w:ascii="Book Antiqua" w:hAnsi="Book Antiqua"/>
          <w:i/>
          <w:iCs/>
        </w:rPr>
        <w:t>Baillieres Clin Gastroenterol</w:t>
      </w:r>
      <w:r w:rsidRPr="00694F4E">
        <w:rPr>
          <w:rFonts w:ascii="Book Antiqua" w:hAnsi="Book Antiqua"/>
        </w:rPr>
        <w:t xml:space="preserve"> 1993; </w:t>
      </w:r>
      <w:r w:rsidRPr="00694F4E">
        <w:rPr>
          <w:rFonts w:ascii="Book Antiqua" w:hAnsi="Book Antiqua"/>
          <w:b/>
          <w:bCs/>
        </w:rPr>
        <w:t>7</w:t>
      </w:r>
      <w:r w:rsidRPr="00694F4E">
        <w:rPr>
          <w:rFonts w:ascii="Book Antiqua" w:hAnsi="Book Antiqua"/>
        </w:rPr>
        <w:t>: 149-165 [PMID: 7682874 DOI: 10.1016/0950-3528(93)90035-q]</w:t>
      </w:r>
    </w:p>
    <w:p w14:paraId="0311912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41 </w:t>
      </w:r>
      <w:r w:rsidRPr="00694F4E">
        <w:rPr>
          <w:rFonts w:ascii="Book Antiqua" w:hAnsi="Book Antiqua"/>
          <w:b/>
          <w:bCs/>
        </w:rPr>
        <w:t>Nagtegaal ID</w:t>
      </w:r>
      <w:r w:rsidRPr="00694F4E">
        <w:rPr>
          <w:rFonts w:ascii="Book Antiqua" w:hAnsi="Book Antiqua"/>
        </w:rPr>
        <w:t xml:space="preserve">, Odze RD, Klimstra D, Paradis V, Rugge M, Schirmacher P, Washington KM, Carneiro F, Cree IA; WHO Classification of Tumours Editorial Board. The 2019 WHO classification of tumours of the digestive system. </w:t>
      </w:r>
      <w:r w:rsidRPr="00694F4E">
        <w:rPr>
          <w:rFonts w:ascii="Book Antiqua" w:hAnsi="Book Antiqua"/>
          <w:i/>
          <w:iCs/>
        </w:rPr>
        <w:t>Histopathology</w:t>
      </w:r>
      <w:r w:rsidRPr="00694F4E">
        <w:rPr>
          <w:rFonts w:ascii="Book Antiqua" w:hAnsi="Book Antiqua"/>
        </w:rPr>
        <w:t xml:space="preserve"> 2020; </w:t>
      </w:r>
      <w:r w:rsidRPr="00694F4E">
        <w:rPr>
          <w:rFonts w:ascii="Book Antiqua" w:hAnsi="Book Antiqua"/>
          <w:b/>
          <w:bCs/>
        </w:rPr>
        <w:t>76</w:t>
      </w:r>
      <w:r w:rsidRPr="00694F4E">
        <w:rPr>
          <w:rFonts w:ascii="Book Antiqua" w:hAnsi="Book Antiqua"/>
        </w:rPr>
        <w:t>: 182-188 [PMID: 31433515 DOI: 10.1111/his.13975]</w:t>
      </w:r>
    </w:p>
    <w:p w14:paraId="53FAE50E"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42 </w:t>
      </w:r>
      <w:r w:rsidRPr="00694F4E">
        <w:rPr>
          <w:rFonts w:ascii="Book Antiqua" w:hAnsi="Book Antiqua"/>
          <w:b/>
          <w:bCs/>
        </w:rPr>
        <w:t>Capurso G</w:t>
      </w:r>
      <w:r w:rsidRPr="00694F4E">
        <w:rPr>
          <w:rFonts w:ascii="Book Antiqua" w:hAnsi="Book Antiqua"/>
        </w:rPr>
        <w:t xml:space="preserve">, Gaujoux S, Pescatori LC, Panzuto F, Panis Y, Pilozzi E, Terris B, de Mestier L, Prat F, Rinzivillo M, Coriat R, Coulevard A, Delle Fave G, Ruszniewski P. The ENETS </w:t>
      </w:r>
      <w:r w:rsidRPr="00694F4E">
        <w:rPr>
          <w:rFonts w:ascii="Book Antiqua" w:hAnsi="Book Antiqua"/>
        </w:rPr>
        <w:lastRenderedPageBreak/>
        <w:t xml:space="preserve">TNM staging and grading system accurately predict prognosis in patients with rectal NENs. </w:t>
      </w:r>
      <w:r w:rsidRPr="00694F4E">
        <w:rPr>
          <w:rFonts w:ascii="Book Antiqua" w:hAnsi="Book Antiqua"/>
          <w:i/>
          <w:iCs/>
        </w:rPr>
        <w:t>Dig Liver Dis</w:t>
      </w:r>
      <w:r w:rsidRPr="00694F4E">
        <w:rPr>
          <w:rFonts w:ascii="Book Antiqua" w:hAnsi="Book Antiqua"/>
        </w:rPr>
        <w:t xml:space="preserve"> 2019; </w:t>
      </w:r>
      <w:r w:rsidRPr="00694F4E">
        <w:rPr>
          <w:rFonts w:ascii="Book Antiqua" w:hAnsi="Book Antiqua"/>
          <w:b/>
          <w:bCs/>
        </w:rPr>
        <w:t>51</w:t>
      </w:r>
      <w:r w:rsidRPr="00694F4E">
        <w:rPr>
          <w:rFonts w:ascii="Book Antiqua" w:hAnsi="Book Antiqua"/>
        </w:rPr>
        <w:t>: 1725-1730 [PMID: 31405587 DOI: 10.1016/j.dld.2019.07.011]</w:t>
      </w:r>
    </w:p>
    <w:p w14:paraId="5B321A09"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43 </w:t>
      </w:r>
      <w:r w:rsidRPr="00694F4E">
        <w:rPr>
          <w:rFonts w:ascii="Book Antiqua" w:hAnsi="Book Antiqua"/>
          <w:b/>
          <w:bCs/>
        </w:rPr>
        <w:t>Díaz Pérez JÁ</w:t>
      </w:r>
      <w:r w:rsidRPr="00694F4E">
        <w:rPr>
          <w:rFonts w:ascii="Book Antiqua" w:hAnsi="Book Antiqua"/>
        </w:rPr>
        <w:t xml:space="preserve">, Currás Freixes M. [Chromogranin A and neuroendocrine tumors]. </w:t>
      </w:r>
      <w:r w:rsidRPr="00694F4E">
        <w:rPr>
          <w:rFonts w:ascii="Book Antiqua" w:hAnsi="Book Antiqua"/>
          <w:i/>
          <w:iCs/>
        </w:rPr>
        <w:t>Endocrinol Nutr</w:t>
      </w:r>
      <w:r w:rsidRPr="00694F4E">
        <w:rPr>
          <w:rFonts w:ascii="Book Antiqua" w:hAnsi="Book Antiqua"/>
        </w:rPr>
        <w:t xml:space="preserve"> 2013; </w:t>
      </w:r>
      <w:r w:rsidRPr="00694F4E">
        <w:rPr>
          <w:rFonts w:ascii="Book Antiqua" w:hAnsi="Book Antiqua"/>
          <w:b/>
          <w:bCs/>
        </w:rPr>
        <w:t>60</w:t>
      </w:r>
      <w:r w:rsidRPr="00694F4E">
        <w:rPr>
          <w:rFonts w:ascii="Book Antiqua" w:hAnsi="Book Antiqua"/>
        </w:rPr>
        <w:t>: 386-395 [PMID: 23271036 DOI: 10.1016/j.endonu.2012.10.003]</w:t>
      </w:r>
    </w:p>
    <w:p w14:paraId="2C1DB4D8"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44 </w:t>
      </w:r>
      <w:r w:rsidRPr="00694F4E">
        <w:rPr>
          <w:rFonts w:ascii="Book Antiqua" w:hAnsi="Book Antiqua"/>
          <w:b/>
          <w:bCs/>
        </w:rPr>
        <w:t>Louthan O</w:t>
      </w:r>
      <w:r w:rsidRPr="00694F4E">
        <w:rPr>
          <w:rFonts w:ascii="Book Antiqua" w:hAnsi="Book Antiqua"/>
        </w:rPr>
        <w:t xml:space="preserve">. Chromogranin a in physiology and oncology. </w:t>
      </w:r>
      <w:r w:rsidRPr="00694F4E">
        <w:rPr>
          <w:rFonts w:ascii="Book Antiqua" w:hAnsi="Book Antiqua"/>
          <w:i/>
          <w:iCs/>
        </w:rPr>
        <w:t>Folia Biol (Praha)</w:t>
      </w:r>
      <w:r w:rsidRPr="00694F4E">
        <w:rPr>
          <w:rFonts w:ascii="Book Antiqua" w:hAnsi="Book Antiqua"/>
        </w:rPr>
        <w:t xml:space="preserve"> 2011; </w:t>
      </w:r>
      <w:r w:rsidRPr="00694F4E">
        <w:rPr>
          <w:rFonts w:ascii="Book Antiqua" w:hAnsi="Book Antiqua"/>
          <w:b/>
          <w:bCs/>
        </w:rPr>
        <w:t>57</w:t>
      </w:r>
      <w:r w:rsidRPr="00694F4E">
        <w:rPr>
          <w:rFonts w:ascii="Book Antiqua" w:hAnsi="Book Antiqua"/>
        </w:rPr>
        <w:t>: 173-181 [PMID: 22123459]</w:t>
      </w:r>
    </w:p>
    <w:p w14:paraId="0AAF99B0"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45 </w:t>
      </w:r>
      <w:r w:rsidRPr="00694F4E">
        <w:rPr>
          <w:rFonts w:ascii="Book Antiqua" w:hAnsi="Book Antiqua"/>
          <w:b/>
          <w:bCs/>
        </w:rPr>
        <w:t>Das S</w:t>
      </w:r>
      <w:r w:rsidRPr="00694F4E">
        <w:rPr>
          <w:rFonts w:ascii="Book Antiqua" w:hAnsi="Book Antiqua"/>
        </w:rPr>
        <w:t xml:space="preserve">, Dasari A. Epidemiology, Incidence, and Prevalence of Neuroendocrine Neoplasms: Are There Global Differences? </w:t>
      </w:r>
      <w:r w:rsidRPr="00694F4E">
        <w:rPr>
          <w:rFonts w:ascii="Book Antiqua" w:hAnsi="Book Antiqua"/>
          <w:i/>
          <w:iCs/>
        </w:rPr>
        <w:t>Curr Oncol Rep</w:t>
      </w:r>
      <w:r w:rsidRPr="00694F4E">
        <w:rPr>
          <w:rFonts w:ascii="Book Antiqua" w:hAnsi="Book Antiqua"/>
        </w:rPr>
        <w:t xml:space="preserve"> 2021; </w:t>
      </w:r>
      <w:r w:rsidRPr="00694F4E">
        <w:rPr>
          <w:rFonts w:ascii="Book Antiqua" w:hAnsi="Book Antiqua"/>
          <w:b/>
          <w:bCs/>
        </w:rPr>
        <w:t>23</w:t>
      </w:r>
      <w:r w:rsidRPr="00694F4E">
        <w:rPr>
          <w:rFonts w:ascii="Book Antiqua" w:hAnsi="Book Antiqua"/>
        </w:rPr>
        <w:t>: 43 [PMID: 33719003 DOI: 10.1007/s11912-021-01029-7]</w:t>
      </w:r>
    </w:p>
    <w:p w14:paraId="0DA7B8E7"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46 </w:t>
      </w:r>
      <w:r w:rsidRPr="00694F4E">
        <w:rPr>
          <w:rFonts w:ascii="Book Antiqua" w:hAnsi="Book Antiqua"/>
          <w:b/>
          <w:bCs/>
        </w:rPr>
        <w:t>Adamu MA</w:t>
      </w:r>
      <w:r w:rsidRPr="00694F4E">
        <w:rPr>
          <w:rFonts w:ascii="Book Antiqua" w:hAnsi="Book Antiqua"/>
        </w:rPr>
        <w:t xml:space="preserve">, Weck MN, Gao L, Brenner H. Incidence of chronic atrophic gastritis: systematic review and meta-analysis of follow-up studies. </w:t>
      </w:r>
      <w:r w:rsidRPr="00694F4E">
        <w:rPr>
          <w:rFonts w:ascii="Book Antiqua" w:hAnsi="Book Antiqua"/>
          <w:i/>
          <w:iCs/>
        </w:rPr>
        <w:t>Eur J Epidemiol</w:t>
      </w:r>
      <w:r w:rsidRPr="00694F4E">
        <w:rPr>
          <w:rFonts w:ascii="Book Antiqua" w:hAnsi="Book Antiqua"/>
        </w:rPr>
        <w:t xml:space="preserve"> 2010; </w:t>
      </w:r>
      <w:r w:rsidRPr="00694F4E">
        <w:rPr>
          <w:rFonts w:ascii="Book Antiqua" w:hAnsi="Book Antiqua"/>
          <w:b/>
          <w:bCs/>
        </w:rPr>
        <w:t>25</w:t>
      </w:r>
      <w:r w:rsidRPr="00694F4E">
        <w:rPr>
          <w:rFonts w:ascii="Book Antiqua" w:hAnsi="Book Antiqua"/>
        </w:rPr>
        <w:t>: 439-448 [PMID: 20585973 DOI: 10.1007/s10654-010-9482-0]</w:t>
      </w:r>
    </w:p>
    <w:p w14:paraId="766D1FBA"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47 </w:t>
      </w:r>
      <w:r w:rsidRPr="00694F4E">
        <w:rPr>
          <w:rFonts w:ascii="Book Antiqua" w:hAnsi="Book Antiqua"/>
          <w:b/>
          <w:bCs/>
        </w:rPr>
        <w:t>Zhang H</w:t>
      </w:r>
      <w:r w:rsidRPr="00694F4E">
        <w:rPr>
          <w:rFonts w:ascii="Book Antiqua" w:hAnsi="Book Antiqua"/>
        </w:rPr>
        <w:t xml:space="preserve">, Jin Z, Cui R, Ding S, Huang Y, Zhou L. Autoimmune metaplastic atrophic gastritis in chinese: a study of 320 patients at a large tertiary medical center. </w:t>
      </w:r>
      <w:r w:rsidRPr="00694F4E">
        <w:rPr>
          <w:rFonts w:ascii="Book Antiqua" w:hAnsi="Book Antiqua"/>
          <w:i/>
          <w:iCs/>
        </w:rPr>
        <w:t>Scand J Gastroenterol</w:t>
      </w:r>
      <w:r w:rsidRPr="00694F4E">
        <w:rPr>
          <w:rFonts w:ascii="Book Antiqua" w:hAnsi="Book Antiqua"/>
        </w:rPr>
        <w:t xml:space="preserve"> 2017; </w:t>
      </w:r>
      <w:r w:rsidRPr="00694F4E">
        <w:rPr>
          <w:rFonts w:ascii="Book Antiqua" w:hAnsi="Book Antiqua"/>
          <w:b/>
          <w:bCs/>
        </w:rPr>
        <w:t>52</w:t>
      </w:r>
      <w:r w:rsidRPr="00694F4E">
        <w:rPr>
          <w:rFonts w:ascii="Book Antiqua" w:hAnsi="Book Antiqua"/>
        </w:rPr>
        <w:t>: 150-156 [PMID: 27652682 DOI: 10.1080/00365521.2016.1236397]</w:t>
      </w:r>
    </w:p>
    <w:p w14:paraId="53670A0C"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48 </w:t>
      </w:r>
      <w:r w:rsidRPr="00694F4E">
        <w:rPr>
          <w:rFonts w:ascii="Book Antiqua" w:hAnsi="Book Antiqua"/>
          <w:b/>
          <w:bCs/>
        </w:rPr>
        <w:t>Murphy G</w:t>
      </w:r>
      <w:r w:rsidRPr="00694F4E">
        <w:rPr>
          <w:rFonts w:ascii="Book Antiqua" w:hAnsi="Book Antiqua"/>
        </w:rPr>
        <w:t xml:space="preserve">, Dawsey SM, Engels EA, Ricker W, Parsons R, Etemadi A, Lin SW, Abnet CC, Freedman ND. Cancer Risk After Pernicious Anemia in the US Elderly Population. </w:t>
      </w:r>
      <w:r w:rsidRPr="00694F4E">
        <w:rPr>
          <w:rFonts w:ascii="Book Antiqua" w:hAnsi="Book Antiqua"/>
          <w:i/>
          <w:iCs/>
        </w:rPr>
        <w:t>Clin Gastroenterol Hepatol</w:t>
      </w:r>
      <w:r w:rsidRPr="00694F4E">
        <w:rPr>
          <w:rFonts w:ascii="Book Antiqua" w:hAnsi="Book Antiqua"/>
        </w:rPr>
        <w:t xml:space="preserve"> 2015; </w:t>
      </w:r>
      <w:r w:rsidRPr="00694F4E">
        <w:rPr>
          <w:rFonts w:ascii="Book Antiqua" w:hAnsi="Book Antiqua"/>
          <w:b/>
          <w:bCs/>
        </w:rPr>
        <w:t>13</w:t>
      </w:r>
      <w:r w:rsidRPr="00694F4E">
        <w:rPr>
          <w:rFonts w:ascii="Book Antiqua" w:hAnsi="Book Antiqua"/>
        </w:rPr>
        <w:t>: 2282-</w:t>
      </w:r>
      <w:proofErr w:type="gramStart"/>
      <w:r w:rsidRPr="00694F4E">
        <w:rPr>
          <w:rFonts w:ascii="Book Antiqua" w:hAnsi="Book Antiqua"/>
        </w:rPr>
        <w:t>9.e</w:t>
      </w:r>
      <w:proofErr w:type="gramEnd"/>
      <w:r w:rsidRPr="00694F4E">
        <w:rPr>
          <w:rFonts w:ascii="Book Antiqua" w:hAnsi="Book Antiqua"/>
        </w:rPr>
        <w:t>1-4 [PMID: 26079040 DOI: 10.1016/j.cgh.2015.05.040]</w:t>
      </w:r>
    </w:p>
    <w:p w14:paraId="32F9425B"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49 </w:t>
      </w:r>
      <w:r w:rsidRPr="00694F4E">
        <w:rPr>
          <w:rFonts w:ascii="Book Antiqua" w:hAnsi="Book Antiqua"/>
          <w:b/>
          <w:bCs/>
        </w:rPr>
        <w:t>Vannella L</w:t>
      </w:r>
      <w:r w:rsidRPr="00694F4E">
        <w:rPr>
          <w:rFonts w:ascii="Book Antiqua" w:hAnsi="Book Antiqua"/>
        </w:rPr>
        <w:t xml:space="preserve">, Sbrozzi-Vanni A, Lahner E, Bordi C, Pilozzi E, Corleto VD, Osborn JF, Delle Fave G, Annibale B. Development of type I gastric carcinoid in patients with chronic atrophic gastritis. </w:t>
      </w:r>
      <w:r w:rsidRPr="00694F4E">
        <w:rPr>
          <w:rFonts w:ascii="Book Antiqua" w:hAnsi="Book Antiqua"/>
          <w:i/>
          <w:iCs/>
        </w:rPr>
        <w:t>Aliment Pharmacol Ther</w:t>
      </w:r>
      <w:r w:rsidRPr="00694F4E">
        <w:rPr>
          <w:rFonts w:ascii="Book Antiqua" w:hAnsi="Book Antiqua"/>
        </w:rPr>
        <w:t xml:space="preserve"> 2011; </w:t>
      </w:r>
      <w:r w:rsidRPr="00694F4E">
        <w:rPr>
          <w:rFonts w:ascii="Book Antiqua" w:hAnsi="Book Antiqua"/>
          <w:b/>
          <w:bCs/>
        </w:rPr>
        <w:t>33</w:t>
      </w:r>
      <w:r w:rsidRPr="00694F4E">
        <w:rPr>
          <w:rFonts w:ascii="Book Antiqua" w:hAnsi="Book Antiqua"/>
        </w:rPr>
        <w:t>: 1361-1369 [PMID: 21492197 DOI: 10.1111/j.1365-2036.</w:t>
      </w:r>
      <w:proofErr w:type="gramStart"/>
      <w:r w:rsidRPr="00694F4E">
        <w:rPr>
          <w:rFonts w:ascii="Book Antiqua" w:hAnsi="Book Antiqua"/>
        </w:rPr>
        <w:t>2011.04659.x</w:t>
      </w:r>
      <w:proofErr w:type="gramEnd"/>
      <w:r w:rsidRPr="00694F4E">
        <w:rPr>
          <w:rFonts w:ascii="Book Antiqua" w:hAnsi="Book Antiqua"/>
        </w:rPr>
        <w:t>]</w:t>
      </w:r>
    </w:p>
    <w:p w14:paraId="1F73684A"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50 </w:t>
      </w:r>
      <w:r w:rsidRPr="00694F4E">
        <w:rPr>
          <w:rFonts w:ascii="Book Antiqua" w:hAnsi="Book Antiqua"/>
          <w:b/>
          <w:bCs/>
        </w:rPr>
        <w:t>Peracchi M</w:t>
      </w:r>
      <w:r w:rsidRPr="00694F4E">
        <w:rPr>
          <w:rFonts w:ascii="Book Antiqua" w:hAnsi="Book Antiqua"/>
        </w:rPr>
        <w:t xml:space="preserve">, Gebbia C, Basilisco G, Quatrini M, Tarantino C, Vescarelli C, Massironi S, Conte D. Plasma chromogranin A in patients with autoimmune chronic atrophic gastritis, enterochromaffin-like cell lesions and gastric carcinoids. </w:t>
      </w:r>
      <w:r w:rsidRPr="00694F4E">
        <w:rPr>
          <w:rFonts w:ascii="Book Antiqua" w:hAnsi="Book Antiqua"/>
          <w:i/>
          <w:iCs/>
        </w:rPr>
        <w:t>Eur J Endocrinol</w:t>
      </w:r>
      <w:r w:rsidRPr="00694F4E">
        <w:rPr>
          <w:rFonts w:ascii="Book Antiqua" w:hAnsi="Book Antiqua"/>
        </w:rPr>
        <w:t xml:space="preserve"> 2005; </w:t>
      </w:r>
      <w:r w:rsidRPr="00694F4E">
        <w:rPr>
          <w:rFonts w:ascii="Book Antiqua" w:hAnsi="Book Antiqua"/>
          <w:b/>
          <w:bCs/>
        </w:rPr>
        <w:t>152</w:t>
      </w:r>
      <w:r w:rsidRPr="00694F4E">
        <w:rPr>
          <w:rFonts w:ascii="Book Antiqua" w:hAnsi="Book Antiqua"/>
        </w:rPr>
        <w:t>: 443-448 [PMID: 15757862 DOI: 10.1530/eje.1.01862]</w:t>
      </w:r>
    </w:p>
    <w:p w14:paraId="2974A072" w14:textId="77777777" w:rsidR="00A62589" w:rsidRPr="00694F4E" w:rsidRDefault="00A62589" w:rsidP="00A62589">
      <w:pPr>
        <w:spacing w:line="360" w:lineRule="auto"/>
        <w:jc w:val="both"/>
        <w:rPr>
          <w:rFonts w:ascii="Book Antiqua" w:hAnsi="Book Antiqua"/>
        </w:rPr>
      </w:pPr>
      <w:r w:rsidRPr="00694F4E">
        <w:rPr>
          <w:rFonts w:ascii="Book Antiqua" w:hAnsi="Book Antiqua"/>
        </w:rPr>
        <w:t xml:space="preserve">51 </w:t>
      </w:r>
      <w:r w:rsidRPr="00694F4E">
        <w:rPr>
          <w:rFonts w:ascii="Book Antiqua" w:hAnsi="Book Antiqua"/>
          <w:b/>
          <w:bCs/>
        </w:rPr>
        <w:t>Campana D</w:t>
      </w:r>
      <w:r w:rsidRPr="00694F4E">
        <w:rPr>
          <w:rFonts w:ascii="Book Antiqua" w:hAnsi="Book Antiqua"/>
        </w:rPr>
        <w:t xml:space="preserve">, Ravizza D, Ferolla P, Faggiano A, Grimaldi F, Albertelli M, Ricci C, Santini D, Brighi N, Fazio N, Colao A, Ferone D, Tomassetti P. Risk factors of type 1 gastric neuroendocrine neoplasia in patients with chronic atrophic gastritis. A </w:t>
      </w:r>
      <w:r w:rsidRPr="00694F4E">
        <w:rPr>
          <w:rFonts w:ascii="Book Antiqua" w:hAnsi="Book Antiqua"/>
        </w:rPr>
        <w:lastRenderedPageBreak/>
        <w:t xml:space="preserve">retrospective, multicentre study. </w:t>
      </w:r>
      <w:r w:rsidRPr="00694F4E">
        <w:rPr>
          <w:rFonts w:ascii="Book Antiqua" w:hAnsi="Book Antiqua"/>
          <w:i/>
          <w:iCs/>
        </w:rPr>
        <w:t>Endocrine</w:t>
      </w:r>
      <w:r w:rsidRPr="00694F4E">
        <w:rPr>
          <w:rFonts w:ascii="Book Antiqua" w:hAnsi="Book Antiqua"/>
        </w:rPr>
        <w:t xml:space="preserve"> 2017; </w:t>
      </w:r>
      <w:r w:rsidRPr="00694F4E">
        <w:rPr>
          <w:rFonts w:ascii="Book Antiqua" w:hAnsi="Book Antiqua"/>
          <w:b/>
          <w:bCs/>
        </w:rPr>
        <w:t>56</w:t>
      </w:r>
      <w:r w:rsidRPr="00694F4E">
        <w:rPr>
          <w:rFonts w:ascii="Book Antiqua" w:hAnsi="Book Antiqua"/>
        </w:rPr>
        <w:t>: 633-638 [PMID: 27592118 DOI: 10.1007/s12020-016-1099-y]</w:t>
      </w:r>
    </w:p>
    <w:p w14:paraId="426A8097" w14:textId="77777777" w:rsidR="00A77B3E" w:rsidRPr="00694F4E" w:rsidRDefault="00A77B3E" w:rsidP="00A62589">
      <w:pPr>
        <w:spacing w:line="360" w:lineRule="auto"/>
        <w:jc w:val="both"/>
        <w:rPr>
          <w:rFonts w:ascii="Book Antiqua" w:hAnsi="Book Antiqua" w:cs="Book Antiqua"/>
          <w:lang w:eastAsia="zh-CN"/>
        </w:rPr>
      </w:pPr>
    </w:p>
    <w:p w14:paraId="0AD406D6" w14:textId="77777777" w:rsidR="006C25AC" w:rsidRPr="00694F4E" w:rsidRDefault="006C25AC" w:rsidP="00A62589">
      <w:pPr>
        <w:spacing w:line="360" w:lineRule="auto"/>
        <w:jc w:val="both"/>
        <w:rPr>
          <w:rFonts w:ascii="Book Antiqua" w:hAnsi="Book Antiqua"/>
          <w:lang w:eastAsia="zh-CN"/>
        </w:rPr>
      </w:pPr>
    </w:p>
    <w:p w14:paraId="0316FB64" w14:textId="77777777" w:rsidR="00A77B3E" w:rsidRPr="00694F4E" w:rsidRDefault="00A77B3E" w:rsidP="00A62589">
      <w:pPr>
        <w:spacing w:line="360" w:lineRule="auto"/>
        <w:jc w:val="both"/>
        <w:rPr>
          <w:rFonts w:ascii="Book Antiqua" w:hAnsi="Book Antiqua"/>
        </w:rPr>
        <w:sectPr w:rsidR="00A77B3E" w:rsidRPr="00694F4E">
          <w:pgSz w:w="12240" w:h="15840"/>
          <w:pgMar w:top="1440" w:right="1440" w:bottom="1440" w:left="1440" w:header="720" w:footer="720" w:gutter="0"/>
          <w:cols w:space="720"/>
          <w:docGrid w:linePitch="360"/>
        </w:sectPr>
      </w:pPr>
    </w:p>
    <w:p w14:paraId="23B6CEEC"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lastRenderedPageBreak/>
        <w:t>Footnotes</w:t>
      </w:r>
    </w:p>
    <w:p w14:paraId="372CF1EE"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Institutional review board statement: </w:t>
      </w:r>
      <w:r w:rsidRPr="00694F4E">
        <w:rPr>
          <w:rFonts w:ascii="Book Antiqua" w:eastAsia="Book Antiqua" w:hAnsi="Book Antiqua" w:cs="Book Antiqua"/>
          <w:color w:val="000000"/>
          <w:shd w:val="clear" w:color="auto" w:fill="FFFFFF"/>
        </w:rPr>
        <w:t>The Brianza Ethics Committee, after having examined the documentation referred to in the attached list, acknowledged that the research project complies with the ethical principles stated in the Declaration of Helsinki and subsequently revised and integrated, as well as with the rules of good clinical practice, reported in the Decree of Ministry of Health of 15/07/97.Therefore, the Ethics Committee in its meeting of 03/24/2022, in accordance with circular letter no. 6 of 09/02/02, paragraph2.4, and with the AIFA Resolution of 03/20/08 expressed a favorable opinion on the execution of the forementioned study, under the responsibility of the above-mentioned investigator.</w:t>
      </w:r>
    </w:p>
    <w:p w14:paraId="5249F8CC" w14:textId="77777777" w:rsidR="00A77B3E" w:rsidRPr="00694F4E" w:rsidRDefault="00A77B3E" w:rsidP="00A62589">
      <w:pPr>
        <w:spacing w:line="360" w:lineRule="auto"/>
        <w:jc w:val="both"/>
        <w:rPr>
          <w:rFonts w:ascii="Book Antiqua" w:hAnsi="Book Antiqua"/>
        </w:rPr>
      </w:pPr>
    </w:p>
    <w:p w14:paraId="6D7B7D22" w14:textId="77777777" w:rsidR="00263571" w:rsidRPr="00694F4E" w:rsidRDefault="00263571" w:rsidP="00A62589">
      <w:pPr>
        <w:pStyle w:val="NormalWeb"/>
        <w:spacing w:before="0" w:beforeAutospacing="0" w:after="0" w:afterAutospacing="0" w:line="360" w:lineRule="auto"/>
        <w:jc w:val="both"/>
        <w:rPr>
          <w:rFonts w:ascii="Book Antiqua" w:hAnsi="Book Antiqua"/>
        </w:rPr>
      </w:pPr>
      <w:r w:rsidRPr="00694F4E">
        <w:rPr>
          <w:rFonts w:ascii="Book Antiqua" w:hAnsi="Book Antiqua"/>
          <w:b/>
          <w:bCs/>
        </w:rPr>
        <w:t xml:space="preserve">Informed consent statement: </w:t>
      </w:r>
      <w:r w:rsidRPr="00694F4E">
        <w:rPr>
          <w:rFonts w:ascii="Book Antiqua" w:hAnsi="Book Antiqua"/>
        </w:rPr>
        <w:t>All study participants or their legal guardian provided informed written consent about personal and medical data collection prior to study enrolment.</w:t>
      </w:r>
    </w:p>
    <w:p w14:paraId="357C7EA2" w14:textId="3EBE480E" w:rsidR="00263571" w:rsidRPr="00694F4E" w:rsidRDefault="00263571" w:rsidP="00A62589">
      <w:pPr>
        <w:pStyle w:val="NormalWeb"/>
        <w:spacing w:before="0" w:beforeAutospacing="0" w:after="0" w:afterAutospacing="0" w:line="360" w:lineRule="auto"/>
        <w:jc w:val="both"/>
        <w:rPr>
          <w:rFonts w:ascii="Book Antiqua" w:hAnsi="Book Antiqua"/>
        </w:rPr>
      </w:pPr>
    </w:p>
    <w:p w14:paraId="0412DB4E" w14:textId="2D00386E" w:rsidR="00263571" w:rsidRPr="00694F4E" w:rsidRDefault="00263571" w:rsidP="00DE55CD">
      <w:pPr>
        <w:spacing w:line="360" w:lineRule="auto"/>
        <w:jc w:val="both"/>
        <w:rPr>
          <w:rFonts w:ascii="Book Antiqua" w:hAnsi="Book Antiqua"/>
          <w:lang w:eastAsia="zh-CN"/>
        </w:rPr>
      </w:pPr>
      <w:r w:rsidRPr="00694F4E">
        <w:rPr>
          <w:rFonts w:ascii="Book Antiqua" w:hAnsi="Book Antiqua"/>
          <w:b/>
          <w:bCs/>
        </w:rPr>
        <w:t xml:space="preserve">Conflict-of-interest statement: </w:t>
      </w:r>
      <w:r w:rsidRPr="00694F4E">
        <w:rPr>
          <w:rFonts w:ascii="Book Antiqua" w:hAnsi="Book Antiqua"/>
        </w:rPr>
        <w:t>Authors have nothing to declare.</w:t>
      </w:r>
      <w:r w:rsidR="00DE55CD" w:rsidRPr="00694F4E">
        <w:rPr>
          <w:rFonts w:ascii="Book Antiqua" w:hAnsi="Book Antiqua"/>
        </w:rPr>
        <w:t xml:space="preserve"> </w:t>
      </w:r>
    </w:p>
    <w:p w14:paraId="6273F9A1" w14:textId="44DBC917" w:rsidR="00263571" w:rsidRPr="00694F4E" w:rsidRDefault="00263571" w:rsidP="00A62589">
      <w:pPr>
        <w:pStyle w:val="NormalWeb"/>
        <w:spacing w:before="0" w:beforeAutospacing="0" w:after="0" w:afterAutospacing="0" w:line="360" w:lineRule="auto"/>
        <w:jc w:val="both"/>
        <w:rPr>
          <w:rFonts w:ascii="Book Antiqua" w:hAnsi="Book Antiqua"/>
        </w:rPr>
      </w:pPr>
    </w:p>
    <w:p w14:paraId="163C7B78" w14:textId="77777777" w:rsidR="00263571" w:rsidRPr="00694F4E" w:rsidRDefault="00263571" w:rsidP="00A62589">
      <w:pPr>
        <w:pStyle w:val="NormalWeb"/>
        <w:spacing w:before="0" w:beforeAutospacing="0" w:after="0" w:afterAutospacing="0" w:line="360" w:lineRule="auto"/>
        <w:jc w:val="both"/>
        <w:rPr>
          <w:rFonts w:ascii="Book Antiqua" w:hAnsi="Book Antiqua"/>
        </w:rPr>
      </w:pPr>
      <w:r w:rsidRPr="00694F4E">
        <w:rPr>
          <w:rFonts w:ascii="Book Antiqua" w:hAnsi="Book Antiqua"/>
          <w:b/>
          <w:bCs/>
        </w:rPr>
        <w:t xml:space="preserve">Data sharing statement: </w:t>
      </w:r>
      <w:r w:rsidRPr="00694F4E">
        <w:rPr>
          <w:rFonts w:ascii="Book Antiqua" w:hAnsi="Book Antiqua"/>
        </w:rPr>
        <w:t>Participants gave informed consent for data sharing.</w:t>
      </w:r>
    </w:p>
    <w:p w14:paraId="2959663D" w14:textId="24DF0C9E" w:rsidR="00263571" w:rsidRPr="00694F4E" w:rsidRDefault="00263571" w:rsidP="00A62589">
      <w:pPr>
        <w:pStyle w:val="NormalWeb"/>
        <w:spacing w:before="0" w:beforeAutospacing="0" w:after="0" w:afterAutospacing="0" w:line="360" w:lineRule="auto"/>
        <w:jc w:val="both"/>
        <w:rPr>
          <w:rFonts w:ascii="Book Antiqua" w:hAnsi="Book Antiqua"/>
        </w:rPr>
      </w:pPr>
    </w:p>
    <w:p w14:paraId="65B3FC1D" w14:textId="77777777" w:rsidR="00263571" w:rsidRPr="00694F4E" w:rsidRDefault="00263571" w:rsidP="00A62589">
      <w:pPr>
        <w:pStyle w:val="NormalWeb"/>
        <w:spacing w:before="0" w:beforeAutospacing="0" w:after="0" w:afterAutospacing="0" w:line="360" w:lineRule="auto"/>
        <w:jc w:val="both"/>
        <w:rPr>
          <w:rFonts w:ascii="Book Antiqua" w:hAnsi="Book Antiqua"/>
        </w:rPr>
      </w:pPr>
      <w:r w:rsidRPr="00694F4E">
        <w:rPr>
          <w:rFonts w:ascii="Book Antiqua" w:hAnsi="Book Antiqua"/>
          <w:b/>
          <w:bCs/>
        </w:rPr>
        <w:t xml:space="preserve">STROBE statement: </w:t>
      </w:r>
      <w:r w:rsidRPr="00694F4E">
        <w:rPr>
          <w:rFonts w:ascii="Book Antiqua" w:hAnsi="Book Antiqua"/>
        </w:rPr>
        <w:t>The authors have read the STROBE Statement—checklist of items, and the manuscript was prepared and revised according to the STROBE Statement—checklist of items.</w:t>
      </w:r>
    </w:p>
    <w:p w14:paraId="2C750FA4" w14:textId="77777777" w:rsidR="00A77B3E" w:rsidRPr="00694F4E" w:rsidRDefault="00A77B3E" w:rsidP="00A62589">
      <w:pPr>
        <w:spacing w:line="360" w:lineRule="auto"/>
        <w:jc w:val="both"/>
        <w:rPr>
          <w:rFonts w:ascii="Book Antiqua" w:hAnsi="Book Antiqua"/>
        </w:rPr>
      </w:pPr>
    </w:p>
    <w:p w14:paraId="21E5E2D1"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bCs/>
        </w:rPr>
        <w:t xml:space="preserve">Open-Access: </w:t>
      </w:r>
      <w:r w:rsidRPr="00694F4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3B3668" w14:textId="77777777" w:rsidR="00A77B3E" w:rsidRPr="00694F4E" w:rsidRDefault="00A77B3E" w:rsidP="00A62589">
      <w:pPr>
        <w:spacing w:line="360" w:lineRule="auto"/>
        <w:jc w:val="both"/>
        <w:rPr>
          <w:rFonts w:ascii="Book Antiqua" w:hAnsi="Book Antiqua"/>
        </w:rPr>
      </w:pPr>
    </w:p>
    <w:p w14:paraId="79A2FC62" w14:textId="0ADBCF04" w:rsidR="00A77B3E" w:rsidRPr="00694F4E" w:rsidRDefault="00D157AA" w:rsidP="00A62589">
      <w:pPr>
        <w:spacing w:line="360" w:lineRule="auto"/>
        <w:jc w:val="both"/>
        <w:rPr>
          <w:rFonts w:ascii="Book Antiqua" w:hAnsi="Book Antiqua" w:cs="Book Antiqua"/>
          <w:lang w:eastAsia="zh-CN"/>
        </w:rPr>
      </w:pPr>
      <w:r w:rsidRPr="00694F4E">
        <w:rPr>
          <w:rFonts w:ascii="Book Antiqua" w:eastAsia="Book Antiqua" w:hAnsi="Book Antiqua" w:cs="Book Antiqua"/>
          <w:b/>
          <w:color w:val="000000"/>
        </w:rPr>
        <w:lastRenderedPageBreak/>
        <w:t xml:space="preserve">Provenance and peer review: </w:t>
      </w:r>
      <w:r w:rsidRPr="00694F4E">
        <w:rPr>
          <w:rFonts w:ascii="Book Antiqua" w:eastAsia="Book Antiqua" w:hAnsi="Book Antiqua" w:cs="Book Antiqua"/>
        </w:rPr>
        <w:t xml:space="preserve">Invited article; Externally </w:t>
      </w:r>
      <w:proofErr w:type="gramStart"/>
      <w:r w:rsidR="005B1906" w:rsidRPr="00694F4E">
        <w:rPr>
          <w:rFonts w:ascii="Book Antiqua" w:eastAsia="Book Antiqua" w:hAnsi="Book Antiqua" w:cs="Book Antiqua"/>
        </w:rPr>
        <w:t>peer-reviewed</w:t>
      </w:r>
      <w:proofErr w:type="gramEnd"/>
      <w:r w:rsidRPr="00694F4E">
        <w:rPr>
          <w:rFonts w:ascii="Book Antiqua" w:eastAsia="Book Antiqua" w:hAnsi="Book Antiqua" w:cs="Book Antiqua"/>
        </w:rPr>
        <w:t>.</w:t>
      </w:r>
    </w:p>
    <w:p w14:paraId="1953DADF" w14:textId="77777777" w:rsidR="00236F2E" w:rsidRPr="00694F4E" w:rsidRDefault="00236F2E" w:rsidP="00A62589">
      <w:pPr>
        <w:spacing w:line="360" w:lineRule="auto"/>
        <w:jc w:val="both"/>
        <w:rPr>
          <w:rFonts w:ascii="Book Antiqua" w:hAnsi="Book Antiqua"/>
          <w:lang w:eastAsia="zh-CN"/>
        </w:rPr>
      </w:pPr>
    </w:p>
    <w:p w14:paraId="7CB93C2D" w14:textId="0CF14B48"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Peer-review model: </w:t>
      </w:r>
      <w:r w:rsidR="005B1906" w:rsidRPr="00694F4E">
        <w:rPr>
          <w:rFonts w:ascii="Book Antiqua" w:eastAsia="Book Antiqua" w:hAnsi="Book Antiqua" w:cs="Book Antiqua"/>
        </w:rPr>
        <w:t>Single-blind</w:t>
      </w:r>
    </w:p>
    <w:p w14:paraId="69467EDC" w14:textId="77777777" w:rsidR="00A77B3E" w:rsidRPr="00694F4E" w:rsidRDefault="00A77B3E" w:rsidP="00A62589">
      <w:pPr>
        <w:spacing w:line="360" w:lineRule="auto"/>
        <w:jc w:val="both"/>
        <w:rPr>
          <w:rFonts w:ascii="Book Antiqua" w:hAnsi="Book Antiqua"/>
        </w:rPr>
      </w:pPr>
    </w:p>
    <w:p w14:paraId="507DA925"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Peer-review started: </w:t>
      </w:r>
      <w:r w:rsidRPr="00694F4E">
        <w:rPr>
          <w:rFonts w:ascii="Book Antiqua" w:eastAsia="Book Antiqua" w:hAnsi="Book Antiqua" w:cs="Book Antiqua"/>
        </w:rPr>
        <w:t>June 4, 2023</w:t>
      </w:r>
    </w:p>
    <w:p w14:paraId="7FCEC781"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First decision: </w:t>
      </w:r>
      <w:r w:rsidRPr="00694F4E">
        <w:rPr>
          <w:rFonts w:ascii="Book Antiqua" w:eastAsia="Book Antiqua" w:hAnsi="Book Antiqua" w:cs="Book Antiqua"/>
        </w:rPr>
        <w:t>June 16, 2023</w:t>
      </w:r>
    </w:p>
    <w:p w14:paraId="3AC8A29D"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Article in press: </w:t>
      </w:r>
    </w:p>
    <w:p w14:paraId="3E133987" w14:textId="77777777" w:rsidR="00A77B3E" w:rsidRPr="00694F4E" w:rsidRDefault="00A77B3E" w:rsidP="00A62589">
      <w:pPr>
        <w:spacing w:line="360" w:lineRule="auto"/>
        <w:jc w:val="both"/>
        <w:rPr>
          <w:rFonts w:ascii="Book Antiqua" w:hAnsi="Book Antiqua"/>
        </w:rPr>
      </w:pPr>
    </w:p>
    <w:p w14:paraId="0292B761" w14:textId="6C274B09"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Specialty type: </w:t>
      </w:r>
      <w:r w:rsidR="007505E3" w:rsidRPr="00694F4E">
        <w:rPr>
          <w:rFonts w:ascii="Book Antiqua" w:eastAsia="Microsoft YaHei" w:hAnsi="Book Antiqua" w:cs="SimSun"/>
        </w:rPr>
        <w:t>Oncology</w:t>
      </w:r>
    </w:p>
    <w:p w14:paraId="5191B4B7"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 xml:space="preserve">Country/Territory of origin: </w:t>
      </w:r>
      <w:r w:rsidRPr="00694F4E">
        <w:rPr>
          <w:rFonts w:ascii="Book Antiqua" w:eastAsia="Book Antiqua" w:hAnsi="Book Antiqua" w:cs="Book Antiqua"/>
        </w:rPr>
        <w:t>Italy</w:t>
      </w:r>
    </w:p>
    <w:p w14:paraId="5DCEBE54"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b/>
          <w:color w:val="000000"/>
        </w:rPr>
        <w:t>Peer-review report’s scientific quality classification</w:t>
      </w:r>
    </w:p>
    <w:p w14:paraId="5F6871EF"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Grade A (Excellent): 0</w:t>
      </w:r>
    </w:p>
    <w:p w14:paraId="44E7BA5C"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Grade B (Very good): B</w:t>
      </w:r>
    </w:p>
    <w:p w14:paraId="08E541C7"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Grade C (Good): C, C</w:t>
      </w:r>
    </w:p>
    <w:p w14:paraId="5E19276A"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Grade D (Fair): 0</w:t>
      </w:r>
    </w:p>
    <w:p w14:paraId="0609E939" w14:textId="77777777" w:rsidR="00A77B3E" w:rsidRPr="00694F4E" w:rsidRDefault="00D157AA" w:rsidP="00A62589">
      <w:pPr>
        <w:spacing w:line="360" w:lineRule="auto"/>
        <w:jc w:val="both"/>
        <w:rPr>
          <w:rFonts w:ascii="Book Antiqua" w:hAnsi="Book Antiqua"/>
        </w:rPr>
      </w:pPr>
      <w:r w:rsidRPr="00694F4E">
        <w:rPr>
          <w:rFonts w:ascii="Book Antiqua" w:eastAsia="Book Antiqua" w:hAnsi="Book Antiqua" w:cs="Book Antiqua"/>
        </w:rPr>
        <w:t>Grade E (Poor): 0</w:t>
      </w:r>
    </w:p>
    <w:p w14:paraId="4544EFC5" w14:textId="77777777" w:rsidR="00A77B3E" w:rsidRPr="00694F4E" w:rsidRDefault="00A77B3E" w:rsidP="00A62589">
      <w:pPr>
        <w:spacing w:line="360" w:lineRule="auto"/>
        <w:jc w:val="both"/>
        <w:rPr>
          <w:rFonts w:ascii="Book Antiqua" w:hAnsi="Book Antiqua"/>
        </w:rPr>
      </w:pPr>
    </w:p>
    <w:p w14:paraId="7CA600DD" w14:textId="06D6379A" w:rsidR="00804875" w:rsidRPr="00694F4E" w:rsidRDefault="00D157AA" w:rsidP="00A62589">
      <w:pPr>
        <w:spacing w:line="360" w:lineRule="auto"/>
        <w:jc w:val="both"/>
        <w:rPr>
          <w:rFonts w:ascii="Book Antiqua" w:hAnsi="Book Antiqua" w:cs="Book Antiqua"/>
          <w:b/>
          <w:color w:val="000000"/>
          <w:lang w:eastAsia="zh-CN"/>
        </w:rPr>
      </w:pPr>
      <w:r w:rsidRPr="00694F4E">
        <w:rPr>
          <w:rFonts w:ascii="Book Antiqua" w:eastAsia="Book Antiqua" w:hAnsi="Book Antiqua" w:cs="Book Antiqua"/>
          <w:b/>
          <w:color w:val="000000"/>
        </w:rPr>
        <w:t xml:space="preserve">P-Reviewer: </w:t>
      </w:r>
      <w:r w:rsidRPr="00694F4E">
        <w:rPr>
          <w:rFonts w:ascii="Book Antiqua" w:eastAsia="Book Antiqua" w:hAnsi="Book Antiqua" w:cs="Book Antiqua"/>
        </w:rPr>
        <w:t>Huang YQ, China; Kotelevets SM, Russia; Muguruma N, Japan</w:t>
      </w:r>
      <w:r w:rsidRPr="00694F4E">
        <w:rPr>
          <w:rFonts w:ascii="Book Antiqua" w:eastAsia="Book Antiqua" w:hAnsi="Book Antiqua" w:cs="Book Antiqua"/>
          <w:b/>
          <w:color w:val="000000"/>
        </w:rPr>
        <w:t xml:space="preserve"> S-Editor: </w:t>
      </w:r>
      <w:r w:rsidR="00810B1E" w:rsidRPr="00694F4E">
        <w:rPr>
          <w:rFonts w:ascii="Book Antiqua" w:hAnsi="Book Antiqua" w:cs="Book Antiqua"/>
          <w:color w:val="000000"/>
          <w:lang w:eastAsia="zh-CN"/>
        </w:rPr>
        <w:t>Fan JR</w:t>
      </w:r>
      <w:r w:rsidRPr="00694F4E">
        <w:rPr>
          <w:rFonts w:ascii="Book Antiqua" w:eastAsia="Book Antiqua" w:hAnsi="Book Antiqua" w:cs="Book Antiqua"/>
          <w:b/>
          <w:color w:val="000000"/>
        </w:rPr>
        <w:t xml:space="preserve"> L-Editor: </w:t>
      </w:r>
      <w:r w:rsidR="0058451E" w:rsidRPr="00694F4E">
        <w:rPr>
          <w:rFonts w:ascii="Book Antiqua" w:hAnsi="Book Antiqua" w:cs="Book Antiqua"/>
          <w:color w:val="000000"/>
          <w:lang w:eastAsia="zh-CN"/>
        </w:rPr>
        <w:t>Kerr C</w:t>
      </w:r>
      <w:r w:rsidR="0058451E" w:rsidRPr="00694F4E">
        <w:rPr>
          <w:rFonts w:ascii="Book Antiqua" w:hAnsi="Book Antiqua" w:cs="Book Antiqua"/>
          <w:b/>
          <w:color w:val="000000"/>
          <w:lang w:eastAsia="zh-CN"/>
        </w:rPr>
        <w:t xml:space="preserve"> </w:t>
      </w:r>
      <w:r w:rsidRPr="00694F4E">
        <w:rPr>
          <w:rFonts w:ascii="Book Antiqua" w:eastAsia="Book Antiqua" w:hAnsi="Book Antiqua" w:cs="Book Antiqua"/>
          <w:b/>
          <w:color w:val="000000"/>
        </w:rPr>
        <w:t>P-Editor:</w:t>
      </w:r>
    </w:p>
    <w:p w14:paraId="00AF3E06" w14:textId="077C0C49" w:rsidR="00A77B3E" w:rsidRPr="00694F4E" w:rsidRDefault="00D157AA" w:rsidP="00A62589">
      <w:pPr>
        <w:spacing w:line="360" w:lineRule="auto"/>
        <w:jc w:val="both"/>
        <w:rPr>
          <w:rFonts w:ascii="Book Antiqua" w:hAnsi="Book Antiqua"/>
        </w:rPr>
        <w:sectPr w:rsidR="00A77B3E" w:rsidRPr="00694F4E">
          <w:pgSz w:w="12240" w:h="15840"/>
          <w:pgMar w:top="1440" w:right="1440" w:bottom="1440" w:left="1440" w:header="720" w:footer="720" w:gutter="0"/>
          <w:cols w:space="720"/>
          <w:docGrid w:linePitch="360"/>
        </w:sectPr>
      </w:pPr>
      <w:r w:rsidRPr="00694F4E">
        <w:rPr>
          <w:rFonts w:ascii="Book Antiqua" w:eastAsia="Book Antiqua" w:hAnsi="Book Antiqua" w:cs="Book Antiqua"/>
          <w:b/>
          <w:color w:val="000000"/>
        </w:rPr>
        <w:t xml:space="preserve"> </w:t>
      </w:r>
    </w:p>
    <w:p w14:paraId="5DEB1D68" w14:textId="77777777" w:rsidR="00A77B3E" w:rsidRPr="00694F4E" w:rsidRDefault="00D157AA" w:rsidP="00A62589">
      <w:pPr>
        <w:spacing w:line="360" w:lineRule="auto"/>
        <w:jc w:val="both"/>
        <w:rPr>
          <w:rFonts w:ascii="Book Antiqua" w:hAnsi="Book Antiqua" w:cs="Book Antiqua"/>
          <w:b/>
          <w:color w:val="000000"/>
          <w:lang w:eastAsia="zh-CN"/>
        </w:rPr>
      </w:pPr>
      <w:r w:rsidRPr="00694F4E">
        <w:rPr>
          <w:rFonts w:ascii="Book Antiqua" w:eastAsia="Book Antiqua" w:hAnsi="Book Antiqua" w:cs="Book Antiqua"/>
          <w:b/>
          <w:color w:val="000000"/>
        </w:rPr>
        <w:lastRenderedPageBreak/>
        <w:t>Figure Legends</w:t>
      </w:r>
    </w:p>
    <w:p w14:paraId="2ED67D5A" w14:textId="1B85AD83" w:rsidR="00C42205" w:rsidRPr="00694F4E" w:rsidRDefault="00596335" w:rsidP="00A62589">
      <w:pPr>
        <w:spacing w:line="360" w:lineRule="auto"/>
        <w:jc w:val="both"/>
        <w:rPr>
          <w:rFonts w:ascii="Book Antiqua" w:hAnsi="Book Antiqua" w:cs="Book Antiqua"/>
          <w:b/>
          <w:color w:val="000000"/>
          <w:lang w:eastAsia="zh-CN"/>
        </w:rPr>
      </w:pPr>
      <w:r w:rsidRPr="00694F4E">
        <w:rPr>
          <w:rFonts w:ascii="Book Antiqua" w:hAnsi="Book Antiqua"/>
          <w:noProof/>
          <w:lang w:eastAsia="zh-CN"/>
        </w:rPr>
        <w:drawing>
          <wp:inline distT="0" distB="0" distL="0" distR="0" wp14:anchorId="725E2BD1" wp14:editId="21C3D7BB">
            <wp:extent cx="5486400" cy="292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21635"/>
                    </a:xfrm>
                    <a:prstGeom prst="rect">
                      <a:avLst/>
                    </a:prstGeom>
                  </pic:spPr>
                </pic:pic>
              </a:graphicData>
            </a:graphic>
          </wp:inline>
        </w:drawing>
      </w:r>
    </w:p>
    <w:p w14:paraId="0CBFA2D5" w14:textId="37D15BC0" w:rsidR="00C42205" w:rsidRPr="00694F4E" w:rsidRDefault="00C42205" w:rsidP="00A62589">
      <w:pPr>
        <w:spacing w:line="360" w:lineRule="auto"/>
        <w:jc w:val="both"/>
        <w:rPr>
          <w:rFonts w:ascii="Book Antiqua" w:hAnsi="Book Antiqua"/>
          <w:lang w:eastAsia="zh-CN"/>
        </w:rPr>
      </w:pPr>
      <w:r w:rsidRPr="00694F4E">
        <w:rPr>
          <w:rFonts w:ascii="Book Antiqua" w:eastAsia="Book Antiqua" w:hAnsi="Book Antiqua" w:cs="Book Antiqua"/>
          <w:b/>
          <w:bCs/>
          <w:color w:val="000000"/>
          <w:shd w:val="clear" w:color="auto" w:fill="FFFFFF"/>
        </w:rPr>
        <w:t>Figure 1</w:t>
      </w:r>
      <w:r w:rsidRPr="00694F4E">
        <w:rPr>
          <w:rFonts w:ascii="Book Antiqua" w:hAnsi="Book Antiqua" w:cs="Book Antiqua"/>
          <w:b/>
          <w:color w:val="000000"/>
          <w:shd w:val="clear" w:color="auto" w:fill="FFFFFF"/>
          <w:lang w:eastAsia="zh-CN"/>
        </w:rPr>
        <w:t xml:space="preserve"> </w:t>
      </w:r>
      <w:r w:rsidRPr="00694F4E">
        <w:rPr>
          <w:rFonts w:ascii="Book Antiqua" w:eastAsia="Book Antiqua" w:hAnsi="Book Antiqua" w:cs="Book Antiqua"/>
          <w:b/>
          <w:color w:val="000000"/>
          <w:shd w:val="clear" w:color="auto" w:fill="FFFFFF"/>
        </w:rPr>
        <w:t>Differences in circulating gastrin levels in patients with chronic atrophic autoimmune gastritis with or without gastric neuroendocrine tumors.</w:t>
      </w:r>
      <w:r w:rsidR="003F1462" w:rsidRPr="00694F4E">
        <w:rPr>
          <w:rFonts w:ascii="Book Antiqua" w:eastAsia="Book Antiqua" w:hAnsi="Book Antiqua" w:cs="Book Antiqua"/>
          <w:b/>
          <w:color w:val="000000"/>
          <w:shd w:val="clear" w:color="auto" w:fill="FFFFFF"/>
        </w:rPr>
        <w:t xml:space="preserve"> </w:t>
      </w:r>
      <w:r w:rsidR="003F1462" w:rsidRPr="00694F4E">
        <w:rPr>
          <w:rFonts w:ascii="Book Antiqua" w:eastAsia="Book Antiqua" w:hAnsi="Book Antiqua" w:cs="Book Antiqua"/>
          <w:color w:val="000000"/>
          <w:shd w:val="clear" w:color="auto" w:fill="FFFFFF"/>
        </w:rPr>
        <w:t>gNENs</w:t>
      </w:r>
      <w:r w:rsidR="003F1462" w:rsidRPr="00694F4E">
        <w:rPr>
          <w:rFonts w:ascii="Book Antiqua" w:hAnsi="Book Antiqua" w:cs="Book Antiqua"/>
          <w:color w:val="000000"/>
          <w:shd w:val="clear" w:color="auto" w:fill="FFFFFF"/>
          <w:lang w:eastAsia="zh-CN"/>
        </w:rPr>
        <w:t>:</w:t>
      </w:r>
      <w:r w:rsidR="003F1462" w:rsidRPr="00694F4E">
        <w:rPr>
          <w:rFonts w:ascii="Book Antiqua" w:eastAsia="Book Antiqua" w:hAnsi="Book Antiqua" w:cs="Book Antiqua"/>
          <w:color w:val="000000"/>
          <w:shd w:val="clear" w:color="auto" w:fill="FFFFFF"/>
        </w:rPr>
        <w:t xml:space="preserve"> </w:t>
      </w:r>
      <w:r w:rsidR="00616B64" w:rsidRPr="00694F4E">
        <w:rPr>
          <w:rFonts w:ascii="Book Antiqua" w:eastAsia="Book Antiqua" w:hAnsi="Book Antiqua" w:cs="Book Antiqua"/>
          <w:color w:val="000000"/>
          <w:shd w:val="clear" w:color="auto" w:fill="FFFFFF"/>
        </w:rPr>
        <w:t>Gastric neuroendocrine neoplasms</w:t>
      </w:r>
      <w:r w:rsidR="003F1462" w:rsidRPr="00694F4E">
        <w:rPr>
          <w:rFonts w:ascii="Book Antiqua" w:hAnsi="Book Antiqua" w:cs="Book Antiqua"/>
          <w:color w:val="000000"/>
          <w:shd w:val="clear" w:color="auto" w:fill="FFFFFF"/>
          <w:lang w:eastAsia="zh-CN"/>
        </w:rPr>
        <w:t>.</w:t>
      </w:r>
      <w:r w:rsidR="00616B64" w:rsidRPr="00694F4E">
        <w:rPr>
          <w:rFonts w:ascii="Book Antiqua" w:eastAsia="Book Antiqua" w:hAnsi="Book Antiqua" w:cs="Book Antiqua"/>
          <w:color w:val="000000"/>
          <w:shd w:val="clear" w:color="auto" w:fill="FFFFFF"/>
        </w:rPr>
        <w:t xml:space="preserve"> </w:t>
      </w:r>
    </w:p>
    <w:p w14:paraId="454A77B9" w14:textId="77777777" w:rsidR="00C42205" w:rsidRPr="00694F4E" w:rsidRDefault="00C42205" w:rsidP="00A62589">
      <w:pPr>
        <w:spacing w:line="360" w:lineRule="auto"/>
        <w:jc w:val="both"/>
        <w:rPr>
          <w:rFonts w:ascii="Book Antiqua" w:hAnsi="Book Antiqua"/>
          <w:lang w:eastAsia="zh-CN"/>
        </w:rPr>
      </w:pPr>
    </w:p>
    <w:p w14:paraId="4E0A75A1" w14:textId="77777777" w:rsidR="00011C7C" w:rsidRPr="00694F4E" w:rsidRDefault="00011C7C" w:rsidP="00A62589">
      <w:pPr>
        <w:spacing w:line="360" w:lineRule="auto"/>
        <w:jc w:val="both"/>
        <w:rPr>
          <w:rFonts w:ascii="Book Antiqua" w:eastAsia="Book Antiqua" w:hAnsi="Book Antiqua" w:cs="Book Antiqua"/>
          <w:b/>
          <w:bCs/>
          <w:color w:val="000000"/>
          <w:shd w:val="clear" w:color="auto" w:fill="FFFFFF"/>
        </w:rPr>
      </w:pPr>
      <w:r w:rsidRPr="00694F4E">
        <w:rPr>
          <w:rFonts w:ascii="Book Antiqua" w:eastAsia="Book Antiqua" w:hAnsi="Book Antiqua" w:cs="Book Antiqua"/>
          <w:b/>
          <w:bCs/>
          <w:color w:val="000000"/>
          <w:shd w:val="clear" w:color="auto" w:fill="FFFFFF"/>
        </w:rPr>
        <w:br w:type="page"/>
      </w:r>
    </w:p>
    <w:p w14:paraId="23E71287" w14:textId="64A94D61" w:rsidR="00A77B3E" w:rsidRPr="00694F4E" w:rsidRDefault="00D157AA" w:rsidP="00A62589">
      <w:pPr>
        <w:spacing w:line="360" w:lineRule="auto"/>
        <w:jc w:val="both"/>
        <w:rPr>
          <w:rFonts w:ascii="Book Antiqua" w:hAnsi="Book Antiqua" w:cs="Book Antiqua"/>
          <w:b/>
          <w:color w:val="000000"/>
          <w:shd w:val="clear" w:color="auto" w:fill="FFFFFF"/>
          <w:lang w:eastAsia="zh-CN"/>
        </w:rPr>
      </w:pPr>
      <w:r w:rsidRPr="00694F4E">
        <w:rPr>
          <w:rFonts w:ascii="Book Antiqua" w:eastAsia="Book Antiqua" w:hAnsi="Book Antiqua" w:cs="Book Antiqua"/>
          <w:b/>
          <w:bCs/>
          <w:color w:val="000000"/>
          <w:shd w:val="clear" w:color="auto" w:fill="FFFFFF"/>
        </w:rPr>
        <w:lastRenderedPageBreak/>
        <w:t>Table 1</w:t>
      </w:r>
      <w:r w:rsidR="00DF5A5B" w:rsidRPr="00694F4E">
        <w:rPr>
          <w:rFonts w:ascii="Book Antiqua" w:hAnsi="Book Antiqua" w:cs="Book Antiqua"/>
          <w:b/>
          <w:bCs/>
          <w:color w:val="000000"/>
          <w:shd w:val="clear" w:color="auto" w:fill="FFFFFF"/>
          <w:lang w:eastAsia="zh-CN"/>
        </w:rPr>
        <w:t xml:space="preserve"> </w:t>
      </w:r>
      <w:r w:rsidRPr="00694F4E">
        <w:rPr>
          <w:rFonts w:ascii="Book Antiqua" w:eastAsia="Book Antiqua" w:hAnsi="Book Antiqua" w:cs="Book Antiqua"/>
          <w:b/>
          <w:color w:val="000000"/>
          <w:shd w:val="clear" w:color="auto" w:fill="FFFFFF"/>
        </w:rPr>
        <w:t>Anthropometric, biochemical, and histological features of the overall population included (176 patients)</w:t>
      </w:r>
    </w:p>
    <w:tbl>
      <w:tblPr>
        <w:tblStyle w:val="GridTable4-Accent11"/>
        <w:tblW w:w="935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4673"/>
        <w:gridCol w:w="4678"/>
      </w:tblGrid>
      <w:tr w:rsidR="00E03BF7" w:rsidRPr="00694F4E" w14:paraId="1735AA7C" w14:textId="77777777" w:rsidTr="00FE02F3">
        <w:trPr>
          <w:trHeight w:val="397"/>
        </w:trPr>
        <w:tc>
          <w:tcPr>
            <w:tcW w:w="4673" w:type="dxa"/>
            <w:tcBorders>
              <w:top w:val="single" w:sz="4" w:space="0" w:color="auto"/>
              <w:bottom w:val="single" w:sz="4" w:space="0" w:color="auto"/>
            </w:tcBorders>
            <w:shd w:val="clear" w:color="auto" w:fill="auto"/>
          </w:tcPr>
          <w:p w14:paraId="2DFC920B" w14:textId="4170A1CE" w:rsidR="00E03BF7" w:rsidRPr="00694F4E" w:rsidRDefault="00D47DB8" w:rsidP="00A62589">
            <w:pPr>
              <w:spacing w:line="360" w:lineRule="auto"/>
              <w:jc w:val="both"/>
              <w:rPr>
                <w:rFonts w:ascii="Book Antiqua" w:hAnsi="Book Antiqua"/>
                <w:b/>
                <w:lang w:val="en-US"/>
              </w:rPr>
            </w:pPr>
            <w:r w:rsidRPr="00694F4E">
              <w:rPr>
                <w:rFonts w:ascii="Book Antiqua" w:hAnsi="Book Antiqua"/>
                <w:b/>
                <w:lang w:val="en-US" w:eastAsia="zh-CN"/>
              </w:rPr>
              <w:t>C</w:t>
            </w:r>
            <w:r w:rsidRPr="00694F4E">
              <w:rPr>
                <w:rFonts w:ascii="Book Antiqua" w:hAnsi="Book Antiqua"/>
                <w:b/>
                <w:lang w:val="en-US"/>
              </w:rPr>
              <w:t>lassification</w:t>
            </w:r>
          </w:p>
        </w:tc>
        <w:tc>
          <w:tcPr>
            <w:tcW w:w="4678" w:type="dxa"/>
            <w:tcBorders>
              <w:top w:val="single" w:sz="4" w:space="0" w:color="auto"/>
              <w:bottom w:val="single" w:sz="4" w:space="0" w:color="auto"/>
            </w:tcBorders>
            <w:shd w:val="clear" w:color="auto" w:fill="auto"/>
          </w:tcPr>
          <w:p w14:paraId="4D7B88A3" w14:textId="61C2E083" w:rsidR="00E03BF7" w:rsidRPr="00694F4E" w:rsidRDefault="00D47DB8" w:rsidP="00A62589">
            <w:pPr>
              <w:spacing w:line="360" w:lineRule="auto"/>
              <w:jc w:val="both"/>
              <w:rPr>
                <w:rFonts w:ascii="Book Antiqua" w:hAnsi="Book Antiqua"/>
                <w:b/>
                <w:lang w:val="en-US"/>
              </w:rPr>
            </w:pPr>
            <w:r w:rsidRPr="00694F4E">
              <w:rPr>
                <w:rFonts w:ascii="Book Antiqua" w:hAnsi="Book Antiqua" w:cs="Book Antiqua"/>
                <w:b/>
                <w:color w:val="000000"/>
                <w:shd w:val="clear" w:color="auto" w:fill="FFFFFF"/>
                <w:lang w:val="en-US" w:eastAsia="zh-CN"/>
              </w:rPr>
              <w:t>F</w:t>
            </w:r>
            <w:r w:rsidRPr="00694F4E">
              <w:rPr>
                <w:rFonts w:ascii="Book Antiqua" w:eastAsia="Book Antiqua" w:hAnsi="Book Antiqua" w:cs="Book Antiqua"/>
                <w:b/>
                <w:color w:val="000000"/>
                <w:shd w:val="clear" w:color="auto" w:fill="FFFFFF"/>
                <w:lang w:val="en-US"/>
              </w:rPr>
              <w:t>eatures</w:t>
            </w:r>
          </w:p>
        </w:tc>
      </w:tr>
      <w:tr w:rsidR="00712D82" w:rsidRPr="00694F4E" w14:paraId="58D74A96" w14:textId="77777777" w:rsidTr="00FE02F3">
        <w:trPr>
          <w:trHeight w:val="397"/>
        </w:trPr>
        <w:tc>
          <w:tcPr>
            <w:tcW w:w="4673" w:type="dxa"/>
            <w:tcBorders>
              <w:top w:val="single" w:sz="4" w:space="0" w:color="auto"/>
            </w:tcBorders>
            <w:shd w:val="clear" w:color="auto" w:fill="auto"/>
          </w:tcPr>
          <w:p w14:paraId="3255DDD2" w14:textId="014D03D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Sex</w:t>
            </w:r>
            <w:r w:rsidR="00E03BF7" w:rsidRPr="00694F4E">
              <w:rPr>
                <w:rFonts w:ascii="Book Antiqua" w:hAnsi="Book Antiqua"/>
                <w:lang w:val="en-US" w:eastAsia="zh-CN"/>
              </w:rPr>
              <w:t>,</w:t>
            </w:r>
            <w:r w:rsidR="00E03BF7" w:rsidRPr="00694F4E">
              <w:rPr>
                <w:rFonts w:ascii="Book Antiqua" w:hAnsi="Book Antiqua"/>
                <w:lang w:val="en-US"/>
              </w:rPr>
              <w:t xml:space="preserve"> </w:t>
            </w:r>
            <w:r w:rsidR="00E03BF7" w:rsidRPr="00694F4E">
              <w:rPr>
                <w:rFonts w:ascii="Book Antiqua" w:hAnsi="Book Antiqua"/>
                <w:i/>
                <w:lang w:val="en-US"/>
              </w:rPr>
              <w:t>n</w:t>
            </w:r>
            <w:r w:rsidR="00E03BF7" w:rsidRPr="00694F4E">
              <w:rPr>
                <w:rFonts w:ascii="Book Antiqua" w:hAnsi="Book Antiqua"/>
                <w:lang w:val="en-US"/>
              </w:rPr>
              <w:t xml:space="preserve"> (%)</w:t>
            </w:r>
          </w:p>
        </w:tc>
        <w:tc>
          <w:tcPr>
            <w:tcW w:w="4678" w:type="dxa"/>
            <w:tcBorders>
              <w:top w:val="single" w:sz="4" w:space="0" w:color="auto"/>
            </w:tcBorders>
            <w:shd w:val="clear" w:color="auto" w:fill="auto"/>
          </w:tcPr>
          <w:p w14:paraId="232B8D45" w14:textId="2D829385"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Female</w:t>
            </w:r>
            <w:r w:rsidR="001833FF" w:rsidRPr="00694F4E">
              <w:rPr>
                <w:rFonts w:ascii="Book Antiqua" w:hAnsi="Book Antiqua"/>
                <w:lang w:val="en-US" w:eastAsia="zh-CN"/>
              </w:rPr>
              <w:t>:</w:t>
            </w:r>
            <w:r w:rsidR="00BF3AEC" w:rsidRPr="00694F4E">
              <w:rPr>
                <w:rFonts w:ascii="Book Antiqua" w:hAnsi="Book Antiqua"/>
                <w:lang w:val="en-US"/>
              </w:rPr>
              <w:t xml:space="preserve"> 142 (80.7</w:t>
            </w:r>
            <w:r w:rsidRPr="00694F4E">
              <w:rPr>
                <w:rFonts w:ascii="Book Antiqua" w:hAnsi="Book Antiqua"/>
                <w:lang w:val="en-US"/>
              </w:rPr>
              <w:t>)</w:t>
            </w:r>
          </w:p>
        </w:tc>
      </w:tr>
      <w:tr w:rsidR="00712D82" w:rsidRPr="00694F4E" w14:paraId="24BC9861" w14:textId="77777777" w:rsidTr="00FE02F3">
        <w:trPr>
          <w:trHeight w:val="397"/>
        </w:trPr>
        <w:tc>
          <w:tcPr>
            <w:tcW w:w="4673" w:type="dxa"/>
            <w:shd w:val="clear" w:color="auto" w:fill="auto"/>
          </w:tcPr>
          <w:p w14:paraId="56553103"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Age (median)</w:t>
            </w:r>
          </w:p>
        </w:tc>
        <w:tc>
          <w:tcPr>
            <w:tcW w:w="4678" w:type="dxa"/>
            <w:shd w:val="clear" w:color="auto" w:fill="auto"/>
          </w:tcPr>
          <w:p w14:paraId="1D4615BC" w14:textId="631FBF7F" w:rsidR="00011C7C" w:rsidRPr="00694F4E" w:rsidRDefault="001833FF" w:rsidP="00A62589">
            <w:pPr>
              <w:spacing w:line="360" w:lineRule="auto"/>
              <w:jc w:val="both"/>
              <w:rPr>
                <w:rFonts w:ascii="Book Antiqua" w:hAnsi="Book Antiqua"/>
                <w:lang w:val="en-US" w:eastAsia="zh-CN"/>
              </w:rPr>
            </w:pPr>
            <w:r w:rsidRPr="00694F4E">
              <w:rPr>
                <w:rFonts w:ascii="Book Antiqua" w:hAnsi="Book Antiqua"/>
                <w:lang w:val="en-US"/>
              </w:rPr>
              <w:t>64 yr</w:t>
            </w:r>
            <w:r w:rsidR="00011C7C" w:rsidRPr="00694F4E">
              <w:rPr>
                <w:rFonts w:ascii="Book Antiqua" w:hAnsi="Book Antiqua"/>
                <w:lang w:val="en-US"/>
              </w:rPr>
              <w:t xml:space="preserve"> </w:t>
            </w:r>
            <w:r w:rsidR="00E46A2C" w:rsidRPr="00694F4E">
              <w:rPr>
                <w:rFonts w:ascii="Book Antiqua" w:hAnsi="Book Antiqua"/>
                <w:lang w:val="en-US" w:eastAsia="zh-CN"/>
              </w:rPr>
              <w:t>(</w:t>
            </w:r>
            <w:r w:rsidR="00011C7C" w:rsidRPr="00694F4E">
              <w:rPr>
                <w:rFonts w:ascii="Book Antiqua" w:hAnsi="Book Antiqua"/>
                <w:lang w:val="en-US"/>
              </w:rPr>
              <w:t>IQR</w:t>
            </w:r>
            <w:r w:rsidR="00E46A2C" w:rsidRPr="00694F4E">
              <w:rPr>
                <w:rFonts w:ascii="Book Antiqua" w:hAnsi="Book Antiqua"/>
                <w:lang w:val="en-US" w:eastAsia="zh-CN"/>
              </w:rPr>
              <w:t>:</w:t>
            </w:r>
            <w:r w:rsidR="00011C7C" w:rsidRPr="00694F4E">
              <w:rPr>
                <w:rFonts w:ascii="Book Antiqua" w:hAnsi="Book Antiqua"/>
                <w:lang w:val="en-US"/>
              </w:rPr>
              <w:t xml:space="preserve"> 53</w:t>
            </w:r>
            <w:r w:rsidR="0058451E" w:rsidRPr="00694F4E">
              <w:rPr>
                <w:rFonts w:ascii="Book Antiqua" w:hAnsi="Book Antiqua"/>
                <w:lang w:val="en-US"/>
              </w:rPr>
              <w:t>–</w:t>
            </w:r>
            <w:r w:rsidR="00011C7C" w:rsidRPr="00694F4E">
              <w:rPr>
                <w:rFonts w:ascii="Book Antiqua" w:hAnsi="Book Antiqua"/>
                <w:lang w:val="en-US"/>
              </w:rPr>
              <w:t>71</w:t>
            </w:r>
            <w:r w:rsidR="00E46A2C" w:rsidRPr="00694F4E">
              <w:rPr>
                <w:rFonts w:ascii="Book Antiqua" w:hAnsi="Book Antiqua"/>
                <w:lang w:val="en-US" w:eastAsia="zh-CN"/>
              </w:rPr>
              <w:t>)</w:t>
            </w:r>
          </w:p>
        </w:tc>
      </w:tr>
      <w:tr w:rsidR="00712D82" w:rsidRPr="00694F4E" w14:paraId="4C8F1F57" w14:textId="77777777" w:rsidTr="00FE02F3">
        <w:trPr>
          <w:trHeight w:val="397"/>
        </w:trPr>
        <w:tc>
          <w:tcPr>
            <w:tcW w:w="4673" w:type="dxa"/>
            <w:shd w:val="clear" w:color="auto" w:fill="auto"/>
          </w:tcPr>
          <w:p w14:paraId="722E74DC" w14:textId="085DA206"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APCA positivity</w:t>
            </w:r>
            <w:r w:rsidR="00E03BF7" w:rsidRPr="00694F4E">
              <w:rPr>
                <w:rFonts w:ascii="Book Antiqua" w:hAnsi="Book Antiqua"/>
                <w:lang w:val="en-US" w:eastAsia="zh-CN"/>
              </w:rPr>
              <w:t>,</w:t>
            </w:r>
            <w:r w:rsidR="00E03BF7" w:rsidRPr="00694F4E">
              <w:rPr>
                <w:rFonts w:ascii="Book Antiqua" w:hAnsi="Book Antiqua"/>
                <w:lang w:val="en-US"/>
              </w:rPr>
              <w:t xml:space="preserve"> </w:t>
            </w:r>
            <w:r w:rsidR="00E03BF7" w:rsidRPr="00694F4E">
              <w:rPr>
                <w:rFonts w:ascii="Book Antiqua" w:hAnsi="Book Antiqua"/>
                <w:i/>
                <w:lang w:val="en-US"/>
              </w:rPr>
              <w:t>n</w:t>
            </w:r>
            <w:r w:rsidR="00E03BF7" w:rsidRPr="00694F4E">
              <w:rPr>
                <w:rFonts w:ascii="Book Antiqua" w:hAnsi="Book Antiqua"/>
                <w:lang w:val="en-US"/>
              </w:rPr>
              <w:t xml:space="preserve"> (%)</w:t>
            </w:r>
          </w:p>
        </w:tc>
        <w:tc>
          <w:tcPr>
            <w:tcW w:w="4678" w:type="dxa"/>
            <w:shd w:val="clear" w:color="auto" w:fill="auto"/>
          </w:tcPr>
          <w:p w14:paraId="7B4621E4" w14:textId="6F15BABF" w:rsidR="00011C7C" w:rsidRPr="00694F4E" w:rsidRDefault="00BF3AEC" w:rsidP="00A62589">
            <w:pPr>
              <w:spacing w:line="360" w:lineRule="auto"/>
              <w:jc w:val="both"/>
              <w:rPr>
                <w:rFonts w:ascii="Book Antiqua" w:hAnsi="Book Antiqua"/>
                <w:lang w:val="en-US"/>
              </w:rPr>
            </w:pPr>
            <w:r w:rsidRPr="00694F4E">
              <w:rPr>
                <w:rFonts w:ascii="Book Antiqua" w:hAnsi="Book Antiqua"/>
                <w:lang w:val="en-US"/>
              </w:rPr>
              <w:t>147 (83.5</w:t>
            </w:r>
            <w:r w:rsidR="00011C7C" w:rsidRPr="00694F4E">
              <w:rPr>
                <w:rFonts w:ascii="Book Antiqua" w:hAnsi="Book Antiqua"/>
                <w:lang w:val="en-US"/>
              </w:rPr>
              <w:t>)</w:t>
            </w:r>
          </w:p>
        </w:tc>
      </w:tr>
      <w:tr w:rsidR="00712D82" w:rsidRPr="00694F4E" w14:paraId="7A89561F" w14:textId="77777777" w:rsidTr="00FE02F3">
        <w:trPr>
          <w:trHeight w:val="397"/>
        </w:trPr>
        <w:tc>
          <w:tcPr>
            <w:tcW w:w="4673" w:type="dxa"/>
            <w:shd w:val="clear" w:color="auto" w:fill="auto"/>
          </w:tcPr>
          <w:p w14:paraId="29B21BA8"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Gastrin</w:t>
            </w:r>
          </w:p>
        </w:tc>
        <w:tc>
          <w:tcPr>
            <w:tcW w:w="4678" w:type="dxa"/>
            <w:shd w:val="clear" w:color="auto" w:fill="auto"/>
          </w:tcPr>
          <w:p w14:paraId="30DBC7B6" w14:textId="54025FF3"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668 pg/mL </w:t>
            </w:r>
            <w:r w:rsidR="00E46A2C" w:rsidRPr="00694F4E">
              <w:rPr>
                <w:rFonts w:ascii="Book Antiqua" w:hAnsi="Book Antiqua"/>
                <w:lang w:val="en-US" w:eastAsia="zh-CN"/>
              </w:rPr>
              <w:t>(</w:t>
            </w:r>
            <w:r w:rsidRPr="00694F4E">
              <w:rPr>
                <w:rFonts w:ascii="Book Antiqua" w:hAnsi="Book Antiqua"/>
                <w:lang w:val="en-US"/>
              </w:rPr>
              <w:t>IQR</w:t>
            </w:r>
            <w:r w:rsidR="00E46A2C" w:rsidRPr="00694F4E">
              <w:rPr>
                <w:rFonts w:ascii="Book Antiqua" w:hAnsi="Book Antiqua"/>
                <w:lang w:val="en-US" w:eastAsia="zh-CN"/>
              </w:rPr>
              <w:t>:</w:t>
            </w:r>
            <w:r w:rsidRPr="00694F4E">
              <w:rPr>
                <w:rFonts w:ascii="Book Antiqua" w:hAnsi="Book Antiqua"/>
                <w:lang w:val="en-US"/>
              </w:rPr>
              <w:t xml:space="preserve"> 340</w:t>
            </w:r>
            <w:r w:rsidR="0058451E" w:rsidRPr="00694F4E">
              <w:rPr>
                <w:rFonts w:ascii="Book Antiqua" w:hAnsi="Book Antiqua"/>
                <w:lang w:val="en-US"/>
              </w:rPr>
              <w:t>–</w:t>
            </w:r>
            <w:r w:rsidRPr="00694F4E">
              <w:rPr>
                <w:rFonts w:ascii="Book Antiqua" w:hAnsi="Book Antiqua"/>
                <w:lang w:val="en-US"/>
              </w:rPr>
              <w:t>1200</w:t>
            </w:r>
            <w:r w:rsidR="00E46A2C" w:rsidRPr="00694F4E">
              <w:rPr>
                <w:rFonts w:ascii="Book Antiqua" w:hAnsi="Book Antiqua"/>
                <w:lang w:val="en-US" w:eastAsia="zh-CN"/>
              </w:rPr>
              <w:t>)</w:t>
            </w:r>
          </w:p>
        </w:tc>
      </w:tr>
      <w:tr w:rsidR="00712D82" w:rsidRPr="00694F4E" w14:paraId="257BA205" w14:textId="77777777" w:rsidTr="00FE02F3">
        <w:trPr>
          <w:trHeight w:val="397"/>
        </w:trPr>
        <w:tc>
          <w:tcPr>
            <w:tcW w:w="4673" w:type="dxa"/>
            <w:shd w:val="clear" w:color="auto" w:fill="auto"/>
          </w:tcPr>
          <w:p w14:paraId="01B9EEA2" w14:textId="4EBEB638" w:rsidR="00011C7C" w:rsidRPr="00694F4E" w:rsidRDefault="00F367B3" w:rsidP="00A62589">
            <w:pPr>
              <w:spacing w:line="360" w:lineRule="auto"/>
              <w:jc w:val="both"/>
              <w:rPr>
                <w:rFonts w:ascii="Book Antiqua" w:hAnsi="Book Antiqua"/>
                <w:lang w:val="en-US"/>
              </w:rPr>
            </w:pPr>
            <w:r w:rsidRPr="00694F4E">
              <w:rPr>
                <w:rFonts w:ascii="Book Antiqua" w:hAnsi="Book Antiqua"/>
                <w:lang w:val="en-US"/>
              </w:rPr>
              <w:t>Chromogranin</w:t>
            </w:r>
            <w:r w:rsidR="00011C7C" w:rsidRPr="00694F4E">
              <w:rPr>
                <w:rFonts w:ascii="Book Antiqua" w:hAnsi="Book Antiqua"/>
                <w:lang w:val="en-US"/>
              </w:rPr>
              <w:t xml:space="preserve"> A (median)</w:t>
            </w:r>
          </w:p>
        </w:tc>
        <w:tc>
          <w:tcPr>
            <w:tcW w:w="4678" w:type="dxa"/>
            <w:shd w:val="clear" w:color="auto" w:fill="auto"/>
          </w:tcPr>
          <w:p w14:paraId="55046AA2" w14:textId="48C80BE7"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146 ng/mL </w:t>
            </w:r>
            <w:r w:rsidR="00E46A2C" w:rsidRPr="00694F4E">
              <w:rPr>
                <w:rFonts w:ascii="Book Antiqua" w:hAnsi="Book Antiqua"/>
                <w:lang w:val="en-US" w:eastAsia="zh-CN"/>
              </w:rPr>
              <w:t>(</w:t>
            </w:r>
            <w:r w:rsidRPr="00694F4E">
              <w:rPr>
                <w:rFonts w:ascii="Book Antiqua" w:hAnsi="Book Antiqua"/>
                <w:lang w:val="en-US"/>
              </w:rPr>
              <w:t>IQR</w:t>
            </w:r>
            <w:r w:rsidR="00E46A2C" w:rsidRPr="00694F4E">
              <w:rPr>
                <w:rFonts w:ascii="Book Antiqua" w:hAnsi="Book Antiqua"/>
                <w:lang w:val="en-US" w:eastAsia="zh-CN"/>
              </w:rPr>
              <w:t>:</w:t>
            </w:r>
            <w:r w:rsidRPr="00694F4E">
              <w:rPr>
                <w:rFonts w:ascii="Book Antiqua" w:hAnsi="Book Antiqua"/>
                <w:lang w:val="en-US"/>
              </w:rPr>
              <w:t xml:space="preserve"> </w:t>
            </w:r>
            <w:r w:rsidR="00694F4E">
              <w:rPr>
                <w:rFonts w:ascii="Book Antiqua" w:hAnsi="Book Antiqua"/>
                <w:lang w:val="en-US"/>
              </w:rPr>
              <w:t>1</w:t>
            </w:r>
            <w:r w:rsidRPr="00694F4E">
              <w:rPr>
                <w:rFonts w:ascii="Book Antiqua" w:hAnsi="Book Antiqua"/>
                <w:lang w:val="en-US"/>
              </w:rPr>
              <w:t>06</w:t>
            </w:r>
            <w:r w:rsidR="0058451E" w:rsidRPr="00694F4E">
              <w:rPr>
                <w:rFonts w:ascii="Book Antiqua" w:hAnsi="Book Antiqua"/>
                <w:lang w:val="en-US"/>
              </w:rPr>
              <w:t>–</w:t>
            </w:r>
            <w:r w:rsidRPr="00694F4E">
              <w:rPr>
                <w:rFonts w:ascii="Book Antiqua" w:hAnsi="Book Antiqua"/>
                <w:lang w:val="en-US"/>
              </w:rPr>
              <w:t>219</w:t>
            </w:r>
            <w:r w:rsidR="00E46A2C" w:rsidRPr="00694F4E">
              <w:rPr>
                <w:rFonts w:ascii="Book Antiqua" w:hAnsi="Book Antiqua"/>
                <w:lang w:val="en-US" w:eastAsia="zh-CN"/>
              </w:rPr>
              <w:t>)</w:t>
            </w:r>
          </w:p>
        </w:tc>
      </w:tr>
      <w:tr w:rsidR="00712D82" w:rsidRPr="00694F4E" w14:paraId="2D56DBAB" w14:textId="77777777" w:rsidTr="00FE02F3">
        <w:trPr>
          <w:trHeight w:val="397"/>
        </w:trPr>
        <w:tc>
          <w:tcPr>
            <w:tcW w:w="4673" w:type="dxa"/>
            <w:shd w:val="clear" w:color="auto" w:fill="auto"/>
          </w:tcPr>
          <w:p w14:paraId="13036A25" w14:textId="3CB60076"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ECL hyperplasia</w:t>
            </w:r>
            <w:r w:rsidR="00E03BF7" w:rsidRPr="00694F4E">
              <w:rPr>
                <w:rFonts w:ascii="Book Antiqua" w:hAnsi="Book Antiqua"/>
                <w:lang w:val="en-US" w:eastAsia="zh-CN"/>
              </w:rPr>
              <w:t>,</w:t>
            </w:r>
            <w:r w:rsidR="00E03BF7" w:rsidRPr="00694F4E">
              <w:rPr>
                <w:rFonts w:ascii="Book Antiqua" w:hAnsi="Book Antiqua"/>
                <w:lang w:val="en-US"/>
              </w:rPr>
              <w:t xml:space="preserve"> </w:t>
            </w:r>
            <w:r w:rsidR="00E03BF7" w:rsidRPr="00694F4E">
              <w:rPr>
                <w:rFonts w:ascii="Book Antiqua" w:hAnsi="Book Antiqua"/>
                <w:i/>
                <w:lang w:val="en-US"/>
              </w:rPr>
              <w:t>n</w:t>
            </w:r>
            <w:r w:rsidR="00E03BF7" w:rsidRPr="00694F4E">
              <w:rPr>
                <w:rFonts w:ascii="Book Antiqua" w:hAnsi="Book Antiqua"/>
                <w:lang w:val="en-US"/>
              </w:rPr>
              <w:t xml:space="preserve"> (%)</w:t>
            </w:r>
          </w:p>
        </w:tc>
        <w:tc>
          <w:tcPr>
            <w:tcW w:w="4678" w:type="dxa"/>
            <w:shd w:val="clear" w:color="auto" w:fill="auto"/>
          </w:tcPr>
          <w:p w14:paraId="050BB622" w14:textId="673CBC55" w:rsidR="00011C7C" w:rsidRPr="00694F4E" w:rsidRDefault="00BF3AEC" w:rsidP="00A62589">
            <w:pPr>
              <w:spacing w:line="360" w:lineRule="auto"/>
              <w:jc w:val="both"/>
              <w:rPr>
                <w:rFonts w:ascii="Book Antiqua" w:hAnsi="Book Antiqua"/>
                <w:lang w:val="en-US"/>
              </w:rPr>
            </w:pPr>
            <w:r w:rsidRPr="00694F4E">
              <w:rPr>
                <w:rFonts w:ascii="Book Antiqua" w:hAnsi="Book Antiqua"/>
                <w:lang w:val="en-US"/>
              </w:rPr>
              <w:t>Absent: 60 (34.1</w:t>
            </w:r>
            <w:r w:rsidR="00011C7C" w:rsidRPr="00694F4E">
              <w:rPr>
                <w:rFonts w:ascii="Book Antiqua" w:hAnsi="Book Antiqua"/>
                <w:lang w:val="en-US"/>
              </w:rPr>
              <w:t>)</w:t>
            </w:r>
          </w:p>
        </w:tc>
      </w:tr>
      <w:tr w:rsidR="00712D82" w:rsidRPr="00694F4E" w14:paraId="123A6B58" w14:textId="77777777" w:rsidTr="00FE02F3">
        <w:tc>
          <w:tcPr>
            <w:tcW w:w="4673" w:type="dxa"/>
            <w:vMerge w:val="restart"/>
            <w:shd w:val="clear" w:color="auto" w:fill="auto"/>
          </w:tcPr>
          <w:p w14:paraId="7835F420" w14:textId="0E65E2FB" w:rsidR="005F0CA4" w:rsidRPr="00694F4E" w:rsidRDefault="005F0CA4" w:rsidP="00A62589">
            <w:pPr>
              <w:spacing w:line="360" w:lineRule="auto"/>
              <w:jc w:val="both"/>
              <w:rPr>
                <w:rFonts w:ascii="Book Antiqua" w:hAnsi="Book Antiqua"/>
                <w:lang w:val="en-US"/>
              </w:rPr>
            </w:pPr>
            <w:r w:rsidRPr="00694F4E">
              <w:rPr>
                <w:rFonts w:ascii="Book Antiqua" w:hAnsi="Book Antiqua"/>
                <w:lang w:val="en-US"/>
              </w:rPr>
              <w:t>Gastric mucosa atrophy</w:t>
            </w:r>
            <w:r w:rsidRPr="00694F4E">
              <w:rPr>
                <w:rFonts w:ascii="Book Antiqua" w:hAnsi="Book Antiqua"/>
                <w:lang w:val="en-US" w:eastAsia="zh-CN"/>
              </w:rPr>
              <w:t>,</w:t>
            </w:r>
            <w:r w:rsidRPr="00694F4E">
              <w:rPr>
                <w:rFonts w:ascii="Book Antiqua" w:hAnsi="Book Antiqua"/>
                <w:lang w:val="en-US"/>
              </w:rPr>
              <w:t xml:space="preserve"> </w:t>
            </w:r>
            <w:r w:rsidRPr="00694F4E">
              <w:rPr>
                <w:rFonts w:ascii="Book Antiqua" w:hAnsi="Book Antiqua"/>
                <w:i/>
                <w:lang w:val="en-US"/>
              </w:rPr>
              <w:t>n</w:t>
            </w:r>
            <w:r w:rsidRPr="00694F4E">
              <w:rPr>
                <w:rFonts w:ascii="Book Antiqua" w:hAnsi="Book Antiqua"/>
                <w:lang w:val="en-US"/>
              </w:rPr>
              <w:t xml:space="preserve"> (%)</w:t>
            </w:r>
          </w:p>
        </w:tc>
        <w:tc>
          <w:tcPr>
            <w:tcW w:w="4678" w:type="dxa"/>
            <w:shd w:val="clear" w:color="auto" w:fill="auto"/>
          </w:tcPr>
          <w:p w14:paraId="411D0AF7" w14:textId="7D94ABE3" w:rsidR="005F0CA4" w:rsidRPr="00694F4E" w:rsidRDefault="005F0CA4" w:rsidP="00A62589">
            <w:pPr>
              <w:spacing w:line="360" w:lineRule="auto"/>
              <w:jc w:val="both"/>
              <w:rPr>
                <w:rFonts w:ascii="Book Antiqua" w:hAnsi="Book Antiqua"/>
                <w:bCs/>
                <w:lang w:val="en-US" w:eastAsia="zh-CN"/>
              </w:rPr>
            </w:pPr>
            <w:r w:rsidRPr="00694F4E">
              <w:rPr>
                <w:rFonts w:ascii="Book Antiqua" w:hAnsi="Book Antiqua"/>
                <w:bCs/>
                <w:lang w:val="en-US"/>
              </w:rPr>
              <w:t>OLGA</w:t>
            </w:r>
          </w:p>
        </w:tc>
      </w:tr>
      <w:tr w:rsidR="00712D82" w:rsidRPr="00694F4E" w14:paraId="07BA3A92" w14:textId="77777777" w:rsidTr="00FE02F3">
        <w:tc>
          <w:tcPr>
            <w:tcW w:w="4673" w:type="dxa"/>
            <w:vMerge/>
            <w:shd w:val="clear" w:color="auto" w:fill="auto"/>
          </w:tcPr>
          <w:p w14:paraId="7DD2E4E2"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1EA3A9EA" w14:textId="21115637"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0</w:t>
            </w:r>
            <w:r w:rsidR="00BF3AEC" w:rsidRPr="00694F4E">
              <w:rPr>
                <w:rFonts w:ascii="Book Antiqua" w:hAnsi="Book Antiqua"/>
                <w:lang w:val="en-US"/>
              </w:rPr>
              <w:t>: 58 (32.9</w:t>
            </w:r>
            <w:r w:rsidRPr="00694F4E">
              <w:rPr>
                <w:rFonts w:ascii="Book Antiqua" w:hAnsi="Book Antiqua"/>
                <w:lang w:val="en-US"/>
              </w:rPr>
              <w:t>)</w:t>
            </w:r>
          </w:p>
        </w:tc>
      </w:tr>
      <w:tr w:rsidR="00712D82" w:rsidRPr="00694F4E" w14:paraId="64870378" w14:textId="77777777" w:rsidTr="00FE02F3">
        <w:tc>
          <w:tcPr>
            <w:tcW w:w="4673" w:type="dxa"/>
            <w:vMerge/>
            <w:shd w:val="clear" w:color="auto" w:fill="auto"/>
          </w:tcPr>
          <w:p w14:paraId="5E645940"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4AC0E110" w14:textId="7F155992"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w:t>
            </w:r>
            <w:r w:rsidR="00BF3AEC" w:rsidRPr="00694F4E">
              <w:rPr>
                <w:rFonts w:ascii="Book Antiqua" w:hAnsi="Book Antiqua"/>
                <w:lang w:val="en-US"/>
              </w:rPr>
              <w:t>: 38 (21.6</w:t>
            </w:r>
            <w:r w:rsidRPr="00694F4E">
              <w:rPr>
                <w:rFonts w:ascii="Book Antiqua" w:hAnsi="Book Antiqua"/>
                <w:lang w:val="en-US"/>
              </w:rPr>
              <w:t>)</w:t>
            </w:r>
          </w:p>
        </w:tc>
      </w:tr>
      <w:tr w:rsidR="00712D82" w:rsidRPr="00694F4E" w14:paraId="6CBA4818" w14:textId="77777777" w:rsidTr="00FE02F3">
        <w:tc>
          <w:tcPr>
            <w:tcW w:w="4673" w:type="dxa"/>
            <w:vMerge/>
            <w:shd w:val="clear" w:color="auto" w:fill="auto"/>
          </w:tcPr>
          <w:p w14:paraId="7FF8254F"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6DBC529D" w14:textId="165A91CB" w:rsidR="005F0CA4" w:rsidRPr="00694F4E" w:rsidRDefault="005F0CA4" w:rsidP="00A62589">
            <w:pPr>
              <w:spacing w:line="360" w:lineRule="auto"/>
              <w:jc w:val="both"/>
              <w:rPr>
                <w:rFonts w:ascii="Book Antiqua" w:hAnsi="Book Antiqua"/>
                <w:bCs/>
                <w:lang w:val="en-US" w:eastAsia="zh-CN"/>
              </w:rPr>
            </w:pPr>
            <w:r w:rsidRPr="00694F4E">
              <w:rPr>
                <w:rFonts w:ascii="Book Antiqua" w:hAnsi="Book Antiqua"/>
                <w:bCs/>
                <w:lang w:val="en-US"/>
              </w:rPr>
              <w:t>II</w:t>
            </w:r>
            <w:r w:rsidR="00BF3AEC" w:rsidRPr="00694F4E">
              <w:rPr>
                <w:rFonts w:ascii="Book Antiqua" w:hAnsi="Book Antiqua"/>
                <w:lang w:val="en-US"/>
              </w:rPr>
              <w:t>: 64 (36.4</w:t>
            </w:r>
            <w:r w:rsidRPr="00694F4E">
              <w:rPr>
                <w:rFonts w:ascii="Book Antiqua" w:hAnsi="Book Antiqua"/>
                <w:lang w:val="en-US" w:eastAsia="zh-CN"/>
              </w:rPr>
              <w:t>)</w:t>
            </w:r>
          </w:p>
        </w:tc>
      </w:tr>
      <w:tr w:rsidR="00712D82" w:rsidRPr="00694F4E" w14:paraId="17295278" w14:textId="77777777" w:rsidTr="00FE02F3">
        <w:tc>
          <w:tcPr>
            <w:tcW w:w="4673" w:type="dxa"/>
            <w:vMerge/>
            <w:shd w:val="clear" w:color="auto" w:fill="auto"/>
          </w:tcPr>
          <w:p w14:paraId="327A8AD1"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222C4394" w14:textId="798DF7DC"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III</w:t>
            </w:r>
            <w:r w:rsidR="00BF3AEC" w:rsidRPr="00694F4E">
              <w:rPr>
                <w:rFonts w:ascii="Book Antiqua" w:hAnsi="Book Antiqua"/>
                <w:lang w:val="en-US"/>
              </w:rPr>
              <w:t>: 13 (7.4</w:t>
            </w:r>
            <w:r w:rsidRPr="00694F4E">
              <w:rPr>
                <w:rFonts w:ascii="Book Antiqua" w:hAnsi="Book Antiqua"/>
                <w:lang w:val="en-US"/>
              </w:rPr>
              <w:t>)</w:t>
            </w:r>
          </w:p>
        </w:tc>
      </w:tr>
      <w:tr w:rsidR="00712D82" w:rsidRPr="00694F4E" w14:paraId="07C607A9" w14:textId="77777777" w:rsidTr="00FE02F3">
        <w:tc>
          <w:tcPr>
            <w:tcW w:w="4673" w:type="dxa"/>
            <w:vMerge/>
            <w:shd w:val="clear" w:color="auto" w:fill="auto"/>
          </w:tcPr>
          <w:p w14:paraId="435B6BC8"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25429E77" w14:textId="53DD0199"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IV</w:t>
            </w:r>
            <w:r w:rsidR="00BF3AEC" w:rsidRPr="00694F4E">
              <w:rPr>
                <w:rFonts w:ascii="Book Antiqua" w:hAnsi="Book Antiqua"/>
                <w:lang w:val="en-US"/>
              </w:rPr>
              <w:t>: 3 (1.7</w:t>
            </w:r>
            <w:r w:rsidRPr="00694F4E">
              <w:rPr>
                <w:rFonts w:ascii="Book Antiqua" w:hAnsi="Book Antiqua"/>
                <w:lang w:val="en-US"/>
              </w:rPr>
              <w:t>)</w:t>
            </w:r>
          </w:p>
        </w:tc>
      </w:tr>
      <w:tr w:rsidR="00712D82" w:rsidRPr="00694F4E" w14:paraId="2961A69B" w14:textId="77777777" w:rsidTr="00FE02F3">
        <w:tc>
          <w:tcPr>
            <w:tcW w:w="4673" w:type="dxa"/>
            <w:vMerge w:val="restart"/>
            <w:shd w:val="clear" w:color="auto" w:fill="auto"/>
          </w:tcPr>
          <w:p w14:paraId="6634B8A0" w14:textId="51039515" w:rsidR="005F0CA4" w:rsidRPr="00694F4E" w:rsidRDefault="005F0CA4" w:rsidP="00A62589">
            <w:pPr>
              <w:spacing w:line="360" w:lineRule="auto"/>
              <w:jc w:val="both"/>
              <w:rPr>
                <w:rFonts w:ascii="Book Antiqua" w:hAnsi="Book Antiqua"/>
                <w:lang w:val="en-US"/>
              </w:rPr>
            </w:pPr>
            <w:r w:rsidRPr="00694F4E">
              <w:rPr>
                <w:rFonts w:ascii="Book Antiqua" w:hAnsi="Book Antiqua"/>
                <w:lang w:val="en-US"/>
              </w:rPr>
              <w:t>Gastric mucosa intestinal metaplasia</w:t>
            </w:r>
            <w:r w:rsidR="00E03BF7" w:rsidRPr="00694F4E">
              <w:rPr>
                <w:rFonts w:ascii="Book Antiqua" w:hAnsi="Book Antiqua"/>
                <w:lang w:val="en-US" w:eastAsia="zh-CN"/>
              </w:rPr>
              <w:t>,</w:t>
            </w:r>
            <w:r w:rsidR="00E03BF7" w:rsidRPr="00694F4E">
              <w:rPr>
                <w:rFonts w:ascii="Book Antiqua" w:hAnsi="Book Antiqua"/>
                <w:lang w:val="en-US"/>
              </w:rPr>
              <w:t xml:space="preserve"> </w:t>
            </w:r>
            <w:r w:rsidR="00E03BF7" w:rsidRPr="00694F4E">
              <w:rPr>
                <w:rFonts w:ascii="Book Antiqua" w:hAnsi="Book Antiqua"/>
                <w:i/>
                <w:lang w:val="en-US"/>
              </w:rPr>
              <w:t>n</w:t>
            </w:r>
            <w:r w:rsidR="00E03BF7" w:rsidRPr="00694F4E">
              <w:rPr>
                <w:rFonts w:ascii="Book Antiqua" w:hAnsi="Book Antiqua"/>
                <w:lang w:val="en-US"/>
              </w:rPr>
              <w:t xml:space="preserve"> (%)</w:t>
            </w:r>
          </w:p>
        </w:tc>
        <w:tc>
          <w:tcPr>
            <w:tcW w:w="4678" w:type="dxa"/>
            <w:shd w:val="clear" w:color="auto" w:fill="auto"/>
          </w:tcPr>
          <w:p w14:paraId="163FD1D5" w14:textId="7D139DD6" w:rsidR="005F0CA4" w:rsidRPr="00694F4E" w:rsidRDefault="005F0CA4" w:rsidP="00A62589">
            <w:pPr>
              <w:spacing w:line="360" w:lineRule="auto"/>
              <w:jc w:val="both"/>
              <w:rPr>
                <w:rFonts w:ascii="Book Antiqua" w:hAnsi="Book Antiqua"/>
                <w:lang w:val="en-US" w:eastAsia="zh-CN"/>
              </w:rPr>
            </w:pPr>
            <w:r w:rsidRPr="00694F4E">
              <w:rPr>
                <w:rFonts w:ascii="Book Antiqua" w:hAnsi="Book Antiqua"/>
                <w:bCs/>
                <w:lang w:val="en-US"/>
              </w:rPr>
              <w:t>OLGIM</w:t>
            </w:r>
          </w:p>
        </w:tc>
      </w:tr>
      <w:tr w:rsidR="00712D82" w:rsidRPr="00694F4E" w14:paraId="7642DFD1" w14:textId="77777777" w:rsidTr="00FE02F3">
        <w:tc>
          <w:tcPr>
            <w:tcW w:w="4673" w:type="dxa"/>
            <w:vMerge/>
            <w:shd w:val="clear" w:color="auto" w:fill="auto"/>
          </w:tcPr>
          <w:p w14:paraId="17947E16"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36B5C492" w14:textId="0A7B574B"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0</w:t>
            </w:r>
            <w:r w:rsidR="00BF3AEC" w:rsidRPr="00694F4E">
              <w:rPr>
                <w:rFonts w:ascii="Book Antiqua" w:hAnsi="Book Antiqua"/>
                <w:lang w:val="en-US"/>
              </w:rPr>
              <w:t>: 42 (23.9</w:t>
            </w:r>
            <w:r w:rsidRPr="00694F4E">
              <w:rPr>
                <w:rFonts w:ascii="Book Antiqua" w:hAnsi="Book Antiqua"/>
                <w:lang w:val="en-US"/>
              </w:rPr>
              <w:t>)</w:t>
            </w:r>
          </w:p>
        </w:tc>
      </w:tr>
      <w:tr w:rsidR="00712D82" w:rsidRPr="00694F4E" w14:paraId="17F68935" w14:textId="77777777" w:rsidTr="00FE02F3">
        <w:tc>
          <w:tcPr>
            <w:tcW w:w="4673" w:type="dxa"/>
            <w:vMerge/>
            <w:shd w:val="clear" w:color="auto" w:fill="auto"/>
          </w:tcPr>
          <w:p w14:paraId="48A6952F"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39B60BFC" w14:textId="35C91025"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w:t>
            </w:r>
            <w:r w:rsidR="00BF3AEC" w:rsidRPr="00694F4E">
              <w:rPr>
                <w:rFonts w:ascii="Book Antiqua" w:hAnsi="Book Antiqua"/>
                <w:lang w:val="en-US"/>
              </w:rPr>
              <w:t>: 63 (35.8</w:t>
            </w:r>
            <w:r w:rsidRPr="00694F4E">
              <w:rPr>
                <w:rFonts w:ascii="Book Antiqua" w:hAnsi="Book Antiqua"/>
                <w:lang w:val="en-US"/>
              </w:rPr>
              <w:t>)</w:t>
            </w:r>
          </w:p>
        </w:tc>
      </w:tr>
      <w:tr w:rsidR="00712D82" w:rsidRPr="00694F4E" w14:paraId="2F8A889C" w14:textId="77777777" w:rsidTr="00FE02F3">
        <w:tc>
          <w:tcPr>
            <w:tcW w:w="4673" w:type="dxa"/>
            <w:vMerge/>
            <w:shd w:val="clear" w:color="auto" w:fill="auto"/>
          </w:tcPr>
          <w:p w14:paraId="35746DA0"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4E9E720F" w14:textId="4535D690"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II</w:t>
            </w:r>
            <w:r w:rsidR="00BF3AEC" w:rsidRPr="00694F4E">
              <w:rPr>
                <w:rFonts w:ascii="Book Antiqua" w:hAnsi="Book Antiqua"/>
                <w:lang w:val="en-US"/>
              </w:rPr>
              <w:t>: 61 (34.7</w:t>
            </w:r>
            <w:r w:rsidRPr="00694F4E">
              <w:rPr>
                <w:rFonts w:ascii="Book Antiqua" w:hAnsi="Book Antiqua"/>
                <w:lang w:val="en-US"/>
              </w:rPr>
              <w:t>)</w:t>
            </w:r>
          </w:p>
        </w:tc>
      </w:tr>
      <w:tr w:rsidR="00712D82" w:rsidRPr="00694F4E" w14:paraId="33AA66DF" w14:textId="77777777" w:rsidTr="00FE02F3">
        <w:tc>
          <w:tcPr>
            <w:tcW w:w="4673" w:type="dxa"/>
            <w:vMerge/>
            <w:shd w:val="clear" w:color="auto" w:fill="auto"/>
          </w:tcPr>
          <w:p w14:paraId="129BDA72"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0017FF51" w14:textId="55480D87"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III</w:t>
            </w:r>
            <w:r w:rsidR="00BF3AEC" w:rsidRPr="00694F4E">
              <w:rPr>
                <w:rFonts w:ascii="Book Antiqua" w:hAnsi="Book Antiqua"/>
                <w:lang w:val="en-US"/>
              </w:rPr>
              <w:t>: 5 (2.8</w:t>
            </w:r>
            <w:r w:rsidRPr="00694F4E">
              <w:rPr>
                <w:rFonts w:ascii="Book Antiqua" w:hAnsi="Book Antiqua"/>
                <w:lang w:val="en-US"/>
              </w:rPr>
              <w:t>)</w:t>
            </w:r>
          </w:p>
        </w:tc>
      </w:tr>
      <w:tr w:rsidR="00712D82" w:rsidRPr="00694F4E" w14:paraId="68811687" w14:textId="77777777" w:rsidTr="00FE02F3">
        <w:tc>
          <w:tcPr>
            <w:tcW w:w="4673" w:type="dxa"/>
            <w:vMerge/>
            <w:shd w:val="clear" w:color="auto" w:fill="auto"/>
          </w:tcPr>
          <w:p w14:paraId="1176AA13" w14:textId="77777777" w:rsidR="005F0CA4" w:rsidRPr="00694F4E" w:rsidRDefault="005F0CA4" w:rsidP="00A62589">
            <w:pPr>
              <w:spacing w:line="360" w:lineRule="auto"/>
              <w:jc w:val="both"/>
              <w:rPr>
                <w:rFonts w:ascii="Book Antiqua" w:hAnsi="Book Antiqua"/>
                <w:lang w:val="en-US"/>
              </w:rPr>
            </w:pPr>
          </w:p>
        </w:tc>
        <w:tc>
          <w:tcPr>
            <w:tcW w:w="4678" w:type="dxa"/>
            <w:shd w:val="clear" w:color="auto" w:fill="auto"/>
          </w:tcPr>
          <w:p w14:paraId="10675DAB" w14:textId="3825767C" w:rsidR="005F0CA4" w:rsidRPr="00694F4E" w:rsidRDefault="005F0CA4" w:rsidP="00A62589">
            <w:pPr>
              <w:spacing w:line="360" w:lineRule="auto"/>
              <w:jc w:val="both"/>
              <w:rPr>
                <w:rFonts w:ascii="Book Antiqua" w:hAnsi="Book Antiqua"/>
                <w:bCs/>
                <w:lang w:val="en-US"/>
              </w:rPr>
            </w:pPr>
            <w:r w:rsidRPr="00694F4E">
              <w:rPr>
                <w:rFonts w:ascii="Book Antiqua" w:hAnsi="Book Antiqua"/>
                <w:bCs/>
                <w:lang w:val="en-US"/>
              </w:rPr>
              <w:t>IV</w:t>
            </w:r>
            <w:r w:rsidR="00BF3AEC" w:rsidRPr="00694F4E">
              <w:rPr>
                <w:rFonts w:ascii="Book Antiqua" w:hAnsi="Book Antiqua"/>
                <w:lang w:val="en-US"/>
              </w:rPr>
              <w:t>: 5 (2.8</w:t>
            </w:r>
            <w:r w:rsidRPr="00694F4E">
              <w:rPr>
                <w:rFonts w:ascii="Book Antiqua" w:hAnsi="Book Antiqua"/>
                <w:lang w:val="en-US"/>
              </w:rPr>
              <w:t>)</w:t>
            </w:r>
          </w:p>
        </w:tc>
      </w:tr>
    </w:tbl>
    <w:p w14:paraId="4237804D" w14:textId="12B4F06C" w:rsidR="00DF5A5B" w:rsidRPr="00694F4E" w:rsidRDefault="005F0CA4" w:rsidP="00A62589">
      <w:pPr>
        <w:spacing w:line="360" w:lineRule="auto"/>
        <w:jc w:val="both"/>
        <w:rPr>
          <w:rFonts w:ascii="Book Antiqua" w:hAnsi="Book Antiqua"/>
          <w:b/>
          <w:lang w:eastAsia="zh-CN"/>
        </w:rPr>
      </w:pPr>
      <w:r w:rsidRPr="00694F4E">
        <w:rPr>
          <w:rFonts w:ascii="Book Antiqua" w:hAnsi="Book Antiqua"/>
          <w:iCs/>
        </w:rPr>
        <w:t xml:space="preserve">BMI: Body </w:t>
      </w:r>
      <w:r w:rsidR="00D02AB8" w:rsidRPr="00694F4E">
        <w:rPr>
          <w:rFonts w:ascii="Book Antiqua" w:hAnsi="Book Antiqua"/>
          <w:iCs/>
          <w:lang w:eastAsia="zh-CN"/>
        </w:rPr>
        <w:t>m</w:t>
      </w:r>
      <w:r w:rsidRPr="00694F4E">
        <w:rPr>
          <w:rFonts w:ascii="Book Antiqua" w:hAnsi="Book Antiqua"/>
          <w:iCs/>
        </w:rPr>
        <w:t xml:space="preserve">ass </w:t>
      </w:r>
      <w:r w:rsidR="00D02AB8" w:rsidRPr="00694F4E">
        <w:rPr>
          <w:rFonts w:ascii="Book Antiqua" w:hAnsi="Book Antiqua"/>
          <w:iCs/>
        </w:rPr>
        <w:t>i</w:t>
      </w:r>
      <w:r w:rsidRPr="00694F4E">
        <w:rPr>
          <w:rFonts w:ascii="Book Antiqua" w:hAnsi="Book Antiqua"/>
          <w:iCs/>
        </w:rPr>
        <w:t>ndex; APCA: Anti-</w:t>
      </w:r>
      <w:r w:rsidR="00D02AB8" w:rsidRPr="00694F4E">
        <w:rPr>
          <w:rFonts w:ascii="Book Antiqua" w:hAnsi="Book Antiqua"/>
          <w:iCs/>
          <w:lang w:eastAsia="zh-CN"/>
        </w:rPr>
        <w:t>p</w:t>
      </w:r>
      <w:r w:rsidRPr="00694F4E">
        <w:rPr>
          <w:rFonts w:ascii="Book Antiqua" w:hAnsi="Book Antiqua"/>
          <w:iCs/>
        </w:rPr>
        <w:t xml:space="preserve">arietal </w:t>
      </w:r>
      <w:r w:rsidR="00D02AB8" w:rsidRPr="00694F4E">
        <w:rPr>
          <w:rFonts w:ascii="Book Antiqua" w:hAnsi="Book Antiqua"/>
          <w:iCs/>
          <w:lang w:eastAsia="zh-CN"/>
        </w:rPr>
        <w:t>c</w:t>
      </w:r>
      <w:r w:rsidRPr="00694F4E">
        <w:rPr>
          <w:rFonts w:ascii="Book Antiqua" w:hAnsi="Book Antiqua"/>
          <w:iCs/>
        </w:rPr>
        <w:t xml:space="preserve">ell </w:t>
      </w:r>
      <w:r w:rsidR="00D02AB8" w:rsidRPr="00694F4E">
        <w:rPr>
          <w:rFonts w:ascii="Book Antiqua" w:hAnsi="Book Antiqua"/>
          <w:iCs/>
          <w:lang w:eastAsia="zh-CN"/>
        </w:rPr>
        <w:t>a</w:t>
      </w:r>
      <w:r w:rsidRPr="00694F4E">
        <w:rPr>
          <w:rFonts w:ascii="Book Antiqua" w:hAnsi="Book Antiqua"/>
          <w:iCs/>
        </w:rPr>
        <w:t xml:space="preserve">ntibodies; ECL: Enterochromaffin-like cells; OLGA: Operative Link for Gastritis Assessment; OLGIM: Operative Link </w:t>
      </w:r>
      <w:r w:rsidR="002E1852" w:rsidRPr="00694F4E">
        <w:rPr>
          <w:rFonts w:ascii="Book Antiqua" w:hAnsi="Book Antiqua"/>
          <w:iCs/>
          <w:lang w:eastAsia="zh-CN"/>
        </w:rPr>
        <w:t>o</w:t>
      </w:r>
      <w:r w:rsidRPr="00694F4E">
        <w:rPr>
          <w:rFonts w:ascii="Book Antiqua" w:hAnsi="Book Antiqua"/>
          <w:iCs/>
        </w:rPr>
        <w:t>n Intestinal Metaplasia Assessment.</w:t>
      </w:r>
    </w:p>
    <w:p w14:paraId="40DB3E24" w14:textId="77777777" w:rsidR="00011C7C" w:rsidRPr="00694F4E" w:rsidRDefault="00011C7C" w:rsidP="00A62589">
      <w:pPr>
        <w:spacing w:line="360" w:lineRule="auto"/>
        <w:jc w:val="both"/>
        <w:rPr>
          <w:rFonts w:ascii="Book Antiqua" w:eastAsia="Book Antiqua" w:hAnsi="Book Antiqua" w:cs="Book Antiqua"/>
          <w:b/>
          <w:bCs/>
          <w:color w:val="000000"/>
          <w:shd w:val="clear" w:color="auto" w:fill="FFFFFF"/>
        </w:rPr>
      </w:pPr>
      <w:r w:rsidRPr="00694F4E">
        <w:rPr>
          <w:rFonts w:ascii="Book Antiqua" w:eastAsia="Book Antiqua" w:hAnsi="Book Antiqua" w:cs="Book Antiqua"/>
          <w:b/>
          <w:bCs/>
          <w:color w:val="000000"/>
          <w:shd w:val="clear" w:color="auto" w:fill="FFFFFF"/>
        </w:rPr>
        <w:br w:type="page"/>
      </w:r>
    </w:p>
    <w:p w14:paraId="72BE8002" w14:textId="44B405B8" w:rsidR="00A77B3E" w:rsidRPr="00694F4E" w:rsidRDefault="00D157AA" w:rsidP="00A62589">
      <w:pPr>
        <w:spacing w:line="360" w:lineRule="auto"/>
        <w:jc w:val="both"/>
        <w:rPr>
          <w:rFonts w:ascii="Book Antiqua" w:hAnsi="Book Antiqua" w:cs="Book Antiqua"/>
          <w:b/>
          <w:color w:val="000000"/>
          <w:shd w:val="clear" w:color="auto" w:fill="FFFFFF"/>
          <w:lang w:eastAsia="zh-CN"/>
        </w:rPr>
      </w:pPr>
      <w:r w:rsidRPr="00694F4E">
        <w:rPr>
          <w:rFonts w:ascii="Book Antiqua" w:eastAsia="Book Antiqua" w:hAnsi="Book Antiqua" w:cs="Book Antiqua"/>
          <w:b/>
          <w:bCs/>
          <w:color w:val="000000"/>
          <w:shd w:val="clear" w:color="auto" w:fill="FFFFFF"/>
        </w:rPr>
        <w:lastRenderedPageBreak/>
        <w:t>Table 2</w:t>
      </w:r>
      <w:r w:rsidR="00DF5A5B" w:rsidRPr="00694F4E">
        <w:rPr>
          <w:rFonts w:ascii="Book Antiqua" w:hAnsi="Book Antiqua" w:cs="Book Antiqua"/>
          <w:b/>
          <w:bCs/>
          <w:color w:val="000000"/>
          <w:shd w:val="clear" w:color="auto" w:fill="FFFFFF"/>
          <w:lang w:eastAsia="zh-CN"/>
        </w:rPr>
        <w:t xml:space="preserve"> </w:t>
      </w:r>
      <w:r w:rsidRPr="00694F4E">
        <w:rPr>
          <w:rFonts w:ascii="Book Antiqua" w:eastAsia="Book Antiqua" w:hAnsi="Book Antiqua" w:cs="Book Antiqua"/>
          <w:b/>
          <w:color w:val="000000"/>
          <w:shd w:val="clear" w:color="auto" w:fill="FFFFFF"/>
        </w:rPr>
        <w:t xml:space="preserve">Anthropometric, biochemical, and histological differences between patients with diagnosed chronic atrophic autoimmune gastritis who developed gastric neuroendocrine tumors and patients with </w:t>
      </w:r>
      <w:r w:rsidR="00B876A1" w:rsidRPr="00694F4E">
        <w:rPr>
          <w:rFonts w:ascii="Book Antiqua" w:eastAsia="Book Antiqua" w:hAnsi="Book Antiqua" w:cs="Book Antiqua"/>
          <w:b/>
          <w:color w:val="000000"/>
          <w:shd w:val="clear" w:color="auto" w:fill="FFFFFF"/>
        </w:rPr>
        <w:t>atrophic autoimmune gastritis</w:t>
      </w:r>
      <w:r w:rsidRPr="00694F4E">
        <w:rPr>
          <w:rFonts w:ascii="Book Antiqua" w:eastAsia="Book Antiqua" w:hAnsi="Book Antiqua" w:cs="Book Antiqua"/>
          <w:b/>
          <w:color w:val="000000"/>
          <w:shd w:val="clear" w:color="auto" w:fill="FFFFFF"/>
        </w:rPr>
        <w:t xml:space="preserve"> who did not develop </w:t>
      </w:r>
      <w:r w:rsidR="00B876A1" w:rsidRPr="00694F4E">
        <w:rPr>
          <w:rFonts w:ascii="Book Antiqua" w:eastAsia="Book Antiqua" w:hAnsi="Book Antiqua" w:cs="Book Antiqua"/>
          <w:b/>
          <w:color w:val="000000"/>
          <w:shd w:val="clear" w:color="auto" w:fill="FFFFFF"/>
        </w:rPr>
        <w:t>gastric neuroendocrine tumors</w:t>
      </w:r>
      <w:r w:rsidR="008330D4" w:rsidRPr="00694F4E">
        <w:rPr>
          <w:rFonts w:ascii="Book Antiqua" w:hAnsi="Book Antiqua"/>
          <w:b/>
          <w:lang w:eastAsia="zh-CN"/>
        </w:rPr>
        <w:t>,</w:t>
      </w:r>
      <w:r w:rsidR="008330D4" w:rsidRPr="00694F4E">
        <w:rPr>
          <w:rFonts w:ascii="Book Antiqua" w:hAnsi="Book Antiqua"/>
          <w:b/>
        </w:rPr>
        <w:t xml:space="preserve"> </w:t>
      </w:r>
      <w:r w:rsidR="008330D4" w:rsidRPr="00694F4E">
        <w:rPr>
          <w:rFonts w:ascii="Book Antiqua" w:hAnsi="Book Antiqua"/>
          <w:b/>
          <w:i/>
        </w:rPr>
        <w:t>n</w:t>
      </w:r>
      <w:r w:rsidR="008330D4" w:rsidRPr="00694F4E">
        <w:rPr>
          <w:rFonts w:ascii="Book Antiqua" w:hAnsi="Book Antiqua"/>
          <w:b/>
        </w:rPr>
        <w:t xml:space="preserve"> (%)</w:t>
      </w:r>
    </w:p>
    <w:tbl>
      <w:tblPr>
        <w:tblStyle w:val="GridTable4-Accent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928"/>
        <w:gridCol w:w="2735"/>
        <w:gridCol w:w="2538"/>
        <w:gridCol w:w="1159"/>
      </w:tblGrid>
      <w:tr w:rsidR="00326BD4" w:rsidRPr="00694F4E" w14:paraId="030B3659" w14:textId="77777777" w:rsidTr="00A23A51">
        <w:trPr>
          <w:trHeight w:val="668"/>
          <w:jc w:val="center"/>
        </w:trPr>
        <w:tc>
          <w:tcPr>
            <w:tcW w:w="1564" w:type="pct"/>
            <w:tcBorders>
              <w:top w:val="single" w:sz="4" w:space="0" w:color="auto"/>
              <w:bottom w:val="single" w:sz="4" w:space="0" w:color="auto"/>
            </w:tcBorders>
            <w:shd w:val="clear" w:color="auto" w:fill="auto"/>
          </w:tcPr>
          <w:p w14:paraId="6FD71E2C" w14:textId="77777777" w:rsidR="00011C7C" w:rsidRPr="00694F4E" w:rsidRDefault="00011C7C" w:rsidP="00A62589">
            <w:pPr>
              <w:spacing w:line="360" w:lineRule="auto"/>
              <w:jc w:val="both"/>
              <w:rPr>
                <w:rFonts w:ascii="Book Antiqua" w:hAnsi="Book Antiqua"/>
                <w:lang w:val="en-US"/>
              </w:rPr>
            </w:pPr>
          </w:p>
        </w:tc>
        <w:tc>
          <w:tcPr>
            <w:tcW w:w="1461" w:type="pct"/>
            <w:tcBorders>
              <w:top w:val="single" w:sz="4" w:space="0" w:color="auto"/>
              <w:bottom w:val="single" w:sz="4" w:space="0" w:color="auto"/>
            </w:tcBorders>
            <w:shd w:val="clear" w:color="auto" w:fill="auto"/>
          </w:tcPr>
          <w:p w14:paraId="2AAD7BF1" w14:textId="77777777" w:rsidR="00011C7C" w:rsidRPr="00694F4E" w:rsidRDefault="00011C7C" w:rsidP="00A62589">
            <w:pPr>
              <w:spacing w:line="360" w:lineRule="auto"/>
              <w:jc w:val="both"/>
              <w:rPr>
                <w:rFonts w:ascii="Book Antiqua" w:hAnsi="Book Antiqua"/>
                <w:b/>
                <w:bCs/>
                <w:lang w:val="en-US"/>
              </w:rPr>
            </w:pPr>
            <w:r w:rsidRPr="00694F4E">
              <w:rPr>
                <w:rFonts w:ascii="Book Antiqua" w:hAnsi="Book Antiqua"/>
                <w:b/>
                <w:bCs/>
                <w:lang w:val="en-US"/>
              </w:rPr>
              <w:t>AIG patients without gNENs</w:t>
            </w:r>
          </w:p>
        </w:tc>
        <w:tc>
          <w:tcPr>
            <w:tcW w:w="1356" w:type="pct"/>
            <w:tcBorders>
              <w:top w:val="single" w:sz="4" w:space="0" w:color="auto"/>
              <w:bottom w:val="single" w:sz="4" w:space="0" w:color="auto"/>
            </w:tcBorders>
            <w:shd w:val="clear" w:color="auto" w:fill="auto"/>
          </w:tcPr>
          <w:p w14:paraId="5C788D10" w14:textId="77777777" w:rsidR="00011C7C" w:rsidRPr="00694F4E" w:rsidRDefault="00011C7C" w:rsidP="00A62589">
            <w:pPr>
              <w:spacing w:line="360" w:lineRule="auto"/>
              <w:jc w:val="both"/>
              <w:rPr>
                <w:rFonts w:ascii="Book Antiqua" w:hAnsi="Book Antiqua"/>
                <w:b/>
                <w:bCs/>
                <w:lang w:val="en-US"/>
              </w:rPr>
            </w:pPr>
            <w:r w:rsidRPr="00694F4E">
              <w:rPr>
                <w:rFonts w:ascii="Book Antiqua" w:hAnsi="Book Antiqua"/>
                <w:b/>
                <w:bCs/>
                <w:lang w:val="en-US"/>
              </w:rPr>
              <w:t>AIG patients with gNENs</w:t>
            </w:r>
          </w:p>
        </w:tc>
        <w:tc>
          <w:tcPr>
            <w:tcW w:w="619" w:type="pct"/>
            <w:tcBorders>
              <w:top w:val="single" w:sz="4" w:space="0" w:color="auto"/>
              <w:bottom w:val="single" w:sz="4" w:space="0" w:color="auto"/>
            </w:tcBorders>
            <w:shd w:val="clear" w:color="auto" w:fill="auto"/>
          </w:tcPr>
          <w:p w14:paraId="17C887B7" w14:textId="3F86D76C" w:rsidR="00011C7C" w:rsidRPr="00694F4E" w:rsidRDefault="00E81F7D" w:rsidP="00A62589">
            <w:pPr>
              <w:spacing w:line="360" w:lineRule="auto"/>
              <w:jc w:val="both"/>
              <w:rPr>
                <w:rFonts w:ascii="Book Antiqua" w:hAnsi="Book Antiqua"/>
                <w:b/>
                <w:bCs/>
                <w:lang w:val="en-US"/>
              </w:rPr>
            </w:pPr>
            <w:r w:rsidRPr="00694F4E">
              <w:rPr>
                <w:rFonts w:ascii="Book Antiqua" w:hAnsi="Book Antiqua"/>
                <w:b/>
                <w:bCs/>
                <w:i/>
                <w:lang w:val="en-US" w:eastAsia="zh-CN"/>
              </w:rPr>
              <w:t>P</w:t>
            </w:r>
            <w:r w:rsidR="00011C7C" w:rsidRPr="00694F4E">
              <w:rPr>
                <w:rFonts w:ascii="Book Antiqua" w:hAnsi="Book Antiqua"/>
                <w:b/>
                <w:bCs/>
                <w:lang w:val="en-US"/>
              </w:rPr>
              <w:t xml:space="preserve"> value</w:t>
            </w:r>
          </w:p>
        </w:tc>
      </w:tr>
      <w:tr w:rsidR="00326BD4" w:rsidRPr="00694F4E" w14:paraId="04ED5C0A" w14:textId="77777777" w:rsidTr="00A23A51">
        <w:trPr>
          <w:trHeight w:val="454"/>
          <w:jc w:val="center"/>
        </w:trPr>
        <w:tc>
          <w:tcPr>
            <w:tcW w:w="1564" w:type="pct"/>
            <w:tcBorders>
              <w:top w:val="single" w:sz="4" w:space="0" w:color="auto"/>
            </w:tcBorders>
            <w:shd w:val="clear" w:color="auto" w:fill="auto"/>
          </w:tcPr>
          <w:p w14:paraId="6030B704"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Sex (%)</w:t>
            </w:r>
          </w:p>
        </w:tc>
        <w:tc>
          <w:tcPr>
            <w:tcW w:w="1461" w:type="pct"/>
            <w:tcBorders>
              <w:top w:val="single" w:sz="4" w:space="0" w:color="auto"/>
            </w:tcBorders>
            <w:shd w:val="clear" w:color="auto" w:fill="auto"/>
          </w:tcPr>
          <w:p w14:paraId="47EA079F" w14:textId="3B869862" w:rsidR="00011C7C" w:rsidRPr="00694F4E" w:rsidRDefault="00566CAF" w:rsidP="00A62589">
            <w:pPr>
              <w:spacing w:line="360" w:lineRule="auto"/>
              <w:jc w:val="both"/>
              <w:rPr>
                <w:rFonts w:ascii="Book Antiqua" w:hAnsi="Book Antiqua"/>
                <w:lang w:val="en-US"/>
              </w:rPr>
            </w:pPr>
            <w:r w:rsidRPr="00694F4E">
              <w:rPr>
                <w:rFonts w:ascii="Book Antiqua" w:hAnsi="Book Antiqua"/>
                <w:lang w:val="en-US"/>
              </w:rPr>
              <w:t>84.3</w:t>
            </w:r>
            <w:r w:rsidR="00011C7C" w:rsidRPr="00694F4E">
              <w:rPr>
                <w:rFonts w:ascii="Book Antiqua" w:hAnsi="Book Antiqua"/>
                <w:lang w:val="en-US"/>
              </w:rPr>
              <w:t xml:space="preserve"> (female)</w:t>
            </w:r>
          </w:p>
        </w:tc>
        <w:tc>
          <w:tcPr>
            <w:tcW w:w="1356" w:type="pct"/>
            <w:tcBorders>
              <w:top w:val="single" w:sz="4" w:space="0" w:color="auto"/>
            </w:tcBorders>
            <w:shd w:val="clear" w:color="auto" w:fill="auto"/>
          </w:tcPr>
          <w:p w14:paraId="78333035" w14:textId="0F3F4BDC" w:rsidR="00011C7C" w:rsidRPr="00694F4E" w:rsidRDefault="00566CAF" w:rsidP="00A62589">
            <w:pPr>
              <w:spacing w:line="360" w:lineRule="auto"/>
              <w:jc w:val="both"/>
              <w:rPr>
                <w:rFonts w:ascii="Book Antiqua" w:hAnsi="Book Antiqua"/>
                <w:lang w:val="en-US"/>
              </w:rPr>
            </w:pPr>
            <w:r w:rsidRPr="00694F4E">
              <w:rPr>
                <w:rFonts w:ascii="Book Antiqua" w:hAnsi="Book Antiqua"/>
                <w:lang w:val="en-US"/>
              </w:rPr>
              <w:t>78</w:t>
            </w:r>
            <w:r w:rsidR="00011C7C" w:rsidRPr="00694F4E">
              <w:rPr>
                <w:rFonts w:ascii="Book Antiqua" w:hAnsi="Book Antiqua"/>
                <w:lang w:val="en-US"/>
              </w:rPr>
              <w:t xml:space="preserve"> (female)</w:t>
            </w:r>
          </w:p>
        </w:tc>
        <w:tc>
          <w:tcPr>
            <w:tcW w:w="619" w:type="pct"/>
            <w:tcBorders>
              <w:top w:val="single" w:sz="4" w:space="0" w:color="auto"/>
            </w:tcBorders>
            <w:shd w:val="clear" w:color="auto" w:fill="auto"/>
          </w:tcPr>
          <w:p w14:paraId="5ECD4C1A"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0.06</w:t>
            </w:r>
          </w:p>
        </w:tc>
      </w:tr>
      <w:tr w:rsidR="00326BD4" w:rsidRPr="00694F4E" w14:paraId="24BFB0A7" w14:textId="77777777" w:rsidTr="00A23A51">
        <w:trPr>
          <w:trHeight w:val="454"/>
          <w:jc w:val="center"/>
        </w:trPr>
        <w:tc>
          <w:tcPr>
            <w:tcW w:w="1564" w:type="pct"/>
            <w:shd w:val="clear" w:color="auto" w:fill="auto"/>
          </w:tcPr>
          <w:p w14:paraId="20F08FE6"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Age (median)</w:t>
            </w:r>
          </w:p>
        </w:tc>
        <w:tc>
          <w:tcPr>
            <w:tcW w:w="1461" w:type="pct"/>
            <w:shd w:val="clear" w:color="auto" w:fill="auto"/>
          </w:tcPr>
          <w:p w14:paraId="47CD4119" w14:textId="64142FCD" w:rsidR="00011C7C" w:rsidRPr="00694F4E" w:rsidRDefault="00411E64" w:rsidP="00A62589">
            <w:pPr>
              <w:spacing w:line="360" w:lineRule="auto"/>
              <w:jc w:val="both"/>
              <w:rPr>
                <w:rFonts w:ascii="Book Antiqua" w:hAnsi="Book Antiqua"/>
                <w:lang w:val="en-US" w:eastAsia="zh-CN"/>
              </w:rPr>
            </w:pPr>
            <w:r w:rsidRPr="00694F4E">
              <w:rPr>
                <w:rFonts w:ascii="Book Antiqua" w:hAnsi="Book Antiqua"/>
                <w:lang w:val="en-US"/>
              </w:rPr>
              <w:t>61 yr</w:t>
            </w:r>
            <w:r w:rsidR="00011C7C" w:rsidRPr="00694F4E">
              <w:rPr>
                <w:rFonts w:ascii="Book Antiqua" w:hAnsi="Book Antiqua"/>
                <w:lang w:val="en-US"/>
              </w:rPr>
              <w:t xml:space="preserve"> </w:t>
            </w:r>
            <w:r w:rsidRPr="00694F4E">
              <w:rPr>
                <w:rFonts w:ascii="Book Antiqua" w:hAnsi="Book Antiqua"/>
                <w:lang w:val="en-US" w:eastAsia="zh-CN"/>
              </w:rPr>
              <w:t>(</w:t>
            </w:r>
            <w:r w:rsidR="00011C7C" w:rsidRPr="00694F4E">
              <w:rPr>
                <w:rFonts w:ascii="Book Antiqua" w:hAnsi="Book Antiqua"/>
                <w:lang w:val="en-US"/>
              </w:rPr>
              <w:t>IQR</w:t>
            </w:r>
            <w:r w:rsidRPr="00694F4E">
              <w:rPr>
                <w:rFonts w:ascii="Book Antiqua" w:hAnsi="Book Antiqua"/>
                <w:lang w:val="en-US" w:eastAsia="zh-CN"/>
              </w:rPr>
              <w:t>:</w:t>
            </w:r>
            <w:r w:rsidR="00011C7C" w:rsidRPr="00694F4E">
              <w:rPr>
                <w:rFonts w:ascii="Book Antiqua" w:hAnsi="Book Antiqua"/>
                <w:lang w:val="en-US"/>
              </w:rPr>
              <w:t xml:space="preserve"> 50</w:t>
            </w:r>
            <w:r w:rsidR="0058451E" w:rsidRPr="00694F4E">
              <w:rPr>
                <w:rFonts w:ascii="Book Antiqua" w:hAnsi="Book Antiqua"/>
                <w:lang w:val="en-US"/>
              </w:rPr>
              <w:t>–</w:t>
            </w:r>
            <w:r w:rsidR="00011C7C" w:rsidRPr="00694F4E">
              <w:rPr>
                <w:rFonts w:ascii="Book Antiqua" w:hAnsi="Book Antiqua"/>
                <w:lang w:val="en-US"/>
              </w:rPr>
              <w:t>69</w:t>
            </w:r>
            <w:r w:rsidRPr="00694F4E">
              <w:rPr>
                <w:rFonts w:ascii="Book Antiqua" w:hAnsi="Book Antiqua"/>
                <w:lang w:val="en-US" w:eastAsia="zh-CN"/>
              </w:rPr>
              <w:t>)</w:t>
            </w:r>
          </w:p>
        </w:tc>
        <w:tc>
          <w:tcPr>
            <w:tcW w:w="1356" w:type="pct"/>
            <w:shd w:val="clear" w:color="auto" w:fill="auto"/>
          </w:tcPr>
          <w:p w14:paraId="28472E0E" w14:textId="757AAD8D" w:rsidR="00011C7C" w:rsidRPr="00694F4E" w:rsidRDefault="00411E64" w:rsidP="00A62589">
            <w:pPr>
              <w:spacing w:line="360" w:lineRule="auto"/>
              <w:jc w:val="both"/>
              <w:rPr>
                <w:rFonts w:ascii="Book Antiqua" w:hAnsi="Book Antiqua"/>
                <w:lang w:val="en-US" w:eastAsia="zh-CN"/>
              </w:rPr>
            </w:pPr>
            <w:r w:rsidRPr="00694F4E">
              <w:rPr>
                <w:rFonts w:ascii="Book Antiqua" w:hAnsi="Book Antiqua"/>
                <w:lang w:val="en-US"/>
              </w:rPr>
              <w:t>66 yr</w:t>
            </w:r>
            <w:r w:rsidR="00011C7C" w:rsidRPr="00694F4E">
              <w:rPr>
                <w:rFonts w:ascii="Book Antiqua" w:hAnsi="Book Antiqua"/>
                <w:lang w:val="en-US"/>
              </w:rPr>
              <w:t xml:space="preserve"> </w:t>
            </w:r>
            <w:r w:rsidRPr="00694F4E">
              <w:rPr>
                <w:rFonts w:ascii="Book Antiqua" w:hAnsi="Book Antiqua"/>
                <w:lang w:val="en-US" w:eastAsia="zh-CN"/>
              </w:rPr>
              <w:t>(</w:t>
            </w:r>
            <w:r w:rsidR="00011C7C" w:rsidRPr="00694F4E">
              <w:rPr>
                <w:rFonts w:ascii="Book Antiqua" w:hAnsi="Book Antiqua"/>
                <w:lang w:val="en-US"/>
              </w:rPr>
              <w:t>IQR</w:t>
            </w:r>
            <w:r w:rsidRPr="00694F4E">
              <w:rPr>
                <w:rFonts w:ascii="Book Antiqua" w:hAnsi="Book Antiqua"/>
                <w:lang w:val="en-US" w:eastAsia="zh-CN"/>
              </w:rPr>
              <w:t>:</w:t>
            </w:r>
            <w:r w:rsidR="00011C7C" w:rsidRPr="00694F4E">
              <w:rPr>
                <w:rFonts w:ascii="Book Antiqua" w:hAnsi="Book Antiqua"/>
                <w:lang w:val="en-US"/>
              </w:rPr>
              <w:t xml:space="preserve"> 55</w:t>
            </w:r>
            <w:r w:rsidR="0058451E" w:rsidRPr="00694F4E">
              <w:rPr>
                <w:rFonts w:ascii="Book Antiqua" w:hAnsi="Book Antiqua"/>
                <w:lang w:val="en-US"/>
              </w:rPr>
              <w:t>–</w:t>
            </w:r>
            <w:r w:rsidR="00011C7C" w:rsidRPr="00694F4E">
              <w:rPr>
                <w:rFonts w:ascii="Book Antiqua" w:hAnsi="Book Antiqua"/>
                <w:lang w:val="en-US"/>
              </w:rPr>
              <w:t>73</w:t>
            </w:r>
            <w:r w:rsidRPr="00694F4E">
              <w:rPr>
                <w:rFonts w:ascii="Book Antiqua" w:hAnsi="Book Antiqua"/>
                <w:lang w:val="en-US" w:eastAsia="zh-CN"/>
              </w:rPr>
              <w:t>)</w:t>
            </w:r>
          </w:p>
        </w:tc>
        <w:tc>
          <w:tcPr>
            <w:tcW w:w="619" w:type="pct"/>
            <w:shd w:val="clear" w:color="auto" w:fill="auto"/>
          </w:tcPr>
          <w:p w14:paraId="4DBE9DFC"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0.68</w:t>
            </w:r>
          </w:p>
        </w:tc>
      </w:tr>
      <w:tr w:rsidR="00326BD4" w:rsidRPr="00694F4E" w14:paraId="19FD80D8" w14:textId="77777777" w:rsidTr="00A23A51">
        <w:trPr>
          <w:trHeight w:val="454"/>
          <w:jc w:val="center"/>
        </w:trPr>
        <w:tc>
          <w:tcPr>
            <w:tcW w:w="1564" w:type="pct"/>
            <w:shd w:val="clear" w:color="auto" w:fill="auto"/>
          </w:tcPr>
          <w:p w14:paraId="68E8C3EB"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Autoimmune tyroiditis</w:t>
            </w:r>
          </w:p>
        </w:tc>
        <w:tc>
          <w:tcPr>
            <w:tcW w:w="1461" w:type="pct"/>
            <w:shd w:val="clear" w:color="auto" w:fill="auto"/>
          </w:tcPr>
          <w:p w14:paraId="44B0F2A0" w14:textId="27EC0492"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48 (42</w:t>
            </w:r>
            <w:r w:rsidR="00011C7C" w:rsidRPr="00694F4E">
              <w:rPr>
                <w:rFonts w:ascii="Book Antiqua" w:hAnsi="Book Antiqua"/>
                <w:lang w:val="en-US"/>
              </w:rPr>
              <w:t>)</w:t>
            </w:r>
          </w:p>
        </w:tc>
        <w:tc>
          <w:tcPr>
            <w:tcW w:w="1356" w:type="pct"/>
            <w:shd w:val="clear" w:color="auto" w:fill="auto"/>
          </w:tcPr>
          <w:p w14:paraId="5358BF50" w14:textId="5AF548AC"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13 (39</w:t>
            </w:r>
            <w:r w:rsidR="00011C7C" w:rsidRPr="00694F4E">
              <w:rPr>
                <w:rFonts w:ascii="Book Antiqua" w:hAnsi="Book Antiqua"/>
                <w:lang w:val="en-US"/>
              </w:rPr>
              <w:t>)</w:t>
            </w:r>
          </w:p>
        </w:tc>
        <w:tc>
          <w:tcPr>
            <w:tcW w:w="619" w:type="pct"/>
            <w:shd w:val="clear" w:color="auto" w:fill="auto"/>
          </w:tcPr>
          <w:p w14:paraId="0EB03C14"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0.46</w:t>
            </w:r>
          </w:p>
        </w:tc>
      </w:tr>
      <w:tr w:rsidR="00326BD4" w:rsidRPr="00694F4E" w14:paraId="64712448" w14:textId="77777777" w:rsidTr="00A23A51">
        <w:trPr>
          <w:trHeight w:val="454"/>
          <w:jc w:val="center"/>
        </w:trPr>
        <w:tc>
          <w:tcPr>
            <w:tcW w:w="1564" w:type="pct"/>
            <w:shd w:val="clear" w:color="auto" w:fill="auto"/>
          </w:tcPr>
          <w:p w14:paraId="2D448D13" w14:textId="5E736C8A" w:rsidR="00011C7C" w:rsidRPr="00694F4E" w:rsidRDefault="0058451E" w:rsidP="00A62589">
            <w:pPr>
              <w:spacing w:line="360" w:lineRule="auto"/>
              <w:jc w:val="both"/>
              <w:rPr>
                <w:rFonts w:ascii="Book Antiqua" w:hAnsi="Book Antiqua"/>
                <w:lang w:val="en-US"/>
              </w:rPr>
            </w:pPr>
            <w:r w:rsidRPr="00694F4E">
              <w:rPr>
                <w:rFonts w:ascii="Book Antiqua" w:hAnsi="Book Antiqua"/>
                <w:lang w:val="en-US"/>
              </w:rPr>
              <w:t xml:space="preserve">Type 2 diabetes mellitus </w:t>
            </w:r>
          </w:p>
        </w:tc>
        <w:tc>
          <w:tcPr>
            <w:tcW w:w="1461" w:type="pct"/>
            <w:shd w:val="clear" w:color="auto" w:fill="auto"/>
          </w:tcPr>
          <w:p w14:paraId="39E4EAFE" w14:textId="2DDCCB41"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33 (29</w:t>
            </w:r>
            <w:r w:rsidR="00011C7C" w:rsidRPr="00694F4E">
              <w:rPr>
                <w:rFonts w:ascii="Book Antiqua" w:hAnsi="Book Antiqua"/>
                <w:lang w:val="en-US"/>
              </w:rPr>
              <w:t>)</w:t>
            </w:r>
          </w:p>
        </w:tc>
        <w:tc>
          <w:tcPr>
            <w:tcW w:w="1356" w:type="pct"/>
            <w:shd w:val="clear" w:color="auto" w:fill="auto"/>
          </w:tcPr>
          <w:p w14:paraId="1E17EAFE" w14:textId="30255DBD"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11 (33</w:t>
            </w:r>
            <w:r w:rsidR="00011C7C" w:rsidRPr="00694F4E">
              <w:rPr>
                <w:rFonts w:ascii="Book Antiqua" w:hAnsi="Book Antiqua"/>
                <w:lang w:val="en-US"/>
              </w:rPr>
              <w:t>)</w:t>
            </w:r>
          </w:p>
        </w:tc>
        <w:tc>
          <w:tcPr>
            <w:tcW w:w="619" w:type="pct"/>
            <w:shd w:val="clear" w:color="auto" w:fill="auto"/>
          </w:tcPr>
          <w:p w14:paraId="169EC826"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0.33</w:t>
            </w:r>
          </w:p>
        </w:tc>
      </w:tr>
      <w:tr w:rsidR="00326BD4" w:rsidRPr="00694F4E" w14:paraId="01585CF1" w14:textId="77777777" w:rsidTr="00A23A51">
        <w:trPr>
          <w:trHeight w:val="454"/>
          <w:jc w:val="center"/>
        </w:trPr>
        <w:tc>
          <w:tcPr>
            <w:tcW w:w="1564" w:type="pct"/>
            <w:shd w:val="clear" w:color="auto" w:fill="auto"/>
          </w:tcPr>
          <w:p w14:paraId="6389CD20" w14:textId="0D17DF79"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 xml:space="preserve">Psoriasis and/or </w:t>
            </w:r>
            <w:r w:rsidR="0058451E" w:rsidRPr="00694F4E">
              <w:rPr>
                <w:rFonts w:ascii="Book Antiqua" w:hAnsi="Book Antiqua"/>
                <w:lang w:val="en-US"/>
              </w:rPr>
              <w:t>vitiligo</w:t>
            </w:r>
          </w:p>
        </w:tc>
        <w:tc>
          <w:tcPr>
            <w:tcW w:w="1461" w:type="pct"/>
            <w:shd w:val="clear" w:color="auto" w:fill="auto"/>
          </w:tcPr>
          <w:p w14:paraId="388F1ED7" w14:textId="428AB942"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6 (5</w:t>
            </w:r>
            <w:r w:rsidR="00011C7C" w:rsidRPr="00694F4E">
              <w:rPr>
                <w:rFonts w:ascii="Book Antiqua" w:hAnsi="Book Antiqua"/>
                <w:lang w:val="en-US"/>
              </w:rPr>
              <w:t>)</w:t>
            </w:r>
          </w:p>
        </w:tc>
        <w:tc>
          <w:tcPr>
            <w:tcW w:w="1356" w:type="pct"/>
            <w:shd w:val="clear" w:color="auto" w:fill="auto"/>
          </w:tcPr>
          <w:p w14:paraId="659EEC41" w14:textId="23B74787"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3 (9</w:t>
            </w:r>
            <w:r w:rsidR="00011C7C" w:rsidRPr="00694F4E">
              <w:rPr>
                <w:rFonts w:ascii="Book Antiqua" w:hAnsi="Book Antiqua"/>
                <w:lang w:val="en-US"/>
              </w:rPr>
              <w:t>)</w:t>
            </w:r>
          </w:p>
        </w:tc>
        <w:tc>
          <w:tcPr>
            <w:tcW w:w="619" w:type="pct"/>
            <w:shd w:val="clear" w:color="auto" w:fill="auto"/>
          </w:tcPr>
          <w:p w14:paraId="1CDA64C3"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0.12</w:t>
            </w:r>
          </w:p>
        </w:tc>
      </w:tr>
      <w:tr w:rsidR="00326BD4" w:rsidRPr="00694F4E" w14:paraId="24061B87" w14:textId="77777777" w:rsidTr="00A23A51">
        <w:trPr>
          <w:trHeight w:val="454"/>
          <w:jc w:val="center"/>
        </w:trPr>
        <w:tc>
          <w:tcPr>
            <w:tcW w:w="1564" w:type="pct"/>
            <w:shd w:val="clear" w:color="auto" w:fill="auto"/>
          </w:tcPr>
          <w:p w14:paraId="35F243B2" w14:textId="53E50E40"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 xml:space="preserve">Auntoimmune </w:t>
            </w:r>
            <w:r w:rsidR="0058451E" w:rsidRPr="00694F4E">
              <w:rPr>
                <w:rFonts w:ascii="Book Antiqua" w:hAnsi="Book Antiqua"/>
                <w:lang w:val="en-US"/>
              </w:rPr>
              <w:t>Polyglandular syndrome</w:t>
            </w:r>
          </w:p>
        </w:tc>
        <w:tc>
          <w:tcPr>
            <w:tcW w:w="1461" w:type="pct"/>
            <w:shd w:val="clear" w:color="auto" w:fill="auto"/>
          </w:tcPr>
          <w:p w14:paraId="2A1BDBB5" w14:textId="018FFE07"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5 (4</w:t>
            </w:r>
            <w:r w:rsidR="00011C7C" w:rsidRPr="00694F4E">
              <w:rPr>
                <w:rFonts w:ascii="Book Antiqua" w:hAnsi="Book Antiqua"/>
                <w:lang w:val="en-US"/>
              </w:rPr>
              <w:t>)</w:t>
            </w:r>
          </w:p>
        </w:tc>
        <w:tc>
          <w:tcPr>
            <w:tcW w:w="1356" w:type="pct"/>
            <w:shd w:val="clear" w:color="auto" w:fill="auto"/>
          </w:tcPr>
          <w:p w14:paraId="09C87E1B" w14:textId="020177F0"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2 (6</w:t>
            </w:r>
            <w:r w:rsidR="00011C7C" w:rsidRPr="00694F4E">
              <w:rPr>
                <w:rFonts w:ascii="Book Antiqua" w:hAnsi="Book Antiqua"/>
                <w:lang w:val="en-US"/>
              </w:rPr>
              <w:t>)</w:t>
            </w:r>
          </w:p>
        </w:tc>
        <w:tc>
          <w:tcPr>
            <w:tcW w:w="619" w:type="pct"/>
            <w:shd w:val="clear" w:color="auto" w:fill="auto"/>
          </w:tcPr>
          <w:p w14:paraId="6B9A92FE"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0.23</w:t>
            </w:r>
          </w:p>
        </w:tc>
      </w:tr>
      <w:tr w:rsidR="00326BD4" w:rsidRPr="00694F4E" w14:paraId="27989003" w14:textId="77777777" w:rsidTr="00A23A51">
        <w:trPr>
          <w:trHeight w:val="454"/>
          <w:jc w:val="center"/>
        </w:trPr>
        <w:tc>
          <w:tcPr>
            <w:tcW w:w="1564" w:type="pct"/>
            <w:shd w:val="clear" w:color="auto" w:fill="auto"/>
          </w:tcPr>
          <w:p w14:paraId="195ACA42" w14:textId="2ED1E111"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APCA positivity</w:t>
            </w:r>
          </w:p>
        </w:tc>
        <w:tc>
          <w:tcPr>
            <w:tcW w:w="1461" w:type="pct"/>
            <w:shd w:val="clear" w:color="auto" w:fill="auto"/>
          </w:tcPr>
          <w:p w14:paraId="4B0E1301" w14:textId="6DE0DB56"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78 (89.7</w:t>
            </w:r>
            <w:r w:rsidR="00011C7C" w:rsidRPr="00694F4E">
              <w:rPr>
                <w:rFonts w:ascii="Book Antiqua" w:hAnsi="Book Antiqua"/>
                <w:lang w:val="en-US"/>
              </w:rPr>
              <w:t>)</w:t>
            </w:r>
          </w:p>
        </w:tc>
        <w:tc>
          <w:tcPr>
            <w:tcW w:w="1356" w:type="pct"/>
            <w:shd w:val="clear" w:color="auto" w:fill="auto"/>
          </w:tcPr>
          <w:p w14:paraId="75FBDCB6" w14:textId="027E4B3D"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25 (75.8</w:t>
            </w:r>
            <w:r w:rsidR="00011C7C" w:rsidRPr="00694F4E">
              <w:rPr>
                <w:rFonts w:ascii="Book Antiqua" w:hAnsi="Book Antiqua"/>
                <w:lang w:val="en-US"/>
              </w:rPr>
              <w:t>)</w:t>
            </w:r>
          </w:p>
        </w:tc>
        <w:tc>
          <w:tcPr>
            <w:tcW w:w="619" w:type="pct"/>
            <w:shd w:val="clear" w:color="auto" w:fill="auto"/>
          </w:tcPr>
          <w:p w14:paraId="5A4F19AB"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1.00</w:t>
            </w:r>
          </w:p>
        </w:tc>
      </w:tr>
      <w:tr w:rsidR="00326BD4" w:rsidRPr="00694F4E" w14:paraId="25609F70" w14:textId="77777777" w:rsidTr="00A23A51">
        <w:trPr>
          <w:trHeight w:val="454"/>
          <w:jc w:val="center"/>
        </w:trPr>
        <w:tc>
          <w:tcPr>
            <w:tcW w:w="1564" w:type="pct"/>
            <w:shd w:val="clear" w:color="auto" w:fill="auto"/>
          </w:tcPr>
          <w:p w14:paraId="22D9833B" w14:textId="3C4F9773"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ECL simple/linear hyperplasia</w:t>
            </w:r>
          </w:p>
        </w:tc>
        <w:tc>
          <w:tcPr>
            <w:tcW w:w="1461" w:type="pct"/>
            <w:shd w:val="clear" w:color="auto" w:fill="auto"/>
          </w:tcPr>
          <w:p w14:paraId="0D8C347F" w14:textId="77331401"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29 (33.3</w:t>
            </w:r>
            <w:r w:rsidR="00011C7C" w:rsidRPr="00694F4E">
              <w:rPr>
                <w:rFonts w:ascii="Book Antiqua" w:hAnsi="Book Antiqua"/>
                <w:lang w:val="en-US"/>
              </w:rPr>
              <w:t>)</w:t>
            </w:r>
          </w:p>
        </w:tc>
        <w:tc>
          <w:tcPr>
            <w:tcW w:w="1356" w:type="pct"/>
            <w:shd w:val="clear" w:color="auto" w:fill="auto"/>
          </w:tcPr>
          <w:p w14:paraId="56C6993E" w14:textId="15BA6B07"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7 (21</w:t>
            </w:r>
            <w:r w:rsidR="00011C7C" w:rsidRPr="00694F4E">
              <w:rPr>
                <w:rFonts w:ascii="Book Antiqua" w:hAnsi="Book Antiqua"/>
                <w:lang w:val="en-US"/>
              </w:rPr>
              <w:t>)</w:t>
            </w:r>
          </w:p>
        </w:tc>
        <w:tc>
          <w:tcPr>
            <w:tcW w:w="619" w:type="pct"/>
            <w:shd w:val="clear" w:color="auto" w:fill="auto"/>
          </w:tcPr>
          <w:p w14:paraId="1BF1C6B4"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1.01</w:t>
            </w:r>
          </w:p>
        </w:tc>
      </w:tr>
      <w:tr w:rsidR="00326BD4" w:rsidRPr="00694F4E" w14:paraId="4AC84DD2" w14:textId="77777777" w:rsidTr="00A23A51">
        <w:trPr>
          <w:trHeight w:val="454"/>
          <w:jc w:val="center"/>
        </w:trPr>
        <w:tc>
          <w:tcPr>
            <w:tcW w:w="1564" w:type="pct"/>
            <w:shd w:val="clear" w:color="auto" w:fill="auto"/>
          </w:tcPr>
          <w:p w14:paraId="06D1606F" w14:textId="5F1B7B21"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ECL micronodular hyperplasia</w:t>
            </w:r>
          </w:p>
        </w:tc>
        <w:tc>
          <w:tcPr>
            <w:tcW w:w="1461" w:type="pct"/>
            <w:shd w:val="clear" w:color="auto" w:fill="auto"/>
          </w:tcPr>
          <w:p w14:paraId="296D4683" w14:textId="18BD0D42"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23 (26.4</w:t>
            </w:r>
            <w:r w:rsidR="00011C7C" w:rsidRPr="00694F4E">
              <w:rPr>
                <w:rFonts w:ascii="Book Antiqua" w:hAnsi="Book Antiqua"/>
                <w:lang w:val="en-US"/>
              </w:rPr>
              <w:t>)</w:t>
            </w:r>
          </w:p>
        </w:tc>
        <w:tc>
          <w:tcPr>
            <w:tcW w:w="1356" w:type="pct"/>
            <w:shd w:val="clear" w:color="auto" w:fill="auto"/>
          </w:tcPr>
          <w:p w14:paraId="6036CE4E" w14:textId="5EA0F4E1"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11(33.3</w:t>
            </w:r>
            <w:r w:rsidR="00011C7C" w:rsidRPr="00694F4E">
              <w:rPr>
                <w:rFonts w:ascii="Book Antiqua" w:hAnsi="Book Antiqua"/>
                <w:lang w:val="en-US"/>
              </w:rPr>
              <w:t>)</w:t>
            </w:r>
          </w:p>
        </w:tc>
        <w:tc>
          <w:tcPr>
            <w:tcW w:w="619" w:type="pct"/>
            <w:shd w:val="clear" w:color="auto" w:fill="auto"/>
          </w:tcPr>
          <w:p w14:paraId="31956173"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0.73</w:t>
            </w:r>
          </w:p>
        </w:tc>
      </w:tr>
      <w:tr w:rsidR="00326BD4" w:rsidRPr="00694F4E" w14:paraId="6308FB60" w14:textId="77777777" w:rsidTr="00A23A51">
        <w:trPr>
          <w:trHeight w:val="454"/>
          <w:jc w:val="center"/>
        </w:trPr>
        <w:tc>
          <w:tcPr>
            <w:tcW w:w="1564" w:type="pct"/>
            <w:shd w:val="clear" w:color="auto" w:fill="auto"/>
          </w:tcPr>
          <w:p w14:paraId="015E515A" w14:textId="74B8582C"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ECL macronodular hyperplasia</w:t>
            </w:r>
          </w:p>
        </w:tc>
        <w:tc>
          <w:tcPr>
            <w:tcW w:w="1461" w:type="pct"/>
            <w:shd w:val="clear" w:color="auto" w:fill="auto"/>
          </w:tcPr>
          <w:p w14:paraId="1A6397EE" w14:textId="029697D9"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6 (6.8</w:t>
            </w:r>
            <w:r w:rsidR="00011C7C" w:rsidRPr="00694F4E">
              <w:rPr>
                <w:rFonts w:ascii="Book Antiqua" w:hAnsi="Book Antiqua"/>
                <w:lang w:val="en-US"/>
              </w:rPr>
              <w:t>)</w:t>
            </w:r>
          </w:p>
        </w:tc>
        <w:tc>
          <w:tcPr>
            <w:tcW w:w="1356" w:type="pct"/>
            <w:shd w:val="clear" w:color="auto" w:fill="auto"/>
          </w:tcPr>
          <w:p w14:paraId="79C83BB5" w14:textId="0C79F2D0"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1 (3</w:t>
            </w:r>
            <w:r w:rsidR="00011C7C" w:rsidRPr="00694F4E">
              <w:rPr>
                <w:rFonts w:ascii="Book Antiqua" w:hAnsi="Book Antiqua"/>
                <w:lang w:val="en-US"/>
              </w:rPr>
              <w:t>)</w:t>
            </w:r>
          </w:p>
        </w:tc>
        <w:tc>
          <w:tcPr>
            <w:tcW w:w="619" w:type="pct"/>
            <w:shd w:val="clear" w:color="auto" w:fill="auto"/>
          </w:tcPr>
          <w:p w14:paraId="11A78794"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0.94</w:t>
            </w:r>
          </w:p>
        </w:tc>
      </w:tr>
      <w:tr w:rsidR="00326BD4" w:rsidRPr="00694F4E" w14:paraId="0AF0FD95" w14:textId="77777777" w:rsidTr="00A23A51">
        <w:trPr>
          <w:trHeight w:val="454"/>
          <w:jc w:val="center"/>
        </w:trPr>
        <w:tc>
          <w:tcPr>
            <w:tcW w:w="1564" w:type="pct"/>
            <w:shd w:val="clear" w:color="auto" w:fill="auto"/>
          </w:tcPr>
          <w:p w14:paraId="6AA07E12" w14:textId="156091E2"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OLGIM II</w:t>
            </w:r>
            <w:r w:rsidR="0058451E" w:rsidRPr="00694F4E">
              <w:rPr>
                <w:rFonts w:ascii="Book Antiqua" w:hAnsi="Book Antiqua"/>
                <w:lang w:val="en-US"/>
              </w:rPr>
              <w:t>–</w:t>
            </w:r>
            <w:r w:rsidRPr="00694F4E">
              <w:rPr>
                <w:rFonts w:ascii="Book Antiqua" w:hAnsi="Book Antiqua"/>
                <w:lang w:val="en-US"/>
              </w:rPr>
              <w:t>IV</w:t>
            </w:r>
          </w:p>
        </w:tc>
        <w:tc>
          <w:tcPr>
            <w:tcW w:w="1461" w:type="pct"/>
            <w:shd w:val="clear" w:color="auto" w:fill="auto"/>
          </w:tcPr>
          <w:p w14:paraId="2A115D78" w14:textId="44646C89" w:rsidR="00011C7C" w:rsidRPr="00694F4E" w:rsidRDefault="00266DF5" w:rsidP="00A62589">
            <w:pPr>
              <w:spacing w:line="360" w:lineRule="auto"/>
              <w:jc w:val="both"/>
              <w:rPr>
                <w:rFonts w:ascii="Book Antiqua" w:hAnsi="Book Antiqua"/>
                <w:lang w:val="en-US"/>
              </w:rPr>
            </w:pPr>
            <w:r w:rsidRPr="00694F4E">
              <w:rPr>
                <w:rFonts w:ascii="Book Antiqua" w:hAnsi="Book Antiqua"/>
                <w:lang w:val="en-US"/>
              </w:rPr>
              <w:t>34 (39</w:t>
            </w:r>
            <w:r w:rsidRPr="00694F4E">
              <w:rPr>
                <w:rFonts w:ascii="Book Antiqua" w:hAnsi="Book Antiqua"/>
                <w:lang w:val="en-US" w:eastAsia="zh-CN"/>
              </w:rPr>
              <w:t>.</w:t>
            </w:r>
            <w:r w:rsidRPr="00694F4E">
              <w:rPr>
                <w:rFonts w:ascii="Book Antiqua" w:hAnsi="Book Antiqua"/>
                <w:lang w:val="en-US"/>
              </w:rPr>
              <w:t>1</w:t>
            </w:r>
            <w:r w:rsidR="00011C7C" w:rsidRPr="00694F4E">
              <w:rPr>
                <w:rFonts w:ascii="Book Antiqua" w:hAnsi="Book Antiqua"/>
                <w:lang w:val="en-US"/>
              </w:rPr>
              <w:t>)</w:t>
            </w:r>
          </w:p>
        </w:tc>
        <w:tc>
          <w:tcPr>
            <w:tcW w:w="1356" w:type="pct"/>
            <w:shd w:val="clear" w:color="auto" w:fill="auto"/>
          </w:tcPr>
          <w:p w14:paraId="773B91C4" w14:textId="3284B016"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 xml:space="preserve">17 </w:t>
            </w:r>
            <w:r w:rsidR="00266DF5" w:rsidRPr="00694F4E">
              <w:rPr>
                <w:rFonts w:ascii="Book Antiqua" w:hAnsi="Book Antiqua"/>
                <w:lang w:val="en-US"/>
              </w:rPr>
              <w:t>(51.5</w:t>
            </w:r>
            <w:r w:rsidRPr="00694F4E">
              <w:rPr>
                <w:rFonts w:ascii="Book Antiqua" w:hAnsi="Book Antiqua"/>
                <w:lang w:val="en-US"/>
              </w:rPr>
              <w:t>)</w:t>
            </w:r>
          </w:p>
        </w:tc>
        <w:tc>
          <w:tcPr>
            <w:tcW w:w="619" w:type="pct"/>
            <w:shd w:val="clear" w:color="auto" w:fill="auto"/>
          </w:tcPr>
          <w:p w14:paraId="43540FDA"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0.49</w:t>
            </w:r>
          </w:p>
        </w:tc>
      </w:tr>
      <w:tr w:rsidR="00326BD4" w:rsidRPr="00694F4E" w14:paraId="4145886A" w14:textId="77777777" w:rsidTr="00A23A51">
        <w:trPr>
          <w:trHeight w:val="454"/>
          <w:jc w:val="center"/>
        </w:trPr>
        <w:tc>
          <w:tcPr>
            <w:tcW w:w="1564" w:type="pct"/>
            <w:shd w:val="clear" w:color="auto" w:fill="auto"/>
          </w:tcPr>
          <w:p w14:paraId="5A3CF95F"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Chromogranin A (median)</w:t>
            </w:r>
          </w:p>
        </w:tc>
        <w:tc>
          <w:tcPr>
            <w:tcW w:w="1461" w:type="pct"/>
            <w:shd w:val="clear" w:color="auto" w:fill="auto"/>
          </w:tcPr>
          <w:p w14:paraId="70378CD9" w14:textId="34C93C68"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172 ng/mL </w:t>
            </w:r>
            <w:r w:rsidR="003A7DFC" w:rsidRPr="00694F4E">
              <w:rPr>
                <w:rFonts w:ascii="Book Antiqua" w:hAnsi="Book Antiqua"/>
                <w:lang w:val="en-US" w:eastAsia="zh-CN"/>
              </w:rPr>
              <w:t>(</w:t>
            </w:r>
            <w:r w:rsidRPr="00694F4E">
              <w:rPr>
                <w:rFonts w:ascii="Book Antiqua" w:hAnsi="Book Antiqua"/>
                <w:lang w:val="en-US"/>
              </w:rPr>
              <w:t>IQR</w:t>
            </w:r>
            <w:r w:rsidR="003A7DFC" w:rsidRPr="00694F4E">
              <w:rPr>
                <w:rFonts w:ascii="Book Antiqua" w:hAnsi="Book Antiqua"/>
                <w:lang w:val="en-US" w:eastAsia="zh-CN"/>
              </w:rPr>
              <w:t>:</w:t>
            </w:r>
            <w:r w:rsidRPr="00694F4E">
              <w:rPr>
                <w:rFonts w:ascii="Book Antiqua" w:hAnsi="Book Antiqua"/>
                <w:lang w:val="en-US"/>
              </w:rPr>
              <w:t xml:space="preserve"> 107</w:t>
            </w:r>
            <w:r w:rsidR="0058451E" w:rsidRPr="00694F4E">
              <w:rPr>
                <w:rFonts w:ascii="Book Antiqua" w:hAnsi="Book Antiqua"/>
                <w:lang w:val="en-US"/>
              </w:rPr>
              <w:t>–</w:t>
            </w:r>
            <w:r w:rsidRPr="00694F4E">
              <w:rPr>
                <w:rFonts w:ascii="Book Antiqua" w:hAnsi="Book Antiqua"/>
                <w:lang w:val="en-US"/>
              </w:rPr>
              <w:t>320</w:t>
            </w:r>
            <w:r w:rsidR="003A7DFC" w:rsidRPr="00694F4E">
              <w:rPr>
                <w:rFonts w:ascii="Book Antiqua" w:hAnsi="Book Antiqua"/>
                <w:lang w:val="en-US" w:eastAsia="zh-CN"/>
              </w:rPr>
              <w:t>)</w:t>
            </w:r>
          </w:p>
        </w:tc>
        <w:tc>
          <w:tcPr>
            <w:tcW w:w="1356" w:type="pct"/>
            <w:shd w:val="clear" w:color="auto" w:fill="auto"/>
          </w:tcPr>
          <w:p w14:paraId="1E234AC8" w14:textId="271F2931"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160 ng/mL </w:t>
            </w:r>
            <w:r w:rsidR="003A7DFC" w:rsidRPr="00694F4E">
              <w:rPr>
                <w:rFonts w:ascii="Book Antiqua" w:hAnsi="Book Antiqua"/>
                <w:lang w:val="en-US" w:eastAsia="zh-CN"/>
              </w:rPr>
              <w:t>(</w:t>
            </w:r>
            <w:r w:rsidRPr="00694F4E">
              <w:rPr>
                <w:rFonts w:ascii="Book Antiqua" w:hAnsi="Book Antiqua"/>
                <w:lang w:val="en-US"/>
              </w:rPr>
              <w:t>IQR</w:t>
            </w:r>
            <w:r w:rsidR="003A7DFC" w:rsidRPr="00694F4E">
              <w:rPr>
                <w:rFonts w:ascii="Book Antiqua" w:hAnsi="Book Antiqua"/>
                <w:lang w:val="en-US" w:eastAsia="zh-CN"/>
              </w:rPr>
              <w:t>:</w:t>
            </w:r>
            <w:r w:rsidRPr="00694F4E">
              <w:rPr>
                <w:rFonts w:ascii="Book Antiqua" w:hAnsi="Book Antiqua"/>
                <w:lang w:val="en-US"/>
              </w:rPr>
              <w:t xml:space="preserve"> 115</w:t>
            </w:r>
            <w:r w:rsidR="0058451E" w:rsidRPr="00694F4E">
              <w:rPr>
                <w:rFonts w:ascii="Book Antiqua" w:hAnsi="Book Antiqua"/>
                <w:lang w:val="en-US"/>
              </w:rPr>
              <w:t>–</w:t>
            </w:r>
            <w:r w:rsidRPr="00694F4E">
              <w:rPr>
                <w:rFonts w:ascii="Book Antiqua" w:hAnsi="Book Antiqua"/>
                <w:lang w:val="en-US"/>
              </w:rPr>
              <w:t>217</w:t>
            </w:r>
            <w:r w:rsidR="003A7DFC" w:rsidRPr="00694F4E">
              <w:rPr>
                <w:rFonts w:ascii="Book Antiqua" w:hAnsi="Book Antiqua"/>
                <w:lang w:val="en-US" w:eastAsia="zh-CN"/>
              </w:rPr>
              <w:t>)</w:t>
            </w:r>
          </w:p>
        </w:tc>
        <w:tc>
          <w:tcPr>
            <w:tcW w:w="619" w:type="pct"/>
            <w:shd w:val="clear" w:color="auto" w:fill="auto"/>
          </w:tcPr>
          <w:p w14:paraId="4AF8AE5A"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0.68</w:t>
            </w:r>
          </w:p>
        </w:tc>
      </w:tr>
      <w:tr w:rsidR="00326BD4" w:rsidRPr="00694F4E" w14:paraId="1E194BFC" w14:textId="77777777" w:rsidTr="00A23A51">
        <w:trPr>
          <w:trHeight w:val="454"/>
          <w:jc w:val="center"/>
        </w:trPr>
        <w:tc>
          <w:tcPr>
            <w:tcW w:w="1564" w:type="pct"/>
            <w:shd w:val="clear" w:color="auto" w:fill="auto"/>
          </w:tcPr>
          <w:p w14:paraId="238F1C8E"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Gastrin (median)</w:t>
            </w:r>
          </w:p>
        </w:tc>
        <w:tc>
          <w:tcPr>
            <w:tcW w:w="1461" w:type="pct"/>
            <w:shd w:val="clear" w:color="auto" w:fill="auto"/>
          </w:tcPr>
          <w:p w14:paraId="44474974" w14:textId="717BF43F"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688 pg/mL </w:t>
            </w:r>
            <w:r w:rsidR="003A7DFC" w:rsidRPr="00694F4E">
              <w:rPr>
                <w:rFonts w:ascii="Book Antiqua" w:hAnsi="Book Antiqua"/>
                <w:lang w:val="en-US" w:eastAsia="zh-CN"/>
              </w:rPr>
              <w:t>(</w:t>
            </w:r>
            <w:r w:rsidRPr="00694F4E">
              <w:rPr>
                <w:rFonts w:ascii="Book Antiqua" w:hAnsi="Book Antiqua"/>
                <w:lang w:val="en-US"/>
              </w:rPr>
              <w:t>IQR</w:t>
            </w:r>
            <w:r w:rsidR="003A7DFC" w:rsidRPr="00694F4E">
              <w:rPr>
                <w:rFonts w:ascii="Book Antiqua" w:hAnsi="Book Antiqua"/>
                <w:lang w:val="en-US" w:eastAsia="zh-CN"/>
              </w:rPr>
              <w:t>:</w:t>
            </w:r>
            <w:r w:rsidRPr="00694F4E">
              <w:rPr>
                <w:rFonts w:ascii="Book Antiqua" w:hAnsi="Book Antiqua"/>
                <w:lang w:val="en-US"/>
              </w:rPr>
              <w:t xml:space="preserve"> 423</w:t>
            </w:r>
            <w:r w:rsidR="0058451E" w:rsidRPr="00694F4E">
              <w:rPr>
                <w:rFonts w:ascii="Book Antiqua" w:hAnsi="Book Antiqua"/>
                <w:lang w:val="en-US"/>
              </w:rPr>
              <w:t>–</w:t>
            </w:r>
            <w:r w:rsidRPr="00694F4E">
              <w:rPr>
                <w:rFonts w:ascii="Book Antiqua" w:hAnsi="Book Antiqua"/>
                <w:lang w:val="en-US"/>
              </w:rPr>
              <w:t>1200</w:t>
            </w:r>
            <w:r w:rsidR="003A7DFC" w:rsidRPr="00694F4E">
              <w:rPr>
                <w:rFonts w:ascii="Book Antiqua" w:hAnsi="Book Antiqua"/>
                <w:lang w:val="en-US" w:eastAsia="zh-CN"/>
              </w:rPr>
              <w:t>)</w:t>
            </w:r>
          </w:p>
        </w:tc>
        <w:tc>
          <w:tcPr>
            <w:tcW w:w="1356" w:type="pct"/>
            <w:shd w:val="clear" w:color="auto" w:fill="auto"/>
          </w:tcPr>
          <w:p w14:paraId="7DD9C71F" w14:textId="3B55FE9C" w:rsidR="00011C7C" w:rsidRPr="00694F4E" w:rsidRDefault="00011C7C" w:rsidP="00A62589">
            <w:pPr>
              <w:spacing w:line="360" w:lineRule="auto"/>
              <w:jc w:val="both"/>
              <w:rPr>
                <w:rFonts w:ascii="Book Antiqua" w:hAnsi="Book Antiqua"/>
                <w:lang w:val="en-US" w:eastAsia="zh-CN"/>
              </w:rPr>
            </w:pPr>
            <w:r w:rsidRPr="00694F4E">
              <w:rPr>
                <w:rFonts w:ascii="Book Antiqua" w:hAnsi="Book Antiqua"/>
                <w:lang w:val="en-US"/>
              </w:rPr>
              <w:t xml:space="preserve">992 pg/mL </w:t>
            </w:r>
            <w:r w:rsidR="003A7DFC" w:rsidRPr="00694F4E">
              <w:rPr>
                <w:rFonts w:ascii="Book Antiqua" w:hAnsi="Book Antiqua"/>
                <w:lang w:val="en-US" w:eastAsia="zh-CN"/>
              </w:rPr>
              <w:t>(</w:t>
            </w:r>
            <w:r w:rsidRPr="00694F4E">
              <w:rPr>
                <w:rFonts w:ascii="Book Antiqua" w:hAnsi="Book Antiqua"/>
                <w:lang w:val="en-US"/>
              </w:rPr>
              <w:t>IQR</w:t>
            </w:r>
            <w:r w:rsidR="003A7DFC" w:rsidRPr="00694F4E">
              <w:rPr>
                <w:rFonts w:ascii="Book Antiqua" w:hAnsi="Book Antiqua"/>
                <w:lang w:val="en-US" w:eastAsia="zh-CN"/>
              </w:rPr>
              <w:t>:</w:t>
            </w:r>
            <w:r w:rsidRPr="00694F4E">
              <w:rPr>
                <w:rFonts w:ascii="Book Antiqua" w:hAnsi="Book Antiqua"/>
                <w:lang w:val="en-US"/>
              </w:rPr>
              <w:t xml:space="preserve"> 449</w:t>
            </w:r>
            <w:r w:rsidR="0058451E" w:rsidRPr="00694F4E">
              <w:rPr>
                <w:rFonts w:ascii="Book Antiqua" w:hAnsi="Book Antiqua"/>
                <w:lang w:val="en-US"/>
              </w:rPr>
              <w:t>–</w:t>
            </w:r>
            <w:r w:rsidRPr="00694F4E">
              <w:rPr>
                <w:rFonts w:ascii="Book Antiqua" w:hAnsi="Book Antiqua"/>
                <w:lang w:val="en-US"/>
              </w:rPr>
              <w:t>1500</w:t>
            </w:r>
            <w:r w:rsidR="003A7DFC" w:rsidRPr="00694F4E">
              <w:rPr>
                <w:rFonts w:ascii="Book Antiqua" w:hAnsi="Book Antiqua"/>
                <w:lang w:val="en-US" w:eastAsia="zh-CN"/>
              </w:rPr>
              <w:t>)</w:t>
            </w:r>
          </w:p>
        </w:tc>
        <w:tc>
          <w:tcPr>
            <w:tcW w:w="619" w:type="pct"/>
            <w:shd w:val="clear" w:color="auto" w:fill="auto"/>
          </w:tcPr>
          <w:p w14:paraId="26B8E441" w14:textId="77777777" w:rsidR="00011C7C" w:rsidRPr="00694F4E" w:rsidRDefault="00011C7C" w:rsidP="00A62589">
            <w:pPr>
              <w:spacing w:line="360" w:lineRule="auto"/>
              <w:jc w:val="both"/>
              <w:rPr>
                <w:rFonts w:ascii="Book Antiqua" w:hAnsi="Book Antiqua"/>
                <w:lang w:val="en-US"/>
              </w:rPr>
            </w:pPr>
            <w:r w:rsidRPr="00694F4E">
              <w:rPr>
                <w:rFonts w:ascii="Book Antiqua" w:hAnsi="Book Antiqua"/>
                <w:lang w:val="en-US"/>
              </w:rPr>
              <w:t>0.03</w:t>
            </w:r>
          </w:p>
        </w:tc>
      </w:tr>
    </w:tbl>
    <w:p w14:paraId="32CE4772" w14:textId="6EA4DF9A" w:rsidR="00011C7C" w:rsidRPr="00694F4E" w:rsidRDefault="007B5D4C" w:rsidP="00A62589">
      <w:pPr>
        <w:spacing w:line="360" w:lineRule="auto"/>
        <w:jc w:val="both"/>
        <w:rPr>
          <w:rFonts w:ascii="Book Antiqua" w:hAnsi="Book Antiqua"/>
          <w:b/>
          <w:lang w:eastAsia="zh-CN"/>
        </w:rPr>
      </w:pPr>
      <w:r w:rsidRPr="00694F4E">
        <w:rPr>
          <w:rFonts w:ascii="Book Antiqua" w:hAnsi="Book Antiqua"/>
          <w:iCs/>
        </w:rPr>
        <w:t xml:space="preserve">AIG: </w:t>
      </w:r>
      <w:r w:rsidR="002E1852" w:rsidRPr="00694F4E">
        <w:rPr>
          <w:rFonts w:ascii="Book Antiqua" w:hAnsi="Book Antiqua"/>
          <w:iCs/>
          <w:lang w:eastAsia="zh-CN"/>
        </w:rPr>
        <w:t>A</w:t>
      </w:r>
      <w:r w:rsidR="002E1852" w:rsidRPr="00694F4E">
        <w:rPr>
          <w:rFonts w:ascii="Book Antiqua" w:hAnsi="Book Antiqua"/>
          <w:iCs/>
        </w:rPr>
        <w:t>uto</w:t>
      </w:r>
      <w:r w:rsidR="002E1852" w:rsidRPr="00694F4E">
        <w:rPr>
          <w:rFonts w:ascii="Book Antiqua" w:hAnsi="Book Antiqua"/>
          <w:iCs/>
          <w:lang w:eastAsia="zh-CN"/>
        </w:rPr>
        <w:t>-i</w:t>
      </w:r>
      <w:r w:rsidR="002E1852" w:rsidRPr="00694F4E">
        <w:rPr>
          <w:rFonts w:ascii="Book Antiqua" w:hAnsi="Book Antiqua"/>
          <w:iCs/>
        </w:rPr>
        <w:t xml:space="preserve">mmune </w:t>
      </w:r>
      <w:r w:rsidR="002E1852" w:rsidRPr="00694F4E">
        <w:rPr>
          <w:rFonts w:ascii="Book Antiqua" w:hAnsi="Book Antiqua"/>
          <w:iCs/>
          <w:lang w:eastAsia="zh-CN"/>
        </w:rPr>
        <w:t>g</w:t>
      </w:r>
      <w:r w:rsidR="002E1852" w:rsidRPr="00694F4E">
        <w:rPr>
          <w:rFonts w:ascii="Book Antiqua" w:hAnsi="Book Antiqua"/>
          <w:iCs/>
        </w:rPr>
        <w:t>astritis</w:t>
      </w:r>
      <w:r w:rsidRPr="00694F4E">
        <w:rPr>
          <w:rFonts w:ascii="Book Antiqua" w:hAnsi="Book Antiqua"/>
          <w:iCs/>
        </w:rPr>
        <w:t>; APCA: Anti-</w:t>
      </w:r>
      <w:r w:rsidR="00DC2F81" w:rsidRPr="00694F4E">
        <w:rPr>
          <w:rFonts w:ascii="Book Antiqua" w:hAnsi="Book Antiqua"/>
          <w:iCs/>
          <w:lang w:eastAsia="zh-CN"/>
        </w:rPr>
        <w:t>p</w:t>
      </w:r>
      <w:r w:rsidRPr="00694F4E">
        <w:rPr>
          <w:rFonts w:ascii="Book Antiqua" w:hAnsi="Book Antiqua"/>
          <w:iCs/>
        </w:rPr>
        <w:t xml:space="preserve">arietal </w:t>
      </w:r>
      <w:r w:rsidR="00DC2F81" w:rsidRPr="00694F4E">
        <w:rPr>
          <w:rFonts w:ascii="Book Antiqua" w:hAnsi="Book Antiqua"/>
          <w:iCs/>
          <w:lang w:eastAsia="zh-CN"/>
        </w:rPr>
        <w:t>c</w:t>
      </w:r>
      <w:r w:rsidRPr="00694F4E">
        <w:rPr>
          <w:rFonts w:ascii="Book Antiqua" w:hAnsi="Book Antiqua"/>
          <w:iCs/>
        </w:rPr>
        <w:t xml:space="preserve">ell </w:t>
      </w:r>
      <w:r w:rsidR="00D24562" w:rsidRPr="00694F4E">
        <w:rPr>
          <w:rFonts w:ascii="Book Antiqua" w:hAnsi="Book Antiqua"/>
          <w:iCs/>
          <w:lang w:eastAsia="zh-CN"/>
        </w:rPr>
        <w:t>a</w:t>
      </w:r>
      <w:r w:rsidR="00D24562" w:rsidRPr="00694F4E">
        <w:rPr>
          <w:rFonts w:ascii="Book Antiqua" w:hAnsi="Book Antiqua"/>
          <w:iCs/>
        </w:rPr>
        <w:t>ntibody</w:t>
      </w:r>
      <w:r w:rsidRPr="00694F4E">
        <w:rPr>
          <w:rFonts w:ascii="Book Antiqua" w:hAnsi="Book Antiqua"/>
          <w:iCs/>
        </w:rPr>
        <w:t xml:space="preserve">; ECL: Enterochromaffin-like cells; OLGIM: Operative Link </w:t>
      </w:r>
      <w:r w:rsidR="00D454AF" w:rsidRPr="00694F4E">
        <w:rPr>
          <w:rFonts w:ascii="Book Antiqua" w:hAnsi="Book Antiqua"/>
          <w:iCs/>
          <w:lang w:eastAsia="zh-CN"/>
        </w:rPr>
        <w:t>o</w:t>
      </w:r>
      <w:r w:rsidRPr="00694F4E">
        <w:rPr>
          <w:rFonts w:ascii="Book Antiqua" w:hAnsi="Book Antiqua"/>
          <w:iCs/>
        </w:rPr>
        <w:t>n Intestinal Metaplasia Assessment</w:t>
      </w:r>
      <w:r w:rsidR="00566CAF" w:rsidRPr="00694F4E">
        <w:rPr>
          <w:rFonts w:ascii="Book Antiqua" w:hAnsi="Book Antiqua"/>
          <w:iCs/>
          <w:lang w:eastAsia="zh-CN"/>
        </w:rPr>
        <w:t xml:space="preserve">; </w:t>
      </w:r>
      <w:r w:rsidR="00566CAF" w:rsidRPr="00694F4E">
        <w:rPr>
          <w:rFonts w:ascii="Book Antiqua" w:eastAsia="Book Antiqua" w:hAnsi="Book Antiqua" w:cs="Book Antiqua"/>
          <w:color w:val="000000"/>
          <w:shd w:val="clear" w:color="auto" w:fill="FFFFFF"/>
        </w:rPr>
        <w:t>gNENs</w:t>
      </w:r>
      <w:r w:rsidR="00566CAF" w:rsidRPr="00694F4E">
        <w:rPr>
          <w:rFonts w:ascii="Book Antiqua" w:hAnsi="Book Antiqua" w:cs="Book Antiqua"/>
          <w:color w:val="000000"/>
          <w:shd w:val="clear" w:color="auto" w:fill="FFFFFF"/>
          <w:lang w:eastAsia="zh-CN"/>
        </w:rPr>
        <w:t>:</w:t>
      </w:r>
      <w:r w:rsidR="00566CAF" w:rsidRPr="00694F4E">
        <w:rPr>
          <w:rFonts w:ascii="Book Antiqua" w:eastAsia="Book Antiqua" w:hAnsi="Book Antiqua" w:cs="Book Antiqua"/>
          <w:color w:val="000000"/>
          <w:shd w:val="clear" w:color="auto" w:fill="FFFFFF"/>
        </w:rPr>
        <w:t xml:space="preserve"> </w:t>
      </w:r>
      <w:r w:rsidR="00616B64" w:rsidRPr="00694F4E">
        <w:rPr>
          <w:rFonts w:ascii="Book Antiqua" w:eastAsia="Book Antiqua" w:hAnsi="Book Antiqua" w:cs="Book Antiqua"/>
          <w:color w:val="000000"/>
          <w:shd w:val="clear" w:color="auto" w:fill="FFFFFF"/>
        </w:rPr>
        <w:t>Gastric neuroendocrine neoplasms</w:t>
      </w:r>
      <w:r w:rsidR="00566CAF" w:rsidRPr="00694F4E">
        <w:rPr>
          <w:rFonts w:ascii="Book Antiqua" w:hAnsi="Book Antiqua" w:cs="Book Antiqua"/>
          <w:color w:val="000000"/>
          <w:shd w:val="clear" w:color="auto" w:fill="FFFFFF"/>
          <w:lang w:eastAsia="zh-CN"/>
        </w:rPr>
        <w:t>.</w:t>
      </w:r>
    </w:p>
    <w:sectPr w:rsidR="00011C7C" w:rsidRPr="00694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D37A" w14:textId="77777777" w:rsidR="001C23A7" w:rsidRDefault="001C23A7" w:rsidP="004D2826">
      <w:r>
        <w:separator/>
      </w:r>
    </w:p>
  </w:endnote>
  <w:endnote w:type="continuationSeparator" w:id="0">
    <w:p w14:paraId="669750B4" w14:textId="77777777" w:rsidR="001C23A7" w:rsidRDefault="001C23A7" w:rsidP="004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1108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98DF1D" w14:textId="7FBDE69E" w:rsidR="004C3389" w:rsidRPr="004C3389" w:rsidRDefault="004C3389">
            <w:pPr>
              <w:pStyle w:val="Footer"/>
              <w:jc w:val="right"/>
              <w:rPr>
                <w:rFonts w:ascii="Book Antiqua" w:hAnsi="Book Antiqua"/>
                <w:sz w:val="24"/>
                <w:szCs w:val="24"/>
              </w:rPr>
            </w:pPr>
            <w:r>
              <w:rPr>
                <w:lang w:val="zh-CN" w:eastAsia="zh-CN"/>
              </w:rPr>
              <w:t xml:space="preserve"> </w:t>
            </w:r>
            <w:r w:rsidRPr="004C3389">
              <w:rPr>
                <w:rFonts w:ascii="Book Antiqua" w:hAnsi="Book Antiqua"/>
                <w:b/>
                <w:bCs/>
                <w:sz w:val="24"/>
                <w:szCs w:val="24"/>
              </w:rPr>
              <w:fldChar w:fldCharType="begin"/>
            </w:r>
            <w:r w:rsidRPr="004C3389">
              <w:rPr>
                <w:rFonts w:ascii="Book Antiqua" w:hAnsi="Book Antiqua"/>
                <w:b/>
                <w:bCs/>
                <w:sz w:val="24"/>
                <w:szCs w:val="24"/>
              </w:rPr>
              <w:instrText>PAGE</w:instrText>
            </w:r>
            <w:r w:rsidRPr="004C3389">
              <w:rPr>
                <w:rFonts w:ascii="Book Antiqua" w:hAnsi="Book Antiqua"/>
                <w:b/>
                <w:bCs/>
                <w:sz w:val="24"/>
                <w:szCs w:val="24"/>
              </w:rPr>
              <w:fldChar w:fldCharType="separate"/>
            </w:r>
            <w:r w:rsidR="000106F4">
              <w:rPr>
                <w:rFonts w:ascii="Book Antiqua" w:hAnsi="Book Antiqua"/>
                <w:b/>
                <w:bCs/>
                <w:noProof/>
                <w:sz w:val="24"/>
                <w:szCs w:val="24"/>
              </w:rPr>
              <w:t>1</w:t>
            </w:r>
            <w:r w:rsidRPr="004C3389">
              <w:rPr>
                <w:rFonts w:ascii="Book Antiqua" w:hAnsi="Book Antiqua"/>
                <w:b/>
                <w:bCs/>
                <w:sz w:val="24"/>
                <w:szCs w:val="24"/>
              </w:rPr>
              <w:fldChar w:fldCharType="end"/>
            </w:r>
            <w:r w:rsidRPr="004C3389">
              <w:rPr>
                <w:rFonts w:ascii="Book Antiqua" w:hAnsi="Book Antiqua"/>
                <w:sz w:val="24"/>
                <w:szCs w:val="24"/>
                <w:lang w:val="zh-CN" w:eastAsia="zh-CN"/>
              </w:rPr>
              <w:t xml:space="preserve"> / </w:t>
            </w:r>
            <w:r w:rsidRPr="004C3389">
              <w:rPr>
                <w:rFonts w:ascii="Book Antiqua" w:hAnsi="Book Antiqua"/>
                <w:b/>
                <w:bCs/>
                <w:sz w:val="24"/>
                <w:szCs w:val="24"/>
              </w:rPr>
              <w:fldChar w:fldCharType="begin"/>
            </w:r>
            <w:r w:rsidRPr="004C3389">
              <w:rPr>
                <w:rFonts w:ascii="Book Antiqua" w:hAnsi="Book Antiqua"/>
                <w:b/>
                <w:bCs/>
                <w:sz w:val="24"/>
                <w:szCs w:val="24"/>
              </w:rPr>
              <w:instrText>NUMPAGES</w:instrText>
            </w:r>
            <w:r w:rsidRPr="004C3389">
              <w:rPr>
                <w:rFonts w:ascii="Book Antiqua" w:hAnsi="Book Antiqua"/>
                <w:b/>
                <w:bCs/>
                <w:sz w:val="24"/>
                <w:szCs w:val="24"/>
              </w:rPr>
              <w:fldChar w:fldCharType="separate"/>
            </w:r>
            <w:r w:rsidR="000106F4">
              <w:rPr>
                <w:rFonts w:ascii="Book Antiqua" w:hAnsi="Book Antiqua"/>
                <w:b/>
                <w:bCs/>
                <w:noProof/>
                <w:sz w:val="24"/>
                <w:szCs w:val="24"/>
              </w:rPr>
              <w:t>28</w:t>
            </w:r>
            <w:r w:rsidRPr="004C3389">
              <w:rPr>
                <w:rFonts w:ascii="Book Antiqua" w:hAnsi="Book Antiqua"/>
                <w:b/>
                <w:bCs/>
                <w:sz w:val="24"/>
                <w:szCs w:val="24"/>
              </w:rPr>
              <w:fldChar w:fldCharType="end"/>
            </w:r>
          </w:p>
        </w:sdtContent>
      </w:sdt>
    </w:sdtContent>
  </w:sdt>
  <w:p w14:paraId="3E27E16E" w14:textId="77777777" w:rsidR="004C3389" w:rsidRDefault="004C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AD1C" w14:textId="77777777" w:rsidR="001C23A7" w:rsidRDefault="001C23A7" w:rsidP="004D2826">
      <w:r>
        <w:separator/>
      </w:r>
    </w:p>
  </w:footnote>
  <w:footnote w:type="continuationSeparator" w:id="0">
    <w:p w14:paraId="5E6B72B6" w14:textId="77777777" w:rsidR="001C23A7" w:rsidRDefault="001C23A7" w:rsidP="004D2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1MTMyMTI0tzc3MzYyUdpeDU4uLM/DyQAsNaAH1BYiUsAAAA"/>
  </w:docVars>
  <w:rsids>
    <w:rsidRoot w:val="00A77B3E"/>
    <w:rsid w:val="000106F4"/>
    <w:rsid w:val="00011C7C"/>
    <w:rsid w:val="00013E27"/>
    <w:rsid w:val="00022C5E"/>
    <w:rsid w:val="000813A2"/>
    <w:rsid w:val="00095237"/>
    <w:rsid w:val="000A41B2"/>
    <w:rsid w:val="000B10D8"/>
    <w:rsid w:val="000B648E"/>
    <w:rsid w:val="000D5C88"/>
    <w:rsid w:val="000E021C"/>
    <w:rsid w:val="00111A95"/>
    <w:rsid w:val="00111BA5"/>
    <w:rsid w:val="00122173"/>
    <w:rsid w:val="00126107"/>
    <w:rsid w:val="001459A6"/>
    <w:rsid w:val="001618E8"/>
    <w:rsid w:val="001639C7"/>
    <w:rsid w:val="001833FF"/>
    <w:rsid w:val="00186A46"/>
    <w:rsid w:val="001A0756"/>
    <w:rsid w:val="001B3E10"/>
    <w:rsid w:val="001C23A7"/>
    <w:rsid w:val="001C3DE1"/>
    <w:rsid w:val="001D064E"/>
    <w:rsid w:val="001D2CC9"/>
    <w:rsid w:val="0020665C"/>
    <w:rsid w:val="002137E9"/>
    <w:rsid w:val="002273D1"/>
    <w:rsid w:val="00236F2E"/>
    <w:rsid w:val="00252DF5"/>
    <w:rsid w:val="00263571"/>
    <w:rsid w:val="00266DF5"/>
    <w:rsid w:val="002679C2"/>
    <w:rsid w:val="002679F1"/>
    <w:rsid w:val="00283349"/>
    <w:rsid w:val="002B23F0"/>
    <w:rsid w:val="002B7B41"/>
    <w:rsid w:val="002C60E0"/>
    <w:rsid w:val="002C66BE"/>
    <w:rsid w:val="002E1852"/>
    <w:rsid w:val="002E4B23"/>
    <w:rsid w:val="00326BD4"/>
    <w:rsid w:val="003543E8"/>
    <w:rsid w:val="003646EA"/>
    <w:rsid w:val="00372D96"/>
    <w:rsid w:val="003731CF"/>
    <w:rsid w:val="003A7DFC"/>
    <w:rsid w:val="003B59E0"/>
    <w:rsid w:val="003C0337"/>
    <w:rsid w:val="003C7B42"/>
    <w:rsid w:val="003D0BA6"/>
    <w:rsid w:val="003F1462"/>
    <w:rsid w:val="00411E64"/>
    <w:rsid w:val="004277AF"/>
    <w:rsid w:val="00434BA6"/>
    <w:rsid w:val="004516BA"/>
    <w:rsid w:val="0045573E"/>
    <w:rsid w:val="00471E9D"/>
    <w:rsid w:val="0048673B"/>
    <w:rsid w:val="004C3389"/>
    <w:rsid w:val="004D2826"/>
    <w:rsid w:val="004E50B6"/>
    <w:rsid w:val="005314E6"/>
    <w:rsid w:val="00540F41"/>
    <w:rsid w:val="005616F0"/>
    <w:rsid w:val="00566CAF"/>
    <w:rsid w:val="00575C3D"/>
    <w:rsid w:val="0058451E"/>
    <w:rsid w:val="005948FE"/>
    <w:rsid w:val="00596335"/>
    <w:rsid w:val="005A7B25"/>
    <w:rsid w:val="005B1906"/>
    <w:rsid w:val="005F0CA4"/>
    <w:rsid w:val="00616B64"/>
    <w:rsid w:val="00616D67"/>
    <w:rsid w:val="00633BB1"/>
    <w:rsid w:val="00635C71"/>
    <w:rsid w:val="00637BA2"/>
    <w:rsid w:val="00651F8A"/>
    <w:rsid w:val="0066752C"/>
    <w:rsid w:val="00667F68"/>
    <w:rsid w:val="00670A44"/>
    <w:rsid w:val="00693307"/>
    <w:rsid w:val="00694F4E"/>
    <w:rsid w:val="006A7301"/>
    <w:rsid w:val="006C01BF"/>
    <w:rsid w:val="006C25AC"/>
    <w:rsid w:val="006C7AAF"/>
    <w:rsid w:val="006E5646"/>
    <w:rsid w:val="006F2ED2"/>
    <w:rsid w:val="006F42CB"/>
    <w:rsid w:val="00702D9D"/>
    <w:rsid w:val="00712D82"/>
    <w:rsid w:val="007206FD"/>
    <w:rsid w:val="00737C72"/>
    <w:rsid w:val="00744557"/>
    <w:rsid w:val="007505E3"/>
    <w:rsid w:val="007529F4"/>
    <w:rsid w:val="00755BA7"/>
    <w:rsid w:val="007561F6"/>
    <w:rsid w:val="007722B5"/>
    <w:rsid w:val="007A6334"/>
    <w:rsid w:val="007B0F75"/>
    <w:rsid w:val="007B5D4C"/>
    <w:rsid w:val="007E2FB8"/>
    <w:rsid w:val="00804875"/>
    <w:rsid w:val="00810B1E"/>
    <w:rsid w:val="00812D17"/>
    <w:rsid w:val="00830EC3"/>
    <w:rsid w:val="008330D4"/>
    <w:rsid w:val="00837E07"/>
    <w:rsid w:val="008440A1"/>
    <w:rsid w:val="00852D28"/>
    <w:rsid w:val="0087252D"/>
    <w:rsid w:val="008803A5"/>
    <w:rsid w:val="00880C1E"/>
    <w:rsid w:val="00886CEC"/>
    <w:rsid w:val="00897BFA"/>
    <w:rsid w:val="008C0FFD"/>
    <w:rsid w:val="008C694C"/>
    <w:rsid w:val="008D120E"/>
    <w:rsid w:val="008D3D5E"/>
    <w:rsid w:val="008E2DF7"/>
    <w:rsid w:val="00904B97"/>
    <w:rsid w:val="009430DD"/>
    <w:rsid w:val="0096578A"/>
    <w:rsid w:val="00987571"/>
    <w:rsid w:val="009979DF"/>
    <w:rsid w:val="009C70D3"/>
    <w:rsid w:val="00A23A51"/>
    <w:rsid w:val="00A27E32"/>
    <w:rsid w:val="00A3750F"/>
    <w:rsid w:val="00A607BD"/>
    <w:rsid w:val="00A62589"/>
    <w:rsid w:val="00A635CF"/>
    <w:rsid w:val="00A77B3E"/>
    <w:rsid w:val="00A946EC"/>
    <w:rsid w:val="00AB658C"/>
    <w:rsid w:val="00AB7A01"/>
    <w:rsid w:val="00AD5D1F"/>
    <w:rsid w:val="00AF29FE"/>
    <w:rsid w:val="00B00D04"/>
    <w:rsid w:val="00B1055C"/>
    <w:rsid w:val="00B14AA3"/>
    <w:rsid w:val="00B876A1"/>
    <w:rsid w:val="00B91BE9"/>
    <w:rsid w:val="00B96834"/>
    <w:rsid w:val="00BD18B6"/>
    <w:rsid w:val="00BF3AEC"/>
    <w:rsid w:val="00C16C43"/>
    <w:rsid w:val="00C26062"/>
    <w:rsid w:val="00C34D27"/>
    <w:rsid w:val="00C42205"/>
    <w:rsid w:val="00C73C6F"/>
    <w:rsid w:val="00C76880"/>
    <w:rsid w:val="00C775E3"/>
    <w:rsid w:val="00C94E46"/>
    <w:rsid w:val="00CA2A55"/>
    <w:rsid w:val="00CA358E"/>
    <w:rsid w:val="00CA744A"/>
    <w:rsid w:val="00CE0B44"/>
    <w:rsid w:val="00D02AB8"/>
    <w:rsid w:val="00D157AA"/>
    <w:rsid w:val="00D215A0"/>
    <w:rsid w:val="00D22137"/>
    <w:rsid w:val="00D235F2"/>
    <w:rsid w:val="00D24562"/>
    <w:rsid w:val="00D27891"/>
    <w:rsid w:val="00D4263E"/>
    <w:rsid w:val="00D44170"/>
    <w:rsid w:val="00D454AF"/>
    <w:rsid w:val="00D47DB8"/>
    <w:rsid w:val="00D52BF6"/>
    <w:rsid w:val="00D660A6"/>
    <w:rsid w:val="00D85AD6"/>
    <w:rsid w:val="00DA157A"/>
    <w:rsid w:val="00DA7544"/>
    <w:rsid w:val="00DC067B"/>
    <w:rsid w:val="00DC2F81"/>
    <w:rsid w:val="00DC533A"/>
    <w:rsid w:val="00DC54BE"/>
    <w:rsid w:val="00DE55CD"/>
    <w:rsid w:val="00DF5A5B"/>
    <w:rsid w:val="00E03BF7"/>
    <w:rsid w:val="00E35613"/>
    <w:rsid w:val="00E37C5F"/>
    <w:rsid w:val="00E40574"/>
    <w:rsid w:val="00E46A2C"/>
    <w:rsid w:val="00E531A2"/>
    <w:rsid w:val="00E54933"/>
    <w:rsid w:val="00E67D23"/>
    <w:rsid w:val="00E70B9E"/>
    <w:rsid w:val="00E71BE6"/>
    <w:rsid w:val="00E73B4E"/>
    <w:rsid w:val="00E77CA2"/>
    <w:rsid w:val="00E81F7D"/>
    <w:rsid w:val="00E94BAA"/>
    <w:rsid w:val="00ED2813"/>
    <w:rsid w:val="00ED5B7C"/>
    <w:rsid w:val="00EE0479"/>
    <w:rsid w:val="00EE11D9"/>
    <w:rsid w:val="00F000B0"/>
    <w:rsid w:val="00F362A7"/>
    <w:rsid w:val="00F367B3"/>
    <w:rsid w:val="00F5501E"/>
    <w:rsid w:val="00F63D37"/>
    <w:rsid w:val="00FA6CAB"/>
    <w:rsid w:val="00FB5A29"/>
    <w:rsid w:val="00FB79D2"/>
    <w:rsid w:val="00FC5A5B"/>
    <w:rsid w:val="00FE02F3"/>
    <w:rsid w:val="00FE2E3D"/>
    <w:rsid w:val="00FE33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8C06D"/>
  <w15:docId w15:val="{F6E70E06-434D-9F4A-B29F-8525D6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8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D2826"/>
    <w:rPr>
      <w:sz w:val="18"/>
      <w:szCs w:val="18"/>
    </w:rPr>
  </w:style>
  <w:style w:type="paragraph" w:styleId="Footer">
    <w:name w:val="footer"/>
    <w:basedOn w:val="Normal"/>
    <w:link w:val="FooterChar"/>
    <w:uiPriority w:val="99"/>
    <w:rsid w:val="004D28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D2826"/>
    <w:rPr>
      <w:sz w:val="18"/>
      <w:szCs w:val="18"/>
    </w:rPr>
  </w:style>
  <w:style w:type="character" w:styleId="CommentReference">
    <w:name w:val="annotation reference"/>
    <w:basedOn w:val="DefaultParagraphFont"/>
    <w:rsid w:val="00BD18B6"/>
    <w:rPr>
      <w:sz w:val="21"/>
      <w:szCs w:val="21"/>
    </w:rPr>
  </w:style>
  <w:style w:type="paragraph" w:styleId="CommentText">
    <w:name w:val="annotation text"/>
    <w:basedOn w:val="Normal"/>
    <w:link w:val="CommentTextChar"/>
    <w:rsid w:val="00BD18B6"/>
  </w:style>
  <w:style w:type="character" w:customStyle="1" w:styleId="CommentTextChar">
    <w:name w:val="Comment Text Char"/>
    <w:basedOn w:val="DefaultParagraphFont"/>
    <w:link w:val="CommentText"/>
    <w:rsid w:val="00BD18B6"/>
    <w:rPr>
      <w:sz w:val="24"/>
      <w:szCs w:val="24"/>
    </w:rPr>
  </w:style>
  <w:style w:type="paragraph" w:styleId="CommentSubject">
    <w:name w:val="annotation subject"/>
    <w:basedOn w:val="CommentText"/>
    <w:next w:val="CommentText"/>
    <w:link w:val="CommentSubjectChar"/>
    <w:rsid w:val="00BD18B6"/>
    <w:rPr>
      <w:b/>
      <w:bCs/>
    </w:rPr>
  </w:style>
  <w:style w:type="character" w:customStyle="1" w:styleId="CommentSubjectChar">
    <w:name w:val="Comment Subject Char"/>
    <w:basedOn w:val="CommentTextChar"/>
    <w:link w:val="CommentSubject"/>
    <w:rsid w:val="00BD18B6"/>
    <w:rPr>
      <w:b/>
      <w:bCs/>
      <w:sz w:val="24"/>
      <w:szCs w:val="24"/>
    </w:rPr>
  </w:style>
  <w:style w:type="paragraph" w:styleId="BalloonText">
    <w:name w:val="Balloon Text"/>
    <w:basedOn w:val="Normal"/>
    <w:link w:val="BalloonTextChar"/>
    <w:rsid w:val="00BD18B6"/>
    <w:rPr>
      <w:sz w:val="18"/>
      <w:szCs w:val="18"/>
    </w:rPr>
  </w:style>
  <w:style w:type="character" w:customStyle="1" w:styleId="BalloonTextChar">
    <w:name w:val="Balloon Text Char"/>
    <w:basedOn w:val="DefaultParagraphFont"/>
    <w:link w:val="BalloonText"/>
    <w:rsid w:val="00BD18B6"/>
    <w:rPr>
      <w:sz w:val="18"/>
      <w:szCs w:val="18"/>
    </w:rPr>
  </w:style>
  <w:style w:type="paragraph" w:styleId="Revision">
    <w:name w:val="Revision"/>
    <w:hidden/>
    <w:uiPriority w:val="99"/>
    <w:semiHidden/>
    <w:rsid w:val="00E40574"/>
    <w:rPr>
      <w:sz w:val="24"/>
      <w:szCs w:val="24"/>
    </w:rPr>
  </w:style>
  <w:style w:type="table" w:customStyle="1" w:styleId="GridTable4-Accent11">
    <w:name w:val="Grid Table 4 - Accent 11"/>
    <w:basedOn w:val="TableNormal"/>
    <w:uiPriority w:val="49"/>
    <w:rsid w:val="00011C7C"/>
    <w:rPr>
      <w:rFonts w:asciiTheme="minorHAnsi" w:hAnsiTheme="minorHAnsi" w:cstheme="minorBidi"/>
      <w:sz w:val="22"/>
      <w:szCs w:val="22"/>
      <w:lang w:val="it-I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263571"/>
    <w:pPr>
      <w:spacing w:before="100" w:beforeAutospacing="1" w:after="100" w:afterAutospacing="1"/>
    </w:pPr>
    <w:rPr>
      <w:rFonts w:ascii="SimSun" w:eastAsia="SimSun" w:hAnsi="SimSun" w:cs="SimSun"/>
      <w:lang w:eastAsia="zh-CN"/>
    </w:rPr>
  </w:style>
  <w:style w:type="character" w:customStyle="1" w:styleId="dxdefaultcursor">
    <w:name w:val="dxdefaultcursor"/>
    <w:basedOn w:val="DefaultParagraphFont"/>
    <w:rsid w:val="00D4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8806">
      <w:bodyDiv w:val="1"/>
      <w:marLeft w:val="0"/>
      <w:marRight w:val="0"/>
      <w:marTop w:val="0"/>
      <w:marBottom w:val="0"/>
      <w:divBdr>
        <w:top w:val="none" w:sz="0" w:space="0" w:color="auto"/>
        <w:left w:val="none" w:sz="0" w:space="0" w:color="auto"/>
        <w:bottom w:val="none" w:sz="0" w:space="0" w:color="auto"/>
        <w:right w:val="none" w:sz="0" w:space="0" w:color="auto"/>
      </w:divBdr>
    </w:div>
    <w:div w:id="431704485">
      <w:bodyDiv w:val="1"/>
      <w:marLeft w:val="0"/>
      <w:marRight w:val="0"/>
      <w:marTop w:val="0"/>
      <w:marBottom w:val="0"/>
      <w:divBdr>
        <w:top w:val="none" w:sz="0" w:space="0" w:color="auto"/>
        <w:left w:val="none" w:sz="0" w:space="0" w:color="auto"/>
        <w:bottom w:val="none" w:sz="0" w:space="0" w:color="auto"/>
        <w:right w:val="none" w:sz="0" w:space="0" w:color="auto"/>
      </w:divBdr>
    </w:div>
    <w:div w:id="61290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2F1B1B31-B06C-4304-98FB-BBE2CEC0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6897</Words>
  <Characters>39317</Characters>
  <Application>Microsoft Office Word</Application>
  <DocSecurity>0</DocSecurity>
  <Lines>327</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Massironi</dc:creator>
  <cp:lastModifiedBy>Cathel Kerr</cp:lastModifiedBy>
  <cp:revision>3</cp:revision>
  <dcterms:created xsi:type="dcterms:W3CDTF">2023-07-12T07:59:00Z</dcterms:created>
  <dcterms:modified xsi:type="dcterms:W3CDTF">2023-07-12T08:05:00Z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id="ogHwYERH"/&gt;&lt;style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GrammarlyDocumentId">
    <vt:lpwstr>59a2bb12a26c10eb4a56f71d5d7df9d266013ac2630814d0d3bfae8fc39a3ea3</vt:lpwstr>
  </property>
</Properties>
</file>