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D4" w:rsidRPr="00F160D4" w:rsidRDefault="00F160D4" w:rsidP="00F160D4">
      <w:pPr>
        <w:spacing w:line="360" w:lineRule="auto"/>
        <w:rPr>
          <w:rFonts w:ascii="Book Antiqua" w:hAnsi="Book Antiqua" w:cs="Tahoma"/>
          <w:b/>
          <w:color w:val="000000"/>
          <w:sz w:val="24"/>
        </w:rPr>
      </w:pPr>
      <w:r w:rsidRPr="00F160D4">
        <w:rPr>
          <w:rFonts w:ascii="Book Antiqua" w:hAnsi="Book Antiqua" w:cs="Tahoma"/>
          <w:b/>
          <w:color w:val="0000FF"/>
          <w:sz w:val="24"/>
        </w:rPr>
        <w:t xml:space="preserve">Name of journal: </w:t>
      </w:r>
      <w:r w:rsidRPr="00F160D4">
        <w:rPr>
          <w:rFonts w:ascii="Book Antiqua" w:hAnsi="Book Antiqua" w:cs="Tahoma"/>
          <w:b/>
          <w:color w:val="000000"/>
          <w:sz w:val="24"/>
        </w:rPr>
        <w:t>World Journal of Gastroenterology</w:t>
      </w:r>
    </w:p>
    <w:p w:rsidR="00F160D4" w:rsidRPr="00F160D4" w:rsidRDefault="00F160D4" w:rsidP="00F160D4">
      <w:pPr>
        <w:spacing w:line="360" w:lineRule="auto"/>
        <w:rPr>
          <w:rFonts w:ascii="Book Antiqua" w:hAnsi="Book Antiqua" w:cs="Tahoma"/>
          <w:b/>
          <w:color w:val="0000FF"/>
          <w:sz w:val="24"/>
        </w:rPr>
      </w:pPr>
      <w:r w:rsidRPr="00F160D4">
        <w:rPr>
          <w:rFonts w:ascii="Book Antiqua" w:hAnsi="Book Antiqua" w:cs="Tahoma"/>
          <w:b/>
          <w:color w:val="0000FF"/>
          <w:sz w:val="24"/>
        </w:rPr>
        <w:t>ESPS Manuscript NO:</w:t>
      </w:r>
      <w:r>
        <w:rPr>
          <w:rFonts w:ascii="Book Antiqua" w:hAnsi="Book Antiqua" w:cs="Tahoma" w:hint="eastAsia"/>
          <w:b/>
          <w:color w:val="0000FF"/>
          <w:sz w:val="24"/>
        </w:rPr>
        <w:t xml:space="preserve"> 8623</w:t>
      </w:r>
    </w:p>
    <w:p w:rsidR="00F160D4" w:rsidRPr="00F160D4" w:rsidRDefault="00F160D4" w:rsidP="00F160D4">
      <w:pPr>
        <w:spacing w:line="360" w:lineRule="auto"/>
        <w:rPr>
          <w:rFonts w:ascii="Book Antiqua" w:hAnsi="Book Antiqua" w:cs="Tahoma"/>
          <w:b/>
          <w:sz w:val="24"/>
        </w:rPr>
      </w:pPr>
      <w:r w:rsidRPr="00F160D4">
        <w:rPr>
          <w:rFonts w:ascii="Book Antiqua" w:hAnsi="Book Antiqua" w:cs="Tahoma"/>
          <w:b/>
          <w:color w:val="0000FF"/>
          <w:sz w:val="24"/>
        </w:rPr>
        <w:t>Columns:</w:t>
      </w:r>
      <w:r w:rsidRPr="00F160D4">
        <w:rPr>
          <w:rFonts w:ascii="Book Antiqua" w:hAnsi="Book Antiqua"/>
          <w:sz w:val="24"/>
        </w:rPr>
        <w:t xml:space="preserve"> </w:t>
      </w:r>
      <w:r w:rsidR="00EA0736" w:rsidRPr="00F160D4">
        <w:rPr>
          <w:rFonts w:ascii="Book Antiqua" w:hAnsi="Book Antiqua"/>
          <w:b/>
          <w:sz w:val="24"/>
        </w:rPr>
        <w:t>PROSPECTIVE STUDY</w:t>
      </w:r>
    </w:p>
    <w:p w:rsidR="00F160D4" w:rsidRPr="00F160D4" w:rsidRDefault="00F160D4" w:rsidP="00F160D4">
      <w:pPr>
        <w:spacing w:line="360" w:lineRule="auto"/>
        <w:rPr>
          <w:rFonts w:ascii="Book Antiqua" w:hAnsi="Book Antiqua" w:cs="Tahoma"/>
          <w:b/>
          <w:color w:val="000000"/>
          <w:sz w:val="24"/>
        </w:rPr>
      </w:pPr>
    </w:p>
    <w:p w:rsidR="00841022" w:rsidRPr="00F160D4" w:rsidRDefault="00841022" w:rsidP="00F160D4">
      <w:pPr>
        <w:spacing w:line="360" w:lineRule="auto"/>
        <w:rPr>
          <w:rFonts w:ascii="Book Antiqua" w:hAnsi="Book Antiqua"/>
          <w:b/>
          <w:sz w:val="24"/>
        </w:rPr>
      </w:pPr>
      <w:r w:rsidRPr="00F160D4">
        <w:rPr>
          <w:rFonts w:ascii="Book Antiqua" w:hAnsi="Book Antiqua"/>
          <w:b/>
          <w:sz w:val="24"/>
        </w:rPr>
        <w:t xml:space="preserve">Comparative quality of life study between endoscopic </w:t>
      </w:r>
      <w:proofErr w:type="spellStart"/>
      <w:r w:rsidRPr="00F160D4">
        <w:rPr>
          <w:rFonts w:ascii="Book Antiqua" w:hAnsi="Book Antiqua"/>
          <w:b/>
          <w:sz w:val="24"/>
        </w:rPr>
        <w:t>sphincterotomy</w:t>
      </w:r>
      <w:proofErr w:type="spellEnd"/>
      <w:r w:rsidRPr="00F160D4">
        <w:rPr>
          <w:rFonts w:ascii="Book Antiqua" w:hAnsi="Book Antiqua"/>
          <w:b/>
          <w:sz w:val="24"/>
        </w:rPr>
        <w:t xml:space="preserve"> and surgical </w:t>
      </w:r>
      <w:proofErr w:type="spellStart"/>
      <w:r w:rsidRPr="00F160D4">
        <w:rPr>
          <w:rFonts w:ascii="Book Antiqua" w:hAnsi="Book Antiqua"/>
          <w:b/>
          <w:sz w:val="24"/>
        </w:rPr>
        <w:t>choledochotomy</w:t>
      </w:r>
      <w:proofErr w:type="spellEnd"/>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Liu F </w:t>
      </w:r>
      <w:r w:rsidRPr="00F160D4">
        <w:rPr>
          <w:rFonts w:ascii="Book Antiqua" w:hAnsi="Book Antiqua"/>
          <w:i/>
          <w:sz w:val="24"/>
        </w:rPr>
        <w:t>et al</w:t>
      </w:r>
      <w:r w:rsidRPr="00F160D4">
        <w:rPr>
          <w:rFonts w:ascii="Book Antiqua" w:hAnsi="Book Antiqua"/>
          <w:sz w:val="24"/>
        </w:rPr>
        <w:t xml:space="preserve">. </w:t>
      </w:r>
      <w:proofErr w:type="spellStart"/>
      <w:r w:rsidRPr="00F160D4">
        <w:rPr>
          <w:rFonts w:ascii="Book Antiqua" w:hAnsi="Book Antiqua"/>
          <w:sz w:val="24"/>
        </w:rPr>
        <w:t>QoL</w:t>
      </w:r>
      <w:proofErr w:type="spellEnd"/>
      <w:r w:rsidRPr="00F160D4">
        <w:rPr>
          <w:rFonts w:ascii="Book Antiqua" w:hAnsi="Book Antiqua"/>
          <w:sz w:val="24"/>
        </w:rPr>
        <w:t xml:space="preserve"> in EST </w:t>
      </w:r>
      <w:r w:rsidRPr="00EA0736">
        <w:rPr>
          <w:rFonts w:ascii="Book Antiqua" w:hAnsi="Book Antiqua"/>
          <w:i/>
          <w:sz w:val="24"/>
        </w:rPr>
        <w:t>vs</w:t>
      </w:r>
      <w:r w:rsidRPr="00F160D4">
        <w:rPr>
          <w:rFonts w:ascii="Book Antiqua" w:hAnsi="Book Antiqua"/>
          <w:sz w:val="24"/>
        </w:rPr>
        <w:t xml:space="preserve"> OCT</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sz w:val="24"/>
          <w:vertAlign w:val="superscript"/>
        </w:rPr>
      </w:pPr>
      <w:r w:rsidRPr="00F160D4">
        <w:rPr>
          <w:rFonts w:ascii="Book Antiqua" w:hAnsi="Book Antiqua"/>
          <w:sz w:val="24"/>
        </w:rPr>
        <w:t>Feng Liu,</w:t>
      </w:r>
      <w:r w:rsidRPr="00F160D4">
        <w:rPr>
          <w:rFonts w:ascii="Book Antiqua" w:hAnsi="Book Antiqua"/>
          <w:sz w:val="24"/>
          <w:vertAlign w:val="superscript"/>
        </w:rPr>
        <w:t xml:space="preserve"> </w:t>
      </w:r>
      <w:proofErr w:type="spellStart"/>
      <w:r w:rsidRPr="00F160D4">
        <w:rPr>
          <w:rFonts w:ascii="Book Antiqua" w:hAnsi="Book Antiqua"/>
          <w:sz w:val="24"/>
        </w:rPr>
        <w:t>Xue</w:t>
      </w:r>
      <w:proofErr w:type="spellEnd"/>
      <w:r w:rsidRPr="00F160D4">
        <w:rPr>
          <w:rFonts w:ascii="Book Antiqua" w:hAnsi="Book Antiqua"/>
          <w:sz w:val="24"/>
        </w:rPr>
        <w:t xml:space="preserve"> Bai, </w:t>
      </w:r>
      <w:proofErr w:type="spellStart"/>
      <w:r w:rsidRPr="00F160D4">
        <w:rPr>
          <w:rFonts w:ascii="Book Antiqua" w:hAnsi="Book Antiqua"/>
          <w:sz w:val="24"/>
        </w:rPr>
        <w:t>Guang</w:t>
      </w:r>
      <w:proofErr w:type="spellEnd"/>
      <w:r w:rsidRPr="00F160D4">
        <w:rPr>
          <w:rFonts w:ascii="Book Antiqua" w:hAnsi="Book Antiqua"/>
          <w:sz w:val="24"/>
        </w:rPr>
        <w:t>-</w:t>
      </w:r>
      <w:r w:rsidR="00F160D4" w:rsidRPr="00F160D4">
        <w:rPr>
          <w:rFonts w:ascii="Book Antiqua" w:hAnsi="Book Antiqua"/>
          <w:sz w:val="24"/>
        </w:rPr>
        <w:t xml:space="preserve">Feng </w:t>
      </w:r>
      <w:proofErr w:type="spellStart"/>
      <w:r w:rsidRPr="00F160D4">
        <w:rPr>
          <w:rFonts w:ascii="Book Antiqua" w:hAnsi="Book Antiqua"/>
          <w:sz w:val="24"/>
        </w:rPr>
        <w:t>Duan</w:t>
      </w:r>
      <w:proofErr w:type="spellEnd"/>
      <w:r w:rsidRPr="00F160D4">
        <w:rPr>
          <w:rFonts w:ascii="Book Antiqua" w:hAnsi="Book Antiqua"/>
          <w:sz w:val="24"/>
        </w:rPr>
        <w:t>, Wen-</w:t>
      </w:r>
      <w:r w:rsidR="00F160D4" w:rsidRPr="00F160D4">
        <w:rPr>
          <w:rFonts w:ascii="Book Antiqua" w:hAnsi="Book Antiqua"/>
          <w:sz w:val="24"/>
        </w:rPr>
        <w:t xml:space="preserve">Hua </w:t>
      </w:r>
      <w:proofErr w:type="spellStart"/>
      <w:r w:rsidRPr="00F160D4">
        <w:rPr>
          <w:rFonts w:ascii="Book Antiqua" w:hAnsi="Book Antiqua"/>
          <w:sz w:val="24"/>
        </w:rPr>
        <w:t>Tian</w:t>
      </w:r>
      <w:proofErr w:type="spellEnd"/>
      <w:r w:rsidRPr="00F160D4">
        <w:rPr>
          <w:rFonts w:ascii="Book Antiqua" w:hAnsi="Book Antiqua"/>
          <w:sz w:val="24"/>
        </w:rPr>
        <w:t>,</w:t>
      </w:r>
      <w:r w:rsidRPr="00F160D4">
        <w:rPr>
          <w:rFonts w:ascii="Book Antiqua" w:hAnsi="Book Antiqua"/>
          <w:sz w:val="24"/>
          <w:vertAlign w:val="superscript"/>
        </w:rPr>
        <w:t xml:space="preserve"> </w:t>
      </w:r>
      <w:r w:rsidRPr="00F160D4">
        <w:rPr>
          <w:rFonts w:ascii="Book Antiqua" w:hAnsi="Book Antiqua"/>
          <w:sz w:val="24"/>
        </w:rPr>
        <w:t>Zhao-</w:t>
      </w:r>
      <w:r w:rsidR="00F160D4" w:rsidRPr="00F160D4">
        <w:rPr>
          <w:rFonts w:ascii="Book Antiqua" w:hAnsi="Book Antiqua"/>
          <w:sz w:val="24"/>
        </w:rPr>
        <w:t xml:space="preserve">Shen </w:t>
      </w:r>
      <w:r w:rsidRPr="00F160D4">
        <w:rPr>
          <w:rFonts w:ascii="Book Antiqua" w:hAnsi="Book Antiqua"/>
          <w:sz w:val="24"/>
        </w:rPr>
        <w:t>Li, Bin Song</w:t>
      </w:r>
    </w:p>
    <w:p w:rsidR="00841022" w:rsidRPr="00F160D4" w:rsidRDefault="00841022" w:rsidP="00F160D4">
      <w:pPr>
        <w:spacing w:line="360" w:lineRule="auto"/>
        <w:rPr>
          <w:rFonts w:ascii="Book Antiqua" w:hAnsi="Book Antiqua"/>
          <w:sz w:val="24"/>
        </w:rPr>
      </w:pPr>
      <w:r w:rsidRPr="00F160D4">
        <w:rPr>
          <w:rFonts w:ascii="Book Antiqua" w:hAnsi="Book Antiqua"/>
          <w:noProof/>
          <w:sz w:val="24"/>
        </w:rPr>
        <mc:AlternateContent>
          <mc:Choice Requires="wps">
            <w:drawing>
              <wp:anchor distT="0" distB="0" distL="114300" distR="114300" simplePos="0" relativeHeight="251659264" behindDoc="0" locked="0" layoutInCell="1" allowOverlap="1" wp14:anchorId="24BC80E7" wp14:editId="6EA9D73C">
                <wp:simplePos x="0" y="0"/>
                <wp:positionH relativeFrom="column">
                  <wp:posOffset>-7620</wp:posOffset>
                </wp:positionH>
                <wp:positionV relativeFrom="paragraph">
                  <wp:posOffset>182880</wp:posOffset>
                </wp:positionV>
                <wp:extent cx="5722620" cy="7620"/>
                <wp:effectExtent l="19050" t="20955" r="20955" b="19050"/>
                <wp:wrapThrough wrapText="bothSides">
                  <wp:wrapPolygon edited="0">
                    <wp:start x="-79" y="-2147482800"/>
                    <wp:lineTo x="-79" y="-2147482800"/>
                    <wp:lineTo x="21638" y="-2147482800"/>
                    <wp:lineTo x="21638" y="-2147482800"/>
                    <wp:lineTo x="-79" y="-2147482800"/>
                  </wp:wrapPolygon>
                </wp:wrapThrough>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762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4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" strokecolor="gray" strokeweight="3pt">
                <w10:wrap type="through"/>
              </v:line>
            </w:pict>
          </mc:Fallback>
        </mc:AlternateContent>
      </w:r>
    </w:p>
    <w:p w:rsidR="00841022" w:rsidRPr="00F160D4" w:rsidRDefault="00841022" w:rsidP="00F160D4">
      <w:pPr>
        <w:spacing w:line="360" w:lineRule="auto"/>
        <w:rPr>
          <w:rFonts w:ascii="Book Antiqua" w:hAnsi="Book Antiqua"/>
          <w:sz w:val="24"/>
        </w:rPr>
      </w:pPr>
      <w:r w:rsidRPr="00F160D4">
        <w:rPr>
          <w:rFonts w:ascii="Book Antiqua" w:hAnsi="Book Antiqua"/>
          <w:b/>
          <w:sz w:val="24"/>
        </w:rPr>
        <w:t>Feng Liu, Zhao-</w:t>
      </w:r>
      <w:r w:rsidR="00F160D4" w:rsidRPr="00F160D4">
        <w:rPr>
          <w:rFonts w:ascii="Book Antiqua" w:hAnsi="Book Antiqua"/>
          <w:b/>
          <w:sz w:val="24"/>
        </w:rPr>
        <w:t xml:space="preserve">Shen </w:t>
      </w:r>
      <w:r w:rsidRPr="00F160D4">
        <w:rPr>
          <w:rFonts w:ascii="Book Antiqua" w:hAnsi="Book Antiqua"/>
          <w:b/>
          <w:sz w:val="24"/>
        </w:rPr>
        <w:t>Li, Bin Song,</w:t>
      </w:r>
      <w:r w:rsidRPr="00F160D4">
        <w:rPr>
          <w:rFonts w:ascii="Book Antiqua" w:hAnsi="Book Antiqua"/>
          <w:sz w:val="24"/>
        </w:rPr>
        <w:t xml:space="preserve"> Department of Gastroenterology, </w:t>
      </w:r>
      <w:r w:rsidR="00EA0736" w:rsidRPr="00F160D4">
        <w:rPr>
          <w:rFonts w:ascii="Book Antiqua" w:hAnsi="Book Antiqua"/>
          <w:sz w:val="24"/>
        </w:rPr>
        <w:t xml:space="preserve">Shanghai </w:t>
      </w:r>
      <w:r w:rsidRPr="00F160D4">
        <w:rPr>
          <w:rFonts w:ascii="Book Antiqua" w:hAnsi="Book Antiqua"/>
          <w:sz w:val="24"/>
        </w:rPr>
        <w:t xml:space="preserve">Hospital of the Second Military Medical University, </w:t>
      </w:r>
      <w:bookmarkStart w:id="0" w:name="OLE_LINK3"/>
      <w:bookmarkStart w:id="1" w:name="OLE_LINK6"/>
      <w:r w:rsidRPr="00F160D4">
        <w:rPr>
          <w:rFonts w:ascii="Book Antiqua" w:hAnsi="Book Antiqua"/>
          <w:sz w:val="24"/>
        </w:rPr>
        <w:t>Shanghai</w:t>
      </w:r>
      <w:bookmarkEnd w:id="0"/>
      <w:bookmarkEnd w:id="1"/>
      <w:r w:rsidRPr="00F160D4">
        <w:rPr>
          <w:rFonts w:ascii="Book Antiqua" w:hAnsi="Book Antiqua"/>
          <w:sz w:val="24"/>
        </w:rPr>
        <w:t xml:space="preserve"> 200433, China</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sz w:val="24"/>
        </w:rPr>
      </w:pPr>
      <w:proofErr w:type="spellStart"/>
      <w:r w:rsidRPr="00F160D4">
        <w:rPr>
          <w:rFonts w:ascii="Book Antiqua" w:hAnsi="Book Antiqua"/>
          <w:b/>
          <w:sz w:val="24"/>
        </w:rPr>
        <w:t>Xue</w:t>
      </w:r>
      <w:proofErr w:type="spellEnd"/>
      <w:r w:rsidRPr="00F160D4">
        <w:rPr>
          <w:rFonts w:ascii="Book Antiqua" w:hAnsi="Book Antiqua"/>
          <w:b/>
          <w:sz w:val="24"/>
        </w:rPr>
        <w:t xml:space="preserve"> Bai, </w:t>
      </w:r>
      <w:proofErr w:type="spellStart"/>
      <w:r w:rsidRPr="00F160D4">
        <w:rPr>
          <w:rFonts w:ascii="Book Antiqua" w:hAnsi="Book Antiqua"/>
          <w:b/>
          <w:sz w:val="24"/>
        </w:rPr>
        <w:t>Guang</w:t>
      </w:r>
      <w:proofErr w:type="spellEnd"/>
      <w:r w:rsidRPr="00F160D4">
        <w:rPr>
          <w:rFonts w:ascii="Book Antiqua" w:hAnsi="Book Antiqua"/>
          <w:b/>
          <w:sz w:val="24"/>
        </w:rPr>
        <w:t>-</w:t>
      </w:r>
      <w:r w:rsidR="00F160D4" w:rsidRPr="00F160D4">
        <w:rPr>
          <w:rFonts w:ascii="Book Antiqua" w:hAnsi="Book Antiqua"/>
          <w:b/>
          <w:sz w:val="24"/>
        </w:rPr>
        <w:t xml:space="preserve">Feng </w:t>
      </w:r>
      <w:proofErr w:type="spellStart"/>
      <w:r w:rsidRPr="00F160D4">
        <w:rPr>
          <w:rFonts w:ascii="Book Antiqua" w:hAnsi="Book Antiqua"/>
          <w:b/>
          <w:sz w:val="24"/>
        </w:rPr>
        <w:t>Duan</w:t>
      </w:r>
      <w:proofErr w:type="spellEnd"/>
      <w:r w:rsidRPr="00F160D4">
        <w:rPr>
          <w:rFonts w:ascii="Book Antiqua" w:hAnsi="Book Antiqua"/>
          <w:b/>
          <w:sz w:val="24"/>
        </w:rPr>
        <w:t>, Wen-</w:t>
      </w:r>
      <w:r w:rsidR="00F160D4" w:rsidRPr="00F160D4">
        <w:rPr>
          <w:rFonts w:ascii="Book Antiqua" w:hAnsi="Book Antiqua"/>
          <w:b/>
          <w:sz w:val="24"/>
        </w:rPr>
        <w:t xml:space="preserve">Hua </w:t>
      </w:r>
      <w:proofErr w:type="spellStart"/>
      <w:r w:rsidRPr="00F160D4">
        <w:rPr>
          <w:rFonts w:ascii="Book Antiqua" w:hAnsi="Book Antiqua"/>
          <w:b/>
          <w:sz w:val="24"/>
        </w:rPr>
        <w:t>Tian</w:t>
      </w:r>
      <w:proofErr w:type="spellEnd"/>
      <w:r w:rsidRPr="00F160D4">
        <w:rPr>
          <w:rFonts w:ascii="Book Antiqua" w:hAnsi="Book Antiqua"/>
          <w:b/>
          <w:sz w:val="24"/>
        </w:rPr>
        <w:t>,</w:t>
      </w:r>
      <w:r w:rsidRPr="00F160D4">
        <w:rPr>
          <w:rFonts w:ascii="Book Antiqua" w:hAnsi="Book Antiqua"/>
          <w:sz w:val="24"/>
        </w:rPr>
        <w:t xml:space="preserve"> Department of Health Services Management, Second Military Medical University, Shanghai 200433, China</w:t>
      </w:r>
    </w:p>
    <w:p w:rsidR="00841022" w:rsidRPr="00F160D4" w:rsidRDefault="00841022" w:rsidP="00F160D4">
      <w:pPr>
        <w:spacing w:line="360" w:lineRule="auto"/>
        <w:rPr>
          <w:rFonts w:ascii="Book Antiqua" w:hAnsi="Book Antiqua"/>
          <w:sz w:val="24"/>
        </w:rPr>
      </w:pPr>
    </w:p>
    <w:p w:rsidR="00841022" w:rsidRPr="00F160D4" w:rsidRDefault="00841022" w:rsidP="00F160D4">
      <w:pPr>
        <w:autoSpaceDE w:val="0"/>
        <w:autoSpaceDN w:val="0"/>
        <w:adjustRightInd w:val="0"/>
        <w:spacing w:line="360" w:lineRule="auto"/>
        <w:rPr>
          <w:rFonts w:ascii="Book Antiqua" w:hAnsi="Book Antiqua"/>
          <w:sz w:val="24"/>
        </w:rPr>
      </w:pPr>
      <w:bookmarkStart w:id="2" w:name="OLE_LINK231"/>
      <w:bookmarkStart w:id="3" w:name="OLE_LINK234"/>
      <w:bookmarkStart w:id="4" w:name="OLE_LINK342"/>
      <w:r w:rsidRPr="00F160D4">
        <w:rPr>
          <w:rFonts w:ascii="Book Antiqua" w:eastAsia="MS Mincho" w:hAnsi="Book Antiqua"/>
          <w:b/>
          <w:sz w:val="24"/>
          <w:lang w:eastAsia="ja-JP"/>
        </w:rPr>
        <w:t>Author contributions:</w:t>
      </w:r>
      <w:r w:rsidRPr="00F160D4">
        <w:rPr>
          <w:rFonts w:ascii="Book Antiqua" w:hAnsi="Book Antiqua"/>
          <w:sz w:val="24"/>
        </w:rPr>
        <w:t xml:space="preserve"> Liu F and </w:t>
      </w:r>
      <w:proofErr w:type="spellStart"/>
      <w:r w:rsidRPr="00F160D4">
        <w:rPr>
          <w:rFonts w:ascii="Book Antiqua" w:hAnsi="Book Antiqua"/>
          <w:sz w:val="24"/>
        </w:rPr>
        <w:t>Tian</w:t>
      </w:r>
      <w:proofErr w:type="spellEnd"/>
      <w:r w:rsidRPr="00F160D4">
        <w:rPr>
          <w:rFonts w:ascii="Book Antiqua" w:hAnsi="Book Antiqua"/>
          <w:sz w:val="24"/>
        </w:rPr>
        <w:t xml:space="preserve"> WH designed this study; Liu F collected the data for the </w:t>
      </w:r>
      <w:proofErr w:type="spellStart"/>
      <w:r w:rsidRPr="00F160D4">
        <w:rPr>
          <w:rFonts w:ascii="Book Antiqua" w:hAnsi="Book Antiqua"/>
          <w:sz w:val="24"/>
        </w:rPr>
        <w:t>choledocholithiasis</w:t>
      </w:r>
      <w:proofErr w:type="spellEnd"/>
      <w:r w:rsidRPr="00F160D4">
        <w:rPr>
          <w:rFonts w:ascii="Book Antiqua" w:hAnsi="Book Antiqua"/>
          <w:sz w:val="24"/>
        </w:rPr>
        <w:t xml:space="preserve"> cases; Bai X and </w:t>
      </w:r>
      <w:proofErr w:type="spellStart"/>
      <w:r w:rsidRPr="00F160D4">
        <w:rPr>
          <w:rFonts w:ascii="Book Antiqua" w:hAnsi="Book Antiqua"/>
          <w:sz w:val="24"/>
        </w:rPr>
        <w:t>Duan</w:t>
      </w:r>
      <w:proofErr w:type="spellEnd"/>
      <w:r w:rsidRPr="00F160D4">
        <w:rPr>
          <w:rFonts w:ascii="Book Antiqua" w:hAnsi="Book Antiqua"/>
          <w:sz w:val="24"/>
        </w:rPr>
        <w:t xml:space="preserve"> GF performed the literature review and the quality of life survey; </w:t>
      </w:r>
      <w:proofErr w:type="spellStart"/>
      <w:r w:rsidRPr="00F160D4">
        <w:rPr>
          <w:rFonts w:ascii="Book Antiqua" w:hAnsi="Book Antiqua"/>
          <w:sz w:val="24"/>
        </w:rPr>
        <w:t>Tian</w:t>
      </w:r>
      <w:proofErr w:type="spellEnd"/>
      <w:r w:rsidRPr="00F160D4">
        <w:rPr>
          <w:rFonts w:ascii="Book Antiqua" w:hAnsi="Book Antiqua"/>
          <w:sz w:val="24"/>
        </w:rPr>
        <w:t xml:space="preserve"> WH wrote and revised the manuscript; Li ZS and Song B coordinated and provided the case collection; Liu F, Bai X and </w:t>
      </w:r>
      <w:proofErr w:type="spellStart"/>
      <w:r w:rsidRPr="00F160D4">
        <w:rPr>
          <w:rFonts w:ascii="Book Antiqua" w:hAnsi="Book Antiqua"/>
          <w:sz w:val="24"/>
        </w:rPr>
        <w:t>Duan</w:t>
      </w:r>
      <w:proofErr w:type="spellEnd"/>
      <w:r w:rsidRPr="00F160D4">
        <w:rPr>
          <w:rFonts w:ascii="Book Antiqua" w:hAnsi="Book Antiqua"/>
          <w:sz w:val="24"/>
        </w:rPr>
        <w:t xml:space="preserve"> GF analyzed the data, wrote the manuscript, and contributed equally to this study</w:t>
      </w:r>
      <w:bookmarkEnd w:id="2"/>
      <w:bookmarkEnd w:id="3"/>
      <w:bookmarkEnd w:id="4"/>
      <w:r w:rsidRPr="00F160D4">
        <w:rPr>
          <w:rFonts w:ascii="Book Antiqua" w:hAnsi="Book Antiqua"/>
          <w:sz w:val="24"/>
        </w:rPr>
        <w:t>.</w:t>
      </w:r>
    </w:p>
    <w:p w:rsidR="00841022" w:rsidRPr="00F160D4" w:rsidRDefault="00841022" w:rsidP="00F160D4">
      <w:pPr>
        <w:spacing w:line="360" w:lineRule="auto"/>
        <w:rPr>
          <w:rFonts w:ascii="Book Antiqua" w:hAnsi="Book Antiqua"/>
          <w:b/>
          <w:sz w:val="24"/>
        </w:rPr>
      </w:pPr>
    </w:p>
    <w:p w:rsidR="00841022" w:rsidRPr="00F160D4" w:rsidRDefault="00841022" w:rsidP="00F160D4">
      <w:pPr>
        <w:spacing w:line="360" w:lineRule="auto"/>
        <w:rPr>
          <w:rFonts w:ascii="Book Antiqua" w:hAnsi="Book Antiqua"/>
          <w:sz w:val="24"/>
        </w:rPr>
      </w:pPr>
      <w:r w:rsidRPr="00F160D4">
        <w:rPr>
          <w:rFonts w:ascii="Book Antiqua" w:hAnsi="Book Antiqua"/>
          <w:b/>
          <w:sz w:val="24"/>
        </w:rPr>
        <w:t>Correspondence to:</w:t>
      </w:r>
      <w:r w:rsidRPr="00F160D4">
        <w:rPr>
          <w:rFonts w:ascii="Book Antiqua" w:hAnsi="Book Antiqua"/>
          <w:sz w:val="24"/>
        </w:rPr>
        <w:t xml:space="preserve"> </w:t>
      </w:r>
      <w:r w:rsidRPr="00F160D4">
        <w:rPr>
          <w:rFonts w:ascii="Book Antiqua" w:hAnsi="Book Antiqua"/>
          <w:b/>
          <w:sz w:val="24"/>
        </w:rPr>
        <w:t>Wen</w:t>
      </w:r>
      <w:r w:rsidR="00F160D4">
        <w:rPr>
          <w:rFonts w:ascii="Book Antiqua" w:hAnsi="Book Antiqua" w:hint="eastAsia"/>
          <w:b/>
          <w:sz w:val="24"/>
        </w:rPr>
        <w:t>-</w:t>
      </w:r>
      <w:r w:rsidR="00F160D4" w:rsidRPr="00F160D4">
        <w:rPr>
          <w:rFonts w:ascii="Book Antiqua" w:hAnsi="Book Antiqua"/>
          <w:b/>
          <w:sz w:val="24"/>
        </w:rPr>
        <w:t xml:space="preserve">Hua </w:t>
      </w:r>
      <w:proofErr w:type="spellStart"/>
      <w:r w:rsidRPr="00F160D4">
        <w:rPr>
          <w:rFonts w:ascii="Book Antiqua" w:hAnsi="Book Antiqua"/>
          <w:b/>
          <w:sz w:val="24"/>
        </w:rPr>
        <w:t>Tian</w:t>
      </w:r>
      <w:proofErr w:type="spellEnd"/>
      <w:r w:rsidRPr="00F160D4">
        <w:rPr>
          <w:rFonts w:ascii="Book Antiqua" w:hAnsi="Book Antiqua"/>
          <w:b/>
          <w:sz w:val="24"/>
        </w:rPr>
        <w:t>,</w:t>
      </w:r>
      <w:r w:rsidRPr="00F160D4">
        <w:rPr>
          <w:rFonts w:ascii="Book Antiqua" w:hAnsi="Book Antiqua"/>
          <w:sz w:val="24"/>
        </w:rPr>
        <w:t xml:space="preserve"> </w:t>
      </w:r>
      <w:r w:rsidR="00F160D4" w:rsidRPr="00F160D4">
        <w:rPr>
          <w:rFonts w:ascii="Book Antiqua" w:hAnsi="Book Antiqua"/>
          <w:b/>
          <w:sz w:val="24"/>
        </w:rPr>
        <w:t>Professor</w:t>
      </w:r>
      <w:r w:rsidR="00F160D4">
        <w:rPr>
          <w:rFonts w:ascii="Book Antiqua" w:hAnsi="Book Antiqua" w:hint="eastAsia"/>
          <w:b/>
          <w:sz w:val="24"/>
        </w:rPr>
        <w:t>,</w:t>
      </w:r>
      <w:r w:rsidR="00F160D4" w:rsidRPr="00F160D4">
        <w:rPr>
          <w:rFonts w:ascii="Book Antiqua" w:hAnsi="Book Antiqua"/>
          <w:b/>
          <w:sz w:val="24"/>
        </w:rPr>
        <w:t xml:space="preserve"> </w:t>
      </w:r>
      <w:r w:rsidRPr="00F160D4">
        <w:rPr>
          <w:rFonts w:ascii="Book Antiqua" w:hAnsi="Book Antiqua"/>
          <w:sz w:val="24"/>
        </w:rPr>
        <w:t xml:space="preserve">Department of Health Services Management, Second Military Medical University, No. 800 </w:t>
      </w:r>
      <w:proofErr w:type="spellStart"/>
      <w:r w:rsidRPr="00F160D4">
        <w:rPr>
          <w:rFonts w:ascii="Book Antiqua" w:hAnsi="Book Antiqua"/>
          <w:sz w:val="24"/>
        </w:rPr>
        <w:t>Xiangyin</w:t>
      </w:r>
      <w:proofErr w:type="spellEnd"/>
      <w:r w:rsidRPr="00F160D4">
        <w:rPr>
          <w:rFonts w:ascii="Book Antiqua" w:hAnsi="Book Antiqua"/>
          <w:sz w:val="24"/>
        </w:rPr>
        <w:t xml:space="preserve"> Road, Shanghai 200433, China. wh_tian@aliyun.com</w:t>
      </w:r>
    </w:p>
    <w:p w:rsidR="00841022" w:rsidRPr="00F160D4" w:rsidRDefault="00841022" w:rsidP="00F160D4">
      <w:pPr>
        <w:spacing w:line="360" w:lineRule="auto"/>
        <w:rPr>
          <w:rFonts w:ascii="Book Antiqua" w:hAnsi="Book Antiqua"/>
          <w:sz w:val="24"/>
        </w:rPr>
      </w:pPr>
      <w:r w:rsidRPr="00F160D4">
        <w:rPr>
          <w:rFonts w:ascii="Book Antiqua" w:hAnsi="Book Antiqua"/>
          <w:b/>
          <w:sz w:val="24"/>
        </w:rPr>
        <w:t xml:space="preserve">Telephone: </w:t>
      </w:r>
      <w:r w:rsidR="00EA0736">
        <w:rPr>
          <w:rFonts w:ascii="Book Antiqua" w:hAnsi="Book Antiqua"/>
          <w:sz w:val="24"/>
        </w:rPr>
        <w:t>+86-21-8187</w:t>
      </w:r>
      <w:r w:rsidRPr="00F160D4">
        <w:rPr>
          <w:rFonts w:ascii="Book Antiqua" w:hAnsi="Book Antiqua"/>
          <w:sz w:val="24"/>
        </w:rPr>
        <w:t>1428</w:t>
      </w:r>
      <w:r w:rsidRPr="00F160D4">
        <w:rPr>
          <w:rFonts w:ascii="Book Antiqua" w:hAnsi="Book Antiqua"/>
          <w:sz w:val="24"/>
        </w:rPr>
        <w:tab/>
      </w:r>
      <w:r w:rsidRPr="00F160D4">
        <w:rPr>
          <w:rFonts w:ascii="Book Antiqua" w:hAnsi="Book Antiqua"/>
          <w:sz w:val="24"/>
        </w:rPr>
        <w:tab/>
      </w:r>
      <w:r w:rsidRPr="00F160D4">
        <w:rPr>
          <w:rFonts w:ascii="Book Antiqua" w:hAnsi="Book Antiqua"/>
          <w:b/>
          <w:sz w:val="24"/>
        </w:rPr>
        <w:t>Fax:</w:t>
      </w:r>
      <w:r w:rsidR="00EA0736">
        <w:rPr>
          <w:rFonts w:ascii="Book Antiqua" w:hAnsi="Book Antiqua"/>
          <w:sz w:val="24"/>
        </w:rPr>
        <w:t xml:space="preserve"> +86-21-8187</w:t>
      </w:r>
      <w:r w:rsidRPr="00F160D4">
        <w:rPr>
          <w:rFonts w:ascii="Book Antiqua" w:hAnsi="Book Antiqua"/>
          <w:sz w:val="24"/>
        </w:rPr>
        <w:t>1428</w:t>
      </w:r>
    </w:p>
    <w:p w:rsidR="00841022" w:rsidRPr="00F160D4" w:rsidRDefault="00841022" w:rsidP="00F160D4">
      <w:pPr>
        <w:spacing w:line="360" w:lineRule="auto"/>
        <w:rPr>
          <w:rFonts w:ascii="Book Antiqua" w:hAnsi="Book Antiqua"/>
          <w:b/>
          <w:sz w:val="24"/>
        </w:rPr>
      </w:pPr>
      <w:bookmarkStart w:id="5" w:name="OLE_LINK4"/>
      <w:bookmarkStart w:id="6" w:name="OLE_LINK5"/>
      <w:bookmarkStart w:id="7" w:name="OLE_LINK332"/>
      <w:bookmarkStart w:id="8" w:name="OLE_LINK329"/>
      <w:bookmarkStart w:id="9" w:name="OLE_LINK386"/>
    </w:p>
    <w:p w:rsidR="00841022" w:rsidRPr="00F160D4" w:rsidRDefault="00841022" w:rsidP="00F160D4">
      <w:pPr>
        <w:spacing w:line="360" w:lineRule="auto"/>
        <w:rPr>
          <w:rFonts w:ascii="Book Antiqua" w:hAnsi="Book Antiqua"/>
          <w:sz w:val="24"/>
        </w:rPr>
      </w:pPr>
      <w:r w:rsidRPr="00F160D4">
        <w:rPr>
          <w:rFonts w:ascii="Book Antiqua" w:hAnsi="Book Antiqua"/>
          <w:b/>
          <w:sz w:val="24"/>
        </w:rPr>
        <w:t xml:space="preserve">Received: </w:t>
      </w:r>
      <w:r w:rsidRPr="00F160D4">
        <w:rPr>
          <w:rFonts w:ascii="Book Antiqua" w:hAnsi="Book Antiqua"/>
          <w:sz w:val="24"/>
        </w:rPr>
        <w:t>December 30, 201</w:t>
      </w:r>
      <w:r w:rsidR="00D02AAA">
        <w:rPr>
          <w:rFonts w:ascii="Book Antiqua" w:hAnsi="Book Antiqua" w:hint="eastAsia"/>
          <w:sz w:val="24"/>
        </w:rPr>
        <w:t>3</w:t>
      </w:r>
      <w:r w:rsidR="00F160D4">
        <w:rPr>
          <w:rFonts w:ascii="Book Antiqua" w:hAnsi="Book Antiqua" w:hint="eastAsia"/>
          <w:sz w:val="24"/>
        </w:rPr>
        <w:tab/>
      </w:r>
      <w:r w:rsidR="00F160D4">
        <w:rPr>
          <w:rFonts w:ascii="Book Antiqua" w:hAnsi="Book Antiqua" w:hint="eastAsia"/>
          <w:sz w:val="24"/>
        </w:rPr>
        <w:tab/>
      </w:r>
      <w:r w:rsidRPr="00F160D4">
        <w:rPr>
          <w:rFonts w:ascii="Book Antiqua" w:hAnsi="Book Antiqua"/>
          <w:b/>
          <w:sz w:val="24"/>
        </w:rPr>
        <w:t>Revised:</w:t>
      </w:r>
      <w:r w:rsidRPr="00F160D4">
        <w:rPr>
          <w:rFonts w:ascii="Book Antiqua" w:hAnsi="Book Antiqua"/>
          <w:sz w:val="24"/>
        </w:rPr>
        <w:t xml:space="preserve"> </w:t>
      </w:r>
      <w:r w:rsidR="00F160D4">
        <w:rPr>
          <w:rFonts w:ascii="Book Antiqua" w:hAnsi="Book Antiqua"/>
          <w:sz w:val="24"/>
        </w:rPr>
        <w:t>March</w:t>
      </w:r>
      <w:r w:rsidR="00F160D4" w:rsidRPr="00F160D4">
        <w:rPr>
          <w:rFonts w:ascii="Book Antiqua" w:hAnsi="Book Antiqua"/>
          <w:sz w:val="24"/>
        </w:rPr>
        <w:t xml:space="preserve"> </w:t>
      </w:r>
      <w:r w:rsidR="00F160D4">
        <w:rPr>
          <w:rFonts w:ascii="Book Antiqua" w:hAnsi="Book Antiqua" w:hint="eastAsia"/>
          <w:sz w:val="24"/>
        </w:rPr>
        <w:t>30</w:t>
      </w:r>
      <w:r w:rsidRPr="00F160D4">
        <w:rPr>
          <w:rFonts w:ascii="Book Antiqua" w:hAnsi="Book Antiqua"/>
          <w:sz w:val="24"/>
        </w:rPr>
        <w:t>, 2014</w:t>
      </w:r>
    </w:p>
    <w:p w:rsidR="003C5C30" w:rsidRDefault="003C5C30" w:rsidP="003C5C30">
      <w:pPr>
        <w:rPr>
          <w:rFonts w:ascii="Book Antiqua" w:hAnsi="Book Antiqua" w:hint="eastAsia"/>
          <w:sz w:val="24"/>
        </w:rPr>
      </w:pPr>
      <w:r>
        <w:rPr>
          <w:rFonts w:ascii="Book Antiqua" w:hAnsi="Book Antiqua"/>
          <w:b/>
          <w:sz w:val="24"/>
        </w:rPr>
        <w:t xml:space="preserve">Accepted: </w:t>
      </w:r>
      <w:bookmarkStart w:id="10" w:name="_GoBack"/>
      <w:bookmarkEnd w:id="10"/>
      <w:r w:rsidRPr="006045E8">
        <w:rPr>
          <w:rFonts w:ascii="Book Antiqua" w:hAnsi="Book Antiqua"/>
          <w:sz w:val="24"/>
        </w:rPr>
        <w:t>April 15, 2014</w:t>
      </w:r>
    </w:p>
    <w:p w:rsidR="00F160D4" w:rsidRDefault="00841022" w:rsidP="00F160D4">
      <w:pPr>
        <w:spacing w:line="360" w:lineRule="auto"/>
        <w:rPr>
          <w:rFonts w:ascii="Book Antiqua" w:hAnsi="Book Antiqua"/>
          <w:b/>
          <w:sz w:val="24"/>
        </w:rPr>
      </w:pPr>
      <w:r w:rsidRPr="00F160D4">
        <w:rPr>
          <w:rFonts w:ascii="Book Antiqua" w:hAnsi="Book Antiqua"/>
          <w:b/>
          <w:sz w:val="24"/>
        </w:rPr>
        <w:tab/>
      </w:r>
      <w:r w:rsidRPr="00F160D4">
        <w:rPr>
          <w:rFonts w:ascii="Book Antiqua" w:hAnsi="Book Antiqua"/>
          <w:b/>
          <w:sz w:val="24"/>
        </w:rPr>
        <w:tab/>
      </w:r>
    </w:p>
    <w:p w:rsidR="00841022" w:rsidRPr="00F160D4" w:rsidRDefault="00841022" w:rsidP="00F160D4">
      <w:pPr>
        <w:spacing w:line="360" w:lineRule="auto"/>
        <w:rPr>
          <w:rFonts w:ascii="Book Antiqua" w:hAnsi="Book Antiqua"/>
          <w:sz w:val="24"/>
        </w:rPr>
      </w:pPr>
      <w:r w:rsidRPr="00F160D4">
        <w:rPr>
          <w:rFonts w:ascii="Book Antiqua" w:hAnsi="Book Antiqua"/>
          <w:b/>
          <w:sz w:val="24"/>
        </w:rPr>
        <w:t xml:space="preserve">Published online: </w:t>
      </w:r>
    </w:p>
    <w:bookmarkEnd w:id="5"/>
    <w:bookmarkEnd w:id="6"/>
    <w:bookmarkEnd w:id="7"/>
    <w:bookmarkEnd w:id="8"/>
    <w:bookmarkEnd w:id="9"/>
    <w:p w:rsidR="00841022" w:rsidRPr="00F160D4" w:rsidRDefault="00841022" w:rsidP="00F160D4">
      <w:pPr>
        <w:spacing w:line="360" w:lineRule="auto"/>
        <w:rPr>
          <w:rFonts w:ascii="Book Antiqua" w:hAnsi="Book Antiqua"/>
          <w:sz w:val="24"/>
        </w:rPr>
        <w:sectPr w:rsidR="00841022" w:rsidRPr="00F160D4" w:rsidSect="002677BB">
          <w:headerReference w:type="default" r:id="rId8"/>
          <w:footerReference w:type="even" r:id="rId9"/>
          <w:footerReference w:type="default" r:id="rId10"/>
          <w:footerReference w:type="first" r:id="rId11"/>
          <w:pgSz w:w="11907" w:h="16840" w:code="9"/>
          <w:pgMar w:top="1440" w:right="1440" w:bottom="1440" w:left="1440" w:header="1022" w:footer="1022" w:gutter="57"/>
          <w:cols w:space="720"/>
          <w:docGrid w:linePitch="312"/>
        </w:sectPr>
      </w:pPr>
    </w:p>
    <w:p w:rsidR="00841022" w:rsidRPr="00F160D4" w:rsidRDefault="00841022" w:rsidP="00F160D4">
      <w:pPr>
        <w:spacing w:line="360" w:lineRule="auto"/>
        <w:rPr>
          <w:rFonts w:ascii="Book Antiqua" w:hAnsi="Book Antiqua"/>
          <w:b/>
          <w:sz w:val="24"/>
        </w:rPr>
      </w:pPr>
      <w:r w:rsidRPr="00F160D4">
        <w:rPr>
          <w:rFonts w:ascii="Book Antiqua" w:hAnsi="Book Antiqua"/>
          <w:b/>
          <w:sz w:val="24"/>
        </w:rPr>
        <w:lastRenderedPageBreak/>
        <w:t>Abstract</w:t>
      </w:r>
    </w:p>
    <w:p w:rsidR="00841022" w:rsidRPr="00F160D4" w:rsidRDefault="00841022" w:rsidP="00F160D4">
      <w:pPr>
        <w:spacing w:line="360" w:lineRule="auto"/>
        <w:rPr>
          <w:rFonts w:ascii="Book Antiqua" w:hAnsi="Book Antiqua"/>
          <w:sz w:val="24"/>
        </w:rPr>
      </w:pPr>
      <w:r w:rsidRPr="00F160D4">
        <w:rPr>
          <w:rFonts w:ascii="Book Antiqua" w:hAnsi="Book Antiqua"/>
          <w:b/>
          <w:sz w:val="24"/>
        </w:rPr>
        <w:t>AIM:</w:t>
      </w:r>
      <w:r w:rsidRPr="00F160D4">
        <w:rPr>
          <w:rFonts w:ascii="Book Antiqua" w:hAnsi="Book Antiqua"/>
          <w:sz w:val="24"/>
        </w:rPr>
        <w:t xml:space="preserve"> To determine quality of life improvement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who underwent endoscopic </w:t>
      </w:r>
      <w:proofErr w:type="spellStart"/>
      <w:r w:rsidRPr="00F160D4">
        <w:rPr>
          <w:rFonts w:ascii="Book Antiqua" w:hAnsi="Book Antiqua"/>
          <w:sz w:val="24"/>
        </w:rPr>
        <w:t>sphincterotomy</w:t>
      </w:r>
      <w:proofErr w:type="spellEnd"/>
      <w:r w:rsidRPr="00F160D4">
        <w:rPr>
          <w:rFonts w:ascii="Book Antiqua" w:hAnsi="Book Antiqua"/>
          <w:sz w:val="24"/>
        </w:rPr>
        <w:t xml:space="preserve"> (EST) versus open </w:t>
      </w:r>
      <w:proofErr w:type="spellStart"/>
      <w:r w:rsidRPr="00F160D4">
        <w:rPr>
          <w:rFonts w:ascii="Book Antiqua" w:hAnsi="Book Antiqua"/>
          <w:sz w:val="24"/>
        </w:rPr>
        <w:t>choledochotomy</w:t>
      </w:r>
      <w:proofErr w:type="spellEnd"/>
      <w:r w:rsidRPr="00F160D4">
        <w:rPr>
          <w:rFonts w:ascii="Book Antiqua" w:hAnsi="Book Antiqua"/>
          <w:sz w:val="24"/>
        </w:rPr>
        <w:t xml:space="preserve"> (OCT).</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sz w:val="24"/>
        </w:rPr>
      </w:pPr>
      <w:r w:rsidRPr="00F160D4">
        <w:rPr>
          <w:rFonts w:ascii="Book Antiqua" w:hAnsi="Book Antiqua"/>
          <w:b/>
          <w:sz w:val="24"/>
        </w:rPr>
        <w:t>METHODS:</w:t>
      </w:r>
      <w:r w:rsidRPr="00F160D4">
        <w:rPr>
          <w:rFonts w:ascii="Book Antiqua" w:hAnsi="Book Antiqua"/>
          <w:sz w:val="24"/>
        </w:rPr>
        <w:t xml:space="preserve"> Eligible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w:t>
      </w:r>
      <w:r w:rsidRPr="00F160D4">
        <w:rPr>
          <w:rFonts w:ascii="Book Antiqua" w:hAnsi="Book Antiqua"/>
          <w:i/>
          <w:sz w:val="24"/>
        </w:rPr>
        <w:t>n</w:t>
      </w:r>
      <w:r w:rsidRPr="00F160D4">
        <w:rPr>
          <w:rFonts w:ascii="Book Antiqua" w:hAnsi="Book Antiqua"/>
          <w:sz w:val="24"/>
        </w:rPr>
        <w:t xml:space="preserve"> = 216) hospitalized in the </w:t>
      </w:r>
      <w:proofErr w:type="spellStart"/>
      <w:r w:rsidRPr="00F160D4">
        <w:rPr>
          <w:rFonts w:ascii="Book Antiqua" w:hAnsi="Book Antiqua"/>
          <w:sz w:val="24"/>
        </w:rPr>
        <w:t>Changhai</w:t>
      </w:r>
      <w:proofErr w:type="spellEnd"/>
      <w:r w:rsidRPr="00F160D4">
        <w:rPr>
          <w:rFonts w:ascii="Book Antiqua" w:hAnsi="Book Antiqua"/>
          <w:sz w:val="24"/>
        </w:rPr>
        <w:t xml:space="preserve"> Hospital between May 2010 and January 2011 were enrolled into a prospective study using cluster sampling. Patients underwent EST (</w:t>
      </w:r>
      <w:r w:rsidRPr="00F160D4">
        <w:rPr>
          <w:rFonts w:ascii="Book Antiqua" w:hAnsi="Book Antiqua"/>
          <w:i/>
          <w:sz w:val="24"/>
        </w:rPr>
        <w:t>n</w:t>
      </w:r>
      <w:r w:rsidRPr="00F160D4">
        <w:rPr>
          <w:rFonts w:ascii="Book Antiqua" w:hAnsi="Book Antiqua"/>
          <w:sz w:val="24"/>
        </w:rPr>
        <w:t xml:space="preserve"> = 135) or OCT (</w:t>
      </w:r>
      <w:r w:rsidRPr="00F160D4">
        <w:rPr>
          <w:rFonts w:ascii="Book Antiqua" w:hAnsi="Book Antiqua"/>
          <w:i/>
          <w:sz w:val="24"/>
        </w:rPr>
        <w:t>n</w:t>
      </w:r>
      <w:r w:rsidRPr="00F160D4">
        <w:rPr>
          <w:rFonts w:ascii="Book Antiqua" w:hAnsi="Book Antiqua"/>
          <w:sz w:val="24"/>
        </w:rPr>
        <w:t xml:space="preserve"> = 81) depending on the patient’s wishes. Patients were followed-up with a field survey and correspondence. Patients were also given the self-administered Gastrointestinal Quality of Life Index (GIQLI) to measure patient quality of life before surgery, and at two and six weeks after the procedures. </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sz w:val="24"/>
        </w:rPr>
      </w:pPr>
      <w:r w:rsidRPr="00F160D4">
        <w:rPr>
          <w:rFonts w:ascii="Book Antiqua" w:hAnsi="Book Antiqua"/>
          <w:b/>
          <w:sz w:val="24"/>
        </w:rPr>
        <w:t>RESULTS:</w:t>
      </w:r>
      <w:r w:rsidRPr="00F160D4">
        <w:rPr>
          <w:rFonts w:ascii="Book Antiqua" w:hAnsi="Book Antiqua"/>
          <w:sz w:val="24"/>
        </w:rPr>
        <w:t xml:space="preserve"> With respect to baseline patient characteristics, the EST and OCT groups were comparable. After the procedure, gallstones were completely eliminated in all patients. Out of 216 eligible patients, 191 patients (88.4%) completed all three surveys, including 118 patients who underwent EST (118/135; 87.4%) and 73 patients who underwent OCT (73/81; 90.1%). EST was associated with a significantly shorter hospital stay than OCT (8.8 ± 6.5 </w:t>
      </w:r>
      <w:r w:rsidR="00F160D4">
        <w:rPr>
          <w:rFonts w:ascii="Book Antiqua" w:hAnsi="Book Antiqua"/>
          <w:i/>
          <w:sz w:val="24"/>
        </w:rPr>
        <w:t>vs</w:t>
      </w:r>
      <w:r w:rsidRPr="00F160D4">
        <w:rPr>
          <w:rFonts w:ascii="Book Antiqua" w:hAnsi="Book Antiqua"/>
          <w:sz w:val="24"/>
        </w:rPr>
        <w:t xml:space="preserve"> 13.9 ± 6.7 d; </w:t>
      </w:r>
      <w:r w:rsidRPr="00F160D4">
        <w:rPr>
          <w:rFonts w:ascii="Book Antiqua" w:hAnsi="Book Antiqua"/>
          <w:i/>
          <w:sz w:val="24"/>
        </w:rPr>
        <w:t>P</w:t>
      </w:r>
      <w:r w:rsidRPr="00F160D4">
        <w:rPr>
          <w:rFonts w:ascii="Book Antiqua" w:hAnsi="Book Antiqua"/>
          <w:sz w:val="24"/>
        </w:rPr>
        <w:t xml:space="preserve"> &lt; 0.01). The GIQLI score was similar between the EST and OCT groups prior to </w:t>
      </w:r>
      <w:proofErr w:type="spellStart"/>
      <w:r w:rsidRPr="00F160D4">
        <w:rPr>
          <w:rFonts w:ascii="Book Antiqua" w:hAnsi="Book Antiqua"/>
          <w:sz w:val="24"/>
        </w:rPr>
        <w:t>cholelithotomy</w:t>
      </w:r>
      <w:proofErr w:type="spellEnd"/>
      <w:r w:rsidRPr="00F160D4">
        <w:rPr>
          <w:rFonts w:ascii="Book Antiqua" w:hAnsi="Book Antiqua"/>
          <w:sz w:val="24"/>
        </w:rPr>
        <w:t xml:space="preserve"> (103.0 ± 15.4 </w:t>
      </w:r>
      <w:r w:rsidR="00F160D4">
        <w:rPr>
          <w:rFonts w:ascii="Book Antiqua" w:hAnsi="Book Antiqua"/>
          <w:i/>
          <w:sz w:val="24"/>
        </w:rPr>
        <w:t>vs</w:t>
      </w:r>
      <w:r w:rsidRPr="00F160D4">
        <w:rPr>
          <w:rFonts w:ascii="Book Antiqua" w:hAnsi="Book Antiqua"/>
          <w:sz w:val="24"/>
        </w:rPr>
        <w:t xml:space="preserve"> 99.7 ± 10.2), but increased significantly in the EST group at two weeks (113.4 ± 12.0 </w:t>
      </w:r>
      <w:r w:rsidR="00F160D4">
        <w:rPr>
          <w:rFonts w:ascii="Book Antiqua" w:hAnsi="Book Antiqua"/>
          <w:i/>
          <w:sz w:val="24"/>
        </w:rPr>
        <w:t>vs</w:t>
      </w:r>
      <w:r w:rsidRPr="00F160D4">
        <w:rPr>
          <w:rFonts w:ascii="Book Antiqua" w:hAnsi="Book Antiqua"/>
          <w:sz w:val="24"/>
        </w:rPr>
        <w:t xml:space="preserve"> 107.2 ± 11.2; </w:t>
      </w:r>
      <w:r w:rsidRPr="00F160D4">
        <w:rPr>
          <w:rFonts w:ascii="Book Antiqua" w:hAnsi="Book Antiqua"/>
          <w:i/>
          <w:sz w:val="24"/>
        </w:rPr>
        <w:t>P</w:t>
      </w:r>
      <w:r w:rsidRPr="00F160D4">
        <w:rPr>
          <w:rFonts w:ascii="Book Antiqua" w:hAnsi="Book Antiqua"/>
          <w:sz w:val="24"/>
        </w:rPr>
        <w:t xml:space="preserve"> &lt; 0.01) and six weeks (120.7 ± 10.6 </w:t>
      </w:r>
      <w:r w:rsidRPr="00F160D4">
        <w:rPr>
          <w:rFonts w:ascii="Book Antiqua" w:hAnsi="Book Antiqua"/>
          <w:i/>
          <w:sz w:val="24"/>
        </w:rPr>
        <w:t>vs</w:t>
      </w:r>
      <w:r w:rsidR="00F160D4">
        <w:rPr>
          <w:rFonts w:ascii="Book Antiqua" w:hAnsi="Book Antiqua" w:hint="eastAsia"/>
          <w:i/>
          <w:sz w:val="24"/>
        </w:rPr>
        <w:t xml:space="preserve"> </w:t>
      </w:r>
      <w:r w:rsidRPr="00F160D4">
        <w:rPr>
          <w:rFonts w:ascii="Book Antiqua" w:hAnsi="Book Antiqua"/>
          <w:sz w:val="24"/>
        </w:rPr>
        <w:t xml:space="preserve">116.9 ± 7.5; </w:t>
      </w:r>
      <w:r w:rsidRPr="00F160D4">
        <w:rPr>
          <w:rFonts w:ascii="Book Antiqua" w:hAnsi="Book Antiqua"/>
          <w:i/>
          <w:sz w:val="24"/>
        </w:rPr>
        <w:t>P</w:t>
      </w:r>
      <w:r w:rsidRPr="00F160D4">
        <w:rPr>
          <w:rFonts w:ascii="Book Antiqua" w:hAnsi="Book Antiqua"/>
          <w:sz w:val="24"/>
        </w:rPr>
        <w:t xml:space="preserve"> &lt; 0.01) after the procedures.</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sz w:val="24"/>
        </w:rPr>
      </w:pPr>
      <w:r w:rsidRPr="00F160D4">
        <w:rPr>
          <w:rFonts w:ascii="Book Antiqua" w:hAnsi="Book Antiqua"/>
          <w:b/>
          <w:sz w:val="24"/>
        </w:rPr>
        <w:t>CONCLUSION:</w:t>
      </w:r>
      <w:r w:rsidRPr="00F160D4">
        <w:rPr>
          <w:rFonts w:ascii="Book Antiqua" w:hAnsi="Book Antiqua"/>
          <w:sz w:val="24"/>
        </w:rPr>
        <w:t xml:space="preserve"> EST, in comparison to OCT, is associated with better postoperative quality of life in patients treated for </w:t>
      </w:r>
      <w:proofErr w:type="spellStart"/>
      <w:r w:rsidRPr="00F160D4">
        <w:rPr>
          <w:rFonts w:ascii="Book Antiqua" w:hAnsi="Book Antiqua"/>
          <w:sz w:val="24"/>
        </w:rPr>
        <w:t>choledocholithiasis</w:t>
      </w:r>
      <w:proofErr w:type="spellEnd"/>
      <w:r w:rsidRPr="00F160D4">
        <w:rPr>
          <w:rFonts w:ascii="Book Antiqua" w:hAnsi="Book Antiqua"/>
          <w:sz w:val="24"/>
        </w:rPr>
        <w:t>.</w:t>
      </w:r>
    </w:p>
    <w:p w:rsidR="00841022" w:rsidRPr="00F160D4" w:rsidRDefault="00841022" w:rsidP="00F160D4">
      <w:pPr>
        <w:spacing w:line="360" w:lineRule="auto"/>
        <w:rPr>
          <w:rFonts w:ascii="Book Antiqua" w:hAnsi="Book Antiqua"/>
          <w:sz w:val="24"/>
        </w:rPr>
      </w:pPr>
    </w:p>
    <w:p w:rsidR="00F160D4" w:rsidRPr="00A7393F" w:rsidRDefault="00F160D4" w:rsidP="00F160D4">
      <w:pPr>
        <w:spacing w:line="360" w:lineRule="auto"/>
        <w:rPr>
          <w:rFonts w:ascii="Book Antiqua" w:hAnsi="Book Antiqua"/>
          <w:sz w:val="24"/>
        </w:rPr>
      </w:pPr>
      <w:bookmarkStart w:id="11" w:name="OLE_LINK344"/>
      <w:bookmarkStart w:id="12" w:name="OLE_LINK345"/>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bookmarkEnd w:id="11"/>
    <w:bookmarkEnd w:id="12"/>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sz w:val="24"/>
        </w:rPr>
      </w:pPr>
      <w:r w:rsidRPr="00F160D4">
        <w:rPr>
          <w:rFonts w:ascii="Book Antiqua" w:hAnsi="Book Antiqua"/>
          <w:b/>
          <w:sz w:val="24"/>
        </w:rPr>
        <w:t>Key words:</w:t>
      </w:r>
      <w:r w:rsidRPr="00F160D4">
        <w:rPr>
          <w:rFonts w:ascii="Book Antiqua" w:hAnsi="Book Antiqua"/>
          <w:sz w:val="24"/>
        </w:rPr>
        <w:t xml:space="preserve"> </w:t>
      </w:r>
      <w:proofErr w:type="spellStart"/>
      <w:r w:rsidRPr="00F160D4">
        <w:rPr>
          <w:rFonts w:ascii="Book Antiqua" w:hAnsi="Book Antiqua"/>
          <w:sz w:val="24"/>
        </w:rPr>
        <w:t>Choledocholithiasis</w:t>
      </w:r>
      <w:proofErr w:type="spellEnd"/>
      <w:r w:rsidRPr="00F160D4">
        <w:rPr>
          <w:rFonts w:ascii="Book Antiqua" w:hAnsi="Book Antiqua"/>
          <w:sz w:val="24"/>
        </w:rPr>
        <w:t xml:space="preserve">; </w:t>
      </w:r>
      <w:proofErr w:type="spellStart"/>
      <w:r w:rsidRPr="00F160D4">
        <w:rPr>
          <w:rFonts w:ascii="Book Antiqua" w:hAnsi="Book Antiqua"/>
          <w:sz w:val="24"/>
        </w:rPr>
        <w:t>Cholelithotomy</w:t>
      </w:r>
      <w:proofErr w:type="spellEnd"/>
      <w:r w:rsidRPr="00F160D4">
        <w:rPr>
          <w:rFonts w:ascii="Book Antiqua" w:hAnsi="Book Antiqua"/>
          <w:sz w:val="24"/>
        </w:rPr>
        <w:t xml:space="preserve">; Endoscopic </w:t>
      </w:r>
      <w:proofErr w:type="spellStart"/>
      <w:r w:rsidRPr="00F160D4">
        <w:rPr>
          <w:rFonts w:ascii="Book Antiqua" w:hAnsi="Book Antiqua"/>
          <w:sz w:val="24"/>
        </w:rPr>
        <w:t>sphincterotomy</w:t>
      </w:r>
      <w:proofErr w:type="spellEnd"/>
      <w:r w:rsidRPr="00F160D4">
        <w:rPr>
          <w:rFonts w:ascii="Book Antiqua" w:hAnsi="Book Antiqua"/>
          <w:sz w:val="24"/>
        </w:rPr>
        <w:t xml:space="preserve">; Open </w:t>
      </w:r>
      <w:proofErr w:type="spellStart"/>
      <w:r w:rsidRPr="00F160D4">
        <w:rPr>
          <w:rFonts w:ascii="Book Antiqua" w:hAnsi="Book Antiqua"/>
          <w:sz w:val="24"/>
        </w:rPr>
        <w:t>choledochotomy</w:t>
      </w:r>
      <w:proofErr w:type="spellEnd"/>
      <w:r w:rsidRPr="00F160D4">
        <w:rPr>
          <w:rFonts w:ascii="Book Antiqua" w:hAnsi="Book Antiqua"/>
          <w:sz w:val="24"/>
        </w:rPr>
        <w:t>; Quality of life</w:t>
      </w:r>
      <w:bookmarkStart w:id="13" w:name="OLE_LINK101"/>
      <w:bookmarkStart w:id="14" w:name="OLE_LINK107"/>
      <w:bookmarkStart w:id="15" w:name="OLE_LINK350"/>
      <w:bookmarkStart w:id="16" w:name="OLE_LINK351"/>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cs="Arial Unicode MS"/>
          <w:b/>
          <w:sz w:val="24"/>
        </w:rPr>
      </w:pPr>
      <w:r w:rsidRPr="00F160D4">
        <w:rPr>
          <w:rFonts w:ascii="Book Antiqua" w:eastAsia="Times New Roman" w:hAnsi="Book Antiqua" w:cs="Arial Unicode MS"/>
          <w:b/>
          <w:sz w:val="24"/>
        </w:rPr>
        <w:lastRenderedPageBreak/>
        <w:t>Core tip:</w:t>
      </w:r>
      <w:bookmarkEnd w:id="13"/>
      <w:bookmarkEnd w:id="14"/>
      <w:r w:rsidRPr="00F160D4">
        <w:rPr>
          <w:rFonts w:ascii="Book Antiqua" w:hAnsi="Book Antiqua"/>
          <w:sz w:val="24"/>
        </w:rPr>
        <w:t xml:space="preserve"> Endoscopic </w:t>
      </w:r>
      <w:proofErr w:type="spellStart"/>
      <w:r w:rsidRPr="00F160D4">
        <w:rPr>
          <w:rFonts w:ascii="Book Antiqua" w:hAnsi="Book Antiqua"/>
          <w:sz w:val="24"/>
        </w:rPr>
        <w:t>sphincterotomy</w:t>
      </w:r>
      <w:proofErr w:type="spellEnd"/>
      <w:r w:rsidRPr="00F160D4">
        <w:rPr>
          <w:rFonts w:ascii="Book Antiqua" w:hAnsi="Book Antiqua"/>
          <w:sz w:val="24"/>
        </w:rPr>
        <w:t xml:space="preserve"> (EST) is generally accepted as a safe and effective endoscopic modality in the treatment of </w:t>
      </w:r>
      <w:proofErr w:type="spellStart"/>
      <w:r w:rsidRPr="00F160D4">
        <w:rPr>
          <w:rFonts w:ascii="Book Antiqua" w:hAnsi="Book Antiqua"/>
          <w:sz w:val="24"/>
        </w:rPr>
        <w:t>choledocholithiasis</w:t>
      </w:r>
      <w:proofErr w:type="spellEnd"/>
      <w:r w:rsidRPr="00F160D4">
        <w:rPr>
          <w:rFonts w:ascii="Book Antiqua" w:hAnsi="Book Antiqua"/>
          <w:sz w:val="24"/>
        </w:rPr>
        <w:t xml:space="preserve">. However, there are few reports evaluating whether EST contributes to better health-related quality of life improvement in patients undergoing </w:t>
      </w:r>
      <w:proofErr w:type="spellStart"/>
      <w:r w:rsidRPr="00F160D4">
        <w:rPr>
          <w:rFonts w:ascii="Book Antiqua" w:hAnsi="Book Antiqua"/>
          <w:sz w:val="24"/>
        </w:rPr>
        <w:t>cholelithotomy</w:t>
      </w:r>
      <w:proofErr w:type="spellEnd"/>
      <w:r w:rsidRPr="00F160D4">
        <w:rPr>
          <w:rFonts w:ascii="Book Antiqua" w:hAnsi="Book Antiqua"/>
          <w:sz w:val="24"/>
        </w:rPr>
        <w:t xml:space="preserve"> compared to open </w:t>
      </w:r>
      <w:proofErr w:type="spellStart"/>
      <w:r w:rsidRPr="00F160D4">
        <w:rPr>
          <w:rFonts w:ascii="Book Antiqua" w:hAnsi="Book Antiqua"/>
          <w:sz w:val="24"/>
        </w:rPr>
        <w:t>choledochotomy</w:t>
      </w:r>
      <w:proofErr w:type="spellEnd"/>
      <w:r w:rsidRPr="00F160D4">
        <w:rPr>
          <w:rFonts w:ascii="Book Antiqua" w:hAnsi="Book Antiqua"/>
          <w:sz w:val="24"/>
        </w:rPr>
        <w:t xml:space="preserve"> (OCT). The present study is the first report regarding the benefits of EST and OCT on gastrointestinal quality of life in a prospective comparative design. The current results show that EST, in comparison to OCT, is associated with better overall gastrointestinal quality of life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w:t>
      </w:r>
    </w:p>
    <w:p w:rsidR="00841022" w:rsidRPr="00F160D4" w:rsidRDefault="00841022" w:rsidP="00F160D4">
      <w:pPr>
        <w:adjustRightInd w:val="0"/>
        <w:snapToGrid w:val="0"/>
        <w:spacing w:line="360" w:lineRule="auto"/>
        <w:rPr>
          <w:rFonts w:ascii="Book Antiqua" w:hAnsi="Book Antiqua" w:cs="Tahoma"/>
          <w:sz w:val="24"/>
        </w:rPr>
      </w:pPr>
    </w:p>
    <w:p w:rsidR="00F160D4" w:rsidRDefault="00841022" w:rsidP="00F160D4">
      <w:pPr>
        <w:adjustRightInd w:val="0"/>
        <w:snapToGrid w:val="0"/>
        <w:spacing w:line="360" w:lineRule="auto"/>
        <w:rPr>
          <w:rFonts w:ascii="Book Antiqua" w:hAnsi="Book Antiqua"/>
          <w:i/>
          <w:sz w:val="24"/>
        </w:rPr>
      </w:pPr>
      <w:bookmarkStart w:id="17" w:name="OLE_LINK130"/>
      <w:bookmarkStart w:id="18" w:name="OLE_LINK134"/>
      <w:proofErr w:type="gramStart"/>
      <w:r w:rsidRPr="00F160D4">
        <w:rPr>
          <w:rFonts w:ascii="Book Antiqua" w:hAnsi="Book Antiqua" w:cs="Tahoma"/>
          <w:sz w:val="24"/>
        </w:rPr>
        <w:t xml:space="preserve">Liu F, Bai X, </w:t>
      </w:r>
      <w:proofErr w:type="spellStart"/>
      <w:r w:rsidRPr="00F160D4">
        <w:rPr>
          <w:rFonts w:ascii="Book Antiqua" w:hAnsi="Book Antiqua" w:cs="Tahoma"/>
          <w:sz w:val="24"/>
        </w:rPr>
        <w:t>Duan</w:t>
      </w:r>
      <w:proofErr w:type="spellEnd"/>
      <w:r w:rsidRPr="00F160D4">
        <w:rPr>
          <w:rFonts w:ascii="Book Antiqua" w:hAnsi="Book Antiqua" w:cs="Tahoma"/>
          <w:sz w:val="24"/>
        </w:rPr>
        <w:t xml:space="preserve"> GF, </w:t>
      </w:r>
      <w:proofErr w:type="spellStart"/>
      <w:r w:rsidRPr="00F160D4">
        <w:rPr>
          <w:rFonts w:ascii="Book Antiqua" w:hAnsi="Book Antiqua" w:cs="Tahoma"/>
          <w:sz w:val="24"/>
        </w:rPr>
        <w:t>Tian</w:t>
      </w:r>
      <w:proofErr w:type="spellEnd"/>
      <w:r w:rsidRPr="00F160D4">
        <w:rPr>
          <w:rFonts w:ascii="Book Antiqua" w:hAnsi="Book Antiqua" w:cs="Tahoma"/>
          <w:sz w:val="24"/>
        </w:rPr>
        <w:t xml:space="preserve"> WH, Li ZS, Song B.</w:t>
      </w:r>
      <w:r w:rsidRPr="00F160D4">
        <w:rPr>
          <w:rFonts w:ascii="Book Antiqua" w:hAnsi="Book Antiqua"/>
          <w:sz w:val="24"/>
        </w:rPr>
        <w:t xml:space="preserve"> Comparative quality of life study between endoscopic </w:t>
      </w:r>
      <w:proofErr w:type="spellStart"/>
      <w:r w:rsidRPr="00F160D4">
        <w:rPr>
          <w:rFonts w:ascii="Book Antiqua" w:hAnsi="Book Antiqua"/>
          <w:sz w:val="24"/>
        </w:rPr>
        <w:t>sphincterotomy</w:t>
      </w:r>
      <w:proofErr w:type="spellEnd"/>
      <w:r w:rsidRPr="00F160D4">
        <w:rPr>
          <w:rFonts w:ascii="Book Antiqua" w:hAnsi="Book Antiqua"/>
          <w:sz w:val="24"/>
        </w:rPr>
        <w:t xml:space="preserve"> and surgical </w:t>
      </w:r>
      <w:proofErr w:type="spellStart"/>
      <w:r w:rsidRPr="00F160D4">
        <w:rPr>
          <w:rFonts w:ascii="Book Antiqua" w:hAnsi="Book Antiqua"/>
          <w:sz w:val="24"/>
        </w:rPr>
        <w:t>choledochotomy</w:t>
      </w:r>
      <w:proofErr w:type="spellEnd"/>
      <w:r w:rsidRPr="00F160D4">
        <w:rPr>
          <w:rFonts w:ascii="Book Antiqua" w:hAnsi="Book Antiqua"/>
          <w:sz w:val="24"/>
        </w:rPr>
        <w:t>.</w:t>
      </w:r>
      <w:proofErr w:type="gramEnd"/>
      <w:r w:rsidRPr="00F160D4">
        <w:rPr>
          <w:rFonts w:ascii="Book Antiqua" w:hAnsi="Book Antiqua"/>
          <w:i/>
          <w:sz w:val="24"/>
        </w:rPr>
        <w:t xml:space="preserve"> </w:t>
      </w:r>
    </w:p>
    <w:p w:rsidR="00841022" w:rsidRPr="00F160D4" w:rsidRDefault="00841022" w:rsidP="00F160D4">
      <w:pPr>
        <w:adjustRightInd w:val="0"/>
        <w:snapToGrid w:val="0"/>
        <w:spacing w:line="360" w:lineRule="auto"/>
        <w:rPr>
          <w:rFonts w:ascii="Book Antiqua" w:hAnsi="Book Antiqua"/>
          <w:sz w:val="24"/>
        </w:rPr>
      </w:pPr>
      <w:r w:rsidRPr="00F160D4">
        <w:rPr>
          <w:rFonts w:ascii="Book Antiqua" w:hAnsi="Book Antiqua"/>
          <w:i/>
          <w:sz w:val="24"/>
        </w:rPr>
        <w:t xml:space="preserve">World J </w:t>
      </w:r>
      <w:proofErr w:type="spellStart"/>
      <w:r w:rsidRPr="00F160D4">
        <w:rPr>
          <w:rFonts w:ascii="Book Antiqua" w:hAnsi="Book Antiqua"/>
          <w:i/>
          <w:sz w:val="24"/>
        </w:rPr>
        <w:t>Gastroenterol</w:t>
      </w:r>
      <w:proofErr w:type="spellEnd"/>
      <w:r w:rsidRPr="00F160D4">
        <w:rPr>
          <w:rFonts w:ascii="Book Antiqua" w:hAnsi="Book Antiqua"/>
          <w:sz w:val="24"/>
        </w:rPr>
        <w:t xml:space="preserve"> 2014;  </w:t>
      </w:r>
    </w:p>
    <w:p w:rsidR="00841022" w:rsidRPr="00F160D4" w:rsidRDefault="00841022" w:rsidP="00F160D4">
      <w:pPr>
        <w:spacing w:line="360" w:lineRule="auto"/>
        <w:rPr>
          <w:rFonts w:ascii="Book Antiqua" w:hAnsi="Book Antiqua"/>
          <w:bCs/>
          <w:sz w:val="24"/>
        </w:rPr>
      </w:pPr>
      <w:r w:rsidRPr="00F160D4">
        <w:rPr>
          <w:rFonts w:ascii="Book Antiqua" w:hAnsi="Book Antiqua"/>
          <w:b/>
          <w:bCs/>
          <w:sz w:val="24"/>
        </w:rPr>
        <w:t xml:space="preserve">Available from: </w:t>
      </w:r>
    </w:p>
    <w:p w:rsidR="00841022" w:rsidRPr="00F160D4" w:rsidRDefault="00841022" w:rsidP="00F160D4">
      <w:pPr>
        <w:pStyle w:val="p0"/>
        <w:adjustRightInd w:val="0"/>
        <w:snapToGrid w:val="0"/>
        <w:spacing w:line="360" w:lineRule="auto"/>
        <w:jc w:val="both"/>
        <w:rPr>
          <w:rFonts w:ascii="Book Antiqua" w:hAnsi="Book Antiqua"/>
          <w:kern w:val="2"/>
          <w:sz w:val="24"/>
          <w:szCs w:val="24"/>
        </w:rPr>
      </w:pPr>
      <w:r w:rsidRPr="00F160D4">
        <w:rPr>
          <w:rFonts w:ascii="Book Antiqua" w:hAnsi="Book Antiqua"/>
          <w:b/>
          <w:kern w:val="2"/>
          <w:sz w:val="24"/>
          <w:szCs w:val="24"/>
        </w:rPr>
        <w:t>DOI:</w:t>
      </w:r>
      <w:r w:rsidRPr="00F160D4">
        <w:rPr>
          <w:rFonts w:ascii="Book Antiqua" w:hAnsi="Book Antiqua"/>
          <w:kern w:val="2"/>
          <w:sz w:val="24"/>
          <w:szCs w:val="24"/>
        </w:rPr>
        <w:t xml:space="preserve"> </w:t>
      </w:r>
    </w:p>
    <w:bookmarkEnd w:id="15"/>
    <w:bookmarkEnd w:id="16"/>
    <w:bookmarkEnd w:id="17"/>
    <w:bookmarkEnd w:id="18"/>
    <w:p w:rsidR="00841022" w:rsidRPr="00F160D4" w:rsidRDefault="00841022" w:rsidP="00F160D4">
      <w:pPr>
        <w:spacing w:line="360" w:lineRule="auto"/>
        <w:rPr>
          <w:rFonts w:ascii="Book Antiqua" w:hAnsi="Book Antiqua"/>
          <w:b/>
          <w:sz w:val="24"/>
        </w:rPr>
      </w:pPr>
      <w:r w:rsidRPr="00F160D4">
        <w:rPr>
          <w:rFonts w:ascii="Book Antiqua" w:hAnsi="Book Antiqua"/>
          <w:b/>
          <w:sz w:val="24"/>
        </w:rPr>
        <w:br w:type="page"/>
      </w:r>
      <w:r w:rsidRPr="00F160D4">
        <w:rPr>
          <w:rFonts w:ascii="Book Antiqua" w:hAnsi="Book Antiqua"/>
          <w:b/>
          <w:sz w:val="24"/>
        </w:rPr>
        <w:lastRenderedPageBreak/>
        <w:t>INTRODUCTION</w:t>
      </w:r>
    </w:p>
    <w:p w:rsidR="00841022" w:rsidRPr="00F160D4" w:rsidRDefault="00841022" w:rsidP="00F160D4">
      <w:pPr>
        <w:spacing w:line="360" w:lineRule="auto"/>
        <w:rPr>
          <w:rFonts w:ascii="Book Antiqua" w:hAnsi="Book Antiqua"/>
          <w:sz w:val="24"/>
        </w:rPr>
      </w:pPr>
      <w:r w:rsidRPr="00F160D4">
        <w:rPr>
          <w:rFonts w:ascii="Book Antiqua" w:hAnsi="Book Antiqua"/>
          <w:sz w:val="24"/>
        </w:rPr>
        <w:t>Gallstones are a highly prevalent medical condition worldwide, especially in China (10.7%</w:t>
      </w:r>
      <w:proofErr w:type="gramStart"/>
      <w:r w:rsidRPr="00F160D4">
        <w:rPr>
          <w:rFonts w:ascii="Book Antiqua" w:hAnsi="Book Antiqua"/>
          <w:sz w:val="24"/>
        </w:rPr>
        <w:t>)</w:t>
      </w:r>
      <w:r w:rsidRPr="00F160D4">
        <w:rPr>
          <w:rFonts w:ascii="Book Antiqua" w:hAnsi="Book Antiqua"/>
          <w:sz w:val="24"/>
          <w:vertAlign w:val="superscript"/>
        </w:rPr>
        <w:t>[</w:t>
      </w:r>
      <w:proofErr w:type="gramEnd"/>
      <w:r w:rsidRPr="00F160D4">
        <w:rPr>
          <w:rFonts w:ascii="Book Antiqua" w:hAnsi="Book Antiqua"/>
          <w:sz w:val="24"/>
          <w:vertAlign w:val="superscript"/>
        </w:rPr>
        <w:t>1,2]</w:t>
      </w:r>
      <w:r w:rsidRPr="00F160D4">
        <w:rPr>
          <w:rFonts w:ascii="Book Antiqua" w:hAnsi="Book Antiqua"/>
          <w:sz w:val="24"/>
        </w:rPr>
        <w:t xml:space="preserve">. Due to an </w:t>
      </w:r>
      <w:r w:rsidR="00F160D4">
        <w:rPr>
          <w:rFonts w:ascii="Book Antiqua" w:hAnsi="Book Antiqua"/>
          <w:sz w:val="24"/>
        </w:rPr>
        <w:t>increasingly</w:t>
      </w:r>
      <w:r w:rsidR="00F160D4">
        <w:rPr>
          <w:rFonts w:ascii="Book Antiqua" w:hAnsi="Book Antiqua" w:hint="eastAsia"/>
          <w:sz w:val="24"/>
        </w:rPr>
        <w:t xml:space="preserve"> </w:t>
      </w:r>
      <w:proofErr w:type="gramStart"/>
      <w:r w:rsidRPr="00F160D4">
        <w:rPr>
          <w:rFonts w:ascii="Book Antiqua" w:hAnsi="Book Antiqua"/>
          <w:sz w:val="24"/>
        </w:rPr>
        <w:t>Westernized</w:t>
      </w:r>
      <w:proofErr w:type="gramEnd"/>
      <w:r w:rsidRPr="00F160D4">
        <w:rPr>
          <w:rFonts w:ascii="Book Antiqua" w:hAnsi="Book Antiqua"/>
          <w:sz w:val="24"/>
        </w:rPr>
        <w:t xml:space="preserve"> diet and an aging population, the prevalence of gallstone disease has increased in the Chinese population over the last two decades. In addition, the Chinese population is more prone to </w:t>
      </w:r>
      <w:proofErr w:type="spellStart"/>
      <w:r w:rsidRPr="00F160D4">
        <w:rPr>
          <w:rFonts w:ascii="Book Antiqua" w:hAnsi="Book Antiqua"/>
          <w:sz w:val="24"/>
        </w:rPr>
        <w:t>choledocholithiasis</w:t>
      </w:r>
      <w:proofErr w:type="spellEnd"/>
      <w:r w:rsidRPr="00F160D4">
        <w:rPr>
          <w:rFonts w:ascii="Book Antiqua" w:hAnsi="Book Antiqua"/>
          <w:sz w:val="24"/>
        </w:rPr>
        <w:t xml:space="preserve">, or gallstones in the common bile duct (CBD), which accounts for approximately 18% of gallstone </w:t>
      </w:r>
      <w:proofErr w:type="gramStart"/>
      <w:r w:rsidRPr="00F160D4">
        <w:rPr>
          <w:rFonts w:ascii="Book Antiqua" w:hAnsi="Book Antiqua"/>
          <w:sz w:val="24"/>
        </w:rPr>
        <w:t>cases</w:t>
      </w:r>
      <w:r w:rsidRPr="00F160D4">
        <w:rPr>
          <w:rFonts w:ascii="Book Antiqua" w:hAnsi="Book Antiqua"/>
          <w:sz w:val="24"/>
          <w:vertAlign w:val="superscript"/>
        </w:rPr>
        <w:t>[</w:t>
      </w:r>
      <w:proofErr w:type="gramEnd"/>
      <w:r w:rsidRPr="00F160D4">
        <w:rPr>
          <w:rFonts w:ascii="Book Antiqua" w:hAnsi="Book Antiqua"/>
          <w:sz w:val="24"/>
          <w:vertAlign w:val="superscript"/>
        </w:rPr>
        <w:t>3]</w:t>
      </w:r>
      <w:r w:rsidRPr="00F160D4">
        <w:rPr>
          <w:rFonts w:ascii="Book Antiqua" w:hAnsi="Book Antiqua"/>
          <w:sz w:val="24"/>
        </w:rPr>
        <w:t xml:space="preserve">. </w:t>
      </w:r>
      <w:proofErr w:type="spellStart"/>
      <w:r w:rsidRPr="00F160D4">
        <w:rPr>
          <w:rFonts w:ascii="Book Antiqua" w:hAnsi="Book Antiqua"/>
          <w:sz w:val="24"/>
        </w:rPr>
        <w:t>Choledocholithiasis</w:t>
      </w:r>
      <w:proofErr w:type="spellEnd"/>
      <w:r w:rsidRPr="00F160D4">
        <w:rPr>
          <w:rFonts w:ascii="Book Antiqua" w:hAnsi="Book Antiqua"/>
          <w:sz w:val="24"/>
        </w:rPr>
        <w:t xml:space="preserve"> is associated with serious medical conditions, such as cholangitis, obstructive jaundice and gallstone pancreatitis, and typically requires surgical intervention.</w:t>
      </w:r>
    </w:p>
    <w:p w:rsidR="00841022" w:rsidRPr="00F160D4" w:rsidRDefault="00841022" w:rsidP="00F160D4">
      <w:pPr>
        <w:spacing w:line="360" w:lineRule="auto"/>
        <w:ind w:firstLine="720"/>
        <w:rPr>
          <w:rFonts w:ascii="Book Antiqua" w:hAnsi="Book Antiqua"/>
          <w:sz w:val="24"/>
        </w:rPr>
      </w:pPr>
      <w:r w:rsidRPr="00F160D4">
        <w:rPr>
          <w:rFonts w:ascii="Book Antiqua" w:hAnsi="Book Antiqua"/>
          <w:sz w:val="24"/>
        </w:rPr>
        <w:t xml:space="preserve">Open </w:t>
      </w:r>
      <w:proofErr w:type="spellStart"/>
      <w:r w:rsidRPr="00F160D4">
        <w:rPr>
          <w:rFonts w:ascii="Book Antiqua" w:hAnsi="Book Antiqua"/>
          <w:sz w:val="24"/>
        </w:rPr>
        <w:t>choledochotomy</w:t>
      </w:r>
      <w:proofErr w:type="spellEnd"/>
      <w:r w:rsidRPr="00F160D4">
        <w:rPr>
          <w:rFonts w:ascii="Book Antiqua" w:hAnsi="Book Antiqua"/>
          <w:sz w:val="24"/>
        </w:rPr>
        <w:t xml:space="preserve"> (OCT), the classical surgical approach used to treat </w:t>
      </w:r>
      <w:proofErr w:type="spellStart"/>
      <w:proofErr w:type="gramStart"/>
      <w:r w:rsidRPr="00F160D4">
        <w:rPr>
          <w:rFonts w:ascii="Book Antiqua" w:hAnsi="Book Antiqua"/>
          <w:sz w:val="24"/>
        </w:rPr>
        <w:t>choledocholithiasis</w:t>
      </w:r>
      <w:proofErr w:type="spellEnd"/>
      <w:r w:rsidRPr="00F160D4">
        <w:rPr>
          <w:rFonts w:ascii="Book Antiqua" w:hAnsi="Book Antiqua"/>
          <w:sz w:val="24"/>
          <w:vertAlign w:val="superscript"/>
        </w:rPr>
        <w:t>[</w:t>
      </w:r>
      <w:proofErr w:type="gramEnd"/>
      <w:r w:rsidRPr="00F160D4">
        <w:rPr>
          <w:rFonts w:ascii="Book Antiqua" w:hAnsi="Book Antiqua"/>
          <w:sz w:val="24"/>
          <w:vertAlign w:val="superscript"/>
        </w:rPr>
        <w:t>4,5]</w:t>
      </w:r>
      <w:r w:rsidRPr="00F160D4">
        <w:rPr>
          <w:rFonts w:ascii="Book Antiqua" w:hAnsi="Book Antiqua"/>
          <w:sz w:val="24"/>
        </w:rPr>
        <w:t>, allows for the laparoscopic removal of gallstones through an incision into the CBD. This technique, however, is subject to a high morbidity and mortality rate (</w:t>
      </w:r>
      <w:r w:rsidR="00F160D4">
        <w:rPr>
          <w:rFonts w:ascii="Book Antiqua" w:hAnsi="Book Antiqua"/>
          <w:sz w:val="24"/>
        </w:rPr>
        <w:t>1</w:t>
      </w:r>
      <w:r w:rsidR="00F160D4">
        <w:rPr>
          <w:rFonts w:ascii="Book Antiqua" w:hAnsi="Book Antiqua" w:hint="eastAsia"/>
          <w:sz w:val="24"/>
        </w:rPr>
        <w:t>%</w:t>
      </w:r>
      <w:r w:rsidRPr="00F160D4">
        <w:rPr>
          <w:rFonts w:ascii="Book Antiqua" w:hAnsi="Book Antiqua"/>
          <w:sz w:val="24"/>
        </w:rPr>
        <w:t xml:space="preserve">-2%), as well as a heavy healthcare </w:t>
      </w:r>
      <w:proofErr w:type="gramStart"/>
      <w:r w:rsidRPr="00F160D4">
        <w:rPr>
          <w:rFonts w:ascii="Book Antiqua" w:hAnsi="Book Antiqua"/>
          <w:sz w:val="24"/>
        </w:rPr>
        <w:t>burden</w:t>
      </w:r>
      <w:r w:rsidRPr="00F160D4">
        <w:rPr>
          <w:rFonts w:ascii="Book Antiqua" w:hAnsi="Book Antiqua"/>
          <w:sz w:val="24"/>
          <w:vertAlign w:val="superscript"/>
        </w:rPr>
        <w:t>[</w:t>
      </w:r>
      <w:proofErr w:type="gramEnd"/>
      <w:r w:rsidRPr="00F160D4">
        <w:rPr>
          <w:rFonts w:ascii="Book Antiqua" w:hAnsi="Book Antiqua"/>
          <w:sz w:val="24"/>
          <w:vertAlign w:val="superscript"/>
        </w:rPr>
        <w:t>6-8]</w:t>
      </w:r>
      <w:r w:rsidRPr="00F160D4">
        <w:rPr>
          <w:rFonts w:ascii="Book Antiqua" w:hAnsi="Book Antiqua"/>
          <w:sz w:val="24"/>
        </w:rPr>
        <w:t xml:space="preserve">. The emergence of minimally invasive surgery (MIS) techniques has challenged OCT as the gold standard in clinical practice. These MIS approaches include endoscopic </w:t>
      </w:r>
      <w:proofErr w:type="spellStart"/>
      <w:r w:rsidRPr="00F160D4">
        <w:rPr>
          <w:rFonts w:ascii="Book Antiqua" w:hAnsi="Book Antiqua"/>
          <w:sz w:val="24"/>
        </w:rPr>
        <w:t>sphincterotomy</w:t>
      </w:r>
      <w:proofErr w:type="spellEnd"/>
      <w:r w:rsidRPr="00F160D4">
        <w:rPr>
          <w:rFonts w:ascii="Book Antiqua" w:hAnsi="Book Antiqua"/>
          <w:sz w:val="24"/>
        </w:rPr>
        <w:t xml:space="preserve"> (EST</w:t>
      </w:r>
      <w:proofErr w:type="gramStart"/>
      <w:r w:rsidRPr="00F160D4">
        <w:rPr>
          <w:rFonts w:ascii="Book Antiqua" w:hAnsi="Book Antiqua"/>
          <w:sz w:val="24"/>
        </w:rPr>
        <w:t>)</w:t>
      </w:r>
      <w:r w:rsidRPr="00F160D4">
        <w:rPr>
          <w:rFonts w:ascii="Book Antiqua" w:hAnsi="Book Antiqua"/>
          <w:sz w:val="24"/>
          <w:vertAlign w:val="superscript"/>
        </w:rPr>
        <w:t>[</w:t>
      </w:r>
      <w:proofErr w:type="gramEnd"/>
      <w:r w:rsidRPr="00F160D4">
        <w:rPr>
          <w:rFonts w:ascii="Book Antiqua" w:hAnsi="Book Antiqua"/>
          <w:sz w:val="24"/>
          <w:vertAlign w:val="superscript"/>
        </w:rPr>
        <w:t>9]</w:t>
      </w:r>
      <w:r w:rsidRPr="00F160D4">
        <w:rPr>
          <w:rFonts w:ascii="Book Antiqua" w:hAnsi="Book Antiqua"/>
          <w:sz w:val="24"/>
        </w:rPr>
        <w:t>, extracorporeal shock-wave lithotripsy</w:t>
      </w:r>
      <w:r w:rsidRPr="00F160D4">
        <w:rPr>
          <w:rFonts w:ascii="Book Antiqua" w:hAnsi="Book Antiqua"/>
          <w:sz w:val="24"/>
          <w:vertAlign w:val="superscript"/>
        </w:rPr>
        <w:t>[10]</w:t>
      </w:r>
      <w:r w:rsidRPr="00F160D4">
        <w:rPr>
          <w:rFonts w:ascii="Book Antiqua" w:hAnsi="Book Antiqua"/>
          <w:sz w:val="24"/>
        </w:rPr>
        <w:t xml:space="preserve">, percutaneous </w:t>
      </w:r>
      <w:proofErr w:type="spellStart"/>
      <w:r w:rsidRPr="00F160D4">
        <w:rPr>
          <w:rFonts w:ascii="Book Antiqua" w:hAnsi="Book Antiqua"/>
          <w:sz w:val="24"/>
        </w:rPr>
        <w:t>transhepatic</w:t>
      </w:r>
      <w:proofErr w:type="spellEnd"/>
      <w:r w:rsidRPr="00F160D4">
        <w:rPr>
          <w:rFonts w:ascii="Book Antiqua" w:hAnsi="Book Antiqua"/>
          <w:sz w:val="24"/>
        </w:rPr>
        <w:t xml:space="preserve"> </w:t>
      </w:r>
      <w:proofErr w:type="spellStart"/>
      <w:r w:rsidRPr="00F160D4">
        <w:rPr>
          <w:rFonts w:ascii="Book Antiqua" w:hAnsi="Book Antiqua"/>
          <w:sz w:val="24"/>
        </w:rPr>
        <w:t>cholelithotomy</w:t>
      </w:r>
      <w:proofErr w:type="spellEnd"/>
      <w:r w:rsidRPr="00F160D4">
        <w:rPr>
          <w:rFonts w:ascii="Book Antiqua" w:hAnsi="Book Antiqua"/>
          <w:sz w:val="24"/>
          <w:vertAlign w:val="superscript"/>
        </w:rPr>
        <w:t>[11]</w:t>
      </w:r>
      <w:r w:rsidRPr="00F160D4">
        <w:rPr>
          <w:rFonts w:ascii="Book Antiqua" w:hAnsi="Book Antiqua"/>
          <w:sz w:val="24"/>
        </w:rPr>
        <w:t xml:space="preserve"> and laparoscopic </w:t>
      </w:r>
      <w:proofErr w:type="spellStart"/>
      <w:r w:rsidRPr="00F160D4">
        <w:rPr>
          <w:rFonts w:ascii="Book Antiqua" w:hAnsi="Book Antiqua"/>
          <w:sz w:val="24"/>
        </w:rPr>
        <w:t>transcholecystic</w:t>
      </w:r>
      <w:proofErr w:type="spellEnd"/>
      <w:r w:rsidRPr="00F160D4">
        <w:rPr>
          <w:rFonts w:ascii="Book Antiqua" w:hAnsi="Book Antiqua"/>
          <w:sz w:val="24"/>
        </w:rPr>
        <w:t xml:space="preserve"> CBD exploration</w:t>
      </w:r>
      <w:r w:rsidRPr="00F160D4">
        <w:rPr>
          <w:rFonts w:ascii="Book Antiqua" w:hAnsi="Book Antiqua"/>
          <w:sz w:val="24"/>
          <w:vertAlign w:val="superscript"/>
        </w:rPr>
        <w:t>[12]</w:t>
      </w:r>
      <w:r w:rsidRPr="00F160D4">
        <w:rPr>
          <w:rFonts w:ascii="Book Antiqua" w:hAnsi="Book Antiqua"/>
          <w:sz w:val="24"/>
        </w:rPr>
        <w:t xml:space="preserve">. EST with endoscopic retrograde </w:t>
      </w:r>
      <w:proofErr w:type="spellStart"/>
      <w:r w:rsidRPr="00F160D4">
        <w:rPr>
          <w:rFonts w:ascii="Book Antiqua" w:hAnsi="Book Antiqua"/>
          <w:sz w:val="24"/>
        </w:rPr>
        <w:t>cholangiopancreatography</w:t>
      </w:r>
      <w:proofErr w:type="spellEnd"/>
      <w:r w:rsidRPr="00F160D4">
        <w:rPr>
          <w:rFonts w:ascii="Book Antiqua" w:hAnsi="Book Antiqua"/>
          <w:sz w:val="24"/>
        </w:rPr>
        <w:t xml:space="preserve"> (ERCP) is currently preferred in clinical practice, as this endoscopic technique is minimally invasive and has a rapid postoperative recovery after the removal of </w:t>
      </w:r>
      <w:proofErr w:type="gramStart"/>
      <w:r w:rsidRPr="00F160D4">
        <w:rPr>
          <w:rFonts w:ascii="Book Antiqua" w:hAnsi="Book Antiqua"/>
          <w:sz w:val="24"/>
        </w:rPr>
        <w:t>gallstones</w:t>
      </w:r>
      <w:r w:rsidRPr="00F160D4">
        <w:rPr>
          <w:rFonts w:ascii="Book Antiqua" w:hAnsi="Book Antiqua"/>
          <w:sz w:val="24"/>
          <w:vertAlign w:val="superscript"/>
        </w:rPr>
        <w:t>[</w:t>
      </w:r>
      <w:proofErr w:type="gramEnd"/>
      <w:r w:rsidRPr="00F160D4">
        <w:rPr>
          <w:rFonts w:ascii="Book Antiqua" w:hAnsi="Book Antiqua"/>
          <w:sz w:val="24"/>
          <w:vertAlign w:val="superscript"/>
        </w:rPr>
        <w:t>13]</w:t>
      </w:r>
      <w:r w:rsidRPr="00F160D4">
        <w:rPr>
          <w:rFonts w:ascii="Book Antiqua" w:hAnsi="Book Antiqua"/>
          <w:sz w:val="24"/>
        </w:rPr>
        <w:t xml:space="preserve">. Multiple long-term follow-up studies have validated the safety and efficacy of EST in the treatment of selected </w:t>
      </w:r>
      <w:proofErr w:type="spellStart"/>
      <w:r w:rsidRPr="00F160D4">
        <w:rPr>
          <w:rFonts w:ascii="Book Antiqua" w:hAnsi="Book Antiqua"/>
          <w:sz w:val="24"/>
        </w:rPr>
        <w:t>choledocholithiasis</w:t>
      </w:r>
      <w:proofErr w:type="spellEnd"/>
      <w:r w:rsidRPr="00F160D4">
        <w:rPr>
          <w:rFonts w:ascii="Book Antiqua" w:hAnsi="Book Antiqua"/>
          <w:sz w:val="24"/>
        </w:rPr>
        <w:t xml:space="preserve"> cases in Western and Eastern Asian </w:t>
      </w:r>
      <w:proofErr w:type="gramStart"/>
      <w:r w:rsidRPr="00F160D4">
        <w:rPr>
          <w:rFonts w:ascii="Book Antiqua" w:hAnsi="Book Antiqua"/>
          <w:sz w:val="24"/>
        </w:rPr>
        <w:t>populations</w:t>
      </w:r>
      <w:r w:rsidRPr="00F160D4">
        <w:rPr>
          <w:rFonts w:ascii="Book Antiqua" w:hAnsi="Book Antiqua"/>
          <w:sz w:val="24"/>
          <w:vertAlign w:val="superscript"/>
        </w:rPr>
        <w:t>[</w:t>
      </w:r>
      <w:proofErr w:type="gramEnd"/>
      <w:r w:rsidRPr="00F160D4">
        <w:rPr>
          <w:rFonts w:ascii="Book Antiqua" w:hAnsi="Book Antiqua"/>
          <w:sz w:val="24"/>
          <w:vertAlign w:val="superscript"/>
        </w:rPr>
        <w:t>14-16]</w:t>
      </w:r>
      <w:r w:rsidRPr="00F160D4">
        <w:rPr>
          <w:rFonts w:ascii="Book Antiqua" w:hAnsi="Book Antiqua"/>
          <w:sz w:val="24"/>
        </w:rPr>
        <w:t>. However, the superiority of EST in general clinical variables does not necessarily indicate that EST is associated with a favorable treatment outcome compared to OCT.</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Health-related quality of life (</w:t>
      </w:r>
      <w:proofErr w:type="spellStart"/>
      <w:r w:rsidRPr="00F160D4">
        <w:rPr>
          <w:rFonts w:ascii="Book Antiqua" w:hAnsi="Book Antiqua"/>
          <w:sz w:val="24"/>
        </w:rPr>
        <w:t>QoL</w:t>
      </w:r>
      <w:proofErr w:type="spellEnd"/>
      <w:r w:rsidRPr="00F160D4">
        <w:rPr>
          <w:rFonts w:ascii="Book Antiqua" w:hAnsi="Book Antiqua"/>
          <w:sz w:val="24"/>
        </w:rPr>
        <w:t xml:space="preserve">) is a comprehensive measure that evaluates the overall well-being of a subject in physical, mental and social </w:t>
      </w:r>
      <w:proofErr w:type="gramStart"/>
      <w:r w:rsidRPr="00F160D4">
        <w:rPr>
          <w:rFonts w:ascii="Book Antiqua" w:hAnsi="Book Antiqua"/>
          <w:sz w:val="24"/>
        </w:rPr>
        <w:t>aspects</w:t>
      </w:r>
      <w:r w:rsidRPr="00F160D4">
        <w:rPr>
          <w:rFonts w:ascii="Book Antiqua" w:hAnsi="Book Antiqua"/>
          <w:sz w:val="24"/>
          <w:vertAlign w:val="superscript"/>
        </w:rPr>
        <w:t>[</w:t>
      </w:r>
      <w:proofErr w:type="gramEnd"/>
      <w:r w:rsidRPr="00F160D4">
        <w:rPr>
          <w:rFonts w:ascii="Book Antiqua" w:hAnsi="Book Antiqua"/>
          <w:sz w:val="24"/>
          <w:vertAlign w:val="superscript"/>
        </w:rPr>
        <w:t>17]</w:t>
      </w:r>
      <w:r w:rsidRPr="00F160D4">
        <w:rPr>
          <w:rFonts w:ascii="Book Antiqua" w:hAnsi="Book Antiqua"/>
          <w:sz w:val="24"/>
        </w:rPr>
        <w:t xml:space="preserve">. This measure has been used extensively in randomized controlled trials to optimize treatment algorithms, particularly in chronic medical conditions like </w:t>
      </w:r>
      <w:proofErr w:type="spellStart"/>
      <w:proofErr w:type="gramStart"/>
      <w:r w:rsidRPr="00F160D4">
        <w:rPr>
          <w:rFonts w:ascii="Book Antiqua" w:hAnsi="Book Antiqua"/>
          <w:sz w:val="24"/>
        </w:rPr>
        <w:t>choledocholithiasis</w:t>
      </w:r>
      <w:proofErr w:type="spellEnd"/>
      <w:r w:rsidRPr="00F160D4">
        <w:rPr>
          <w:rFonts w:ascii="Book Antiqua" w:hAnsi="Book Antiqua"/>
          <w:sz w:val="24"/>
          <w:vertAlign w:val="superscript"/>
        </w:rPr>
        <w:t>[</w:t>
      </w:r>
      <w:proofErr w:type="gramEnd"/>
      <w:r w:rsidRPr="00F160D4">
        <w:rPr>
          <w:rFonts w:ascii="Book Antiqua" w:hAnsi="Book Antiqua"/>
          <w:sz w:val="24"/>
          <w:vertAlign w:val="superscript"/>
        </w:rPr>
        <w:t>18,19]</w:t>
      </w:r>
      <w:r w:rsidRPr="00F160D4">
        <w:rPr>
          <w:rFonts w:ascii="Book Antiqua" w:hAnsi="Book Antiqua"/>
          <w:sz w:val="24"/>
        </w:rPr>
        <w:t xml:space="preserve">. Laparoscopy, another widely accepted MIS technique, has been reported to compare favorably to laparotomy in cholecystectomy patients </w:t>
      </w:r>
      <w:r w:rsidRPr="00F160D4">
        <w:rPr>
          <w:rFonts w:ascii="Book Antiqua" w:hAnsi="Book Antiqua"/>
          <w:sz w:val="24"/>
        </w:rPr>
        <w:lastRenderedPageBreak/>
        <w:t xml:space="preserve">when measured by </w:t>
      </w:r>
      <w:proofErr w:type="spellStart"/>
      <w:proofErr w:type="gramStart"/>
      <w:r w:rsidRPr="00F160D4">
        <w:rPr>
          <w:rFonts w:ascii="Book Antiqua" w:hAnsi="Book Antiqua"/>
          <w:sz w:val="24"/>
        </w:rPr>
        <w:t>QoL</w:t>
      </w:r>
      <w:proofErr w:type="spellEnd"/>
      <w:r w:rsidRPr="00F160D4">
        <w:rPr>
          <w:rFonts w:ascii="Book Antiqua" w:hAnsi="Book Antiqua"/>
          <w:sz w:val="24"/>
          <w:vertAlign w:val="superscript"/>
        </w:rPr>
        <w:t>[</w:t>
      </w:r>
      <w:proofErr w:type="gramEnd"/>
      <w:r w:rsidRPr="00F160D4">
        <w:rPr>
          <w:rFonts w:ascii="Book Antiqua" w:hAnsi="Book Antiqua"/>
          <w:sz w:val="24"/>
          <w:vertAlign w:val="superscript"/>
        </w:rPr>
        <w:t>20]</w:t>
      </w:r>
      <w:r w:rsidRPr="00F160D4">
        <w:rPr>
          <w:rFonts w:ascii="Book Antiqua" w:hAnsi="Book Antiqua"/>
          <w:sz w:val="24"/>
        </w:rPr>
        <w:t xml:space="preserve">. Moreover, the benefit of laparoscopic CBD exploration on gastrointestinal </w:t>
      </w:r>
      <w:proofErr w:type="spellStart"/>
      <w:r w:rsidRPr="00F160D4">
        <w:rPr>
          <w:rFonts w:ascii="Book Antiqua" w:hAnsi="Book Antiqua"/>
          <w:sz w:val="24"/>
        </w:rPr>
        <w:t>QoL</w:t>
      </w:r>
      <w:proofErr w:type="spellEnd"/>
      <w:r w:rsidRPr="00F160D4">
        <w:rPr>
          <w:rFonts w:ascii="Book Antiqua" w:hAnsi="Book Antiqua"/>
          <w:sz w:val="24"/>
        </w:rPr>
        <w:t xml:space="preserve"> has also been documented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w:t>
      </w:r>
      <w:proofErr w:type="gramStart"/>
      <w:r w:rsidRPr="00F160D4">
        <w:rPr>
          <w:rFonts w:ascii="Book Antiqua" w:hAnsi="Book Antiqua"/>
          <w:sz w:val="24"/>
        </w:rPr>
        <w:t>patients</w:t>
      </w:r>
      <w:r w:rsidRPr="00F160D4">
        <w:rPr>
          <w:rFonts w:ascii="Book Antiqua" w:hAnsi="Book Antiqua"/>
          <w:sz w:val="24"/>
          <w:vertAlign w:val="superscript"/>
        </w:rPr>
        <w:t>[</w:t>
      </w:r>
      <w:proofErr w:type="gramEnd"/>
      <w:r w:rsidRPr="00F160D4">
        <w:rPr>
          <w:rFonts w:ascii="Book Antiqua" w:hAnsi="Book Antiqua"/>
          <w:sz w:val="24"/>
          <w:vertAlign w:val="superscript"/>
        </w:rPr>
        <w:t>21]</w:t>
      </w:r>
      <w:r w:rsidRPr="00F160D4">
        <w:rPr>
          <w:rFonts w:ascii="Book Antiqua" w:hAnsi="Book Antiqua"/>
          <w:sz w:val="24"/>
        </w:rPr>
        <w:t xml:space="preserve">. Whether EST contributes to a better health-related </w:t>
      </w:r>
      <w:proofErr w:type="spellStart"/>
      <w:r w:rsidRPr="00F160D4">
        <w:rPr>
          <w:rFonts w:ascii="Book Antiqua" w:hAnsi="Book Antiqua"/>
          <w:sz w:val="24"/>
        </w:rPr>
        <w:t>QoL</w:t>
      </w:r>
      <w:proofErr w:type="spellEnd"/>
      <w:r w:rsidRPr="00F160D4">
        <w:rPr>
          <w:rFonts w:ascii="Book Antiqua" w:hAnsi="Book Antiqua"/>
          <w:sz w:val="24"/>
        </w:rPr>
        <w:t xml:space="preserve"> improvement in </w:t>
      </w:r>
      <w:proofErr w:type="spellStart"/>
      <w:r w:rsidRPr="00F160D4">
        <w:rPr>
          <w:rFonts w:ascii="Book Antiqua" w:hAnsi="Book Antiqua"/>
          <w:sz w:val="24"/>
        </w:rPr>
        <w:t>cholelithotomy</w:t>
      </w:r>
      <w:proofErr w:type="spellEnd"/>
      <w:r w:rsidRPr="00F160D4">
        <w:rPr>
          <w:rFonts w:ascii="Book Antiqua" w:hAnsi="Book Antiqua"/>
          <w:sz w:val="24"/>
        </w:rPr>
        <w:t xml:space="preserve"> patients compared to OCT has not been well explored. The primary objective of the current study was to investigate whether EST, in comparison to OCT, was associated with a better gastrointestinal </w:t>
      </w:r>
      <w:proofErr w:type="spellStart"/>
      <w:r w:rsidRPr="00F160D4">
        <w:rPr>
          <w:rFonts w:ascii="Book Antiqua" w:hAnsi="Book Antiqua"/>
          <w:sz w:val="24"/>
        </w:rPr>
        <w:t>QoL</w:t>
      </w:r>
      <w:proofErr w:type="spellEnd"/>
      <w:r w:rsidRPr="00F160D4">
        <w:rPr>
          <w:rFonts w:ascii="Book Antiqua" w:hAnsi="Book Antiqua"/>
          <w:sz w:val="24"/>
        </w:rPr>
        <w:t xml:space="preserve"> in </w:t>
      </w:r>
      <w:proofErr w:type="spellStart"/>
      <w:r w:rsidRPr="00F160D4">
        <w:rPr>
          <w:rFonts w:ascii="Book Antiqua" w:hAnsi="Book Antiqua"/>
          <w:sz w:val="24"/>
        </w:rPr>
        <w:t>cholelithotomy</w:t>
      </w:r>
      <w:proofErr w:type="spellEnd"/>
      <w:r w:rsidRPr="00F160D4">
        <w:rPr>
          <w:rFonts w:ascii="Book Antiqua" w:hAnsi="Book Antiqua"/>
          <w:sz w:val="24"/>
        </w:rPr>
        <w:t xml:space="preserve"> patients following treatment.</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b/>
          <w:sz w:val="24"/>
        </w:rPr>
      </w:pPr>
      <w:r w:rsidRPr="00F160D4">
        <w:rPr>
          <w:rFonts w:ascii="Book Antiqua" w:hAnsi="Book Antiqua"/>
          <w:b/>
          <w:sz w:val="24"/>
        </w:rPr>
        <w:t>MATERIALS AND METHODS</w:t>
      </w: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Study population</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The </w:t>
      </w:r>
      <w:proofErr w:type="spellStart"/>
      <w:r w:rsidRPr="00F160D4">
        <w:rPr>
          <w:rFonts w:ascii="Book Antiqua" w:hAnsi="Book Antiqua"/>
          <w:sz w:val="24"/>
        </w:rPr>
        <w:t>Changhai</w:t>
      </w:r>
      <w:proofErr w:type="spellEnd"/>
      <w:r w:rsidRPr="00F160D4">
        <w:rPr>
          <w:rFonts w:ascii="Book Antiqua" w:hAnsi="Book Antiqua"/>
          <w:sz w:val="24"/>
        </w:rPr>
        <w:t xml:space="preserve"> Hospital Institutional Review Board at the Second Military Medical University approved this study protocol. All patients gave written informed consent prior to study enrollment.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w:t>
      </w:r>
      <w:r w:rsidRPr="00F160D4">
        <w:rPr>
          <w:rFonts w:ascii="Book Antiqua" w:hAnsi="Book Antiqua"/>
          <w:i/>
          <w:sz w:val="24"/>
        </w:rPr>
        <w:t>n</w:t>
      </w:r>
      <w:r w:rsidRPr="00F160D4">
        <w:rPr>
          <w:rFonts w:ascii="Book Antiqua" w:hAnsi="Book Antiqua"/>
          <w:sz w:val="24"/>
        </w:rPr>
        <w:t xml:space="preserve"> = 232) who underwent elective EST or OCT treatment in </w:t>
      </w:r>
      <w:proofErr w:type="spellStart"/>
      <w:r w:rsidRPr="00F160D4">
        <w:rPr>
          <w:rFonts w:ascii="Book Antiqua" w:hAnsi="Book Antiqua"/>
          <w:sz w:val="24"/>
        </w:rPr>
        <w:t>Changhai</w:t>
      </w:r>
      <w:proofErr w:type="spellEnd"/>
      <w:r w:rsidRPr="00F160D4">
        <w:rPr>
          <w:rFonts w:ascii="Book Antiqua" w:hAnsi="Book Antiqua"/>
          <w:sz w:val="24"/>
        </w:rPr>
        <w:t xml:space="preserve"> Hospital from May 2010 through January 2011 were prospectively enrolled using cluster sampling. Eligible patients (</w:t>
      </w:r>
      <w:r w:rsidRPr="00F160D4">
        <w:rPr>
          <w:rFonts w:ascii="Book Antiqua" w:hAnsi="Book Antiqua"/>
          <w:i/>
          <w:sz w:val="24"/>
        </w:rPr>
        <w:t>n</w:t>
      </w:r>
      <w:r w:rsidRPr="00F160D4">
        <w:rPr>
          <w:rFonts w:ascii="Book Antiqua" w:hAnsi="Book Antiqua"/>
          <w:sz w:val="24"/>
        </w:rPr>
        <w:t xml:space="preserve"> = 216) were over 18 years of age, </w:t>
      </w:r>
      <w:proofErr w:type="spellStart"/>
      <w:r w:rsidRPr="00F160D4">
        <w:rPr>
          <w:rFonts w:ascii="Book Antiqua" w:hAnsi="Book Antiqua"/>
          <w:sz w:val="24"/>
        </w:rPr>
        <w:t>radiologically</w:t>
      </w:r>
      <w:proofErr w:type="spellEnd"/>
      <w:r w:rsidRPr="00F160D4">
        <w:rPr>
          <w:rFonts w:ascii="Book Antiqua" w:hAnsi="Book Antiqua"/>
          <w:sz w:val="24"/>
        </w:rPr>
        <w:t xml:space="preserve"> diagnosed with </w:t>
      </w:r>
      <w:proofErr w:type="spellStart"/>
      <w:r w:rsidRPr="00F160D4">
        <w:rPr>
          <w:rFonts w:ascii="Book Antiqua" w:hAnsi="Book Antiqua"/>
          <w:sz w:val="24"/>
        </w:rPr>
        <w:t>choledocholithiasis</w:t>
      </w:r>
      <w:proofErr w:type="spellEnd"/>
      <w:r w:rsidRPr="00F160D4">
        <w:rPr>
          <w:rFonts w:ascii="Book Antiqua" w:hAnsi="Book Antiqua"/>
          <w:sz w:val="24"/>
        </w:rPr>
        <w:t xml:space="preserve"> without complicating diseases and were able to give written informed consent. The following exclusion criteria were applied: patients with any malignant disease, a previous history of any physiological or psychiatric disorders, pregnant or lactating, other major surgical or medical complications, unable to respond to the questionnaire or unable to give informed consent in person. An independent research nurse informed patients of the advantages and disadvantages of EST and OCT prior to treatment. Patients were assigned to either the EST group (</w:t>
      </w:r>
      <w:r w:rsidRPr="00F160D4">
        <w:rPr>
          <w:rFonts w:ascii="Book Antiqua" w:hAnsi="Book Antiqua"/>
          <w:i/>
          <w:sz w:val="24"/>
        </w:rPr>
        <w:t>n</w:t>
      </w:r>
      <w:r w:rsidRPr="00F160D4">
        <w:rPr>
          <w:rFonts w:ascii="Book Antiqua" w:hAnsi="Book Antiqua"/>
          <w:sz w:val="24"/>
        </w:rPr>
        <w:t xml:space="preserve"> = 135) or OCT group (</w:t>
      </w:r>
      <w:r w:rsidRPr="00F160D4">
        <w:rPr>
          <w:rFonts w:ascii="Book Antiqua" w:hAnsi="Book Antiqua"/>
          <w:i/>
          <w:sz w:val="24"/>
        </w:rPr>
        <w:t>n</w:t>
      </w:r>
      <w:r w:rsidRPr="00F160D4">
        <w:rPr>
          <w:rFonts w:ascii="Book Antiqua" w:hAnsi="Book Antiqua"/>
          <w:sz w:val="24"/>
        </w:rPr>
        <w:t xml:space="preserve"> = 81) based on each patient’s preference. EST was performed by an assigned team of board-certified gastroenterologists and </w:t>
      </w:r>
      <w:proofErr w:type="spellStart"/>
      <w:r w:rsidRPr="00F160D4">
        <w:rPr>
          <w:rFonts w:ascii="Book Antiqua" w:hAnsi="Book Antiqua"/>
          <w:sz w:val="24"/>
        </w:rPr>
        <w:t>endoscopists</w:t>
      </w:r>
      <w:proofErr w:type="spellEnd"/>
      <w:r w:rsidRPr="00F160D4">
        <w:rPr>
          <w:rFonts w:ascii="Book Antiqua" w:hAnsi="Book Antiqua"/>
          <w:sz w:val="24"/>
        </w:rPr>
        <w:t xml:space="preserve">, </w:t>
      </w:r>
      <w:proofErr w:type="spellStart"/>
      <w:r w:rsidRPr="00F160D4">
        <w:rPr>
          <w:rFonts w:ascii="Book Antiqua" w:hAnsi="Book Antiqua"/>
          <w:sz w:val="24"/>
        </w:rPr>
        <w:t>wheras</w:t>
      </w:r>
      <w:proofErr w:type="spellEnd"/>
      <w:r w:rsidRPr="00F160D4">
        <w:rPr>
          <w:rFonts w:ascii="Book Antiqua" w:hAnsi="Book Antiqua"/>
          <w:sz w:val="24"/>
        </w:rPr>
        <w:t xml:space="preserve"> OCT was performed by an independent surgical team consisting of attending general surgeons and surgical residents. Both procedures were completed in accordance with their respective institutional guidelines.</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Instruments and measurements</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Following enrollment into the study, an independent research nurse documented </w:t>
      </w:r>
      <w:r w:rsidRPr="00F160D4">
        <w:rPr>
          <w:rFonts w:ascii="Book Antiqua" w:hAnsi="Book Antiqua"/>
          <w:sz w:val="24"/>
        </w:rPr>
        <w:lastRenderedPageBreak/>
        <w:t xml:space="preserve">patient demographic data, including age, sex, </w:t>
      </w:r>
      <w:proofErr w:type="gramStart"/>
      <w:r w:rsidRPr="00F160D4">
        <w:rPr>
          <w:rFonts w:ascii="Book Antiqua" w:hAnsi="Book Antiqua"/>
          <w:sz w:val="24"/>
        </w:rPr>
        <w:t>marital</w:t>
      </w:r>
      <w:proofErr w:type="gramEnd"/>
      <w:r w:rsidRPr="00F160D4">
        <w:rPr>
          <w:rFonts w:ascii="Book Antiqua" w:hAnsi="Book Antiqua"/>
          <w:sz w:val="24"/>
        </w:rPr>
        <w:t xml:space="preserve"> status, place of residence, educational level and employment status. A validated Chinese version of the Gastrointestinal Quality of Life Index (GIQLI) was used to assess health-related </w:t>
      </w:r>
      <w:proofErr w:type="spellStart"/>
      <w:r w:rsidRPr="00F160D4">
        <w:rPr>
          <w:rFonts w:ascii="Book Antiqua" w:hAnsi="Book Antiqua"/>
          <w:sz w:val="24"/>
        </w:rPr>
        <w:t>QoL</w:t>
      </w:r>
      <w:proofErr w:type="spellEnd"/>
      <w:r w:rsidRPr="00F160D4">
        <w:rPr>
          <w:rFonts w:ascii="Book Antiqua" w:hAnsi="Book Antiqua"/>
          <w:sz w:val="24"/>
        </w:rPr>
        <w:t xml:space="preserve"> in patients throughout the </w:t>
      </w:r>
      <w:proofErr w:type="gramStart"/>
      <w:r w:rsidRPr="00F160D4">
        <w:rPr>
          <w:rFonts w:ascii="Book Antiqua" w:hAnsi="Book Antiqua"/>
          <w:sz w:val="24"/>
        </w:rPr>
        <w:t>study</w:t>
      </w:r>
      <w:r w:rsidRPr="00F160D4">
        <w:rPr>
          <w:rFonts w:ascii="Book Antiqua" w:hAnsi="Book Antiqua"/>
          <w:sz w:val="24"/>
          <w:vertAlign w:val="superscript"/>
        </w:rPr>
        <w:t>[</w:t>
      </w:r>
      <w:proofErr w:type="gramEnd"/>
      <w:r w:rsidRPr="00F160D4">
        <w:rPr>
          <w:rFonts w:ascii="Book Antiqua" w:hAnsi="Book Antiqua"/>
          <w:sz w:val="24"/>
          <w:vertAlign w:val="superscript"/>
        </w:rPr>
        <w:t>22]</w:t>
      </w:r>
      <w:r w:rsidRPr="00F160D4">
        <w:rPr>
          <w:rFonts w:ascii="Book Antiqua" w:hAnsi="Book Antiqua"/>
          <w:sz w:val="24"/>
        </w:rPr>
        <w:t xml:space="preserve">. The GIQLI is a 36-item scale specifically designed to evaluate the </w:t>
      </w:r>
      <w:proofErr w:type="spellStart"/>
      <w:r w:rsidRPr="00F160D4">
        <w:rPr>
          <w:rFonts w:ascii="Book Antiqua" w:hAnsi="Book Antiqua"/>
          <w:sz w:val="24"/>
        </w:rPr>
        <w:t>QoL</w:t>
      </w:r>
      <w:proofErr w:type="spellEnd"/>
      <w:r w:rsidRPr="00F160D4">
        <w:rPr>
          <w:rFonts w:ascii="Book Antiqua" w:hAnsi="Book Antiqua"/>
          <w:sz w:val="24"/>
        </w:rPr>
        <w:t xml:space="preserve"> in patients with gastrointestinal disorders. This scale consists of five subscales, namely, a self-reported symptom domain (10 items), physical function domain (6 items), mental/emotional function domain (6 items), social function domain (4 items) and special disease/condition domain (10 items). Each domain is scored on a five response level Likert scale of 0</w:t>
      </w:r>
      <w:r w:rsidR="00F160D4">
        <w:rPr>
          <w:rFonts w:ascii="Book Antiqua" w:hAnsi="Book Antiqua" w:hint="eastAsia"/>
          <w:sz w:val="24"/>
        </w:rPr>
        <w:t>-</w:t>
      </w:r>
      <w:r w:rsidRPr="00F160D4">
        <w:rPr>
          <w:rFonts w:ascii="Book Antiqua" w:hAnsi="Book Antiqua"/>
          <w:sz w:val="24"/>
        </w:rPr>
        <w:t xml:space="preserve">4, ranging from worst (0) to best (4). The GIQLI generates a maximum total score of 144 points, with a higher score implying a better </w:t>
      </w:r>
      <w:proofErr w:type="spellStart"/>
      <w:r w:rsidRPr="00F160D4">
        <w:rPr>
          <w:rFonts w:ascii="Book Antiqua" w:hAnsi="Book Antiqua"/>
          <w:sz w:val="24"/>
        </w:rPr>
        <w:t>QoL</w:t>
      </w:r>
      <w:proofErr w:type="spellEnd"/>
      <w:r w:rsidRPr="00F160D4">
        <w:rPr>
          <w:rFonts w:ascii="Book Antiqua" w:hAnsi="Book Antiqua"/>
          <w:sz w:val="24"/>
        </w:rPr>
        <w:t xml:space="preserve">. This scale is reflective of the </w:t>
      </w:r>
      <w:proofErr w:type="spellStart"/>
      <w:r w:rsidRPr="00F160D4">
        <w:rPr>
          <w:rFonts w:ascii="Book Antiqua" w:hAnsi="Book Antiqua"/>
          <w:sz w:val="24"/>
        </w:rPr>
        <w:t>QoL</w:t>
      </w:r>
      <w:proofErr w:type="spellEnd"/>
      <w:r w:rsidRPr="00F160D4">
        <w:rPr>
          <w:rFonts w:ascii="Book Antiqua" w:hAnsi="Book Antiqua"/>
          <w:sz w:val="24"/>
        </w:rPr>
        <w:t xml:space="preserve"> related to gastrointestinal problems within a period of two weeks, with a mean score of 125.8 ± 13.0</w:t>
      </w:r>
      <w:r w:rsidR="00F160D4">
        <w:rPr>
          <w:rFonts w:ascii="Book Antiqua" w:hAnsi="Book Antiqua"/>
          <w:sz w:val="24"/>
        </w:rPr>
        <w:t xml:space="preserve"> (95%</w:t>
      </w:r>
      <w:r w:rsidRPr="00F160D4">
        <w:rPr>
          <w:rFonts w:ascii="Book Antiqua" w:hAnsi="Book Antiqua"/>
          <w:sz w:val="24"/>
        </w:rPr>
        <w:t>CI: 121.5</w:t>
      </w:r>
      <w:r w:rsidR="00F160D4">
        <w:rPr>
          <w:rFonts w:ascii="Book Antiqua" w:hAnsi="Book Antiqua" w:hint="eastAsia"/>
          <w:sz w:val="24"/>
        </w:rPr>
        <w:t>-</w:t>
      </w:r>
      <w:r w:rsidRPr="00F160D4">
        <w:rPr>
          <w:rFonts w:ascii="Book Antiqua" w:hAnsi="Book Antiqua"/>
          <w:sz w:val="24"/>
        </w:rPr>
        <w:t>127.5) points in healthy subjects.</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Independent survey staff were trained and assigned to obtain baseline and follow-up measurements. In a baseline evaluation, the staff introduced patients to the survey and asked them to complete the questionnaire on site in a self-reported manner within 30 min. All patients who completed the preoperative questionnaire were subsequently followed-up by correspondence using the GIQLI scale two weeks and six weeks after treatment. The survey staff reviewed the questionnaires to determine the baseline and postoperative GIQLI scores.</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Statistical analysis</w:t>
      </w:r>
    </w:p>
    <w:p w:rsidR="00841022" w:rsidRPr="00F160D4" w:rsidRDefault="00841022" w:rsidP="00F160D4">
      <w:pPr>
        <w:spacing w:line="360" w:lineRule="auto"/>
        <w:rPr>
          <w:rFonts w:ascii="Book Antiqua" w:hAnsi="Book Antiqua"/>
          <w:sz w:val="24"/>
        </w:rPr>
      </w:pPr>
      <w:r w:rsidRPr="00F160D4">
        <w:rPr>
          <w:rFonts w:ascii="Book Antiqua" w:hAnsi="Book Antiqua"/>
          <w:sz w:val="24"/>
        </w:rPr>
        <w:t>Demographic data and GIQLI questionnaires were collected to create a summary database using Epidate3.1 (</w:t>
      </w:r>
      <w:proofErr w:type="spellStart"/>
      <w:r w:rsidRPr="00F160D4">
        <w:rPr>
          <w:rFonts w:ascii="Book Antiqua" w:hAnsi="Book Antiqua"/>
          <w:sz w:val="24"/>
        </w:rPr>
        <w:t>EpiData</w:t>
      </w:r>
      <w:proofErr w:type="spellEnd"/>
      <w:r w:rsidRPr="00F160D4">
        <w:rPr>
          <w:rFonts w:ascii="Book Antiqua" w:hAnsi="Book Antiqua"/>
          <w:sz w:val="24"/>
        </w:rPr>
        <w:t xml:space="preserve"> Software, Odense, Denmark). Two independent biostatisticians were assigned to data entry. Missing data from patients lost to follow-up were treated using the data deletion method. All data were processed using SPSS version 18.0 statistical software (IBM, Armonk, NY, </w:t>
      </w:r>
      <w:r w:rsidR="00F160D4" w:rsidRPr="00F160D4">
        <w:rPr>
          <w:rFonts w:ascii="Book Antiqua" w:hAnsi="Book Antiqua"/>
          <w:sz w:val="24"/>
        </w:rPr>
        <w:t>United States</w:t>
      </w:r>
      <w:r w:rsidRPr="00F160D4">
        <w:rPr>
          <w:rFonts w:ascii="Book Antiqua" w:hAnsi="Book Antiqua"/>
          <w:sz w:val="24"/>
        </w:rPr>
        <w:t>). Continuous data are expressed as mean ±</w:t>
      </w:r>
      <w:r w:rsidR="00F160D4">
        <w:rPr>
          <w:rFonts w:ascii="Book Antiqua" w:hAnsi="Book Antiqua" w:hint="eastAsia"/>
          <w:sz w:val="24"/>
        </w:rPr>
        <w:t xml:space="preserve"> </w:t>
      </w:r>
      <w:r w:rsidR="00F160D4">
        <w:rPr>
          <w:rFonts w:ascii="Book Antiqua" w:hAnsi="Book Antiqua"/>
          <w:sz w:val="24"/>
        </w:rPr>
        <w:t>SD</w:t>
      </w:r>
      <w:r w:rsidRPr="00F160D4">
        <w:rPr>
          <w:rFonts w:ascii="Book Antiqua" w:hAnsi="Book Antiqua"/>
          <w:sz w:val="24"/>
        </w:rPr>
        <w:t xml:space="preserve"> and categorical data are expressed as </w:t>
      </w:r>
      <w:r w:rsidRPr="00F160D4">
        <w:rPr>
          <w:rFonts w:ascii="Book Antiqua" w:hAnsi="Book Antiqua"/>
          <w:i/>
          <w:sz w:val="24"/>
        </w:rPr>
        <w:t>n</w:t>
      </w:r>
      <w:r w:rsidRPr="00F160D4">
        <w:rPr>
          <w:rFonts w:ascii="Book Antiqua" w:hAnsi="Book Antiqua"/>
          <w:sz w:val="24"/>
        </w:rPr>
        <w:t xml:space="preserve"> (%). Demographic data were compared using the Student’s </w:t>
      </w:r>
      <w:r w:rsidRPr="00F160D4">
        <w:rPr>
          <w:rFonts w:ascii="Book Antiqua" w:hAnsi="Book Antiqua"/>
          <w:i/>
          <w:sz w:val="24"/>
        </w:rPr>
        <w:t>t</w:t>
      </w:r>
      <w:r w:rsidRPr="00F160D4">
        <w:rPr>
          <w:rFonts w:ascii="Book Antiqua" w:hAnsi="Book Antiqua"/>
          <w:sz w:val="24"/>
        </w:rPr>
        <w:t xml:space="preserve">-test or the Pearson’s </w:t>
      </w:r>
      <w:r w:rsidR="00F160D4" w:rsidRPr="00F160D4">
        <w:rPr>
          <w:rFonts w:ascii="Book Antiqua" w:hAnsi="Book Antiqua"/>
          <w:i/>
          <w:sz w:val="24"/>
        </w:rPr>
        <w:t>χ</w:t>
      </w:r>
      <w:r w:rsidR="00F160D4">
        <w:rPr>
          <w:rFonts w:ascii="Book Antiqua" w:hAnsi="Book Antiqua" w:hint="eastAsia"/>
          <w:sz w:val="24"/>
          <w:vertAlign w:val="superscript"/>
        </w:rPr>
        <w:t>2</w:t>
      </w:r>
      <w:r w:rsidRPr="00F160D4">
        <w:rPr>
          <w:rFonts w:ascii="Book Antiqua" w:hAnsi="Book Antiqua"/>
          <w:sz w:val="24"/>
        </w:rPr>
        <w:t xml:space="preserve"> test. The general linear model with Student-Newman-</w:t>
      </w:r>
      <w:proofErr w:type="spellStart"/>
      <w:r w:rsidRPr="00F160D4">
        <w:rPr>
          <w:rFonts w:ascii="Book Antiqua" w:hAnsi="Book Antiqua"/>
          <w:sz w:val="24"/>
        </w:rPr>
        <w:t>Keuls</w:t>
      </w:r>
      <w:proofErr w:type="spellEnd"/>
      <w:r w:rsidRPr="00F160D4">
        <w:rPr>
          <w:rFonts w:ascii="Book Antiqua" w:hAnsi="Book Antiqua"/>
          <w:sz w:val="24"/>
        </w:rPr>
        <w:t xml:space="preserve"> post-hoc analysis of variance or covariance was used to compare the total GIQLI score and each </w:t>
      </w:r>
      <w:r w:rsidRPr="00F160D4">
        <w:rPr>
          <w:rFonts w:ascii="Book Antiqua" w:hAnsi="Book Antiqua"/>
          <w:sz w:val="24"/>
        </w:rPr>
        <w:lastRenderedPageBreak/>
        <w:t xml:space="preserve">subdomain score between the two treatment groups at the baseline, as well as at the follow-up time-points. A </w:t>
      </w:r>
      <w:r w:rsidRPr="00F160D4">
        <w:rPr>
          <w:rFonts w:ascii="Book Antiqua" w:hAnsi="Book Antiqua"/>
          <w:i/>
          <w:sz w:val="24"/>
        </w:rPr>
        <w:t>P</w:t>
      </w:r>
      <w:r w:rsidRPr="00F160D4">
        <w:rPr>
          <w:rFonts w:ascii="Book Antiqua" w:hAnsi="Book Antiqua"/>
          <w:sz w:val="24"/>
        </w:rPr>
        <w:t xml:space="preserve"> value of &lt; 0.05 was set as the threshold for statistical significance.</w:t>
      </w:r>
    </w:p>
    <w:p w:rsidR="00841022" w:rsidRPr="00F160D4" w:rsidRDefault="00841022" w:rsidP="00F160D4">
      <w:pPr>
        <w:spacing w:line="360" w:lineRule="auto"/>
        <w:rPr>
          <w:rFonts w:ascii="Book Antiqua" w:hAnsi="Book Antiqua"/>
          <w:sz w:val="24"/>
          <w:lang w:val="en-GB"/>
        </w:rPr>
      </w:pPr>
    </w:p>
    <w:p w:rsidR="00841022" w:rsidRPr="00F160D4" w:rsidRDefault="00841022" w:rsidP="00F160D4">
      <w:pPr>
        <w:spacing w:line="360" w:lineRule="auto"/>
        <w:rPr>
          <w:rFonts w:ascii="Book Antiqua" w:hAnsi="Book Antiqua"/>
          <w:b/>
          <w:sz w:val="24"/>
        </w:rPr>
      </w:pPr>
      <w:r w:rsidRPr="00F160D4">
        <w:rPr>
          <w:rFonts w:ascii="Book Antiqua" w:hAnsi="Book Antiqua"/>
          <w:b/>
          <w:sz w:val="24"/>
        </w:rPr>
        <w:t>RESULTS</w:t>
      </w: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Patient characteristics</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Patient characteristics, which included baseline demographic data, treatment outcome and follow-up outcome, are shown in Table 1. The two treatment groups were comparable in age, sex, marital status, number of children, </w:t>
      </w:r>
      <w:proofErr w:type="gramStart"/>
      <w:r w:rsidRPr="00F160D4">
        <w:rPr>
          <w:rFonts w:ascii="Book Antiqua" w:hAnsi="Book Antiqua"/>
          <w:sz w:val="24"/>
        </w:rPr>
        <w:t>place</w:t>
      </w:r>
      <w:proofErr w:type="gramEnd"/>
      <w:r w:rsidRPr="00F160D4">
        <w:rPr>
          <w:rFonts w:ascii="Book Antiqua" w:hAnsi="Book Antiqua"/>
          <w:sz w:val="24"/>
        </w:rPr>
        <w:t xml:space="preserve"> of residence, educational level and employment status. Gallstones were completely eliminated in all patients (216/216; 100%). EST, however, was associated with a significantly shorter hospital stay when compared to OCT (8.8 ± 6.5 d </w:t>
      </w:r>
      <w:r w:rsidRPr="00F160D4">
        <w:rPr>
          <w:rFonts w:ascii="Book Antiqua" w:hAnsi="Book Antiqua"/>
          <w:i/>
          <w:sz w:val="24"/>
        </w:rPr>
        <w:t>vs.</w:t>
      </w:r>
      <w:r w:rsidRPr="00F160D4">
        <w:rPr>
          <w:rFonts w:ascii="Book Antiqua" w:hAnsi="Book Antiqua"/>
          <w:sz w:val="24"/>
        </w:rPr>
        <w:t xml:space="preserve"> 13.9 ± 6.7 d; </w:t>
      </w:r>
      <w:r w:rsidRPr="00F160D4">
        <w:rPr>
          <w:rFonts w:ascii="Book Antiqua" w:hAnsi="Book Antiqua"/>
          <w:i/>
          <w:sz w:val="24"/>
        </w:rPr>
        <w:t>P</w:t>
      </w:r>
      <w:r w:rsidRPr="00F160D4">
        <w:rPr>
          <w:rFonts w:ascii="Book Antiqua" w:hAnsi="Book Antiqua"/>
          <w:sz w:val="24"/>
        </w:rPr>
        <w:t xml:space="preserve"> &lt; 0.001). Out of 216 eligible patients, 191 patients (191/216; 88.4%) completed all three surveys, including 118 patients who underwent EST (118/135; 87.4%) and 73 patients who underwent OCT (73/81; 90.1%). Twenty-five patients (25/216; 11.6%) were tracked during the six-week follow-up. For EST, 13 patients were lost at the two-week follow-up (13/135; 9.6%) and another four patients (4/135; 3.0%) were lost at six weeks post-EST. Eight patients (8/81; 9.9%) were lost at the two-week follow-up for OCT. The overall and time-point-specific follow-up rates were comparable between the two treatment groups.</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Total and domain-specific GIQLI scores by time-point</w:t>
      </w:r>
    </w:p>
    <w:p w:rsidR="00841022" w:rsidRPr="00F160D4" w:rsidRDefault="00841022" w:rsidP="00F160D4">
      <w:pPr>
        <w:spacing w:line="360" w:lineRule="auto"/>
        <w:rPr>
          <w:rFonts w:ascii="Book Antiqua" w:hAnsi="Book Antiqua"/>
          <w:sz w:val="24"/>
        </w:rPr>
      </w:pPr>
      <w:r w:rsidRPr="00F160D4">
        <w:rPr>
          <w:rFonts w:ascii="Book Antiqua" w:hAnsi="Book Antiqua"/>
          <w:sz w:val="24"/>
        </w:rPr>
        <w:t>The EST group exhibited a significantly lower total GIQLI score at baseline compared with healthy subjects</w:t>
      </w:r>
      <w:r w:rsidR="00F160D4">
        <w:rPr>
          <w:rFonts w:ascii="Book Antiqua" w:hAnsi="Book Antiqua" w:hint="eastAsia"/>
          <w:sz w:val="24"/>
        </w:rPr>
        <w:t xml:space="preserve"> </w:t>
      </w:r>
      <w:r w:rsidR="00EA0736">
        <w:rPr>
          <w:rFonts w:ascii="Book Antiqua" w:hAnsi="Book Antiqua" w:hint="eastAsia"/>
          <w:sz w:val="24"/>
        </w:rPr>
        <w:t>(</w:t>
      </w:r>
      <w:r w:rsidRPr="00F160D4">
        <w:rPr>
          <w:rFonts w:ascii="Book Antiqua" w:hAnsi="Book Antiqua"/>
          <w:sz w:val="24"/>
        </w:rPr>
        <w:t>103.0 ± 15.4, 59</w:t>
      </w:r>
      <w:r w:rsidR="00F160D4">
        <w:rPr>
          <w:rFonts w:ascii="Book Antiqua" w:hAnsi="Book Antiqua" w:hint="eastAsia"/>
          <w:sz w:val="24"/>
        </w:rPr>
        <w:t>-</w:t>
      </w:r>
      <w:r w:rsidRPr="00F160D4">
        <w:rPr>
          <w:rFonts w:ascii="Book Antiqua" w:hAnsi="Book Antiqua"/>
          <w:sz w:val="24"/>
        </w:rPr>
        <w:t>37). At the follow-up visit two weeks post-EST, the total GIQLI score showed a significant improvement (113.4 ± 12.0, 76</w:t>
      </w:r>
      <w:r w:rsidR="00F160D4">
        <w:rPr>
          <w:rFonts w:ascii="Book Antiqua" w:hAnsi="Book Antiqua" w:hint="eastAsia"/>
          <w:sz w:val="24"/>
        </w:rPr>
        <w:t>-</w:t>
      </w:r>
      <w:r w:rsidR="00F160D4">
        <w:rPr>
          <w:rFonts w:ascii="Book Antiqua" w:hAnsi="Book Antiqua"/>
          <w:sz w:val="24"/>
        </w:rPr>
        <w:t>134</w:t>
      </w:r>
      <w:r w:rsidRPr="00F160D4">
        <w:rPr>
          <w:rFonts w:ascii="Book Antiqua" w:hAnsi="Book Antiqua"/>
          <w:sz w:val="24"/>
        </w:rPr>
        <w:t>) compared to the baseline (</w:t>
      </w:r>
      <w:r w:rsidRPr="00F160D4">
        <w:rPr>
          <w:rFonts w:ascii="Book Antiqua" w:hAnsi="Book Antiqua"/>
          <w:i/>
          <w:sz w:val="24"/>
        </w:rPr>
        <w:t>P</w:t>
      </w:r>
      <w:r w:rsidRPr="00F160D4">
        <w:rPr>
          <w:rFonts w:ascii="Book Antiqua" w:hAnsi="Book Antiqua"/>
          <w:sz w:val="24"/>
        </w:rPr>
        <w:t xml:space="preserve"> &lt; 0.001). The total GIQLI score continued to increase (120.7 ± 10.6, 71</w:t>
      </w:r>
      <w:r w:rsidR="00F160D4">
        <w:rPr>
          <w:rFonts w:ascii="Book Antiqua" w:hAnsi="Book Antiqua" w:hint="eastAsia"/>
          <w:sz w:val="24"/>
        </w:rPr>
        <w:t>-</w:t>
      </w:r>
      <w:r w:rsidRPr="00F160D4">
        <w:rPr>
          <w:rFonts w:ascii="Book Antiqua" w:hAnsi="Book Antiqua"/>
          <w:sz w:val="24"/>
        </w:rPr>
        <w:t>36) until the follow-up visit at six weeks post-EST when compared to the baseline (</w:t>
      </w:r>
      <w:r w:rsidRPr="00F160D4">
        <w:rPr>
          <w:rFonts w:ascii="Book Antiqua" w:hAnsi="Book Antiqua"/>
          <w:i/>
          <w:sz w:val="24"/>
        </w:rPr>
        <w:t>P</w:t>
      </w:r>
      <w:r w:rsidRPr="00F160D4">
        <w:rPr>
          <w:rFonts w:ascii="Book Antiqua" w:hAnsi="Book Antiqua"/>
          <w:sz w:val="24"/>
        </w:rPr>
        <w:t xml:space="preserve"> &lt; 0.001) or the follow-up visit at two weeks (</w:t>
      </w:r>
      <w:r w:rsidRPr="00F160D4">
        <w:rPr>
          <w:rFonts w:ascii="Book Antiqua" w:hAnsi="Book Antiqua"/>
          <w:i/>
          <w:sz w:val="24"/>
        </w:rPr>
        <w:t>P</w:t>
      </w:r>
      <w:r w:rsidRPr="00F160D4">
        <w:rPr>
          <w:rFonts w:ascii="Book Antiqua" w:hAnsi="Book Antiqua"/>
          <w:sz w:val="24"/>
        </w:rPr>
        <w:t xml:space="preserve"> &lt; 0.001), and approached the lower limit (121.5) of the healthy subjects (Figure 1A).</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Like the EST group, the OCT group also exhibited a significantly lower total GIQLI score at baseline as compared to healthy subjects (99.7 ± 10.2,</w:t>
      </w:r>
      <w:r w:rsidR="00F160D4">
        <w:rPr>
          <w:rFonts w:ascii="Book Antiqua" w:hAnsi="Book Antiqua"/>
          <w:sz w:val="24"/>
        </w:rPr>
        <w:t xml:space="preserve"> </w:t>
      </w:r>
      <w:r w:rsidRPr="00F160D4">
        <w:rPr>
          <w:rFonts w:ascii="Book Antiqua" w:hAnsi="Book Antiqua"/>
          <w:sz w:val="24"/>
        </w:rPr>
        <w:t>77</w:t>
      </w:r>
      <w:r w:rsidR="00F160D4">
        <w:rPr>
          <w:rFonts w:ascii="Book Antiqua" w:hAnsi="Book Antiqua" w:hint="eastAsia"/>
          <w:sz w:val="24"/>
        </w:rPr>
        <w:t>-</w:t>
      </w:r>
      <w:r w:rsidR="00F160D4">
        <w:rPr>
          <w:rFonts w:ascii="Book Antiqua" w:hAnsi="Book Antiqua"/>
          <w:sz w:val="24"/>
        </w:rPr>
        <w:t>121</w:t>
      </w:r>
      <w:r w:rsidRPr="00F160D4">
        <w:rPr>
          <w:rFonts w:ascii="Book Antiqua" w:hAnsi="Book Antiqua"/>
          <w:sz w:val="24"/>
        </w:rPr>
        <w:t xml:space="preserve">). At the </w:t>
      </w:r>
      <w:r w:rsidRPr="00F160D4">
        <w:rPr>
          <w:rFonts w:ascii="Book Antiqua" w:hAnsi="Book Antiqua"/>
          <w:sz w:val="24"/>
        </w:rPr>
        <w:lastRenderedPageBreak/>
        <w:t>follow-up visit two weeks after the OCT procedure, the total GIQLI score showed a significant improvement (107.2 ± 11.2,</w:t>
      </w:r>
      <w:r w:rsidR="00F160D4">
        <w:rPr>
          <w:rFonts w:ascii="Book Antiqua" w:hAnsi="Book Antiqua"/>
          <w:sz w:val="24"/>
        </w:rPr>
        <w:t xml:space="preserve"> </w:t>
      </w:r>
      <w:r w:rsidRPr="00F160D4">
        <w:rPr>
          <w:rFonts w:ascii="Book Antiqua" w:hAnsi="Book Antiqua"/>
          <w:sz w:val="24"/>
        </w:rPr>
        <w:t>88</w:t>
      </w:r>
      <w:r w:rsidR="00F160D4">
        <w:rPr>
          <w:rFonts w:ascii="Book Antiqua" w:hAnsi="Book Antiqua" w:hint="eastAsia"/>
          <w:sz w:val="24"/>
        </w:rPr>
        <w:t>-</w:t>
      </w:r>
      <w:r w:rsidR="00F160D4">
        <w:rPr>
          <w:rFonts w:ascii="Book Antiqua" w:hAnsi="Book Antiqua"/>
          <w:sz w:val="24"/>
        </w:rPr>
        <w:t>127</w:t>
      </w:r>
      <w:r w:rsidRPr="00F160D4">
        <w:rPr>
          <w:rFonts w:ascii="Book Antiqua" w:hAnsi="Book Antiqua"/>
          <w:sz w:val="24"/>
        </w:rPr>
        <w:t>) compared to the baseline (</w:t>
      </w:r>
      <w:r w:rsidRPr="00F160D4">
        <w:rPr>
          <w:rFonts w:ascii="Book Antiqua" w:hAnsi="Book Antiqua"/>
          <w:i/>
          <w:sz w:val="24"/>
        </w:rPr>
        <w:t>P</w:t>
      </w:r>
      <w:r w:rsidRPr="00F160D4">
        <w:rPr>
          <w:rFonts w:ascii="Book Antiqua" w:hAnsi="Book Antiqua"/>
          <w:sz w:val="24"/>
        </w:rPr>
        <w:t xml:space="preserve"> &lt; 0.001). The total GIQLI score continued to increase (116.9 ± 7.5,</w:t>
      </w:r>
      <w:r w:rsidR="00F160D4">
        <w:rPr>
          <w:rFonts w:ascii="Book Antiqua" w:hAnsi="Book Antiqua"/>
          <w:sz w:val="24"/>
        </w:rPr>
        <w:t xml:space="preserve"> </w:t>
      </w:r>
      <w:r w:rsidRPr="00F160D4">
        <w:rPr>
          <w:rFonts w:ascii="Book Antiqua" w:hAnsi="Book Antiqua"/>
          <w:sz w:val="24"/>
        </w:rPr>
        <w:t>104</w:t>
      </w:r>
      <w:r w:rsidR="00F160D4">
        <w:rPr>
          <w:rFonts w:ascii="Book Antiqua" w:hAnsi="Book Antiqua" w:hint="eastAsia"/>
          <w:sz w:val="24"/>
        </w:rPr>
        <w:t>-</w:t>
      </w:r>
      <w:r w:rsidR="00F160D4">
        <w:rPr>
          <w:rFonts w:ascii="Book Antiqua" w:hAnsi="Book Antiqua"/>
          <w:sz w:val="24"/>
        </w:rPr>
        <w:t>130</w:t>
      </w:r>
      <w:r w:rsidRPr="00F160D4">
        <w:rPr>
          <w:rFonts w:ascii="Book Antiqua" w:hAnsi="Book Antiqua"/>
          <w:sz w:val="24"/>
        </w:rPr>
        <w:t xml:space="preserve">) until the follow-up visit at </w:t>
      </w:r>
      <w:r w:rsidR="00F160D4">
        <w:rPr>
          <w:rFonts w:ascii="Book Antiqua" w:hAnsi="Book Antiqua" w:hint="eastAsia"/>
          <w:sz w:val="24"/>
        </w:rPr>
        <w:t>6</w:t>
      </w:r>
      <w:r w:rsidRPr="00F160D4">
        <w:rPr>
          <w:rFonts w:ascii="Book Antiqua" w:hAnsi="Book Antiqua"/>
          <w:sz w:val="24"/>
        </w:rPr>
        <w:t xml:space="preserve"> </w:t>
      </w:r>
      <w:proofErr w:type="spellStart"/>
      <w:r w:rsidRPr="00F160D4">
        <w:rPr>
          <w:rFonts w:ascii="Book Antiqua" w:hAnsi="Book Antiqua"/>
          <w:sz w:val="24"/>
        </w:rPr>
        <w:t>w</w:t>
      </w:r>
      <w:r w:rsidR="00F160D4">
        <w:rPr>
          <w:rFonts w:ascii="Book Antiqua" w:hAnsi="Book Antiqua"/>
          <w:sz w:val="24"/>
        </w:rPr>
        <w:t>k</w:t>
      </w:r>
      <w:proofErr w:type="spellEnd"/>
      <w:r w:rsidRPr="00F160D4">
        <w:rPr>
          <w:rFonts w:ascii="Book Antiqua" w:hAnsi="Book Antiqua"/>
          <w:sz w:val="24"/>
        </w:rPr>
        <w:t xml:space="preserve"> post-OCT when compared with the baseline (</w:t>
      </w:r>
      <w:r w:rsidRPr="00F160D4">
        <w:rPr>
          <w:rFonts w:ascii="Book Antiqua" w:hAnsi="Book Antiqua"/>
          <w:i/>
          <w:sz w:val="24"/>
        </w:rPr>
        <w:t>P</w:t>
      </w:r>
      <w:r w:rsidRPr="00F160D4">
        <w:rPr>
          <w:rFonts w:ascii="Book Antiqua" w:hAnsi="Book Antiqua"/>
          <w:sz w:val="24"/>
        </w:rPr>
        <w:t xml:space="preserve"> &lt; 0.001) or the follow-up visit at two weeks (</w:t>
      </w:r>
      <w:r w:rsidRPr="00F160D4">
        <w:rPr>
          <w:rFonts w:ascii="Book Antiqua" w:hAnsi="Book Antiqua"/>
          <w:i/>
          <w:sz w:val="24"/>
        </w:rPr>
        <w:t>P</w:t>
      </w:r>
      <w:r w:rsidRPr="00F160D4">
        <w:rPr>
          <w:rFonts w:ascii="Book Antiqua" w:hAnsi="Book Antiqua"/>
          <w:sz w:val="24"/>
        </w:rPr>
        <w:t xml:space="preserve"> &lt; 0.001), though it remained significantly lower than the lower limit for healthy subjects (</w:t>
      </w:r>
      <w:r w:rsidRPr="00F160D4">
        <w:rPr>
          <w:rFonts w:ascii="Book Antiqua" w:hAnsi="Book Antiqua"/>
          <w:i/>
          <w:sz w:val="24"/>
        </w:rPr>
        <w:t>P</w:t>
      </w:r>
      <w:r w:rsidRPr="00F160D4">
        <w:rPr>
          <w:rFonts w:ascii="Book Antiqua" w:hAnsi="Book Antiqua"/>
          <w:sz w:val="24"/>
        </w:rPr>
        <w:t xml:space="preserve"> &lt; 0.001) (Figure 1A).</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Out of five domains, scores from the self-reported symptom, physical function, mental/emotional function and special disease/condition domains all continuously exhibited significant increases throughout the follow-up period of six weeks (all </w:t>
      </w:r>
      <w:r w:rsidRPr="00F160D4">
        <w:rPr>
          <w:rFonts w:ascii="Book Antiqua" w:hAnsi="Book Antiqua"/>
          <w:i/>
          <w:sz w:val="24"/>
        </w:rPr>
        <w:t>P</w:t>
      </w:r>
      <w:r w:rsidRPr="00F160D4">
        <w:rPr>
          <w:rFonts w:ascii="Book Antiqua" w:hAnsi="Book Antiqua"/>
          <w:sz w:val="24"/>
        </w:rPr>
        <w:t>s &lt; 0.001) (Figure 1B-D,</w:t>
      </w:r>
      <w:r w:rsidR="00F160D4">
        <w:rPr>
          <w:rFonts w:ascii="Book Antiqua" w:hAnsi="Book Antiqua" w:hint="eastAsia"/>
          <w:sz w:val="24"/>
        </w:rPr>
        <w:t xml:space="preserve"> </w:t>
      </w:r>
      <w:r w:rsidRPr="00F160D4">
        <w:rPr>
          <w:rFonts w:ascii="Book Antiqua" w:hAnsi="Book Antiqua"/>
          <w:sz w:val="24"/>
        </w:rPr>
        <w:t>F). However, in both groups, the social function domain score did not change throughout the follow-up period (Figure 1E).</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Total and domain-specific GIQLI scores by treatment</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The total GIQLI score was comparable between the two treatment groups at baseline (EST </w:t>
      </w:r>
      <w:r w:rsidRPr="00F160D4">
        <w:rPr>
          <w:rFonts w:ascii="Book Antiqua" w:hAnsi="Book Antiqua"/>
          <w:i/>
          <w:sz w:val="24"/>
        </w:rPr>
        <w:t>vs</w:t>
      </w:r>
      <w:r w:rsidR="00F160D4">
        <w:rPr>
          <w:rFonts w:ascii="Book Antiqua" w:hAnsi="Book Antiqua" w:hint="eastAsia"/>
          <w:i/>
          <w:sz w:val="24"/>
        </w:rPr>
        <w:t xml:space="preserve"> </w:t>
      </w:r>
      <w:r w:rsidRPr="00F160D4">
        <w:rPr>
          <w:rFonts w:ascii="Book Antiqua" w:hAnsi="Book Antiqua"/>
          <w:sz w:val="24"/>
        </w:rPr>
        <w:t xml:space="preserve">OCT: 103.0 ± 15.4 </w:t>
      </w:r>
      <w:r w:rsidR="00F160D4">
        <w:rPr>
          <w:rFonts w:ascii="Book Antiqua" w:hAnsi="Book Antiqua"/>
          <w:i/>
          <w:sz w:val="24"/>
        </w:rPr>
        <w:t>vs</w:t>
      </w:r>
      <w:r w:rsidRPr="00F160D4">
        <w:rPr>
          <w:rFonts w:ascii="Book Antiqua" w:hAnsi="Book Antiqua"/>
          <w:sz w:val="24"/>
        </w:rPr>
        <w:t xml:space="preserve"> 99.7 ± 10.2). The total GIQLI scores, however, were significantly higher in the EST group in comparison to the OCT group at two weeks (113.4 ± 12.0 </w:t>
      </w:r>
      <w:r w:rsidR="00F160D4">
        <w:rPr>
          <w:rFonts w:ascii="Book Antiqua" w:hAnsi="Book Antiqua"/>
          <w:i/>
          <w:sz w:val="24"/>
        </w:rPr>
        <w:t>vs</w:t>
      </w:r>
      <w:r w:rsidRPr="00F160D4">
        <w:rPr>
          <w:rFonts w:ascii="Book Antiqua" w:hAnsi="Book Antiqua"/>
          <w:sz w:val="24"/>
        </w:rPr>
        <w:t xml:space="preserve"> 107.2 ± 11.2; </w:t>
      </w:r>
      <w:r w:rsidRPr="00F160D4">
        <w:rPr>
          <w:rFonts w:ascii="Book Antiqua" w:hAnsi="Book Antiqua"/>
          <w:i/>
          <w:sz w:val="24"/>
        </w:rPr>
        <w:t>P</w:t>
      </w:r>
      <w:r w:rsidRPr="00F160D4">
        <w:rPr>
          <w:rFonts w:ascii="Book Antiqua" w:hAnsi="Book Antiqua"/>
          <w:sz w:val="24"/>
        </w:rPr>
        <w:t xml:space="preserve"> &lt; 0.001) and at six weeks (120.7 ± 10.6 </w:t>
      </w:r>
      <w:r w:rsidR="00F160D4">
        <w:rPr>
          <w:rFonts w:ascii="Book Antiqua" w:hAnsi="Book Antiqua"/>
          <w:i/>
          <w:sz w:val="24"/>
        </w:rPr>
        <w:t>vs</w:t>
      </w:r>
      <w:r w:rsidRPr="00F160D4">
        <w:rPr>
          <w:rFonts w:ascii="Book Antiqua" w:hAnsi="Book Antiqua"/>
          <w:sz w:val="24"/>
        </w:rPr>
        <w:t xml:space="preserve"> 116.9 ± 7.5; </w:t>
      </w:r>
      <w:r w:rsidRPr="00F160D4">
        <w:rPr>
          <w:rFonts w:ascii="Book Antiqua" w:hAnsi="Book Antiqua"/>
          <w:i/>
          <w:sz w:val="24"/>
        </w:rPr>
        <w:t>P</w:t>
      </w:r>
      <w:r w:rsidRPr="00F160D4">
        <w:rPr>
          <w:rFonts w:ascii="Book Antiqua" w:hAnsi="Book Antiqua"/>
          <w:sz w:val="24"/>
        </w:rPr>
        <w:t xml:space="preserve"> &lt; 0.05) following treatment (Figure 1A).</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The two treatment groups were comparable in their self-reported symptom domain scores at baseline (EST </w:t>
      </w:r>
      <w:r w:rsidR="00F160D4">
        <w:rPr>
          <w:rFonts w:ascii="Book Antiqua" w:hAnsi="Book Antiqua"/>
          <w:i/>
          <w:sz w:val="24"/>
        </w:rPr>
        <w:t>vs</w:t>
      </w:r>
      <w:r w:rsidRPr="00F160D4">
        <w:rPr>
          <w:rFonts w:ascii="Book Antiqua" w:hAnsi="Book Antiqua"/>
          <w:sz w:val="24"/>
        </w:rPr>
        <w:t xml:space="preserve"> OCT: 25.7 ± 5.3 </w:t>
      </w:r>
      <w:r w:rsidR="00F160D4">
        <w:rPr>
          <w:rFonts w:ascii="Book Antiqua" w:hAnsi="Book Antiqua"/>
          <w:i/>
          <w:sz w:val="24"/>
        </w:rPr>
        <w:t>vs</w:t>
      </w:r>
      <w:r w:rsidRPr="00F160D4">
        <w:rPr>
          <w:rFonts w:ascii="Book Antiqua" w:hAnsi="Book Antiqua"/>
          <w:sz w:val="24"/>
        </w:rPr>
        <w:t xml:space="preserve"> 25.6 ± 2.8). However, the self-reported symptom domain scores were significantly higher in the EST group than in the OCT group at two weeks (28.8 ± 3.2 </w:t>
      </w:r>
      <w:r w:rsidR="00F160D4">
        <w:rPr>
          <w:rFonts w:ascii="Book Antiqua" w:hAnsi="Book Antiqua"/>
          <w:i/>
          <w:sz w:val="24"/>
        </w:rPr>
        <w:t>vs</w:t>
      </w:r>
      <w:r w:rsidRPr="00F160D4">
        <w:rPr>
          <w:rFonts w:ascii="Book Antiqua" w:hAnsi="Book Antiqua"/>
          <w:sz w:val="24"/>
        </w:rPr>
        <w:t xml:space="preserve"> 27.0 ± 3.5; </w:t>
      </w:r>
      <w:r w:rsidRPr="00F160D4">
        <w:rPr>
          <w:rFonts w:ascii="Book Antiqua" w:hAnsi="Book Antiqua"/>
          <w:i/>
          <w:sz w:val="24"/>
        </w:rPr>
        <w:t>P</w:t>
      </w:r>
      <w:r w:rsidRPr="00F160D4">
        <w:rPr>
          <w:rFonts w:ascii="Book Antiqua" w:hAnsi="Book Antiqua"/>
          <w:sz w:val="24"/>
        </w:rPr>
        <w:t xml:space="preserve"> &lt; 0.001) and six weeks (31.3 ± 2.8 </w:t>
      </w:r>
      <w:r w:rsidR="00F160D4">
        <w:rPr>
          <w:rFonts w:ascii="Book Antiqua" w:hAnsi="Book Antiqua"/>
          <w:i/>
          <w:sz w:val="24"/>
        </w:rPr>
        <w:t>vs</w:t>
      </w:r>
      <w:r w:rsidRPr="00F160D4">
        <w:rPr>
          <w:rFonts w:ascii="Book Antiqua" w:hAnsi="Book Antiqua"/>
          <w:sz w:val="24"/>
        </w:rPr>
        <w:t xml:space="preserve"> 29.5 ± 2.8; </w:t>
      </w:r>
      <w:r w:rsidRPr="00F160D4">
        <w:rPr>
          <w:rFonts w:ascii="Book Antiqua" w:hAnsi="Book Antiqua"/>
          <w:i/>
          <w:sz w:val="24"/>
        </w:rPr>
        <w:t>P</w:t>
      </w:r>
      <w:r w:rsidRPr="00F160D4">
        <w:rPr>
          <w:rFonts w:ascii="Book Antiqua" w:hAnsi="Book Antiqua"/>
          <w:sz w:val="24"/>
        </w:rPr>
        <w:t xml:space="preserve"> &lt; 0.001) following treatment (Figure 1B).</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The EST group had a significantly higher physical function domain score than the OCT group at baseline (14.4 ± 5.6 </w:t>
      </w:r>
      <w:r w:rsidR="00F160D4">
        <w:rPr>
          <w:rFonts w:ascii="Book Antiqua" w:hAnsi="Book Antiqua"/>
          <w:i/>
          <w:sz w:val="24"/>
        </w:rPr>
        <w:t>vs</w:t>
      </w:r>
      <w:r w:rsidRPr="00F160D4">
        <w:rPr>
          <w:rFonts w:ascii="Book Antiqua" w:hAnsi="Book Antiqua"/>
          <w:sz w:val="24"/>
        </w:rPr>
        <w:t xml:space="preserve"> 10.6 ± 4.8; </w:t>
      </w:r>
      <w:r w:rsidRPr="00F160D4">
        <w:rPr>
          <w:rFonts w:ascii="Book Antiqua" w:hAnsi="Book Antiqua"/>
          <w:i/>
          <w:sz w:val="24"/>
        </w:rPr>
        <w:t>P</w:t>
      </w:r>
      <w:r w:rsidRPr="00F160D4">
        <w:rPr>
          <w:rFonts w:ascii="Book Antiqua" w:hAnsi="Book Antiqua"/>
          <w:sz w:val="24"/>
        </w:rPr>
        <w:t xml:space="preserve"> &lt; 0.001). Moreover, the physical function domain scores remained significantly higher in the EST group than those in the OCT group at two weeks (16.9 ± 4.4 </w:t>
      </w:r>
      <w:r w:rsidR="00F160D4">
        <w:rPr>
          <w:rFonts w:ascii="Book Antiqua" w:hAnsi="Book Antiqua"/>
          <w:i/>
          <w:sz w:val="24"/>
        </w:rPr>
        <w:t>vs</w:t>
      </w:r>
      <w:r w:rsidRPr="00F160D4">
        <w:rPr>
          <w:rFonts w:ascii="Book Antiqua" w:hAnsi="Book Antiqua"/>
          <w:sz w:val="24"/>
        </w:rPr>
        <w:t xml:space="preserve"> 13.3 ± 4.9; </w:t>
      </w:r>
      <w:r w:rsidRPr="00F160D4">
        <w:rPr>
          <w:rFonts w:ascii="Book Antiqua" w:hAnsi="Book Antiqua"/>
          <w:i/>
          <w:sz w:val="24"/>
        </w:rPr>
        <w:t>P</w:t>
      </w:r>
      <w:r w:rsidRPr="00F160D4">
        <w:rPr>
          <w:rFonts w:ascii="Book Antiqua" w:hAnsi="Book Antiqua"/>
          <w:sz w:val="24"/>
        </w:rPr>
        <w:t xml:space="preserve"> &lt; 0.001) and six weeks (31.3 ± 2.8 </w:t>
      </w:r>
      <w:r w:rsidR="00F160D4">
        <w:rPr>
          <w:rFonts w:ascii="Book Antiqua" w:hAnsi="Book Antiqua"/>
          <w:i/>
          <w:sz w:val="24"/>
        </w:rPr>
        <w:t>vs</w:t>
      </w:r>
      <w:r w:rsidRPr="00F160D4">
        <w:rPr>
          <w:rFonts w:ascii="Book Antiqua" w:hAnsi="Book Antiqua"/>
          <w:sz w:val="24"/>
        </w:rPr>
        <w:t xml:space="preserve"> 29.5 ± 2.8; </w:t>
      </w:r>
      <w:r w:rsidRPr="00F160D4">
        <w:rPr>
          <w:rFonts w:ascii="Book Antiqua" w:hAnsi="Book Antiqua"/>
          <w:i/>
          <w:sz w:val="24"/>
        </w:rPr>
        <w:t>P</w:t>
      </w:r>
      <w:r w:rsidRPr="00F160D4">
        <w:rPr>
          <w:rFonts w:ascii="Book Antiqua" w:hAnsi="Book Antiqua"/>
          <w:sz w:val="24"/>
        </w:rPr>
        <w:t xml:space="preserve"> &lt; 0.05) following the treatment (Figure 1C).</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The EST group had a significantly higher mental/emotional function domain score than the OCT group at baseline (16.0 ± 3.5 </w:t>
      </w:r>
      <w:r w:rsidR="00F160D4">
        <w:rPr>
          <w:rFonts w:ascii="Book Antiqua" w:hAnsi="Book Antiqua"/>
          <w:i/>
          <w:sz w:val="24"/>
        </w:rPr>
        <w:t>vs</w:t>
      </w:r>
      <w:r w:rsidRPr="00F160D4">
        <w:rPr>
          <w:rFonts w:ascii="Book Antiqua" w:hAnsi="Book Antiqua"/>
          <w:sz w:val="24"/>
        </w:rPr>
        <w:t xml:space="preserve"> 14.6 ± 2.3;</w:t>
      </w:r>
      <w:r w:rsidRPr="00F160D4">
        <w:rPr>
          <w:rFonts w:ascii="Book Antiqua" w:hAnsi="Book Antiqua"/>
          <w:i/>
          <w:sz w:val="24"/>
        </w:rPr>
        <w:t xml:space="preserve"> P</w:t>
      </w:r>
      <w:r w:rsidRPr="00F160D4">
        <w:rPr>
          <w:rFonts w:ascii="Book Antiqua" w:hAnsi="Book Antiqua"/>
          <w:sz w:val="24"/>
        </w:rPr>
        <w:t xml:space="preserve"> &lt; 0.05). Additionally, the mental/emotional function domain score remained significantly higher in the </w:t>
      </w:r>
      <w:r w:rsidRPr="00F160D4">
        <w:rPr>
          <w:rFonts w:ascii="Book Antiqua" w:hAnsi="Book Antiqua"/>
          <w:sz w:val="24"/>
        </w:rPr>
        <w:lastRenderedPageBreak/>
        <w:t xml:space="preserve">EST group in comparison with the OCT group at two weeks (17.7 ± 3.1 </w:t>
      </w:r>
      <w:r w:rsidRPr="00F160D4">
        <w:rPr>
          <w:rFonts w:ascii="Book Antiqua" w:hAnsi="Book Antiqua"/>
          <w:i/>
          <w:sz w:val="24"/>
        </w:rPr>
        <w:t>vs</w:t>
      </w:r>
      <w:r w:rsidRPr="00F160D4">
        <w:rPr>
          <w:rFonts w:ascii="Book Antiqua" w:hAnsi="Book Antiqua"/>
          <w:sz w:val="24"/>
        </w:rPr>
        <w:t xml:space="preserve"> 15.8 ± 2.5; </w:t>
      </w:r>
      <w:r w:rsidRPr="00F160D4">
        <w:rPr>
          <w:rFonts w:ascii="Book Antiqua" w:hAnsi="Book Antiqua"/>
          <w:i/>
          <w:sz w:val="24"/>
        </w:rPr>
        <w:t>P</w:t>
      </w:r>
      <w:r w:rsidRPr="00F160D4">
        <w:rPr>
          <w:rFonts w:ascii="Book Antiqua" w:hAnsi="Book Antiqua"/>
          <w:sz w:val="24"/>
        </w:rPr>
        <w:t xml:space="preserve"> &lt; 0.001) following treatment, though it was comparable between the two treatment groups at six weeks (18.6 ± 2.8</w:t>
      </w:r>
      <w:r w:rsidRPr="00F160D4">
        <w:rPr>
          <w:rFonts w:ascii="Book Antiqua" w:hAnsi="Book Antiqua"/>
          <w:i/>
          <w:sz w:val="24"/>
        </w:rPr>
        <w:t xml:space="preserve"> </w:t>
      </w:r>
      <w:r w:rsidR="00F160D4">
        <w:rPr>
          <w:rFonts w:ascii="Book Antiqua" w:hAnsi="Book Antiqua"/>
          <w:i/>
          <w:sz w:val="24"/>
        </w:rPr>
        <w:t>vs</w:t>
      </w:r>
      <w:r w:rsidR="00F160D4">
        <w:rPr>
          <w:rFonts w:ascii="Book Antiqua" w:hAnsi="Book Antiqua" w:hint="eastAsia"/>
          <w:i/>
          <w:sz w:val="24"/>
        </w:rPr>
        <w:t xml:space="preserve"> </w:t>
      </w:r>
      <w:r w:rsidRPr="00F160D4">
        <w:rPr>
          <w:rFonts w:ascii="Book Antiqua" w:hAnsi="Book Antiqua"/>
          <w:sz w:val="24"/>
        </w:rPr>
        <w:t>17.9 ± 1.9) (Figure 1D).</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It is important to note that the EST group had a significantly lower social function domain score than the OCT group at baseline (12.6 ± 2.4 </w:t>
      </w:r>
      <w:r w:rsidR="00F160D4">
        <w:rPr>
          <w:rFonts w:ascii="Book Antiqua" w:hAnsi="Book Antiqua"/>
          <w:i/>
          <w:sz w:val="24"/>
        </w:rPr>
        <w:t>vs</w:t>
      </w:r>
      <w:r w:rsidRPr="00F160D4">
        <w:rPr>
          <w:rFonts w:ascii="Book Antiqua" w:hAnsi="Book Antiqua"/>
          <w:i/>
          <w:sz w:val="24"/>
        </w:rPr>
        <w:t xml:space="preserve"> </w:t>
      </w:r>
      <w:r w:rsidRPr="00F160D4">
        <w:rPr>
          <w:rFonts w:ascii="Book Antiqua" w:hAnsi="Book Antiqua"/>
          <w:sz w:val="24"/>
        </w:rPr>
        <w:t xml:space="preserve">13.8 ± 2.3; </w:t>
      </w:r>
      <w:r w:rsidRPr="00F160D4">
        <w:rPr>
          <w:rFonts w:ascii="Book Antiqua" w:hAnsi="Book Antiqua"/>
          <w:i/>
          <w:sz w:val="24"/>
        </w:rPr>
        <w:t>P</w:t>
      </w:r>
      <w:r w:rsidRPr="00F160D4">
        <w:rPr>
          <w:rFonts w:ascii="Book Antiqua" w:hAnsi="Book Antiqua"/>
          <w:sz w:val="24"/>
        </w:rPr>
        <w:t xml:space="preserve"> &lt; 0.001). Additionally, the social function domain score remained significantly lower in the EST group in comparison to the OCT group at two weeks (12.9 ± 2.9 </w:t>
      </w:r>
      <w:r w:rsidR="00F160D4">
        <w:rPr>
          <w:rFonts w:ascii="Book Antiqua" w:hAnsi="Book Antiqua"/>
          <w:i/>
          <w:sz w:val="24"/>
        </w:rPr>
        <w:t>vs</w:t>
      </w:r>
      <w:r w:rsidRPr="00F160D4">
        <w:rPr>
          <w:rFonts w:ascii="Book Antiqua" w:hAnsi="Book Antiqua"/>
          <w:sz w:val="24"/>
        </w:rPr>
        <w:t xml:space="preserve"> 14.4 ± 1.7; </w:t>
      </w:r>
      <w:r w:rsidRPr="00F160D4">
        <w:rPr>
          <w:rFonts w:ascii="Book Antiqua" w:hAnsi="Book Antiqua"/>
          <w:i/>
          <w:sz w:val="24"/>
        </w:rPr>
        <w:t>P</w:t>
      </w:r>
      <w:r w:rsidRPr="00F160D4">
        <w:rPr>
          <w:rFonts w:ascii="Book Antiqua" w:hAnsi="Book Antiqua"/>
          <w:sz w:val="24"/>
        </w:rPr>
        <w:t xml:space="preserve"> &lt; 0.001) following treatment, but was comparable between the two treatment groups at six weeks (13.0 ± 2.6 </w:t>
      </w:r>
      <w:r w:rsidR="00F160D4">
        <w:rPr>
          <w:rFonts w:ascii="Book Antiqua" w:hAnsi="Book Antiqua"/>
          <w:i/>
          <w:sz w:val="24"/>
        </w:rPr>
        <w:t>vs</w:t>
      </w:r>
      <w:r w:rsidRPr="00F160D4">
        <w:rPr>
          <w:rFonts w:ascii="Book Antiqua" w:hAnsi="Book Antiqua"/>
          <w:sz w:val="24"/>
        </w:rPr>
        <w:t xml:space="preserve"> 13.5 ± 2.2) (Figure 1E).</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The two treatment groups were comparable in the special disease/condition domain score (34.3 ± 4.9 </w:t>
      </w:r>
      <w:r w:rsidR="00F160D4">
        <w:rPr>
          <w:rFonts w:ascii="Book Antiqua" w:hAnsi="Book Antiqua"/>
          <w:i/>
          <w:sz w:val="24"/>
        </w:rPr>
        <w:t>vs</w:t>
      </w:r>
      <w:r w:rsidRPr="00F160D4">
        <w:rPr>
          <w:rFonts w:ascii="Book Antiqua" w:hAnsi="Book Antiqua"/>
          <w:sz w:val="24"/>
        </w:rPr>
        <w:t xml:space="preserve"> 35.3 ± 2.6). Moreover, the special disease/condition domain score remained comparable between the two treatment groups at two weeks (37.2 ± 3.4 </w:t>
      </w:r>
      <w:r w:rsidR="00F160D4">
        <w:rPr>
          <w:rFonts w:ascii="Book Antiqua" w:hAnsi="Book Antiqua"/>
          <w:i/>
          <w:sz w:val="24"/>
        </w:rPr>
        <w:t>vs</w:t>
      </w:r>
      <w:r w:rsidRPr="00F160D4">
        <w:rPr>
          <w:rFonts w:ascii="Book Antiqua" w:hAnsi="Book Antiqua"/>
          <w:sz w:val="24"/>
        </w:rPr>
        <w:t xml:space="preserve"> 36.8 ± 1.8) and six weeks (38.6 ± 2.0 </w:t>
      </w:r>
      <w:r w:rsidR="00F160D4">
        <w:rPr>
          <w:rFonts w:ascii="Book Antiqua" w:hAnsi="Book Antiqua"/>
          <w:i/>
          <w:sz w:val="24"/>
        </w:rPr>
        <w:t>vs</w:t>
      </w:r>
      <w:r w:rsidRPr="00F160D4">
        <w:rPr>
          <w:rFonts w:ascii="Book Antiqua" w:hAnsi="Book Antiqua"/>
          <w:sz w:val="24"/>
        </w:rPr>
        <w:t xml:space="preserve"> 38.6 ± 1.2) following treatment (Figure 1F).</w:t>
      </w:r>
    </w:p>
    <w:p w:rsidR="00841022" w:rsidRPr="00F160D4" w:rsidRDefault="00841022" w:rsidP="00F160D4">
      <w:pPr>
        <w:spacing w:line="360" w:lineRule="auto"/>
        <w:rPr>
          <w:rFonts w:ascii="Book Antiqua" w:hAnsi="Book Antiqua"/>
          <w:sz w:val="24"/>
          <w:lang w:val="en-GB"/>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Effect size analysis per treatment group</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Two weeks following treatment, the overall improvement in GIQLI scores from baseline values was significantly higher in the EST group than in the OCT group (10.4 ± 7.3 </w:t>
      </w:r>
      <w:r w:rsidR="00F160D4">
        <w:rPr>
          <w:rFonts w:ascii="Book Antiqua" w:hAnsi="Book Antiqua"/>
          <w:i/>
          <w:sz w:val="24"/>
        </w:rPr>
        <w:t>vs</w:t>
      </w:r>
      <w:r w:rsidRPr="00F160D4">
        <w:rPr>
          <w:rFonts w:ascii="Book Antiqua" w:hAnsi="Book Antiqua"/>
          <w:sz w:val="24"/>
        </w:rPr>
        <w:t xml:space="preserve"> 7.5 ± 5.2; </w:t>
      </w:r>
      <w:r w:rsidRPr="00F160D4">
        <w:rPr>
          <w:rFonts w:ascii="Book Antiqua" w:hAnsi="Book Antiqua"/>
          <w:i/>
          <w:sz w:val="24"/>
        </w:rPr>
        <w:t>P</w:t>
      </w:r>
      <w:r w:rsidRPr="00F160D4">
        <w:rPr>
          <w:rFonts w:ascii="Book Antiqua" w:hAnsi="Book Antiqua"/>
          <w:sz w:val="24"/>
        </w:rPr>
        <w:t xml:space="preserve"> &lt; 0.05) (Figure 2A). The improvements in each subscale score were significantly higher in the EST group than those in the OCT group for the self-reported symptom domain (3.1 ± 2.1 </w:t>
      </w:r>
      <w:r w:rsidRPr="00F160D4">
        <w:rPr>
          <w:rFonts w:ascii="Book Antiqua" w:hAnsi="Book Antiqua"/>
          <w:i/>
          <w:sz w:val="24"/>
        </w:rPr>
        <w:t>vs</w:t>
      </w:r>
      <w:r w:rsidR="00F160D4">
        <w:rPr>
          <w:rFonts w:ascii="Book Antiqua" w:hAnsi="Book Antiqua" w:hint="eastAsia"/>
          <w:i/>
          <w:sz w:val="24"/>
        </w:rPr>
        <w:t xml:space="preserve"> </w:t>
      </w:r>
      <w:r w:rsidRPr="00F160D4">
        <w:rPr>
          <w:rFonts w:ascii="Book Antiqua" w:hAnsi="Book Antiqua"/>
          <w:sz w:val="24"/>
        </w:rPr>
        <w:t xml:space="preserve">1.4 ± 1.2; </w:t>
      </w:r>
      <w:r w:rsidRPr="00F160D4">
        <w:rPr>
          <w:rFonts w:ascii="Book Antiqua" w:hAnsi="Book Antiqua"/>
          <w:i/>
          <w:sz w:val="24"/>
        </w:rPr>
        <w:t xml:space="preserve">P </w:t>
      </w:r>
      <w:r w:rsidRPr="00F160D4">
        <w:rPr>
          <w:rFonts w:ascii="Book Antiqua" w:hAnsi="Book Antiqua"/>
          <w:sz w:val="24"/>
        </w:rPr>
        <w:t xml:space="preserve">&lt; 0.001) (Figure 2B), mental/emotional function score (1.7 ± 0.9 </w:t>
      </w:r>
      <w:r w:rsidR="00F160D4">
        <w:rPr>
          <w:rFonts w:ascii="Book Antiqua" w:hAnsi="Book Antiqua"/>
          <w:i/>
          <w:sz w:val="24"/>
        </w:rPr>
        <w:t>vs</w:t>
      </w:r>
      <w:r w:rsidRPr="00F160D4">
        <w:rPr>
          <w:rFonts w:ascii="Book Antiqua" w:hAnsi="Book Antiqua"/>
          <w:sz w:val="24"/>
        </w:rPr>
        <w:t xml:space="preserve"> 1.2 ± 0.7; </w:t>
      </w:r>
      <w:r w:rsidRPr="00F160D4">
        <w:rPr>
          <w:rFonts w:ascii="Book Antiqua" w:hAnsi="Book Antiqua"/>
          <w:i/>
          <w:sz w:val="24"/>
        </w:rPr>
        <w:t>P</w:t>
      </w:r>
      <w:r w:rsidRPr="00F160D4">
        <w:rPr>
          <w:rFonts w:ascii="Book Antiqua" w:hAnsi="Book Antiqua"/>
          <w:sz w:val="24"/>
        </w:rPr>
        <w:t xml:space="preserve"> &lt; 0.001) (Figure 2D) and special disease/condition domain (2.9 ± 1.8 </w:t>
      </w:r>
      <w:r w:rsidR="00F160D4">
        <w:rPr>
          <w:rFonts w:ascii="Book Antiqua" w:hAnsi="Book Antiqua"/>
          <w:i/>
          <w:sz w:val="24"/>
        </w:rPr>
        <w:t>vs</w:t>
      </w:r>
      <w:r w:rsidR="00F160D4">
        <w:rPr>
          <w:rFonts w:ascii="Book Antiqua" w:hAnsi="Book Antiqua" w:hint="eastAsia"/>
          <w:i/>
          <w:sz w:val="24"/>
        </w:rPr>
        <w:t xml:space="preserve"> </w:t>
      </w:r>
      <w:r w:rsidRPr="00F160D4">
        <w:rPr>
          <w:rFonts w:ascii="Book Antiqua" w:hAnsi="Book Antiqua"/>
          <w:sz w:val="24"/>
        </w:rPr>
        <w:t xml:space="preserve">1.6 ± 1.1; </w:t>
      </w:r>
      <w:r w:rsidRPr="00F160D4">
        <w:rPr>
          <w:rFonts w:ascii="Book Antiqua" w:hAnsi="Book Antiqua"/>
          <w:i/>
          <w:sz w:val="24"/>
        </w:rPr>
        <w:t>P</w:t>
      </w:r>
      <w:r w:rsidRPr="00F160D4">
        <w:rPr>
          <w:rFonts w:ascii="Book Antiqua" w:hAnsi="Book Antiqua"/>
          <w:sz w:val="24"/>
        </w:rPr>
        <w:t xml:space="preserve"> &lt; 0.001) (Figure 2F). The social function domain score was significantly lower in the EST group than in the OCT group (0.3 ± 0.6 </w:t>
      </w:r>
      <w:r w:rsidR="00F160D4">
        <w:rPr>
          <w:rFonts w:ascii="Book Antiqua" w:hAnsi="Book Antiqua"/>
          <w:i/>
          <w:sz w:val="24"/>
        </w:rPr>
        <w:t>vs</w:t>
      </w:r>
      <w:r w:rsidRPr="00F160D4">
        <w:rPr>
          <w:rFonts w:ascii="Book Antiqua" w:hAnsi="Book Antiqua"/>
          <w:sz w:val="24"/>
        </w:rPr>
        <w:t xml:space="preserve"> 0.6 ± 0.9; </w:t>
      </w:r>
      <w:r w:rsidRPr="00F160D4">
        <w:rPr>
          <w:rFonts w:ascii="Book Antiqua" w:hAnsi="Book Antiqua"/>
          <w:i/>
          <w:sz w:val="24"/>
        </w:rPr>
        <w:t>P</w:t>
      </w:r>
      <w:r w:rsidRPr="00F160D4">
        <w:rPr>
          <w:rFonts w:ascii="Book Antiqua" w:hAnsi="Book Antiqua"/>
          <w:sz w:val="24"/>
        </w:rPr>
        <w:t xml:space="preserve"> &lt; 0.05) (Figure 2E) while the physical function domain score was comparable between the two treatment groups (2.5 ± 1.3 </w:t>
      </w:r>
      <w:r w:rsidR="00F160D4">
        <w:rPr>
          <w:rFonts w:ascii="Book Antiqua" w:hAnsi="Book Antiqua"/>
          <w:i/>
          <w:sz w:val="24"/>
        </w:rPr>
        <w:t>vs</w:t>
      </w:r>
      <w:r w:rsidRPr="00F160D4">
        <w:rPr>
          <w:rFonts w:ascii="Book Antiqua" w:hAnsi="Book Antiqua"/>
          <w:sz w:val="24"/>
        </w:rPr>
        <w:t xml:space="preserve"> 2.7 ± 1.2) (Figure 2C).</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At six weeks post-treatment, the overall improvement in the GIQLI score from baseline values was comparable between the two treatment groups (17.7 ± 7.2 </w:t>
      </w:r>
      <w:r w:rsidR="00F160D4">
        <w:rPr>
          <w:rFonts w:ascii="Book Antiqua" w:hAnsi="Book Antiqua"/>
          <w:i/>
          <w:sz w:val="24"/>
        </w:rPr>
        <w:t>vs</w:t>
      </w:r>
      <w:r w:rsidRPr="00F160D4">
        <w:rPr>
          <w:rFonts w:ascii="Book Antiqua" w:hAnsi="Book Antiqua"/>
          <w:sz w:val="24"/>
        </w:rPr>
        <w:t xml:space="preserve"> 17.2 ± 6.6) (Figure 2A). Improvement was significantly higher in the EST group compared to the OCT group for the self-reported symptom domain score (5.5 ± 2.4 </w:t>
      </w:r>
      <w:r w:rsidRPr="00F160D4">
        <w:rPr>
          <w:rFonts w:ascii="Book Antiqua" w:hAnsi="Book Antiqua"/>
          <w:i/>
          <w:sz w:val="24"/>
        </w:rPr>
        <w:lastRenderedPageBreak/>
        <w:t>vs</w:t>
      </w:r>
      <w:r w:rsidR="00F160D4">
        <w:rPr>
          <w:rFonts w:ascii="Book Antiqua" w:hAnsi="Book Antiqua" w:hint="eastAsia"/>
          <w:i/>
          <w:sz w:val="24"/>
        </w:rPr>
        <w:t xml:space="preserve"> </w:t>
      </w:r>
      <w:r w:rsidRPr="00F160D4">
        <w:rPr>
          <w:rFonts w:ascii="Book Antiqua" w:hAnsi="Book Antiqua"/>
          <w:sz w:val="24"/>
        </w:rPr>
        <w:t xml:space="preserve">4.0 ± 2.2; </w:t>
      </w:r>
      <w:r w:rsidRPr="00F160D4">
        <w:rPr>
          <w:rFonts w:ascii="Book Antiqua" w:hAnsi="Book Antiqua"/>
          <w:i/>
          <w:sz w:val="24"/>
        </w:rPr>
        <w:t xml:space="preserve">P </w:t>
      </w:r>
      <w:r w:rsidRPr="00F160D4">
        <w:rPr>
          <w:rFonts w:ascii="Book Antiqua" w:hAnsi="Book Antiqua"/>
          <w:sz w:val="24"/>
        </w:rPr>
        <w:t xml:space="preserve">&lt; 0.001) (Figure 2B) and social function domain (0.4 ± 0.7 </w:t>
      </w:r>
      <w:r w:rsidR="00F160D4">
        <w:rPr>
          <w:rFonts w:ascii="Book Antiqua" w:hAnsi="Book Antiqua"/>
          <w:i/>
          <w:sz w:val="24"/>
        </w:rPr>
        <w:t>vs</w:t>
      </w:r>
      <w:r w:rsidRPr="00F160D4">
        <w:rPr>
          <w:rFonts w:ascii="Book Antiqua" w:hAnsi="Book Antiqua"/>
          <w:sz w:val="24"/>
        </w:rPr>
        <w:t xml:space="preserve"> -0.7 ± 1.8; </w:t>
      </w:r>
      <w:r w:rsidRPr="00F160D4">
        <w:rPr>
          <w:rFonts w:ascii="Book Antiqua" w:hAnsi="Book Antiqua"/>
          <w:i/>
          <w:sz w:val="24"/>
        </w:rPr>
        <w:t>P</w:t>
      </w:r>
      <w:r w:rsidRPr="00F160D4">
        <w:rPr>
          <w:rFonts w:ascii="Book Antiqua" w:hAnsi="Book Antiqua"/>
          <w:sz w:val="24"/>
        </w:rPr>
        <w:t xml:space="preserve"> &lt; 0.001) (Figure 2E). The physical function domain score was significantly lower in the EST group than in the OCT group (4.9 ± 2.2 </w:t>
      </w:r>
      <w:r w:rsidR="00F160D4">
        <w:rPr>
          <w:rFonts w:ascii="Book Antiqua" w:hAnsi="Book Antiqua"/>
          <w:i/>
          <w:sz w:val="24"/>
        </w:rPr>
        <w:t>vs</w:t>
      </w:r>
      <w:r w:rsidRPr="00F160D4">
        <w:rPr>
          <w:rFonts w:ascii="Book Antiqua" w:hAnsi="Book Antiqua"/>
          <w:sz w:val="24"/>
        </w:rPr>
        <w:t xml:space="preserve"> 7.1 ± 3.1; </w:t>
      </w:r>
      <w:r w:rsidRPr="00F160D4">
        <w:rPr>
          <w:rFonts w:ascii="Book Antiqua" w:hAnsi="Book Antiqua"/>
          <w:i/>
          <w:sz w:val="24"/>
        </w:rPr>
        <w:t>P</w:t>
      </w:r>
      <w:r w:rsidRPr="00F160D4">
        <w:rPr>
          <w:rFonts w:ascii="Book Antiqua" w:hAnsi="Book Antiqua"/>
          <w:sz w:val="24"/>
        </w:rPr>
        <w:t xml:space="preserve"> &lt; 0.001) (Figure 2C). Improvements in subscale scores, however, remained comparable between the two treatment groups for the mental/emotional function domain (2.6 ± 2.0 </w:t>
      </w:r>
      <w:r w:rsidR="00F160D4">
        <w:rPr>
          <w:rFonts w:ascii="Book Antiqua" w:hAnsi="Book Antiqua"/>
          <w:i/>
          <w:sz w:val="24"/>
        </w:rPr>
        <w:t>vs</w:t>
      </w:r>
      <w:r w:rsidRPr="00F160D4">
        <w:rPr>
          <w:rFonts w:ascii="Book Antiqua" w:hAnsi="Book Antiqua"/>
          <w:sz w:val="24"/>
        </w:rPr>
        <w:t xml:space="preserve"> 3.2 ± 2.2) (Figure 2D) and the special disease/condition domain (4.2 ±</w:t>
      </w:r>
      <w:r w:rsidR="00F160D4">
        <w:rPr>
          <w:rFonts w:ascii="Book Antiqua" w:hAnsi="Book Antiqua" w:hint="eastAsia"/>
          <w:sz w:val="24"/>
        </w:rPr>
        <w:t xml:space="preserve"> </w:t>
      </w:r>
      <w:r w:rsidRPr="00F160D4">
        <w:rPr>
          <w:rFonts w:ascii="Book Antiqua" w:hAnsi="Book Antiqua"/>
          <w:sz w:val="24"/>
        </w:rPr>
        <w:t xml:space="preserve">2.8 </w:t>
      </w:r>
      <w:r w:rsidR="00F160D4">
        <w:rPr>
          <w:rFonts w:ascii="Book Antiqua" w:hAnsi="Book Antiqua"/>
          <w:i/>
          <w:sz w:val="24"/>
        </w:rPr>
        <w:t>vs</w:t>
      </w:r>
      <w:r w:rsidRPr="00F160D4">
        <w:rPr>
          <w:rFonts w:ascii="Book Antiqua" w:hAnsi="Book Antiqua"/>
          <w:sz w:val="24"/>
        </w:rPr>
        <w:t xml:space="preserve"> 3.4 ± 2.5) (Figure 2F).</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From two to six weeks following the treatments, the overall improvements in the GIQLI scores in the EST group were significantly lower than in the OCT group (7.3 ± 4.8 </w:t>
      </w:r>
      <w:r w:rsidR="00F160D4">
        <w:rPr>
          <w:rFonts w:ascii="Book Antiqua" w:hAnsi="Book Antiqua"/>
          <w:i/>
          <w:sz w:val="24"/>
        </w:rPr>
        <w:t>vs</w:t>
      </w:r>
      <w:r w:rsidRPr="00F160D4">
        <w:rPr>
          <w:rFonts w:ascii="Book Antiqua" w:hAnsi="Book Antiqua"/>
          <w:sz w:val="24"/>
        </w:rPr>
        <w:t xml:space="preserve"> 9.7 ± 5.2; </w:t>
      </w:r>
      <w:r w:rsidRPr="00F160D4">
        <w:rPr>
          <w:rFonts w:ascii="Book Antiqua" w:hAnsi="Book Antiqua"/>
          <w:i/>
          <w:sz w:val="24"/>
        </w:rPr>
        <w:t>P</w:t>
      </w:r>
      <w:r w:rsidRPr="00F160D4">
        <w:rPr>
          <w:rFonts w:ascii="Book Antiqua" w:hAnsi="Book Antiqua"/>
          <w:sz w:val="24"/>
        </w:rPr>
        <w:t xml:space="preserve"> &lt; 0.05). The improvements in each subscale score were significantly lower in the EST group than those in the OCT group for the physical function domain (2.4 ± 1.3 </w:t>
      </w:r>
      <w:r w:rsidRPr="00F160D4">
        <w:rPr>
          <w:rFonts w:ascii="Book Antiqua" w:hAnsi="Book Antiqua"/>
          <w:i/>
          <w:sz w:val="24"/>
        </w:rPr>
        <w:t>vs</w:t>
      </w:r>
      <w:r w:rsidRPr="00F160D4">
        <w:rPr>
          <w:rFonts w:ascii="Book Antiqua" w:hAnsi="Book Antiqua"/>
          <w:sz w:val="24"/>
        </w:rPr>
        <w:t xml:space="preserve"> 4.4 ± 2.2; </w:t>
      </w:r>
      <w:r w:rsidRPr="00F160D4">
        <w:rPr>
          <w:rFonts w:ascii="Book Antiqua" w:hAnsi="Book Antiqua"/>
          <w:i/>
          <w:sz w:val="24"/>
        </w:rPr>
        <w:t>P</w:t>
      </w:r>
      <w:r w:rsidRPr="00F160D4">
        <w:rPr>
          <w:rFonts w:ascii="Book Antiqua" w:hAnsi="Book Antiqua"/>
          <w:sz w:val="24"/>
        </w:rPr>
        <w:t xml:space="preserve"> &lt; 0.001), mental/emotional function score (0.9 ± 0.7 </w:t>
      </w:r>
      <w:r w:rsidR="00F160D4">
        <w:rPr>
          <w:rFonts w:ascii="Book Antiqua" w:hAnsi="Book Antiqua"/>
          <w:i/>
          <w:sz w:val="24"/>
        </w:rPr>
        <w:t>vs</w:t>
      </w:r>
      <w:r w:rsidRPr="00F160D4">
        <w:rPr>
          <w:rFonts w:ascii="Book Antiqua" w:hAnsi="Book Antiqua"/>
          <w:sz w:val="24"/>
        </w:rPr>
        <w:t xml:space="preserve"> 2.1 ± 1.3; </w:t>
      </w:r>
      <w:r w:rsidRPr="00F160D4">
        <w:rPr>
          <w:rFonts w:ascii="Book Antiqua" w:hAnsi="Book Antiqua"/>
          <w:i/>
          <w:sz w:val="24"/>
        </w:rPr>
        <w:t>P</w:t>
      </w:r>
      <w:r w:rsidRPr="00F160D4">
        <w:rPr>
          <w:rFonts w:ascii="Book Antiqua" w:hAnsi="Book Antiqua"/>
          <w:sz w:val="24"/>
        </w:rPr>
        <w:t xml:space="preserve"> &lt; 0.001) and special disease/condition domain (1.4 ± 1.1 </w:t>
      </w:r>
      <w:r w:rsidR="00F160D4">
        <w:rPr>
          <w:rFonts w:ascii="Book Antiqua" w:hAnsi="Book Antiqua"/>
          <w:i/>
          <w:sz w:val="24"/>
        </w:rPr>
        <w:t>vs</w:t>
      </w:r>
      <w:r w:rsidRPr="00F160D4">
        <w:rPr>
          <w:rFonts w:ascii="Book Antiqua" w:hAnsi="Book Antiqua"/>
          <w:i/>
          <w:sz w:val="24"/>
        </w:rPr>
        <w:t xml:space="preserve"> </w:t>
      </w:r>
      <w:r w:rsidRPr="00F160D4">
        <w:rPr>
          <w:rFonts w:ascii="Book Antiqua" w:hAnsi="Book Antiqua"/>
          <w:sz w:val="24"/>
        </w:rPr>
        <w:t xml:space="preserve">1.8 ± 1.2; </w:t>
      </w:r>
      <w:r w:rsidRPr="00F160D4">
        <w:rPr>
          <w:rFonts w:ascii="Book Antiqua" w:hAnsi="Book Antiqua"/>
          <w:i/>
          <w:sz w:val="24"/>
        </w:rPr>
        <w:t xml:space="preserve">P </w:t>
      </w:r>
      <w:r w:rsidRPr="00F160D4">
        <w:rPr>
          <w:rFonts w:ascii="Book Antiqua" w:hAnsi="Book Antiqua"/>
          <w:sz w:val="24"/>
        </w:rPr>
        <w:t xml:space="preserve">&lt; 0.05). Improvement in the social function domain, however, was significantly higher in the EST group than in the OCT group (0.1 ± 0.8 </w:t>
      </w:r>
      <w:r w:rsidR="00F160D4">
        <w:rPr>
          <w:rFonts w:ascii="Book Antiqua" w:hAnsi="Book Antiqua"/>
          <w:i/>
          <w:sz w:val="24"/>
        </w:rPr>
        <w:t>vs</w:t>
      </w:r>
      <w:r w:rsidRPr="00F160D4">
        <w:rPr>
          <w:rFonts w:ascii="Book Antiqua" w:hAnsi="Book Antiqua"/>
          <w:sz w:val="24"/>
        </w:rPr>
        <w:t xml:space="preserve"> -1.3 ± 1.6; </w:t>
      </w:r>
      <w:r w:rsidRPr="00F160D4">
        <w:rPr>
          <w:rFonts w:ascii="Book Antiqua" w:hAnsi="Book Antiqua"/>
          <w:i/>
          <w:sz w:val="24"/>
        </w:rPr>
        <w:t xml:space="preserve">P </w:t>
      </w:r>
      <w:r w:rsidRPr="00F160D4">
        <w:rPr>
          <w:rFonts w:ascii="Book Antiqua" w:hAnsi="Book Antiqua"/>
          <w:sz w:val="24"/>
        </w:rPr>
        <w:t xml:space="preserve">&lt; 0.001). Improvement in the self-reported symptom domain between the two groups was comparable (2.4 ± 1.1 </w:t>
      </w:r>
      <w:r w:rsidR="00F160D4">
        <w:rPr>
          <w:rFonts w:ascii="Book Antiqua" w:hAnsi="Book Antiqua"/>
          <w:i/>
          <w:sz w:val="24"/>
        </w:rPr>
        <w:t>vs</w:t>
      </w:r>
      <w:r w:rsidRPr="00F160D4">
        <w:rPr>
          <w:rFonts w:ascii="Book Antiqua" w:hAnsi="Book Antiqua"/>
          <w:i/>
          <w:sz w:val="24"/>
        </w:rPr>
        <w:t xml:space="preserve"> </w:t>
      </w:r>
      <w:r w:rsidRPr="00F160D4">
        <w:rPr>
          <w:rFonts w:ascii="Book Antiqua" w:hAnsi="Book Antiqua"/>
          <w:sz w:val="24"/>
        </w:rPr>
        <w:t>2.5 ± 1.2).</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b/>
          <w:sz w:val="24"/>
        </w:rPr>
      </w:pPr>
      <w:r w:rsidRPr="00F160D4">
        <w:rPr>
          <w:rFonts w:ascii="Book Antiqua" w:hAnsi="Book Antiqua"/>
          <w:b/>
          <w:sz w:val="24"/>
        </w:rPr>
        <w:t>DISCUSSION</w:t>
      </w:r>
    </w:p>
    <w:p w:rsidR="00841022" w:rsidRPr="00F160D4" w:rsidRDefault="00841022" w:rsidP="00F160D4">
      <w:pPr>
        <w:spacing w:line="360" w:lineRule="auto"/>
        <w:rPr>
          <w:rFonts w:ascii="Book Antiqua" w:hAnsi="Book Antiqua"/>
          <w:sz w:val="24"/>
          <w:highlight w:val="yellow"/>
        </w:rPr>
      </w:pPr>
      <w:r w:rsidRPr="00F160D4">
        <w:rPr>
          <w:rFonts w:ascii="Book Antiqua" w:hAnsi="Book Antiqua"/>
          <w:sz w:val="24"/>
        </w:rPr>
        <w:t xml:space="preserve">EST with ERCP for the removal of gallstones from the CBD is generally accepted in current practice as a safe and effective endoscopic </w:t>
      </w:r>
      <w:proofErr w:type="gramStart"/>
      <w:r w:rsidRPr="00F160D4">
        <w:rPr>
          <w:rFonts w:ascii="Book Antiqua" w:hAnsi="Book Antiqua"/>
          <w:sz w:val="24"/>
        </w:rPr>
        <w:t>modality</w:t>
      </w:r>
      <w:r w:rsidRPr="00F160D4">
        <w:rPr>
          <w:rFonts w:ascii="Book Antiqua" w:hAnsi="Book Antiqua"/>
          <w:sz w:val="24"/>
          <w:vertAlign w:val="superscript"/>
        </w:rPr>
        <w:t>[</w:t>
      </w:r>
      <w:proofErr w:type="gramEnd"/>
      <w:r w:rsidRPr="00F160D4">
        <w:rPr>
          <w:rFonts w:ascii="Book Antiqua" w:hAnsi="Book Antiqua"/>
          <w:sz w:val="24"/>
          <w:vertAlign w:val="superscript"/>
        </w:rPr>
        <w:t>13]</w:t>
      </w:r>
      <w:r w:rsidRPr="00F160D4">
        <w:rPr>
          <w:rFonts w:ascii="Book Antiqua" w:hAnsi="Book Antiqua"/>
          <w:sz w:val="24"/>
        </w:rPr>
        <w:t xml:space="preserve">. EST provides patients with a rapid post-operative recovery because it is minimally invasive. This technique, however, is also subject to technical complications, such as sphincter of </w:t>
      </w:r>
      <w:proofErr w:type="spellStart"/>
      <w:r w:rsidRPr="00F160D4">
        <w:rPr>
          <w:rFonts w:ascii="Book Antiqua" w:hAnsi="Book Antiqua"/>
          <w:sz w:val="24"/>
        </w:rPr>
        <w:t>Oddi</w:t>
      </w:r>
      <w:proofErr w:type="spellEnd"/>
      <w:r w:rsidRPr="00F160D4">
        <w:rPr>
          <w:rFonts w:ascii="Book Antiqua" w:hAnsi="Book Antiqua"/>
          <w:sz w:val="24"/>
        </w:rPr>
        <w:t xml:space="preserve"> dysfunction, post-ERCP pancreatitis and residual </w:t>
      </w:r>
      <w:proofErr w:type="gramStart"/>
      <w:r w:rsidRPr="00F160D4">
        <w:rPr>
          <w:rFonts w:ascii="Book Antiqua" w:hAnsi="Book Antiqua"/>
          <w:sz w:val="24"/>
        </w:rPr>
        <w:t>gallstones</w:t>
      </w:r>
      <w:r w:rsidRPr="00F160D4">
        <w:rPr>
          <w:rFonts w:ascii="Book Antiqua" w:hAnsi="Book Antiqua"/>
          <w:sz w:val="24"/>
          <w:vertAlign w:val="superscript"/>
        </w:rPr>
        <w:t>[</w:t>
      </w:r>
      <w:proofErr w:type="gramEnd"/>
      <w:r w:rsidR="00947D09">
        <w:rPr>
          <w:rFonts w:ascii="Book Antiqua" w:hAnsi="Book Antiqua" w:hint="eastAsia"/>
          <w:sz w:val="24"/>
          <w:vertAlign w:val="superscript"/>
        </w:rPr>
        <w:t>16</w:t>
      </w:r>
      <w:r w:rsidRPr="00F160D4">
        <w:rPr>
          <w:rFonts w:ascii="Book Antiqua" w:hAnsi="Book Antiqua"/>
          <w:sz w:val="24"/>
          <w:vertAlign w:val="superscript"/>
        </w:rPr>
        <w:t>]</w:t>
      </w:r>
      <w:r w:rsidRPr="00F160D4">
        <w:rPr>
          <w:rFonts w:ascii="Book Antiqua" w:hAnsi="Book Antiqua"/>
          <w:sz w:val="24"/>
        </w:rPr>
        <w:t xml:space="preserve">. The risk for these complications can be minimized by careful patient selection and by promoting the values of this surgical technique in more experienced endoscopic centers. However, the improvement in health-related </w:t>
      </w:r>
      <w:proofErr w:type="spellStart"/>
      <w:r w:rsidRPr="00F160D4">
        <w:rPr>
          <w:rFonts w:ascii="Book Antiqua" w:hAnsi="Book Antiqua"/>
          <w:sz w:val="24"/>
        </w:rPr>
        <w:t>QoL</w:t>
      </w:r>
      <w:proofErr w:type="spellEnd"/>
      <w:r w:rsidRPr="00F160D4">
        <w:rPr>
          <w:rFonts w:ascii="Book Antiqua" w:hAnsi="Book Antiqua"/>
          <w:sz w:val="24"/>
        </w:rPr>
        <w:t xml:space="preserve"> for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remains unevaluated in the current literature for either classical OCT or minimally invasive EST. The present study is the first to report the benefits of EST and OCT on gastrointestinal </w:t>
      </w:r>
      <w:proofErr w:type="spellStart"/>
      <w:r w:rsidRPr="00F160D4">
        <w:rPr>
          <w:rFonts w:ascii="Book Antiqua" w:hAnsi="Book Antiqua"/>
          <w:sz w:val="24"/>
        </w:rPr>
        <w:t>QoL</w:t>
      </w:r>
      <w:proofErr w:type="spellEnd"/>
      <w:r w:rsidRPr="00F160D4">
        <w:rPr>
          <w:rFonts w:ascii="Book Antiqua" w:hAnsi="Book Antiqua"/>
          <w:sz w:val="24"/>
        </w:rPr>
        <w:t xml:space="preserve"> in a prospective comparative design. The GIQLI has been shown to be an effective and specific survey tool to measure the overall physical, </w:t>
      </w:r>
      <w:r w:rsidRPr="00F160D4">
        <w:rPr>
          <w:rFonts w:ascii="Book Antiqua" w:hAnsi="Book Antiqua"/>
          <w:sz w:val="24"/>
        </w:rPr>
        <w:lastRenderedPageBreak/>
        <w:t xml:space="preserve">mental and social </w:t>
      </w:r>
      <w:r w:rsidR="00F160D4" w:rsidRPr="00F160D4">
        <w:rPr>
          <w:rFonts w:ascii="Book Antiqua" w:hAnsi="Book Antiqua"/>
          <w:sz w:val="24"/>
        </w:rPr>
        <w:t>well-being</w:t>
      </w:r>
      <w:r w:rsidRPr="00F160D4">
        <w:rPr>
          <w:rFonts w:ascii="Book Antiqua" w:hAnsi="Book Antiqua"/>
          <w:sz w:val="24"/>
        </w:rPr>
        <w:t xml:space="preserve"> in patients with complicating gastrointestinal </w:t>
      </w:r>
      <w:proofErr w:type="gramStart"/>
      <w:r w:rsidRPr="00F160D4">
        <w:rPr>
          <w:rFonts w:ascii="Book Antiqua" w:hAnsi="Book Antiqua"/>
          <w:sz w:val="24"/>
        </w:rPr>
        <w:t>disorders</w:t>
      </w:r>
      <w:r w:rsidRPr="00F160D4">
        <w:rPr>
          <w:rFonts w:ascii="Book Antiqua" w:hAnsi="Book Antiqua"/>
          <w:sz w:val="24"/>
          <w:vertAlign w:val="superscript"/>
        </w:rPr>
        <w:t>[</w:t>
      </w:r>
      <w:proofErr w:type="gramEnd"/>
      <w:r w:rsidR="00947D09">
        <w:rPr>
          <w:rFonts w:ascii="Book Antiqua" w:hAnsi="Book Antiqua" w:hint="eastAsia"/>
          <w:sz w:val="24"/>
          <w:vertAlign w:val="superscript"/>
        </w:rPr>
        <w:t>23</w:t>
      </w:r>
      <w:r w:rsidRPr="00F160D4">
        <w:rPr>
          <w:rFonts w:ascii="Book Antiqua" w:hAnsi="Book Antiqua"/>
          <w:sz w:val="24"/>
          <w:vertAlign w:val="superscript"/>
        </w:rPr>
        <w:t>]</w:t>
      </w:r>
      <w:r w:rsidRPr="00F160D4">
        <w:rPr>
          <w:rFonts w:ascii="Book Antiqua" w:hAnsi="Book Antiqua"/>
          <w:sz w:val="24"/>
        </w:rPr>
        <w:t xml:space="preserve">. The current results show that both techniques increased the total GIQLI score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throughout the six-week follow-up period. EST, when compared to OCT, was consistently associated with higher self-reported symptom and physical function domain scores throughout the follow-up period. This is likely because EST is known to be even less invasive than laparoscopic CBD </w:t>
      </w:r>
      <w:proofErr w:type="gramStart"/>
      <w:r w:rsidRPr="00F160D4">
        <w:rPr>
          <w:rFonts w:ascii="Book Antiqua" w:hAnsi="Book Antiqua"/>
          <w:sz w:val="24"/>
        </w:rPr>
        <w:t>exploration</w:t>
      </w:r>
      <w:r w:rsidRPr="00F160D4">
        <w:rPr>
          <w:rFonts w:ascii="Book Antiqua" w:hAnsi="Book Antiqua"/>
          <w:sz w:val="24"/>
          <w:vertAlign w:val="superscript"/>
        </w:rPr>
        <w:t>[</w:t>
      </w:r>
      <w:proofErr w:type="gramEnd"/>
      <w:r w:rsidR="00947D09">
        <w:rPr>
          <w:rFonts w:ascii="Book Antiqua" w:hAnsi="Book Antiqua" w:hint="eastAsia"/>
          <w:sz w:val="24"/>
          <w:vertAlign w:val="superscript"/>
        </w:rPr>
        <w:t>24</w:t>
      </w:r>
      <w:r w:rsidRPr="00F160D4">
        <w:rPr>
          <w:rFonts w:ascii="Book Antiqua" w:hAnsi="Book Antiqua"/>
          <w:sz w:val="24"/>
          <w:vertAlign w:val="superscript"/>
        </w:rPr>
        <w:t>]</w:t>
      </w:r>
      <w:r w:rsidRPr="00F160D4">
        <w:rPr>
          <w:rFonts w:ascii="Book Antiqua" w:hAnsi="Book Antiqua"/>
          <w:sz w:val="24"/>
        </w:rPr>
        <w:t xml:space="preserve">. Therefore, following EST,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undergo a more rapid post-operative recovery in terms of symptoms and physical well-being. </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The EST group exhibited a higher mental/emotional score than the OCT group at the two-week time-point, whereas the two treatment groups were similar at the later time-point. This suggests that EST contributes favorably to the mental well-being of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in the short term. However, this additional benefit was reduced in the </w:t>
      </w:r>
      <w:r w:rsidR="00F160D4" w:rsidRPr="00F160D4">
        <w:rPr>
          <w:rFonts w:ascii="Book Antiqua" w:hAnsi="Book Antiqua"/>
          <w:sz w:val="24"/>
        </w:rPr>
        <w:t>mid-term</w:t>
      </w:r>
      <w:r w:rsidRPr="00F160D4">
        <w:rPr>
          <w:rFonts w:ascii="Book Antiqua" w:hAnsi="Book Antiqua"/>
          <w:sz w:val="24"/>
        </w:rPr>
        <w:t xml:space="preserve"> as the gallstone-associated illness was eliminated similarly between the two treatment groups. In contrast OCT, rather than EST, seemed to be more beneficial for improvement in social function score at the earlier time-point. It is likely that a prolonged hospital stay offers patients more access to medical care and family support. These factors may help improve patient social function in the short term. This additional benefit of OCT on social function, however, was weakened in the </w:t>
      </w:r>
      <w:r w:rsidR="00F160D4" w:rsidRPr="00F160D4">
        <w:rPr>
          <w:rFonts w:ascii="Book Antiqua" w:hAnsi="Book Antiqua"/>
          <w:sz w:val="24"/>
        </w:rPr>
        <w:t>mid-term</w:t>
      </w:r>
      <w:r w:rsidRPr="00F160D4">
        <w:rPr>
          <w:rFonts w:ascii="Book Antiqua" w:hAnsi="Book Antiqua"/>
          <w:sz w:val="24"/>
        </w:rPr>
        <w:t xml:space="preserve">. It is not surprising that the two treatment groups remained consistently comparable in the special disease/condition domain score, as the two techniques are believed to be equally effective and safe if appropriately </w:t>
      </w:r>
      <w:proofErr w:type="gramStart"/>
      <w:r w:rsidRPr="00F160D4">
        <w:rPr>
          <w:rFonts w:ascii="Book Antiqua" w:hAnsi="Book Antiqua"/>
          <w:sz w:val="24"/>
        </w:rPr>
        <w:t>indicated</w:t>
      </w:r>
      <w:r w:rsidRPr="00F160D4">
        <w:rPr>
          <w:rFonts w:ascii="Book Antiqua" w:hAnsi="Book Antiqua"/>
          <w:sz w:val="24"/>
          <w:vertAlign w:val="superscript"/>
        </w:rPr>
        <w:t>[</w:t>
      </w:r>
      <w:proofErr w:type="gramEnd"/>
      <w:r w:rsidR="00947D09">
        <w:rPr>
          <w:rFonts w:ascii="Book Antiqua" w:hAnsi="Book Antiqua" w:hint="eastAsia"/>
          <w:sz w:val="24"/>
          <w:vertAlign w:val="superscript"/>
        </w:rPr>
        <w:t>25</w:t>
      </w:r>
      <w:r w:rsidRPr="00F160D4">
        <w:rPr>
          <w:rFonts w:ascii="Book Antiqua" w:hAnsi="Book Antiqua"/>
          <w:sz w:val="24"/>
          <w:vertAlign w:val="superscript"/>
        </w:rPr>
        <w:t>]</w:t>
      </w:r>
      <w:r w:rsidRPr="00F160D4">
        <w:rPr>
          <w:rFonts w:ascii="Book Antiqua" w:hAnsi="Book Antiqua"/>
          <w:sz w:val="24"/>
        </w:rPr>
        <w:t>.</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In order to differentiate the short-term and mid-term effects of both techniques on overall and domain-specific improvements, the improvement from the baseline at two weeks was compared with improvement from week two to week six. Generally, EST was associated with a significantly higher improvement from the baseline at two weeks, but not at six weeks, when compared to OCT. This suggests that EST was more favorable for post-operative recovery and an increase in </w:t>
      </w:r>
      <w:proofErr w:type="spellStart"/>
      <w:r w:rsidRPr="00F160D4">
        <w:rPr>
          <w:rFonts w:ascii="Book Antiqua" w:hAnsi="Book Antiqua"/>
          <w:sz w:val="24"/>
        </w:rPr>
        <w:t>QoL</w:t>
      </w:r>
      <w:proofErr w:type="spellEnd"/>
      <w:r w:rsidRPr="00F160D4">
        <w:rPr>
          <w:rFonts w:ascii="Book Antiqua" w:hAnsi="Book Antiqua"/>
          <w:sz w:val="24"/>
        </w:rPr>
        <w:t xml:space="preserve"> for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over the short term.</w:t>
      </w:r>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This study may have some limitations. First, the patients were not randomly </w:t>
      </w:r>
      <w:r w:rsidRPr="00F160D4">
        <w:rPr>
          <w:rFonts w:ascii="Book Antiqua" w:hAnsi="Book Antiqua"/>
          <w:sz w:val="24"/>
        </w:rPr>
        <w:lastRenderedPageBreak/>
        <w:t xml:space="preserve">assigned to either treatment but rather were allowed to choose which treatment they received. Second, neither the investigators nor the patients were blinded to the treatment modality, and patients scheduled for EST were well informed of the minimal invasiveness of the procedure. Third, the patients were only followed for six weeks and predominantly by correspondence. </w:t>
      </w:r>
      <w:proofErr w:type="gramStart"/>
      <w:r w:rsidRPr="00F160D4">
        <w:rPr>
          <w:rFonts w:ascii="Book Antiqua" w:hAnsi="Book Antiqua"/>
          <w:sz w:val="24"/>
        </w:rPr>
        <w:t xml:space="preserve">The long-term effect of either treatment on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 gastrointestinal </w:t>
      </w:r>
      <w:proofErr w:type="spellStart"/>
      <w:r w:rsidRPr="00F160D4">
        <w:rPr>
          <w:rFonts w:ascii="Book Antiqua" w:hAnsi="Book Antiqua"/>
          <w:sz w:val="24"/>
        </w:rPr>
        <w:t>QoL</w:t>
      </w:r>
      <w:proofErr w:type="spellEnd"/>
      <w:r w:rsidRPr="00F160D4">
        <w:rPr>
          <w:rFonts w:ascii="Book Antiqua" w:hAnsi="Book Antiqua"/>
          <w:sz w:val="24"/>
        </w:rPr>
        <w:t xml:space="preserve"> remains unknown.</w:t>
      </w:r>
      <w:bookmarkStart w:id="19" w:name="_Toc287340239"/>
      <w:proofErr w:type="gramEnd"/>
    </w:p>
    <w:p w:rsidR="00841022" w:rsidRPr="00F160D4" w:rsidRDefault="00841022" w:rsidP="00F160D4">
      <w:pPr>
        <w:spacing w:line="360" w:lineRule="auto"/>
        <w:ind w:firstLineChars="300" w:firstLine="720"/>
        <w:rPr>
          <w:rFonts w:ascii="Book Antiqua" w:hAnsi="Book Antiqua"/>
          <w:sz w:val="24"/>
        </w:rPr>
      </w:pPr>
      <w:r w:rsidRPr="00F160D4">
        <w:rPr>
          <w:rFonts w:ascii="Book Antiqua" w:hAnsi="Book Antiqua"/>
          <w:sz w:val="24"/>
        </w:rPr>
        <w:t xml:space="preserve">In conclusion, EST is associated with a better overall gastrointestinal </w:t>
      </w:r>
      <w:proofErr w:type="spellStart"/>
      <w:r w:rsidRPr="00F160D4">
        <w:rPr>
          <w:rFonts w:ascii="Book Antiqua" w:hAnsi="Book Antiqua"/>
          <w:sz w:val="24"/>
        </w:rPr>
        <w:t>QoL</w:t>
      </w:r>
      <w:proofErr w:type="spellEnd"/>
      <w:r w:rsidRPr="00F160D4">
        <w:rPr>
          <w:rFonts w:ascii="Book Antiqua" w:hAnsi="Book Antiqua"/>
          <w:sz w:val="24"/>
        </w:rPr>
        <w:t xml:space="preserve">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when compared to OCT. Furthermore, EST contributes favorably to the overall improvement in patients’ well-being over the short term, especially in terms of self-reported symptoms, physical function and mental well-being. These findings need to be further validated in large randomized controlled trials.</w:t>
      </w:r>
    </w:p>
    <w:p w:rsidR="00841022" w:rsidRPr="00F160D4" w:rsidRDefault="00841022" w:rsidP="00F160D4">
      <w:pPr>
        <w:spacing w:line="360" w:lineRule="auto"/>
        <w:rPr>
          <w:rFonts w:ascii="Book Antiqua" w:hAnsi="Book Antiqua"/>
          <w:sz w:val="24"/>
        </w:rPr>
      </w:pPr>
    </w:p>
    <w:p w:rsidR="00F160D4" w:rsidRDefault="00F160D4">
      <w:pPr>
        <w:widowControl/>
        <w:jc w:val="left"/>
        <w:rPr>
          <w:rFonts w:ascii="Book Antiqua" w:hAnsi="Book Antiqua"/>
          <w:b/>
          <w:sz w:val="24"/>
        </w:rPr>
      </w:pPr>
      <w:r>
        <w:rPr>
          <w:rFonts w:ascii="Book Antiqua" w:hAnsi="Book Antiqua"/>
          <w:b/>
          <w:sz w:val="24"/>
        </w:rPr>
        <w:br w:type="page"/>
      </w:r>
    </w:p>
    <w:p w:rsidR="00841022" w:rsidRPr="00F160D4" w:rsidRDefault="00841022" w:rsidP="00F160D4">
      <w:pPr>
        <w:spacing w:line="360" w:lineRule="auto"/>
        <w:rPr>
          <w:rFonts w:ascii="Book Antiqua" w:hAnsi="Book Antiqua"/>
          <w:sz w:val="24"/>
        </w:rPr>
      </w:pPr>
      <w:r w:rsidRPr="00F160D4">
        <w:rPr>
          <w:rFonts w:ascii="Book Antiqua" w:hAnsi="Book Antiqua"/>
          <w:b/>
          <w:sz w:val="24"/>
        </w:rPr>
        <w:lastRenderedPageBreak/>
        <w:t>COMMENTS</w:t>
      </w: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Background</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The Chinese population is more prone to </w:t>
      </w:r>
      <w:proofErr w:type="spellStart"/>
      <w:r w:rsidRPr="00F160D4">
        <w:rPr>
          <w:rFonts w:ascii="Book Antiqua" w:hAnsi="Book Antiqua"/>
          <w:sz w:val="24"/>
        </w:rPr>
        <w:t>choledocholithiasis</w:t>
      </w:r>
      <w:proofErr w:type="spellEnd"/>
      <w:r w:rsidRPr="00F160D4">
        <w:rPr>
          <w:rFonts w:ascii="Book Antiqua" w:hAnsi="Book Antiqua"/>
          <w:sz w:val="24"/>
        </w:rPr>
        <w:t xml:space="preserve">, which accounts for 18% of gallstone cases. Endoscopic </w:t>
      </w:r>
      <w:proofErr w:type="spellStart"/>
      <w:r w:rsidRPr="00F160D4">
        <w:rPr>
          <w:rFonts w:ascii="Book Antiqua" w:hAnsi="Book Antiqua"/>
          <w:sz w:val="24"/>
        </w:rPr>
        <w:t>sphincterotomy</w:t>
      </w:r>
      <w:proofErr w:type="spellEnd"/>
      <w:r w:rsidRPr="00F160D4">
        <w:rPr>
          <w:rFonts w:ascii="Book Antiqua" w:hAnsi="Book Antiqua"/>
          <w:sz w:val="24"/>
        </w:rPr>
        <w:t xml:space="preserve"> (EST) and open </w:t>
      </w:r>
      <w:proofErr w:type="spellStart"/>
      <w:r w:rsidRPr="00F160D4">
        <w:rPr>
          <w:rFonts w:ascii="Book Antiqua" w:hAnsi="Book Antiqua"/>
          <w:sz w:val="24"/>
        </w:rPr>
        <w:t>choledochotomy</w:t>
      </w:r>
      <w:proofErr w:type="spellEnd"/>
      <w:r w:rsidRPr="00F160D4">
        <w:rPr>
          <w:rFonts w:ascii="Book Antiqua" w:hAnsi="Book Antiqua"/>
          <w:sz w:val="24"/>
        </w:rPr>
        <w:t xml:space="preserve"> (OCT) are two common therapeutic modalities for the treatment of </w:t>
      </w:r>
      <w:proofErr w:type="spellStart"/>
      <w:r w:rsidRPr="00F160D4">
        <w:rPr>
          <w:rFonts w:ascii="Book Antiqua" w:hAnsi="Book Antiqua"/>
          <w:sz w:val="24"/>
        </w:rPr>
        <w:t>choledocholithiasis</w:t>
      </w:r>
      <w:proofErr w:type="spellEnd"/>
      <w:r w:rsidRPr="00F160D4">
        <w:rPr>
          <w:rFonts w:ascii="Book Antiqua" w:hAnsi="Book Antiqua"/>
          <w:sz w:val="24"/>
        </w:rPr>
        <w:t>. OCT is a classic surgical technique, which is subject to a high morbidity and mortality rate (1</w:t>
      </w:r>
      <w:r w:rsidR="00F160D4">
        <w:rPr>
          <w:rFonts w:ascii="Book Antiqua" w:hAnsi="Book Antiqua" w:hint="eastAsia"/>
          <w:sz w:val="24"/>
        </w:rPr>
        <w:t>%-</w:t>
      </w:r>
      <w:r w:rsidRPr="00F160D4">
        <w:rPr>
          <w:rFonts w:ascii="Book Antiqua" w:hAnsi="Book Antiqua"/>
          <w:sz w:val="24"/>
        </w:rPr>
        <w:t>2%) as well as a heavy healthcare burden. EST allows for the removal of gallstones with minimal invasiveness and rapid postoperative recovery. However, the superiority in general clinical variables does not necessarily indicate that EST is associated with a favorable treatment outcome compared to OCT.</w:t>
      </w:r>
    </w:p>
    <w:p w:rsidR="00841022" w:rsidRPr="00F160D4" w:rsidRDefault="00841022" w:rsidP="00F160D4">
      <w:pPr>
        <w:spacing w:line="360" w:lineRule="auto"/>
        <w:rPr>
          <w:rFonts w:ascii="Book Antiqua" w:hAnsi="Book Antiqua"/>
          <w:b/>
          <w:i/>
          <w:sz w:val="24"/>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Research frontiers</w:t>
      </w:r>
    </w:p>
    <w:p w:rsidR="00841022" w:rsidRPr="00F160D4" w:rsidRDefault="00841022" w:rsidP="00F160D4">
      <w:pPr>
        <w:spacing w:line="360" w:lineRule="auto"/>
        <w:rPr>
          <w:rFonts w:ascii="Book Antiqua" w:hAnsi="Book Antiqua"/>
          <w:sz w:val="24"/>
        </w:rPr>
      </w:pPr>
      <w:bookmarkStart w:id="20" w:name="OLE_LINK1"/>
      <w:bookmarkStart w:id="21" w:name="OLE_LINK2"/>
      <w:r w:rsidRPr="00F160D4">
        <w:rPr>
          <w:rFonts w:ascii="Book Antiqua" w:hAnsi="Book Antiqua"/>
          <w:sz w:val="24"/>
        </w:rPr>
        <w:t>Health-related quality of life (</w:t>
      </w:r>
      <w:proofErr w:type="spellStart"/>
      <w:r w:rsidRPr="00F160D4">
        <w:rPr>
          <w:rFonts w:ascii="Book Antiqua" w:hAnsi="Book Antiqua"/>
          <w:sz w:val="24"/>
        </w:rPr>
        <w:t>QoL</w:t>
      </w:r>
      <w:proofErr w:type="spellEnd"/>
      <w:r w:rsidRPr="00F160D4">
        <w:rPr>
          <w:rFonts w:ascii="Book Antiqua" w:hAnsi="Book Antiqua"/>
          <w:sz w:val="24"/>
        </w:rPr>
        <w:t xml:space="preserve">) is a comprehensive measure evaluating the overall </w:t>
      </w:r>
      <w:r w:rsidR="00F160D4" w:rsidRPr="00F160D4">
        <w:rPr>
          <w:rFonts w:ascii="Book Antiqua" w:hAnsi="Book Antiqua"/>
          <w:sz w:val="24"/>
        </w:rPr>
        <w:t>well-being</w:t>
      </w:r>
      <w:r w:rsidRPr="00F160D4">
        <w:rPr>
          <w:rFonts w:ascii="Book Antiqua" w:hAnsi="Book Antiqua"/>
          <w:sz w:val="24"/>
        </w:rPr>
        <w:t xml:space="preserve"> of a subject in physical, mental and social aspects. This measure has been extensively used to optimize treatment algorithms, especially in chronic medical conditions like </w:t>
      </w:r>
      <w:proofErr w:type="spellStart"/>
      <w:r w:rsidRPr="00F160D4">
        <w:rPr>
          <w:rFonts w:ascii="Book Antiqua" w:hAnsi="Book Antiqua"/>
          <w:sz w:val="24"/>
        </w:rPr>
        <w:t>choledocholithiasis</w:t>
      </w:r>
      <w:proofErr w:type="spellEnd"/>
      <w:r w:rsidRPr="00F160D4">
        <w:rPr>
          <w:rFonts w:ascii="Book Antiqua" w:hAnsi="Book Antiqua"/>
          <w:sz w:val="24"/>
        </w:rPr>
        <w:t>.</w:t>
      </w:r>
    </w:p>
    <w:bookmarkEnd w:id="20"/>
    <w:bookmarkEnd w:id="21"/>
    <w:p w:rsidR="00841022" w:rsidRPr="00F160D4" w:rsidRDefault="00841022" w:rsidP="00F160D4">
      <w:pPr>
        <w:spacing w:line="360" w:lineRule="auto"/>
        <w:rPr>
          <w:rFonts w:ascii="Book Antiqua" w:hAnsi="Book Antiqua"/>
          <w:b/>
          <w:i/>
          <w:sz w:val="24"/>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Innovations and breakthroughs</w:t>
      </w:r>
    </w:p>
    <w:p w:rsidR="00841022" w:rsidRPr="00F160D4" w:rsidRDefault="00841022" w:rsidP="00F160D4">
      <w:pPr>
        <w:spacing w:line="360" w:lineRule="auto"/>
        <w:rPr>
          <w:rFonts w:ascii="Book Antiqua" w:hAnsi="Book Antiqua"/>
          <w:b/>
          <w:i/>
          <w:sz w:val="24"/>
        </w:rPr>
      </w:pPr>
      <w:r w:rsidRPr="00F160D4">
        <w:rPr>
          <w:rFonts w:ascii="Book Antiqua" w:hAnsi="Book Antiqua"/>
          <w:sz w:val="24"/>
        </w:rPr>
        <w:t xml:space="preserve">Whether EST contributes to a better health-related </w:t>
      </w:r>
      <w:proofErr w:type="spellStart"/>
      <w:r w:rsidRPr="00F160D4">
        <w:rPr>
          <w:rFonts w:ascii="Book Antiqua" w:hAnsi="Book Antiqua"/>
          <w:sz w:val="24"/>
        </w:rPr>
        <w:t>QoL</w:t>
      </w:r>
      <w:proofErr w:type="spellEnd"/>
      <w:r w:rsidRPr="00F160D4">
        <w:rPr>
          <w:rFonts w:ascii="Book Antiqua" w:hAnsi="Book Antiqua"/>
          <w:sz w:val="24"/>
        </w:rPr>
        <w:t xml:space="preserve"> improvement in patients undergoing </w:t>
      </w:r>
      <w:proofErr w:type="spellStart"/>
      <w:r w:rsidRPr="00F160D4">
        <w:rPr>
          <w:rFonts w:ascii="Book Antiqua" w:hAnsi="Book Antiqua"/>
          <w:sz w:val="24"/>
        </w:rPr>
        <w:t>cholelithotomy</w:t>
      </w:r>
      <w:proofErr w:type="spellEnd"/>
      <w:r w:rsidRPr="00F160D4">
        <w:rPr>
          <w:rFonts w:ascii="Book Antiqua" w:hAnsi="Book Antiqua"/>
          <w:sz w:val="24"/>
        </w:rPr>
        <w:t xml:space="preserve"> compared to OCT has not been well evaluated. Therefore, we performed a prospective comparative study to determine the improvement in health-related </w:t>
      </w:r>
      <w:proofErr w:type="spellStart"/>
      <w:r w:rsidRPr="00F160D4">
        <w:rPr>
          <w:rFonts w:ascii="Book Antiqua" w:hAnsi="Book Antiqua"/>
          <w:sz w:val="24"/>
        </w:rPr>
        <w:t>QoL</w:t>
      </w:r>
      <w:proofErr w:type="spellEnd"/>
      <w:r w:rsidRPr="00F160D4">
        <w:rPr>
          <w:rFonts w:ascii="Book Antiqua" w:hAnsi="Book Antiqua"/>
          <w:sz w:val="24"/>
        </w:rPr>
        <w:t xml:space="preserve">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following either classic OCT or minimally invasive EST.</w:t>
      </w:r>
    </w:p>
    <w:p w:rsidR="00841022" w:rsidRPr="00F160D4" w:rsidRDefault="00841022" w:rsidP="00F160D4">
      <w:pPr>
        <w:spacing w:line="360" w:lineRule="auto"/>
        <w:rPr>
          <w:rFonts w:ascii="Book Antiqua" w:hAnsi="Book Antiqua"/>
          <w:b/>
          <w:i/>
          <w:sz w:val="24"/>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Applications</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The study results suggest that EST, in comparison to OCT, is associated with a better overall gastrointestinal </w:t>
      </w:r>
      <w:proofErr w:type="spellStart"/>
      <w:r w:rsidRPr="00F160D4">
        <w:rPr>
          <w:rFonts w:ascii="Book Antiqua" w:hAnsi="Book Antiqua"/>
          <w:sz w:val="24"/>
        </w:rPr>
        <w:t>QoL</w:t>
      </w:r>
      <w:proofErr w:type="spellEnd"/>
      <w:r w:rsidRPr="00F160D4">
        <w:rPr>
          <w:rFonts w:ascii="Book Antiqua" w:hAnsi="Book Antiqua"/>
          <w:sz w:val="24"/>
        </w:rPr>
        <w:t xml:space="preserve">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at two and six weeks post-operation. However, these findings need to be further validated with large randomized controlled trials.</w:t>
      </w:r>
    </w:p>
    <w:p w:rsidR="00841022" w:rsidRPr="00F160D4" w:rsidRDefault="00841022" w:rsidP="00F160D4">
      <w:pPr>
        <w:spacing w:line="360" w:lineRule="auto"/>
        <w:rPr>
          <w:rFonts w:ascii="Book Antiqua" w:hAnsi="Book Antiqua"/>
          <w:b/>
          <w:i/>
          <w:sz w:val="24"/>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lastRenderedPageBreak/>
        <w:t>Terminology</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EST is a minimally invasive surgical technique that allows for the removal of gallstones by inserting a </w:t>
      </w:r>
      <w:proofErr w:type="spellStart"/>
      <w:r w:rsidRPr="00F160D4">
        <w:rPr>
          <w:rFonts w:ascii="Book Antiqua" w:hAnsi="Book Antiqua"/>
          <w:sz w:val="24"/>
        </w:rPr>
        <w:t>sphincterotome</w:t>
      </w:r>
      <w:proofErr w:type="spellEnd"/>
      <w:r w:rsidRPr="00F160D4">
        <w:rPr>
          <w:rFonts w:ascii="Book Antiqua" w:hAnsi="Book Antiqua"/>
          <w:sz w:val="24"/>
        </w:rPr>
        <w:t xml:space="preserve"> through an endoscope, often following endoscopic retrograde cholangiography, for incision into </w:t>
      </w:r>
      <w:proofErr w:type="spellStart"/>
      <w:r w:rsidRPr="00F160D4">
        <w:rPr>
          <w:rFonts w:ascii="Book Antiqua" w:hAnsi="Book Antiqua"/>
          <w:sz w:val="24"/>
        </w:rPr>
        <w:t>Oddi's</w:t>
      </w:r>
      <w:proofErr w:type="spellEnd"/>
      <w:r w:rsidRPr="00F160D4">
        <w:rPr>
          <w:rFonts w:ascii="Book Antiqua" w:hAnsi="Book Antiqua"/>
          <w:sz w:val="24"/>
        </w:rPr>
        <w:t xml:space="preserve"> sphincter or </w:t>
      </w:r>
      <w:proofErr w:type="spellStart"/>
      <w:r w:rsidRPr="00F160D4">
        <w:rPr>
          <w:rFonts w:ascii="Book Antiqua" w:hAnsi="Book Antiqua"/>
          <w:sz w:val="24"/>
        </w:rPr>
        <w:t>Vater's</w:t>
      </w:r>
      <w:proofErr w:type="spellEnd"/>
      <w:r w:rsidRPr="00F160D4">
        <w:rPr>
          <w:rFonts w:ascii="Book Antiqua" w:hAnsi="Book Antiqua"/>
          <w:sz w:val="24"/>
        </w:rPr>
        <w:t xml:space="preserve"> ampulla.</w:t>
      </w:r>
    </w:p>
    <w:p w:rsidR="00841022" w:rsidRPr="00F160D4" w:rsidRDefault="00841022" w:rsidP="00F160D4">
      <w:pPr>
        <w:spacing w:line="360" w:lineRule="auto"/>
        <w:ind w:firstLineChars="200" w:firstLine="480"/>
        <w:rPr>
          <w:rFonts w:ascii="Book Antiqua" w:hAnsi="Book Antiqua"/>
          <w:sz w:val="24"/>
        </w:rPr>
      </w:pPr>
      <w:r w:rsidRPr="00F160D4">
        <w:rPr>
          <w:rFonts w:ascii="Book Antiqua" w:hAnsi="Book Antiqua"/>
          <w:sz w:val="24"/>
        </w:rPr>
        <w:t>OCT is the classical surgical technique that allows for the removal of gallstones by an incision into the common bile duct by laparotomy.</w:t>
      </w:r>
    </w:p>
    <w:p w:rsidR="00841022" w:rsidRPr="00F160D4" w:rsidRDefault="00841022" w:rsidP="00F160D4">
      <w:pPr>
        <w:spacing w:line="360" w:lineRule="auto"/>
        <w:ind w:firstLineChars="200" w:firstLine="480"/>
        <w:rPr>
          <w:rFonts w:ascii="Book Antiqua" w:hAnsi="Book Antiqua"/>
          <w:sz w:val="24"/>
        </w:rPr>
      </w:pPr>
      <w:proofErr w:type="spellStart"/>
      <w:r w:rsidRPr="00F160D4">
        <w:rPr>
          <w:rFonts w:ascii="Book Antiqua" w:hAnsi="Book Antiqua"/>
          <w:sz w:val="24"/>
        </w:rPr>
        <w:t>QoL</w:t>
      </w:r>
      <w:proofErr w:type="spellEnd"/>
      <w:r w:rsidRPr="00F160D4">
        <w:rPr>
          <w:rFonts w:ascii="Book Antiqua" w:hAnsi="Book Antiqua"/>
          <w:sz w:val="24"/>
        </w:rPr>
        <w:t xml:space="preserve"> is a generic concept reflecting the overall condition of human life with respect to the modification and enhancement of life attributes (</w:t>
      </w:r>
      <w:r w:rsidRPr="00F160D4">
        <w:rPr>
          <w:rFonts w:ascii="Book Antiqua" w:hAnsi="Book Antiqua"/>
          <w:i/>
          <w:sz w:val="24"/>
        </w:rPr>
        <w:t>e.g.,</w:t>
      </w:r>
      <w:r w:rsidRPr="00F160D4">
        <w:rPr>
          <w:rFonts w:ascii="Book Antiqua" w:hAnsi="Book Antiqua"/>
          <w:sz w:val="24"/>
        </w:rPr>
        <w:t xml:space="preserve"> physical, mental and social environment). </w:t>
      </w:r>
    </w:p>
    <w:p w:rsidR="00841022" w:rsidRPr="00F160D4" w:rsidRDefault="00841022" w:rsidP="00F160D4">
      <w:pPr>
        <w:spacing w:line="360" w:lineRule="auto"/>
        <w:rPr>
          <w:rFonts w:ascii="Book Antiqua" w:hAnsi="Book Antiqua"/>
          <w:b/>
          <w:i/>
          <w:sz w:val="24"/>
        </w:rPr>
      </w:pPr>
    </w:p>
    <w:p w:rsidR="00841022" w:rsidRPr="00F160D4" w:rsidRDefault="00841022" w:rsidP="00F160D4">
      <w:pPr>
        <w:spacing w:line="360" w:lineRule="auto"/>
        <w:rPr>
          <w:rFonts w:ascii="Book Antiqua" w:hAnsi="Book Antiqua"/>
          <w:b/>
          <w:i/>
          <w:sz w:val="24"/>
        </w:rPr>
      </w:pPr>
      <w:r w:rsidRPr="00F160D4">
        <w:rPr>
          <w:rFonts w:ascii="Book Antiqua" w:hAnsi="Book Antiqua"/>
          <w:b/>
          <w:i/>
          <w:sz w:val="24"/>
        </w:rPr>
        <w:t>Peer review</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This is a well-designed pilot study in which the authors evaluated the improvement in gastrointestinal </w:t>
      </w:r>
      <w:proofErr w:type="spellStart"/>
      <w:r w:rsidRPr="00F160D4">
        <w:rPr>
          <w:rFonts w:ascii="Book Antiqua" w:hAnsi="Book Antiqua"/>
          <w:sz w:val="24"/>
        </w:rPr>
        <w:t>QoL</w:t>
      </w:r>
      <w:proofErr w:type="spellEnd"/>
      <w:r w:rsidRPr="00F160D4">
        <w:rPr>
          <w:rFonts w:ascii="Book Antiqua" w:hAnsi="Book Antiqua"/>
          <w:sz w:val="24"/>
        </w:rPr>
        <w:t xml:space="preserve">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following EST or OCT treatment. The results are clinically relevant and suggest that EST, in comparison to OCT, is associated with a better overall gastrointestinal </w:t>
      </w:r>
      <w:proofErr w:type="spellStart"/>
      <w:r w:rsidRPr="00F160D4">
        <w:rPr>
          <w:rFonts w:ascii="Book Antiqua" w:hAnsi="Book Antiqua"/>
          <w:sz w:val="24"/>
        </w:rPr>
        <w:t>QoL</w:t>
      </w:r>
      <w:proofErr w:type="spellEnd"/>
      <w:r w:rsidRPr="00F160D4">
        <w:rPr>
          <w:rFonts w:ascii="Book Antiqua" w:hAnsi="Book Antiqua"/>
          <w:sz w:val="24"/>
        </w:rPr>
        <w:t xml:space="preserve">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w:t>
      </w:r>
    </w:p>
    <w:p w:rsidR="00841022" w:rsidRPr="00F160D4" w:rsidRDefault="00841022" w:rsidP="00F160D4">
      <w:pPr>
        <w:spacing w:line="360" w:lineRule="auto"/>
        <w:rPr>
          <w:rFonts w:ascii="Book Antiqua" w:hAnsi="Book Antiqua"/>
          <w:b/>
          <w:i/>
          <w:sz w:val="24"/>
        </w:rPr>
      </w:pPr>
    </w:p>
    <w:p w:rsidR="00841022" w:rsidRPr="00F160D4" w:rsidRDefault="00841022" w:rsidP="00F160D4">
      <w:pPr>
        <w:spacing w:line="360" w:lineRule="auto"/>
        <w:rPr>
          <w:rFonts w:ascii="Book Antiqua" w:hAnsi="Book Antiqua"/>
          <w:sz w:val="24"/>
        </w:rPr>
        <w:sectPr w:rsidR="00841022" w:rsidRPr="00F160D4" w:rsidSect="002677BB">
          <w:pgSz w:w="11907" w:h="16840" w:code="9"/>
          <w:pgMar w:top="1440" w:right="1440" w:bottom="1440" w:left="1440" w:header="1020" w:footer="1020" w:gutter="57"/>
          <w:pgNumType w:fmt="numberInDash"/>
          <w:cols w:space="720"/>
          <w:titlePg/>
          <w:docGrid w:linePitch="312"/>
        </w:sectPr>
      </w:pPr>
    </w:p>
    <w:p w:rsidR="00841022" w:rsidRPr="00F160D4" w:rsidRDefault="00841022" w:rsidP="00F160D4">
      <w:pPr>
        <w:spacing w:line="360" w:lineRule="auto"/>
        <w:rPr>
          <w:rFonts w:ascii="Book Antiqua" w:hAnsi="Book Antiqua"/>
          <w:b/>
          <w:sz w:val="24"/>
        </w:rPr>
      </w:pPr>
      <w:r w:rsidRPr="00F160D4">
        <w:rPr>
          <w:rFonts w:ascii="Book Antiqua" w:hAnsi="Book Antiqua"/>
          <w:b/>
          <w:sz w:val="24"/>
        </w:rPr>
        <w:lastRenderedPageBreak/>
        <w:t>REFERENCES</w:t>
      </w:r>
    </w:p>
    <w:p w:rsidR="00BD0129" w:rsidRPr="00C1642A" w:rsidRDefault="00BD0129" w:rsidP="00BD0129">
      <w:pPr>
        <w:widowControl/>
        <w:spacing w:line="360" w:lineRule="auto"/>
        <w:rPr>
          <w:rFonts w:ascii="Book Antiqua" w:hAnsi="Book Antiqua" w:cs="宋体"/>
          <w:kern w:val="0"/>
          <w:sz w:val="24"/>
        </w:rPr>
      </w:pPr>
      <w:bookmarkStart w:id="22" w:name="OLE_LINK139"/>
      <w:bookmarkStart w:id="23" w:name="OLE_LINK142"/>
      <w:bookmarkStart w:id="24" w:name="OLE_LINK144"/>
      <w:bookmarkStart w:id="25" w:name="OLE_LINK187"/>
      <w:bookmarkStart w:id="26" w:name="OLE_LINK235"/>
      <w:bookmarkStart w:id="27" w:name="OLE_LINK239"/>
      <w:bookmarkStart w:id="28" w:name="OLE_LINK248"/>
      <w:bookmarkStart w:id="29" w:name="OLE_LINK253"/>
      <w:bookmarkStart w:id="30" w:name="OLE_LINK322"/>
      <w:bookmarkEnd w:id="19"/>
      <w:r w:rsidRPr="00C1642A">
        <w:rPr>
          <w:rFonts w:ascii="Book Antiqua" w:hAnsi="Book Antiqua" w:cs="宋体"/>
          <w:kern w:val="0"/>
          <w:sz w:val="24"/>
        </w:rPr>
        <w:t>1 </w:t>
      </w:r>
      <w:r w:rsidRPr="00C1642A">
        <w:rPr>
          <w:rFonts w:ascii="Book Antiqua" w:hAnsi="Book Antiqua" w:cs="宋体"/>
          <w:b/>
          <w:bCs/>
          <w:kern w:val="0"/>
          <w:sz w:val="24"/>
        </w:rPr>
        <w:t>Ding YB</w:t>
      </w:r>
      <w:r w:rsidRPr="00C1642A">
        <w:rPr>
          <w:rFonts w:ascii="Book Antiqua" w:hAnsi="Book Antiqua" w:cs="宋体"/>
          <w:kern w:val="0"/>
          <w:sz w:val="24"/>
        </w:rPr>
        <w:t xml:space="preserve">, Deng B, Liu XN, Wu J, Xiao WM, Wang YZ, Ma JM, Li Q, </w:t>
      </w:r>
      <w:proofErr w:type="spellStart"/>
      <w:r w:rsidRPr="00C1642A">
        <w:rPr>
          <w:rFonts w:ascii="Book Antiqua" w:hAnsi="Book Antiqua" w:cs="宋体"/>
          <w:kern w:val="0"/>
          <w:sz w:val="24"/>
        </w:rPr>
        <w:t>Ju</w:t>
      </w:r>
      <w:proofErr w:type="spellEnd"/>
      <w:r w:rsidRPr="00C1642A">
        <w:rPr>
          <w:rFonts w:ascii="Book Antiqua" w:hAnsi="Book Antiqua" w:cs="宋体"/>
          <w:kern w:val="0"/>
          <w:sz w:val="24"/>
        </w:rPr>
        <w:t xml:space="preserve"> ZS. </w:t>
      </w:r>
      <w:proofErr w:type="gramStart"/>
      <w:r w:rsidRPr="00C1642A">
        <w:rPr>
          <w:rFonts w:ascii="Book Antiqua" w:hAnsi="Book Antiqua" w:cs="宋体"/>
          <w:kern w:val="0"/>
          <w:sz w:val="24"/>
        </w:rPr>
        <w:t xml:space="preserve">Synchronous vs sequential laparoscopic cholecystectomy for </w:t>
      </w:r>
      <w:proofErr w:type="spellStart"/>
      <w:r w:rsidRPr="00C1642A">
        <w:rPr>
          <w:rFonts w:ascii="Book Antiqua" w:hAnsi="Book Antiqua" w:cs="宋体"/>
          <w:kern w:val="0"/>
          <w:sz w:val="24"/>
        </w:rPr>
        <w:t>cholecystocholedocholithiasis</w:t>
      </w:r>
      <w:proofErr w:type="spellEnd"/>
      <w:r w:rsidRPr="00C1642A">
        <w:rPr>
          <w:rFonts w:ascii="Book Antiqua" w:hAnsi="Book Antiqua" w:cs="宋体"/>
          <w:kern w:val="0"/>
          <w:sz w:val="24"/>
        </w:rPr>
        <w:t>.</w:t>
      </w:r>
      <w:proofErr w:type="gramEnd"/>
      <w:r w:rsidRPr="00C1642A">
        <w:rPr>
          <w:rFonts w:ascii="Book Antiqua" w:hAnsi="Book Antiqua" w:cs="宋体"/>
          <w:kern w:val="0"/>
          <w:sz w:val="24"/>
        </w:rPr>
        <w:t> </w:t>
      </w:r>
      <w:r w:rsidRPr="00C1642A">
        <w:rPr>
          <w:rFonts w:ascii="Book Antiqua" w:hAnsi="Book Antiqua" w:cs="宋体"/>
          <w:i/>
          <w:iCs/>
          <w:kern w:val="0"/>
          <w:sz w:val="24"/>
        </w:rPr>
        <w:t xml:space="preserve">World J </w:t>
      </w:r>
      <w:proofErr w:type="spellStart"/>
      <w:r w:rsidRPr="00C1642A">
        <w:rPr>
          <w:rFonts w:ascii="Book Antiqua" w:hAnsi="Book Antiqua" w:cs="宋体"/>
          <w:i/>
          <w:iCs/>
          <w:kern w:val="0"/>
          <w:sz w:val="24"/>
        </w:rPr>
        <w:t>Gastroenterol</w:t>
      </w:r>
      <w:proofErr w:type="spellEnd"/>
      <w:r w:rsidRPr="00C1642A">
        <w:rPr>
          <w:rFonts w:ascii="Book Antiqua" w:hAnsi="Book Antiqua" w:cs="宋体"/>
          <w:kern w:val="0"/>
          <w:sz w:val="24"/>
        </w:rPr>
        <w:t> 2013; </w:t>
      </w:r>
      <w:r w:rsidRPr="00C1642A">
        <w:rPr>
          <w:rFonts w:ascii="Book Antiqua" w:hAnsi="Book Antiqua" w:cs="宋体"/>
          <w:b/>
          <w:bCs/>
          <w:kern w:val="0"/>
          <w:sz w:val="24"/>
        </w:rPr>
        <w:t>19</w:t>
      </w:r>
      <w:r w:rsidRPr="00C1642A">
        <w:rPr>
          <w:rFonts w:ascii="Book Antiqua" w:hAnsi="Book Antiqua" w:cs="宋体"/>
          <w:kern w:val="0"/>
          <w:sz w:val="24"/>
        </w:rPr>
        <w:t>: 2080-2086 [PMID: 23599628 DOI: 10.3748/wjg.v19.i13.2080]</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2 </w:t>
      </w:r>
      <w:r w:rsidRPr="00C1642A">
        <w:rPr>
          <w:rFonts w:ascii="Book Antiqua" w:hAnsi="Book Antiqua" w:cs="宋体"/>
          <w:b/>
          <w:bCs/>
          <w:kern w:val="0"/>
          <w:sz w:val="24"/>
        </w:rPr>
        <w:t>Sun H</w:t>
      </w:r>
      <w:r w:rsidRPr="00C1642A">
        <w:rPr>
          <w:rFonts w:ascii="Book Antiqua" w:hAnsi="Book Antiqua" w:cs="宋体"/>
          <w:kern w:val="0"/>
          <w:sz w:val="24"/>
        </w:rPr>
        <w:t xml:space="preserve">, Tang H, Jiang S, Zeng L, Chen EQ, Zhou TY, Wang YJ. </w:t>
      </w:r>
      <w:proofErr w:type="gramStart"/>
      <w:r w:rsidRPr="00C1642A">
        <w:rPr>
          <w:rFonts w:ascii="Book Antiqua" w:hAnsi="Book Antiqua" w:cs="宋体"/>
          <w:kern w:val="0"/>
          <w:sz w:val="24"/>
        </w:rPr>
        <w:t>Gender and metabolic differences of gallstone diseases.</w:t>
      </w:r>
      <w:proofErr w:type="gramEnd"/>
      <w:r w:rsidRPr="00C1642A">
        <w:rPr>
          <w:rFonts w:ascii="Book Antiqua" w:hAnsi="Book Antiqua" w:cs="宋体"/>
          <w:kern w:val="0"/>
          <w:sz w:val="24"/>
        </w:rPr>
        <w:t> </w:t>
      </w:r>
      <w:r w:rsidRPr="00C1642A">
        <w:rPr>
          <w:rFonts w:ascii="Book Antiqua" w:hAnsi="Book Antiqua" w:cs="宋体"/>
          <w:i/>
          <w:iCs/>
          <w:kern w:val="0"/>
          <w:sz w:val="24"/>
        </w:rPr>
        <w:t xml:space="preserve">World J </w:t>
      </w:r>
      <w:proofErr w:type="spellStart"/>
      <w:r w:rsidRPr="00C1642A">
        <w:rPr>
          <w:rFonts w:ascii="Book Antiqua" w:hAnsi="Book Antiqua" w:cs="宋体"/>
          <w:i/>
          <w:iCs/>
          <w:kern w:val="0"/>
          <w:sz w:val="24"/>
        </w:rPr>
        <w:t>Gastroenterol</w:t>
      </w:r>
      <w:proofErr w:type="spellEnd"/>
      <w:r w:rsidRPr="00C1642A">
        <w:rPr>
          <w:rFonts w:ascii="Book Antiqua" w:hAnsi="Book Antiqua" w:cs="宋体"/>
          <w:kern w:val="0"/>
          <w:sz w:val="24"/>
        </w:rPr>
        <w:t> 2009; </w:t>
      </w:r>
      <w:r w:rsidRPr="00C1642A">
        <w:rPr>
          <w:rFonts w:ascii="Book Antiqua" w:hAnsi="Book Antiqua" w:cs="宋体"/>
          <w:b/>
          <w:bCs/>
          <w:kern w:val="0"/>
          <w:sz w:val="24"/>
        </w:rPr>
        <w:t>15</w:t>
      </w:r>
      <w:r w:rsidRPr="00C1642A">
        <w:rPr>
          <w:rFonts w:ascii="Book Antiqua" w:hAnsi="Book Antiqua" w:cs="宋体"/>
          <w:kern w:val="0"/>
          <w:sz w:val="24"/>
        </w:rPr>
        <w:t>: 1886-1891 [PMID: 19370788 DOI: 10.3748/wjg.15.1886]</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3 </w:t>
      </w:r>
      <w:r w:rsidRPr="00C1642A">
        <w:rPr>
          <w:rFonts w:ascii="Book Antiqua" w:hAnsi="Book Antiqua" w:cs="宋体"/>
          <w:b/>
          <w:bCs/>
          <w:kern w:val="0"/>
          <w:sz w:val="24"/>
        </w:rPr>
        <w:t>Chang YR</w:t>
      </w:r>
      <w:r w:rsidRPr="00C1642A">
        <w:rPr>
          <w:rFonts w:ascii="Book Antiqua" w:hAnsi="Book Antiqua" w:cs="宋体"/>
          <w:kern w:val="0"/>
          <w:sz w:val="24"/>
        </w:rPr>
        <w:t xml:space="preserve">, Jang JY, Kwon W, Park JW, Kang MJ, </w:t>
      </w:r>
      <w:proofErr w:type="spellStart"/>
      <w:r w:rsidRPr="00C1642A">
        <w:rPr>
          <w:rFonts w:ascii="Book Antiqua" w:hAnsi="Book Antiqua" w:cs="宋体"/>
          <w:kern w:val="0"/>
          <w:sz w:val="24"/>
        </w:rPr>
        <w:t>Ryu</w:t>
      </w:r>
      <w:proofErr w:type="spellEnd"/>
      <w:r w:rsidRPr="00C1642A">
        <w:rPr>
          <w:rFonts w:ascii="Book Antiqua" w:hAnsi="Book Antiqua" w:cs="宋体"/>
          <w:kern w:val="0"/>
          <w:sz w:val="24"/>
        </w:rPr>
        <w:t xml:space="preserve"> JK, Kim YT, Yun YB, Kim SW. Changes in demographic features of gallstone disease: 30 years of surgically treated patients. </w:t>
      </w:r>
      <w:r w:rsidRPr="00C1642A">
        <w:rPr>
          <w:rFonts w:ascii="Book Antiqua" w:hAnsi="Book Antiqua" w:cs="宋体"/>
          <w:i/>
          <w:iCs/>
          <w:kern w:val="0"/>
          <w:sz w:val="24"/>
        </w:rPr>
        <w:t>Gut Liver</w:t>
      </w:r>
      <w:r w:rsidRPr="00C1642A">
        <w:rPr>
          <w:rFonts w:ascii="Book Antiqua" w:hAnsi="Book Antiqua" w:cs="宋体"/>
          <w:kern w:val="0"/>
          <w:sz w:val="24"/>
        </w:rPr>
        <w:t> 2013; </w:t>
      </w:r>
      <w:r w:rsidRPr="00C1642A">
        <w:rPr>
          <w:rFonts w:ascii="Book Antiqua" w:hAnsi="Book Antiqua" w:cs="宋体"/>
          <w:b/>
          <w:bCs/>
          <w:kern w:val="0"/>
          <w:sz w:val="24"/>
        </w:rPr>
        <w:t>7</w:t>
      </w:r>
      <w:r w:rsidRPr="00C1642A">
        <w:rPr>
          <w:rFonts w:ascii="Book Antiqua" w:hAnsi="Book Antiqua" w:cs="宋体"/>
          <w:kern w:val="0"/>
          <w:sz w:val="24"/>
        </w:rPr>
        <w:t>: 719-724 [PMID: 24312714 DOI: 10.5009/gnl.2013.7.6.719]</w:t>
      </w:r>
    </w:p>
    <w:p w:rsidR="00BD0129" w:rsidRPr="00C1642A" w:rsidRDefault="00BD0129" w:rsidP="00BD0129">
      <w:pPr>
        <w:widowControl/>
        <w:spacing w:line="360" w:lineRule="auto"/>
        <w:rPr>
          <w:rFonts w:ascii="Book Antiqua" w:hAnsi="Book Antiqua" w:cs="宋体"/>
          <w:kern w:val="0"/>
          <w:sz w:val="24"/>
        </w:rPr>
      </w:pPr>
      <w:proofErr w:type="gramStart"/>
      <w:r w:rsidRPr="00C1642A">
        <w:rPr>
          <w:rFonts w:ascii="Book Antiqua" w:hAnsi="Book Antiqua" w:cs="宋体"/>
          <w:kern w:val="0"/>
          <w:sz w:val="24"/>
        </w:rPr>
        <w:t>4 </w:t>
      </w:r>
      <w:r w:rsidRPr="00C1642A">
        <w:rPr>
          <w:rFonts w:ascii="Book Antiqua" w:hAnsi="Book Antiqua" w:cs="宋体"/>
          <w:b/>
          <w:bCs/>
          <w:kern w:val="0"/>
          <w:sz w:val="24"/>
        </w:rPr>
        <w:t>Pitt HA</w:t>
      </w:r>
      <w:r w:rsidRPr="00C1642A">
        <w:rPr>
          <w:rFonts w:ascii="Book Antiqua" w:hAnsi="Book Antiqua" w:cs="宋体"/>
          <w:kern w:val="0"/>
          <w:sz w:val="24"/>
        </w:rPr>
        <w:t>.</w:t>
      </w:r>
      <w:proofErr w:type="gramEnd"/>
      <w:r w:rsidRPr="00C1642A">
        <w:rPr>
          <w:rFonts w:ascii="Book Antiqua" w:hAnsi="Book Antiqua" w:cs="宋体"/>
          <w:kern w:val="0"/>
          <w:sz w:val="24"/>
        </w:rPr>
        <w:t xml:space="preserve"> </w:t>
      </w:r>
      <w:proofErr w:type="gramStart"/>
      <w:r w:rsidRPr="00C1642A">
        <w:rPr>
          <w:rFonts w:ascii="Book Antiqua" w:hAnsi="Book Antiqua" w:cs="宋体"/>
          <w:kern w:val="0"/>
          <w:sz w:val="24"/>
        </w:rPr>
        <w:t xml:space="preserve">Role of open </w:t>
      </w:r>
      <w:proofErr w:type="spellStart"/>
      <w:r w:rsidRPr="00C1642A">
        <w:rPr>
          <w:rFonts w:ascii="Book Antiqua" w:hAnsi="Book Antiqua" w:cs="宋体"/>
          <w:kern w:val="0"/>
          <w:sz w:val="24"/>
        </w:rPr>
        <w:t>choledochotomy</w:t>
      </w:r>
      <w:proofErr w:type="spellEnd"/>
      <w:r w:rsidRPr="00C1642A">
        <w:rPr>
          <w:rFonts w:ascii="Book Antiqua" w:hAnsi="Book Antiqua" w:cs="宋体"/>
          <w:kern w:val="0"/>
          <w:sz w:val="24"/>
        </w:rPr>
        <w:t xml:space="preserve"> in the treatment of </w:t>
      </w:r>
      <w:proofErr w:type="spellStart"/>
      <w:r w:rsidRPr="00C1642A">
        <w:rPr>
          <w:rFonts w:ascii="Book Antiqua" w:hAnsi="Book Antiqua" w:cs="宋体"/>
          <w:kern w:val="0"/>
          <w:sz w:val="24"/>
        </w:rPr>
        <w:t>choledocholithiasis</w:t>
      </w:r>
      <w:proofErr w:type="spellEnd"/>
      <w:r w:rsidRPr="00C1642A">
        <w:rPr>
          <w:rFonts w:ascii="Book Antiqua" w:hAnsi="Book Antiqua" w:cs="宋体"/>
          <w:kern w:val="0"/>
          <w:sz w:val="24"/>
        </w:rPr>
        <w:t>.</w:t>
      </w:r>
      <w:proofErr w:type="gramEnd"/>
      <w:r w:rsidRPr="00C1642A">
        <w:rPr>
          <w:rFonts w:ascii="Book Antiqua" w:hAnsi="Book Antiqua" w:cs="宋体"/>
          <w:kern w:val="0"/>
          <w:sz w:val="24"/>
        </w:rPr>
        <w:t> </w:t>
      </w:r>
      <w:r w:rsidRPr="00C1642A">
        <w:rPr>
          <w:rFonts w:ascii="Book Antiqua" w:hAnsi="Book Antiqua" w:cs="宋体"/>
          <w:i/>
          <w:iCs/>
          <w:kern w:val="0"/>
          <w:sz w:val="24"/>
        </w:rPr>
        <w:t xml:space="preserve">Am J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1993; </w:t>
      </w:r>
      <w:r w:rsidRPr="00C1642A">
        <w:rPr>
          <w:rFonts w:ascii="Book Antiqua" w:hAnsi="Book Antiqua" w:cs="宋体"/>
          <w:b/>
          <w:bCs/>
          <w:kern w:val="0"/>
          <w:sz w:val="24"/>
        </w:rPr>
        <w:t>165</w:t>
      </w:r>
      <w:r w:rsidRPr="00C1642A">
        <w:rPr>
          <w:rFonts w:ascii="Book Antiqua" w:hAnsi="Book Antiqua" w:cs="宋体"/>
          <w:kern w:val="0"/>
          <w:sz w:val="24"/>
        </w:rPr>
        <w:t>: 483-486 [PMID: 8480887 DOI: 10.1016/S0002-9610(05)80946-8]</w:t>
      </w:r>
    </w:p>
    <w:p w:rsidR="00BD0129" w:rsidRPr="00C1642A" w:rsidRDefault="00BD0129" w:rsidP="00BD0129">
      <w:pPr>
        <w:widowControl/>
        <w:spacing w:line="360" w:lineRule="auto"/>
        <w:rPr>
          <w:rFonts w:ascii="Book Antiqua" w:hAnsi="Book Antiqua" w:cs="宋体"/>
          <w:kern w:val="0"/>
          <w:sz w:val="24"/>
        </w:rPr>
      </w:pPr>
      <w:proofErr w:type="gramStart"/>
      <w:r w:rsidRPr="00C1642A">
        <w:rPr>
          <w:rFonts w:ascii="Book Antiqua" w:hAnsi="Book Antiqua" w:cs="宋体"/>
          <w:kern w:val="0"/>
          <w:sz w:val="24"/>
        </w:rPr>
        <w:t>5 </w:t>
      </w:r>
      <w:proofErr w:type="spellStart"/>
      <w:r w:rsidRPr="00C1642A">
        <w:rPr>
          <w:rFonts w:ascii="Book Antiqua" w:hAnsi="Book Antiqua" w:cs="宋体"/>
          <w:b/>
          <w:bCs/>
          <w:kern w:val="0"/>
          <w:sz w:val="24"/>
        </w:rPr>
        <w:t>Hanif</w:t>
      </w:r>
      <w:proofErr w:type="spellEnd"/>
      <w:r w:rsidRPr="00C1642A">
        <w:rPr>
          <w:rFonts w:ascii="Book Antiqua" w:hAnsi="Book Antiqua" w:cs="宋体"/>
          <w:b/>
          <w:bCs/>
          <w:kern w:val="0"/>
          <w:sz w:val="24"/>
        </w:rPr>
        <w:t xml:space="preserve"> F</w:t>
      </w:r>
      <w:r w:rsidRPr="00C1642A">
        <w:rPr>
          <w:rFonts w:ascii="Book Antiqua" w:hAnsi="Book Antiqua" w:cs="宋体"/>
          <w:kern w:val="0"/>
          <w:sz w:val="24"/>
        </w:rPr>
        <w:t xml:space="preserve">, Ahmed Z, </w:t>
      </w:r>
      <w:proofErr w:type="spellStart"/>
      <w:r w:rsidRPr="00C1642A">
        <w:rPr>
          <w:rFonts w:ascii="Book Antiqua" w:hAnsi="Book Antiqua" w:cs="宋体"/>
          <w:kern w:val="0"/>
          <w:sz w:val="24"/>
        </w:rPr>
        <w:t>Samie</w:t>
      </w:r>
      <w:proofErr w:type="spellEnd"/>
      <w:r w:rsidRPr="00C1642A">
        <w:rPr>
          <w:rFonts w:ascii="Book Antiqua" w:hAnsi="Book Antiqua" w:cs="宋体"/>
          <w:kern w:val="0"/>
          <w:sz w:val="24"/>
        </w:rPr>
        <w:t xml:space="preserve"> MA, </w:t>
      </w:r>
      <w:proofErr w:type="spellStart"/>
      <w:r w:rsidRPr="00C1642A">
        <w:rPr>
          <w:rFonts w:ascii="Book Antiqua" w:hAnsi="Book Antiqua" w:cs="宋体"/>
          <w:kern w:val="0"/>
          <w:sz w:val="24"/>
        </w:rPr>
        <w:t>Nassar</w:t>
      </w:r>
      <w:proofErr w:type="spellEnd"/>
      <w:r w:rsidRPr="00C1642A">
        <w:rPr>
          <w:rFonts w:ascii="Book Antiqua" w:hAnsi="Book Antiqua" w:cs="宋体"/>
          <w:kern w:val="0"/>
          <w:sz w:val="24"/>
        </w:rPr>
        <w:t xml:space="preserve"> AH.</w:t>
      </w:r>
      <w:proofErr w:type="gramEnd"/>
      <w:r w:rsidRPr="00C1642A">
        <w:rPr>
          <w:rFonts w:ascii="Book Antiqua" w:hAnsi="Book Antiqua" w:cs="宋体"/>
          <w:kern w:val="0"/>
          <w:sz w:val="24"/>
        </w:rPr>
        <w:t xml:space="preserve"> Laparoscopic </w:t>
      </w:r>
      <w:proofErr w:type="spellStart"/>
      <w:r w:rsidRPr="00C1642A">
        <w:rPr>
          <w:rFonts w:ascii="Book Antiqua" w:hAnsi="Book Antiqua" w:cs="宋体"/>
          <w:kern w:val="0"/>
          <w:sz w:val="24"/>
        </w:rPr>
        <w:t>transcystic</w:t>
      </w:r>
      <w:proofErr w:type="spellEnd"/>
      <w:r w:rsidRPr="00C1642A">
        <w:rPr>
          <w:rFonts w:ascii="Book Antiqua" w:hAnsi="Book Antiqua" w:cs="宋体"/>
          <w:kern w:val="0"/>
          <w:sz w:val="24"/>
        </w:rPr>
        <w:t xml:space="preserve"> bile duct exploration: the treatment of first choice for common bile duct stones. </w:t>
      </w:r>
      <w:proofErr w:type="spellStart"/>
      <w:r w:rsidRPr="00C1642A">
        <w:rPr>
          <w:rFonts w:ascii="Book Antiqua" w:hAnsi="Book Antiqua" w:cs="宋体"/>
          <w:i/>
          <w:iCs/>
          <w:kern w:val="0"/>
          <w:sz w:val="24"/>
        </w:rPr>
        <w:t>Surg</w:t>
      </w:r>
      <w:proofErr w:type="spellEnd"/>
      <w:r w:rsidRPr="00C1642A">
        <w:rPr>
          <w:rFonts w:ascii="Book Antiqua" w:hAnsi="Book Antiqua" w:cs="宋体"/>
          <w:i/>
          <w:iCs/>
          <w:kern w:val="0"/>
          <w:sz w:val="24"/>
        </w:rPr>
        <w:t xml:space="preserve"> </w:t>
      </w:r>
      <w:proofErr w:type="spellStart"/>
      <w:r w:rsidRPr="00C1642A">
        <w:rPr>
          <w:rFonts w:ascii="Book Antiqua" w:hAnsi="Book Antiqua" w:cs="宋体"/>
          <w:i/>
          <w:iCs/>
          <w:kern w:val="0"/>
          <w:sz w:val="24"/>
        </w:rPr>
        <w:t>Endosc</w:t>
      </w:r>
      <w:proofErr w:type="spellEnd"/>
      <w:r w:rsidRPr="00C1642A">
        <w:rPr>
          <w:rFonts w:ascii="Book Antiqua" w:hAnsi="Book Antiqua" w:cs="宋体"/>
          <w:kern w:val="0"/>
          <w:sz w:val="24"/>
        </w:rPr>
        <w:t> 2010; </w:t>
      </w:r>
      <w:r w:rsidRPr="00C1642A">
        <w:rPr>
          <w:rFonts w:ascii="Book Antiqua" w:hAnsi="Book Antiqua" w:cs="宋体"/>
          <w:b/>
          <w:bCs/>
          <w:kern w:val="0"/>
          <w:sz w:val="24"/>
        </w:rPr>
        <w:t>24</w:t>
      </w:r>
      <w:r w:rsidRPr="00C1642A">
        <w:rPr>
          <w:rFonts w:ascii="Book Antiqua" w:hAnsi="Book Antiqua" w:cs="宋体"/>
          <w:kern w:val="0"/>
          <w:sz w:val="24"/>
        </w:rPr>
        <w:t>: 1552-1556 [PMID: 20044767 DOI: 10.1007/s00464-009-0809-4]</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6 </w:t>
      </w:r>
      <w:proofErr w:type="spellStart"/>
      <w:r w:rsidRPr="00C1642A">
        <w:rPr>
          <w:rFonts w:ascii="Book Antiqua" w:hAnsi="Book Antiqua" w:cs="宋体"/>
          <w:b/>
          <w:bCs/>
          <w:kern w:val="0"/>
          <w:sz w:val="24"/>
        </w:rPr>
        <w:t>Ambreen</w:t>
      </w:r>
      <w:proofErr w:type="spellEnd"/>
      <w:r w:rsidRPr="00C1642A">
        <w:rPr>
          <w:rFonts w:ascii="Book Antiqua" w:hAnsi="Book Antiqua" w:cs="宋体"/>
          <w:b/>
          <w:bCs/>
          <w:kern w:val="0"/>
          <w:sz w:val="24"/>
        </w:rPr>
        <w:t xml:space="preserve"> M</w:t>
      </w:r>
      <w:r w:rsidRPr="00C1642A">
        <w:rPr>
          <w:rFonts w:ascii="Book Antiqua" w:hAnsi="Book Antiqua" w:cs="宋体"/>
          <w:kern w:val="0"/>
          <w:sz w:val="24"/>
        </w:rPr>
        <w:t xml:space="preserve">, Shaikh AR, Jamal A, Qureshi JN, </w:t>
      </w:r>
      <w:proofErr w:type="spellStart"/>
      <w:r w:rsidRPr="00C1642A">
        <w:rPr>
          <w:rFonts w:ascii="Book Antiqua" w:hAnsi="Book Antiqua" w:cs="宋体"/>
          <w:kern w:val="0"/>
          <w:sz w:val="24"/>
        </w:rPr>
        <w:t>Dalwani</w:t>
      </w:r>
      <w:proofErr w:type="spellEnd"/>
      <w:r w:rsidRPr="00C1642A">
        <w:rPr>
          <w:rFonts w:ascii="Book Antiqua" w:hAnsi="Book Antiqua" w:cs="宋体"/>
          <w:kern w:val="0"/>
          <w:sz w:val="24"/>
        </w:rPr>
        <w:t xml:space="preserve"> AG, </w:t>
      </w:r>
      <w:proofErr w:type="spellStart"/>
      <w:r w:rsidRPr="00C1642A">
        <w:rPr>
          <w:rFonts w:ascii="Book Antiqua" w:hAnsi="Book Antiqua" w:cs="宋体"/>
          <w:kern w:val="0"/>
          <w:sz w:val="24"/>
        </w:rPr>
        <w:t>Memon</w:t>
      </w:r>
      <w:proofErr w:type="spellEnd"/>
      <w:r w:rsidRPr="00C1642A">
        <w:rPr>
          <w:rFonts w:ascii="Book Antiqua" w:hAnsi="Book Antiqua" w:cs="宋体"/>
          <w:kern w:val="0"/>
          <w:sz w:val="24"/>
        </w:rPr>
        <w:t xml:space="preserve"> MM. Primary closure versus T-tube drainage after open </w:t>
      </w:r>
      <w:proofErr w:type="spellStart"/>
      <w:r w:rsidRPr="00C1642A">
        <w:rPr>
          <w:rFonts w:ascii="Book Antiqua" w:hAnsi="Book Antiqua" w:cs="宋体"/>
          <w:kern w:val="0"/>
          <w:sz w:val="24"/>
        </w:rPr>
        <w:t>choledochotomy</w:t>
      </w:r>
      <w:proofErr w:type="spellEnd"/>
      <w:r w:rsidRPr="00C1642A">
        <w:rPr>
          <w:rFonts w:ascii="Book Antiqua" w:hAnsi="Book Antiqua" w:cs="宋体"/>
          <w:kern w:val="0"/>
          <w:sz w:val="24"/>
        </w:rPr>
        <w:t>. </w:t>
      </w:r>
      <w:r w:rsidRPr="00C1642A">
        <w:rPr>
          <w:rFonts w:ascii="Book Antiqua" w:hAnsi="Book Antiqua" w:cs="宋体"/>
          <w:i/>
          <w:iCs/>
          <w:kern w:val="0"/>
          <w:sz w:val="24"/>
        </w:rPr>
        <w:t xml:space="preserve">Asian J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2009; </w:t>
      </w:r>
      <w:r w:rsidRPr="00C1642A">
        <w:rPr>
          <w:rFonts w:ascii="Book Antiqua" w:hAnsi="Book Antiqua" w:cs="宋体"/>
          <w:b/>
          <w:bCs/>
          <w:kern w:val="0"/>
          <w:sz w:val="24"/>
        </w:rPr>
        <w:t>32</w:t>
      </w:r>
      <w:r w:rsidRPr="00C1642A">
        <w:rPr>
          <w:rFonts w:ascii="Book Antiqua" w:hAnsi="Book Antiqua" w:cs="宋体"/>
          <w:kern w:val="0"/>
          <w:sz w:val="24"/>
        </w:rPr>
        <w:t>: 21-25 [PMID: 19321398 DOI: 10.1016/S1015-9584(09)60004-X]</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7 </w:t>
      </w:r>
      <w:r w:rsidRPr="00C1642A">
        <w:rPr>
          <w:rFonts w:ascii="Book Antiqua" w:hAnsi="Book Antiqua" w:cs="宋体"/>
          <w:b/>
          <w:bCs/>
          <w:kern w:val="0"/>
          <w:sz w:val="24"/>
        </w:rPr>
        <w:t>Wu X</w:t>
      </w:r>
      <w:r w:rsidRPr="00C1642A">
        <w:rPr>
          <w:rFonts w:ascii="Book Antiqua" w:hAnsi="Book Antiqua" w:cs="宋体"/>
          <w:kern w:val="0"/>
          <w:sz w:val="24"/>
        </w:rPr>
        <w:t xml:space="preserve">, Yang Y, Dong P, </w:t>
      </w:r>
      <w:proofErr w:type="spellStart"/>
      <w:r w:rsidRPr="00C1642A">
        <w:rPr>
          <w:rFonts w:ascii="Book Antiqua" w:hAnsi="Book Antiqua" w:cs="宋体"/>
          <w:kern w:val="0"/>
          <w:sz w:val="24"/>
        </w:rPr>
        <w:t>Gu</w:t>
      </w:r>
      <w:proofErr w:type="spellEnd"/>
      <w:r w:rsidRPr="00C1642A">
        <w:rPr>
          <w:rFonts w:ascii="Book Antiqua" w:hAnsi="Book Antiqua" w:cs="宋体"/>
          <w:kern w:val="0"/>
          <w:sz w:val="24"/>
        </w:rPr>
        <w:t xml:space="preserve"> J, Lu J, Li M, Mu J, Wu W, Yang J, Zhang L, Ding Q, Liu Y. Primary closure versus T-tube drainage in laparoscopic common bile duct exploration: a meta-analysis of randomized clinical trials. </w:t>
      </w:r>
      <w:proofErr w:type="spellStart"/>
      <w:r w:rsidRPr="00C1642A">
        <w:rPr>
          <w:rFonts w:ascii="Book Antiqua" w:hAnsi="Book Antiqua" w:cs="宋体"/>
          <w:i/>
          <w:iCs/>
          <w:kern w:val="0"/>
          <w:sz w:val="24"/>
        </w:rPr>
        <w:t>Langenbecks</w:t>
      </w:r>
      <w:proofErr w:type="spellEnd"/>
      <w:r w:rsidRPr="00C1642A">
        <w:rPr>
          <w:rFonts w:ascii="Book Antiqua" w:hAnsi="Book Antiqua" w:cs="宋体"/>
          <w:i/>
          <w:iCs/>
          <w:kern w:val="0"/>
          <w:sz w:val="24"/>
        </w:rPr>
        <w:t xml:space="preserve"> Arch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2012; </w:t>
      </w:r>
      <w:r w:rsidRPr="00C1642A">
        <w:rPr>
          <w:rFonts w:ascii="Book Antiqua" w:hAnsi="Book Antiqua" w:cs="宋体"/>
          <w:b/>
          <w:bCs/>
          <w:kern w:val="0"/>
          <w:sz w:val="24"/>
        </w:rPr>
        <w:t>397</w:t>
      </w:r>
      <w:r w:rsidRPr="00C1642A">
        <w:rPr>
          <w:rFonts w:ascii="Book Antiqua" w:hAnsi="Book Antiqua" w:cs="宋体"/>
          <w:kern w:val="0"/>
          <w:sz w:val="24"/>
        </w:rPr>
        <w:t>: 909-916 [PMID: 22644601 DOI: 10.1007/s00423-012-0962-4]</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8 </w:t>
      </w:r>
      <w:r w:rsidRPr="00C1642A">
        <w:rPr>
          <w:rFonts w:ascii="Book Antiqua" w:hAnsi="Book Antiqua" w:cs="宋体"/>
          <w:b/>
          <w:bCs/>
          <w:kern w:val="0"/>
          <w:sz w:val="24"/>
        </w:rPr>
        <w:t>Zhu QD</w:t>
      </w:r>
      <w:r w:rsidRPr="00C1642A">
        <w:rPr>
          <w:rFonts w:ascii="Book Antiqua" w:hAnsi="Book Antiqua" w:cs="宋体"/>
          <w:kern w:val="0"/>
          <w:sz w:val="24"/>
        </w:rPr>
        <w:t xml:space="preserve">, Tao CL, Zhou MT, Yu ZP, Shi HQ, Zhang QY. </w:t>
      </w:r>
      <w:proofErr w:type="gramStart"/>
      <w:r w:rsidRPr="00C1642A">
        <w:rPr>
          <w:rFonts w:ascii="Book Antiqua" w:hAnsi="Book Antiqua" w:cs="宋体"/>
          <w:kern w:val="0"/>
          <w:sz w:val="24"/>
        </w:rPr>
        <w:t xml:space="preserve">Primary closure versus T-tube drainage after common bile duct exploration for </w:t>
      </w:r>
      <w:proofErr w:type="spellStart"/>
      <w:r w:rsidRPr="00C1642A">
        <w:rPr>
          <w:rFonts w:ascii="Book Antiqua" w:hAnsi="Book Antiqua" w:cs="宋体"/>
          <w:kern w:val="0"/>
          <w:sz w:val="24"/>
        </w:rPr>
        <w:t>choledocholithiasis</w:t>
      </w:r>
      <w:proofErr w:type="spellEnd"/>
      <w:r w:rsidRPr="00C1642A">
        <w:rPr>
          <w:rFonts w:ascii="Book Antiqua" w:hAnsi="Book Antiqua" w:cs="宋体"/>
          <w:kern w:val="0"/>
          <w:sz w:val="24"/>
        </w:rPr>
        <w:t>.</w:t>
      </w:r>
      <w:proofErr w:type="gramEnd"/>
      <w:r w:rsidRPr="00C1642A">
        <w:rPr>
          <w:rFonts w:ascii="Book Antiqua" w:hAnsi="Book Antiqua" w:cs="宋体"/>
          <w:kern w:val="0"/>
          <w:sz w:val="24"/>
        </w:rPr>
        <w:t> </w:t>
      </w:r>
      <w:proofErr w:type="spellStart"/>
      <w:r w:rsidRPr="00C1642A">
        <w:rPr>
          <w:rFonts w:ascii="Book Antiqua" w:hAnsi="Book Antiqua" w:cs="宋体"/>
          <w:i/>
          <w:iCs/>
          <w:kern w:val="0"/>
          <w:sz w:val="24"/>
        </w:rPr>
        <w:t>Langenbecks</w:t>
      </w:r>
      <w:proofErr w:type="spellEnd"/>
      <w:r w:rsidRPr="00C1642A">
        <w:rPr>
          <w:rFonts w:ascii="Book Antiqua" w:hAnsi="Book Antiqua" w:cs="宋体"/>
          <w:i/>
          <w:iCs/>
          <w:kern w:val="0"/>
          <w:sz w:val="24"/>
        </w:rPr>
        <w:t xml:space="preserve"> Arch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2011; </w:t>
      </w:r>
      <w:r w:rsidRPr="00C1642A">
        <w:rPr>
          <w:rFonts w:ascii="Book Antiqua" w:hAnsi="Book Antiqua" w:cs="宋体"/>
          <w:b/>
          <w:bCs/>
          <w:kern w:val="0"/>
          <w:sz w:val="24"/>
        </w:rPr>
        <w:t>396</w:t>
      </w:r>
      <w:r w:rsidRPr="00C1642A">
        <w:rPr>
          <w:rFonts w:ascii="Book Antiqua" w:hAnsi="Book Antiqua" w:cs="宋体"/>
          <w:kern w:val="0"/>
          <w:sz w:val="24"/>
        </w:rPr>
        <w:t>: 53-62 [PMID: 20582601 DOI: 10.1007/s00423-010-0660-z]</w:t>
      </w:r>
    </w:p>
    <w:p w:rsidR="00BD0129" w:rsidRPr="00C1642A" w:rsidRDefault="00BD0129" w:rsidP="00BD0129">
      <w:pPr>
        <w:widowControl/>
        <w:spacing w:line="360" w:lineRule="auto"/>
        <w:rPr>
          <w:rFonts w:ascii="Book Antiqua" w:hAnsi="Book Antiqua" w:cs="宋体"/>
          <w:kern w:val="0"/>
          <w:sz w:val="24"/>
        </w:rPr>
      </w:pPr>
      <w:r>
        <w:rPr>
          <w:rFonts w:ascii="Book Antiqua" w:hAnsi="Book Antiqua" w:cs="宋体" w:hint="eastAsia"/>
          <w:kern w:val="0"/>
          <w:sz w:val="24"/>
        </w:rPr>
        <w:t xml:space="preserve">9 </w:t>
      </w:r>
      <w:proofErr w:type="spellStart"/>
      <w:r w:rsidRPr="00C1642A">
        <w:rPr>
          <w:rFonts w:ascii="Book Antiqua" w:hAnsi="Book Antiqua" w:cs="宋体"/>
          <w:b/>
          <w:kern w:val="0"/>
          <w:sz w:val="24"/>
        </w:rPr>
        <w:t>Kageoka</w:t>
      </w:r>
      <w:proofErr w:type="spellEnd"/>
      <w:r w:rsidRPr="00C1642A">
        <w:rPr>
          <w:rFonts w:ascii="Book Antiqua" w:hAnsi="Book Antiqua" w:cs="宋体"/>
          <w:b/>
          <w:kern w:val="0"/>
          <w:sz w:val="24"/>
        </w:rPr>
        <w:t xml:space="preserve"> M, </w:t>
      </w:r>
      <w:r w:rsidRPr="00C1642A">
        <w:rPr>
          <w:rFonts w:ascii="Book Antiqua" w:hAnsi="Book Antiqua" w:cs="宋体"/>
          <w:kern w:val="0"/>
          <w:sz w:val="24"/>
        </w:rPr>
        <w:t xml:space="preserve">Watanabe F, Maruyama Y, Nagata K, </w:t>
      </w:r>
      <w:proofErr w:type="spellStart"/>
      <w:r w:rsidRPr="00C1642A">
        <w:rPr>
          <w:rFonts w:ascii="Book Antiqua" w:hAnsi="Book Antiqua" w:cs="宋体"/>
          <w:kern w:val="0"/>
          <w:sz w:val="24"/>
        </w:rPr>
        <w:t>Ohata</w:t>
      </w:r>
      <w:proofErr w:type="spellEnd"/>
      <w:r w:rsidRPr="00C1642A">
        <w:rPr>
          <w:rFonts w:ascii="Book Antiqua" w:hAnsi="Book Antiqua" w:cs="宋体"/>
          <w:kern w:val="0"/>
          <w:sz w:val="24"/>
        </w:rPr>
        <w:t xml:space="preserve"> A, Noda Y, Miwa I, </w:t>
      </w:r>
      <w:proofErr w:type="spellStart"/>
      <w:r w:rsidRPr="00C1642A">
        <w:rPr>
          <w:rFonts w:ascii="Book Antiqua" w:hAnsi="Book Antiqua" w:cs="宋体"/>
          <w:kern w:val="0"/>
          <w:sz w:val="24"/>
        </w:rPr>
        <w:t>Ikeya</w:t>
      </w:r>
      <w:proofErr w:type="spellEnd"/>
      <w:r w:rsidRPr="00C1642A">
        <w:rPr>
          <w:rFonts w:ascii="Book Antiqua" w:hAnsi="Book Antiqua" w:cs="宋体"/>
          <w:kern w:val="0"/>
          <w:sz w:val="24"/>
        </w:rPr>
        <w:t xml:space="preserve"> K. Long-term prognosis of patients after endoscopic </w:t>
      </w:r>
      <w:proofErr w:type="spellStart"/>
      <w:r w:rsidRPr="00C1642A">
        <w:rPr>
          <w:rFonts w:ascii="Book Antiqua" w:hAnsi="Book Antiqua" w:cs="宋体"/>
          <w:kern w:val="0"/>
          <w:sz w:val="24"/>
        </w:rPr>
        <w:t>sphincterotomy</w:t>
      </w:r>
      <w:proofErr w:type="spellEnd"/>
      <w:r w:rsidRPr="00C1642A">
        <w:rPr>
          <w:rFonts w:ascii="Book Antiqua" w:hAnsi="Book Antiqua" w:cs="宋体"/>
          <w:kern w:val="0"/>
          <w:sz w:val="24"/>
        </w:rPr>
        <w:t xml:space="preserve"> for </w:t>
      </w:r>
      <w:proofErr w:type="spellStart"/>
      <w:r w:rsidRPr="00C1642A">
        <w:rPr>
          <w:rFonts w:ascii="Book Antiqua" w:hAnsi="Book Antiqua" w:cs="宋体"/>
          <w:kern w:val="0"/>
          <w:sz w:val="24"/>
        </w:rPr>
        <w:lastRenderedPageBreak/>
        <w:t>choledocholithiasis</w:t>
      </w:r>
      <w:proofErr w:type="spellEnd"/>
      <w:r w:rsidRPr="00C1642A">
        <w:rPr>
          <w:rFonts w:ascii="Book Antiqua" w:hAnsi="Book Antiqua" w:cs="宋体"/>
          <w:kern w:val="0"/>
          <w:sz w:val="24"/>
        </w:rPr>
        <w:t xml:space="preserve">. </w:t>
      </w:r>
      <w:r w:rsidRPr="00C1642A">
        <w:rPr>
          <w:rFonts w:ascii="Book Antiqua" w:hAnsi="Book Antiqua" w:cs="宋体"/>
          <w:i/>
          <w:kern w:val="0"/>
          <w:sz w:val="24"/>
        </w:rPr>
        <w:t xml:space="preserve">Dig </w:t>
      </w:r>
      <w:proofErr w:type="spellStart"/>
      <w:r w:rsidRPr="00C1642A">
        <w:rPr>
          <w:rFonts w:ascii="Book Antiqua" w:hAnsi="Book Antiqua" w:cs="宋体"/>
          <w:i/>
          <w:kern w:val="0"/>
          <w:sz w:val="24"/>
        </w:rPr>
        <w:t>Endosc</w:t>
      </w:r>
      <w:proofErr w:type="spellEnd"/>
      <w:r w:rsidRPr="00C1642A">
        <w:rPr>
          <w:rFonts w:ascii="Book Antiqua" w:hAnsi="Book Antiqua" w:cs="宋体"/>
          <w:i/>
          <w:kern w:val="0"/>
          <w:sz w:val="24"/>
        </w:rPr>
        <w:t xml:space="preserve"> </w:t>
      </w:r>
      <w:r w:rsidRPr="00C1642A">
        <w:rPr>
          <w:rFonts w:ascii="Book Antiqua" w:hAnsi="Book Antiqua" w:cs="宋体"/>
          <w:kern w:val="0"/>
          <w:sz w:val="24"/>
        </w:rPr>
        <w:t xml:space="preserve">2009; </w:t>
      </w:r>
      <w:r w:rsidRPr="00C1642A">
        <w:rPr>
          <w:rFonts w:ascii="Book Antiqua" w:hAnsi="Book Antiqua" w:cs="宋体"/>
          <w:b/>
          <w:kern w:val="0"/>
          <w:sz w:val="24"/>
        </w:rPr>
        <w:t>21</w:t>
      </w:r>
      <w:r>
        <w:rPr>
          <w:rFonts w:ascii="Book Antiqua" w:hAnsi="Book Antiqua" w:cs="宋体"/>
          <w:kern w:val="0"/>
          <w:sz w:val="24"/>
        </w:rPr>
        <w:t xml:space="preserve">: 170-175 [PMID: 19691764 </w:t>
      </w:r>
      <w:r w:rsidRPr="00C1642A">
        <w:rPr>
          <w:rFonts w:ascii="Book Antiqua" w:hAnsi="Book Antiqua" w:cs="宋体"/>
          <w:kern w:val="0"/>
          <w:sz w:val="24"/>
        </w:rPr>
        <w:t>DOI: 10.1111/j.1443-1661.2009.00880.x]</w:t>
      </w:r>
    </w:p>
    <w:p w:rsidR="00BD0129" w:rsidRPr="00C1642A" w:rsidRDefault="00BD0129" w:rsidP="00BD0129">
      <w:pPr>
        <w:widowControl/>
        <w:spacing w:line="360" w:lineRule="auto"/>
        <w:rPr>
          <w:rFonts w:ascii="Book Antiqua" w:hAnsi="Book Antiqua" w:cs="宋体"/>
          <w:kern w:val="0"/>
          <w:sz w:val="24"/>
        </w:rPr>
      </w:pPr>
      <w:proofErr w:type="gramStart"/>
      <w:r w:rsidRPr="00C1642A">
        <w:rPr>
          <w:rFonts w:ascii="Book Antiqua" w:hAnsi="Book Antiqua" w:cs="宋体"/>
          <w:kern w:val="0"/>
          <w:sz w:val="24"/>
        </w:rPr>
        <w:t>10 </w:t>
      </w:r>
      <w:proofErr w:type="spellStart"/>
      <w:r w:rsidRPr="00C1642A">
        <w:rPr>
          <w:rFonts w:ascii="Book Antiqua" w:hAnsi="Book Antiqua" w:cs="宋体"/>
          <w:b/>
          <w:bCs/>
          <w:kern w:val="0"/>
          <w:sz w:val="24"/>
        </w:rPr>
        <w:t>Tandan</w:t>
      </w:r>
      <w:proofErr w:type="spellEnd"/>
      <w:r w:rsidRPr="00C1642A">
        <w:rPr>
          <w:rFonts w:ascii="Book Antiqua" w:hAnsi="Book Antiqua" w:cs="宋体"/>
          <w:b/>
          <w:bCs/>
          <w:kern w:val="0"/>
          <w:sz w:val="24"/>
        </w:rPr>
        <w:t xml:space="preserve"> M</w:t>
      </w:r>
      <w:r w:rsidRPr="00C1642A">
        <w:rPr>
          <w:rFonts w:ascii="Book Antiqua" w:hAnsi="Book Antiqua" w:cs="宋体"/>
          <w:kern w:val="0"/>
          <w:sz w:val="24"/>
        </w:rPr>
        <w:t>, Reddy DN. Extracorporeal shock wave lithotripsy for pancreatic and large common bile duct stones.</w:t>
      </w:r>
      <w:proofErr w:type="gramEnd"/>
      <w:r w:rsidRPr="00C1642A">
        <w:rPr>
          <w:rFonts w:ascii="Book Antiqua" w:hAnsi="Book Antiqua" w:cs="宋体"/>
          <w:kern w:val="0"/>
          <w:sz w:val="24"/>
        </w:rPr>
        <w:t> </w:t>
      </w:r>
      <w:r w:rsidRPr="00C1642A">
        <w:rPr>
          <w:rFonts w:ascii="Book Antiqua" w:hAnsi="Book Antiqua" w:cs="宋体"/>
          <w:i/>
          <w:iCs/>
          <w:kern w:val="0"/>
          <w:sz w:val="24"/>
        </w:rPr>
        <w:t xml:space="preserve">World J </w:t>
      </w:r>
      <w:proofErr w:type="spellStart"/>
      <w:r w:rsidRPr="00C1642A">
        <w:rPr>
          <w:rFonts w:ascii="Book Antiqua" w:hAnsi="Book Antiqua" w:cs="宋体"/>
          <w:i/>
          <w:iCs/>
          <w:kern w:val="0"/>
          <w:sz w:val="24"/>
        </w:rPr>
        <w:t>Gastroenterol</w:t>
      </w:r>
      <w:proofErr w:type="spellEnd"/>
      <w:r w:rsidRPr="00C1642A">
        <w:rPr>
          <w:rFonts w:ascii="Book Antiqua" w:hAnsi="Book Antiqua" w:cs="宋体"/>
          <w:kern w:val="0"/>
          <w:sz w:val="24"/>
        </w:rPr>
        <w:t> 2011; </w:t>
      </w:r>
      <w:r w:rsidRPr="00C1642A">
        <w:rPr>
          <w:rFonts w:ascii="Book Antiqua" w:hAnsi="Book Antiqua" w:cs="宋体"/>
          <w:b/>
          <w:bCs/>
          <w:kern w:val="0"/>
          <w:sz w:val="24"/>
        </w:rPr>
        <w:t>17</w:t>
      </w:r>
      <w:r w:rsidRPr="00C1642A">
        <w:rPr>
          <w:rFonts w:ascii="Book Antiqua" w:hAnsi="Book Antiqua" w:cs="宋体"/>
          <w:kern w:val="0"/>
          <w:sz w:val="24"/>
        </w:rPr>
        <w:t>: 4365-4371 [PMID: 22110261 DOI: 10.3748/wjg.v17.i39.4365]</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11 </w:t>
      </w:r>
      <w:r w:rsidRPr="00C1642A">
        <w:rPr>
          <w:rFonts w:ascii="Book Antiqua" w:hAnsi="Book Antiqua" w:cs="宋体"/>
          <w:b/>
          <w:bCs/>
          <w:kern w:val="0"/>
          <w:sz w:val="24"/>
        </w:rPr>
        <w:t>Lee JH</w:t>
      </w:r>
      <w:r w:rsidRPr="00C1642A">
        <w:rPr>
          <w:rFonts w:ascii="Book Antiqua" w:hAnsi="Book Antiqua" w:cs="宋体"/>
          <w:kern w:val="0"/>
          <w:sz w:val="24"/>
        </w:rPr>
        <w:t xml:space="preserve">, Kim HW, Kang DH, Choi CW, Park SB, Kim SH, </w:t>
      </w:r>
      <w:proofErr w:type="spellStart"/>
      <w:r w:rsidRPr="00C1642A">
        <w:rPr>
          <w:rFonts w:ascii="Book Antiqua" w:hAnsi="Book Antiqua" w:cs="宋体"/>
          <w:kern w:val="0"/>
          <w:sz w:val="24"/>
        </w:rPr>
        <w:t>Jeon</w:t>
      </w:r>
      <w:proofErr w:type="spellEnd"/>
      <w:r w:rsidRPr="00C1642A">
        <w:rPr>
          <w:rFonts w:ascii="Book Antiqua" w:hAnsi="Book Antiqua" w:cs="宋体"/>
          <w:kern w:val="0"/>
          <w:sz w:val="24"/>
        </w:rPr>
        <w:t xml:space="preserve"> UB. </w:t>
      </w:r>
      <w:proofErr w:type="gramStart"/>
      <w:r w:rsidRPr="00C1642A">
        <w:rPr>
          <w:rFonts w:ascii="Book Antiqua" w:hAnsi="Book Antiqua" w:cs="宋体"/>
          <w:kern w:val="0"/>
          <w:sz w:val="24"/>
        </w:rPr>
        <w:t xml:space="preserve">Usefulness of percutaneous </w:t>
      </w:r>
      <w:proofErr w:type="spellStart"/>
      <w:r w:rsidRPr="00C1642A">
        <w:rPr>
          <w:rFonts w:ascii="Book Antiqua" w:hAnsi="Book Antiqua" w:cs="宋体"/>
          <w:kern w:val="0"/>
          <w:sz w:val="24"/>
        </w:rPr>
        <w:t>transhepatic</w:t>
      </w:r>
      <w:proofErr w:type="spellEnd"/>
      <w:r w:rsidRPr="00C1642A">
        <w:rPr>
          <w:rFonts w:ascii="Book Antiqua" w:hAnsi="Book Antiqua" w:cs="宋体"/>
          <w:kern w:val="0"/>
          <w:sz w:val="24"/>
        </w:rPr>
        <w:t xml:space="preserve"> </w:t>
      </w:r>
      <w:proofErr w:type="spellStart"/>
      <w:r w:rsidRPr="00C1642A">
        <w:rPr>
          <w:rFonts w:ascii="Book Antiqua" w:hAnsi="Book Antiqua" w:cs="宋体"/>
          <w:kern w:val="0"/>
          <w:sz w:val="24"/>
        </w:rPr>
        <w:t>cholangioscopic</w:t>
      </w:r>
      <w:proofErr w:type="spellEnd"/>
      <w:r w:rsidRPr="00C1642A">
        <w:rPr>
          <w:rFonts w:ascii="Book Antiqua" w:hAnsi="Book Antiqua" w:cs="宋体"/>
          <w:kern w:val="0"/>
          <w:sz w:val="24"/>
        </w:rPr>
        <w:t xml:space="preserve"> lithotomy for removal of difficult common bile duct stones.</w:t>
      </w:r>
      <w:proofErr w:type="gramEnd"/>
      <w:r w:rsidRPr="00C1642A">
        <w:rPr>
          <w:rFonts w:ascii="Book Antiqua" w:hAnsi="Book Antiqua" w:cs="宋体"/>
          <w:kern w:val="0"/>
          <w:sz w:val="24"/>
        </w:rPr>
        <w:t> </w:t>
      </w:r>
      <w:proofErr w:type="spellStart"/>
      <w:r w:rsidRPr="00C1642A">
        <w:rPr>
          <w:rFonts w:ascii="Book Antiqua" w:hAnsi="Book Antiqua" w:cs="宋体"/>
          <w:i/>
          <w:iCs/>
          <w:kern w:val="0"/>
          <w:sz w:val="24"/>
        </w:rPr>
        <w:t>Clin</w:t>
      </w:r>
      <w:proofErr w:type="spellEnd"/>
      <w:r w:rsidRPr="00C1642A">
        <w:rPr>
          <w:rFonts w:ascii="Book Antiqua" w:hAnsi="Book Antiqua" w:cs="宋体"/>
          <w:i/>
          <w:iCs/>
          <w:kern w:val="0"/>
          <w:sz w:val="24"/>
        </w:rPr>
        <w:t xml:space="preserve"> </w:t>
      </w:r>
      <w:proofErr w:type="spellStart"/>
      <w:r w:rsidRPr="00C1642A">
        <w:rPr>
          <w:rFonts w:ascii="Book Antiqua" w:hAnsi="Book Antiqua" w:cs="宋体"/>
          <w:i/>
          <w:iCs/>
          <w:kern w:val="0"/>
          <w:sz w:val="24"/>
        </w:rPr>
        <w:t>Endosc</w:t>
      </w:r>
      <w:proofErr w:type="spellEnd"/>
      <w:r w:rsidRPr="00C1642A">
        <w:rPr>
          <w:rFonts w:ascii="Book Antiqua" w:hAnsi="Book Antiqua" w:cs="宋体"/>
          <w:kern w:val="0"/>
          <w:sz w:val="24"/>
        </w:rPr>
        <w:t> 2013; </w:t>
      </w:r>
      <w:r w:rsidRPr="00C1642A">
        <w:rPr>
          <w:rFonts w:ascii="Book Antiqua" w:hAnsi="Book Antiqua" w:cs="宋体"/>
          <w:b/>
          <w:bCs/>
          <w:kern w:val="0"/>
          <w:sz w:val="24"/>
        </w:rPr>
        <w:t>46</w:t>
      </w:r>
      <w:r w:rsidRPr="00C1642A">
        <w:rPr>
          <w:rFonts w:ascii="Book Antiqua" w:hAnsi="Book Antiqua" w:cs="宋体"/>
          <w:kern w:val="0"/>
          <w:sz w:val="24"/>
        </w:rPr>
        <w:t>: 65-70 [PMID: 23423471 DOI: 10.5946/ce.2013.46.1.65]</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12 </w:t>
      </w:r>
      <w:proofErr w:type="spellStart"/>
      <w:r w:rsidRPr="00C1642A">
        <w:rPr>
          <w:rFonts w:ascii="Book Antiqua" w:hAnsi="Book Antiqua" w:cs="宋体"/>
          <w:b/>
          <w:bCs/>
          <w:kern w:val="0"/>
          <w:sz w:val="24"/>
        </w:rPr>
        <w:t>Atar</w:t>
      </w:r>
      <w:proofErr w:type="spellEnd"/>
      <w:r w:rsidRPr="00C1642A">
        <w:rPr>
          <w:rFonts w:ascii="Book Antiqua" w:hAnsi="Book Antiqua" w:cs="宋体"/>
          <w:b/>
          <w:bCs/>
          <w:kern w:val="0"/>
          <w:sz w:val="24"/>
        </w:rPr>
        <w:t xml:space="preserve"> E</w:t>
      </w:r>
      <w:r w:rsidRPr="00C1642A">
        <w:rPr>
          <w:rFonts w:ascii="Book Antiqua" w:hAnsi="Book Antiqua" w:cs="宋体"/>
          <w:kern w:val="0"/>
          <w:sz w:val="24"/>
        </w:rPr>
        <w:t xml:space="preserve">, Neiman C, Ram E, </w:t>
      </w:r>
      <w:proofErr w:type="spellStart"/>
      <w:r w:rsidRPr="00C1642A">
        <w:rPr>
          <w:rFonts w:ascii="Book Antiqua" w:hAnsi="Book Antiqua" w:cs="宋体"/>
          <w:kern w:val="0"/>
          <w:sz w:val="24"/>
        </w:rPr>
        <w:t>Almog</w:t>
      </w:r>
      <w:proofErr w:type="spellEnd"/>
      <w:r w:rsidRPr="00C1642A">
        <w:rPr>
          <w:rFonts w:ascii="Book Antiqua" w:hAnsi="Book Antiqua" w:cs="宋体"/>
          <w:kern w:val="0"/>
          <w:sz w:val="24"/>
        </w:rPr>
        <w:t xml:space="preserve"> M, </w:t>
      </w:r>
      <w:proofErr w:type="spellStart"/>
      <w:r w:rsidRPr="00C1642A">
        <w:rPr>
          <w:rFonts w:ascii="Book Antiqua" w:hAnsi="Book Antiqua" w:cs="宋体"/>
          <w:kern w:val="0"/>
          <w:sz w:val="24"/>
        </w:rPr>
        <w:t>Gadiel</w:t>
      </w:r>
      <w:proofErr w:type="spellEnd"/>
      <w:r w:rsidRPr="00C1642A">
        <w:rPr>
          <w:rFonts w:ascii="Book Antiqua" w:hAnsi="Book Antiqua" w:cs="宋体"/>
          <w:kern w:val="0"/>
          <w:sz w:val="24"/>
        </w:rPr>
        <w:t xml:space="preserve"> I, </w:t>
      </w:r>
      <w:proofErr w:type="spellStart"/>
      <w:r w:rsidRPr="00C1642A">
        <w:rPr>
          <w:rFonts w:ascii="Book Antiqua" w:hAnsi="Book Antiqua" w:cs="宋体"/>
          <w:kern w:val="0"/>
          <w:sz w:val="24"/>
        </w:rPr>
        <w:t>Belenky</w:t>
      </w:r>
      <w:proofErr w:type="spellEnd"/>
      <w:r w:rsidRPr="00C1642A">
        <w:rPr>
          <w:rFonts w:ascii="Book Antiqua" w:hAnsi="Book Antiqua" w:cs="宋体"/>
          <w:kern w:val="0"/>
          <w:sz w:val="24"/>
        </w:rPr>
        <w:t xml:space="preserve"> A. Percutaneous trans-papillary elimination of common bile duct stones using an existing gallbladder drain for access. </w:t>
      </w:r>
      <w:proofErr w:type="spellStart"/>
      <w:r w:rsidRPr="00C1642A">
        <w:rPr>
          <w:rFonts w:ascii="Book Antiqua" w:hAnsi="Book Antiqua" w:cs="宋体"/>
          <w:i/>
          <w:iCs/>
          <w:kern w:val="0"/>
          <w:sz w:val="24"/>
        </w:rPr>
        <w:t>Isr</w:t>
      </w:r>
      <w:proofErr w:type="spellEnd"/>
      <w:r w:rsidRPr="00C1642A">
        <w:rPr>
          <w:rFonts w:ascii="Book Antiqua" w:hAnsi="Book Antiqua" w:cs="宋体"/>
          <w:i/>
          <w:iCs/>
          <w:kern w:val="0"/>
          <w:sz w:val="24"/>
        </w:rPr>
        <w:t xml:space="preserve"> Med </w:t>
      </w:r>
      <w:proofErr w:type="spellStart"/>
      <w:r w:rsidRPr="00C1642A">
        <w:rPr>
          <w:rFonts w:ascii="Book Antiqua" w:hAnsi="Book Antiqua" w:cs="宋体"/>
          <w:i/>
          <w:iCs/>
          <w:kern w:val="0"/>
          <w:sz w:val="24"/>
        </w:rPr>
        <w:t>Assoc</w:t>
      </w:r>
      <w:proofErr w:type="spellEnd"/>
      <w:r w:rsidRPr="00C1642A">
        <w:rPr>
          <w:rFonts w:ascii="Book Antiqua" w:hAnsi="Book Antiqua" w:cs="宋体"/>
          <w:i/>
          <w:iCs/>
          <w:kern w:val="0"/>
          <w:sz w:val="24"/>
        </w:rPr>
        <w:t xml:space="preserve"> J</w:t>
      </w:r>
      <w:r w:rsidRPr="00C1642A">
        <w:rPr>
          <w:rFonts w:ascii="Book Antiqua" w:hAnsi="Book Antiqua" w:cs="宋体"/>
          <w:kern w:val="0"/>
          <w:sz w:val="24"/>
        </w:rPr>
        <w:t> 2012; </w:t>
      </w:r>
      <w:r w:rsidRPr="00C1642A">
        <w:rPr>
          <w:rFonts w:ascii="Book Antiqua" w:hAnsi="Book Antiqua" w:cs="宋体"/>
          <w:b/>
          <w:bCs/>
          <w:kern w:val="0"/>
          <w:sz w:val="24"/>
        </w:rPr>
        <w:t>14</w:t>
      </w:r>
      <w:r w:rsidRPr="00C1642A">
        <w:rPr>
          <w:rFonts w:ascii="Book Antiqua" w:hAnsi="Book Antiqua" w:cs="宋体"/>
          <w:kern w:val="0"/>
          <w:sz w:val="24"/>
        </w:rPr>
        <w:t>: 354-358 [PMID: 22891395]</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13 </w:t>
      </w:r>
      <w:proofErr w:type="spellStart"/>
      <w:r w:rsidRPr="00C1642A">
        <w:rPr>
          <w:rFonts w:ascii="Book Antiqua" w:hAnsi="Book Antiqua" w:cs="宋体"/>
          <w:b/>
          <w:bCs/>
          <w:kern w:val="0"/>
          <w:sz w:val="24"/>
        </w:rPr>
        <w:t>Bignell</w:t>
      </w:r>
      <w:proofErr w:type="spellEnd"/>
      <w:r w:rsidRPr="00C1642A">
        <w:rPr>
          <w:rFonts w:ascii="Book Antiqua" w:hAnsi="Book Antiqua" w:cs="宋体"/>
          <w:b/>
          <w:bCs/>
          <w:kern w:val="0"/>
          <w:sz w:val="24"/>
        </w:rPr>
        <w:t xml:space="preserve"> M</w:t>
      </w:r>
      <w:r w:rsidRPr="00C1642A">
        <w:rPr>
          <w:rFonts w:ascii="Book Antiqua" w:hAnsi="Book Antiqua" w:cs="宋体"/>
          <w:kern w:val="0"/>
          <w:sz w:val="24"/>
        </w:rPr>
        <w:t xml:space="preserve">, Dearing M, </w:t>
      </w:r>
      <w:proofErr w:type="spellStart"/>
      <w:r w:rsidRPr="00C1642A">
        <w:rPr>
          <w:rFonts w:ascii="Book Antiqua" w:hAnsi="Book Antiqua" w:cs="宋体"/>
          <w:kern w:val="0"/>
          <w:sz w:val="24"/>
        </w:rPr>
        <w:t>Hindmarsh</w:t>
      </w:r>
      <w:proofErr w:type="spellEnd"/>
      <w:r w:rsidRPr="00C1642A">
        <w:rPr>
          <w:rFonts w:ascii="Book Antiqua" w:hAnsi="Book Antiqua" w:cs="宋体"/>
          <w:kern w:val="0"/>
          <w:sz w:val="24"/>
        </w:rPr>
        <w:t xml:space="preserve"> A, Rhodes M. ERCP and endoscopic </w:t>
      </w:r>
      <w:proofErr w:type="spellStart"/>
      <w:r w:rsidRPr="00C1642A">
        <w:rPr>
          <w:rFonts w:ascii="Book Antiqua" w:hAnsi="Book Antiqua" w:cs="宋体"/>
          <w:kern w:val="0"/>
          <w:sz w:val="24"/>
        </w:rPr>
        <w:t>sphincterotomy</w:t>
      </w:r>
      <w:proofErr w:type="spellEnd"/>
      <w:r w:rsidRPr="00C1642A">
        <w:rPr>
          <w:rFonts w:ascii="Book Antiqua" w:hAnsi="Book Antiqua" w:cs="宋体"/>
          <w:kern w:val="0"/>
          <w:sz w:val="24"/>
        </w:rPr>
        <w:t xml:space="preserve"> (ES): a safe and definitive management of gallstone pancreatitis with the gallbladder left in situ. </w:t>
      </w:r>
      <w:r w:rsidRPr="00C1642A">
        <w:rPr>
          <w:rFonts w:ascii="Book Antiqua" w:hAnsi="Book Antiqua" w:cs="宋体"/>
          <w:i/>
          <w:iCs/>
          <w:kern w:val="0"/>
          <w:sz w:val="24"/>
        </w:rPr>
        <w:t xml:space="preserve">J </w:t>
      </w:r>
      <w:proofErr w:type="spellStart"/>
      <w:r w:rsidRPr="00C1642A">
        <w:rPr>
          <w:rFonts w:ascii="Book Antiqua" w:hAnsi="Book Antiqua" w:cs="宋体"/>
          <w:i/>
          <w:iCs/>
          <w:kern w:val="0"/>
          <w:sz w:val="24"/>
        </w:rPr>
        <w:t>Gastrointest</w:t>
      </w:r>
      <w:proofErr w:type="spellEnd"/>
      <w:r w:rsidRPr="00C1642A">
        <w:rPr>
          <w:rFonts w:ascii="Book Antiqua" w:hAnsi="Book Antiqua" w:cs="宋体"/>
          <w:i/>
          <w:iCs/>
          <w:kern w:val="0"/>
          <w:sz w:val="24"/>
        </w:rPr>
        <w:t xml:space="preserve">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2011; </w:t>
      </w:r>
      <w:r w:rsidRPr="00C1642A">
        <w:rPr>
          <w:rFonts w:ascii="Book Antiqua" w:hAnsi="Book Antiqua" w:cs="宋体"/>
          <w:b/>
          <w:bCs/>
          <w:kern w:val="0"/>
          <w:sz w:val="24"/>
        </w:rPr>
        <w:t>15</w:t>
      </w:r>
      <w:r w:rsidRPr="00C1642A">
        <w:rPr>
          <w:rFonts w:ascii="Book Antiqua" w:hAnsi="Book Antiqua" w:cs="宋体"/>
          <w:kern w:val="0"/>
          <w:sz w:val="24"/>
        </w:rPr>
        <w:t>: 2205-2210 [PMID: 22005898 DOI: 10.1007/s11605-011-1729-x]</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14 </w:t>
      </w:r>
      <w:proofErr w:type="spellStart"/>
      <w:r w:rsidRPr="00C1642A">
        <w:rPr>
          <w:rFonts w:ascii="Book Antiqua" w:hAnsi="Book Antiqua" w:cs="宋体"/>
          <w:b/>
          <w:bCs/>
          <w:kern w:val="0"/>
          <w:sz w:val="24"/>
        </w:rPr>
        <w:t>Wojtun</w:t>
      </w:r>
      <w:proofErr w:type="spellEnd"/>
      <w:r w:rsidRPr="00C1642A">
        <w:rPr>
          <w:rFonts w:ascii="Book Antiqua" w:hAnsi="Book Antiqua" w:cs="宋体"/>
          <w:b/>
          <w:bCs/>
          <w:kern w:val="0"/>
          <w:sz w:val="24"/>
        </w:rPr>
        <w:t xml:space="preserve"> S</w:t>
      </w:r>
      <w:r w:rsidRPr="00C1642A">
        <w:rPr>
          <w:rFonts w:ascii="Book Antiqua" w:hAnsi="Book Antiqua" w:cs="宋体"/>
          <w:kern w:val="0"/>
          <w:sz w:val="24"/>
        </w:rPr>
        <w:t xml:space="preserve">, Gil J, </w:t>
      </w:r>
      <w:proofErr w:type="spellStart"/>
      <w:r w:rsidRPr="00C1642A">
        <w:rPr>
          <w:rFonts w:ascii="Book Antiqua" w:hAnsi="Book Antiqua" w:cs="宋体"/>
          <w:kern w:val="0"/>
          <w:sz w:val="24"/>
        </w:rPr>
        <w:t>Gietka</w:t>
      </w:r>
      <w:proofErr w:type="spellEnd"/>
      <w:r w:rsidRPr="00C1642A">
        <w:rPr>
          <w:rFonts w:ascii="Book Antiqua" w:hAnsi="Book Antiqua" w:cs="宋体"/>
          <w:kern w:val="0"/>
          <w:sz w:val="24"/>
        </w:rPr>
        <w:t xml:space="preserve"> W, </w:t>
      </w:r>
      <w:proofErr w:type="gramStart"/>
      <w:r w:rsidRPr="00C1642A">
        <w:rPr>
          <w:rFonts w:ascii="Book Antiqua" w:hAnsi="Book Antiqua" w:cs="宋体"/>
          <w:kern w:val="0"/>
          <w:sz w:val="24"/>
        </w:rPr>
        <w:t>Gil</w:t>
      </w:r>
      <w:proofErr w:type="gramEnd"/>
      <w:r w:rsidRPr="00C1642A">
        <w:rPr>
          <w:rFonts w:ascii="Book Antiqua" w:hAnsi="Book Antiqua" w:cs="宋体"/>
          <w:kern w:val="0"/>
          <w:sz w:val="24"/>
        </w:rPr>
        <w:t xml:space="preserve"> M. Endoscopic </w:t>
      </w:r>
      <w:proofErr w:type="spellStart"/>
      <w:r w:rsidRPr="00C1642A">
        <w:rPr>
          <w:rFonts w:ascii="Book Antiqua" w:hAnsi="Book Antiqua" w:cs="宋体"/>
          <w:kern w:val="0"/>
          <w:sz w:val="24"/>
        </w:rPr>
        <w:t>sphincterotomy</w:t>
      </w:r>
      <w:proofErr w:type="spellEnd"/>
      <w:r w:rsidRPr="00C1642A">
        <w:rPr>
          <w:rFonts w:ascii="Book Antiqua" w:hAnsi="Book Antiqua" w:cs="宋体"/>
          <w:kern w:val="0"/>
          <w:sz w:val="24"/>
        </w:rPr>
        <w:t xml:space="preserve"> for </w:t>
      </w:r>
      <w:proofErr w:type="spellStart"/>
      <w:r w:rsidRPr="00C1642A">
        <w:rPr>
          <w:rFonts w:ascii="Book Antiqua" w:hAnsi="Book Antiqua" w:cs="宋体"/>
          <w:kern w:val="0"/>
          <w:sz w:val="24"/>
        </w:rPr>
        <w:t>choledocholithiasis</w:t>
      </w:r>
      <w:proofErr w:type="spellEnd"/>
      <w:r w:rsidRPr="00C1642A">
        <w:rPr>
          <w:rFonts w:ascii="Book Antiqua" w:hAnsi="Book Antiqua" w:cs="宋体"/>
          <w:kern w:val="0"/>
          <w:sz w:val="24"/>
        </w:rPr>
        <w:t>: a prospective single-center study on the short-term and long-term treatment results in 483 patients. </w:t>
      </w:r>
      <w:r w:rsidRPr="00C1642A">
        <w:rPr>
          <w:rFonts w:ascii="Book Antiqua" w:hAnsi="Book Antiqua" w:cs="宋体"/>
          <w:i/>
          <w:iCs/>
          <w:kern w:val="0"/>
          <w:sz w:val="24"/>
        </w:rPr>
        <w:t>Endoscopy</w:t>
      </w:r>
      <w:r w:rsidRPr="00C1642A">
        <w:rPr>
          <w:rFonts w:ascii="Book Antiqua" w:hAnsi="Book Antiqua" w:cs="宋体"/>
          <w:kern w:val="0"/>
          <w:sz w:val="24"/>
        </w:rPr>
        <w:t> 1997; </w:t>
      </w:r>
      <w:r w:rsidRPr="00C1642A">
        <w:rPr>
          <w:rFonts w:ascii="Book Antiqua" w:hAnsi="Book Antiqua" w:cs="宋体"/>
          <w:b/>
          <w:bCs/>
          <w:kern w:val="0"/>
          <w:sz w:val="24"/>
        </w:rPr>
        <w:t>29</w:t>
      </w:r>
      <w:r w:rsidRPr="00C1642A">
        <w:rPr>
          <w:rFonts w:ascii="Book Antiqua" w:hAnsi="Book Antiqua" w:cs="宋体"/>
          <w:kern w:val="0"/>
          <w:sz w:val="24"/>
        </w:rPr>
        <w:t>: 258-265 [PMID: 9255528 DOI: 10.1055/s-2007-1004186]</w:t>
      </w:r>
    </w:p>
    <w:p w:rsidR="00BD0129" w:rsidRPr="00C1642A" w:rsidRDefault="00BD0129" w:rsidP="00BD0129">
      <w:pPr>
        <w:widowControl/>
        <w:spacing w:line="360" w:lineRule="auto"/>
        <w:rPr>
          <w:rFonts w:ascii="Book Antiqua" w:hAnsi="Book Antiqua" w:cs="宋体"/>
          <w:kern w:val="0"/>
          <w:sz w:val="24"/>
        </w:rPr>
      </w:pPr>
      <w:proofErr w:type="gramStart"/>
      <w:r w:rsidRPr="00C1642A">
        <w:rPr>
          <w:rFonts w:ascii="Book Antiqua" w:hAnsi="Book Antiqua" w:cs="宋体"/>
          <w:kern w:val="0"/>
          <w:sz w:val="24"/>
        </w:rPr>
        <w:t>15 </w:t>
      </w:r>
      <w:r w:rsidRPr="00C1642A">
        <w:rPr>
          <w:rFonts w:ascii="Book Antiqua" w:hAnsi="Book Antiqua" w:cs="宋体"/>
          <w:b/>
          <w:bCs/>
          <w:kern w:val="0"/>
          <w:sz w:val="24"/>
        </w:rPr>
        <w:t>Sugiyama M</w:t>
      </w:r>
      <w:r w:rsidRPr="00C1642A">
        <w:rPr>
          <w:rFonts w:ascii="Book Antiqua" w:hAnsi="Book Antiqua" w:cs="宋体"/>
          <w:kern w:val="0"/>
          <w:sz w:val="24"/>
        </w:rPr>
        <w:t xml:space="preserve">, </w:t>
      </w:r>
      <w:proofErr w:type="spellStart"/>
      <w:r w:rsidRPr="00C1642A">
        <w:rPr>
          <w:rFonts w:ascii="Book Antiqua" w:hAnsi="Book Antiqua" w:cs="宋体"/>
          <w:kern w:val="0"/>
          <w:sz w:val="24"/>
        </w:rPr>
        <w:t>Atomi</w:t>
      </w:r>
      <w:proofErr w:type="spellEnd"/>
      <w:r w:rsidRPr="00C1642A">
        <w:rPr>
          <w:rFonts w:ascii="Book Antiqua" w:hAnsi="Book Antiqua" w:cs="宋体"/>
          <w:kern w:val="0"/>
          <w:sz w:val="24"/>
        </w:rPr>
        <w:t xml:space="preserve"> Y. Follow-up of more than 10 years after endoscopic </w:t>
      </w:r>
      <w:proofErr w:type="spellStart"/>
      <w:r w:rsidRPr="00C1642A">
        <w:rPr>
          <w:rFonts w:ascii="Book Antiqua" w:hAnsi="Book Antiqua" w:cs="宋体"/>
          <w:kern w:val="0"/>
          <w:sz w:val="24"/>
        </w:rPr>
        <w:t>sphincterotomy</w:t>
      </w:r>
      <w:proofErr w:type="spellEnd"/>
      <w:r w:rsidRPr="00C1642A">
        <w:rPr>
          <w:rFonts w:ascii="Book Antiqua" w:hAnsi="Book Antiqua" w:cs="宋体"/>
          <w:kern w:val="0"/>
          <w:sz w:val="24"/>
        </w:rPr>
        <w:t xml:space="preserve"> for </w:t>
      </w:r>
      <w:proofErr w:type="spellStart"/>
      <w:r w:rsidRPr="00C1642A">
        <w:rPr>
          <w:rFonts w:ascii="Book Antiqua" w:hAnsi="Book Antiqua" w:cs="宋体"/>
          <w:kern w:val="0"/>
          <w:sz w:val="24"/>
        </w:rPr>
        <w:t>choledocholithiasis</w:t>
      </w:r>
      <w:proofErr w:type="spellEnd"/>
      <w:r w:rsidRPr="00C1642A">
        <w:rPr>
          <w:rFonts w:ascii="Book Antiqua" w:hAnsi="Book Antiqua" w:cs="宋体"/>
          <w:kern w:val="0"/>
          <w:sz w:val="24"/>
        </w:rPr>
        <w:t xml:space="preserve"> in young patients.</w:t>
      </w:r>
      <w:proofErr w:type="gramEnd"/>
      <w:r w:rsidRPr="00C1642A">
        <w:rPr>
          <w:rFonts w:ascii="Book Antiqua" w:hAnsi="Book Antiqua" w:cs="宋体"/>
          <w:kern w:val="0"/>
          <w:sz w:val="24"/>
        </w:rPr>
        <w:t> </w:t>
      </w:r>
      <w:r w:rsidRPr="00C1642A">
        <w:rPr>
          <w:rFonts w:ascii="Book Antiqua" w:hAnsi="Book Antiqua" w:cs="宋体"/>
          <w:i/>
          <w:iCs/>
          <w:kern w:val="0"/>
          <w:sz w:val="24"/>
        </w:rPr>
        <w:t xml:space="preserve">Br J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1998; </w:t>
      </w:r>
      <w:r w:rsidRPr="00C1642A">
        <w:rPr>
          <w:rFonts w:ascii="Book Antiqua" w:hAnsi="Book Antiqua" w:cs="宋体"/>
          <w:b/>
          <w:bCs/>
          <w:kern w:val="0"/>
          <w:sz w:val="24"/>
        </w:rPr>
        <w:t>85</w:t>
      </w:r>
      <w:r w:rsidRPr="00C1642A">
        <w:rPr>
          <w:rFonts w:ascii="Book Antiqua" w:hAnsi="Book Antiqua" w:cs="宋体"/>
          <w:kern w:val="0"/>
          <w:sz w:val="24"/>
        </w:rPr>
        <w:t>: 917-921 [PMID: 9692563 DOI: 10.1046/j.1365-2168.1998.00750.x]</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16 </w:t>
      </w:r>
      <w:proofErr w:type="spellStart"/>
      <w:r w:rsidRPr="00C1642A">
        <w:rPr>
          <w:rFonts w:ascii="Book Antiqua" w:hAnsi="Book Antiqua" w:cs="宋体"/>
          <w:b/>
          <w:bCs/>
          <w:kern w:val="0"/>
          <w:sz w:val="24"/>
        </w:rPr>
        <w:t>Costamagna</w:t>
      </w:r>
      <w:proofErr w:type="spellEnd"/>
      <w:r w:rsidRPr="00C1642A">
        <w:rPr>
          <w:rFonts w:ascii="Book Antiqua" w:hAnsi="Book Antiqua" w:cs="宋体"/>
          <w:b/>
          <w:bCs/>
          <w:kern w:val="0"/>
          <w:sz w:val="24"/>
        </w:rPr>
        <w:t xml:space="preserve"> G</w:t>
      </w:r>
      <w:r w:rsidRPr="00C1642A">
        <w:rPr>
          <w:rFonts w:ascii="Book Antiqua" w:hAnsi="Book Antiqua" w:cs="宋体"/>
          <w:kern w:val="0"/>
          <w:sz w:val="24"/>
        </w:rPr>
        <w:t xml:space="preserve">, </w:t>
      </w:r>
      <w:proofErr w:type="spellStart"/>
      <w:r w:rsidRPr="00C1642A">
        <w:rPr>
          <w:rFonts w:ascii="Book Antiqua" w:hAnsi="Book Antiqua" w:cs="宋体"/>
          <w:kern w:val="0"/>
          <w:sz w:val="24"/>
        </w:rPr>
        <w:t>Tringali</w:t>
      </w:r>
      <w:proofErr w:type="spellEnd"/>
      <w:r w:rsidRPr="00C1642A">
        <w:rPr>
          <w:rFonts w:ascii="Book Antiqua" w:hAnsi="Book Antiqua" w:cs="宋体"/>
          <w:kern w:val="0"/>
          <w:sz w:val="24"/>
        </w:rPr>
        <w:t xml:space="preserve"> A, Shah SK, </w:t>
      </w:r>
      <w:proofErr w:type="spellStart"/>
      <w:r w:rsidRPr="00C1642A">
        <w:rPr>
          <w:rFonts w:ascii="Book Antiqua" w:hAnsi="Book Antiqua" w:cs="宋体"/>
          <w:kern w:val="0"/>
          <w:sz w:val="24"/>
        </w:rPr>
        <w:t>Mutignani</w:t>
      </w:r>
      <w:proofErr w:type="spellEnd"/>
      <w:r w:rsidRPr="00C1642A">
        <w:rPr>
          <w:rFonts w:ascii="Book Antiqua" w:hAnsi="Book Antiqua" w:cs="宋体"/>
          <w:kern w:val="0"/>
          <w:sz w:val="24"/>
        </w:rPr>
        <w:t xml:space="preserve"> M, </w:t>
      </w:r>
      <w:proofErr w:type="spellStart"/>
      <w:r w:rsidRPr="00C1642A">
        <w:rPr>
          <w:rFonts w:ascii="Book Antiqua" w:hAnsi="Book Antiqua" w:cs="宋体"/>
          <w:kern w:val="0"/>
          <w:sz w:val="24"/>
        </w:rPr>
        <w:t>Zuccalà</w:t>
      </w:r>
      <w:proofErr w:type="spellEnd"/>
      <w:r w:rsidRPr="00C1642A">
        <w:rPr>
          <w:rFonts w:ascii="Book Antiqua" w:hAnsi="Book Antiqua" w:cs="宋体"/>
          <w:kern w:val="0"/>
          <w:sz w:val="24"/>
        </w:rPr>
        <w:t xml:space="preserve"> G, </w:t>
      </w:r>
      <w:proofErr w:type="spellStart"/>
      <w:r w:rsidRPr="00C1642A">
        <w:rPr>
          <w:rFonts w:ascii="Book Antiqua" w:hAnsi="Book Antiqua" w:cs="宋体"/>
          <w:kern w:val="0"/>
          <w:sz w:val="24"/>
        </w:rPr>
        <w:t>Perri</w:t>
      </w:r>
      <w:proofErr w:type="spellEnd"/>
      <w:r w:rsidRPr="00C1642A">
        <w:rPr>
          <w:rFonts w:ascii="Book Antiqua" w:hAnsi="Book Antiqua" w:cs="宋体"/>
          <w:kern w:val="0"/>
          <w:sz w:val="24"/>
        </w:rPr>
        <w:t xml:space="preserve"> V. Long-term follow-up of patients after endoscopic </w:t>
      </w:r>
      <w:proofErr w:type="spellStart"/>
      <w:r w:rsidRPr="00C1642A">
        <w:rPr>
          <w:rFonts w:ascii="Book Antiqua" w:hAnsi="Book Antiqua" w:cs="宋体"/>
          <w:kern w:val="0"/>
          <w:sz w:val="24"/>
        </w:rPr>
        <w:t>sphincterotomy</w:t>
      </w:r>
      <w:proofErr w:type="spellEnd"/>
      <w:r w:rsidRPr="00C1642A">
        <w:rPr>
          <w:rFonts w:ascii="Book Antiqua" w:hAnsi="Book Antiqua" w:cs="宋体"/>
          <w:kern w:val="0"/>
          <w:sz w:val="24"/>
        </w:rPr>
        <w:t xml:space="preserve"> for </w:t>
      </w:r>
      <w:proofErr w:type="spellStart"/>
      <w:r w:rsidRPr="00C1642A">
        <w:rPr>
          <w:rFonts w:ascii="Book Antiqua" w:hAnsi="Book Antiqua" w:cs="宋体"/>
          <w:kern w:val="0"/>
          <w:sz w:val="24"/>
        </w:rPr>
        <w:t>choledocholithiasis</w:t>
      </w:r>
      <w:proofErr w:type="spellEnd"/>
      <w:r w:rsidRPr="00C1642A">
        <w:rPr>
          <w:rFonts w:ascii="Book Antiqua" w:hAnsi="Book Antiqua" w:cs="宋体"/>
          <w:kern w:val="0"/>
          <w:sz w:val="24"/>
        </w:rPr>
        <w:t>, and risk factors for recurrence. </w:t>
      </w:r>
      <w:r w:rsidRPr="00C1642A">
        <w:rPr>
          <w:rFonts w:ascii="Book Antiqua" w:hAnsi="Book Antiqua" w:cs="宋体"/>
          <w:i/>
          <w:iCs/>
          <w:kern w:val="0"/>
          <w:sz w:val="24"/>
        </w:rPr>
        <w:t>Endoscopy</w:t>
      </w:r>
      <w:r w:rsidRPr="00C1642A">
        <w:rPr>
          <w:rFonts w:ascii="Book Antiqua" w:hAnsi="Book Antiqua" w:cs="宋体"/>
          <w:kern w:val="0"/>
          <w:sz w:val="24"/>
        </w:rPr>
        <w:t> 2002; </w:t>
      </w:r>
      <w:r w:rsidRPr="00C1642A">
        <w:rPr>
          <w:rFonts w:ascii="Book Antiqua" w:hAnsi="Book Antiqua" w:cs="宋体"/>
          <w:b/>
          <w:bCs/>
          <w:kern w:val="0"/>
          <w:sz w:val="24"/>
        </w:rPr>
        <w:t>34</w:t>
      </w:r>
      <w:r w:rsidRPr="00C1642A">
        <w:rPr>
          <w:rFonts w:ascii="Book Antiqua" w:hAnsi="Book Antiqua" w:cs="宋体"/>
          <w:kern w:val="0"/>
          <w:sz w:val="24"/>
        </w:rPr>
        <w:t>: 273-279 [PMID: 11932781 DOI: 10.1055/s-2002-23632]</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17 </w:t>
      </w:r>
      <w:r w:rsidRPr="00C1642A">
        <w:rPr>
          <w:rFonts w:ascii="Book Antiqua" w:hAnsi="Book Antiqua" w:cs="宋体"/>
          <w:b/>
          <w:bCs/>
          <w:kern w:val="0"/>
          <w:sz w:val="24"/>
        </w:rPr>
        <w:t>Hsueh LN</w:t>
      </w:r>
      <w:r w:rsidRPr="00C1642A">
        <w:rPr>
          <w:rFonts w:ascii="Book Antiqua" w:hAnsi="Book Antiqua" w:cs="宋体"/>
          <w:kern w:val="0"/>
          <w:sz w:val="24"/>
        </w:rPr>
        <w:t>, Shi HY, Wang TF, Chang CY, Lee KT. Health-related quality of life in patients undergoing cholecystectomy. </w:t>
      </w:r>
      <w:r w:rsidRPr="00C1642A">
        <w:rPr>
          <w:rFonts w:ascii="Book Antiqua" w:hAnsi="Book Antiqua" w:cs="宋体"/>
          <w:i/>
          <w:iCs/>
          <w:kern w:val="0"/>
          <w:sz w:val="24"/>
        </w:rPr>
        <w:t xml:space="preserve">Kaohsiung J Med </w:t>
      </w:r>
      <w:proofErr w:type="spellStart"/>
      <w:r w:rsidRPr="00C1642A">
        <w:rPr>
          <w:rFonts w:ascii="Book Antiqua" w:hAnsi="Book Antiqua" w:cs="宋体"/>
          <w:i/>
          <w:iCs/>
          <w:kern w:val="0"/>
          <w:sz w:val="24"/>
        </w:rPr>
        <w:t>Sci</w:t>
      </w:r>
      <w:proofErr w:type="spellEnd"/>
      <w:r w:rsidRPr="00C1642A">
        <w:rPr>
          <w:rFonts w:ascii="Book Antiqua" w:hAnsi="Book Antiqua" w:cs="宋体"/>
          <w:kern w:val="0"/>
          <w:sz w:val="24"/>
        </w:rPr>
        <w:t> 2011; </w:t>
      </w:r>
      <w:r w:rsidRPr="00C1642A">
        <w:rPr>
          <w:rFonts w:ascii="Book Antiqua" w:hAnsi="Book Antiqua" w:cs="宋体"/>
          <w:b/>
          <w:bCs/>
          <w:kern w:val="0"/>
          <w:sz w:val="24"/>
        </w:rPr>
        <w:t>27</w:t>
      </w:r>
      <w:r w:rsidRPr="00C1642A">
        <w:rPr>
          <w:rFonts w:ascii="Book Antiqua" w:hAnsi="Book Antiqua" w:cs="宋体"/>
          <w:kern w:val="0"/>
          <w:sz w:val="24"/>
        </w:rPr>
        <w:t>: 280-288 [PMID: 21757146 DOI: 10.1016/j.kjms.2011.03.002]</w:t>
      </w:r>
    </w:p>
    <w:p w:rsidR="00BD0129" w:rsidRPr="00C1642A" w:rsidRDefault="00BD0129" w:rsidP="00BD0129">
      <w:pPr>
        <w:widowControl/>
        <w:spacing w:line="360" w:lineRule="auto"/>
        <w:rPr>
          <w:rFonts w:ascii="Book Antiqua" w:hAnsi="Book Antiqua" w:cs="宋体"/>
          <w:kern w:val="0"/>
          <w:sz w:val="24"/>
        </w:rPr>
      </w:pPr>
      <w:proofErr w:type="gramStart"/>
      <w:r w:rsidRPr="00C1642A">
        <w:rPr>
          <w:rFonts w:ascii="Book Antiqua" w:hAnsi="Book Antiqua" w:cs="宋体"/>
          <w:kern w:val="0"/>
          <w:sz w:val="24"/>
        </w:rPr>
        <w:lastRenderedPageBreak/>
        <w:t>18 </w:t>
      </w:r>
      <w:proofErr w:type="spellStart"/>
      <w:r w:rsidRPr="00C1642A">
        <w:rPr>
          <w:rFonts w:ascii="Book Antiqua" w:hAnsi="Book Antiqua" w:cs="宋体"/>
          <w:b/>
          <w:bCs/>
          <w:kern w:val="0"/>
          <w:sz w:val="24"/>
        </w:rPr>
        <w:t>Poulose</w:t>
      </w:r>
      <w:proofErr w:type="spellEnd"/>
      <w:r w:rsidRPr="00C1642A">
        <w:rPr>
          <w:rFonts w:ascii="Book Antiqua" w:hAnsi="Book Antiqua" w:cs="宋体"/>
          <w:b/>
          <w:bCs/>
          <w:kern w:val="0"/>
          <w:sz w:val="24"/>
        </w:rPr>
        <w:t xml:space="preserve"> BK</w:t>
      </w:r>
      <w:r w:rsidRPr="00C1642A">
        <w:rPr>
          <w:rFonts w:ascii="Book Antiqua" w:hAnsi="Book Antiqua" w:cs="宋体"/>
          <w:kern w:val="0"/>
          <w:sz w:val="24"/>
        </w:rPr>
        <w:t xml:space="preserve">, </w:t>
      </w:r>
      <w:proofErr w:type="spellStart"/>
      <w:r w:rsidRPr="00C1642A">
        <w:rPr>
          <w:rFonts w:ascii="Book Antiqua" w:hAnsi="Book Antiqua" w:cs="宋体"/>
          <w:kern w:val="0"/>
          <w:sz w:val="24"/>
        </w:rPr>
        <w:t>Speroff</w:t>
      </w:r>
      <w:proofErr w:type="spellEnd"/>
      <w:r w:rsidRPr="00C1642A">
        <w:rPr>
          <w:rFonts w:ascii="Book Antiqua" w:hAnsi="Book Antiqua" w:cs="宋体"/>
          <w:kern w:val="0"/>
          <w:sz w:val="24"/>
        </w:rPr>
        <w:t xml:space="preserve"> T, </w:t>
      </w:r>
      <w:proofErr w:type="spellStart"/>
      <w:r w:rsidRPr="00C1642A">
        <w:rPr>
          <w:rFonts w:ascii="Book Antiqua" w:hAnsi="Book Antiqua" w:cs="宋体"/>
          <w:kern w:val="0"/>
          <w:sz w:val="24"/>
        </w:rPr>
        <w:t>Holzman</w:t>
      </w:r>
      <w:proofErr w:type="spellEnd"/>
      <w:r w:rsidRPr="00C1642A">
        <w:rPr>
          <w:rFonts w:ascii="Book Antiqua" w:hAnsi="Book Antiqua" w:cs="宋体"/>
          <w:kern w:val="0"/>
          <w:sz w:val="24"/>
        </w:rPr>
        <w:t xml:space="preserve"> MD.</w:t>
      </w:r>
      <w:proofErr w:type="gramEnd"/>
      <w:r w:rsidRPr="00C1642A">
        <w:rPr>
          <w:rFonts w:ascii="Book Antiqua" w:hAnsi="Book Antiqua" w:cs="宋体"/>
          <w:kern w:val="0"/>
          <w:sz w:val="24"/>
        </w:rPr>
        <w:t xml:space="preserve"> </w:t>
      </w:r>
      <w:proofErr w:type="gramStart"/>
      <w:r w:rsidRPr="00C1642A">
        <w:rPr>
          <w:rFonts w:ascii="Book Antiqua" w:hAnsi="Book Antiqua" w:cs="宋体"/>
          <w:kern w:val="0"/>
          <w:sz w:val="24"/>
        </w:rPr>
        <w:t xml:space="preserve">Optimizing </w:t>
      </w:r>
      <w:proofErr w:type="spellStart"/>
      <w:r w:rsidRPr="00C1642A">
        <w:rPr>
          <w:rFonts w:ascii="Book Antiqua" w:hAnsi="Book Antiqua" w:cs="宋体"/>
          <w:kern w:val="0"/>
          <w:sz w:val="24"/>
        </w:rPr>
        <w:t>choledocholithiasis</w:t>
      </w:r>
      <w:proofErr w:type="spellEnd"/>
      <w:r w:rsidRPr="00C1642A">
        <w:rPr>
          <w:rFonts w:ascii="Book Antiqua" w:hAnsi="Book Antiqua" w:cs="宋体"/>
          <w:kern w:val="0"/>
          <w:sz w:val="24"/>
        </w:rPr>
        <w:t xml:space="preserve"> management: a cost-effectiveness analysis.</w:t>
      </w:r>
      <w:proofErr w:type="gramEnd"/>
      <w:r w:rsidRPr="00C1642A">
        <w:rPr>
          <w:rFonts w:ascii="Book Antiqua" w:hAnsi="Book Antiqua" w:cs="宋体"/>
          <w:kern w:val="0"/>
          <w:sz w:val="24"/>
        </w:rPr>
        <w:t> </w:t>
      </w:r>
      <w:r w:rsidRPr="00C1642A">
        <w:rPr>
          <w:rFonts w:ascii="Book Antiqua" w:hAnsi="Book Antiqua" w:cs="宋体"/>
          <w:i/>
          <w:iCs/>
          <w:kern w:val="0"/>
          <w:sz w:val="24"/>
        </w:rPr>
        <w:t xml:space="preserve">Arch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2007; </w:t>
      </w:r>
      <w:r w:rsidRPr="00C1642A">
        <w:rPr>
          <w:rFonts w:ascii="Book Antiqua" w:hAnsi="Book Antiqua" w:cs="宋体"/>
          <w:b/>
          <w:bCs/>
          <w:kern w:val="0"/>
          <w:sz w:val="24"/>
        </w:rPr>
        <w:t>142</w:t>
      </w:r>
      <w:r w:rsidRPr="00C1642A">
        <w:rPr>
          <w:rFonts w:ascii="Book Antiqua" w:hAnsi="Book Antiqua" w:cs="宋体"/>
          <w:kern w:val="0"/>
          <w:sz w:val="24"/>
        </w:rPr>
        <w:t>: 43-8; discussion 49 [PMID: 17224499 DOI: 10.1001/archsurg.142.1.43]</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19 </w:t>
      </w:r>
      <w:r w:rsidRPr="00C1642A">
        <w:rPr>
          <w:rFonts w:ascii="Book Antiqua" w:hAnsi="Book Antiqua" w:cs="宋体"/>
          <w:b/>
          <w:bCs/>
          <w:kern w:val="0"/>
          <w:sz w:val="24"/>
        </w:rPr>
        <w:t>Rogers SJ</w:t>
      </w:r>
      <w:r w:rsidRPr="00C1642A">
        <w:rPr>
          <w:rFonts w:ascii="Book Antiqua" w:hAnsi="Book Antiqua" w:cs="宋体"/>
          <w:kern w:val="0"/>
          <w:sz w:val="24"/>
        </w:rPr>
        <w:t xml:space="preserve">, Cello JP, Horn JK, </w:t>
      </w:r>
      <w:proofErr w:type="spellStart"/>
      <w:r w:rsidRPr="00C1642A">
        <w:rPr>
          <w:rFonts w:ascii="Book Antiqua" w:hAnsi="Book Antiqua" w:cs="宋体"/>
          <w:kern w:val="0"/>
          <w:sz w:val="24"/>
        </w:rPr>
        <w:t>Siperstein</w:t>
      </w:r>
      <w:proofErr w:type="spellEnd"/>
      <w:r w:rsidRPr="00C1642A">
        <w:rPr>
          <w:rFonts w:ascii="Book Antiqua" w:hAnsi="Book Antiqua" w:cs="宋体"/>
          <w:kern w:val="0"/>
          <w:sz w:val="24"/>
        </w:rPr>
        <w:t xml:space="preserve"> AE, </w:t>
      </w:r>
      <w:proofErr w:type="spellStart"/>
      <w:r w:rsidRPr="00C1642A">
        <w:rPr>
          <w:rFonts w:ascii="Book Antiqua" w:hAnsi="Book Antiqua" w:cs="宋体"/>
          <w:kern w:val="0"/>
          <w:sz w:val="24"/>
        </w:rPr>
        <w:t>Schecter</w:t>
      </w:r>
      <w:proofErr w:type="spellEnd"/>
      <w:r w:rsidRPr="00C1642A">
        <w:rPr>
          <w:rFonts w:ascii="Book Antiqua" w:hAnsi="Book Antiqua" w:cs="宋体"/>
          <w:kern w:val="0"/>
          <w:sz w:val="24"/>
        </w:rPr>
        <w:t xml:space="preserve"> WP, Campbell AR, </w:t>
      </w:r>
      <w:proofErr w:type="spellStart"/>
      <w:r w:rsidRPr="00C1642A">
        <w:rPr>
          <w:rFonts w:ascii="Book Antiqua" w:hAnsi="Book Antiqua" w:cs="宋体"/>
          <w:kern w:val="0"/>
          <w:sz w:val="24"/>
        </w:rPr>
        <w:t>Mackersie</w:t>
      </w:r>
      <w:proofErr w:type="spellEnd"/>
      <w:r w:rsidRPr="00C1642A">
        <w:rPr>
          <w:rFonts w:ascii="Book Antiqua" w:hAnsi="Book Antiqua" w:cs="宋体"/>
          <w:kern w:val="0"/>
          <w:sz w:val="24"/>
        </w:rPr>
        <w:t xml:space="preserve"> RC, </w:t>
      </w:r>
      <w:proofErr w:type="spellStart"/>
      <w:r w:rsidRPr="00C1642A">
        <w:rPr>
          <w:rFonts w:ascii="Book Antiqua" w:hAnsi="Book Antiqua" w:cs="宋体"/>
          <w:kern w:val="0"/>
          <w:sz w:val="24"/>
        </w:rPr>
        <w:t>Rodas</w:t>
      </w:r>
      <w:proofErr w:type="spellEnd"/>
      <w:r w:rsidRPr="00C1642A">
        <w:rPr>
          <w:rFonts w:ascii="Book Antiqua" w:hAnsi="Book Antiqua" w:cs="宋体"/>
          <w:kern w:val="0"/>
          <w:sz w:val="24"/>
        </w:rPr>
        <w:t xml:space="preserve"> A, </w:t>
      </w:r>
      <w:proofErr w:type="spellStart"/>
      <w:r w:rsidRPr="00C1642A">
        <w:rPr>
          <w:rFonts w:ascii="Book Antiqua" w:hAnsi="Book Antiqua" w:cs="宋体"/>
          <w:kern w:val="0"/>
          <w:sz w:val="24"/>
        </w:rPr>
        <w:t>Kreuwel</w:t>
      </w:r>
      <w:proofErr w:type="spellEnd"/>
      <w:r w:rsidRPr="00C1642A">
        <w:rPr>
          <w:rFonts w:ascii="Book Antiqua" w:hAnsi="Book Antiqua" w:cs="宋体"/>
          <w:kern w:val="0"/>
          <w:sz w:val="24"/>
        </w:rPr>
        <w:t xml:space="preserve"> HT, Harris HW. Prospective randomized trial of LC+LCBDE vs ERCP/S+LC for common bile duct stone disease. </w:t>
      </w:r>
      <w:r w:rsidRPr="00C1642A">
        <w:rPr>
          <w:rFonts w:ascii="Book Antiqua" w:hAnsi="Book Antiqua" w:cs="宋体"/>
          <w:i/>
          <w:iCs/>
          <w:kern w:val="0"/>
          <w:sz w:val="24"/>
        </w:rPr>
        <w:t xml:space="preserve">Arch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2010; </w:t>
      </w:r>
      <w:r w:rsidRPr="00C1642A">
        <w:rPr>
          <w:rFonts w:ascii="Book Antiqua" w:hAnsi="Book Antiqua" w:cs="宋体"/>
          <w:b/>
          <w:bCs/>
          <w:kern w:val="0"/>
          <w:sz w:val="24"/>
        </w:rPr>
        <w:t>145</w:t>
      </w:r>
      <w:r w:rsidRPr="00C1642A">
        <w:rPr>
          <w:rFonts w:ascii="Book Antiqua" w:hAnsi="Book Antiqua" w:cs="宋体"/>
          <w:kern w:val="0"/>
          <w:sz w:val="24"/>
        </w:rPr>
        <w:t>: 28-33 [PMID: 20083751 DOI: 10.1001/archsurg.2009.226]</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20 </w:t>
      </w:r>
      <w:r w:rsidRPr="00C1642A">
        <w:rPr>
          <w:rFonts w:ascii="Book Antiqua" w:hAnsi="Book Antiqua" w:cs="宋体"/>
          <w:b/>
          <w:bCs/>
          <w:kern w:val="0"/>
          <w:sz w:val="24"/>
        </w:rPr>
        <w:t>Leung D</w:t>
      </w:r>
      <w:r w:rsidRPr="00C1642A">
        <w:rPr>
          <w:rFonts w:ascii="Book Antiqua" w:hAnsi="Book Antiqua" w:cs="宋体"/>
          <w:kern w:val="0"/>
          <w:sz w:val="24"/>
        </w:rPr>
        <w:t xml:space="preserve">, </w:t>
      </w:r>
      <w:proofErr w:type="spellStart"/>
      <w:r w:rsidRPr="00C1642A">
        <w:rPr>
          <w:rFonts w:ascii="Book Antiqua" w:hAnsi="Book Antiqua" w:cs="宋体"/>
          <w:kern w:val="0"/>
          <w:sz w:val="24"/>
        </w:rPr>
        <w:t>Yetasook</w:t>
      </w:r>
      <w:proofErr w:type="spellEnd"/>
      <w:r w:rsidRPr="00C1642A">
        <w:rPr>
          <w:rFonts w:ascii="Book Antiqua" w:hAnsi="Book Antiqua" w:cs="宋体"/>
          <w:kern w:val="0"/>
          <w:sz w:val="24"/>
        </w:rPr>
        <w:t xml:space="preserve"> AK, </w:t>
      </w:r>
      <w:proofErr w:type="spellStart"/>
      <w:r w:rsidRPr="00C1642A">
        <w:rPr>
          <w:rFonts w:ascii="Book Antiqua" w:hAnsi="Book Antiqua" w:cs="宋体"/>
          <w:kern w:val="0"/>
          <w:sz w:val="24"/>
        </w:rPr>
        <w:t>Carbray</w:t>
      </w:r>
      <w:proofErr w:type="spellEnd"/>
      <w:r w:rsidRPr="00C1642A">
        <w:rPr>
          <w:rFonts w:ascii="Book Antiqua" w:hAnsi="Book Antiqua" w:cs="宋体"/>
          <w:kern w:val="0"/>
          <w:sz w:val="24"/>
        </w:rPr>
        <w:t xml:space="preserve"> J, Butt Z, </w:t>
      </w:r>
      <w:proofErr w:type="spellStart"/>
      <w:r w:rsidRPr="00C1642A">
        <w:rPr>
          <w:rFonts w:ascii="Book Antiqua" w:hAnsi="Book Antiqua" w:cs="宋体"/>
          <w:kern w:val="0"/>
          <w:sz w:val="24"/>
        </w:rPr>
        <w:t>Hoeger</w:t>
      </w:r>
      <w:proofErr w:type="spellEnd"/>
      <w:r w:rsidRPr="00C1642A">
        <w:rPr>
          <w:rFonts w:ascii="Book Antiqua" w:hAnsi="Book Antiqua" w:cs="宋体"/>
          <w:kern w:val="0"/>
          <w:sz w:val="24"/>
        </w:rPr>
        <w:t xml:space="preserve"> Y, Denham W, Barrera E, </w:t>
      </w:r>
      <w:proofErr w:type="spellStart"/>
      <w:r w:rsidRPr="00C1642A">
        <w:rPr>
          <w:rFonts w:ascii="Book Antiqua" w:hAnsi="Book Antiqua" w:cs="宋体"/>
          <w:kern w:val="0"/>
          <w:sz w:val="24"/>
        </w:rPr>
        <w:t>Ujiki</w:t>
      </w:r>
      <w:proofErr w:type="spellEnd"/>
      <w:r w:rsidRPr="00C1642A">
        <w:rPr>
          <w:rFonts w:ascii="Book Antiqua" w:hAnsi="Book Antiqua" w:cs="宋体"/>
          <w:kern w:val="0"/>
          <w:sz w:val="24"/>
        </w:rPr>
        <w:t xml:space="preserve"> MB. Single-incision surgery has higher cost with equivalent pain and quality-of-life scores compared with multiple-incision laparoscopic cholecystectomy: a prospective randomized blinded comparison. </w:t>
      </w:r>
      <w:r w:rsidRPr="00C1642A">
        <w:rPr>
          <w:rFonts w:ascii="Book Antiqua" w:hAnsi="Book Antiqua" w:cs="宋体"/>
          <w:i/>
          <w:iCs/>
          <w:kern w:val="0"/>
          <w:sz w:val="24"/>
        </w:rPr>
        <w:t xml:space="preserve">J Am </w:t>
      </w:r>
      <w:proofErr w:type="spellStart"/>
      <w:r w:rsidRPr="00C1642A">
        <w:rPr>
          <w:rFonts w:ascii="Book Antiqua" w:hAnsi="Book Antiqua" w:cs="宋体"/>
          <w:i/>
          <w:iCs/>
          <w:kern w:val="0"/>
          <w:sz w:val="24"/>
        </w:rPr>
        <w:t>Coll</w:t>
      </w:r>
      <w:proofErr w:type="spellEnd"/>
      <w:r w:rsidRPr="00C1642A">
        <w:rPr>
          <w:rFonts w:ascii="Book Antiqua" w:hAnsi="Book Antiqua" w:cs="宋体"/>
          <w:i/>
          <w:iCs/>
          <w:kern w:val="0"/>
          <w:sz w:val="24"/>
        </w:rPr>
        <w:t xml:space="preserve">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2012; </w:t>
      </w:r>
      <w:r w:rsidRPr="00C1642A">
        <w:rPr>
          <w:rFonts w:ascii="Book Antiqua" w:hAnsi="Book Antiqua" w:cs="宋体"/>
          <w:b/>
          <w:bCs/>
          <w:kern w:val="0"/>
          <w:sz w:val="24"/>
        </w:rPr>
        <w:t>215</w:t>
      </w:r>
      <w:r w:rsidRPr="00C1642A">
        <w:rPr>
          <w:rFonts w:ascii="Book Antiqua" w:hAnsi="Book Antiqua" w:cs="宋体"/>
          <w:kern w:val="0"/>
          <w:sz w:val="24"/>
        </w:rPr>
        <w:t>: 702-708 [PMID: 22819642 DOI: 10.1016/j.jamcollsurg.2012.05.038]</w:t>
      </w:r>
    </w:p>
    <w:p w:rsidR="00BD0129" w:rsidRPr="00C1642A"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21 </w:t>
      </w:r>
      <w:r w:rsidRPr="00C1642A">
        <w:rPr>
          <w:rFonts w:ascii="Book Antiqua" w:hAnsi="Book Antiqua" w:cs="宋体"/>
          <w:b/>
          <w:bCs/>
          <w:kern w:val="0"/>
          <w:sz w:val="24"/>
        </w:rPr>
        <w:t>Xin Y</w:t>
      </w:r>
      <w:r w:rsidRPr="00C1642A">
        <w:rPr>
          <w:rFonts w:ascii="Book Antiqua" w:hAnsi="Book Antiqua" w:cs="宋体"/>
          <w:kern w:val="0"/>
          <w:sz w:val="24"/>
        </w:rPr>
        <w:t xml:space="preserve">, Zhu X, Wei Q, </w:t>
      </w:r>
      <w:proofErr w:type="spellStart"/>
      <w:r w:rsidRPr="00C1642A">
        <w:rPr>
          <w:rFonts w:ascii="Book Antiqua" w:hAnsi="Book Antiqua" w:cs="宋体"/>
          <w:kern w:val="0"/>
          <w:sz w:val="24"/>
        </w:rPr>
        <w:t>Cai</w:t>
      </w:r>
      <w:proofErr w:type="spellEnd"/>
      <w:r w:rsidRPr="00C1642A">
        <w:rPr>
          <w:rFonts w:ascii="Book Antiqua" w:hAnsi="Book Antiqua" w:cs="宋体"/>
          <w:kern w:val="0"/>
          <w:sz w:val="24"/>
        </w:rPr>
        <w:t xml:space="preserve"> X, Wang X, Huang D. Comparison of quality of life between two biliary drainage procedures in laparoscopic common bile duct exploration. </w:t>
      </w:r>
      <w:proofErr w:type="spellStart"/>
      <w:r w:rsidRPr="00C1642A">
        <w:rPr>
          <w:rFonts w:ascii="Book Antiqua" w:hAnsi="Book Antiqua" w:cs="宋体"/>
          <w:i/>
          <w:iCs/>
          <w:kern w:val="0"/>
          <w:sz w:val="24"/>
        </w:rPr>
        <w:t>Hepatogastroenterology</w:t>
      </w:r>
      <w:proofErr w:type="spellEnd"/>
      <w:r w:rsidRPr="00C1642A">
        <w:rPr>
          <w:rFonts w:ascii="Book Antiqua" w:hAnsi="Book Antiqua" w:cs="宋体"/>
          <w:kern w:val="0"/>
          <w:sz w:val="24"/>
        </w:rPr>
        <w:t> 2007; </w:t>
      </w:r>
      <w:r w:rsidRPr="00C1642A">
        <w:rPr>
          <w:rFonts w:ascii="Book Antiqua" w:hAnsi="Book Antiqua" w:cs="宋体"/>
          <w:b/>
          <w:bCs/>
          <w:kern w:val="0"/>
          <w:sz w:val="24"/>
        </w:rPr>
        <w:t>54</w:t>
      </w:r>
      <w:r w:rsidRPr="00C1642A">
        <w:rPr>
          <w:rFonts w:ascii="Book Antiqua" w:hAnsi="Book Antiqua" w:cs="宋体"/>
          <w:kern w:val="0"/>
          <w:sz w:val="24"/>
        </w:rPr>
        <w:t>: 331-333 [PMID: 17523268]</w:t>
      </w:r>
    </w:p>
    <w:p w:rsidR="00BD0129" w:rsidRDefault="00BD0129" w:rsidP="00BD0129">
      <w:pPr>
        <w:widowControl/>
        <w:spacing w:line="360" w:lineRule="auto"/>
        <w:rPr>
          <w:rFonts w:ascii="Book Antiqua" w:hAnsi="Book Antiqua" w:cs="宋体"/>
          <w:kern w:val="0"/>
          <w:sz w:val="24"/>
        </w:rPr>
      </w:pPr>
      <w:r w:rsidRPr="00C1642A">
        <w:rPr>
          <w:rFonts w:ascii="Book Antiqua" w:hAnsi="Book Antiqua" w:cs="宋体"/>
          <w:kern w:val="0"/>
          <w:sz w:val="24"/>
        </w:rPr>
        <w:t>22 </w:t>
      </w:r>
      <w:r w:rsidRPr="00C1642A">
        <w:rPr>
          <w:rFonts w:ascii="Book Antiqua" w:hAnsi="Book Antiqua" w:cs="宋体"/>
          <w:b/>
          <w:bCs/>
          <w:kern w:val="0"/>
          <w:sz w:val="24"/>
        </w:rPr>
        <w:t>Lien HH</w:t>
      </w:r>
      <w:r w:rsidRPr="00C1642A">
        <w:rPr>
          <w:rFonts w:ascii="Book Antiqua" w:hAnsi="Book Antiqua" w:cs="宋体"/>
          <w:kern w:val="0"/>
          <w:sz w:val="24"/>
        </w:rPr>
        <w:t>, Huang CC, Wang PC, Chen YH, Huang CS, Lin TL, Tsai MC. Validation assessment of the Chinese (Taiwan) version of the Gastrointestinal Quality of Life Index for patients with symptomatic gallstone disease. </w:t>
      </w:r>
      <w:r w:rsidRPr="00C1642A">
        <w:rPr>
          <w:rFonts w:ascii="Book Antiqua" w:hAnsi="Book Antiqua" w:cs="宋体"/>
          <w:i/>
          <w:iCs/>
          <w:kern w:val="0"/>
          <w:sz w:val="24"/>
        </w:rPr>
        <w:t xml:space="preserve">J </w:t>
      </w:r>
      <w:proofErr w:type="spellStart"/>
      <w:r w:rsidRPr="00C1642A">
        <w:rPr>
          <w:rFonts w:ascii="Book Antiqua" w:hAnsi="Book Antiqua" w:cs="宋体"/>
          <w:i/>
          <w:iCs/>
          <w:kern w:val="0"/>
          <w:sz w:val="24"/>
        </w:rPr>
        <w:t>Laparoendosc</w:t>
      </w:r>
      <w:proofErr w:type="spellEnd"/>
      <w:r w:rsidRPr="00C1642A">
        <w:rPr>
          <w:rFonts w:ascii="Book Antiqua" w:hAnsi="Book Antiqua" w:cs="宋体"/>
          <w:i/>
          <w:iCs/>
          <w:kern w:val="0"/>
          <w:sz w:val="24"/>
        </w:rPr>
        <w:t xml:space="preserve"> </w:t>
      </w:r>
      <w:proofErr w:type="spellStart"/>
      <w:r w:rsidRPr="00C1642A">
        <w:rPr>
          <w:rFonts w:ascii="Book Antiqua" w:hAnsi="Book Antiqua" w:cs="宋体"/>
          <w:i/>
          <w:iCs/>
          <w:kern w:val="0"/>
          <w:sz w:val="24"/>
        </w:rPr>
        <w:t>Adv</w:t>
      </w:r>
      <w:proofErr w:type="spellEnd"/>
      <w:r w:rsidRPr="00C1642A">
        <w:rPr>
          <w:rFonts w:ascii="Book Antiqua" w:hAnsi="Book Antiqua" w:cs="宋体"/>
          <w:i/>
          <w:iCs/>
          <w:kern w:val="0"/>
          <w:sz w:val="24"/>
        </w:rPr>
        <w:t xml:space="preserve"> </w:t>
      </w:r>
      <w:proofErr w:type="spellStart"/>
      <w:r w:rsidRPr="00C1642A">
        <w:rPr>
          <w:rFonts w:ascii="Book Antiqua" w:hAnsi="Book Antiqua" w:cs="宋体"/>
          <w:i/>
          <w:iCs/>
          <w:kern w:val="0"/>
          <w:sz w:val="24"/>
        </w:rPr>
        <w:t>Surg</w:t>
      </w:r>
      <w:proofErr w:type="spellEnd"/>
      <w:r w:rsidRPr="00C1642A">
        <w:rPr>
          <w:rFonts w:ascii="Book Antiqua" w:hAnsi="Book Antiqua" w:cs="宋体"/>
          <w:i/>
          <w:iCs/>
          <w:kern w:val="0"/>
          <w:sz w:val="24"/>
        </w:rPr>
        <w:t xml:space="preserve"> Tech </w:t>
      </w:r>
      <w:proofErr w:type="gramStart"/>
      <w:r w:rsidRPr="00C1642A">
        <w:rPr>
          <w:rFonts w:ascii="Book Antiqua" w:hAnsi="Book Antiqua" w:cs="宋体"/>
          <w:i/>
          <w:iCs/>
          <w:kern w:val="0"/>
          <w:sz w:val="24"/>
        </w:rPr>
        <w:t>A</w:t>
      </w:r>
      <w:proofErr w:type="gramEnd"/>
      <w:r w:rsidRPr="00C1642A">
        <w:rPr>
          <w:rFonts w:ascii="Book Antiqua" w:hAnsi="Book Antiqua" w:cs="宋体"/>
          <w:kern w:val="0"/>
          <w:sz w:val="24"/>
        </w:rPr>
        <w:t> 2007; </w:t>
      </w:r>
      <w:r w:rsidRPr="00C1642A">
        <w:rPr>
          <w:rFonts w:ascii="Book Antiqua" w:hAnsi="Book Antiqua" w:cs="宋体"/>
          <w:b/>
          <w:bCs/>
          <w:kern w:val="0"/>
          <w:sz w:val="24"/>
        </w:rPr>
        <w:t>17</w:t>
      </w:r>
      <w:r w:rsidRPr="00C1642A">
        <w:rPr>
          <w:rFonts w:ascii="Book Antiqua" w:hAnsi="Book Antiqua" w:cs="宋体"/>
          <w:kern w:val="0"/>
          <w:sz w:val="24"/>
        </w:rPr>
        <w:t>: 429-434 [PMID: 17705721 DOI: 10.1089/lap.2006.0141]</w:t>
      </w:r>
    </w:p>
    <w:p w:rsidR="00BD0129" w:rsidRPr="00C1642A" w:rsidRDefault="00BD0129" w:rsidP="00BD0129">
      <w:pPr>
        <w:widowControl/>
        <w:spacing w:line="360" w:lineRule="auto"/>
        <w:rPr>
          <w:rFonts w:ascii="Book Antiqua" w:hAnsi="Book Antiqua" w:cs="宋体"/>
          <w:kern w:val="0"/>
          <w:sz w:val="24"/>
        </w:rPr>
      </w:pPr>
      <w:r>
        <w:rPr>
          <w:rFonts w:ascii="Book Antiqua" w:hAnsi="Book Antiqua" w:cs="宋体" w:hint="eastAsia"/>
          <w:kern w:val="0"/>
          <w:sz w:val="24"/>
        </w:rPr>
        <w:t>23</w:t>
      </w:r>
      <w:r w:rsidRPr="00C1642A">
        <w:rPr>
          <w:rFonts w:ascii="Book Antiqua" w:hAnsi="Book Antiqua" w:cs="宋体"/>
          <w:kern w:val="0"/>
          <w:sz w:val="24"/>
        </w:rPr>
        <w:t> </w:t>
      </w:r>
      <w:r w:rsidRPr="00C1642A">
        <w:rPr>
          <w:rFonts w:ascii="Book Antiqua" w:hAnsi="Book Antiqua" w:cs="宋体"/>
          <w:b/>
          <w:bCs/>
          <w:kern w:val="0"/>
          <w:sz w:val="24"/>
        </w:rPr>
        <w:t>Shi HY</w:t>
      </w:r>
      <w:r w:rsidRPr="00C1642A">
        <w:rPr>
          <w:rFonts w:ascii="Book Antiqua" w:hAnsi="Book Antiqua" w:cs="宋体"/>
          <w:kern w:val="0"/>
          <w:sz w:val="24"/>
        </w:rPr>
        <w:t xml:space="preserve">, Lee HH, Chiu CC, Chiu HC, </w:t>
      </w:r>
      <w:proofErr w:type="spellStart"/>
      <w:r w:rsidRPr="00C1642A">
        <w:rPr>
          <w:rFonts w:ascii="Book Antiqua" w:hAnsi="Book Antiqua" w:cs="宋体"/>
          <w:kern w:val="0"/>
          <w:sz w:val="24"/>
        </w:rPr>
        <w:t>Uen</w:t>
      </w:r>
      <w:proofErr w:type="spellEnd"/>
      <w:r w:rsidRPr="00C1642A">
        <w:rPr>
          <w:rFonts w:ascii="Book Antiqua" w:hAnsi="Book Antiqua" w:cs="宋体"/>
          <w:kern w:val="0"/>
          <w:sz w:val="24"/>
        </w:rPr>
        <w:t xml:space="preserve"> YH, Lee KT. Responsiveness and minimal clinically important differences after cholecystectomy: GIQLI versus SF-36. </w:t>
      </w:r>
      <w:r w:rsidRPr="00C1642A">
        <w:rPr>
          <w:rFonts w:ascii="Book Antiqua" w:hAnsi="Book Antiqua" w:cs="宋体"/>
          <w:i/>
          <w:iCs/>
          <w:kern w:val="0"/>
          <w:sz w:val="24"/>
        </w:rPr>
        <w:t xml:space="preserve">J </w:t>
      </w:r>
      <w:proofErr w:type="spellStart"/>
      <w:r w:rsidRPr="00C1642A">
        <w:rPr>
          <w:rFonts w:ascii="Book Antiqua" w:hAnsi="Book Antiqua" w:cs="宋体"/>
          <w:i/>
          <w:iCs/>
          <w:kern w:val="0"/>
          <w:sz w:val="24"/>
        </w:rPr>
        <w:t>Gastrointest</w:t>
      </w:r>
      <w:proofErr w:type="spellEnd"/>
      <w:r w:rsidRPr="00C1642A">
        <w:rPr>
          <w:rFonts w:ascii="Book Antiqua" w:hAnsi="Book Antiqua" w:cs="宋体"/>
          <w:i/>
          <w:iCs/>
          <w:kern w:val="0"/>
          <w:sz w:val="24"/>
        </w:rPr>
        <w:t xml:space="preserve">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2008; </w:t>
      </w:r>
      <w:r w:rsidRPr="00C1642A">
        <w:rPr>
          <w:rFonts w:ascii="Book Antiqua" w:hAnsi="Book Antiqua" w:cs="宋体"/>
          <w:b/>
          <w:bCs/>
          <w:kern w:val="0"/>
          <w:sz w:val="24"/>
        </w:rPr>
        <w:t>12</w:t>
      </w:r>
      <w:r w:rsidRPr="00C1642A">
        <w:rPr>
          <w:rFonts w:ascii="Book Antiqua" w:hAnsi="Book Antiqua" w:cs="宋体"/>
          <w:kern w:val="0"/>
          <w:sz w:val="24"/>
        </w:rPr>
        <w:t>: 1275-1282 [PMID: 18454301 DOI: 10.1007/s11605-008-0526-7]</w:t>
      </w:r>
    </w:p>
    <w:p w:rsidR="00BD0129" w:rsidRPr="00C1642A" w:rsidRDefault="00BD0129" w:rsidP="00BD0129">
      <w:pPr>
        <w:widowControl/>
        <w:spacing w:line="360" w:lineRule="auto"/>
        <w:rPr>
          <w:rFonts w:ascii="Book Antiqua" w:hAnsi="Book Antiqua" w:cs="宋体"/>
          <w:kern w:val="0"/>
          <w:sz w:val="24"/>
        </w:rPr>
      </w:pPr>
      <w:r>
        <w:rPr>
          <w:rFonts w:ascii="Book Antiqua" w:hAnsi="Book Antiqua" w:cs="宋体" w:hint="eastAsia"/>
          <w:kern w:val="0"/>
          <w:sz w:val="24"/>
        </w:rPr>
        <w:t>24</w:t>
      </w:r>
      <w:r w:rsidRPr="00C1642A">
        <w:rPr>
          <w:rFonts w:ascii="Book Antiqua" w:hAnsi="Book Antiqua" w:cs="宋体"/>
          <w:kern w:val="0"/>
          <w:sz w:val="24"/>
        </w:rPr>
        <w:t> </w:t>
      </w:r>
      <w:proofErr w:type="spellStart"/>
      <w:r w:rsidRPr="00C1642A">
        <w:rPr>
          <w:rFonts w:ascii="Book Antiqua" w:hAnsi="Book Antiqua" w:cs="宋体"/>
          <w:b/>
          <w:bCs/>
          <w:kern w:val="0"/>
          <w:sz w:val="24"/>
        </w:rPr>
        <w:t>ElGeidie</w:t>
      </w:r>
      <w:proofErr w:type="spellEnd"/>
      <w:r w:rsidRPr="00C1642A">
        <w:rPr>
          <w:rFonts w:ascii="Book Antiqua" w:hAnsi="Book Antiqua" w:cs="宋体"/>
          <w:b/>
          <w:bCs/>
          <w:kern w:val="0"/>
          <w:sz w:val="24"/>
        </w:rPr>
        <w:t xml:space="preserve"> AA</w:t>
      </w:r>
      <w:r w:rsidRPr="00C1642A">
        <w:rPr>
          <w:rFonts w:ascii="Book Antiqua" w:hAnsi="Book Antiqua" w:cs="宋体"/>
          <w:kern w:val="0"/>
          <w:sz w:val="24"/>
        </w:rPr>
        <w:t xml:space="preserve">, </w:t>
      </w:r>
      <w:proofErr w:type="spellStart"/>
      <w:r w:rsidRPr="00C1642A">
        <w:rPr>
          <w:rFonts w:ascii="Book Antiqua" w:hAnsi="Book Antiqua" w:cs="宋体"/>
          <w:kern w:val="0"/>
          <w:sz w:val="24"/>
        </w:rPr>
        <w:t>ElShobary</w:t>
      </w:r>
      <w:proofErr w:type="spellEnd"/>
      <w:r w:rsidRPr="00C1642A">
        <w:rPr>
          <w:rFonts w:ascii="Book Antiqua" w:hAnsi="Book Antiqua" w:cs="宋体"/>
          <w:kern w:val="0"/>
          <w:sz w:val="24"/>
        </w:rPr>
        <w:t xml:space="preserve"> MM, </w:t>
      </w:r>
      <w:proofErr w:type="spellStart"/>
      <w:r w:rsidRPr="00C1642A">
        <w:rPr>
          <w:rFonts w:ascii="Book Antiqua" w:hAnsi="Book Antiqua" w:cs="宋体"/>
          <w:kern w:val="0"/>
          <w:sz w:val="24"/>
        </w:rPr>
        <w:t>Naeem</w:t>
      </w:r>
      <w:proofErr w:type="spellEnd"/>
      <w:r w:rsidRPr="00C1642A">
        <w:rPr>
          <w:rFonts w:ascii="Book Antiqua" w:hAnsi="Book Antiqua" w:cs="宋体"/>
          <w:kern w:val="0"/>
          <w:sz w:val="24"/>
        </w:rPr>
        <w:t xml:space="preserve"> YM. Laparoscopic exploration versus intraoperative endoscopic </w:t>
      </w:r>
      <w:proofErr w:type="spellStart"/>
      <w:r w:rsidRPr="00C1642A">
        <w:rPr>
          <w:rFonts w:ascii="Book Antiqua" w:hAnsi="Book Antiqua" w:cs="宋体"/>
          <w:kern w:val="0"/>
          <w:sz w:val="24"/>
        </w:rPr>
        <w:t>sphincterotomy</w:t>
      </w:r>
      <w:proofErr w:type="spellEnd"/>
      <w:r w:rsidRPr="00C1642A">
        <w:rPr>
          <w:rFonts w:ascii="Book Antiqua" w:hAnsi="Book Antiqua" w:cs="宋体"/>
          <w:kern w:val="0"/>
          <w:sz w:val="24"/>
        </w:rPr>
        <w:t xml:space="preserve"> for common bile duct stones: a prospective randomized trial. </w:t>
      </w:r>
      <w:r w:rsidRPr="00C1642A">
        <w:rPr>
          <w:rFonts w:ascii="Book Antiqua" w:hAnsi="Book Antiqua" w:cs="宋体"/>
          <w:i/>
          <w:iCs/>
          <w:kern w:val="0"/>
          <w:sz w:val="24"/>
        </w:rPr>
        <w:t xml:space="preserve">Dig </w:t>
      </w:r>
      <w:proofErr w:type="spellStart"/>
      <w:r w:rsidRPr="00C1642A">
        <w:rPr>
          <w:rFonts w:ascii="Book Antiqua" w:hAnsi="Book Antiqua" w:cs="宋体"/>
          <w:i/>
          <w:iCs/>
          <w:kern w:val="0"/>
          <w:sz w:val="24"/>
        </w:rPr>
        <w:t>Surg</w:t>
      </w:r>
      <w:proofErr w:type="spellEnd"/>
      <w:r w:rsidRPr="00C1642A">
        <w:rPr>
          <w:rFonts w:ascii="Book Antiqua" w:hAnsi="Book Antiqua" w:cs="宋体"/>
          <w:kern w:val="0"/>
          <w:sz w:val="24"/>
        </w:rPr>
        <w:t> 2011; </w:t>
      </w:r>
      <w:r w:rsidRPr="00C1642A">
        <w:rPr>
          <w:rFonts w:ascii="Book Antiqua" w:hAnsi="Book Antiqua" w:cs="宋体"/>
          <w:b/>
          <w:bCs/>
          <w:kern w:val="0"/>
          <w:sz w:val="24"/>
        </w:rPr>
        <w:t>28</w:t>
      </w:r>
      <w:r w:rsidRPr="00C1642A">
        <w:rPr>
          <w:rFonts w:ascii="Book Antiqua" w:hAnsi="Book Antiqua" w:cs="宋体"/>
          <w:kern w:val="0"/>
          <w:sz w:val="24"/>
        </w:rPr>
        <w:t>: 424-431 [PMID: 22236538 DOI: 10.1159/000331470]</w:t>
      </w:r>
    </w:p>
    <w:p w:rsidR="00BD0129" w:rsidRPr="00C1642A" w:rsidRDefault="00BD0129" w:rsidP="00BD0129">
      <w:pPr>
        <w:widowControl/>
        <w:spacing w:line="360" w:lineRule="auto"/>
        <w:rPr>
          <w:rFonts w:ascii="Book Antiqua" w:hAnsi="Book Antiqua" w:cs="宋体"/>
          <w:kern w:val="0"/>
          <w:sz w:val="24"/>
        </w:rPr>
      </w:pPr>
      <w:proofErr w:type="gramStart"/>
      <w:r>
        <w:rPr>
          <w:rFonts w:ascii="Book Antiqua" w:hAnsi="Book Antiqua" w:cs="宋体" w:hint="eastAsia"/>
          <w:kern w:val="0"/>
          <w:sz w:val="24"/>
        </w:rPr>
        <w:t>25</w:t>
      </w:r>
      <w:r w:rsidRPr="00C1642A">
        <w:rPr>
          <w:rFonts w:ascii="Book Antiqua" w:hAnsi="Book Antiqua" w:cs="宋体"/>
          <w:kern w:val="0"/>
          <w:sz w:val="24"/>
        </w:rPr>
        <w:t> </w:t>
      </w:r>
      <w:r w:rsidRPr="00C1642A">
        <w:rPr>
          <w:rFonts w:ascii="Book Antiqua" w:hAnsi="Book Antiqua" w:cs="宋体"/>
          <w:b/>
          <w:bCs/>
          <w:kern w:val="0"/>
          <w:sz w:val="24"/>
        </w:rPr>
        <w:t>Yi SY</w:t>
      </w:r>
      <w:r w:rsidRPr="00C1642A">
        <w:rPr>
          <w:rFonts w:ascii="Book Antiqua" w:hAnsi="Book Antiqua" w:cs="宋体"/>
          <w:kern w:val="0"/>
          <w:sz w:val="24"/>
        </w:rPr>
        <w:t>.</w:t>
      </w:r>
      <w:proofErr w:type="gramEnd"/>
      <w:r w:rsidRPr="00C1642A">
        <w:rPr>
          <w:rFonts w:ascii="Book Antiqua" w:hAnsi="Book Antiqua" w:cs="宋体"/>
          <w:kern w:val="0"/>
          <w:sz w:val="24"/>
        </w:rPr>
        <w:t xml:space="preserve"> </w:t>
      </w:r>
      <w:proofErr w:type="gramStart"/>
      <w:r w:rsidRPr="00C1642A">
        <w:rPr>
          <w:rFonts w:ascii="Book Antiqua" w:hAnsi="Book Antiqua" w:cs="宋体"/>
          <w:kern w:val="0"/>
          <w:sz w:val="24"/>
        </w:rPr>
        <w:t xml:space="preserve">Recurrence of biliary symptoms after endoscopic </w:t>
      </w:r>
      <w:proofErr w:type="spellStart"/>
      <w:r w:rsidRPr="00C1642A">
        <w:rPr>
          <w:rFonts w:ascii="Book Antiqua" w:hAnsi="Book Antiqua" w:cs="宋体"/>
          <w:kern w:val="0"/>
          <w:sz w:val="24"/>
        </w:rPr>
        <w:t>sphincterotomy</w:t>
      </w:r>
      <w:proofErr w:type="spellEnd"/>
      <w:r w:rsidRPr="00C1642A">
        <w:rPr>
          <w:rFonts w:ascii="Book Antiqua" w:hAnsi="Book Antiqua" w:cs="宋体"/>
          <w:kern w:val="0"/>
          <w:sz w:val="24"/>
        </w:rPr>
        <w:t xml:space="preserve"> for </w:t>
      </w:r>
      <w:proofErr w:type="spellStart"/>
      <w:r w:rsidRPr="00C1642A">
        <w:rPr>
          <w:rFonts w:ascii="Book Antiqua" w:hAnsi="Book Antiqua" w:cs="宋体"/>
          <w:kern w:val="0"/>
          <w:sz w:val="24"/>
        </w:rPr>
        <w:t>choledocholithiasis</w:t>
      </w:r>
      <w:proofErr w:type="spellEnd"/>
      <w:r w:rsidRPr="00C1642A">
        <w:rPr>
          <w:rFonts w:ascii="Book Antiqua" w:hAnsi="Book Antiqua" w:cs="宋体"/>
          <w:kern w:val="0"/>
          <w:sz w:val="24"/>
        </w:rPr>
        <w:t xml:space="preserve"> in patients with gall bladder stones.</w:t>
      </w:r>
      <w:proofErr w:type="gramEnd"/>
      <w:r w:rsidRPr="00C1642A">
        <w:rPr>
          <w:rFonts w:ascii="Book Antiqua" w:hAnsi="Book Antiqua" w:cs="宋体"/>
          <w:kern w:val="0"/>
          <w:sz w:val="24"/>
        </w:rPr>
        <w:t> </w:t>
      </w:r>
      <w:r w:rsidRPr="00C1642A">
        <w:rPr>
          <w:rFonts w:ascii="Book Antiqua" w:hAnsi="Book Antiqua" w:cs="宋体"/>
          <w:i/>
          <w:iCs/>
          <w:kern w:val="0"/>
          <w:sz w:val="24"/>
        </w:rPr>
        <w:t xml:space="preserve">J </w:t>
      </w:r>
      <w:proofErr w:type="spellStart"/>
      <w:r w:rsidRPr="00C1642A">
        <w:rPr>
          <w:rFonts w:ascii="Book Antiqua" w:hAnsi="Book Antiqua" w:cs="宋体"/>
          <w:i/>
          <w:iCs/>
          <w:kern w:val="0"/>
          <w:sz w:val="24"/>
        </w:rPr>
        <w:t>Gastroenterol</w:t>
      </w:r>
      <w:proofErr w:type="spellEnd"/>
      <w:r w:rsidRPr="00C1642A">
        <w:rPr>
          <w:rFonts w:ascii="Book Antiqua" w:hAnsi="Book Antiqua" w:cs="宋体"/>
          <w:i/>
          <w:iCs/>
          <w:kern w:val="0"/>
          <w:sz w:val="24"/>
        </w:rPr>
        <w:t xml:space="preserve"> </w:t>
      </w:r>
      <w:proofErr w:type="spellStart"/>
      <w:r w:rsidRPr="00C1642A">
        <w:rPr>
          <w:rFonts w:ascii="Book Antiqua" w:hAnsi="Book Antiqua" w:cs="宋体"/>
          <w:i/>
          <w:iCs/>
          <w:kern w:val="0"/>
          <w:sz w:val="24"/>
        </w:rPr>
        <w:t>Hepatol</w:t>
      </w:r>
      <w:proofErr w:type="spellEnd"/>
      <w:r w:rsidRPr="00C1642A">
        <w:rPr>
          <w:rFonts w:ascii="Book Antiqua" w:hAnsi="Book Antiqua" w:cs="宋体"/>
          <w:kern w:val="0"/>
          <w:sz w:val="24"/>
        </w:rPr>
        <w:t> 2000; </w:t>
      </w:r>
      <w:r w:rsidRPr="00C1642A">
        <w:rPr>
          <w:rFonts w:ascii="Book Antiqua" w:hAnsi="Book Antiqua" w:cs="宋体"/>
          <w:b/>
          <w:bCs/>
          <w:kern w:val="0"/>
          <w:sz w:val="24"/>
        </w:rPr>
        <w:t>15</w:t>
      </w:r>
      <w:r w:rsidRPr="00C1642A">
        <w:rPr>
          <w:rFonts w:ascii="Book Antiqua" w:hAnsi="Book Antiqua" w:cs="宋体"/>
          <w:kern w:val="0"/>
          <w:sz w:val="24"/>
        </w:rPr>
        <w:t>: 661-664 [PMID: 10921421 DOI: 10.1046/j.1440-1746.2000.02192.x]</w:t>
      </w:r>
    </w:p>
    <w:p w:rsidR="00BD0129" w:rsidRPr="00C1642A" w:rsidRDefault="00BD0129" w:rsidP="00BD0129">
      <w:pPr>
        <w:spacing w:line="360" w:lineRule="auto"/>
        <w:rPr>
          <w:rFonts w:ascii="Book Antiqua" w:hAnsi="Book Antiqua"/>
          <w:sz w:val="24"/>
        </w:rPr>
      </w:pPr>
    </w:p>
    <w:p w:rsidR="00841022" w:rsidRPr="00F160D4" w:rsidRDefault="00841022" w:rsidP="00BD0129">
      <w:pPr>
        <w:pStyle w:val="-11"/>
        <w:spacing w:line="360" w:lineRule="auto"/>
        <w:ind w:right="360" w:firstLineChars="0"/>
        <w:jc w:val="right"/>
        <w:rPr>
          <w:rFonts w:ascii="Book Antiqua" w:eastAsia="宋体" w:hAnsi="Book Antiqua"/>
          <w:b/>
          <w:bCs/>
          <w:szCs w:val="24"/>
          <w:lang w:val="en-US" w:eastAsia="zh-CN"/>
        </w:rPr>
      </w:pPr>
      <w:r w:rsidRPr="00F160D4">
        <w:rPr>
          <w:rStyle w:val="af2"/>
          <w:rFonts w:ascii="Book Antiqua" w:hAnsi="Book Antiqua" w:cs="Arial"/>
          <w:bCs w:val="0"/>
          <w:noProof/>
          <w:szCs w:val="24"/>
        </w:rPr>
        <w:lastRenderedPageBreak/>
        <w:t>P-Reviewers</w:t>
      </w:r>
      <w:r w:rsidRPr="00F160D4">
        <w:rPr>
          <w:rStyle w:val="af2"/>
          <w:rFonts w:ascii="Book Antiqua" w:hAnsi="Book Antiqua" w:cs="Arial"/>
          <w:bCs w:val="0"/>
          <w:noProof/>
          <w:szCs w:val="24"/>
          <w:lang w:eastAsia="zh-CN"/>
        </w:rPr>
        <w:t>:</w:t>
      </w:r>
      <w:r w:rsidRPr="00F160D4">
        <w:rPr>
          <w:rFonts w:ascii="Book Antiqua" w:hAnsi="Book Antiqua"/>
          <w:bCs/>
          <w:szCs w:val="24"/>
        </w:rPr>
        <w:t xml:space="preserve"> </w:t>
      </w:r>
      <w:r w:rsidR="00BD0129">
        <w:rPr>
          <w:rFonts w:ascii="Book Antiqua" w:hAnsi="Book Antiqua"/>
          <w:bCs/>
          <w:szCs w:val="24"/>
        </w:rPr>
        <w:t>Yao</w:t>
      </w:r>
      <w:r w:rsidR="00BD0129">
        <w:rPr>
          <w:rFonts w:ascii="Book Antiqua" w:eastAsiaTheme="minorEastAsia" w:hAnsi="Book Antiqua" w:hint="eastAsia"/>
          <w:bCs/>
          <w:szCs w:val="24"/>
          <w:lang w:eastAsia="zh-CN"/>
        </w:rPr>
        <w:t xml:space="preserve"> </w:t>
      </w:r>
      <w:r w:rsidR="00BD0129" w:rsidRPr="00BD0129">
        <w:rPr>
          <w:rFonts w:ascii="Book Antiqua" w:hAnsi="Book Antiqua"/>
          <w:bCs/>
          <w:szCs w:val="24"/>
        </w:rPr>
        <w:t>A</w:t>
      </w:r>
      <w:r w:rsidRPr="00F160D4">
        <w:rPr>
          <w:rFonts w:ascii="Book Antiqua" w:hAnsi="Book Antiqua"/>
          <w:bCs/>
          <w:szCs w:val="24"/>
        </w:rPr>
        <w:t xml:space="preserve"> </w:t>
      </w:r>
      <w:r w:rsidRPr="00F160D4">
        <w:rPr>
          <w:rFonts w:ascii="Book Antiqua" w:hAnsi="Book Antiqua"/>
          <w:b/>
          <w:bCs/>
          <w:szCs w:val="24"/>
        </w:rPr>
        <w:t>S-Editor</w:t>
      </w:r>
      <w:r w:rsidRPr="00F160D4">
        <w:rPr>
          <w:rFonts w:ascii="Book Antiqua" w:eastAsia="宋体" w:hAnsi="Book Antiqua"/>
          <w:b/>
          <w:bCs/>
          <w:szCs w:val="24"/>
          <w:lang w:eastAsia="zh-CN"/>
        </w:rPr>
        <w:t>:</w:t>
      </w:r>
      <w:r w:rsidRPr="00F160D4">
        <w:rPr>
          <w:rFonts w:ascii="Book Antiqua" w:hAnsi="Book Antiqua"/>
          <w:b/>
          <w:bCs/>
          <w:szCs w:val="24"/>
        </w:rPr>
        <w:t xml:space="preserve">  L-Editor</w:t>
      </w:r>
      <w:r w:rsidRPr="00F160D4">
        <w:rPr>
          <w:rFonts w:ascii="Book Antiqua" w:eastAsia="宋体" w:hAnsi="Book Antiqua"/>
          <w:b/>
          <w:bCs/>
          <w:szCs w:val="24"/>
          <w:lang w:eastAsia="zh-CN"/>
        </w:rPr>
        <w:t>:</w:t>
      </w:r>
      <w:r w:rsidRPr="00F160D4">
        <w:rPr>
          <w:rFonts w:ascii="Book Antiqua" w:hAnsi="Book Antiqua"/>
          <w:b/>
          <w:bCs/>
          <w:szCs w:val="24"/>
        </w:rPr>
        <w:t xml:space="preserve">  E-Editor</w:t>
      </w:r>
      <w:bookmarkEnd w:id="22"/>
      <w:r w:rsidRPr="00F160D4">
        <w:rPr>
          <w:rFonts w:ascii="Book Antiqua" w:eastAsia="宋体" w:hAnsi="Book Antiqua"/>
          <w:b/>
          <w:bCs/>
          <w:szCs w:val="24"/>
          <w:lang w:eastAsia="zh-CN"/>
        </w:rPr>
        <w:t>:</w:t>
      </w:r>
    </w:p>
    <w:p w:rsidR="00841022" w:rsidRPr="00F160D4" w:rsidRDefault="00841022" w:rsidP="00F160D4">
      <w:pPr>
        <w:pStyle w:val="-11"/>
        <w:spacing w:line="360" w:lineRule="auto"/>
        <w:ind w:firstLineChars="0" w:firstLine="0"/>
        <w:jc w:val="both"/>
        <w:rPr>
          <w:rFonts w:ascii="Book Antiqua" w:hAnsi="Book Antiqua"/>
          <w:szCs w:val="24"/>
        </w:rPr>
      </w:pPr>
      <w:r w:rsidRPr="00F160D4">
        <w:rPr>
          <w:rStyle w:val="af2"/>
          <w:rFonts w:ascii="Book Antiqua" w:hAnsi="Book Antiqua" w:cs="Arial"/>
          <w:bCs w:val="0"/>
          <w:noProof/>
          <w:szCs w:val="24"/>
        </w:rPr>
        <w:br w:type="page"/>
      </w:r>
      <w:bookmarkEnd w:id="23"/>
      <w:bookmarkEnd w:id="24"/>
      <w:bookmarkEnd w:id="25"/>
      <w:bookmarkEnd w:id="26"/>
      <w:bookmarkEnd w:id="27"/>
      <w:bookmarkEnd w:id="28"/>
      <w:bookmarkEnd w:id="29"/>
      <w:bookmarkEnd w:id="30"/>
      <w:r w:rsidRPr="00F160D4">
        <w:rPr>
          <w:rFonts w:ascii="Book Antiqua" w:hAnsi="Book Antiqua"/>
          <w:b/>
          <w:szCs w:val="24"/>
        </w:rPr>
        <w:lastRenderedPageBreak/>
        <w:t>Figure 1</w:t>
      </w:r>
      <w:r w:rsidRPr="00F160D4">
        <w:rPr>
          <w:rFonts w:ascii="Book Antiqua" w:hAnsi="Book Antiqua"/>
          <w:szCs w:val="24"/>
        </w:rPr>
        <w:t xml:space="preserve"> </w:t>
      </w:r>
      <w:r w:rsidRPr="00F160D4">
        <w:rPr>
          <w:rFonts w:ascii="Book Antiqua" w:hAnsi="Book Antiqua"/>
          <w:b/>
          <w:szCs w:val="24"/>
        </w:rPr>
        <w:t xml:space="preserve">Total and subscale </w:t>
      </w:r>
      <w:r w:rsidR="00F160D4" w:rsidRPr="00F160D4">
        <w:rPr>
          <w:rFonts w:ascii="Book Antiqua" w:hAnsi="Book Antiqua"/>
          <w:b/>
          <w:szCs w:val="24"/>
        </w:rPr>
        <w:t xml:space="preserve">gastrointestinal quality of life index </w:t>
      </w:r>
      <w:r w:rsidRPr="00F160D4">
        <w:rPr>
          <w:rFonts w:ascii="Book Antiqua" w:hAnsi="Book Antiqua"/>
          <w:b/>
          <w:szCs w:val="24"/>
        </w:rPr>
        <w:t xml:space="preserve">scores for choledocholithiasis patients. </w:t>
      </w:r>
      <w:r w:rsidRPr="00F160D4">
        <w:rPr>
          <w:rFonts w:ascii="Book Antiqua" w:hAnsi="Book Antiqua"/>
          <w:szCs w:val="24"/>
        </w:rPr>
        <w:t>A:</w:t>
      </w:r>
      <w:r w:rsidRPr="00F160D4">
        <w:rPr>
          <w:rFonts w:ascii="Book Antiqua" w:hAnsi="Book Antiqua"/>
          <w:b/>
          <w:szCs w:val="24"/>
        </w:rPr>
        <w:t xml:space="preserve"> </w:t>
      </w:r>
      <w:r w:rsidRPr="00F160D4">
        <w:rPr>
          <w:rFonts w:ascii="Book Antiqua" w:hAnsi="Book Antiqua"/>
          <w:szCs w:val="24"/>
        </w:rPr>
        <w:t xml:space="preserve">The total </w:t>
      </w:r>
      <w:r w:rsidR="00F160D4" w:rsidRPr="00F160D4">
        <w:rPr>
          <w:rFonts w:ascii="Book Antiqua" w:hAnsi="Book Antiqua"/>
          <w:szCs w:val="24"/>
        </w:rPr>
        <w:t>gastrointestinal quality of life index (GIQLI)</w:t>
      </w:r>
      <w:r w:rsidRPr="00F160D4">
        <w:rPr>
          <w:rFonts w:ascii="Book Antiqua" w:hAnsi="Book Antiqua"/>
          <w:szCs w:val="24"/>
        </w:rPr>
        <w:t xml:space="preserve"> score at baseline, two weeks and six weeks post-treatment; </w:t>
      </w:r>
      <w:r w:rsidR="0005728C" w:rsidRPr="00F160D4">
        <w:rPr>
          <w:rFonts w:ascii="Book Antiqua" w:hAnsi="Book Antiqua"/>
          <w:szCs w:val="24"/>
        </w:rPr>
        <w:t xml:space="preserve">B: </w:t>
      </w:r>
      <w:r w:rsidRPr="00F160D4">
        <w:rPr>
          <w:rFonts w:ascii="Book Antiqua" w:hAnsi="Book Antiqua"/>
          <w:szCs w:val="24"/>
        </w:rPr>
        <w:t>Subscale scores for Self-reported symptom domain; C: Physical function domain</w:t>
      </w:r>
      <w:r w:rsidR="0005728C">
        <w:rPr>
          <w:rFonts w:ascii="Book Antiqua" w:eastAsiaTheme="minorEastAsia" w:hAnsi="Book Antiqua" w:hint="eastAsia"/>
          <w:szCs w:val="24"/>
          <w:lang w:eastAsia="zh-CN"/>
        </w:rPr>
        <w:t>;</w:t>
      </w:r>
      <w:r w:rsidRPr="00F160D4">
        <w:rPr>
          <w:rFonts w:ascii="Book Antiqua" w:hAnsi="Book Antiqua"/>
          <w:szCs w:val="24"/>
        </w:rPr>
        <w:t xml:space="preserve"> D: Mental/emotional domain; E: Social function domain; F: Special disease/condition domain in choledocholithiasis patients scheduled for EST or OCT at baseline, two weeks and six weeks following treatment.</w:t>
      </w:r>
    </w:p>
    <w:p w:rsidR="00841022" w:rsidRPr="00F160D4" w:rsidRDefault="00841022" w:rsidP="00F160D4">
      <w:pPr>
        <w:spacing w:line="360" w:lineRule="auto"/>
        <w:rPr>
          <w:rFonts w:ascii="Book Antiqua" w:hAnsi="Book Antiqua"/>
          <w:sz w:val="24"/>
        </w:rPr>
      </w:pPr>
    </w:p>
    <w:p w:rsidR="00841022" w:rsidRPr="00F160D4" w:rsidRDefault="00841022" w:rsidP="00F160D4">
      <w:pPr>
        <w:spacing w:line="360" w:lineRule="auto"/>
        <w:rPr>
          <w:rFonts w:ascii="Book Antiqua" w:hAnsi="Book Antiqua"/>
          <w:b/>
          <w:sz w:val="24"/>
        </w:rPr>
      </w:pPr>
      <w:r w:rsidRPr="00F160D4">
        <w:rPr>
          <w:rFonts w:ascii="Book Antiqua" w:hAnsi="Book Antiqua"/>
          <w:b/>
          <w:sz w:val="24"/>
        </w:rPr>
        <w:t xml:space="preserve">Figure 2 Total and subscale </w:t>
      </w:r>
      <w:r w:rsidR="0005728C" w:rsidRPr="0005728C">
        <w:rPr>
          <w:rFonts w:ascii="Book Antiqua" w:hAnsi="Book Antiqua"/>
          <w:b/>
          <w:sz w:val="24"/>
        </w:rPr>
        <w:t xml:space="preserve">gastrointestinal quality of life index </w:t>
      </w:r>
      <w:r w:rsidRPr="00F160D4">
        <w:rPr>
          <w:rFonts w:ascii="Book Antiqua" w:hAnsi="Book Antiqua"/>
          <w:b/>
          <w:sz w:val="24"/>
        </w:rPr>
        <w:t>score improvements.</w:t>
      </w:r>
      <w:r w:rsidRPr="00F160D4">
        <w:rPr>
          <w:rFonts w:ascii="Book Antiqua" w:hAnsi="Book Antiqua"/>
          <w:sz w:val="24"/>
        </w:rPr>
        <w:t xml:space="preserve"> A: Improvements from the baseline in the total </w:t>
      </w:r>
      <w:r w:rsidR="0005728C" w:rsidRPr="0005728C">
        <w:rPr>
          <w:rFonts w:ascii="Book Antiqua" w:hAnsi="Book Antiqua"/>
          <w:sz w:val="24"/>
        </w:rPr>
        <w:t>gastrointestinal quality of life index (GIQLI)</w:t>
      </w:r>
      <w:r w:rsidR="0005728C">
        <w:rPr>
          <w:rFonts w:ascii="Book Antiqua" w:hAnsi="Book Antiqua" w:hint="eastAsia"/>
          <w:sz w:val="24"/>
        </w:rPr>
        <w:t xml:space="preserve"> </w:t>
      </w:r>
      <w:r w:rsidRPr="00F160D4">
        <w:rPr>
          <w:rFonts w:ascii="Book Antiqua" w:hAnsi="Book Antiqua"/>
          <w:sz w:val="24"/>
        </w:rPr>
        <w:t xml:space="preserve">score; </w:t>
      </w:r>
      <w:r w:rsidR="0005728C" w:rsidRPr="00F160D4">
        <w:rPr>
          <w:rFonts w:ascii="Book Antiqua" w:hAnsi="Book Antiqua"/>
          <w:sz w:val="24"/>
        </w:rPr>
        <w:t>B:</w:t>
      </w:r>
      <w:r w:rsidR="0005728C">
        <w:rPr>
          <w:rFonts w:ascii="Book Antiqua" w:hAnsi="Book Antiqua" w:hint="eastAsia"/>
          <w:sz w:val="24"/>
        </w:rPr>
        <w:t xml:space="preserve"> </w:t>
      </w:r>
      <w:r w:rsidRPr="00F160D4">
        <w:rPr>
          <w:rFonts w:ascii="Book Antiqua" w:hAnsi="Book Antiqua"/>
          <w:sz w:val="24"/>
        </w:rPr>
        <w:t xml:space="preserve">Improvements from the baseline in the subscale scores for Self-reported symptom domain; C: Physical function domain; D: Mental/emotional domain; E: Social function domain; F: Special disease/condition domain in </w:t>
      </w:r>
      <w:proofErr w:type="spellStart"/>
      <w:r w:rsidRPr="00F160D4">
        <w:rPr>
          <w:rFonts w:ascii="Book Antiqua" w:hAnsi="Book Antiqua"/>
          <w:sz w:val="24"/>
        </w:rPr>
        <w:t>choledocholithiasis</w:t>
      </w:r>
      <w:proofErr w:type="spellEnd"/>
      <w:r w:rsidRPr="00F160D4">
        <w:rPr>
          <w:rFonts w:ascii="Book Antiqua" w:hAnsi="Book Antiqua"/>
          <w:sz w:val="24"/>
        </w:rPr>
        <w:t xml:space="preserve"> patients scheduled for EST or OCT at two weeks and at six weeks post-treatment.</w:t>
      </w:r>
    </w:p>
    <w:p w:rsidR="00841022" w:rsidRPr="00F160D4" w:rsidRDefault="00841022" w:rsidP="00F160D4">
      <w:pPr>
        <w:spacing w:line="360" w:lineRule="auto"/>
        <w:rPr>
          <w:rFonts w:ascii="Book Antiqua" w:hAnsi="Book Antiqua"/>
          <w:sz w:val="24"/>
        </w:rPr>
      </w:pPr>
      <w:r w:rsidRPr="00F160D4">
        <w:rPr>
          <w:rFonts w:ascii="Book Antiqua" w:hAnsi="Book Antiqua"/>
          <w:sz w:val="24"/>
        </w:rPr>
        <w:br w:type="page"/>
      </w:r>
      <w:r w:rsidRPr="00F160D4">
        <w:rPr>
          <w:rFonts w:ascii="Book Antiqua" w:hAnsi="Book Antiqua"/>
          <w:b/>
          <w:sz w:val="24"/>
        </w:rPr>
        <w:lastRenderedPageBreak/>
        <w:t xml:space="preserve">Table 1 Demographic and clinical characteristics of </w:t>
      </w:r>
      <w:proofErr w:type="spellStart"/>
      <w:r w:rsidRPr="00F160D4">
        <w:rPr>
          <w:rFonts w:ascii="Book Antiqua" w:hAnsi="Book Antiqua"/>
          <w:b/>
          <w:sz w:val="24"/>
        </w:rPr>
        <w:t>choledocholithiasis</w:t>
      </w:r>
      <w:proofErr w:type="spellEnd"/>
      <w:r w:rsidRPr="00F160D4">
        <w:rPr>
          <w:rFonts w:ascii="Book Antiqua" w:hAnsi="Book Antiqua"/>
          <w:b/>
          <w:sz w:val="24"/>
        </w:rPr>
        <w:t xml:space="preserve"> </w:t>
      </w:r>
      <w:proofErr w:type="gramStart"/>
      <w:r w:rsidRPr="00F160D4">
        <w:rPr>
          <w:rFonts w:ascii="Book Antiqua" w:hAnsi="Book Antiqua"/>
          <w:b/>
          <w:sz w:val="24"/>
        </w:rPr>
        <w:t>patients</w:t>
      </w:r>
      <w:proofErr w:type="gramEnd"/>
      <w:r w:rsidR="0005728C" w:rsidRPr="0005728C">
        <w:rPr>
          <w:rFonts w:ascii="Book Antiqua" w:hAnsi="Book Antiqua" w:hint="eastAsia"/>
          <w:b/>
          <w:i/>
          <w:sz w:val="24"/>
        </w:rPr>
        <w:t xml:space="preserve"> n </w:t>
      </w:r>
      <w:r w:rsidR="0005728C">
        <w:rPr>
          <w:rFonts w:ascii="Book Antiqua" w:hAnsi="Book Antiqua" w:hint="eastAsia"/>
          <w:b/>
          <w:sz w:val="24"/>
        </w:rPr>
        <w:t>(%)</w:t>
      </w:r>
    </w:p>
    <w:tbl>
      <w:tblPr>
        <w:tblW w:w="8388" w:type="dxa"/>
        <w:jc w:val="center"/>
        <w:tblLook w:val="01E0" w:firstRow="1" w:lastRow="1" w:firstColumn="1" w:lastColumn="1" w:noHBand="0" w:noVBand="0"/>
      </w:tblPr>
      <w:tblGrid>
        <w:gridCol w:w="2808"/>
        <w:gridCol w:w="2109"/>
        <w:gridCol w:w="2109"/>
        <w:gridCol w:w="1362"/>
      </w:tblGrid>
      <w:tr w:rsidR="00841022" w:rsidRPr="00F160D4" w:rsidTr="0005728C">
        <w:trPr>
          <w:jc w:val="center"/>
        </w:trPr>
        <w:tc>
          <w:tcPr>
            <w:tcW w:w="2808" w:type="dxa"/>
            <w:tcBorders>
              <w:top w:val="single" w:sz="4" w:space="0" w:color="auto"/>
              <w:bottom w:val="single" w:sz="8" w:space="0" w:color="auto"/>
            </w:tcBorders>
          </w:tcPr>
          <w:p w:rsidR="00841022" w:rsidRPr="00F160D4" w:rsidRDefault="00841022" w:rsidP="00F160D4">
            <w:pPr>
              <w:spacing w:line="360" w:lineRule="auto"/>
              <w:rPr>
                <w:rFonts w:ascii="Book Antiqua" w:hAnsi="Book Antiqua"/>
                <w:sz w:val="24"/>
              </w:rPr>
            </w:pPr>
          </w:p>
        </w:tc>
        <w:tc>
          <w:tcPr>
            <w:tcW w:w="2109" w:type="dxa"/>
            <w:tcBorders>
              <w:top w:val="single" w:sz="4" w:space="0" w:color="auto"/>
              <w:bottom w:val="single" w:sz="8" w:space="0" w:color="auto"/>
            </w:tcBorders>
          </w:tcPr>
          <w:p w:rsidR="00841022" w:rsidRPr="00F160D4" w:rsidRDefault="00841022" w:rsidP="00F160D4">
            <w:pPr>
              <w:spacing w:line="360" w:lineRule="auto"/>
              <w:rPr>
                <w:rFonts w:ascii="Book Antiqua" w:hAnsi="Book Antiqua"/>
                <w:b/>
                <w:sz w:val="24"/>
              </w:rPr>
            </w:pPr>
            <w:r w:rsidRPr="00F160D4">
              <w:rPr>
                <w:rFonts w:ascii="Book Antiqua" w:hAnsi="Book Antiqua"/>
                <w:b/>
                <w:sz w:val="24"/>
              </w:rPr>
              <w:t>EST group</w:t>
            </w:r>
          </w:p>
          <w:p w:rsidR="00841022" w:rsidRPr="00F160D4" w:rsidRDefault="00841022" w:rsidP="00F160D4">
            <w:pPr>
              <w:spacing w:line="360" w:lineRule="auto"/>
              <w:rPr>
                <w:rFonts w:ascii="Book Antiqua" w:hAnsi="Book Antiqua"/>
                <w:b/>
                <w:sz w:val="24"/>
              </w:rPr>
            </w:pPr>
            <w:r w:rsidRPr="00F160D4">
              <w:rPr>
                <w:rFonts w:ascii="Book Antiqua" w:hAnsi="Book Antiqua"/>
                <w:b/>
                <w:sz w:val="24"/>
              </w:rPr>
              <w:t>(</w:t>
            </w:r>
            <w:r w:rsidRPr="00F160D4">
              <w:rPr>
                <w:rFonts w:ascii="Book Antiqua" w:hAnsi="Book Antiqua"/>
                <w:b/>
                <w:i/>
                <w:sz w:val="24"/>
              </w:rPr>
              <w:t>n</w:t>
            </w:r>
            <w:r w:rsidRPr="00F160D4">
              <w:rPr>
                <w:rFonts w:ascii="Book Antiqua" w:hAnsi="Book Antiqua"/>
                <w:b/>
                <w:sz w:val="24"/>
              </w:rPr>
              <w:t xml:space="preserve"> = 135)</w:t>
            </w:r>
          </w:p>
        </w:tc>
        <w:tc>
          <w:tcPr>
            <w:tcW w:w="2109" w:type="dxa"/>
            <w:tcBorders>
              <w:top w:val="single" w:sz="4" w:space="0" w:color="auto"/>
              <w:bottom w:val="single" w:sz="8" w:space="0" w:color="auto"/>
            </w:tcBorders>
          </w:tcPr>
          <w:p w:rsidR="00841022" w:rsidRPr="00F160D4" w:rsidRDefault="00841022" w:rsidP="00F160D4">
            <w:pPr>
              <w:spacing w:line="360" w:lineRule="auto"/>
              <w:rPr>
                <w:rFonts w:ascii="Book Antiqua" w:hAnsi="Book Antiqua"/>
                <w:b/>
                <w:sz w:val="24"/>
              </w:rPr>
            </w:pPr>
            <w:r w:rsidRPr="00F160D4">
              <w:rPr>
                <w:rFonts w:ascii="Book Antiqua" w:hAnsi="Book Antiqua"/>
                <w:b/>
                <w:sz w:val="24"/>
              </w:rPr>
              <w:t>OCT group</w:t>
            </w:r>
          </w:p>
          <w:p w:rsidR="00841022" w:rsidRPr="00F160D4" w:rsidRDefault="00841022" w:rsidP="00F160D4">
            <w:pPr>
              <w:spacing w:line="360" w:lineRule="auto"/>
              <w:rPr>
                <w:rFonts w:ascii="Book Antiqua" w:hAnsi="Book Antiqua"/>
                <w:b/>
                <w:sz w:val="24"/>
              </w:rPr>
            </w:pPr>
            <w:r w:rsidRPr="00F160D4">
              <w:rPr>
                <w:rFonts w:ascii="Book Antiqua" w:hAnsi="Book Antiqua"/>
                <w:b/>
                <w:sz w:val="24"/>
              </w:rPr>
              <w:t>(</w:t>
            </w:r>
            <w:r w:rsidRPr="00F160D4">
              <w:rPr>
                <w:rFonts w:ascii="Book Antiqua" w:hAnsi="Book Antiqua"/>
                <w:b/>
                <w:i/>
                <w:sz w:val="24"/>
              </w:rPr>
              <w:t>n</w:t>
            </w:r>
            <w:r w:rsidRPr="00F160D4">
              <w:rPr>
                <w:rFonts w:ascii="Book Antiqua" w:hAnsi="Book Antiqua"/>
                <w:b/>
                <w:sz w:val="24"/>
              </w:rPr>
              <w:t xml:space="preserve"> = 81)</w:t>
            </w:r>
          </w:p>
        </w:tc>
        <w:tc>
          <w:tcPr>
            <w:tcW w:w="1362" w:type="dxa"/>
            <w:tcBorders>
              <w:top w:val="single" w:sz="4" w:space="0" w:color="auto"/>
              <w:bottom w:val="single" w:sz="8" w:space="0" w:color="auto"/>
            </w:tcBorders>
            <w:vAlign w:val="center"/>
          </w:tcPr>
          <w:p w:rsidR="00841022" w:rsidRPr="00F160D4" w:rsidRDefault="00841022" w:rsidP="00F160D4">
            <w:pPr>
              <w:spacing w:line="360" w:lineRule="auto"/>
              <w:rPr>
                <w:rFonts w:ascii="Book Antiqua" w:hAnsi="Book Antiqua"/>
                <w:b/>
                <w:sz w:val="24"/>
              </w:rPr>
            </w:pPr>
            <w:r w:rsidRPr="00F160D4">
              <w:rPr>
                <w:rFonts w:ascii="Book Antiqua" w:hAnsi="Book Antiqua"/>
                <w:b/>
                <w:i/>
                <w:sz w:val="24"/>
              </w:rPr>
              <w:t>P</w:t>
            </w:r>
            <w:r w:rsidRPr="00F160D4">
              <w:rPr>
                <w:rFonts w:ascii="Book Antiqua" w:hAnsi="Book Antiqua"/>
                <w:b/>
                <w:sz w:val="24"/>
              </w:rPr>
              <w:t xml:space="preserve"> value</w:t>
            </w:r>
          </w:p>
        </w:tc>
      </w:tr>
      <w:tr w:rsidR="00841022" w:rsidRPr="00F160D4" w:rsidTr="00DB62C2">
        <w:trPr>
          <w:jc w:val="center"/>
        </w:trPr>
        <w:tc>
          <w:tcPr>
            <w:tcW w:w="2808" w:type="dxa"/>
            <w:tcBorders>
              <w:top w:val="single" w:sz="8" w:space="0" w:color="auto"/>
            </w:tcBorders>
          </w:tcPr>
          <w:p w:rsidR="00841022" w:rsidRPr="00F160D4" w:rsidRDefault="00841022" w:rsidP="00851B5D">
            <w:pPr>
              <w:spacing w:line="360" w:lineRule="auto"/>
              <w:rPr>
                <w:rFonts w:ascii="Book Antiqua" w:hAnsi="Book Antiqua"/>
                <w:sz w:val="24"/>
              </w:rPr>
            </w:pPr>
            <w:r w:rsidRPr="00F160D4">
              <w:rPr>
                <w:rFonts w:ascii="Book Antiqua" w:hAnsi="Book Antiqua"/>
                <w:sz w:val="24"/>
              </w:rPr>
              <w:t>Age (</w:t>
            </w:r>
            <w:proofErr w:type="spellStart"/>
            <w:r w:rsidRPr="00F160D4">
              <w:rPr>
                <w:rFonts w:ascii="Book Antiqua" w:hAnsi="Book Antiqua"/>
                <w:sz w:val="24"/>
              </w:rPr>
              <w:t>y</w:t>
            </w:r>
            <w:r w:rsidR="00851B5D">
              <w:rPr>
                <w:rFonts w:ascii="Book Antiqua" w:hAnsi="Book Antiqua"/>
                <w:sz w:val="24"/>
              </w:rPr>
              <w:t>r</w:t>
            </w:r>
            <w:proofErr w:type="spellEnd"/>
            <w:r w:rsidRPr="00F160D4">
              <w:rPr>
                <w:rFonts w:ascii="Book Antiqua" w:hAnsi="Book Antiqua"/>
                <w:sz w:val="24"/>
              </w:rPr>
              <w:t>)</w:t>
            </w:r>
          </w:p>
        </w:tc>
        <w:tc>
          <w:tcPr>
            <w:tcW w:w="2109" w:type="dxa"/>
            <w:tcBorders>
              <w:top w:val="single" w:sz="8" w:space="0" w:color="auto"/>
            </w:tcBorders>
            <w:vAlign w:val="center"/>
          </w:tcPr>
          <w:p w:rsidR="00841022" w:rsidRPr="00F160D4" w:rsidRDefault="00841022" w:rsidP="00F160D4">
            <w:pPr>
              <w:spacing w:line="360" w:lineRule="auto"/>
              <w:rPr>
                <w:rFonts w:ascii="Book Antiqua" w:hAnsi="Book Antiqua"/>
                <w:sz w:val="24"/>
              </w:rPr>
            </w:pPr>
            <w:r w:rsidRPr="00F160D4">
              <w:rPr>
                <w:rFonts w:ascii="Book Antiqua" w:hAnsi="Book Antiqua"/>
                <w:sz w:val="24"/>
              </w:rPr>
              <w:t>60.3 ± 12.7</w:t>
            </w:r>
          </w:p>
        </w:tc>
        <w:tc>
          <w:tcPr>
            <w:tcW w:w="2109" w:type="dxa"/>
            <w:tcBorders>
              <w:top w:val="single" w:sz="8" w:space="0" w:color="auto"/>
            </w:tcBorders>
            <w:vAlign w:val="center"/>
          </w:tcPr>
          <w:p w:rsidR="00841022" w:rsidRPr="00F160D4" w:rsidRDefault="00841022" w:rsidP="00F160D4">
            <w:pPr>
              <w:spacing w:line="360" w:lineRule="auto"/>
              <w:rPr>
                <w:rFonts w:ascii="Book Antiqua" w:hAnsi="Book Antiqua"/>
                <w:sz w:val="24"/>
              </w:rPr>
            </w:pPr>
            <w:r w:rsidRPr="00F160D4">
              <w:rPr>
                <w:rFonts w:ascii="Book Antiqua" w:hAnsi="Book Antiqua"/>
                <w:sz w:val="24"/>
              </w:rPr>
              <w:t>58.4 ± 13.5</w:t>
            </w:r>
          </w:p>
        </w:tc>
        <w:tc>
          <w:tcPr>
            <w:tcW w:w="1362" w:type="dxa"/>
            <w:tcBorders>
              <w:top w:val="single" w:sz="8" w:space="0" w:color="auto"/>
            </w:tcBorders>
          </w:tcPr>
          <w:p w:rsidR="00841022" w:rsidRPr="00F160D4" w:rsidRDefault="00841022" w:rsidP="00F160D4">
            <w:pPr>
              <w:spacing w:line="360" w:lineRule="auto"/>
              <w:rPr>
                <w:rFonts w:ascii="Book Antiqua" w:hAnsi="Book Antiqua"/>
                <w:sz w:val="24"/>
              </w:rPr>
            </w:pPr>
            <w:r w:rsidRPr="00F160D4">
              <w:rPr>
                <w:rFonts w:ascii="Book Antiqua" w:hAnsi="Book Antiqua"/>
                <w:sz w:val="24"/>
              </w:rPr>
              <w:t>0.299</w:t>
            </w:r>
          </w:p>
        </w:tc>
      </w:tr>
      <w:tr w:rsidR="00841022" w:rsidRPr="00F160D4" w:rsidTr="00DB62C2">
        <w:trPr>
          <w:jc w:val="center"/>
        </w:trPr>
        <w:tc>
          <w:tcPr>
            <w:tcW w:w="2808"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Sex (M/F)</w:t>
            </w:r>
          </w:p>
        </w:tc>
        <w:tc>
          <w:tcPr>
            <w:tcW w:w="2109" w:type="dxa"/>
            <w:vAlign w:val="center"/>
          </w:tcPr>
          <w:p w:rsidR="00841022" w:rsidRPr="00F160D4" w:rsidRDefault="00841022" w:rsidP="00F160D4">
            <w:pPr>
              <w:spacing w:line="360" w:lineRule="auto"/>
              <w:rPr>
                <w:rFonts w:ascii="Book Antiqua" w:hAnsi="Book Antiqua"/>
                <w:sz w:val="24"/>
              </w:rPr>
            </w:pPr>
            <w:r w:rsidRPr="00F160D4">
              <w:rPr>
                <w:rFonts w:ascii="Book Antiqua" w:hAnsi="Book Antiqua"/>
                <w:sz w:val="24"/>
              </w:rPr>
              <w:t>70/65</w:t>
            </w:r>
          </w:p>
        </w:tc>
        <w:tc>
          <w:tcPr>
            <w:tcW w:w="2109" w:type="dxa"/>
            <w:vAlign w:val="center"/>
          </w:tcPr>
          <w:p w:rsidR="00841022" w:rsidRPr="00F160D4" w:rsidRDefault="00841022" w:rsidP="00F160D4">
            <w:pPr>
              <w:spacing w:line="360" w:lineRule="auto"/>
              <w:rPr>
                <w:rFonts w:ascii="Book Antiqua" w:hAnsi="Book Antiqua"/>
                <w:sz w:val="24"/>
              </w:rPr>
            </w:pPr>
            <w:r w:rsidRPr="00F160D4">
              <w:rPr>
                <w:rFonts w:ascii="Book Antiqua" w:hAnsi="Book Antiqua"/>
                <w:sz w:val="24"/>
              </w:rPr>
              <w:t>44/37</w:t>
            </w:r>
          </w:p>
        </w:tc>
        <w:tc>
          <w:tcPr>
            <w:tcW w:w="1362"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0.725</w:t>
            </w:r>
          </w:p>
        </w:tc>
      </w:tr>
      <w:tr w:rsidR="00841022" w:rsidRPr="00F160D4" w:rsidTr="00DB62C2">
        <w:trPr>
          <w:jc w:val="center"/>
        </w:trPr>
        <w:tc>
          <w:tcPr>
            <w:tcW w:w="2808" w:type="dxa"/>
          </w:tcPr>
          <w:p w:rsidR="00841022" w:rsidRPr="00F160D4" w:rsidRDefault="00841022" w:rsidP="00E83636">
            <w:pPr>
              <w:spacing w:line="360" w:lineRule="auto"/>
              <w:rPr>
                <w:rFonts w:ascii="Book Antiqua" w:hAnsi="Book Antiqua"/>
                <w:sz w:val="24"/>
              </w:rPr>
            </w:pPr>
            <w:r w:rsidRPr="00F160D4">
              <w:rPr>
                <w:rFonts w:ascii="Book Antiqua" w:hAnsi="Book Antiqua"/>
                <w:sz w:val="24"/>
              </w:rPr>
              <w:t xml:space="preserve">Married </w:t>
            </w:r>
          </w:p>
        </w:tc>
        <w:tc>
          <w:tcPr>
            <w:tcW w:w="2109" w:type="dxa"/>
            <w:vAlign w:val="center"/>
          </w:tcPr>
          <w:p w:rsidR="00841022" w:rsidRPr="00F160D4" w:rsidRDefault="0005728C" w:rsidP="00F160D4">
            <w:pPr>
              <w:spacing w:line="360" w:lineRule="auto"/>
              <w:rPr>
                <w:rFonts w:ascii="Book Antiqua" w:hAnsi="Book Antiqua"/>
                <w:sz w:val="24"/>
              </w:rPr>
            </w:pPr>
            <w:r>
              <w:rPr>
                <w:rFonts w:ascii="Book Antiqua" w:hAnsi="Book Antiqua"/>
                <w:sz w:val="24"/>
              </w:rPr>
              <w:t>126 (93.3</w:t>
            </w:r>
            <w:r w:rsidR="00841022" w:rsidRPr="00F160D4">
              <w:rPr>
                <w:rFonts w:ascii="Book Antiqua" w:hAnsi="Book Antiqua"/>
                <w:sz w:val="24"/>
              </w:rPr>
              <w:t>)</w:t>
            </w:r>
          </w:p>
        </w:tc>
        <w:tc>
          <w:tcPr>
            <w:tcW w:w="2109" w:type="dxa"/>
            <w:vAlign w:val="center"/>
          </w:tcPr>
          <w:p w:rsidR="00841022" w:rsidRPr="00F160D4" w:rsidRDefault="0005728C" w:rsidP="00F160D4">
            <w:pPr>
              <w:spacing w:line="360" w:lineRule="auto"/>
              <w:rPr>
                <w:rFonts w:ascii="Book Antiqua" w:hAnsi="Book Antiqua"/>
                <w:sz w:val="24"/>
              </w:rPr>
            </w:pPr>
            <w:r>
              <w:rPr>
                <w:rFonts w:ascii="Book Antiqua" w:hAnsi="Book Antiqua"/>
                <w:sz w:val="24"/>
              </w:rPr>
              <w:t>77 (95.1</w:t>
            </w:r>
            <w:r w:rsidR="00841022" w:rsidRPr="00F160D4">
              <w:rPr>
                <w:rFonts w:ascii="Book Antiqua" w:hAnsi="Book Antiqua"/>
                <w:sz w:val="24"/>
              </w:rPr>
              <w:t>)</w:t>
            </w:r>
          </w:p>
        </w:tc>
        <w:tc>
          <w:tcPr>
            <w:tcW w:w="1362"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0.771</w:t>
            </w:r>
          </w:p>
        </w:tc>
      </w:tr>
      <w:tr w:rsidR="00841022" w:rsidRPr="00F160D4" w:rsidTr="00DB62C2">
        <w:trPr>
          <w:jc w:val="center"/>
        </w:trPr>
        <w:tc>
          <w:tcPr>
            <w:tcW w:w="2808" w:type="dxa"/>
          </w:tcPr>
          <w:p w:rsidR="00841022" w:rsidRPr="00F160D4" w:rsidRDefault="00841022" w:rsidP="00E83636">
            <w:pPr>
              <w:spacing w:line="360" w:lineRule="auto"/>
              <w:rPr>
                <w:rFonts w:ascii="Book Antiqua" w:hAnsi="Book Antiqua"/>
                <w:sz w:val="24"/>
              </w:rPr>
            </w:pPr>
            <w:r w:rsidRPr="00F160D4">
              <w:rPr>
                <w:rFonts w:ascii="Book Antiqua" w:hAnsi="Book Antiqua"/>
                <w:sz w:val="24"/>
              </w:rPr>
              <w:t>Childless</w:t>
            </w:r>
          </w:p>
        </w:tc>
        <w:tc>
          <w:tcPr>
            <w:tcW w:w="2109" w:type="dxa"/>
            <w:vAlign w:val="center"/>
          </w:tcPr>
          <w:p w:rsidR="00841022" w:rsidRPr="00F160D4" w:rsidRDefault="0005728C" w:rsidP="00F160D4">
            <w:pPr>
              <w:spacing w:line="360" w:lineRule="auto"/>
              <w:rPr>
                <w:rFonts w:ascii="Book Antiqua" w:hAnsi="Book Antiqua"/>
                <w:sz w:val="24"/>
              </w:rPr>
            </w:pPr>
            <w:r>
              <w:rPr>
                <w:rFonts w:ascii="Book Antiqua" w:hAnsi="Book Antiqua"/>
                <w:sz w:val="24"/>
              </w:rPr>
              <w:t>12 (8.9</w:t>
            </w:r>
            <w:r w:rsidR="00841022" w:rsidRPr="00F160D4">
              <w:rPr>
                <w:rFonts w:ascii="Book Antiqua" w:hAnsi="Book Antiqua"/>
                <w:sz w:val="24"/>
              </w:rPr>
              <w:t>)</w:t>
            </w:r>
          </w:p>
        </w:tc>
        <w:tc>
          <w:tcPr>
            <w:tcW w:w="2109" w:type="dxa"/>
            <w:vAlign w:val="center"/>
          </w:tcPr>
          <w:p w:rsidR="00841022" w:rsidRPr="00F160D4" w:rsidRDefault="0005728C" w:rsidP="00F160D4">
            <w:pPr>
              <w:spacing w:line="360" w:lineRule="auto"/>
              <w:rPr>
                <w:rFonts w:ascii="Book Antiqua" w:hAnsi="Book Antiqua"/>
                <w:sz w:val="24"/>
              </w:rPr>
            </w:pPr>
            <w:r>
              <w:rPr>
                <w:rFonts w:ascii="Book Antiqua" w:hAnsi="Book Antiqua"/>
                <w:sz w:val="24"/>
              </w:rPr>
              <w:t>6 (7.4</w:t>
            </w:r>
            <w:r w:rsidR="00841022" w:rsidRPr="00F160D4">
              <w:rPr>
                <w:rFonts w:ascii="Book Antiqua" w:hAnsi="Book Antiqua"/>
                <w:sz w:val="24"/>
              </w:rPr>
              <w:t>)</w:t>
            </w:r>
          </w:p>
        </w:tc>
        <w:tc>
          <w:tcPr>
            <w:tcW w:w="1362"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0.703</w:t>
            </w:r>
          </w:p>
        </w:tc>
      </w:tr>
      <w:tr w:rsidR="00841022" w:rsidRPr="00F160D4" w:rsidTr="00DB62C2">
        <w:trPr>
          <w:jc w:val="center"/>
        </w:trPr>
        <w:tc>
          <w:tcPr>
            <w:tcW w:w="2808" w:type="dxa"/>
          </w:tcPr>
          <w:p w:rsidR="00841022" w:rsidRPr="00F160D4" w:rsidRDefault="00E83636" w:rsidP="00F160D4">
            <w:pPr>
              <w:spacing w:line="360" w:lineRule="auto"/>
              <w:rPr>
                <w:rFonts w:ascii="Book Antiqua" w:hAnsi="Book Antiqua"/>
                <w:sz w:val="24"/>
              </w:rPr>
            </w:pPr>
            <w:r>
              <w:rPr>
                <w:rFonts w:ascii="Book Antiqua" w:hAnsi="Book Antiqua"/>
                <w:sz w:val="24"/>
              </w:rPr>
              <w:t>Local resident</w:t>
            </w:r>
          </w:p>
        </w:tc>
        <w:tc>
          <w:tcPr>
            <w:tcW w:w="2109" w:type="dxa"/>
            <w:vAlign w:val="center"/>
          </w:tcPr>
          <w:p w:rsidR="00841022" w:rsidRPr="00F160D4" w:rsidRDefault="0005728C" w:rsidP="00F160D4">
            <w:pPr>
              <w:spacing w:line="360" w:lineRule="auto"/>
              <w:rPr>
                <w:rFonts w:ascii="Book Antiqua" w:hAnsi="Book Antiqua"/>
                <w:sz w:val="24"/>
              </w:rPr>
            </w:pPr>
            <w:r>
              <w:rPr>
                <w:rFonts w:ascii="Book Antiqua" w:hAnsi="Book Antiqua"/>
                <w:sz w:val="24"/>
              </w:rPr>
              <w:t>66 (48.9</w:t>
            </w:r>
            <w:r w:rsidR="00841022" w:rsidRPr="00F160D4">
              <w:rPr>
                <w:rFonts w:ascii="Book Antiqua" w:hAnsi="Book Antiqua"/>
                <w:sz w:val="24"/>
              </w:rPr>
              <w:t>)</w:t>
            </w:r>
          </w:p>
        </w:tc>
        <w:tc>
          <w:tcPr>
            <w:tcW w:w="2109" w:type="dxa"/>
            <w:vAlign w:val="center"/>
          </w:tcPr>
          <w:p w:rsidR="00841022" w:rsidRPr="00F160D4" w:rsidRDefault="0005728C" w:rsidP="00F160D4">
            <w:pPr>
              <w:spacing w:line="360" w:lineRule="auto"/>
              <w:rPr>
                <w:rFonts w:ascii="Book Antiqua" w:hAnsi="Book Antiqua"/>
                <w:sz w:val="24"/>
              </w:rPr>
            </w:pPr>
            <w:r>
              <w:rPr>
                <w:rFonts w:ascii="Book Antiqua" w:hAnsi="Book Antiqua"/>
                <w:sz w:val="24"/>
              </w:rPr>
              <w:t>49 (60.5</w:t>
            </w:r>
            <w:r w:rsidR="00841022" w:rsidRPr="00F160D4">
              <w:rPr>
                <w:rFonts w:ascii="Book Antiqua" w:hAnsi="Book Antiqua"/>
                <w:sz w:val="24"/>
              </w:rPr>
              <w:t>)</w:t>
            </w:r>
          </w:p>
        </w:tc>
        <w:tc>
          <w:tcPr>
            <w:tcW w:w="1362"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0.798</w:t>
            </w:r>
          </w:p>
        </w:tc>
      </w:tr>
      <w:tr w:rsidR="00841022" w:rsidRPr="00F160D4" w:rsidTr="00DB62C2">
        <w:trPr>
          <w:jc w:val="center"/>
        </w:trPr>
        <w:tc>
          <w:tcPr>
            <w:tcW w:w="2808" w:type="dxa"/>
          </w:tcPr>
          <w:p w:rsidR="00841022" w:rsidRPr="00F160D4" w:rsidRDefault="00E83636" w:rsidP="00F160D4">
            <w:pPr>
              <w:spacing w:line="360" w:lineRule="auto"/>
              <w:rPr>
                <w:rFonts w:ascii="Book Antiqua" w:hAnsi="Book Antiqua"/>
                <w:sz w:val="24"/>
              </w:rPr>
            </w:pPr>
            <w:r>
              <w:rPr>
                <w:rFonts w:ascii="Book Antiqua" w:hAnsi="Book Antiqua"/>
                <w:sz w:val="24"/>
              </w:rPr>
              <w:t>Educational level</w:t>
            </w:r>
          </w:p>
          <w:p w:rsidR="00841022" w:rsidRPr="00F160D4" w:rsidRDefault="00841022" w:rsidP="00F160D4">
            <w:pPr>
              <w:spacing w:line="360" w:lineRule="auto"/>
              <w:ind w:firstLineChars="200" w:firstLine="480"/>
              <w:rPr>
                <w:rFonts w:ascii="Book Antiqua" w:hAnsi="Book Antiqua"/>
                <w:i/>
                <w:sz w:val="24"/>
              </w:rPr>
            </w:pPr>
            <w:r w:rsidRPr="00F160D4">
              <w:rPr>
                <w:rFonts w:ascii="Book Antiqua" w:hAnsi="Book Antiqua"/>
                <w:i/>
                <w:sz w:val="24"/>
              </w:rPr>
              <w:t>Primary school</w:t>
            </w:r>
          </w:p>
          <w:p w:rsidR="00841022" w:rsidRPr="00F160D4" w:rsidRDefault="00841022" w:rsidP="00F160D4">
            <w:pPr>
              <w:spacing w:line="360" w:lineRule="auto"/>
              <w:ind w:firstLineChars="200" w:firstLine="480"/>
              <w:rPr>
                <w:rFonts w:ascii="Book Antiqua" w:hAnsi="Book Antiqua"/>
                <w:i/>
                <w:sz w:val="24"/>
              </w:rPr>
            </w:pPr>
            <w:r w:rsidRPr="00F160D4">
              <w:rPr>
                <w:rFonts w:ascii="Book Antiqua" w:hAnsi="Book Antiqua"/>
                <w:i/>
                <w:sz w:val="24"/>
              </w:rPr>
              <w:t>Secondary school</w:t>
            </w:r>
          </w:p>
          <w:p w:rsidR="00841022" w:rsidRPr="00F160D4" w:rsidRDefault="00841022" w:rsidP="00F160D4">
            <w:pPr>
              <w:spacing w:line="360" w:lineRule="auto"/>
              <w:ind w:firstLineChars="200" w:firstLine="480"/>
              <w:rPr>
                <w:rFonts w:ascii="Book Antiqua" w:hAnsi="Book Antiqua"/>
                <w:i/>
                <w:sz w:val="24"/>
              </w:rPr>
            </w:pPr>
            <w:r w:rsidRPr="00F160D4">
              <w:rPr>
                <w:rFonts w:ascii="Book Antiqua" w:hAnsi="Book Antiqua"/>
                <w:i/>
                <w:sz w:val="24"/>
              </w:rPr>
              <w:t>High school</w:t>
            </w:r>
          </w:p>
          <w:p w:rsidR="00841022" w:rsidRPr="00F160D4" w:rsidRDefault="00841022" w:rsidP="00F160D4">
            <w:pPr>
              <w:spacing w:line="360" w:lineRule="auto"/>
              <w:ind w:firstLineChars="200" w:firstLine="480"/>
              <w:rPr>
                <w:rFonts w:ascii="Book Antiqua" w:hAnsi="Book Antiqua"/>
                <w:sz w:val="24"/>
              </w:rPr>
            </w:pPr>
            <w:r w:rsidRPr="00F160D4">
              <w:rPr>
                <w:rFonts w:ascii="Book Antiqua" w:hAnsi="Book Antiqua"/>
                <w:i/>
                <w:sz w:val="24"/>
              </w:rPr>
              <w:t>College and above</w:t>
            </w:r>
          </w:p>
        </w:tc>
        <w:tc>
          <w:tcPr>
            <w:tcW w:w="2109" w:type="dxa"/>
            <w:vAlign w:val="center"/>
          </w:tcPr>
          <w:p w:rsidR="00841022" w:rsidRPr="00F160D4" w:rsidRDefault="00841022" w:rsidP="00F160D4">
            <w:pPr>
              <w:spacing w:line="360" w:lineRule="auto"/>
              <w:rPr>
                <w:rFonts w:ascii="Book Antiqua" w:hAnsi="Book Antiqua"/>
                <w:sz w:val="24"/>
              </w:rPr>
            </w:pPr>
          </w:p>
          <w:p w:rsidR="00841022" w:rsidRPr="00F160D4" w:rsidRDefault="0005728C" w:rsidP="00F160D4">
            <w:pPr>
              <w:spacing w:line="360" w:lineRule="auto"/>
              <w:rPr>
                <w:rFonts w:ascii="Book Antiqua" w:hAnsi="Book Antiqua"/>
                <w:sz w:val="24"/>
              </w:rPr>
            </w:pPr>
            <w:r>
              <w:rPr>
                <w:rFonts w:ascii="Book Antiqua" w:hAnsi="Book Antiqua"/>
                <w:sz w:val="24"/>
              </w:rPr>
              <w:t>42 (31.1</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44 (32.6</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24 (17.8</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25 (18.5</w:t>
            </w:r>
            <w:r w:rsidR="00841022" w:rsidRPr="00F160D4">
              <w:rPr>
                <w:rFonts w:ascii="Book Antiqua" w:hAnsi="Book Antiqua"/>
                <w:sz w:val="24"/>
              </w:rPr>
              <w:t>)</w:t>
            </w:r>
          </w:p>
        </w:tc>
        <w:tc>
          <w:tcPr>
            <w:tcW w:w="2109" w:type="dxa"/>
            <w:vAlign w:val="center"/>
          </w:tcPr>
          <w:p w:rsidR="00841022" w:rsidRPr="00F160D4" w:rsidRDefault="00841022" w:rsidP="00F160D4">
            <w:pPr>
              <w:spacing w:line="360" w:lineRule="auto"/>
              <w:rPr>
                <w:rFonts w:ascii="Book Antiqua" w:hAnsi="Book Antiqua"/>
                <w:sz w:val="24"/>
              </w:rPr>
            </w:pPr>
          </w:p>
          <w:p w:rsidR="00841022" w:rsidRPr="00F160D4" w:rsidRDefault="0005728C" w:rsidP="00F160D4">
            <w:pPr>
              <w:spacing w:line="360" w:lineRule="auto"/>
              <w:rPr>
                <w:rFonts w:ascii="Book Antiqua" w:hAnsi="Book Antiqua"/>
                <w:sz w:val="24"/>
              </w:rPr>
            </w:pPr>
            <w:r>
              <w:rPr>
                <w:rFonts w:ascii="Book Antiqua" w:hAnsi="Book Antiqua"/>
                <w:sz w:val="24"/>
              </w:rPr>
              <w:t>26 (32.1</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27 (33.3</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14 (17.3</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14 (17.3</w:t>
            </w:r>
            <w:r w:rsidR="00841022" w:rsidRPr="00F160D4">
              <w:rPr>
                <w:rFonts w:ascii="Book Antiqua" w:hAnsi="Book Antiqua"/>
                <w:sz w:val="24"/>
              </w:rPr>
              <w:t>)</w:t>
            </w:r>
          </w:p>
        </w:tc>
        <w:tc>
          <w:tcPr>
            <w:tcW w:w="1362"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0.050</w:t>
            </w:r>
          </w:p>
        </w:tc>
      </w:tr>
      <w:tr w:rsidR="00841022" w:rsidRPr="00F160D4" w:rsidTr="00DB62C2">
        <w:trPr>
          <w:jc w:val="center"/>
        </w:trPr>
        <w:tc>
          <w:tcPr>
            <w:tcW w:w="2808"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Employment status</w:t>
            </w:r>
          </w:p>
          <w:p w:rsidR="00841022" w:rsidRPr="00F160D4" w:rsidRDefault="00841022" w:rsidP="00F160D4">
            <w:pPr>
              <w:spacing w:line="360" w:lineRule="auto"/>
              <w:ind w:firstLineChars="200" w:firstLine="480"/>
              <w:rPr>
                <w:rFonts w:ascii="Book Antiqua" w:hAnsi="Book Antiqua"/>
                <w:i/>
                <w:sz w:val="24"/>
              </w:rPr>
            </w:pPr>
            <w:r w:rsidRPr="00F160D4">
              <w:rPr>
                <w:rFonts w:ascii="Book Antiqua" w:hAnsi="Book Antiqua"/>
                <w:i/>
                <w:sz w:val="24"/>
              </w:rPr>
              <w:t>Employed</w:t>
            </w:r>
          </w:p>
          <w:p w:rsidR="00841022" w:rsidRPr="00F160D4" w:rsidRDefault="00841022" w:rsidP="00F160D4">
            <w:pPr>
              <w:spacing w:line="360" w:lineRule="auto"/>
              <w:ind w:firstLineChars="200" w:firstLine="480"/>
              <w:rPr>
                <w:rFonts w:ascii="Book Antiqua" w:hAnsi="Book Antiqua"/>
                <w:i/>
                <w:sz w:val="24"/>
              </w:rPr>
            </w:pPr>
            <w:r w:rsidRPr="00F160D4">
              <w:rPr>
                <w:rFonts w:ascii="Book Antiqua" w:hAnsi="Book Antiqua"/>
                <w:i/>
                <w:sz w:val="24"/>
              </w:rPr>
              <w:t>Retired</w:t>
            </w:r>
          </w:p>
          <w:p w:rsidR="00841022" w:rsidRPr="00F160D4" w:rsidRDefault="00841022" w:rsidP="00F160D4">
            <w:pPr>
              <w:spacing w:line="360" w:lineRule="auto"/>
              <w:ind w:firstLineChars="200" w:firstLine="480"/>
              <w:rPr>
                <w:rFonts w:ascii="Book Antiqua" w:hAnsi="Book Antiqua"/>
                <w:sz w:val="24"/>
              </w:rPr>
            </w:pPr>
            <w:r w:rsidRPr="00F160D4">
              <w:rPr>
                <w:rFonts w:ascii="Book Antiqua" w:hAnsi="Book Antiqua"/>
                <w:i/>
                <w:sz w:val="24"/>
              </w:rPr>
              <w:t>Unemployed</w:t>
            </w:r>
          </w:p>
        </w:tc>
        <w:tc>
          <w:tcPr>
            <w:tcW w:w="2109" w:type="dxa"/>
            <w:vAlign w:val="center"/>
          </w:tcPr>
          <w:p w:rsidR="00841022" w:rsidRPr="00F160D4" w:rsidRDefault="00841022" w:rsidP="00F160D4">
            <w:pPr>
              <w:spacing w:line="360" w:lineRule="auto"/>
              <w:rPr>
                <w:rFonts w:ascii="Book Antiqua" w:hAnsi="Book Antiqua"/>
                <w:sz w:val="24"/>
              </w:rPr>
            </w:pPr>
          </w:p>
          <w:p w:rsidR="00841022" w:rsidRPr="00F160D4" w:rsidRDefault="0005728C" w:rsidP="00F160D4">
            <w:pPr>
              <w:spacing w:line="360" w:lineRule="auto"/>
              <w:rPr>
                <w:rFonts w:ascii="Book Antiqua" w:hAnsi="Book Antiqua"/>
                <w:sz w:val="24"/>
              </w:rPr>
            </w:pPr>
            <w:r>
              <w:rPr>
                <w:rFonts w:ascii="Book Antiqua" w:hAnsi="Book Antiqua"/>
                <w:sz w:val="24"/>
              </w:rPr>
              <w:t>36 (26.7</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74 (54.8</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25 (18.5</w:t>
            </w:r>
            <w:r w:rsidR="00841022" w:rsidRPr="00F160D4">
              <w:rPr>
                <w:rFonts w:ascii="Book Antiqua" w:hAnsi="Book Antiqua"/>
                <w:sz w:val="24"/>
              </w:rPr>
              <w:t>)</w:t>
            </w:r>
          </w:p>
        </w:tc>
        <w:tc>
          <w:tcPr>
            <w:tcW w:w="2109" w:type="dxa"/>
            <w:vAlign w:val="center"/>
          </w:tcPr>
          <w:p w:rsidR="00841022" w:rsidRPr="00F160D4" w:rsidRDefault="00841022" w:rsidP="00F160D4">
            <w:pPr>
              <w:spacing w:line="360" w:lineRule="auto"/>
              <w:rPr>
                <w:rFonts w:ascii="Book Antiqua" w:hAnsi="Book Antiqua"/>
                <w:sz w:val="24"/>
              </w:rPr>
            </w:pPr>
          </w:p>
          <w:p w:rsidR="00841022" w:rsidRPr="00F160D4" w:rsidRDefault="0005728C" w:rsidP="00F160D4">
            <w:pPr>
              <w:spacing w:line="360" w:lineRule="auto"/>
              <w:rPr>
                <w:rFonts w:ascii="Book Antiqua" w:hAnsi="Book Antiqua"/>
                <w:sz w:val="24"/>
              </w:rPr>
            </w:pPr>
            <w:r>
              <w:rPr>
                <w:rFonts w:ascii="Book Antiqua" w:hAnsi="Book Antiqua"/>
                <w:sz w:val="24"/>
              </w:rPr>
              <w:t>27 (33.3</w:t>
            </w:r>
            <w:r w:rsidR="00841022" w:rsidRPr="00F160D4">
              <w:rPr>
                <w:rFonts w:ascii="Book Antiqua" w:hAnsi="Book Antiqua"/>
                <w:sz w:val="24"/>
              </w:rPr>
              <w:t>)</w:t>
            </w:r>
          </w:p>
          <w:p w:rsidR="00841022" w:rsidRPr="00F160D4" w:rsidRDefault="00841022" w:rsidP="00F160D4">
            <w:pPr>
              <w:spacing w:line="360" w:lineRule="auto"/>
              <w:rPr>
                <w:rFonts w:ascii="Book Antiqua" w:hAnsi="Book Antiqua"/>
                <w:sz w:val="24"/>
              </w:rPr>
            </w:pPr>
            <w:r w:rsidRPr="00F160D4">
              <w:rPr>
                <w:rFonts w:ascii="Book Antiqua" w:hAnsi="Book Antiqua"/>
                <w:sz w:val="24"/>
              </w:rPr>
              <w:t xml:space="preserve">46 </w:t>
            </w:r>
            <w:r w:rsidR="0005728C">
              <w:rPr>
                <w:rFonts w:ascii="Book Antiqua" w:hAnsi="Book Antiqua"/>
                <w:sz w:val="24"/>
              </w:rPr>
              <w:t>(56.8</w:t>
            </w:r>
            <w:r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8 (9.9</w:t>
            </w:r>
            <w:r w:rsidR="00841022" w:rsidRPr="00F160D4">
              <w:rPr>
                <w:rFonts w:ascii="Book Antiqua" w:hAnsi="Book Antiqua"/>
                <w:sz w:val="24"/>
              </w:rPr>
              <w:t>)</w:t>
            </w:r>
          </w:p>
        </w:tc>
        <w:tc>
          <w:tcPr>
            <w:tcW w:w="1362"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0.195</w:t>
            </w:r>
          </w:p>
        </w:tc>
      </w:tr>
      <w:tr w:rsidR="00841022" w:rsidRPr="00F160D4" w:rsidTr="00DB62C2">
        <w:trPr>
          <w:jc w:val="center"/>
        </w:trPr>
        <w:tc>
          <w:tcPr>
            <w:tcW w:w="2808"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Baseline GIQLI score</w:t>
            </w:r>
          </w:p>
        </w:tc>
        <w:tc>
          <w:tcPr>
            <w:tcW w:w="2109" w:type="dxa"/>
            <w:vAlign w:val="center"/>
          </w:tcPr>
          <w:p w:rsidR="00841022" w:rsidRPr="00F160D4" w:rsidRDefault="00841022" w:rsidP="00F160D4">
            <w:pPr>
              <w:spacing w:line="360" w:lineRule="auto"/>
              <w:rPr>
                <w:rFonts w:ascii="Book Antiqua" w:hAnsi="Book Antiqua"/>
                <w:sz w:val="24"/>
              </w:rPr>
            </w:pPr>
            <w:r w:rsidRPr="00F160D4">
              <w:rPr>
                <w:rFonts w:ascii="Book Antiqua" w:hAnsi="Book Antiqua"/>
                <w:sz w:val="24"/>
              </w:rPr>
              <w:t>103.0 ± 15.4</w:t>
            </w:r>
          </w:p>
        </w:tc>
        <w:tc>
          <w:tcPr>
            <w:tcW w:w="2109" w:type="dxa"/>
            <w:vAlign w:val="center"/>
          </w:tcPr>
          <w:p w:rsidR="00841022" w:rsidRPr="00F160D4" w:rsidRDefault="00841022" w:rsidP="00F160D4">
            <w:pPr>
              <w:spacing w:line="360" w:lineRule="auto"/>
              <w:rPr>
                <w:rFonts w:ascii="Book Antiqua" w:hAnsi="Book Antiqua"/>
                <w:sz w:val="24"/>
              </w:rPr>
            </w:pPr>
            <w:r w:rsidRPr="00F160D4">
              <w:rPr>
                <w:rFonts w:ascii="Book Antiqua" w:hAnsi="Book Antiqua"/>
                <w:sz w:val="24"/>
              </w:rPr>
              <w:t>99.7 ± 10.2</w:t>
            </w:r>
          </w:p>
        </w:tc>
        <w:tc>
          <w:tcPr>
            <w:tcW w:w="1362"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0.091</w:t>
            </w:r>
          </w:p>
        </w:tc>
      </w:tr>
      <w:tr w:rsidR="00841022" w:rsidRPr="00F160D4" w:rsidTr="00DB62C2">
        <w:trPr>
          <w:jc w:val="center"/>
        </w:trPr>
        <w:tc>
          <w:tcPr>
            <w:tcW w:w="2808" w:type="dxa"/>
          </w:tcPr>
          <w:p w:rsidR="00841022" w:rsidRPr="00F160D4" w:rsidRDefault="00841022" w:rsidP="00E83636">
            <w:pPr>
              <w:spacing w:line="360" w:lineRule="auto"/>
              <w:rPr>
                <w:rFonts w:ascii="Book Antiqua" w:hAnsi="Book Antiqua"/>
                <w:sz w:val="24"/>
              </w:rPr>
            </w:pPr>
            <w:r w:rsidRPr="00F160D4">
              <w:rPr>
                <w:rFonts w:ascii="Book Antiqua" w:hAnsi="Book Antiqua"/>
                <w:sz w:val="24"/>
              </w:rPr>
              <w:t xml:space="preserve">Gallstone </w:t>
            </w:r>
            <w:r w:rsidR="00E83636">
              <w:rPr>
                <w:rFonts w:ascii="Book Antiqua" w:hAnsi="Book Antiqua"/>
                <w:sz w:val="24"/>
              </w:rPr>
              <w:t>elimination</w:t>
            </w:r>
          </w:p>
        </w:tc>
        <w:tc>
          <w:tcPr>
            <w:tcW w:w="2109" w:type="dxa"/>
            <w:vAlign w:val="center"/>
          </w:tcPr>
          <w:p w:rsidR="00841022" w:rsidRPr="00F160D4" w:rsidRDefault="00E83636" w:rsidP="00F160D4">
            <w:pPr>
              <w:spacing w:line="360" w:lineRule="auto"/>
              <w:rPr>
                <w:rFonts w:ascii="Book Antiqua" w:hAnsi="Book Antiqua"/>
                <w:sz w:val="24"/>
              </w:rPr>
            </w:pPr>
            <w:r>
              <w:rPr>
                <w:rFonts w:ascii="Book Antiqua" w:hAnsi="Book Antiqua"/>
                <w:sz w:val="24"/>
              </w:rPr>
              <w:t>135/135 (100.0</w:t>
            </w:r>
            <w:r w:rsidR="00841022" w:rsidRPr="00F160D4">
              <w:rPr>
                <w:rFonts w:ascii="Book Antiqua" w:hAnsi="Book Antiqua"/>
                <w:sz w:val="24"/>
              </w:rPr>
              <w:t>)</w:t>
            </w:r>
          </w:p>
        </w:tc>
        <w:tc>
          <w:tcPr>
            <w:tcW w:w="2109" w:type="dxa"/>
            <w:vAlign w:val="center"/>
          </w:tcPr>
          <w:p w:rsidR="00841022" w:rsidRPr="00F160D4" w:rsidRDefault="0005728C" w:rsidP="00F160D4">
            <w:pPr>
              <w:spacing w:line="360" w:lineRule="auto"/>
              <w:rPr>
                <w:rFonts w:ascii="Book Antiqua" w:hAnsi="Book Antiqua"/>
                <w:sz w:val="24"/>
              </w:rPr>
            </w:pPr>
            <w:r>
              <w:rPr>
                <w:rFonts w:ascii="Book Antiqua" w:hAnsi="Book Antiqua"/>
                <w:sz w:val="24"/>
              </w:rPr>
              <w:t>81/81 (100.0</w:t>
            </w:r>
            <w:r w:rsidR="00841022" w:rsidRPr="00F160D4">
              <w:rPr>
                <w:rFonts w:ascii="Book Antiqua" w:hAnsi="Book Antiqua"/>
                <w:sz w:val="24"/>
              </w:rPr>
              <w:t>)</w:t>
            </w:r>
          </w:p>
        </w:tc>
        <w:tc>
          <w:tcPr>
            <w:tcW w:w="1362"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1.000</w:t>
            </w:r>
          </w:p>
        </w:tc>
      </w:tr>
      <w:tr w:rsidR="00841022" w:rsidRPr="00F160D4" w:rsidTr="00DB62C2">
        <w:trPr>
          <w:jc w:val="center"/>
        </w:trPr>
        <w:tc>
          <w:tcPr>
            <w:tcW w:w="2808"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Days of hospital stay (day)</w:t>
            </w:r>
          </w:p>
        </w:tc>
        <w:tc>
          <w:tcPr>
            <w:tcW w:w="2109" w:type="dxa"/>
            <w:vAlign w:val="center"/>
          </w:tcPr>
          <w:p w:rsidR="00841022" w:rsidRPr="00F160D4" w:rsidRDefault="00841022" w:rsidP="00F160D4">
            <w:pPr>
              <w:spacing w:line="360" w:lineRule="auto"/>
              <w:rPr>
                <w:rFonts w:ascii="Book Antiqua" w:hAnsi="Book Antiqua"/>
                <w:sz w:val="24"/>
              </w:rPr>
            </w:pPr>
            <w:r w:rsidRPr="00F160D4">
              <w:rPr>
                <w:rFonts w:ascii="Book Antiqua" w:hAnsi="Book Antiqua"/>
                <w:sz w:val="24"/>
              </w:rPr>
              <w:t>8.8 ± 6.5</w:t>
            </w:r>
          </w:p>
        </w:tc>
        <w:tc>
          <w:tcPr>
            <w:tcW w:w="2109" w:type="dxa"/>
            <w:vAlign w:val="center"/>
          </w:tcPr>
          <w:p w:rsidR="00841022" w:rsidRPr="00F160D4" w:rsidRDefault="00841022" w:rsidP="00F160D4">
            <w:pPr>
              <w:spacing w:line="360" w:lineRule="auto"/>
              <w:rPr>
                <w:rFonts w:ascii="Book Antiqua" w:hAnsi="Book Antiqua"/>
                <w:sz w:val="24"/>
              </w:rPr>
            </w:pPr>
            <w:r w:rsidRPr="00F160D4">
              <w:rPr>
                <w:rFonts w:ascii="Book Antiqua" w:hAnsi="Book Antiqua"/>
                <w:sz w:val="24"/>
              </w:rPr>
              <w:t>13.9 ± 6.7</w:t>
            </w:r>
          </w:p>
        </w:tc>
        <w:tc>
          <w:tcPr>
            <w:tcW w:w="1362" w:type="dxa"/>
          </w:tcPr>
          <w:p w:rsidR="00841022" w:rsidRPr="00F160D4" w:rsidRDefault="00841022" w:rsidP="00F160D4">
            <w:pPr>
              <w:spacing w:line="360" w:lineRule="auto"/>
              <w:rPr>
                <w:rFonts w:ascii="Book Antiqua" w:hAnsi="Book Antiqua"/>
                <w:sz w:val="24"/>
              </w:rPr>
            </w:pPr>
            <w:r w:rsidRPr="00F160D4">
              <w:rPr>
                <w:rFonts w:ascii="Book Antiqua" w:hAnsi="Book Antiqua"/>
                <w:sz w:val="24"/>
              </w:rPr>
              <w:t>&lt; 0.001</w:t>
            </w:r>
          </w:p>
        </w:tc>
      </w:tr>
      <w:tr w:rsidR="00841022" w:rsidRPr="00F160D4" w:rsidTr="0005728C">
        <w:trPr>
          <w:jc w:val="center"/>
        </w:trPr>
        <w:tc>
          <w:tcPr>
            <w:tcW w:w="2808" w:type="dxa"/>
            <w:tcBorders>
              <w:bottom w:val="single" w:sz="4" w:space="0" w:color="auto"/>
            </w:tcBorders>
          </w:tcPr>
          <w:p w:rsidR="00841022" w:rsidRPr="00F160D4" w:rsidRDefault="00E83636" w:rsidP="00F160D4">
            <w:pPr>
              <w:spacing w:line="360" w:lineRule="auto"/>
              <w:rPr>
                <w:rFonts w:ascii="Book Antiqua" w:hAnsi="Book Antiqua"/>
                <w:sz w:val="24"/>
              </w:rPr>
            </w:pPr>
            <w:r>
              <w:rPr>
                <w:rFonts w:ascii="Book Antiqua" w:hAnsi="Book Antiqua"/>
                <w:sz w:val="24"/>
              </w:rPr>
              <w:t>Follow-up rate</w:t>
            </w:r>
            <w:r w:rsidR="00841022" w:rsidRPr="00F160D4">
              <w:rPr>
                <w:rFonts w:ascii="Book Antiqua" w:hAnsi="Book Antiqua"/>
                <w:sz w:val="24"/>
              </w:rPr>
              <w:t xml:space="preserve"> at</w:t>
            </w:r>
          </w:p>
          <w:p w:rsidR="00841022" w:rsidRPr="0005728C" w:rsidRDefault="0005728C" w:rsidP="00F160D4">
            <w:pPr>
              <w:spacing w:line="360" w:lineRule="auto"/>
              <w:ind w:firstLineChars="200" w:firstLine="480"/>
              <w:rPr>
                <w:rFonts w:ascii="Book Antiqua" w:hAnsi="Book Antiqua"/>
                <w:sz w:val="24"/>
              </w:rPr>
            </w:pPr>
            <w:r>
              <w:rPr>
                <w:rFonts w:ascii="Book Antiqua" w:hAnsi="Book Antiqua" w:hint="eastAsia"/>
                <w:sz w:val="24"/>
              </w:rPr>
              <w:t>2</w:t>
            </w:r>
            <w:r w:rsidR="00851B5D">
              <w:rPr>
                <w:rFonts w:ascii="Book Antiqua" w:hAnsi="Book Antiqua" w:hint="eastAsia"/>
                <w:sz w:val="24"/>
              </w:rPr>
              <w:t xml:space="preserve"> </w:t>
            </w:r>
            <w:proofErr w:type="spellStart"/>
            <w:r w:rsidR="00841022" w:rsidRPr="0005728C">
              <w:rPr>
                <w:rFonts w:ascii="Book Antiqua" w:hAnsi="Book Antiqua"/>
                <w:sz w:val="24"/>
              </w:rPr>
              <w:t>w</w:t>
            </w:r>
            <w:r>
              <w:rPr>
                <w:rFonts w:ascii="Book Antiqua" w:hAnsi="Book Antiqua"/>
                <w:sz w:val="24"/>
              </w:rPr>
              <w:t>k</w:t>
            </w:r>
            <w:proofErr w:type="spellEnd"/>
          </w:p>
          <w:p w:rsidR="00841022" w:rsidRPr="00F160D4" w:rsidRDefault="0005728C" w:rsidP="0005728C">
            <w:pPr>
              <w:spacing w:line="360" w:lineRule="auto"/>
              <w:ind w:firstLineChars="200" w:firstLine="480"/>
              <w:rPr>
                <w:rFonts w:ascii="Book Antiqua" w:hAnsi="Book Antiqua"/>
                <w:sz w:val="24"/>
              </w:rPr>
            </w:pPr>
            <w:r>
              <w:rPr>
                <w:rFonts w:ascii="Book Antiqua" w:hAnsi="Book Antiqua" w:hint="eastAsia"/>
                <w:sz w:val="24"/>
              </w:rPr>
              <w:t>6</w:t>
            </w:r>
            <w:r w:rsidR="00841022" w:rsidRPr="0005728C">
              <w:rPr>
                <w:rFonts w:ascii="Book Antiqua" w:hAnsi="Book Antiqua"/>
                <w:sz w:val="24"/>
              </w:rPr>
              <w:t xml:space="preserve"> </w:t>
            </w:r>
            <w:proofErr w:type="spellStart"/>
            <w:r w:rsidR="00841022" w:rsidRPr="0005728C">
              <w:rPr>
                <w:rFonts w:ascii="Book Antiqua" w:hAnsi="Book Antiqua"/>
                <w:sz w:val="24"/>
              </w:rPr>
              <w:t>w</w:t>
            </w:r>
            <w:r>
              <w:rPr>
                <w:rFonts w:ascii="Book Antiqua" w:hAnsi="Book Antiqua"/>
                <w:sz w:val="24"/>
              </w:rPr>
              <w:t>k</w:t>
            </w:r>
            <w:proofErr w:type="spellEnd"/>
          </w:p>
        </w:tc>
        <w:tc>
          <w:tcPr>
            <w:tcW w:w="2109" w:type="dxa"/>
            <w:tcBorders>
              <w:bottom w:val="single" w:sz="4" w:space="0" w:color="auto"/>
            </w:tcBorders>
            <w:vAlign w:val="center"/>
          </w:tcPr>
          <w:p w:rsidR="00841022" w:rsidRPr="00F160D4" w:rsidRDefault="00841022" w:rsidP="00F160D4">
            <w:pPr>
              <w:spacing w:line="360" w:lineRule="auto"/>
              <w:rPr>
                <w:rFonts w:ascii="Book Antiqua" w:hAnsi="Book Antiqua"/>
                <w:sz w:val="24"/>
              </w:rPr>
            </w:pPr>
          </w:p>
          <w:p w:rsidR="00841022" w:rsidRPr="00F160D4" w:rsidRDefault="0005728C" w:rsidP="00F160D4">
            <w:pPr>
              <w:spacing w:line="360" w:lineRule="auto"/>
              <w:rPr>
                <w:rFonts w:ascii="Book Antiqua" w:hAnsi="Book Antiqua"/>
                <w:sz w:val="24"/>
              </w:rPr>
            </w:pPr>
            <w:r>
              <w:rPr>
                <w:rFonts w:ascii="Book Antiqua" w:hAnsi="Book Antiqua"/>
                <w:sz w:val="24"/>
              </w:rPr>
              <w:t>122 (90.4</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118 (96.7</w:t>
            </w:r>
            <w:r w:rsidR="00841022" w:rsidRPr="00F160D4">
              <w:rPr>
                <w:rFonts w:ascii="Book Antiqua" w:hAnsi="Book Antiqua"/>
                <w:sz w:val="24"/>
              </w:rPr>
              <w:t>)</w:t>
            </w:r>
          </w:p>
        </w:tc>
        <w:tc>
          <w:tcPr>
            <w:tcW w:w="2109" w:type="dxa"/>
            <w:tcBorders>
              <w:bottom w:val="single" w:sz="4" w:space="0" w:color="auto"/>
            </w:tcBorders>
            <w:vAlign w:val="center"/>
          </w:tcPr>
          <w:p w:rsidR="00841022" w:rsidRPr="00F160D4" w:rsidRDefault="00841022" w:rsidP="00F160D4">
            <w:pPr>
              <w:spacing w:line="360" w:lineRule="auto"/>
              <w:rPr>
                <w:rFonts w:ascii="Book Antiqua" w:hAnsi="Book Antiqua"/>
                <w:sz w:val="24"/>
              </w:rPr>
            </w:pPr>
          </w:p>
          <w:p w:rsidR="00841022" w:rsidRPr="00F160D4" w:rsidRDefault="0005728C" w:rsidP="00F160D4">
            <w:pPr>
              <w:spacing w:line="360" w:lineRule="auto"/>
              <w:rPr>
                <w:rFonts w:ascii="Book Antiqua" w:hAnsi="Book Antiqua"/>
                <w:sz w:val="24"/>
              </w:rPr>
            </w:pPr>
            <w:r>
              <w:rPr>
                <w:rFonts w:ascii="Book Antiqua" w:hAnsi="Book Antiqua"/>
                <w:sz w:val="24"/>
              </w:rPr>
              <w:t>73 (90.1</w:t>
            </w:r>
            <w:r w:rsidR="00841022" w:rsidRPr="00F160D4">
              <w:rPr>
                <w:rFonts w:ascii="Book Antiqua" w:hAnsi="Book Antiqua"/>
                <w:sz w:val="24"/>
              </w:rPr>
              <w:t>)</w:t>
            </w:r>
          </w:p>
          <w:p w:rsidR="00841022" w:rsidRPr="00F160D4" w:rsidRDefault="0005728C" w:rsidP="00F160D4">
            <w:pPr>
              <w:spacing w:line="360" w:lineRule="auto"/>
              <w:rPr>
                <w:rFonts w:ascii="Book Antiqua" w:hAnsi="Book Antiqua"/>
                <w:sz w:val="24"/>
              </w:rPr>
            </w:pPr>
            <w:r>
              <w:rPr>
                <w:rFonts w:ascii="Book Antiqua" w:hAnsi="Book Antiqua"/>
                <w:sz w:val="24"/>
              </w:rPr>
              <w:t>73 (100.0</w:t>
            </w:r>
            <w:r w:rsidR="00841022" w:rsidRPr="00F160D4">
              <w:rPr>
                <w:rFonts w:ascii="Book Antiqua" w:hAnsi="Book Antiqua"/>
                <w:sz w:val="24"/>
              </w:rPr>
              <w:t>)</w:t>
            </w:r>
          </w:p>
        </w:tc>
        <w:tc>
          <w:tcPr>
            <w:tcW w:w="1362" w:type="dxa"/>
            <w:tcBorders>
              <w:bottom w:val="single" w:sz="4" w:space="0" w:color="auto"/>
            </w:tcBorders>
          </w:tcPr>
          <w:p w:rsidR="00841022" w:rsidRPr="00F160D4" w:rsidRDefault="00841022" w:rsidP="00F160D4">
            <w:pPr>
              <w:spacing w:line="360" w:lineRule="auto"/>
              <w:rPr>
                <w:rFonts w:ascii="Book Antiqua" w:hAnsi="Book Antiqua"/>
                <w:sz w:val="24"/>
              </w:rPr>
            </w:pPr>
            <w:r w:rsidRPr="00F160D4">
              <w:rPr>
                <w:rFonts w:ascii="Book Antiqua" w:hAnsi="Book Antiqua"/>
                <w:sz w:val="24"/>
              </w:rPr>
              <w:t>0.662</w:t>
            </w:r>
          </w:p>
          <w:p w:rsidR="00841022" w:rsidRPr="00F160D4" w:rsidRDefault="00841022" w:rsidP="00F160D4">
            <w:pPr>
              <w:spacing w:line="360" w:lineRule="auto"/>
              <w:rPr>
                <w:rFonts w:ascii="Book Antiqua" w:hAnsi="Book Antiqua"/>
                <w:sz w:val="24"/>
              </w:rPr>
            </w:pPr>
            <w:r w:rsidRPr="00F160D4">
              <w:rPr>
                <w:rFonts w:ascii="Book Antiqua" w:hAnsi="Book Antiqua"/>
                <w:sz w:val="24"/>
              </w:rPr>
              <w:t>1.000</w:t>
            </w:r>
          </w:p>
          <w:p w:rsidR="00841022" w:rsidRPr="00F160D4" w:rsidRDefault="00841022" w:rsidP="00F160D4">
            <w:pPr>
              <w:spacing w:line="360" w:lineRule="auto"/>
              <w:rPr>
                <w:rFonts w:ascii="Book Antiqua" w:hAnsi="Book Antiqua"/>
                <w:sz w:val="24"/>
              </w:rPr>
            </w:pPr>
            <w:r w:rsidRPr="00F160D4">
              <w:rPr>
                <w:rFonts w:ascii="Book Antiqua" w:hAnsi="Book Antiqua"/>
                <w:sz w:val="24"/>
              </w:rPr>
              <w:t>0.300</w:t>
            </w:r>
          </w:p>
        </w:tc>
      </w:tr>
    </w:tbl>
    <w:p w:rsidR="00841022" w:rsidRPr="00F160D4" w:rsidRDefault="0005728C" w:rsidP="00F160D4">
      <w:pPr>
        <w:spacing w:line="360" w:lineRule="auto"/>
        <w:rPr>
          <w:rFonts w:ascii="Book Antiqua" w:hAnsi="Book Antiqua"/>
          <w:sz w:val="24"/>
        </w:rPr>
      </w:pPr>
      <w:r w:rsidRPr="00F160D4">
        <w:rPr>
          <w:rFonts w:ascii="Book Antiqua" w:hAnsi="Book Antiqua"/>
          <w:sz w:val="24"/>
        </w:rPr>
        <w:t xml:space="preserve">Student’s </w:t>
      </w:r>
      <w:r w:rsidRPr="00F160D4">
        <w:rPr>
          <w:rFonts w:ascii="Book Antiqua" w:hAnsi="Book Antiqua"/>
          <w:i/>
          <w:sz w:val="24"/>
        </w:rPr>
        <w:t>t</w:t>
      </w:r>
      <w:r w:rsidRPr="00F160D4">
        <w:rPr>
          <w:rFonts w:ascii="Book Antiqua" w:hAnsi="Book Antiqua"/>
          <w:sz w:val="24"/>
        </w:rPr>
        <w:t>-test was used to compare two variables (baseline GIQLI score and duration of hospital stay);</w:t>
      </w:r>
      <w:r w:rsidRPr="00F160D4">
        <w:rPr>
          <w:rFonts w:ascii="Book Antiqua" w:eastAsia="MingLiU" w:hAnsi="Book Antiqua" w:cs="Arial"/>
          <w:sz w:val="24"/>
        </w:rPr>
        <w:t xml:space="preserve"> </w:t>
      </w:r>
      <w:r w:rsidRPr="00F160D4">
        <w:rPr>
          <w:rFonts w:ascii="Book Antiqua" w:hAnsi="Book Antiqua"/>
          <w:i/>
          <w:sz w:val="24"/>
        </w:rPr>
        <w:sym w:font="Symbol" w:char="F063"/>
      </w:r>
      <w:r w:rsidRPr="00F160D4">
        <w:rPr>
          <w:rFonts w:ascii="Book Antiqua" w:hAnsi="Book Antiqua"/>
          <w:sz w:val="24"/>
          <w:vertAlign w:val="superscript"/>
        </w:rPr>
        <w:t>2</w:t>
      </w:r>
      <w:r w:rsidRPr="00F160D4">
        <w:rPr>
          <w:rFonts w:ascii="Book Antiqua" w:hAnsi="Book Antiqua"/>
          <w:sz w:val="24"/>
        </w:rPr>
        <w:t xml:space="preserve"> analysis was used to compare the other variables.</w:t>
      </w:r>
      <w:r>
        <w:rPr>
          <w:rFonts w:ascii="Book Antiqua" w:hAnsi="Book Antiqua" w:hint="eastAsia"/>
          <w:sz w:val="24"/>
        </w:rPr>
        <w:t xml:space="preserve"> </w:t>
      </w:r>
      <w:r w:rsidR="00841022" w:rsidRPr="00F160D4">
        <w:rPr>
          <w:rFonts w:ascii="Book Antiqua" w:hAnsi="Book Antiqua"/>
          <w:sz w:val="24"/>
        </w:rPr>
        <w:t>EST</w:t>
      </w:r>
      <w:r>
        <w:rPr>
          <w:rFonts w:ascii="Book Antiqua" w:hAnsi="Book Antiqua" w:hint="eastAsia"/>
          <w:sz w:val="24"/>
        </w:rPr>
        <w:t>:</w:t>
      </w:r>
      <w:r w:rsidR="00841022" w:rsidRPr="00F160D4">
        <w:rPr>
          <w:rFonts w:ascii="Book Antiqua" w:hAnsi="Book Antiqua"/>
          <w:sz w:val="24"/>
        </w:rPr>
        <w:t xml:space="preserve"> </w:t>
      </w:r>
      <w:r w:rsidRPr="00F160D4">
        <w:rPr>
          <w:rFonts w:ascii="Book Antiqua" w:hAnsi="Book Antiqua"/>
          <w:sz w:val="24"/>
        </w:rPr>
        <w:t xml:space="preserve">Endoscopic </w:t>
      </w:r>
      <w:proofErr w:type="spellStart"/>
      <w:r w:rsidR="00841022" w:rsidRPr="00F160D4">
        <w:rPr>
          <w:rFonts w:ascii="Book Antiqua" w:hAnsi="Book Antiqua"/>
          <w:sz w:val="24"/>
        </w:rPr>
        <w:t>sphincterotomy</w:t>
      </w:r>
      <w:proofErr w:type="spellEnd"/>
      <w:r w:rsidR="00841022" w:rsidRPr="00F160D4">
        <w:rPr>
          <w:rFonts w:ascii="Book Antiqua" w:hAnsi="Book Antiqua"/>
          <w:sz w:val="24"/>
        </w:rPr>
        <w:t>; GIQLI</w:t>
      </w:r>
      <w:r>
        <w:rPr>
          <w:rFonts w:ascii="Book Antiqua" w:hAnsi="Book Antiqua" w:hint="eastAsia"/>
          <w:sz w:val="24"/>
        </w:rPr>
        <w:t>:</w:t>
      </w:r>
      <w:r w:rsidR="00841022" w:rsidRPr="00F160D4">
        <w:rPr>
          <w:rFonts w:ascii="Book Antiqua" w:hAnsi="Book Antiqua"/>
          <w:sz w:val="24"/>
        </w:rPr>
        <w:t xml:space="preserve"> Gastrointestinal Quality of Life Index; OCT</w:t>
      </w:r>
      <w:r>
        <w:rPr>
          <w:rFonts w:ascii="Book Antiqua" w:hAnsi="Book Antiqua" w:hint="eastAsia"/>
          <w:sz w:val="24"/>
        </w:rPr>
        <w:t>:</w:t>
      </w:r>
      <w:r w:rsidR="00841022" w:rsidRPr="00F160D4">
        <w:rPr>
          <w:rFonts w:ascii="Book Antiqua" w:hAnsi="Book Antiqua"/>
          <w:sz w:val="24"/>
        </w:rPr>
        <w:t xml:space="preserve"> </w:t>
      </w:r>
      <w:r w:rsidRPr="00F160D4">
        <w:rPr>
          <w:rFonts w:ascii="Book Antiqua" w:hAnsi="Book Antiqua"/>
          <w:sz w:val="24"/>
        </w:rPr>
        <w:t xml:space="preserve">Open </w:t>
      </w:r>
      <w:proofErr w:type="spellStart"/>
      <w:r w:rsidR="00841022" w:rsidRPr="00F160D4">
        <w:rPr>
          <w:rFonts w:ascii="Book Antiqua" w:hAnsi="Book Antiqua"/>
          <w:sz w:val="24"/>
        </w:rPr>
        <w:t>choledochotomy</w:t>
      </w:r>
      <w:proofErr w:type="spellEnd"/>
      <w:r w:rsidR="00841022" w:rsidRPr="00F160D4">
        <w:rPr>
          <w:rFonts w:ascii="Book Antiqua" w:hAnsi="Book Antiqua"/>
          <w:sz w:val="24"/>
        </w:rPr>
        <w:t>.</w:t>
      </w:r>
    </w:p>
    <w:p w:rsidR="004A7BC5" w:rsidRPr="00F160D4" w:rsidRDefault="004A7BC5" w:rsidP="00F160D4">
      <w:pPr>
        <w:spacing w:line="360" w:lineRule="auto"/>
        <w:rPr>
          <w:rFonts w:ascii="Book Antiqua" w:hAnsi="Book Antiqua"/>
          <w:sz w:val="24"/>
        </w:rPr>
      </w:pPr>
    </w:p>
    <w:sectPr w:rsidR="004A7BC5" w:rsidRPr="00F160D4" w:rsidSect="002677BB">
      <w:headerReference w:type="even" r:id="rId12"/>
      <w:pgSz w:w="11907" w:h="16840" w:code="9"/>
      <w:pgMar w:top="1440" w:right="1440" w:bottom="1440" w:left="1440" w:header="1020" w:footer="1020" w:gutter="57"/>
      <w:pgNumType w:fmt="numberInDash"/>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02" w:rsidRDefault="00542E02">
      <w:r>
        <w:separator/>
      </w:r>
    </w:p>
  </w:endnote>
  <w:endnote w:type="continuationSeparator" w:id="0">
    <w:p w:rsidR="00542E02" w:rsidRDefault="0054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A0" w:rsidRDefault="00841022" w:rsidP="00A339A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2EA0" w:rsidRDefault="00542E02" w:rsidP="00782F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A0" w:rsidRPr="00A339AC" w:rsidRDefault="00841022" w:rsidP="00A339AC">
    <w:pPr>
      <w:pStyle w:val="a4"/>
      <w:ind w:right="360"/>
      <w:rPr>
        <w:sz w:val="24"/>
        <w:szCs w:val="24"/>
      </w:rPr>
    </w:pPr>
    <w:r w:rsidRPr="00943322">
      <w:rPr>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A0" w:rsidRPr="00A339AC" w:rsidRDefault="00841022" w:rsidP="00A9491D">
    <w:pPr>
      <w:pStyle w:val="a4"/>
      <w:tabs>
        <w:tab w:val="left" w:pos="3750"/>
      </w:tabs>
      <w:rPr>
        <w:sz w:val="24"/>
        <w:szCs w:val="24"/>
      </w:rPr>
    </w:pPr>
    <w:r w:rsidRPr="00943322">
      <w:rP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02" w:rsidRDefault="00542E02">
      <w:r>
        <w:separator/>
      </w:r>
    </w:p>
  </w:footnote>
  <w:footnote w:type="continuationSeparator" w:id="0">
    <w:p w:rsidR="00542E02" w:rsidRDefault="0054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A0" w:rsidRDefault="00542E02" w:rsidP="00677BB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A0" w:rsidRDefault="00542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42B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C26BC"/>
    <w:multiLevelType w:val="hybridMultilevel"/>
    <w:tmpl w:val="807A5D90"/>
    <w:lvl w:ilvl="0" w:tplc="D0527EE0">
      <w:start w:val="1"/>
      <w:numFmt w:val="bullet"/>
      <w:lvlText w:val="■"/>
      <w:lvlJc w:val="left"/>
      <w:pPr>
        <w:tabs>
          <w:tab w:val="num" w:pos="720"/>
        </w:tabs>
        <w:ind w:left="720" w:hanging="360"/>
      </w:pPr>
      <w:rPr>
        <w:rFonts w:ascii="微软雅黑" w:hAnsi="微软雅黑" w:hint="default"/>
      </w:rPr>
    </w:lvl>
    <w:lvl w:ilvl="1" w:tplc="C786DE16" w:tentative="1">
      <w:start w:val="1"/>
      <w:numFmt w:val="bullet"/>
      <w:lvlText w:val="■"/>
      <w:lvlJc w:val="left"/>
      <w:pPr>
        <w:tabs>
          <w:tab w:val="num" w:pos="1440"/>
        </w:tabs>
        <w:ind w:left="1440" w:hanging="360"/>
      </w:pPr>
      <w:rPr>
        <w:rFonts w:ascii="微软雅黑" w:hAnsi="微软雅黑" w:hint="default"/>
      </w:rPr>
    </w:lvl>
    <w:lvl w:ilvl="2" w:tplc="7BCC9EF6" w:tentative="1">
      <w:start w:val="1"/>
      <w:numFmt w:val="bullet"/>
      <w:lvlText w:val="■"/>
      <w:lvlJc w:val="left"/>
      <w:pPr>
        <w:tabs>
          <w:tab w:val="num" w:pos="2160"/>
        </w:tabs>
        <w:ind w:left="2160" w:hanging="360"/>
      </w:pPr>
      <w:rPr>
        <w:rFonts w:ascii="微软雅黑" w:hAnsi="微软雅黑" w:hint="default"/>
      </w:rPr>
    </w:lvl>
    <w:lvl w:ilvl="3" w:tplc="E5408A48" w:tentative="1">
      <w:start w:val="1"/>
      <w:numFmt w:val="bullet"/>
      <w:lvlText w:val="■"/>
      <w:lvlJc w:val="left"/>
      <w:pPr>
        <w:tabs>
          <w:tab w:val="num" w:pos="2880"/>
        </w:tabs>
        <w:ind w:left="2880" w:hanging="360"/>
      </w:pPr>
      <w:rPr>
        <w:rFonts w:ascii="微软雅黑" w:hAnsi="微软雅黑" w:hint="default"/>
      </w:rPr>
    </w:lvl>
    <w:lvl w:ilvl="4" w:tplc="5C746446" w:tentative="1">
      <w:start w:val="1"/>
      <w:numFmt w:val="bullet"/>
      <w:lvlText w:val="■"/>
      <w:lvlJc w:val="left"/>
      <w:pPr>
        <w:tabs>
          <w:tab w:val="num" w:pos="3600"/>
        </w:tabs>
        <w:ind w:left="3600" w:hanging="360"/>
      </w:pPr>
      <w:rPr>
        <w:rFonts w:ascii="微软雅黑" w:hAnsi="微软雅黑" w:hint="default"/>
      </w:rPr>
    </w:lvl>
    <w:lvl w:ilvl="5" w:tplc="6874A338" w:tentative="1">
      <w:start w:val="1"/>
      <w:numFmt w:val="bullet"/>
      <w:lvlText w:val="■"/>
      <w:lvlJc w:val="left"/>
      <w:pPr>
        <w:tabs>
          <w:tab w:val="num" w:pos="4320"/>
        </w:tabs>
        <w:ind w:left="4320" w:hanging="360"/>
      </w:pPr>
      <w:rPr>
        <w:rFonts w:ascii="微软雅黑" w:hAnsi="微软雅黑" w:hint="default"/>
      </w:rPr>
    </w:lvl>
    <w:lvl w:ilvl="6" w:tplc="17206D06" w:tentative="1">
      <w:start w:val="1"/>
      <w:numFmt w:val="bullet"/>
      <w:lvlText w:val="■"/>
      <w:lvlJc w:val="left"/>
      <w:pPr>
        <w:tabs>
          <w:tab w:val="num" w:pos="5040"/>
        </w:tabs>
        <w:ind w:left="5040" w:hanging="360"/>
      </w:pPr>
      <w:rPr>
        <w:rFonts w:ascii="微软雅黑" w:hAnsi="微软雅黑" w:hint="default"/>
      </w:rPr>
    </w:lvl>
    <w:lvl w:ilvl="7" w:tplc="1C624AA6" w:tentative="1">
      <w:start w:val="1"/>
      <w:numFmt w:val="bullet"/>
      <w:lvlText w:val="■"/>
      <w:lvlJc w:val="left"/>
      <w:pPr>
        <w:tabs>
          <w:tab w:val="num" w:pos="5760"/>
        </w:tabs>
        <w:ind w:left="5760" w:hanging="360"/>
      </w:pPr>
      <w:rPr>
        <w:rFonts w:ascii="微软雅黑" w:hAnsi="微软雅黑" w:hint="default"/>
      </w:rPr>
    </w:lvl>
    <w:lvl w:ilvl="8" w:tplc="14EAC9C2" w:tentative="1">
      <w:start w:val="1"/>
      <w:numFmt w:val="bullet"/>
      <w:lvlText w:val="■"/>
      <w:lvlJc w:val="left"/>
      <w:pPr>
        <w:tabs>
          <w:tab w:val="num" w:pos="6480"/>
        </w:tabs>
        <w:ind w:left="6480" w:hanging="360"/>
      </w:pPr>
      <w:rPr>
        <w:rFonts w:ascii="微软雅黑" w:hAnsi="微软雅黑" w:hint="default"/>
      </w:rPr>
    </w:lvl>
  </w:abstractNum>
  <w:abstractNum w:abstractNumId="2">
    <w:nsid w:val="05BA72E0"/>
    <w:multiLevelType w:val="multilevel"/>
    <w:tmpl w:val="CF4C45F8"/>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697833"/>
    <w:multiLevelType w:val="hybridMultilevel"/>
    <w:tmpl w:val="25D4890A"/>
    <w:lvl w:ilvl="0" w:tplc="585073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A52969"/>
    <w:multiLevelType w:val="hybridMultilevel"/>
    <w:tmpl w:val="DFFC7058"/>
    <w:lvl w:ilvl="0" w:tplc="D794E6B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2AA26C2"/>
    <w:multiLevelType w:val="multilevel"/>
    <w:tmpl w:val="4DFE88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4314627"/>
    <w:multiLevelType w:val="hybridMultilevel"/>
    <w:tmpl w:val="01E637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13172A"/>
    <w:multiLevelType w:val="multilevel"/>
    <w:tmpl w:val="B1F6B6E8"/>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63869"/>
    <w:multiLevelType w:val="multilevel"/>
    <w:tmpl w:val="C1C40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F4A14"/>
    <w:multiLevelType w:val="hybridMultilevel"/>
    <w:tmpl w:val="8B8AD7F2"/>
    <w:lvl w:ilvl="0" w:tplc="4BE4E5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7E82803"/>
    <w:multiLevelType w:val="multilevel"/>
    <w:tmpl w:val="31E6BD2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1">
    <w:nsid w:val="292652CD"/>
    <w:multiLevelType w:val="hybridMultilevel"/>
    <w:tmpl w:val="5C7C5A10"/>
    <w:lvl w:ilvl="0" w:tplc="B2D2AE4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9C12E1"/>
    <w:multiLevelType w:val="hybridMultilevel"/>
    <w:tmpl w:val="31E6BD28"/>
    <w:lvl w:ilvl="0" w:tplc="20D048A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39F07959"/>
    <w:multiLevelType w:val="multilevel"/>
    <w:tmpl w:val="28B042A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4E5804"/>
    <w:multiLevelType w:val="multilevel"/>
    <w:tmpl w:val="AD96FE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913518"/>
    <w:multiLevelType w:val="multilevel"/>
    <w:tmpl w:val="0AC47A46"/>
    <w:lvl w:ilvl="0">
      <w:start w:val="1"/>
      <w:numFmt w:val="decimal"/>
      <w:lvlText w:val="%1"/>
      <w:lvlJc w:val="left"/>
      <w:pPr>
        <w:tabs>
          <w:tab w:val="num" w:pos="570"/>
        </w:tabs>
        <w:ind w:left="570" w:hanging="570"/>
      </w:pPr>
      <w:rPr>
        <w:rFonts w:ascii="Tahoma" w:hAnsi="Tahoma" w:cs="Tahoma" w:hint="default"/>
      </w:rPr>
    </w:lvl>
    <w:lvl w:ilvl="1">
      <w:start w:val="2"/>
      <w:numFmt w:val="decimal"/>
      <w:lvlText w:val="%1.%2"/>
      <w:lvlJc w:val="left"/>
      <w:pPr>
        <w:tabs>
          <w:tab w:val="num" w:pos="570"/>
        </w:tabs>
        <w:ind w:left="570" w:hanging="570"/>
      </w:pPr>
      <w:rPr>
        <w:rFonts w:ascii="Tahoma" w:hAnsi="Tahoma" w:cs="Tahoma" w:hint="default"/>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720"/>
        </w:tabs>
        <w:ind w:left="720" w:hanging="720"/>
      </w:pPr>
      <w:rPr>
        <w:rFonts w:ascii="Tahoma" w:hAnsi="Tahoma" w:cs="Tahoma" w:hint="default"/>
      </w:rPr>
    </w:lvl>
    <w:lvl w:ilvl="4">
      <w:start w:val="1"/>
      <w:numFmt w:val="decimal"/>
      <w:lvlText w:val="%1.%2.%3.%4.%5"/>
      <w:lvlJc w:val="left"/>
      <w:pPr>
        <w:tabs>
          <w:tab w:val="num" w:pos="1080"/>
        </w:tabs>
        <w:ind w:left="1080" w:hanging="1080"/>
      </w:pPr>
      <w:rPr>
        <w:rFonts w:ascii="Tahoma" w:hAnsi="Tahoma" w:cs="Tahoma" w:hint="default"/>
      </w:rPr>
    </w:lvl>
    <w:lvl w:ilvl="5">
      <w:start w:val="1"/>
      <w:numFmt w:val="decimal"/>
      <w:lvlText w:val="%1.%2.%3.%4.%5.%6"/>
      <w:lvlJc w:val="left"/>
      <w:pPr>
        <w:tabs>
          <w:tab w:val="num" w:pos="1080"/>
        </w:tabs>
        <w:ind w:left="1080" w:hanging="1080"/>
      </w:pPr>
      <w:rPr>
        <w:rFonts w:ascii="Tahoma" w:hAnsi="Tahoma" w:cs="Tahoma" w:hint="default"/>
      </w:rPr>
    </w:lvl>
    <w:lvl w:ilvl="6">
      <w:start w:val="1"/>
      <w:numFmt w:val="decimal"/>
      <w:lvlText w:val="%1.%2.%3.%4.%5.%6.%7"/>
      <w:lvlJc w:val="left"/>
      <w:pPr>
        <w:tabs>
          <w:tab w:val="num" w:pos="1080"/>
        </w:tabs>
        <w:ind w:left="1080" w:hanging="1080"/>
      </w:pPr>
      <w:rPr>
        <w:rFonts w:ascii="Tahoma" w:hAnsi="Tahoma" w:cs="Tahoma" w:hint="default"/>
      </w:rPr>
    </w:lvl>
    <w:lvl w:ilvl="7">
      <w:start w:val="1"/>
      <w:numFmt w:val="decimal"/>
      <w:lvlText w:val="%1.%2.%3.%4.%5.%6.%7.%8"/>
      <w:lvlJc w:val="left"/>
      <w:pPr>
        <w:tabs>
          <w:tab w:val="num" w:pos="1440"/>
        </w:tabs>
        <w:ind w:left="1440" w:hanging="1440"/>
      </w:pPr>
      <w:rPr>
        <w:rFonts w:ascii="Tahoma" w:hAnsi="Tahoma" w:cs="Tahoma" w:hint="default"/>
      </w:rPr>
    </w:lvl>
    <w:lvl w:ilvl="8">
      <w:start w:val="1"/>
      <w:numFmt w:val="decimal"/>
      <w:lvlText w:val="%1.%2.%3.%4.%5.%6.%7.%8.%9"/>
      <w:lvlJc w:val="left"/>
      <w:pPr>
        <w:tabs>
          <w:tab w:val="num" w:pos="1440"/>
        </w:tabs>
        <w:ind w:left="1440" w:hanging="1440"/>
      </w:pPr>
      <w:rPr>
        <w:rFonts w:ascii="Tahoma" w:hAnsi="Tahoma" w:cs="Tahoma" w:hint="default"/>
      </w:rPr>
    </w:lvl>
  </w:abstractNum>
  <w:abstractNum w:abstractNumId="16">
    <w:nsid w:val="525D11FD"/>
    <w:multiLevelType w:val="multilevel"/>
    <w:tmpl w:val="CF4C45F8"/>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DC0973"/>
    <w:multiLevelType w:val="multilevel"/>
    <w:tmpl w:val="82687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5D5A47"/>
    <w:multiLevelType w:val="multilevel"/>
    <w:tmpl w:val="291A328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0A39AD"/>
    <w:multiLevelType w:val="multilevel"/>
    <w:tmpl w:val="1966C0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0">
    <w:nsid w:val="56F24286"/>
    <w:multiLevelType w:val="hybridMultilevel"/>
    <w:tmpl w:val="35BA70BA"/>
    <w:lvl w:ilvl="0" w:tplc="E17E4938">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591078C1"/>
    <w:multiLevelType w:val="hybridMultilevel"/>
    <w:tmpl w:val="13CCCB26"/>
    <w:lvl w:ilvl="0" w:tplc="15C8E9D4">
      <w:start w:val="1"/>
      <w:numFmt w:val="decimalEnclosedCircle"/>
      <w:lvlText w:val="%1"/>
      <w:lvlJc w:val="left"/>
      <w:pPr>
        <w:tabs>
          <w:tab w:val="num" w:pos="839"/>
        </w:tabs>
        <w:ind w:left="839" w:hanging="36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22">
    <w:nsid w:val="5B372789"/>
    <w:multiLevelType w:val="multilevel"/>
    <w:tmpl w:val="CF4C45F8"/>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3C478B"/>
    <w:multiLevelType w:val="hybridMultilevel"/>
    <w:tmpl w:val="1966C0A2"/>
    <w:lvl w:ilvl="0" w:tplc="8FA8BD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4">
    <w:nsid w:val="64777961"/>
    <w:multiLevelType w:val="multilevel"/>
    <w:tmpl w:val="B6C09B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905986"/>
    <w:multiLevelType w:val="multilevel"/>
    <w:tmpl w:val="72BAA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B10AA7"/>
    <w:multiLevelType w:val="multilevel"/>
    <w:tmpl w:val="C06A3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D85752"/>
    <w:multiLevelType w:val="multilevel"/>
    <w:tmpl w:val="53B0E552"/>
    <w:lvl w:ilvl="0">
      <w:start w:val="3"/>
      <w:numFmt w:val="decimal"/>
      <w:lvlText w:val="%1"/>
      <w:lvlJc w:val="left"/>
      <w:pPr>
        <w:tabs>
          <w:tab w:val="num" w:pos="525"/>
        </w:tabs>
        <w:ind w:left="525" w:hanging="525"/>
      </w:pPr>
      <w:rPr>
        <w:rFonts w:hint="default"/>
        <w:color w:val="auto"/>
      </w:rPr>
    </w:lvl>
    <w:lvl w:ilvl="1">
      <w:start w:val="2"/>
      <w:numFmt w:val="decimal"/>
      <w:lvlText w:val="%1.%2"/>
      <w:lvlJc w:val="left"/>
      <w:pPr>
        <w:tabs>
          <w:tab w:val="num" w:pos="525"/>
        </w:tabs>
        <w:ind w:left="525" w:hanging="52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nsid w:val="6B1B4BC5"/>
    <w:multiLevelType w:val="multilevel"/>
    <w:tmpl w:val="4DFE88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BC5219E"/>
    <w:multiLevelType w:val="hybridMultilevel"/>
    <w:tmpl w:val="A216A28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EE62AE2"/>
    <w:multiLevelType w:val="hybridMultilevel"/>
    <w:tmpl w:val="83909CF4"/>
    <w:lvl w:ilvl="0" w:tplc="397CA612">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710346CA"/>
    <w:multiLevelType w:val="multilevel"/>
    <w:tmpl w:val="C98EE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726F79"/>
    <w:multiLevelType w:val="hybridMultilevel"/>
    <w:tmpl w:val="D4DC9C30"/>
    <w:lvl w:ilvl="0" w:tplc="75606F0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21E28D1"/>
    <w:multiLevelType w:val="multilevel"/>
    <w:tmpl w:val="53B0E552"/>
    <w:lvl w:ilvl="0">
      <w:start w:val="3"/>
      <w:numFmt w:val="decimal"/>
      <w:lvlText w:val="%1"/>
      <w:lvlJc w:val="left"/>
      <w:pPr>
        <w:tabs>
          <w:tab w:val="num" w:pos="525"/>
        </w:tabs>
        <w:ind w:left="525" w:hanging="525"/>
      </w:pPr>
      <w:rPr>
        <w:rFonts w:hint="default"/>
        <w:color w:val="auto"/>
      </w:rPr>
    </w:lvl>
    <w:lvl w:ilvl="1">
      <w:start w:val="2"/>
      <w:numFmt w:val="decimal"/>
      <w:lvlText w:val="%1.%2"/>
      <w:lvlJc w:val="left"/>
      <w:pPr>
        <w:tabs>
          <w:tab w:val="num" w:pos="525"/>
        </w:tabs>
        <w:ind w:left="525" w:hanging="52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4">
    <w:nsid w:val="7D492D3E"/>
    <w:multiLevelType w:val="multilevel"/>
    <w:tmpl w:val="B43E5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7"/>
  </w:num>
  <w:num w:numId="3">
    <w:abstractNumId w:val="13"/>
  </w:num>
  <w:num w:numId="4">
    <w:abstractNumId w:val="18"/>
  </w:num>
  <w:num w:numId="5">
    <w:abstractNumId w:val="14"/>
  </w:num>
  <w:num w:numId="6">
    <w:abstractNumId w:val="9"/>
  </w:num>
  <w:num w:numId="7">
    <w:abstractNumId w:val="8"/>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0"/>
  </w:num>
  <w:num w:numId="11">
    <w:abstractNumId w:val="28"/>
  </w:num>
  <w:num w:numId="12">
    <w:abstractNumId w:val="12"/>
  </w:num>
  <w:num w:numId="13">
    <w:abstractNumId w:val="10"/>
  </w:num>
  <w:num w:numId="14">
    <w:abstractNumId w:val="22"/>
  </w:num>
  <w:num w:numId="15">
    <w:abstractNumId w:val="2"/>
  </w:num>
  <w:num w:numId="16">
    <w:abstractNumId w:val="16"/>
  </w:num>
  <w:num w:numId="17">
    <w:abstractNumId w:val="33"/>
  </w:num>
  <w:num w:numId="18">
    <w:abstractNumId w:val="3"/>
  </w:num>
  <w:num w:numId="19">
    <w:abstractNumId w:val="21"/>
  </w:num>
  <w:num w:numId="20">
    <w:abstractNumId w:val="17"/>
  </w:num>
  <w:num w:numId="21">
    <w:abstractNumId w:val="25"/>
  </w:num>
  <w:num w:numId="22">
    <w:abstractNumId w:val="34"/>
  </w:num>
  <w:num w:numId="23">
    <w:abstractNumId w:val="7"/>
  </w:num>
  <w:num w:numId="24">
    <w:abstractNumId w:val="31"/>
  </w:num>
  <w:num w:numId="25">
    <w:abstractNumId w:val="26"/>
  </w:num>
  <w:num w:numId="26">
    <w:abstractNumId w:val="23"/>
  </w:num>
  <w:num w:numId="27">
    <w:abstractNumId w:val="19"/>
  </w:num>
  <w:num w:numId="28">
    <w:abstractNumId w:val="4"/>
  </w:num>
  <w:num w:numId="29">
    <w:abstractNumId w:val="1"/>
  </w:num>
  <w:num w:numId="30">
    <w:abstractNumId w:val="32"/>
  </w:num>
  <w:num w:numId="31">
    <w:abstractNumId w:val="24"/>
  </w:num>
  <w:num w:numId="32">
    <w:abstractNumId w:val="6"/>
  </w:num>
  <w:num w:numId="33">
    <w:abstractNumId w:val="29"/>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22"/>
    <w:rsid w:val="00043DE2"/>
    <w:rsid w:val="0005728C"/>
    <w:rsid w:val="001843FA"/>
    <w:rsid w:val="003C5C30"/>
    <w:rsid w:val="004A7BC5"/>
    <w:rsid w:val="004F3B15"/>
    <w:rsid w:val="00542E02"/>
    <w:rsid w:val="006808A2"/>
    <w:rsid w:val="00841022"/>
    <w:rsid w:val="00851B5D"/>
    <w:rsid w:val="00947D09"/>
    <w:rsid w:val="00A82C3B"/>
    <w:rsid w:val="00B70B99"/>
    <w:rsid w:val="00BD0129"/>
    <w:rsid w:val="00CD030C"/>
    <w:rsid w:val="00D02AAA"/>
    <w:rsid w:val="00D117B0"/>
    <w:rsid w:val="00D81719"/>
    <w:rsid w:val="00E83636"/>
    <w:rsid w:val="00EA0736"/>
    <w:rsid w:val="00F16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22"/>
    <w:pPr>
      <w:widowControl w:val="0"/>
      <w:jc w:val="both"/>
    </w:pPr>
    <w:rPr>
      <w:rFonts w:ascii="Times New Roman" w:eastAsia="宋体" w:hAnsi="Times New Roman" w:cs="Times New Roman"/>
      <w:szCs w:val="24"/>
    </w:rPr>
  </w:style>
  <w:style w:type="paragraph" w:styleId="1">
    <w:name w:val="heading 1"/>
    <w:basedOn w:val="a"/>
    <w:next w:val="a"/>
    <w:link w:val="1Char"/>
    <w:qFormat/>
    <w:rsid w:val="00841022"/>
    <w:pPr>
      <w:keepNext/>
      <w:keepLines/>
      <w:spacing w:before="340" w:after="330" w:line="578" w:lineRule="auto"/>
      <w:outlineLvl w:val="0"/>
    </w:pPr>
    <w:rPr>
      <w:b/>
      <w:bCs/>
      <w:snapToGrid w:val="0"/>
      <w:kern w:val="44"/>
      <w:sz w:val="44"/>
      <w:szCs w:val="44"/>
    </w:rPr>
  </w:style>
  <w:style w:type="paragraph" w:styleId="2">
    <w:name w:val="heading 2"/>
    <w:basedOn w:val="a"/>
    <w:next w:val="a"/>
    <w:link w:val="2Char"/>
    <w:qFormat/>
    <w:rsid w:val="00841022"/>
    <w:pPr>
      <w:keepNext/>
      <w:keepLines/>
      <w:spacing w:before="260" w:after="260" w:line="416" w:lineRule="auto"/>
      <w:outlineLvl w:val="1"/>
    </w:pPr>
    <w:rPr>
      <w:rFonts w:ascii="Cambria" w:hAnsi="Cambria"/>
      <w:b/>
      <w:bCs/>
      <w:snapToGrid w:val="0"/>
      <w:kern w:val="21"/>
      <w:sz w:val="32"/>
      <w:szCs w:val="32"/>
    </w:rPr>
  </w:style>
  <w:style w:type="paragraph" w:styleId="3">
    <w:name w:val="heading 3"/>
    <w:basedOn w:val="a"/>
    <w:next w:val="a"/>
    <w:link w:val="3Char"/>
    <w:qFormat/>
    <w:rsid w:val="00841022"/>
    <w:pPr>
      <w:keepNext/>
      <w:keepLines/>
      <w:spacing w:before="260" w:after="260" w:line="416" w:lineRule="auto"/>
      <w:outlineLvl w:val="2"/>
    </w:pPr>
    <w:rPr>
      <w:b/>
      <w:bCs/>
      <w:snapToGrid w:val="0"/>
      <w:kern w:val="2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41022"/>
    <w:rPr>
      <w:rFonts w:ascii="Times New Roman" w:eastAsia="宋体" w:hAnsi="Times New Roman" w:cs="Times New Roman"/>
      <w:b/>
      <w:bCs/>
      <w:snapToGrid w:val="0"/>
      <w:kern w:val="44"/>
      <w:sz w:val="44"/>
      <w:szCs w:val="44"/>
    </w:rPr>
  </w:style>
  <w:style w:type="character" w:customStyle="1" w:styleId="2Char">
    <w:name w:val="标题 2 Char"/>
    <w:basedOn w:val="a0"/>
    <w:link w:val="2"/>
    <w:rsid w:val="00841022"/>
    <w:rPr>
      <w:rFonts w:ascii="Cambria" w:eastAsia="宋体" w:hAnsi="Cambria" w:cs="Times New Roman"/>
      <w:b/>
      <w:bCs/>
      <w:snapToGrid w:val="0"/>
      <w:kern w:val="21"/>
      <w:sz w:val="32"/>
      <w:szCs w:val="32"/>
    </w:rPr>
  </w:style>
  <w:style w:type="character" w:customStyle="1" w:styleId="3Char">
    <w:name w:val="标题 3 Char"/>
    <w:basedOn w:val="a0"/>
    <w:link w:val="3"/>
    <w:rsid w:val="00841022"/>
    <w:rPr>
      <w:rFonts w:ascii="Times New Roman" w:eastAsia="宋体" w:hAnsi="Times New Roman" w:cs="Times New Roman"/>
      <w:b/>
      <w:bCs/>
      <w:snapToGrid w:val="0"/>
      <w:kern w:val="21"/>
      <w:sz w:val="32"/>
      <w:szCs w:val="32"/>
    </w:rPr>
  </w:style>
  <w:style w:type="paragraph" w:styleId="a3">
    <w:name w:val="header"/>
    <w:basedOn w:val="a"/>
    <w:link w:val="Char"/>
    <w:rsid w:val="00841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1022"/>
    <w:rPr>
      <w:rFonts w:ascii="Times New Roman" w:eastAsia="宋体" w:hAnsi="Times New Roman" w:cs="Times New Roman"/>
      <w:sz w:val="18"/>
      <w:szCs w:val="18"/>
    </w:rPr>
  </w:style>
  <w:style w:type="paragraph" w:styleId="a4">
    <w:name w:val="footer"/>
    <w:basedOn w:val="a"/>
    <w:link w:val="Char0"/>
    <w:rsid w:val="00841022"/>
    <w:pPr>
      <w:tabs>
        <w:tab w:val="center" w:pos="4153"/>
        <w:tab w:val="right" w:pos="8306"/>
      </w:tabs>
      <w:snapToGrid w:val="0"/>
      <w:jc w:val="left"/>
    </w:pPr>
    <w:rPr>
      <w:sz w:val="18"/>
      <w:szCs w:val="18"/>
    </w:rPr>
  </w:style>
  <w:style w:type="character" w:customStyle="1" w:styleId="Char0">
    <w:name w:val="页脚 Char"/>
    <w:basedOn w:val="a0"/>
    <w:link w:val="a4"/>
    <w:rsid w:val="00841022"/>
    <w:rPr>
      <w:rFonts w:ascii="Times New Roman" w:eastAsia="宋体" w:hAnsi="Times New Roman" w:cs="Times New Roman"/>
      <w:sz w:val="18"/>
      <w:szCs w:val="18"/>
    </w:rPr>
  </w:style>
  <w:style w:type="paragraph" w:styleId="a5">
    <w:name w:val="Title"/>
    <w:basedOn w:val="a"/>
    <w:link w:val="Char1"/>
    <w:qFormat/>
    <w:rsid w:val="00841022"/>
    <w:pPr>
      <w:spacing w:before="240" w:after="60" w:line="360" w:lineRule="auto"/>
      <w:jc w:val="center"/>
      <w:outlineLvl w:val="0"/>
    </w:pPr>
    <w:rPr>
      <w:rFonts w:ascii="Arial" w:hAnsi="Arial" w:cs="Arial"/>
      <w:b/>
      <w:bCs/>
      <w:snapToGrid w:val="0"/>
      <w:kern w:val="21"/>
      <w:sz w:val="32"/>
      <w:szCs w:val="32"/>
    </w:rPr>
  </w:style>
  <w:style w:type="character" w:customStyle="1" w:styleId="Char1">
    <w:name w:val="标题 Char"/>
    <w:basedOn w:val="a0"/>
    <w:link w:val="a5"/>
    <w:rsid w:val="00841022"/>
    <w:rPr>
      <w:rFonts w:ascii="Arial" w:eastAsia="宋体" w:hAnsi="Arial" w:cs="Arial"/>
      <w:b/>
      <w:bCs/>
      <w:snapToGrid w:val="0"/>
      <w:kern w:val="21"/>
      <w:sz w:val="32"/>
      <w:szCs w:val="32"/>
    </w:rPr>
  </w:style>
  <w:style w:type="paragraph" w:styleId="a6">
    <w:name w:val="Normal (Web)"/>
    <w:basedOn w:val="a"/>
    <w:rsid w:val="00841022"/>
    <w:pPr>
      <w:widowControl/>
      <w:spacing w:before="100" w:beforeAutospacing="1" w:after="100" w:afterAutospacing="1"/>
      <w:jc w:val="left"/>
    </w:pPr>
    <w:rPr>
      <w:rFonts w:ascii="宋体" w:hAnsi="宋体" w:cs="宋体"/>
      <w:snapToGrid w:val="0"/>
      <w:kern w:val="0"/>
      <w:sz w:val="24"/>
    </w:rPr>
  </w:style>
  <w:style w:type="table" w:styleId="a7">
    <w:name w:val="Table Grid"/>
    <w:basedOn w:val="a1"/>
    <w:rsid w:val="0084102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841022"/>
    <w:rPr>
      <w:color w:val="0000FF"/>
      <w:u w:val="single"/>
    </w:rPr>
  </w:style>
  <w:style w:type="character" w:styleId="a9">
    <w:name w:val="page number"/>
    <w:basedOn w:val="a0"/>
    <w:rsid w:val="00841022"/>
  </w:style>
  <w:style w:type="character" w:customStyle="1" w:styleId="longtext1">
    <w:name w:val="long_text1"/>
    <w:rsid w:val="00841022"/>
    <w:rPr>
      <w:sz w:val="20"/>
      <w:szCs w:val="20"/>
    </w:rPr>
  </w:style>
  <w:style w:type="character" w:customStyle="1" w:styleId="shorttext">
    <w:name w:val="short_text"/>
    <w:basedOn w:val="a0"/>
    <w:rsid w:val="00841022"/>
  </w:style>
  <w:style w:type="paragraph" w:styleId="10">
    <w:name w:val="toc 1"/>
    <w:basedOn w:val="a"/>
    <w:next w:val="a"/>
    <w:autoRedefine/>
    <w:unhideWhenUsed/>
    <w:qFormat/>
    <w:rsid w:val="00841022"/>
    <w:pPr>
      <w:spacing w:before="120" w:after="120"/>
      <w:jc w:val="left"/>
    </w:pPr>
    <w:rPr>
      <w:b/>
      <w:bCs/>
      <w:caps/>
      <w:snapToGrid w:val="0"/>
      <w:kern w:val="21"/>
      <w:sz w:val="20"/>
      <w:szCs w:val="20"/>
    </w:rPr>
  </w:style>
  <w:style w:type="paragraph" w:styleId="30">
    <w:name w:val="toc 3"/>
    <w:basedOn w:val="a"/>
    <w:next w:val="a"/>
    <w:autoRedefine/>
    <w:unhideWhenUsed/>
    <w:qFormat/>
    <w:rsid w:val="00841022"/>
    <w:pPr>
      <w:ind w:left="420"/>
      <w:jc w:val="left"/>
    </w:pPr>
    <w:rPr>
      <w:i/>
      <w:iCs/>
      <w:snapToGrid w:val="0"/>
      <w:kern w:val="21"/>
      <w:sz w:val="20"/>
      <w:szCs w:val="20"/>
    </w:rPr>
  </w:style>
  <w:style w:type="paragraph" w:styleId="20">
    <w:name w:val="toc 2"/>
    <w:basedOn w:val="a"/>
    <w:next w:val="a"/>
    <w:autoRedefine/>
    <w:unhideWhenUsed/>
    <w:qFormat/>
    <w:rsid w:val="00841022"/>
    <w:pPr>
      <w:ind w:left="210"/>
      <w:jc w:val="left"/>
    </w:pPr>
    <w:rPr>
      <w:smallCaps/>
      <w:snapToGrid w:val="0"/>
      <w:kern w:val="21"/>
      <w:sz w:val="20"/>
      <w:szCs w:val="20"/>
    </w:rPr>
  </w:style>
  <w:style w:type="character" w:customStyle="1" w:styleId="longtext">
    <w:name w:val="long_text"/>
    <w:basedOn w:val="a0"/>
    <w:rsid w:val="00841022"/>
  </w:style>
  <w:style w:type="character" w:customStyle="1" w:styleId="gt-icon-text1">
    <w:name w:val="gt-icon-text1"/>
    <w:basedOn w:val="a0"/>
    <w:rsid w:val="00841022"/>
  </w:style>
  <w:style w:type="character" w:customStyle="1" w:styleId="hps">
    <w:name w:val="hps"/>
    <w:basedOn w:val="a0"/>
    <w:rsid w:val="00841022"/>
  </w:style>
  <w:style w:type="character" w:customStyle="1" w:styleId="hpstrans-target">
    <w:name w:val="hps trans-target"/>
    <w:basedOn w:val="a0"/>
    <w:rsid w:val="00841022"/>
  </w:style>
  <w:style w:type="character" w:customStyle="1" w:styleId="hpsatn">
    <w:name w:val="hps atn"/>
    <w:basedOn w:val="a0"/>
    <w:rsid w:val="00841022"/>
  </w:style>
  <w:style w:type="paragraph" w:styleId="aa">
    <w:name w:val="Body Text"/>
    <w:basedOn w:val="a"/>
    <w:link w:val="Char2"/>
    <w:rsid w:val="00841022"/>
    <w:rPr>
      <w:b/>
      <w:snapToGrid w:val="0"/>
      <w:kern w:val="21"/>
      <w:szCs w:val="20"/>
    </w:rPr>
  </w:style>
  <w:style w:type="character" w:customStyle="1" w:styleId="Char2">
    <w:name w:val="正文文本 Char"/>
    <w:basedOn w:val="a0"/>
    <w:link w:val="aa"/>
    <w:rsid w:val="00841022"/>
    <w:rPr>
      <w:rFonts w:ascii="Times New Roman" w:eastAsia="宋体" w:hAnsi="Times New Roman" w:cs="Times New Roman"/>
      <w:b/>
      <w:snapToGrid w:val="0"/>
      <w:kern w:val="21"/>
      <w:szCs w:val="20"/>
    </w:rPr>
  </w:style>
  <w:style w:type="paragraph" w:customStyle="1" w:styleId="TOC1">
    <w:name w:val="TOC 标题1"/>
    <w:basedOn w:val="1"/>
    <w:next w:val="a"/>
    <w:qFormat/>
    <w:rsid w:val="00841022"/>
    <w:pPr>
      <w:widowControl/>
      <w:spacing w:before="480" w:after="0" w:line="276" w:lineRule="auto"/>
      <w:jc w:val="left"/>
      <w:outlineLvl w:val="9"/>
    </w:pPr>
    <w:rPr>
      <w:rFonts w:ascii="Cambria" w:hAnsi="Cambria"/>
      <w:color w:val="365F91"/>
      <w:kern w:val="0"/>
      <w:sz w:val="28"/>
      <w:szCs w:val="28"/>
    </w:rPr>
  </w:style>
  <w:style w:type="character" w:styleId="ab">
    <w:name w:val="FollowedHyperlink"/>
    <w:rsid w:val="00841022"/>
    <w:rPr>
      <w:color w:val="800080"/>
      <w:u w:val="single"/>
    </w:rPr>
  </w:style>
  <w:style w:type="character" w:customStyle="1" w:styleId="g1">
    <w:name w:val="g1"/>
    <w:rsid w:val="00841022"/>
    <w:rPr>
      <w:color w:val="008000"/>
    </w:rPr>
  </w:style>
  <w:style w:type="character" w:styleId="ac">
    <w:name w:val="Emphasis"/>
    <w:qFormat/>
    <w:rsid w:val="00841022"/>
    <w:rPr>
      <w:i w:val="0"/>
      <w:iCs w:val="0"/>
      <w:color w:val="CC0000"/>
    </w:rPr>
  </w:style>
  <w:style w:type="paragraph" w:styleId="ad">
    <w:name w:val="Balloon Text"/>
    <w:basedOn w:val="a"/>
    <w:link w:val="Char3"/>
    <w:semiHidden/>
    <w:rsid w:val="00841022"/>
    <w:rPr>
      <w:sz w:val="18"/>
      <w:szCs w:val="18"/>
    </w:rPr>
  </w:style>
  <w:style w:type="character" w:customStyle="1" w:styleId="Char3">
    <w:name w:val="批注框文本 Char"/>
    <w:basedOn w:val="a0"/>
    <w:link w:val="ad"/>
    <w:semiHidden/>
    <w:rsid w:val="00841022"/>
    <w:rPr>
      <w:rFonts w:ascii="Times New Roman" w:eastAsia="宋体" w:hAnsi="Times New Roman" w:cs="Times New Roman"/>
      <w:sz w:val="18"/>
      <w:szCs w:val="18"/>
    </w:rPr>
  </w:style>
  <w:style w:type="paragraph" w:styleId="ae">
    <w:name w:val="caption"/>
    <w:basedOn w:val="a"/>
    <w:next w:val="a"/>
    <w:qFormat/>
    <w:rsid w:val="00841022"/>
    <w:rPr>
      <w:rFonts w:ascii="Arial" w:eastAsia="黑体" w:hAnsi="Arial" w:cs="Arial"/>
      <w:sz w:val="20"/>
      <w:szCs w:val="20"/>
    </w:rPr>
  </w:style>
  <w:style w:type="character" w:styleId="af">
    <w:name w:val="annotation reference"/>
    <w:rsid w:val="00841022"/>
    <w:rPr>
      <w:sz w:val="21"/>
      <w:szCs w:val="21"/>
    </w:rPr>
  </w:style>
  <w:style w:type="paragraph" w:styleId="af0">
    <w:name w:val="annotation text"/>
    <w:basedOn w:val="a"/>
    <w:link w:val="Char4"/>
    <w:rsid w:val="00841022"/>
    <w:pPr>
      <w:jc w:val="left"/>
    </w:pPr>
    <w:rPr>
      <w:lang w:val="x-none" w:eastAsia="x-none"/>
    </w:rPr>
  </w:style>
  <w:style w:type="character" w:customStyle="1" w:styleId="Char4">
    <w:name w:val="批注文字 Char"/>
    <w:basedOn w:val="a0"/>
    <w:link w:val="af0"/>
    <w:rsid w:val="00841022"/>
    <w:rPr>
      <w:rFonts w:ascii="Times New Roman" w:eastAsia="宋体" w:hAnsi="Times New Roman" w:cs="Times New Roman"/>
      <w:szCs w:val="24"/>
      <w:lang w:val="x-none" w:eastAsia="x-none"/>
    </w:rPr>
  </w:style>
  <w:style w:type="paragraph" w:styleId="af1">
    <w:name w:val="annotation subject"/>
    <w:basedOn w:val="af0"/>
    <w:next w:val="af0"/>
    <w:link w:val="Char5"/>
    <w:semiHidden/>
    <w:rsid w:val="00841022"/>
    <w:rPr>
      <w:b/>
      <w:bCs/>
    </w:rPr>
  </w:style>
  <w:style w:type="character" w:customStyle="1" w:styleId="Char5">
    <w:name w:val="批注主题 Char"/>
    <w:basedOn w:val="Char4"/>
    <w:link w:val="af1"/>
    <w:semiHidden/>
    <w:rsid w:val="00841022"/>
    <w:rPr>
      <w:rFonts w:ascii="Times New Roman" w:eastAsia="宋体" w:hAnsi="Times New Roman" w:cs="Times New Roman"/>
      <w:b/>
      <w:bCs/>
      <w:szCs w:val="24"/>
      <w:lang w:val="x-none" w:eastAsia="x-none"/>
    </w:rPr>
  </w:style>
  <w:style w:type="paragraph" w:customStyle="1" w:styleId="p0">
    <w:name w:val="p0"/>
    <w:basedOn w:val="a"/>
    <w:rsid w:val="00841022"/>
    <w:pPr>
      <w:widowControl/>
      <w:spacing w:line="240" w:lineRule="atLeast"/>
      <w:jc w:val="left"/>
    </w:pPr>
    <w:rPr>
      <w:rFonts w:ascii="Century" w:hAnsi="Century" w:cs="宋体"/>
      <w:kern w:val="0"/>
      <w:szCs w:val="21"/>
    </w:rPr>
  </w:style>
  <w:style w:type="character" w:styleId="af2">
    <w:name w:val="Strong"/>
    <w:qFormat/>
    <w:rsid w:val="00841022"/>
    <w:rPr>
      <w:b/>
      <w:bCs/>
    </w:rPr>
  </w:style>
  <w:style w:type="paragraph" w:customStyle="1" w:styleId="-11">
    <w:name w:val="彩色列表 - 强调文字颜色 11"/>
    <w:basedOn w:val="a"/>
    <w:uiPriority w:val="34"/>
    <w:qFormat/>
    <w:rsid w:val="00841022"/>
    <w:pPr>
      <w:widowControl/>
      <w:suppressAutoHyphens/>
      <w:ind w:firstLineChars="200" w:firstLine="420"/>
      <w:jc w:val="left"/>
    </w:pPr>
    <w:rPr>
      <w:rFonts w:eastAsia="Lucida Sans Unicode" w:cs="Mangal"/>
      <w:kern w:val="1"/>
      <w:sz w:val="24"/>
      <w:szCs w:val="21"/>
      <w:lang w:val="it-IT" w:eastAsia="hi-IN" w:bidi="hi-IN"/>
    </w:rPr>
  </w:style>
  <w:style w:type="character" w:customStyle="1" w:styleId="labellist1">
    <w:name w:val="label_list1"/>
    <w:rsid w:val="00841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22"/>
    <w:pPr>
      <w:widowControl w:val="0"/>
      <w:jc w:val="both"/>
    </w:pPr>
    <w:rPr>
      <w:rFonts w:ascii="Times New Roman" w:eastAsia="宋体" w:hAnsi="Times New Roman" w:cs="Times New Roman"/>
      <w:szCs w:val="24"/>
    </w:rPr>
  </w:style>
  <w:style w:type="paragraph" w:styleId="1">
    <w:name w:val="heading 1"/>
    <w:basedOn w:val="a"/>
    <w:next w:val="a"/>
    <w:link w:val="1Char"/>
    <w:qFormat/>
    <w:rsid w:val="00841022"/>
    <w:pPr>
      <w:keepNext/>
      <w:keepLines/>
      <w:spacing w:before="340" w:after="330" w:line="578" w:lineRule="auto"/>
      <w:outlineLvl w:val="0"/>
    </w:pPr>
    <w:rPr>
      <w:b/>
      <w:bCs/>
      <w:snapToGrid w:val="0"/>
      <w:kern w:val="44"/>
      <w:sz w:val="44"/>
      <w:szCs w:val="44"/>
    </w:rPr>
  </w:style>
  <w:style w:type="paragraph" w:styleId="2">
    <w:name w:val="heading 2"/>
    <w:basedOn w:val="a"/>
    <w:next w:val="a"/>
    <w:link w:val="2Char"/>
    <w:qFormat/>
    <w:rsid w:val="00841022"/>
    <w:pPr>
      <w:keepNext/>
      <w:keepLines/>
      <w:spacing w:before="260" w:after="260" w:line="416" w:lineRule="auto"/>
      <w:outlineLvl w:val="1"/>
    </w:pPr>
    <w:rPr>
      <w:rFonts w:ascii="Cambria" w:hAnsi="Cambria"/>
      <w:b/>
      <w:bCs/>
      <w:snapToGrid w:val="0"/>
      <w:kern w:val="21"/>
      <w:sz w:val="32"/>
      <w:szCs w:val="32"/>
    </w:rPr>
  </w:style>
  <w:style w:type="paragraph" w:styleId="3">
    <w:name w:val="heading 3"/>
    <w:basedOn w:val="a"/>
    <w:next w:val="a"/>
    <w:link w:val="3Char"/>
    <w:qFormat/>
    <w:rsid w:val="00841022"/>
    <w:pPr>
      <w:keepNext/>
      <w:keepLines/>
      <w:spacing w:before="260" w:after="260" w:line="416" w:lineRule="auto"/>
      <w:outlineLvl w:val="2"/>
    </w:pPr>
    <w:rPr>
      <w:b/>
      <w:bCs/>
      <w:snapToGrid w:val="0"/>
      <w:kern w:val="2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41022"/>
    <w:rPr>
      <w:rFonts w:ascii="Times New Roman" w:eastAsia="宋体" w:hAnsi="Times New Roman" w:cs="Times New Roman"/>
      <w:b/>
      <w:bCs/>
      <w:snapToGrid w:val="0"/>
      <w:kern w:val="44"/>
      <w:sz w:val="44"/>
      <w:szCs w:val="44"/>
    </w:rPr>
  </w:style>
  <w:style w:type="character" w:customStyle="1" w:styleId="2Char">
    <w:name w:val="标题 2 Char"/>
    <w:basedOn w:val="a0"/>
    <w:link w:val="2"/>
    <w:rsid w:val="00841022"/>
    <w:rPr>
      <w:rFonts w:ascii="Cambria" w:eastAsia="宋体" w:hAnsi="Cambria" w:cs="Times New Roman"/>
      <w:b/>
      <w:bCs/>
      <w:snapToGrid w:val="0"/>
      <w:kern w:val="21"/>
      <w:sz w:val="32"/>
      <w:szCs w:val="32"/>
    </w:rPr>
  </w:style>
  <w:style w:type="character" w:customStyle="1" w:styleId="3Char">
    <w:name w:val="标题 3 Char"/>
    <w:basedOn w:val="a0"/>
    <w:link w:val="3"/>
    <w:rsid w:val="00841022"/>
    <w:rPr>
      <w:rFonts w:ascii="Times New Roman" w:eastAsia="宋体" w:hAnsi="Times New Roman" w:cs="Times New Roman"/>
      <w:b/>
      <w:bCs/>
      <w:snapToGrid w:val="0"/>
      <w:kern w:val="21"/>
      <w:sz w:val="32"/>
      <w:szCs w:val="32"/>
    </w:rPr>
  </w:style>
  <w:style w:type="paragraph" w:styleId="a3">
    <w:name w:val="header"/>
    <w:basedOn w:val="a"/>
    <w:link w:val="Char"/>
    <w:rsid w:val="00841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1022"/>
    <w:rPr>
      <w:rFonts w:ascii="Times New Roman" w:eastAsia="宋体" w:hAnsi="Times New Roman" w:cs="Times New Roman"/>
      <w:sz w:val="18"/>
      <w:szCs w:val="18"/>
    </w:rPr>
  </w:style>
  <w:style w:type="paragraph" w:styleId="a4">
    <w:name w:val="footer"/>
    <w:basedOn w:val="a"/>
    <w:link w:val="Char0"/>
    <w:rsid w:val="00841022"/>
    <w:pPr>
      <w:tabs>
        <w:tab w:val="center" w:pos="4153"/>
        <w:tab w:val="right" w:pos="8306"/>
      </w:tabs>
      <w:snapToGrid w:val="0"/>
      <w:jc w:val="left"/>
    </w:pPr>
    <w:rPr>
      <w:sz w:val="18"/>
      <w:szCs w:val="18"/>
    </w:rPr>
  </w:style>
  <w:style w:type="character" w:customStyle="1" w:styleId="Char0">
    <w:name w:val="页脚 Char"/>
    <w:basedOn w:val="a0"/>
    <w:link w:val="a4"/>
    <w:rsid w:val="00841022"/>
    <w:rPr>
      <w:rFonts w:ascii="Times New Roman" w:eastAsia="宋体" w:hAnsi="Times New Roman" w:cs="Times New Roman"/>
      <w:sz w:val="18"/>
      <w:szCs w:val="18"/>
    </w:rPr>
  </w:style>
  <w:style w:type="paragraph" w:styleId="a5">
    <w:name w:val="Title"/>
    <w:basedOn w:val="a"/>
    <w:link w:val="Char1"/>
    <w:qFormat/>
    <w:rsid w:val="00841022"/>
    <w:pPr>
      <w:spacing w:before="240" w:after="60" w:line="360" w:lineRule="auto"/>
      <w:jc w:val="center"/>
      <w:outlineLvl w:val="0"/>
    </w:pPr>
    <w:rPr>
      <w:rFonts w:ascii="Arial" w:hAnsi="Arial" w:cs="Arial"/>
      <w:b/>
      <w:bCs/>
      <w:snapToGrid w:val="0"/>
      <w:kern w:val="21"/>
      <w:sz w:val="32"/>
      <w:szCs w:val="32"/>
    </w:rPr>
  </w:style>
  <w:style w:type="character" w:customStyle="1" w:styleId="Char1">
    <w:name w:val="标题 Char"/>
    <w:basedOn w:val="a0"/>
    <w:link w:val="a5"/>
    <w:rsid w:val="00841022"/>
    <w:rPr>
      <w:rFonts w:ascii="Arial" w:eastAsia="宋体" w:hAnsi="Arial" w:cs="Arial"/>
      <w:b/>
      <w:bCs/>
      <w:snapToGrid w:val="0"/>
      <w:kern w:val="21"/>
      <w:sz w:val="32"/>
      <w:szCs w:val="32"/>
    </w:rPr>
  </w:style>
  <w:style w:type="paragraph" w:styleId="a6">
    <w:name w:val="Normal (Web)"/>
    <w:basedOn w:val="a"/>
    <w:rsid w:val="00841022"/>
    <w:pPr>
      <w:widowControl/>
      <w:spacing w:before="100" w:beforeAutospacing="1" w:after="100" w:afterAutospacing="1"/>
      <w:jc w:val="left"/>
    </w:pPr>
    <w:rPr>
      <w:rFonts w:ascii="宋体" w:hAnsi="宋体" w:cs="宋体"/>
      <w:snapToGrid w:val="0"/>
      <w:kern w:val="0"/>
      <w:sz w:val="24"/>
    </w:rPr>
  </w:style>
  <w:style w:type="table" w:styleId="a7">
    <w:name w:val="Table Grid"/>
    <w:basedOn w:val="a1"/>
    <w:rsid w:val="0084102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841022"/>
    <w:rPr>
      <w:color w:val="0000FF"/>
      <w:u w:val="single"/>
    </w:rPr>
  </w:style>
  <w:style w:type="character" w:styleId="a9">
    <w:name w:val="page number"/>
    <w:basedOn w:val="a0"/>
    <w:rsid w:val="00841022"/>
  </w:style>
  <w:style w:type="character" w:customStyle="1" w:styleId="longtext1">
    <w:name w:val="long_text1"/>
    <w:rsid w:val="00841022"/>
    <w:rPr>
      <w:sz w:val="20"/>
      <w:szCs w:val="20"/>
    </w:rPr>
  </w:style>
  <w:style w:type="character" w:customStyle="1" w:styleId="shorttext">
    <w:name w:val="short_text"/>
    <w:basedOn w:val="a0"/>
    <w:rsid w:val="00841022"/>
  </w:style>
  <w:style w:type="paragraph" w:styleId="10">
    <w:name w:val="toc 1"/>
    <w:basedOn w:val="a"/>
    <w:next w:val="a"/>
    <w:autoRedefine/>
    <w:unhideWhenUsed/>
    <w:qFormat/>
    <w:rsid w:val="00841022"/>
    <w:pPr>
      <w:spacing w:before="120" w:after="120"/>
      <w:jc w:val="left"/>
    </w:pPr>
    <w:rPr>
      <w:b/>
      <w:bCs/>
      <w:caps/>
      <w:snapToGrid w:val="0"/>
      <w:kern w:val="21"/>
      <w:sz w:val="20"/>
      <w:szCs w:val="20"/>
    </w:rPr>
  </w:style>
  <w:style w:type="paragraph" w:styleId="30">
    <w:name w:val="toc 3"/>
    <w:basedOn w:val="a"/>
    <w:next w:val="a"/>
    <w:autoRedefine/>
    <w:unhideWhenUsed/>
    <w:qFormat/>
    <w:rsid w:val="00841022"/>
    <w:pPr>
      <w:ind w:left="420"/>
      <w:jc w:val="left"/>
    </w:pPr>
    <w:rPr>
      <w:i/>
      <w:iCs/>
      <w:snapToGrid w:val="0"/>
      <w:kern w:val="21"/>
      <w:sz w:val="20"/>
      <w:szCs w:val="20"/>
    </w:rPr>
  </w:style>
  <w:style w:type="paragraph" w:styleId="20">
    <w:name w:val="toc 2"/>
    <w:basedOn w:val="a"/>
    <w:next w:val="a"/>
    <w:autoRedefine/>
    <w:unhideWhenUsed/>
    <w:qFormat/>
    <w:rsid w:val="00841022"/>
    <w:pPr>
      <w:ind w:left="210"/>
      <w:jc w:val="left"/>
    </w:pPr>
    <w:rPr>
      <w:smallCaps/>
      <w:snapToGrid w:val="0"/>
      <w:kern w:val="21"/>
      <w:sz w:val="20"/>
      <w:szCs w:val="20"/>
    </w:rPr>
  </w:style>
  <w:style w:type="character" w:customStyle="1" w:styleId="longtext">
    <w:name w:val="long_text"/>
    <w:basedOn w:val="a0"/>
    <w:rsid w:val="00841022"/>
  </w:style>
  <w:style w:type="character" w:customStyle="1" w:styleId="gt-icon-text1">
    <w:name w:val="gt-icon-text1"/>
    <w:basedOn w:val="a0"/>
    <w:rsid w:val="00841022"/>
  </w:style>
  <w:style w:type="character" w:customStyle="1" w:styleId="hps">
    <w:name w:val="hps"/>
    <w:basedOn w:val="a0"/>
    <w:rsid w:val="00841022"/>
  </w:style>
  <w:style w:type="character" w:customStyle="1" w:styleId="hpstrans-target">
    <w:name w:val="hps trans-target"/>
    <w:basedOn w:val="a0"/>
    <w:rsid w:val="00841022"/>
  </w:style>
  <w:style w:type="character" w:customStyle="1" w:styleId="hpsatn">
    <w:name w:val="hps atn"/>
    <w:basedOn w:val="a0"/>
    <w:rsid w:val="00841022"/>
  </w:style>
  <w:style w:type="paragraph" w:styleId="aa">
    <w:name w:val="Body Text"/>
    <w:basedOn w:val="a"/>
    <w:link w:val="Char2"/>
    <w:rsid w:val="00841022"/>
    <w:rPr>
      <w:b/>
      <w:snapToGrid w:val="0"/>
      <w:kern w:val="21"/>
      <w:szCs w:val="20"/>
    </w:rPr>
  </w:style>
  <w:style w:type="character" w:customStyle="1" w:styleId="Char2">
    <w:name w:val="正文文本 Char"/>
    <w:basedOn w:val="a0"/>
    <w:link w:val="aa"/>
    <w:rsid w:val="00841022"/>
    <w:rPr>
      <w:rFonts w:ascii="Times New Roman" w:eastAsia="宋体" w:hAnsi="Times New Roman" w:cs="Times New Roman"/>
      <w:b/>
      <w:snapToGrid w:val="0"/>
      <w:kern w:val="21"/>
      <w:szCs w:val="20"/>
    </w:rPr>
  </w:style>
  <w:style w:type="paragraph" w:customStyle="1" w:styleId="TOC1">
    <w:name w:val="TOC 标题1"/>
    <w:basedOn w:val="1"/>
    <w:next w:val="a"/>
    <w:qFormat/>
    <w:rsid w:val="00841022"/>
    <w:pPr>
      <w:widowControl/>
      <w:spacing w:before="480" w:after="0" w:line="276" w:lineRule="auto"/>
      <w:jc w:val="left"/>
      <w:outlineLvl w:val="9"/>
    </w:pPr>
    <w:rPr>
      <w:rFonts w:ascii="Cambria" w:hAnsi="Cambria"/>
      <w:color w:val="365F91"/>
      <w:kern w:val="0"/>
      <w:sz w:val="28"/>
      <w:szCs w:val="28"/>
    </w:rPr>
  </w:style>
  <w:style w:type="character" w:styleId="ab">
    <w:name w:val="FollowedHyperlink"/>
    <w:rsid w:val="00841022"/>
    <w:rPr>
      <w:color w:val="800080"/>
      <w:u w:val="single"/>
    </w:rPr>
  </w:style>
  <w:style w:type="character" w:customStyle="1" w:styleId="g1">
    <w:name w:val="g1"/>
    <w:rsid w:val="00841022"/>
    <w:rPr>
      <w:color w:val="008000"/>
    </w:rPr>
  </w:style>
  <w:style w:type="character" w:styleId="ac">
    <w:name w:val="Emphasis"/>
    <w:qFormat/>
    <w:rsid w:val="00841022"/>
    <w:rPr>
      <w:i w:val="0"/>
      <w:iCs w:val="0"/>
      <w:color w:val="CC0000"/>
    </w:rPr>
  </w:style>
  <w:style w:type="paragraph" w:styleId="ad">
    <w:name w:val="Balloon Text"/>
    <w:basedOn w:val="a"/>
    <w:link w:val="Char3"/>
    <w:semiHidden/>
    <w:rsid w:val="00841022"/>
    <w:rPr>
      <w:sz w:val="18"/>
      <w:szCs w:val="18"/>
    </w:rPr>
  </w:style>
  <w:style w:type="character" w:customStyle="1" w:styleId="Char3">
    <w:name w:val="批注框文本 Char"/>
    <w:basedOn w:val="a0"/>
    <w:link w:val="ad"/>
    <w:semiHidden/>
    <w:rsid w:val="00841022"/>
    <w:rPr>
      <w:rFonts w:ascii="Times New Roman" w:eastAsia="宋体" w:hAnsi="Times New Roman" w:cs="Times New Roman"/>
      <w:sz w:val="18"/>
      <w:szCs w:val="18"/>
    </w:rPr>
  </w:style>
  <w:style w:type="paragraph" w:styleId="ae">
    <w:name w:val="caption"/>
    <w:basedOn w:val="a"/>
    <w:next w:val="a"/>
    <w:qFormat/>
    <w:rsid w:val="00841022"/>
    <w:rPr>
      <w:rFonts w:ascii="Arial" w:eastAsia="黑体" w:hAnsi="Arial" w:cs="Arial"/>
      <w:sz w:val="20"/>
      <w:szCs w:val="20"/>
    </w:rPr>
  </w:style>
  <w:style w:type="character" w:styleId="af">
    <w:name w:val="annotation reference"/>
    <w:rsid w:val="00841022"/>
    <w:rPr>
      <w:sz w:val="21"/>
      <w:szCs w:val="21"/>
    </w:rPr>
  </w:style>
  <w:style w:type="paragraph" w:styleId="af0">
    <w:name w:val="annotation text"/>
    <w:basedOn w:val="a"/>
    <w:link w:val="Char4"/>
    <w:rsid w:val="00841022"/>
    <w:pPr>
      <w:jc w:val="left"/>
    </w:pPr>
    <w:rPr>
      <w:lang w:val="x-none" w:eastAsia="x-none"/>
    </w:rPr>
  </w:style>
  <w:style w:type="character" w:customStyle="1" w:styleId="Char4">
    <w:name w:val="批注文字 Char"/>
    <w:basedOn w:val="a0"/>
    <w:link w:val="af0"/>
    <w:rsid w:val="00841022"/>
    <w:rPr>
      <w:rFonts w:ascii="Times New Roman" w:eastAsia="宋体" w:hAnsi="Times New Roman" w:cs="Times New Roman"/>
      <w:szCs w:val="24"/>
      <w:lang w:val="x-none" w:eastAsia="x-none"/>
    </w:rPr>
  </w:style>
  <w:style w:type="paragraph" w:styleId="af1">
    <w:name w:val="annotation subject"/>
    <w:basedOn w:val="af0"/>
    <w:next w:val="af0"/>
    <w:link w:val="Char5"/>
    <w:semiHidden/>
    <w:rsid w:val="00841022"/>
    <w:rPr>
      <w:b/>
      <w:bCs/>
    </w:rPr>
  </w:style>
  <w:style w:type="character" w:customStyle="1" w:styleId="Char5">
    <w:name w:val="批注主题 Char"/>
    <w:basedOn w:val="Char4"/>
    <w:link w:val="af1"/>
    <w:semiHidden/>
    <w:rsid w:val="00841022"/>
    <w:rPr>
      <w:rFonts w:ascii="Times New Roman" w:eastAsia="宋体" w:hAnsi="Times New Roman" w:cs="Times New Roman"/>
      <w:b/>
      <w:bCs/>
      <w:szCs w:val="24"/>
      <w:lang w:val="x-none" w:eastAsia="x-none"/>
    </w:rPr>
  </w:style>
  <w:style w:type="paragraph" w:customStyle="1" w:styleId="p0">
    <w:name w:val="p0"/>
    <w:basedOn w:val="a"/>
    <w:rsid w:val="00841022"/>
    <w:pPr>
      <w:widowControl/>
      <w:spacing w:line="240" w:lineRule="atLeast"/>
      <w:jc w:val="left"/>
    </w:pPr>
    <w:rPr>
      <w:rFonts w:ascii="Century" w:hAnsi="Century" w:cs="宋体"/>
      <w:kern w:val="0"/>
      <w:szCs w:val="21"/>
    </w:rPr>
  </w:style>
  <w:style w:type="character" w:styleId="af2">
    <w:name w:val="Strong"/>
    <w:qFormat/>
    <w:rsid w:val="00841022"/>
    <w:rPr>
      <w:b/>
      <w:bCs/>
    </w:rPr>
  </w:style>
  <w:style w:type="paragraph" w:customStyle="1" w:styleId="-11">
    <w:name w:val="彩色列表 - 强调文字颜色 11"/>
    <w:basedOn w:val="a"/>
    <w:uiPriority w:val="34"/>
    <w:qFormat/>
    <w:rsid w:val="00841022"/>
    <w:pPr>
      <w:widowControl/>
      <w:suppressAutoHyphens/>
      <w:ind w:firstLineChars="200" w:firstLine="420"/>
      <w:jc w:val="left"/>
    </w:pPr>
    <w:rPr>
      <w:rFonts w:eastAsia="Lucida Sans Unicode" w:cs="Mangal"/>
      <w:kern w:val="1"/>
      <w:sz w:val="24"/>
      <w:szCs w:val="21"/>
      <w:lang w:val="it-IT" w:eastAsia="hi-IN" w:bidi="hi-IN"/>
    </w:rPr>
  </w:style>
  <w:style w:type="character" w:customStyle="1" w:styleId="labellist1">
    <w:name w:val="label_list1"/>
    <w:rsid w:val="0084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5040</Words>
  <Characters>28729</Characters>
  <Application>Microsoft Office Word</Application>
  <DocSecurity>0</DocSecurity>
  <Lines>239</Lines>
  <Paragraphs>67</Paragraphs>
  <ScaleCrop>false</ScaleCrop>
  <Company>微软中国</Company>
  <LinksUpToDate>false</LinksUpToDate>
  <CharactersWithSpaces>33702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2014-04-14T23:38:00Z</dcterms:created>
  <dcterms:modified xsi:type="dcterms:W3CDTF">2014-04-14T23:38:00Z</dcterms:modified>
</cp:coreProperties>
</file>