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Name of Journal: </w:t>
      </w:r>
      <w:r>
        <w:rPr>
          <w:rFonts w:ascii="Book Antiqua" w:hAnsi="Book Antiqua" w:eastAsia="Book Antiqua" w:cs="Book Antiqua"/>
          <w:i/>
          <w:lang w:val="en-GB"/>
        </w:rPr>
        <w:t>World Journal of Orthopedics</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Manuscript NO: </w:t>
      </w:r>
      <w:r>
        <w:rPr>
          <w:rFonts w:ascii="Book Antiqua" w:hAnsi="Book Antiqua" w:eastAsia="Book Antiqua" w:cs="Book Antiqua"/>
          <w:lang w:val="en-GB"/>
        </w:rPr>
        <w:t>86313</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Manuscript Type: </w:t>
      </w:r>
      <w:r>
        <w:rPr>
          <w:rFonts w:ascii="Book Antiqua" w:hAnsi="Book Antiqua" w:eastAsia="Book Antiqua" w:cs="Book Antiqua"/>
          <w:lang w:val="en-GB"/>
        </w:rPr>
        <w:t>CASE REPORT</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Vancomycin flushing syndrome in orthopaedic practice: A case report</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Al-Anii FM </w:t>
      </w:r>
      <w:r>
        <w:rPr>
          <w:rFonts w:ascii="Book Antiqua" w:hAnsi="Book Antiqua" w:eastAsia="Book Antiqua" w:cs="Book Antiqua"/>
          <w:i/>
          <w:lang w:val="en-GB"/>
        </w:rPr>
        <w:t>et al</w:t>
      </w:r>
      <w:r>
        <w:rPr>
          <w:rFonts w:ascii="Book Antiqua" w:hAnsi="Book Antiqua" w:eastAsia="Book Antiqua" w:cs="Book Antiqua"/>
          <w:lang w:val="en-GB"/>
        </w:rPr>
        <w:t>. VFS in orthopaedic practice</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Fawaz M Al-Anii, Mir Sadat-Ali, Khalid Waleed Al-Tabash, Ahmad I AlMulhim, Sulaiman A AlMousa, Abdulaziz M AlHawas</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Fawaz M Al-Anii, Mir Sadat-Ali, Khalid Waleed Al-Tabash, Ahmad I AlMulhim, Sulaiman A AlMousa, Abdulaziz M AlHawas, </w:t>
      </w:r>
      <w:r>
        <w:rPr>
          <w:rFonts w:ascii="Book Antiqua" w:hAnsi="Book Antiqua" w:eastAsia="Book Antiqua" w:cs="Book Antiqua"/>
          <w:lang w:val="en-GB"/>
        </w:rPr>
        <w:t>Orthopaedic Surgery, Imam AbdulRahman Bin Faisal University and King Fahd Hospital of the University, AlKhobar 31952, Saudi Arabia</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Author contributions: </w:t>
      </w:r>
      <w:r>
        <w:rPr>
          <w:rFonts w:ascii="Book Antiqua" w:hAnsi="Book Antiqua" w:eastAsia="Book Antiqua" w:cs="Book Antiqua"/>
          <w:lang w:val="en-GB"/>
        </w:rPr>
        <w:t>Al-Anii FM, Sadat-Ali M, Al-Tabash KW, AlMulhim AI, AlMousa SA, and AlHawas AM participated in the study of the case, review of the literature, and the writing of the manuscript.</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Corresponding author: Mir Sadat-Ali, FRCS, FRCS (Gen Surg), MBBS, MS, Full Professor, Professor, Senior Scientist, </w:t>
      </w:r>
      <w:r>
        <w:rPr>
          <w:rFonts w:ascii="Book Antiqua" w:hAnsi="Book Antiqua" w:eastAsia="Book Antiqua" w:cs="Book Antiqua"/>
          <w:lang w:val="en-GB"/>
        </w:rPr>
        <w:t>Orthopaedic Surgery, Imam AbdulRahman Bin Faisal University and King Fahd Hospital of the University, Pobox 40071, AlKhobar 31952, Saudi Arabia. drsadat@hotmail.com</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Received: </w:t>
      </w:r>
      <w:r>
        <w:rPr>
          <w:rFonts w:ascii="Book Antiqua" w:hAnsi="Book Antiqua" w:eastAsia="Book Antiqua" w:cs="Book Antiqua"/>
          <w:lang w:val="en-GB"/>
        </w:rPr>
        <w:t>June 13, 2023</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Revised: </w:t>
      </w:r>
      <w:r>
        <w:rPr>
          <w:rFonts w:ascii="Book Antiqua" w:hAnsi="Book Antiqua" w:eastAsia="Book Antiqua" w:cs="Book Antiqua"/>
          <w:lang w:val="en-GB"/>
        </w:rPr>
        <w:t>August 16, 2023</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Accepted: </w:t>
      </w:r>
      <w:r>
        <w:rPr>
          <w:rFonts w:ascii="Book Antiqua" w:hAnsi="Book Antiqua" w:eastAsia="Book Antiqua" w:cs="Book Antiqua"/>
          <w:lang w:val="en-GB"/>
        </w:rPr>
        <w:t>September 7, 2023</w:t>
      </w:r>
    </w:p>
    <w:p>
      <w:pPr>
        <w:spacing w:line="360" w:lineRule="auto"/>
        <w:jc w:val="both"/>
        <w:rPr>
          <w:rFonts w:ascii="Book Antiqua" w:hAnsi="Book Antiqua" w:eastAsia="Book Antiqua" w:cs="Book Antiqua"/>
          <w:b/>
          <w:lang w:val="en-GB"/>
        </w:rPr>
      </w:pPr>
      <w:r>
        <w:rPr>
          <w:rFonts w:ascii="Book Antiqua" w:hAnsi="Book Antiqua" w:eastAsia="Book Antiqua" w:cs="Book Antiqua"/>
          <w:b/>
          <w:lang w:val="en-GB"/>
        </w:rPr>
        <w:t xml:space="preserve">Published online: </w:t>
      </w:r>
      <w:r>
        <w:rPr>
          <w:rFonts w:ascii="Book Antiqua" w:hAnsi="Book Antiqua" w:eastAsia="Book Antiqua" w:cs="Book Antiqua"/>
          <w:b w:val="0"/>
          <w:bCs/>
          <w:lang w:val="en-GB"/>
        </w:rPr>
        <w:t>October 18, 2023</w:t>
      </w:r>
    </w:p>
    <w:p>
      <w:pPr>
        <w:spacing w:line="360" w:lineRule="auto"/>
        <w:jc w:val="both"/>
        <w:rPr>
          <w:rFonts w:ascii="Book Antiqua" w:hAnsi="Book Antiqua" w:eastAsia="Book Antiqua" w:cs="Book Antiqua"/>
          <w:b/>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Abstract</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BACKGROUND</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Vancomycin flushing syndrome (VFS), also known as red man syndrome, is an allergic reaction to vancomycin. It typically presents as a rash on the face, neck, and upper torso after intravenous administration of vancomycin. VFS is blamed on rapid intravenous infusion of vancomycin during management and rarely happens after local use. A review of the literature showed that in the last 23 years, 4 such cases have been reported. Here, we add another case of VFS developed after slow local absorption of vancomycin in cement beads.</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CASE SUMMARY</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A 44-year-old male with a known case of hypertension, no history of allergies to medications, and a history of chronic osteomyelitis of the right tibia with discharging sinus over the anterolateral aspect of the leg. The pus culture grew </w:t>
      </w:r>
      <w:r>
        <w:rPr>
          <w:rFonts w:ascii="Book Antiqua" w:hAnsi="Book Antiqua" w:eastAsia="Book Antiqua" w:cs="Book Antiqua"/>
          <w:i/>
          <w:lang w:val="en-GB"/>
        </w:rPr>
        <w:t>Staphylococcus</w:t>
      </w:r>
      <w:r>
        <w:rPr>
          <w:rFonts w:ascii="Book Antiqua" w:hAnsi="Book Antiqua" w:eastAsia="Book Antiqua"/>
          <w:i/>
          <w:lang w:val="en-GB"/>
        </w:rPr>
        <w:t xml:space="preserve"> aureus</w:t>
      </w:r>
      <w:r>
        <w:rPr>
          <w:rFonts w:ascii="Book Antiqua" w:hAnsi="Book Antiqua" w:eastAsia="Book Antiqua" w:cs="Book Antiqua"/>
          <w:lang w:val="en-GB"/>
        </w:rPr>
        <w:t>, which was sensitive to clindamycin and vancomycin. The patient underwent irrigation and debridement with the placement of vancomycin cement beads made from 4 g of vancomycin powder and 40 g of polymethyl methacrylate. Three hours postoperatively, the patient developed a pruritic, erythematous, macular rash predominantly on his face, neck, chest, and lower extremities and to a lesser extent his upper extremities. A diagnosis of VFS was made and was successfully treated with cetirizine (10 mg, oral) and methylprednisolone sodium succinate (125 mg, intravenous). The patient continued to have itching with a facial rash for 12 h with gradual improvement. A decision was made to not remove the beads as the patient continued to improve. Gradually, the rash disappeared after 96 h with no further sequela.</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CONCLUSION</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VFS can occur not only after rapid intravenous injection of vancomycin but also with local release, as in our case. As orthopaedic surgeons routinely use vancomycin with polymethyl methacrylate in chronic osteomyelitis and revision arthroplasty, they should be aware of such a complication occurring.</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Key Words: </w:t>
      </w:r>
      <w:r>
        <w:rPr>
          <w:rFonts w:ascii="Book Antiqua" w:hAnsi="Book Antiqua" w:eastAsia="Book Antiqua" w:cs="Book Antiqua"/>
          <w:lang w:val="en-GB"/>
        </w:rPr>
        <w:t>Vancomycin; Anaphylactic reactions; Red man syndrome; Vancomycin flushing syndrome; Case report</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lang w:val="en-GB"/>
        </w:rPr>
      </w:pPr>
    </w:p>
    <w:p>
      <w:pPr>
        <w:adjustRightInd w:val="0"/>
        <w:snapToGrid w:val="0"/>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lang w:val="en-GB"/>
        </w:rPr>
        <w:t xml:space="preserve">Al-Anii FM, Sadat-Ali M, Al-Tabash KW, AlMulhim AI, AlMousa SA, AlHawas AM. Vancomycin flushing syndrome in orthopaedic practice: A case report. </w:t>
      </w:r>
      <w:r>
        <w:rPr>
          <w:rFonts w:ascii="Book Antiqua" w:hAnsi="Book Antiqua" w:eastAsia="Book Antiqua" w:cs="Book Antiqua"/>
          <w:i/>
          <w:lang w:val="en-GB"/>
        </w:rPr>
        <w:t>World J Orthop</w:t>
      </w:r>
      <w:r>
        <w:rPr>
          <w:rFonts w:ascii="Book Antiqua" w:hAnsi="Book Antiqua" w:eastAsia="Book Antiqua" w:cs="Book Antiqua"/>
          <w:lang w:val="en-GB"/>
        </w:rPr>
        <w:t xml:space="preserve"> 2023; </w:t>
      </w:r>
      <w:r>
        <w:rPr>
          <w:rFonts w:hint="eastAsia" w:ascii="Book Antiqua" w:hAnsi="Book Antiqua" w:eastAsia="Book Antiqua" w:cs="Book Antiqua"/>
        </w:rPr>
        <w:t>14(</w:t>
      </w:r>
      <w:r>
        <w:rPr>
          <w:rFonts w:hint="eastAsia" w:ascii="Book Antiqua" w:hAnsi="Book Antiqua" w:cs="Book Antiqua"/>
          <w:lang w:eastAsia="zh-CN"/>
        </w:rPr>
        <w:t>1</w:t>
      </w:r>
      <w:r>
        <w:rPr>
          <w:rFonts w:hint="eastAsia" w:ascii="Book Antiqua" w:hAnsi="Book Antiqua" w:eastAsia="Book Antiqua" w:cs="Book Antiqua"/>
        </w:rPr>
        <w:t xml:space="preserve">0): </w:t>
      </w:r>
      <w:r>
        <w:rPr>
          <w:rFonts w:hint="eastAsia" w:ascii="Book Antiqua" w:hAnsi="Book Antiqua" w:eastAsia="Book Antiqua" w:cs="Book Antiqua"/>
          <w:lang w:val="en-US" w:eastAsia="zh-CN"/>
        </w:rPr>
        <w:t>771-775</w:t>
      </w:r>
      <w:r>
        <w:rPr>
          <w:rFonts w:hint="eastAsia" w:ascii="Book Antiqua" w:hAnsi="Book Antiqua" w:cs="Book Antiqua"/>
          <w:lang w:eastAsia="zh-CN"/>
        </w:rPr>
        <w:t xml:space="preserve"> </w:t>
      </w:r>
    </w:p>
    <w:p>
      <w:pPr>
        <w:adjustRightInd w:val="0"/>
        <w:snapToGrid w:val="0"/>
        <w:spacing w:line="360" w:lineRule="auto"/>
        <w:jc w:val="both"/>
        <w:rPr>
          <w:rFonts w:hint="eastAsia" w:ascii="Book Antiqua" w:hAnsi="Book Antiqua" w:cs="Book Antiqua"/>
          <w:lang w:eastAsia="zh-CN"/>
        </w:rPr>
      </w:pPr>
      <w:r>
        <w:rPr>
          <w:rFonts w:hint="eastAsia" w:ascii="Book Antiqua" w:hAnsi="Book Antiqua" w:eastAsia="Book Antiqua" w:cs="Book Antiqua"/>
          <w:b/>
          <w:bCs/>
        </w:rPr>
        <w:t>URL</w:t>
      </w:r>
      <w:r>
        <w:rPr>
          <w:rFonts w:hint="eastAsia" w:ascii="Book Antiqua" w:hAnsi="Book Antiqua" w:eastAsia="Book Antiqua" w:cs="Book Antiqua"/>
        </w:rPr>
        <w:t>: https://www.wjgnet.com/2218-5836/full/v14/i10/</w:t>
      </w:r>
      <w:r>
        <w:rPr>
          <w:rFonts w:hint="eastAsia" w:ascii="Book Antiqua" w:hAnsi="Book Antiqua" w:eastAsia="Book Antiqua" w:cs="Book Antiqua"/>
          <w:lang w:val="en-US" w:eastAsia="zh-CN"/>
        </w:rPr>
        <w:t>771</w:t>
      </w:r>
      <w:r>
        <w:rPr>
          <w:rFonts w:hint="eastAsia" w:ascii="Book Antiqua" w:hAnsi="Book Antiqua" w:eastAsia="Book Antiqua" w:cs="Book Antiqua"/>
        </w:rPr>
        <w:t>.htm</w:t>
      </w:r>
    </w:p>
    <w:p>
      <w:pPr>
        <w:spacing w:line="360" w:lineRule="auto"/>
        <w:jc w:val="both"/>
        <w:rPr>
          <w:rFonts w:ascii="Book Antiqua" w:hAnsi="Book Antiqua" w:eastAsia="Book Antiqua" w:cs="Book Antiqua"/>
          <w:lang w:val="en-GB"/>
        </w:rPr>
      </w:pPr>
      <w:r>
        <w:rPr>
          <w:rFonts w:hint="eastAsia" w:ascii="Book Antiqua" w:hAnsi="Book Antiqua" w:eastAsia="Book Antiqua" w:cs="Book Antiqua"/>
          <w:b/>
          <w:bCs/>
        </w:rPr>
        <w:t>DOI</w:t>
      </w:r>
      <w:r>
        <w:rPr>
          <w:rFonts w:hint="eastAsia" w:ascii="Book Antiqua" w:hAnsi="Book Antiqua" w:eastAsia="Book Antiqua" w:cs="Book Antiqua"/>
        </w:rPr>
        <w:t>: https://dx.doi.org/10.5312/wjo.v14.i10.</w:t>
      </w:r>
      <w:r>
        <w:rPr>
          <w:rFonts w:hint="eastAsia" w:ascii="Book Antiqua" w:hAnsi="Book Antiqua" w:eastAsia="Book Antiqua" w:cs="Book Antiqua"/>
          <w:lang w:val="en-US" w:eastAsia="zh-CN"/>
        </w:rPr>
        <w:t>771</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Core Tip: </w:t>
      </w:r>
      <w:r>
        <w:rPr>
          <w:rFonts w:ascii="Book Antiqua" w:hAnsi="Book Antiqua" w:eastAsia="Book Antiqua" w:cs="Book Antiqua"/>
          <w:lang w:val="en-GB"/>
        </w:rPr>
        <w:t>Vancomycin-related allergic skin reactions are not uncommon and are typically reported to occur after rapid intravenous infusion. However, this complication can also occur when vancomycin is implanted for slow release. Since orthopaedic surgeons routinely use vancomycin with polymethyl methacrylate, they should be aware of this complication occurring despite its rarity.</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b/>
          <w:smallCaps/>
          <w:u w:val="single"/>
          <w:lang w:val="en-GB"/>
        </w:rPr>
        <w:t>INTRODUCTION</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Vancomycin inhibits cell wall synthesis of bacteria, making it a potent bactericidal against the majority of Gram-positive cocci</w:t>
      </w:r>
      <w:r>
        <w:rPr>
          <w:rFonts w:ascii="Book Antiqua" w:hAnsi="Book Antiqua" w:eastAsia="Book Antiqua" w:cs="Book Antiqua"/>
          <w:vertAlign w:val="superscript"/>
          <w:lang w:val="en-GB"/>
        </w:rPr>
        <w:t>[1]</w:t>
      </w:r>
      <w:r>
        <w:rPr>
          <w:rFonts w:ascii="Book Antiqua" w:hAnsi="Book Antiqua" w:eastAsia="Book Antiqua" w:cs="Book Antiqua"/>
          <w:lang w:val="en-GB"/>
        </w:rPr>
        <w:t>. Even though it has its own complications of resistance and other allergic reactions, it is still in use. One of the serious complications of using vancomycin is vancomycin flushing syndrome (VFS), also known as Red man syndrome (RMS), which is an anaphylactoid reaction. It presents as a pruritic, erythematous rash on the face, neck, and upper torso, hypotension, angioedema, and cardiac arrest</w:t>
      </w:r>
      <w:r>
        <w:rPr>
          <w:rFonts w:ascii="Book Antiqua" w:hAnsi="Book Antiqua" w:eastAsia="Book Antiqua" w:cs="Book Antiqua"/>
          <w:vertAlign w:val="superscript"/>
          <w:lang w:val="en-GB"/>
        </w:rPr>
        <w:t>[2-5]</w:t>
      </w:r>
      <w:r>
        <w:rPr>
          <w:rFonts w:ascii="Book Antiqua" w:hAnsi="Book Antiqua" w:eastAsia="Book Antiqua" w:cs="Book Antiqua"/>
          <w:lang w:val="en-GB"/>
        </w:rPr>
        <w:t>. The initial reports of this complication were reported due to rapid infusion of vancomycin at 1000 mg over 1 h</w:t>
      </w:r>
      <w:r>
        <w:rPr>
          <w:rFonts w:ascii="Book Antiqua" w:hAnsi="Book Antiqua" w:eastAsia="Book Antiqua" w:cs="Book Antiqua"/>
          <w:vertAlign w:val="superscript"/>
          <w:lang w:val="en-GB"/>
        </w:rPr>
        <w:t>[6]</w:t>
      </w:r>
      <w:r>
        <w:rPr>
          <w:rFonts w:ascii="Book Antiqua" w:hAnsi="Book Antiqua" w:eastAsia="Book Antiqua" w:cs="Book Antiqua"/>
          <w:lang w:val="en-GB"/>
        </w:rPr>
        <w:t>. Later reports did suggest it can happen even after slow infusion as well</w:t>
      </w:r>
      <w:r>
        <w:rPr>
          <w:rFonts w:ascii="Book Antiqua" w:hAnsi="Book Antiqua" w:eastAsia="Book Antiqua" w:cs="Book Antiqua"/>
          <w:vertAlign w:val="superscript"/>
          <w:lang w:val="en-GB"/>
        </w:rPr>
        <w:t>[7]</w:t>
      </w:r>
      <w:r>
        <w:rPr>
          <w:rFonts w:ascii="Book Antiqua" w:hAnsi="Book Antiqua" w:eastAsia="Book Antiqua" w:cs="Book Antiqua"/>
          <w:lang w:val="en-GB"/>
        </w:rPr>
        <w:t>.</w:t>
      </w:r>
    </w:p>
    <w:p>
      <w:pPr>
        <w:spacing w:line="360" w:lineRule="auto"/>
        <w:ind w:firstLine="240"/>
        <w:jc w:val="both"/>
        <w:rPr>
          <w:rFonts w:ascii="Book Antiqua" w:hAnsi="Book Antiqua" w:eastAsia="Book Antiqua" w:cs="Book Antiqua"/>
          <w:lang w:val="en-GB"/>
        </w:rPr>
      </w:pPr>
      <w:r>
        <w:rPr>
          <w:rFonts w:ascii="Book Antiqua" w:hAnsi="Book Antiqua" w:eastAsia="Book Antiqua" w:cs="Book Antiqua"/>
          <w:lang w:val="en-GB"/>
        </w:rPr>
        <w:t>Vancomycin is routinely used in orthopaedic practice preoperatively as a prophylactic antibiotic and postoperatively to treat bone and joint infections</w:t>
      </w:r>
      <w:r>
        <w:rPr>
          <w:rFonts w:ascii="Book Antiqua" w:hAnsi="Book Antiqua" w:eastAsia="Book Antiqua" w:cs="Book Antiqua"/>
          <w:vertAlign w:val="superscript"/>
          <w:lang w:val="en-GB"/>
        </w:rPr>
        <w:t>[8,9]</w:t>
      </w:r>
      <w:r>
        <w:rPr>
          <w:rFonts w:ascii="Book Antiqua" w:hAnsi="Book Antiqua" w:eastAsia="Book Antiqua" w:cs="Book Antiqua"/>
          <w:lang w:val="en-GB"/>
        </w:rPr>
        <w:t>. Serious allergic reactions like VFS can occur. VFS developed in our patient with chronic osteomyelitis after the insertion of vancomycin-impregnated beads. A review of the literature on VFS in orthopaedic patients showed that 4 cases of VFS occurring after local implantation have been reported in the last 23 years (Table 1)</w:t>
      </w:r>
      <w:r>
        <w:rPr>
          <w:rFonts w:ascii="Book Antiqua" w:hAnsi="Book Antiqua" w:eastAsia="Book Antiqua" w:cs="Book Antiqua"/>
          <w:vertAlign w:val="superscript"/>
          <w:lang w:val="en-GB"/>
        </w:rPr>
        <w:t>[10-13]</w:t>
      </w:r>
      <w:r>
        <w:rPr>
          <w:rFonts w:ascii="Book Antiqua" w:hAnsi="Book Antiqua" w:eastAsia="Book Antiqua" w:cs="Book Antiqua"/>
          <w:lang w:val="en-GB"/>
        </w:rPr>
        <w:t>.</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b/>
          <w:smallCaps/>
          <w:u w:val="single"/>
          <w:lang w:val="en-GB"/>
        </w:rPr>
        <w:t>CASE PRESENTATION</w:t>
      </w:r>
    </w:p>
    <w:p>
      <w:pPr>
        <w:spacing w:line="360" w:lineRule="auto"/>
        <w:jc w:val="both"/>
        <w:rPr>
          <w:rFonts w:ascii="Book Antiqua" w:hAnsi="Book Antiqua" w:eastAsia="Book Antiqua" w:cs="Book Antiqua"/>
          <w:lang w:val="en-GB"/>
        </w:rPr>
      </w:pPr>
      <w:r>
        <w:rPr>
          <w:rFonts w:ascii="Book Antiqua" w:hAnsi="Book Antiqua" w:eastAsia="Book Antiqua" w:cs="Book Antiqua"/>
          <w:b/>
          <w:i/>
          <w:lang w:val="en-GB"/>
        </w:rPr>
        <w:t>Chief complaints</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A 44-year-old male presented with chronic osteomyelitis of the right tibia. The patient presented to the orthopaedic clinic due to right leg pain and swelling, the inability to bear weight, and multiple attacks of subjective fever. The right leg pain suddenly progressed over the prior 3 mo, without a history of recent trauma. The pain increased at night and later became constant even during rest. The pain was located mainly on the proximal right tibia with radiation to the right knee and middle third of the right leg. The patient also experienced multiple attacks of fever and night sweats.</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i/>
          <w:lang w:val="en-GB"/>
        </w:rPr>
        <w:t>History of present illness</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The patient had an open fracture 22 years ago with an infection and was diagnosed with chronic osteomyelitis with a discharging sinus. The sinus had closed, but the pain continued. He was treated with evacuation of the abscess and courses of antibiotics.</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i/>
          <w:lang w:val="en-GB"/>
        </w:rPr>
        <w:t>History of past illness</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The patient had a history of hypertension.</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i/>
          <w:lang w:val="en-GB"/>
        </w:rPr>
        <w:t>Personal and family history</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No personal or family history relevant to the presentation. No history of allergy to medications was reported.</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i/>
          <w:lang w:val="en-GB"/>
        </w:rPr>
        <w:t>Physical examination</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On inspection, there was swelling of the right leg and skin redness on the anterior aspect of the proximal third of the right leg. We observed a skin scar with thin scar tissue over the tibia directly. There was no underlying soft tissue on the anterior aspect of the proximal right tibia with massive swelling and tenderness around this area. The patient had an intact neurovascular examination.</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b/>
          <w:i/>
        </w:rPr>
        <w:t>Laboratory</w:t>
      </w:r>
      <w:r>
        <w:rPr>
          <w:rFonts w:ascii="Book Antiqua" w:hAnsi="Book Antiqua" w:eastAsia="Book Antiqua" w:cs="Book Antiqua"/>
          <w:b/>
          <w:i/>
          <w:lang w:val="en-GB"/>
        </w:rPr>
        <w:t xml:space="preserve"> examinations</w:t>
      </w:r>
    </w:p>
    <w:p>
      <w:pPr>
        <w:spacing w:line="360" w:lineRule="auto"/>
        <w:jc w:val="both"/>
        <w:rPr>
          <w:rFonts w:ascii="Book Antiqua" w:hAnsi="Book Antiqua" w:eastAsia="Book Antiqua" w:cs="Book Antiqua"/>
          <w:lang w:val="en-GB"/>
        </w:rPr>
      </w:pPr>
      <w:r>
        <w:rPr>
          <w:rFonts w:ascii="Book Antiqua" w:hAnsi="Book Antiqua" w:eastAsia="Book Antiqua"/>
          <w:lang w:val="en-GB"/>
        </w:rPr>
        <w:t xml:space="preserve">Laboratory findings included slightly increased leukocytes (12.3 </w:t>
      </w:r>
      <w:r>
        <w:rPr>
          <w:rFonts w:ascii="Book Antiqua" w:hAnsi="Book Antiqua"/>
          <w:shd w:val="clear" w:color="auto" w:fill="FFFFFF"/>
        </w:rPr>
        <w:t>× 10</w:t>
      </w:r>
      <w:r>
        <w:rPr>
          <w:rFonts w:ascii="Book Antiqua" w:hAnsi="Book Antiqua"/>
          <w:vertAlign w:val="superscript"/>
        </w:rPr>
        <w:t>9</w:t>
      </w:r>
      <w:r>
        <w:rPr>
          <w:rFonts w:ascii="Book Antiqua" w:hAnsi="Book Antiqua"/>
          <w:shd w:val="clear" w:color="auto" w:fill="FFFFFF"/>
        </w:rPr>
        <w:t>/L</w:t>
      </w:r>
      <w:r>
        <w:rPr>
          <w:rFonts w:ascii="Book Antiqua" w:hAnsi="Book Antiqua" w:eastAsia="Book Antiqua"/>
          <w:lang w:val="en-GB"/>
        </w:rPr>
        <w:t xml:space="preserve">; normal range: </w:t>
      </w:r>
      <w:r>
        <w:rPr>
          <w:rFonts w:ascii="Book Antiqua" w:hAnsi="Book Antiqua"/>
          <w:shd w:val="clear" w:color="auto" w:fill="FFFFFF"/>
        </w:rPr>
        <w:t>4.5-11.0 × 10</w:t>
      </w:r>
      <w:r>
        <w:rPr>
          <w:rFonts w:ascii="Book Antiqua" w:hAnsi="Book Antiqua"/>
          <w:vertAlign w:val="superscript"/>
        </w:rPr>
        <w:t>9</w:t>
      </w:r>
      <w:r>
        <w:rPr>
          <w:rFonts w:ascii="Book Antiqua" w:hAnsi="Book Antiqua"/>
          <w:shd w:val="clear" w:color="auto" w:fill="FFFFFF"/>
        </w:rPr>
        <w:t>/L)</w:t>
      </w:r>
      <w:r>
        <w:rPr>
          <w:rFonts w:ascii="Book Antiqua" w:hAnsi="Book Antiqua" w:eastAsia="Book Antiqua"/>
          <w:lang w:val="en-GB"/>
        </w:rPr>
        <w:t xml:space="preserve">, haematocrit (40.2%; normal range: </w:t>
      </w:r>
      <w:r>
        <w:rPr>
          <w:rFonts w:ascii="Book Antiqua" w:hAnsi="Book Antiqua"/>
        </w:rPr>
        <w:t>41%-50%</w:t>
      </w:r>
      <w:r>
        <w:rPr>
          <w:rFonts w:ascii="Book Antiqua" w:hAnsi="Book Antiqua" w:eastAsia="Book Antiqua"/>
          <w:lang w:val="en-GB"/>
        </w:rPr>
        <w:t xml:space="preserve">), platelets (522,000 mcL; normal range: </w:t>
      </w:r>
      <w:r>
        <w:rPr>
          <w:rFonts w:ascii="Book Antiqua" w:hAnsi="Book Antiqua"/>
        </w:rPr>
        <w:t>150,000 to 450,000</w:t>
      </w:r>
      <w:r>
        <w:rPr>
          <w:rStyle w:val="28"/>
          <w:rFonts w:ascii="Book Antiqua" w:hAnsi="Book Antiqua"/>
        </w:rPr>
        <w:t> mcL</w:t>
      </w:r>
      <w:r>
        <w:rPr>
          <w:rFonts w:ascii="Book Antiqua" w:hAnsi="Book Antiqua" w:eastAsia="Book Antiqua"/>
          <w:lang w:val="en-GB"/>
        </w:rPr>
        <w:t>)</w:t>
      </w:r>
      <w:r>
        <w:rPr>
          <w:rFonts w:ascii="Book Antiqua" w:hAnsi="Book Antiqua" w:eastAsia="Book Antiqua" w:cs="Book Antiqua"/>
          <w:lang w:val="en-GB"/>
        </w:rPr>
        <w:t xml:space="preserve">, elevated erythrocyte sedimentation rate (95 mm/h, normal range: &lt; 20 mm/h), and high C-reactive protein (133 mg/L; normal range: 0-10 mg/L). The patient had a discharging sinus on the anterior proximal third of the right leg in the centre of the previous scar. Culture from the sinus grew </w:t>
      </w:r>
      <w:r>
        <w:rPr>
          <w:rFonts w:ascii="Book Antiqua" w:hAnsi="Book Antiqua" w:eastAsia="Book Antiqua" w:cs="Book Antiqua"/>
          <w:i/>
          <w:lang w:val="en-GB"/>
        </w:rPr>
        <w:t>Staphylococcus</w:t>
      </w:r>
      <w:r>
        <w:rPr>
          <w:rFonts w:ascii="Book Antiqua" w:hAnsi="Book Antiqua" w:eastAsia="Book Antiqua" w:cs="Book Antiqua"/>
          <w:lang w:val="en-GB"/>
        </w:rPr>
        <w:t xml:space="preserve"> </w:t>
      </w:r>
      <w:r>
        <w:rPr>
          <w:rFonts w:ascii="Book Antiqua" w:hAnsi="Book Antiqua" w:eastAsia="Book Antiqua"/>
          <w:i/>
          <w:lang w:val="en-GB"/>
        </w:rPr>
        <w:t>aureus</w:t>
      </w:r>
      <w:r>
        <w:rPr>
          <w:rFonts w:ascii="Book Antiqua" w:hAnsi="Book Antiqua" w:eastAsia="Book Antiqua" w:cs="Book Antiqua"/>
          <w:lang w:val="en-GB"/>
        </w:rPr>
        <w:t>.</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i/>
          <w:lang w:val="en-GB"/>
        </w:rPr>
        <w:t>Imaging examinations</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Anteroposterior and lateral X-ray views showed multiple opacities, and magnetic resonance imaging showed a collection with high signal intensity in the proximal right tibia. The radiological studies revealed an intramedullary collection of the proximal right tibia with the impression of subacute osteomyelitis with multiple Brodie’s abscesses of the proximal right tibia (Figure 1).</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b/>
          <w:smallCaps/>
          <w:u w:val="single"/>
          <w:lang w:val="en-GB"/>
        </w:rPr>
        <w:t>FINAL DIAGNOSIS</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Chronic osteomyelitis of the right tibia.</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b/>
          <w:smallCaps/>
          <w:u w:val="single"/>
          <w:lang w:val="en-GB"/>
        </w:rPr>
        <w:t>TREATMENT</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The patient underwent irrigation and debridement with the placement of vancomycin cement beads made from 4 g of vancomycin powder and 40 g of cement (1 g of vancomycin for each 10 g of cement) attached to size 1 proline and was placed intramedullary in the cavity through the two bone windows on the proximal and mid right tibia. Three hours postoperatively, the patient developed a pruritic, erythematous, macular rash predominantly on his face, neck, chest, and lower extremities and to a lesser extent his upper extremities. There were no signs of vital instability observed at the time (maximum area of skin rash was the infected, right lower limb and the patient’s face and chest) (Figure 2). The patient started to become agitated due to itchiness. However, he remained clearly conscious, and the fine oxygen saturation was 98% in room air. The patient remained stable.</w:t>
      </w:r>
    </w:p>
    <w:p>
      <w:pPr>
        <w:spacing w:line="360" w:lineRule="auto"/>
        <w:ind w:firstLine="240"/>
        <w:jc w:val="both"/>
        <w:rPr>
          <w:rFonts w:ascii="Book Antiqua" w:hAnsi="Book Antiqua" w:eastAsia="Book Antiqua" w:cs="Book Antiqua"/>
          <w:lang w:val="en-GB"/>
        </w:rPr>
      </w:pPr>
      <w:r>
        <w:rPr>
          <w:rFonts w:ascii="Book Antiqua" w:hAnsi="Book Antiqua" w:eastAsia="Book Antiqua" w:cs="Book Antiqua"/>
          <w:lang w:val="en-GB"/>
        </w:rPr>
        <w:t>Urgent consultation of the on-call medical and infectious disease teams was completed; they examined the patient and recommended starting the patient immediately on cetirizine (10 mg, oral) and methylprednisolone sodium succinate (125 mg, intravenously). The patient continued to experience itching with a facial rash for 12 h with gradual improvement after therapy. He remained on close observation with close monitoring of respiration and other vital signs. The orthopaedic team made the decision to remove the antibiotics beads only if the patient hemodynamically deteriorated. The patient showed marked improvement 18 h after starting the medications; gradually, the rash started to decrease until it completely disappeared after around 96 h with no further sequela.</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b/>
          <w:smallCaps/>
          <w:u w:val="single"/>
          <w:lang w:val="en-GB"/>
        </w:rPr>
        <w:t>OUTCOME AND FOLLOW-UP</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The beads were removed 4 mo postoperatively. The patient also received progressive irrigation and debridement with bone graft to the distal metaphyseal bone defect (window). The patient completed the antibiotics course according to the infectious disease team’s recommendation (2 wk parenteral and 10 wk oral).</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b/>
          <w:smallCaps/>
          <w:u w:val="single"/>
          <w:lang w:val="en-GB"/>
        </w:rPr>
        <w:t>DISCUSSION</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Our patient who developed VFS due to vancomycin exposure during after a prolonged release was contrary to the initial reports of rapid infusion being the cause of VFS. Only 4 other orthopaedic cases in the last two decades have been reported where the complication occurred due to the slow release of vancomycin. It is believed that the side effects are due to impurities. However, even after increasing the purity, the side effects still occur. At present, it is recommended that vancomycin should be infused at a rate no faster than 1 g/h or 10 mg/min</w:t>
      </w:r>
      <w:r>
        <w:rPr>
          <w:rFonts w:ascii="Book Antiqua" w:hAnsi="Book Antiqua" w:eastAsia="Book Antiqua" w:cs="Book Antiqua"/>
          <w:vertAlign w:val="superscript"/>
          <w:lang w:val="en-GB"/>
        </w:rPr>
        <w:t>[13,14]</w:t>
      </w:r>
      <w:r>
        <w:rPr>
          <w:rFonts w:ascii="Book Antiqua" w:hAnsi="Book Antiqua" w:eastAsia="Book Antiqua" w:cs="Book Antiqua"/>
          <w:lang w:val="en-GB"/>
        </w:rPr>
        <w:t>.</w:t>
      </w:r>
    </w:p>
    <w:p>
      <w:pPr>
        <w:spacing w:line="360" w:lineRule="auto"/>
        <w:ind w:firstLine="240"/>
        <w:jc w:val="both"/>
        <w:rPr>
          <w:rFonts w:ascii="Book Antiqua" w:hAnsi="Book Antiqua" w:eastAsia="Book Antiqua" w:cs="Book Antiqua"/>
          <w:lang w:val="en-GB"/>
        </w:rPr>
      </w:pPr>
      <w:r>
        <w:rPr>
          <w:rFonts w:ascii="Book Antiqua" w:hAnsi="Book Antiqua" w:eastAsia="Book Antiqua" w:cs="Book Antiqua"/>
          <w:lang w:val="en-GB"/>
        </w:rPr>
        <w:t>There are two issues that need to be addressed. Vancomycin induces allergic reactions due to its activation of mast cells, which release histamine independent of preformed immunoglobin E or complement. The side effects range from pruritis to angioedema to cardiac arrest. It is prudent that antihistamines are started at the same time as vancomycin to avoid the reactions.</w:t>
      </w:r>
    </w:p>
    <w:p>
      <w:pPr>
        <w:spacing w:line="360" w:lineRule="auto"/>
        <w:ind w:firstLine="240"/>
        <w:jc w:val="both"/>
        <w:rPr>
          <w:rFonts w:ascii="Book Antiqua" w:hAnsi="Book Antiqua" w:eastAsia="Book Antiqua" w:cs="Book Antiqua"/>
          <w:lang w:val="en-GB"/>
        </w:rPr>
      </w:pPr>
      <w:r>
        <w:rPr>
          <w:rFonts w:ascii="Book Antiqua" w:hAnsi="Book Antiqua" w:eastAsia="Book Antiqua" w:cs="Book Antiqua"/>
          <w:lang w:val="en-GB"/>
        </w:rPr>
        <w:t>Secondly, the term “RMS” needs to be retired from the medical language as this term has racial implications relating to native American nations. Because reactions to vancomycin are not known to be race dependent and occur in children and women, RMS is a misnomer. Hence the term VFS should be used.</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b/>
          <w:smallCaps/>
          <w:u w:val="single"/>
          <w:lang w:val="en-GB"/>
        </w:rPr>
        <w:t>CONCLUSION</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In conclusion, VFS can occur either through rapid infusion or slow release of vancomycin, as in our patient. Since vancomycin-impregnated cement beads and spacers are routinely used in orthopaedic service, orthopaedic surgeons and trainees should be aware of such complications and should be ready to recognize and treat them early.</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REFERENCES</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1 </w:t>
      </w:r>
      <w:r>
        <w:rPr>
          <w:rFonts w:ascii="Book Antiqua" w:hAnsi="Book Antiqua" w:eastAsia="Book Antiqua" w:cs="Book Antiqua"/>
          <w:b/>
          <w:lang w:val="en-GB"/>
        </w:rPr>
        <w:t>Moellering RC Jr</w:t>
      </w:r>
      <w:r>
        <w:rPr>
          <w:rFonts w:ascii="Book Antiqua" w:hAnsi="Book Antiqua" w:eastAsia="Book Antiqua" w:cs="Book Antiqua"/>
          <w:lang w:val="en-GB"/>
        </w:rPr>
        <w:t xml:space="preserve">. Vancomycin: a 50-year reassessment. </w:t>
      </w:r>
      <w:r>
        <w:rPr>
          <w:rFonts w:ascii="Book Antiqua" w:hAnsi="Book Antiqua" w:eastAsia="Book Antiqua" w:cs="Book Antiqua"/>
          <w:i/>
          <w:lang w:val="en-GB"/>
        </w:rPr>
        <w:t>Clin Infect Dis</w:t>
      </w:r>
      <w:r>
        <w:rPr>
          <w:rFonts w:ascii="Book Antiqua" w:hAnsi="Book Antiqua" w:eastAsia="Book Antiqua" w:cs="Book Antiqua"/>
          <w:lang w:val="en-GB"/>
        </w:rPr>
        <w:t xml:space="preserve"> 2006; </w:t>
      </w:r>
      <w:r>
        <w:rPr>
          <w:rFonts w:ascii="Book Antiqua" w:hAnsi="Book Antiqua" w:eastAsia="Book Antiqua" w:cs="Book Antiqua"/>
          <w:b/>
          <w:lang w:val="en-GB"/>
        </w:rPr>
        <w:t>42 Suppl 1</w:t>
      </w:r>
      <w:r>
        <w:rPr>
          <w:rFonts w:ascii="Book Antiqua" w:hAnsi="Book Antiqua" w:eastAsia="Book Antiqua" w:cs="Book Antiqua"/>
          <w:lang w:val="en-GB"/>
        </w:rPr>
        <w:t>: S3-S4 [PMID: 16323117 DOI: 10.1086/491708]</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2 </w:t>
      </w:r>
      <w:r>
        <w:rPr>
          <w:rFonts w:ascii="Book Antiqua" w:hAnsi="Book Antiqua" w:eastAsia="Book Antiqua" w:cs="Book Antiqua"/>
          <w:b/>
          <w:lang w:val="en-GB"/>
        </w:rPr>
        <w:t>Crumpton MW</w:t>
      </w:r>
      <w:r>
        <w:rPr>
          <w:rFonts w:ascii="Book Antiqua" w:hAnsi="Book Antiqua" w:eastAsia="Book Antiqua" w:cs="Book Antiqua"/>
          <w:lang w:val="en-GB"/>
        </w:rPr>
        <w:t xml:space="preserve">, Thornton JB, Mackall LL. Anaphylactoid reaction to vancomycin during general anesthesia in a child patient. </w:t>
      </w:r>
      <w:r>
        <w:rPr>
          <w:rFonts w:ascii="Book Antiqua" w:hAnsi="Book Antiqua" w:eastAsia="Book Antiqua" w:cs="Book Antiqua"/>
          <w:i/>
          <w:lang w:val="en-GB"/>
        </w:rPr>
        <w:t>Pediatr Dent</w:t>
      </w:r>
      <w:r>
        <w:rPr>
          <w:rFonts w:ascii="Book Antiqua" w:hAnsi="Book Antiqua" w:eastAsia="Book Antiqua" w:cs="Book Antiqua"/>
          <w:lang w:val="en-GB"/>
        </w:rPr>
        <w:t xml:space="preserve"> 1983; </w:t>
      </w:r>
      <w:r>
        <w:rPr>
          <w:rFonts w:ascii="Book Antiqua" w:hAnsi="Book Antiqua" w:eastAsia="Book Antiqua" w:cs="Book Antiqua"/>
          <w:b/>
          <w:lang w:val="en-GB"/>
        </w:rPr>
        <w:t>5</w:t>
      </w:r>
      <w:r>
        <w:rPr>
          <w:rFonts w:ascii="Book Antiqua" w:hAnsi="Book Antiqua" w:eastAsia="Book Antiqua" w:cs="Book Antiqua"/>
          <w:lang w:val="en-GB"/>
        </w:rPr>
        <w:t>: 276-279 [PMID: 6587333]</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3 </w:t>
      </w:r>
      <w:r>
        <w:rPr>
          <w:rFonts w:ascii="Book Antiqua" w:hAnsi="Book Antiqua" w:eastAsia="Book Antiqua" w:cs="Book Antiqua"/>
          <w:b/>
          <w:lang w:val="en-GB"/>
        </w:rPr>
        <w:t>Symons NL</w:t>
      </w:r>
      <w:r>
        <w:rPr>
          <w:rFonts w:ascii="Book Antiqua" w:hAnsi="Book Antiqua" w:eastAsia="Book Antiqua" w:cs="Book Antiqua"/>
          <w:lang w:val="en-GB"/>
        </w:rPr>
        <w:t xml:space="preserve">, Hobbes AF, Leaver HK. Anaphylactoid reactions to vancomycin during anaesthesia: two clinical reports. </w:t>
      </w:r>
      <w:r>
        <w:rPr>
          <w:rFonts w:ascii="Book Antiqua" w:hAnsi="Book Antiqua" w:eastAsia="Book Antiqua" w:cs="Book Antiqua"/>
          <w:i/>
          <w:lang w:val="en-GB"/>
        </w:rPr>
        <w:t>Can Anaesth Soc J</w:t>
      </w:r>
      <w:r>
        <w:rPr>
          <w:rFonts w:ascii="Book Antiqua" w:hAnsi="Book Antiqua" w:eastAsia="Book Antiqua" w:cs="Book Antiqua"/>
          <w:lang w:val="en-GB"/>
        </w:rPr>
        <w:t xml:space="preserve"> 1985; </w:t>
      </w:r>
      <w:r>
        <w:rPr>
          <w:rFonts w:ascii="Book Antiqua" w:hAnsi="Book Antiqua" w:eastAsia="Book Antiqua" w:cs="Book Antiqua"/>
          <w:b/>
          <w:lang w:val="en-GB"/>
        </w:rPr>
        <w:t>32</w:t>
      </w:r>
      <w:r>
        <w:rPr>
          <w:rFonts w:ascii="Book Antiqua" w:hAnsi="Book Antiqua" w:eastAsia="Book Antiqua" w:cs="Book Antiqua"/>
          <w:lang w:val="en-GB"/>
        </w:rPr>
        <w:t>: 178-181 [PMID: 3986655 DOI: 10.1007/BF03010047]</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4 </w:t>
      </w:r>
      <w:r>
        <w:rPr>
          <w:rFonts w:ascii="Book Antiqua" w:hAnsi="Book Antiqua" w:eastAsia="Book Antiqua" w:cs="Book Antiqua"/>
          <w:b/>
          <w:lang w:val="en-GB"/>
        </w:rPr>
        <w:t>Markman M</w:t>
      </w:r>
      <w:r>
        <w:rPr>
          <w:rFonts w:ascii="Book Antiqua" w:hAnsi="Book Antiqua" w:eastAsia="Book Antiqua" w:cs="Book Antiqua"/>
          <w:lang w:val="en-GB"/>
        </w:rPr>
        <w:t xml:space="preserve">, Lim HW, Bluestein HG. Vancomycin-induced vasculitis. </w:t>
      </w:r>
      <w:r>
        <w:rPr>
          <w:rFonts w:ascii="Book Antiqua" w:hAnsi="Book Antiqua" w:eastAsia="Book Antiqua" w:cs="Book Antiqua"/>
          <w:i/>
          <w:lang w:val="en-GB"/>
        </w:rPr>
        <w:t>South Med J</w:t>
      </w:r>
      <w:r>
        <w:rPr>
          <w:rFonts w:ascii="Book Antiqua" w:hAnsi="Book Antiqua" w:eastAsia="Book Antiqua" w:cs="Book Antiqua"/>
          <w:lang w:val="en-GB"/>
        </w:rPr>
        <w:t xml:space="preserve"> 1986; </w:t>
      </w:r>
      <w:r>
        <w:rPr>
          <w:rFonts w:ascii="Book Antiqua" w:hAnsi="Book Antiqua" w:eastAsia="Book Antiqua" w:cs="Book Antiqua"/>
          <w:b/>
          <w:lang w:val="en-GB"/>
        </w:rPr>
        <w:t>79</w:t>
      </w:r>
      <w:r>
        <w:rPr>
          <w:rFonts w:ascii="Book Antiqua" w:hAnsi="Book Antiqua" w:eastAsia="Book Antiqua" w:cs="Book Antiqua"/>
          <w:lang w:val="en-GB"/>
        </w:rPr>
        <w:t>: 382-383 [PMID: 2937155 DOI: 10.1097/00007611-198603000-00033]</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5 </w:t>
      </w:r>
      <w:r>
        <w:rPr>
          <w:rFonts w:ascii="Book Antiqua" w:hAnsi="Book Antiqua" w:eastAsia="Book Antiqua" w:cs="Book Antiqua"/>
          <w:b/>
          <w:lang w:val="en-GB"/>
        </w:rPr>
        <w:t>Khakurel S</w:t>
      </w:r>
      <w:r>
        <w:rPr>
          <w:rFonts w:ascii="Book Antiqua" w:hAnsi="Book Antiqua" w:eastAsia="Book Antiqua" w:cs="Book Antiqua"/>
          <w:lang w:val="en-GB"/>
        </w:rPr>
        <w:t xml:space="preserve">, Rawal S. Vancomycin induced cardiac arrest: a case report. </w:t>
      </w:r>
      <w:r>
        <w:rPr>
          <w:rFonts w:ascii="Book Antiqua" w:hAnsi="Book Antiqua" w:eastAsia="Book Antiqua" w:cs="Book Antiqua"/>
          <w:i/>
          <w:lang w:val="en-GB"/>
        </w:rPr>
        <w:t>J Med Case Rep</w:t>
      </w:r>
      <w:r>
        <w:rPr>
          <w:rFonts w:ascii="Book Antiqua" w:hAnsi="Book Antiqua" w:eastAsia="Book Antiqua" w:cs="Book Antiqua"/>
          <w:lang w:val="en-GB"/>
        </w:rPr>
        <w:t xml:space="preserve"> 2021; </w:t>
      </w:r>
      <w:r>
        <w:rPr>
          <w:rFonts w:ascii="Book Antiqua" w:hAnsi="Book Antiqua" w:eastAsia="Book Antiqua" w:cs="Book Antiqua"/>
          <w:b/>
          <w:lang w:val="en-GB"/>
        </w:rPr>
        <w:t>15</w:t>
      </w:r>
      <w:r>
        <w:rPr>
          <w:rFonts w:ascii="Book Antiqua" w:hAnsi="Book Antiqua" w:eastAsia="Book Antiqua" w:cs="Book Antiqua"/>
          <w:lang w:val="en-GB"/>
        </w:rPr>
        <w:t>: 77 [PMID: 33593409 DOI: 10.1186/s13256-020-02639-8]</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6 </w:t>
      </w:r>
      <w:r>
        <w:rPr>
          <w:rFonts w:ascii="Book Antiqua" w:hAnsi="Book Antiqua" w:eastAsia="Book Antiqua" w:cs="Book Antiqua"/>
          <w:b/>
          <w:lang w:val="en-GB"/>
        </w:rPr>
        <w:t>Polk RE</w:t>
      </w:r>
      <w:r>
        <w:rPr>
          <w:rFonts w:ascii="Book Antiqua" w:hAnsi="Book Antiqua" w:eastAsia="Book Antiqua" w:cs="Book Antiqua"/>
          <w:lang w:val="en-GB"/>
        </w:rPr>
        <w:t xml:space="preserve">, Healy DP, Schwartz LB, Rock DT, Garson ML, Roller K. Vancomycin and the red-man syndrome: pharmacodynamics of histamine release. </w:t>
      </w:r>
      <w:r>
        <w:rPr>
          <w:rFonts w:ascii="Book Antiqua" w:hAnsi="Book Antiqua" w:eastAsia="Book Antiqua" w:cs="Book Antiqua"/>
          <w:i/>
          <w:lang w:val="en-GB"/>
        </w:rPr>
        <w:t>J Infect Dis</w:t>
      </w:r>
      <w:r>
        <w:rPr>
          <w:rFonts w:ascii="Book Antiqua" w:hAnsi="Book Antiqua" w:eastAsia="Book Antiqua" w:cs="Book Antiqua"/>
          <w:lang w:val="en-GB"/>
        </w:rPr>
        <w:t xml:space="preserve"> 1988; </w:t>
      </w:r>
      <w:r>
        <w:rPr>
          <w:rFonts w:ascii="Book Antiqua" w:hAnsi="Book Antiqua" w:eastAsia="Book Antiqua" w:cs="Book Antiqua"/>
          <w:b/>
          <w:lang w:val="en-GB"/>
        </w:rPr>
        <w:t>157</w:t>
      </w:r>
      <w:r>
        <w:rPr>
          <w:rFonts w:ascii="Book Antiqua" w:hAnsi="Book Antiqua" w:eastAsia="Book Antiqua" w:cs="Book Antiqua"/>
          <w:lang w:val="en-GB"/>
        </w:rPr>
        <w:t>: 502-507 [PMID: 2449506 DOI: 10.1093/infdis/157.3.502]</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7 </w:t>
      </w:r>
      <w:r>
        <w:rPr>
          <w:rFonts w:ascii="Book Antiqua" w:hAnsi="Book Antiqua" w:eastAsia="Book Antiqua" w:cs="Book Antiqua"/>
          <w:b/>
          <w:lang w:val="en-GB"/>
        </w:rPr>
        <w:t>Arroyo JC</w:t>
      </w:r>
      <w:r>
        <w:rPr>
          <w:rFonts w:ascii="Book Antiqua" w:hAnsi="Book Antiqua" w:eastAsia="Book Antiqua" w:cs="Book Antiqua"/>
          <w:lang w:val="en-GB"/>
        </w:rPr>
        <w:t xml:space="preserve">, Rosansky SJ, Rosenzweig PN. Red neck syndrome with slow infusion of vancomycin. </w:t>
      </w:r>
      <w:r>
        <w:rPr>
          <w:rFonts w:ascii="Book Antiqua" w:hAnsi="Book Antiqua" w:eastAsia="Book Antiqua" w:cs="Book Antiqua"/>
          <w:i/>
          <w:lang w:val="en-GB"/>
        </w:rPr>
        <w:t>Am J Kidney Dis</w:t>
      </w:r>
      <w:r>
        <w:rPr>
          <w:rFonts w:ascii="Book Antiqua" w:hAnsi="Book Antiqua" w:eastAsia="Book Antiqua" w:cs="Book Antiqua"/>
          <w:lang w:val="en-GB"/>
        </w:rPr>
        <w:t xml:space="preserve"> 1986; </w:t>
      </w:r>
      <w:r>
        <w:rPr>
          <w:rFonts w:ascii="Book Antiqua" w:hAnsi="Book Antiqua" w:eastAsia="Book Antiqua" w:cs="Book Antiqua"/>
          <w:b/>
          <w:lang w:val="en-GB"/>
        </w:rPr>
        <w:t>7</w:t>
      </w:r>
      <w:r>
        <w:rPr>
          <w:rFonts w:ascii="Book Antiqua" w:hAnsi="Book Antiqua" w:eastAsia="Book Antiqua" w:cs="Book Antiqua"/>
          <w:lang w:val="en-GB"/>
        </w:rPr>
        <w:t>: 511 [PMID: 2424306 DOI: 10.1016/s0272-6386(86)80194-9]</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8 </w:t>
      </w:r>
      <w:r>
        <w:rPr>
          <w:rFonts w:ascii="Book Antiqua" w:hAnsi="Book Antiqua" w:eastAsia="Book Antiqua" w:cs="Book Antiqua"/>
          <w:b/>
          <w:lang w:val="en-GB"/>
        </w:rPr>
        <w:t>Kanj WW</w:t>
      </w:r>
      <w:r>
        <w:rPr>
          <w:rFonts w:ascii="Book Antiqua" w:hAnsi="Book Antiqua" w:eastAsia="Book Antiqua" w:cs="Book Antiqua"/>
          <w:lang w:val="en-GB"/>
        </w:rPr>
        <w:t xml:space="preserve">, Flynn JM, Spiegel DA, Dormans JP, Baldwin KD. Vancomycin prophylaxis of surgical site infection in clean orthopedic surgery. </w:t>
      </w:r>
      <w:r>
        <w:rPr>
          <w:rFonts w:ascii="Book Antiqua" w:hAnsi="Book Antiqua" w:eastAsia="Book Antiqua" w:cs="Book Antiqua"/>
          <w:i/>
          <w:lang w:val="en-GB"/>
        </w:rPr>
        <w:t>Orthopedics</w:t>
      </w:r>
      <w:r>
        <w:rPr>
          <w:rFonts w:ascii="Book Antiqua" w:hAnsi="Book Antiqua" w:eastAsia="Book Antiqua" w:cs="Book Antiqua"/>
          <w:lang w:val="en-GB"/>
        </w:rPr>
        <w:t xml:space="preserve"> 2013; </w:t>
      </w:r>
      <w:r>
        <w:rPr>
          <w:rFonts w:ascii="Book Antiqua" w:hAnsi="Book Antiqua" w:eastAsia="Book Antiqua" w:cs="Book Antiqua"/>
          <w:b/>
          <w:lang w:val="en-GB"/>
        </w:rPr>
        <w:t>36</w:t>
      </w:r>
      <w:r>
        <w:rPr>
          <w:rFonts w:ascii="Book Antiqua" w:hAnsi="Book Antiqua" w:eastAsia="Book Antiqua" w:cs="Book Antiqua"/>
          <w:lang w:val="en-GB"/>
        </w:rPr>
        <w:t>: 138-146 [PMID: 23379827 DOI: 10.3928/01477447-20130122-10]</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9 </w:t>
      </w:r>
      <w:r>
        <w:rPr>
          <w:rFonts w:ascii="Book Antiqua" w:hAnsi="Book Antiqua" w:eastAsia="Book Antiqua" w:cs="Book Antiqua"/>
          <w:b/>
          <w:lang w:val="en-GB"/>
        </w:rPr>
        <w:t>Molinari RW</w:t>
      </w:r>
      <w:r>
        <w:rPr>
          <w:rFonts w:ascii="Book Antiqua" w:hAnsi="Book Antiqua" w:eastAsia="Book Antiqua" w:cs="Book Antiqua"/>
          <w:lang w:val="en-GB"/>
        </w:rPr>
        <w:t xml:space="preserve">, Khera OA, Molinari WJ 3rd. Prophylactic intraoperative powdered vancomycin and postoperative deep spinal wound infection: 1,512 consecutive surgical cases over a 6-year period. </w:t>
      </w:r>
      <w:r>
        <w:rPr>
          <w:rFonts w:ascii="Book Antiqua" w:hAnsi="Book Antiqua" w:eastAsia="Book Antiqua" w:cs="Book Antiqua"/>
          <w:i/>
          <w:lang w:val="en-GB"/>
        </w:rPr>
        <w:t>Eur Spine J</w:t>
      </w:r>
      <w:r>
        <w:rPr>
          <w:rFonts w:ascii="Book Antiqua" w:hAnsi="Book Antiqua" w:eastAsia="Book Antiqua" w:cs="Book Antiqua"/>
          <w:lang w:val="en-GB"/>
        </w:rPr>
        <w:t xml:space="preserve"> 2012; </w:t>
      </w:r>
      <w:r>
        <w:rPr>
          <w:rFonts w:ascii="Book Antiqua" w:hAnsi="Book Antiqua" w:eastAsia="Book Antiqua" w:cs="Book Antiqua"/>
          <w:b/>
          <w:lang w:val="en-GB"/>
        </w:rPr>
        <w:t xml:space="preserve">21 </w:t>
      </w:r>
      <w:r>
        <w:rPr>
          <w:rFonts w:ascii="Book Antiqua" w:hAnsi="Book Antiqua" w:eastAsia="Book Antiqua" w:cs="Book Antiqua"/>
          <w:lang w:val="en-GB"/>
        </w:rPr>
        <w:t>Suppl 4: S476-S482 [PMID: 22160172 DOI: 10.1007/s00586-011-2104-z]</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10 </w:t>
      </w:r>
      <w:r>
        <w:rPr>
          <w:rFonts w:ascii="Book Antiqua" w:hAnsi="Book Antiqua" w:eastAsia="Book Antiqua" w:cs="Book Antiqua"/>
          <w:b/>
          <w:lang w:val="en-GB"/>
        </w:rPr>
        <w:t>Hinarejos P</w:t>
      </w:r>
      <w:r>
        <w:rPr>
          <w:rFonts w:ascii="Book Antiqua" w:hAnsi="Book Antiqua" w:eastAsia="Book Antiqua" w:cs="Book Antiqua"/>
          <w:lang w:val="en-GB"/>
        </w:rPr>
        <w:t xml:space="preserve">, Guirro P, Puig-Verdie L, Torres-Claramunt R, Leal-Blanquet J, Sanchez-Soler J, Monllau JC. Use of antibiotic-loaded cement in total knee arthroplasty. </w:t>
      </w:r>
      <w:r>
        <w:rPr>
          <w:rFonts w:ascii="Book Antiqua" w:hAnsi="Book Antiqua" w:eastAsia="Book Antiqua" w:cs="Book Antiqua"/>
          <w:i/>
          <w:lang w:val="en-GB"/>
        </w:rPr>
        <w:t>World J Orthop</w:t>
      </w:r>
      <w:r>
        <w:rPr>
          <w:rFonts w:ascii="Book Antiqua" w:hAnsi="Book Antiqua" w:eastAsia="Book Antiqua" w:cs="Book Antiqua"/>
          <w:lang w:val="en-GB"/>
        </w:rPr>
        <w:t xml:space="preserve"> 2015; </w:t>
      </w:r>
      <w:r>
        <w:rPr>
          <w:rFonts w:ascii="Book Antiqua" w:hAnsi="Book Antiqua" w:eastAsia="Book Antiqua" w:cs="Book Antiqua"/>
          <w:b/>
          <w:lang w:val="en-GB"/>
        </w:rPr>
        <w:t>6</w:t>
      </w:r>
      <w:r>
        <w:rPr>
          <w:rFonts w:ascii="Book Antiqua" w:hAnsi="Book Antiqua" w:eastAsia="Book Antiqua" w:cs="Book Antiqua"/>
          <w:lang w:val="en-GB"/>
        </w:rPr>
        <w:t>: 877-885 [PMID: 26716084 DOI: 10.5312/wjo.v6.i11.877]</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11 </w:t>
      </w:r>
      <w:r>
        <w:rPr>
          <w:rFonts w:ascii="Book Antiqua" w:hAnsi="Book Antiqua" w:eastAsia="Book Antiqua" w:cs="Book Antiqua"/>
          <w:b/>
          <w:lang w:val="en-GB"/>
        </w:rPr>
        <w:t>Chen CT</w:t>
      </w:r>
      <w:r>
        <w:rPr>
          <w:rFonts w:ascii="Book Antiqua" w:hAnsi="Book Antiqua" w:eastAsia="Book Antiqua" w:cs="Book Antiqua"/>
          <w:lang w:val="en-GB"/>
        </w:rPr>
        <w:t xml:space="preserve">, Ng KJ, Lin Y, Kao MC. Red man syndrome following the use of vancomycin-loaded bone cement in the primary total knee replacement: A case report. </w:t>
      </w:r>
      <w:r>
        <w:rPr>
          <w:rFonts w:ascii="Book Antiqua" w:hAnsi="Book Antiqua" w:eastAsia="Book Antiqua" w:cs="Book Antiqua"/>
          <w:i/>
          <w:lang w:val="en-GB"/>
        </w:rPr>
        <w:t>Medicine (Baltimore)</w:t>
      </w:r>
      <w:r>
        <w:rPr>
          <w:rFonts w:ascii="Book Antiqua" w:hAnsi="Book Antiqua" w:eastAsia="Book Antiqua" w:cs="Book Antiqua"/>
          <w:lang w:val="en-GB"/>
        </w:rPr>
        <w:t xml:space="preserve"> 2018; </w:t>
      </w:r>
      <w:r>
        <w:rPr>
          <w:rFonts w:ascii="Book Antiqua" w:hAnsi="Book Antiqua" w:eastAsia="Book Antiqua" w:cs="Book Antiqua"/>
          <w:b/>
          <w:lang w:val="en-GB"/>
        </w:rPr>
        <w:t>97</w:t>
      </w:r>
      <w:r>
        <w:rPr>
          <w:rFonts w:ascii="Book Antiqua" w:hAnsi="Book Antiqua" w:eastAsia="Book Antiqua" w:cs="Book Antiqua"/>
          <w:lang w:val="en-GB"/>
        </w:rPr>
        <w:t>: e13371 [PMID: 30572442 DOI: 10.1097/MD.0000000000013371]</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12 </w:t>
      </w:r>
      <w:r>
        <w:rPr>
          <w:rFonts w:ascii="Book Antiqua" w:hAnsi="Book Antiqua" w:eastAsia="Book Antiqua" w:cs="Book Antiqua"/>
          <w:b/>
          <w:lang w:val="en-GB"/>
        </w:rPr>
        <w:t>Juyal A</w:t>
      </w:r>
      <w:r>
        <w:rPr>
          <w:rFonts w:ascii="Book Antiqua" w:hAnsi="Book Antiqua" w:eastAsia="Book Antiqua" w:cs="Book Antiqua"/>
          <w:lang w:val="en-GB"/>
        </w:rPr>
        <w:t xml:space="preserve">, Khurana G, Maheshwari R. Red man syndrome: an unusual complication of vancomycin beads. </w:t>
      </w:r>
      <w:r>
        <w:rPr>
          <w:rFonts w:ascii="Book Antiqua" w:hAnsi="Book Antiqua" w:eastAsia="Book Antiqua" w:cs="Book Antiqua"/>
          <w:i/>
          <w:lang w:val="en-GB"/>
        </w:rPr>
        <w:t>Bangladesh J Med Sci</w:t>
      </w:r>
      <w:r>
        <w:rPr>
          <w:rFonts w:ascii="Book Antiqua" w:hAnsi="Book Antiqua" w:eastAsia="Book Antiqua" w:cs="Book Antiqua"/>
          <w:lang w:val="en-GB"/>
        </w:rPr>
        <w:t xml:space="preserve"> 2015; </w:t>
      </w:r>
      <w:r>
        <w:rPr>
          <w:rFonts w:ascii="Book Antiqua" w:hAnsi="Book Antiqua" w:eastAsia="Book Antiqua" w:cs="Book Antiqua"/>
          <w:b/>
          <w:lang w:val="en-GB"/>
        </w:rPr>
        <w:t>14</w:t>
      </w:r>
      <w:r>
        <w:rPr>
          <w:rFonts w:ascii="Book Antiqua" w:hAnsi="Book Antiqua" w:eastAsia="宋体" w:cs="宋体"/>
          <w:lang w:val="en-GB"/>
        </w:rPr>
        <w:t>:</w:t>
      </w:r>
      <w:r>
        <w:rPr>
          <w:rFonts w:ascii="Book Antiqua" w:hAnsi="Book Antiqua" w:eastAsia="Book Antiqua" w:cs="Book Antiqua"/>
          <w:lang w:val="en-GB"/>
        </w:rPr>
        <w:t xml:space="preserve"> 290-291 [DOI: 10.3329/bjms.v14i3.17955]</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13 </w:t>
      </w:r>
      <w:r>
        <w:rPr>
          <w:rFonts w:ascii="Book Antiqua" w:hAnsi="Book Antiqua" w:eastAsia="Book Antiqua" w:cs="Book Antiqua"/>
          <w:b/>
          <w:lang w:val="en-GB"/>
        </w:rPr>
        <w:t>Harper KD</w:t>
      </w:r>
      <w:r>
        <w:rPr>
          <w:rFonts w:ascii="Book Antiqua" w:hAnsi="Book Antiqua" w:eastAsia="Book Antiqua" w:cs="Book Antiqua"/>
          <w:lang w:val="en-GB"/>
        </w:rPr>
        <w:t xml:space="preserve">, Incavo SJ. Drug reaction with eosinophilia and systemic symptoms syndrome after total knee arthroplasty infection and placement of antibiotic spacer. </w:t>
      </w:r>
      <w:r>
        <w:rPr>
          <w:rFonts w:ascii="Book Antiqua" w:hAnsi="Book Antiqua" w:eastAsia="Book Antiqua" w:cs="Book Antiqua"/>
          <w:i/>
          <w:lang w:val="en-GB"/>
        </w:rPr>
        <w:t>Arthroplast Today</w:t>
      </w:r>
      <w:r>
        <w:rPr>
          <w:rFonts w:ascii="Book Antiqua" w:hAnsi="Book Antiqua" w:eastAsia="Book Antiqua" w:cs="Book Antiqua"/>
          <w:lang w:val="en-GB"/>
        </w:rPr>
        <w:t xml:space="preserve"> 2019; </w:t>
      </w:r>
      <w:r>
        <w:rPr>
          <w:rFonts w:ascii="Book Antiqua" w:hAnsi="Book Antiqua" w:eastAsia="Book Antiqua" w:cs="Book Antiqua"/>
          <w:b/>
          <w:lang w:val="en-GB"/>
        </w:rPr>
        <w:t>5</w:t>
      </w:r>
      <w:r>
        <w:rPr>
          <w:rFonts w:ascii="Book Antiqua" w:hAnsi="Book Antiqua" w:eastAsia="Book Antiqua" w:cs="Book Antiqua"/>
          <w:lang w:val="en-GB"/>
        </w:rPr>
        <w:t>: 148-151 [PMID: 31286034 DOI: 10.1016/j.artd.2019.04.005]</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 xml:space="preserve">14 </w:t>
      </w:r>
      <w:r>
        <w:rPr>
          <w:rFonts w:ascii="Book Antiqua" w:hAnsi="Book Antiqua" w:eastAsia="Book Antiqua" w:cs="Book Antiqua"/>
          <w:b/>
          <w:lang w:val="en-GB"/>
        </w:rPr>
        <w:t>Alvarez-Arango S</w:t>
      </w:r>
      <w:r>
        <w:rPr>
          <w:rFonts w:ascii="Book Antiqua" w:hAnsi="Book Antiqua" w:eastAsia="Book Antiqua" w:cs="Book Antiqua"/>
          <w:lang w:val="en-GB"/>
        </w:rPr>
        <w:t xml:space="preserve">, Ogunwole SM, Sequist TD, Burk CM, Blumenthal KG. Vancomycin Infusion Reaction - Moving beyond "Red Man Syndrome". </w:t>
      </w:r>
      <w:r>
        <w:rPr>
          <w:rFonts w:ascii="Book Antiqua" w:hAnsi="Book Antiqua" w:eastAsia="Book Antiqua" w:cs="Book Antiqua"/>
          <w:i/>
          <w:lang w:val="en-GB"/>
        </w:rPr>
        <w:t>N Engl J Med</w:t>
      </w:r>
      <w:r>
        <w:rPr>
          <w:rFonts w:ascii="Book Antiqua" w:hAnsi="Book Antiqua" w:eastAsia="Book Antiqua" w:cs="Book Antiqua"/>
          <w:lang w:val="en-GB"/>
        </w:rPr>
        <w:t xml:space="preserve"> 2021; </w:t>
      </w:r>
      <w:r>
        <w:rPr>
          <w:rFonts w:ascii="Book Antiqua" w:hAnsi="Book Antiqua" w:eastAsia="Book Antiqua" w:cs="Book Antiqua"/>
          <w:b/>
          <w:lang w:val="en-GB"/>
        </w:rPr>
        <w:t>384</w:t>
      </w:r>
      <w:r>
        <w:rPr>
          <w:rFonts w:ascii="Book Antiqua" w:hAnsi="Book Antiqua" w:eastAsia="Book Antiqua" w:cs="Book Antiqua"/>
          <w:lang w:val="en-GB"/>
        </w:rPr>
        <w:t>: 1283-1286 [PMID: 33830710 DOI: 10.1056/NEJMp2031891]</w:t>
      </w:r>
    </w:p>
    <w:p>
      <w:pPr>
        <w:spacing w:line="360" w:lineRule="auto"/>
        <w:jc w:val="both"/>
        <w:rPr>
          <w:rFonts w:ascii="Book Antiqua" w:hAnsi="Book Antiqua" w:eastAsia="Book Antiqua" w:cs="Book Antiqua"/>
          <w:b/>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Footnotes</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Informed consent statement: </w:t>
      </w:r>
      <w:r>
        <w:rPr>
          <w:rFonts w:ascii="Book Antiqua" w:hAnsi="Book Antiqua" w:eastAsia="Book Antiqua" w:cs="Book Antiqua"/>
          <w:lang w:val="en-GB"/>
        </w:rPr>
        <w:t>Informed consent was obtained from the patient to publish the photographs and the data.</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Conflict-of-interest statement: </w:t>
      </w:r>
      <w:r>
        <w:rPr>
          <w:rFonts w:ascii="Book Antiqua" w:hAnsi="Book Antiqua" w:eastAsia="Book Antiqua" w:cs="Book Antiqua"/>
          <w:lang w:val="en-GB"/>
        </w:rPr>
        <w:t>All authors declare there are no conflicts of interests.</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CARE Checklist (2016) statement: </w:t>
      </w:r>
      <w:r>
        <w:rPr>
          <w:rFonts w:ascii="Book Antiqua" w:hAnsi="Book Antiqua" w:eastAsia="Book Antiqua" w:cs="Book Antiqua"/>
          <w:lang w:val="en-GB"/>
        </w:rPr>
        <w:t>The authors have read the CARE Checklist (2016), and the manuscript was prepared and revised according to the CARE Checklist (2016).</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Open-Access: </w:t>
      </w:r>
      <w:r>
        <w:rPr>
          <w:rFonts w:ascii="Book Antiqua" w:hAnsi="Book Antiqua" w:eastAsia="Book Antiqua" w:cs="Book Antiqua"/>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Provenance and peer review: </w:t>
      </w:r>
      <w:r>
        <w:rPr>
          <w:rFonts w:ascii="Book Antiqua" w:hAnsi="Book Antiqua" w:eastAsia="Book Antiqua" w:cs="Book Antiqua"/>
          <w:lang w:val="en-GB"/>
        </w:rPr>
        <w:t>Unsolicited article; Externally peer reviewed.</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Peer-review model: </w:t>
      </w:r>
      <w:r>
        <w:rPr>
          <w:rFonts w:ascii="Book Antiqua" w:hAnsi="Book Antiqua" w:eastAsia="Book Antiqua" w:cs="Book Antiqua"/>
          <w:lang w:val="en-GB"/>
        </w:rPr>
        <w:t>Single blind</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Peer-review started: </w:t>
      </w:r>
      <w:r>
        <w:rPr>
          <w:rFonts w:ascii="Book Antiqua" w:hAnsi="Book Antiqua" w:eastAsia="Book Antiqua" w:cs="Book Antiqua"/>
          <w:lang w:val="en-GB"/>
        </w:rPr>
        <w:t>June 13, 2023</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First decision: </w:t>
      </w:r>
      <w:r>
        <w:rPr>
          <w:rFonts w:ascii="Book Antiqua" w:hAnsi="Book Antiqua" w:eastAsia="Book Antiqua" w:cs="Book Antiqua"/>
          <w:lang w:val="en-GB"/>
        </w:rPr>
        <w:t>August 16, 2023</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Article in press: </w:t>
      </w:r>
      <w:r>
        <w:rPr>
          <w:rFonts w:ascii="Book Antiqua" w:hAnsi="Book Antiqua" w:eastAsia="Book Antiqua" w:cs="Book Antiqua"/>
          <w:lang w:val="en-GB"/>
        </w:rPr>
        <w:t>September 7, 2023</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Specialty type: </w:t>
      </w:r>
      <w:r>
        <w:rPr>
          <w:rFonts w:ascii="Book Antiqua" w:hAnsi="Book Antiqua" w:eastAsia="Book Antiqua" w:cs="Book Antiqua"/>
          <w:lang w:val="en-GB"/>
        </w:rPr>
        <w:t>Orthopedics</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Country/Territory of origin: </w:t>
      </w:r>
      <w:r>
        <w:rPr>
          <w:rFonts w:ascii="Book Antiqua" w:hAnsi="Book Antiqua" w:eastAsia="Book Antiqua" w:cs="Book Antiqua"/>
          <w:lang w:val="en-GB"/>
        </w:rPr>
        <w:t>Saudi Arabia</w:t>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Peer-review report’s scientific quality classification</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Grade A (Excellent): 0</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Grade B (Very good): 0</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Grade C (Good): C</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Grade D (Fair): 0</w:t>
      </w:r>
    </w:p>
    <w:p>
      <w:pPr>
        <w:spacing w:line="360" w:lineRule="auto"/>
        <w:jc w:val="both"/>
        <w:rPr>
          <w:rFonts w:ascii="Book Antiqua" w:hAnsi="Book Antiqua" w:eastAsia="Book Antiqua" w:cs="Book Antiqua"/>
          <w:lang w:val="en-GB"/>
        </w:rPr>
      </w:pPr>
      <w:r>
        <w:rPr>
          <w:rFonts w:ascii="Book Antiqua" w:hAnsi="Book Antiqua" w:eastAsia="Book Antiqua" w:cs="Book Antiqua"/>
          <w:lang w:val="en-GB"/>
        </w:rPr>
        <w:t>Grade E (Poor): 0</w:t>
      </w:r>
    </w:p>
    <w:p>
      <w:pPr>
        <w:spacing w:line="360" w:lineRule="auto"/>
        <w:jc w:val="both"/>
        <w:rPr>
          <w:rFonts w:ascii="Book Antiqua" w:hAnsi="Book Antiqua" w:eastAsia="Book Antiqua" w:cs="Book Antiqua"/>
          <w:lang w:val="en-GB"/>
        </w:rPr>
      </w:pPr>
    </w:p>
    <w:p>
      <w:pPr>
        <w:spacing w:line="360" w:lineRule="auto"/>
        <w:jc w:val="both"/>
        <w:rPr>
          <w:rFonts w:ascii="Book Antiqua" w:hAnsi="Book Antiqua" w:eastAsia="Book Antiqua" w:cs="Book Antiqua"/>
          <w:b/>
          <w:lang w:val="en-GB"/>
        </w:rPr>
      </w:pPr>
      <w:r>
        <w:rPr>
          <w:rFonts w:ascii="Book Antiqua" w:hAnsi="Book Antiqua" w:eastAsia="Book Antiqua" w:cs="Book Antiqua"/>
          <w:b/>
          <w:lang w:val="en-GB"/>
        </w:rPr>
        <w:t xml:space="preserve">P-Reviewer: </w:t>
      </w:r>
      <w:r>
        <w:rPr>
          <w:rFonts w:ascii="Book Antiqua" w:hAnsi="Book Antiqua" w:eastAsia="Book Antiqua" w:cs="Book Antiqua"/>
          <w:lang w:val="en-GB"/>
        </w:rPr>
        <w:t>Surani S, United States</w:t>
      </w:r>
      <w:r>
        <w:rPr>
          <w:rFonts w:ascii="Book Antiqua" w:hAnsi="Book Antiqua" w:eastAsia="Book Antiqua" w:cs="Book Antiqua"/>
          <w:b/>
          <w:lang w:val="en-GB"/>
        </w:rPr>
        <w:t xml:space="preserve"> S-Editor: </w:t>
      </w:r>
      <w:r>
        <w:rPr>
          <w:rFonts w:ascii="Book Antiqua" w:hAnsi="Book Antiqua" w:eastAsia="Book Antiqua" w:cs="Book Antiqua"/>
          <w:lang w:val="en-GB"/>
        </w:rPr>
        <w:t xml:space="preserve">Chen YL </w:t>
      </w:r>
      <w:r>
        <w:rPr>
          <w:rFonts w:ascii="Book Antiqua" w:hAnsi="Book Antiqua" w:eastAsia="Book Antiqua" w:cs="Book Antiqua"/>
          <w:b/>
          <w:lang w:val="en-GB"/>
        </w:rPr>
        <w:t xml:space="preserve">L-Editor: </w:t>
      </w:r>
      <w:r>
        <w:rPr>
          <w:rFonts w:ascii="Book Antiqua" w:hAnsi="Book Antiqua" w:eastAsia="Book Antiqua" w:cs="Book Antiqua"/>
          <w:lang w:val="en-GB"/>
        </w:rPr>
        <w:t xml:space="preserve">Filipodia </w:t>
      </w:r>
      <w:r>
        <w:rPr>
          <w:rFonts w:ascii="Book Antiqua" w:hAnsi="Book Antiqua" w:eastAsia="Book Antiqua" w:cs="Book Antiqua"/>
          <w:b/>
          <w:lang w:val="en-GB"/>
        </w:rPr>
        <w:t xml:space="preserve">P-Editor: </w:t>
      </w:r>
      <w:r>
        <w:rPr>
          <w:rFonts w:ascii="Book Antiqua" w:hAnsi="Book Antiqua" w:eastAsia="Book Antiqua" w:cs="Book Antiqua"/>
          <w:lang w:val="en-GB"/>
        </w:rPr>
        <w:t>Chen YL</w:t>
      </w:r>
      <w:r>
        <w:rPr>
          <w:rFonts w:ascii="Book Antiqua" w:hAnsi="Book Antiqua" w:eastAsia="Book Antiqua" w:cs="Book Antiqua"/>
          <w:b/>
          <w:lang w:val="en-GB"/>
        </w:rPr>
        <w:t xml:space="preserve"> </w:t>
      </w:r>
    </w:p>
    <w:p>
      <w:pPr>
        <w:spacing w:line="360" w:lineRule="auto"/>
        <w:jc w:val="both"/>
        <w:rPr>
          <w:rFonts w:ascii="Book Antiqua" w:hAnsi="Book Antiqua" w:eastAsia="Book Antiqua" w:cs="Book Antiqua"/>
          <w:b/>
          <w:lang w:val="en-GB"/>
        </w:rPr>
      </w:pPr>
    </w:p>
    <w:p>
      <w:pPr>
        <w:spacing w:line="360" w:lineRule="auto"/>
        <w:jc w:val="both"/>
        <w:rPr>
          <w:rFonts w:ascii="Book Antiqua" w:hAnsi="Book Antiqua" w:eastAsia="Book Antiqua" w:cs="Book Antiqua"/>
          <w:b/>
          <w:lang w:val="en-GB"/>
        </w:rPr>
      </w:pPr>
      <w:r>
        <w:rPr>
          <w:rFonts w:ascii="Book Antiqua" w:hAnsi="Book Antiqua" w:eastAsia="Book Antiqua" w:cs="Book Antiqua"/>
          <w:b/>
          <w:lang w:val="en-GB"/>
        </w:rPr>
        <w:t>Figure Legends</w:t>
      </w:r>
    </w:p>
    <w:p>
      <w:pPr>
        <w:spacing w:line="360" w:lineRule="auto"/>
        <w:jc w:val="both"/>
        <w:rPr>
          <w:rFonts w:hint="eastAsia" w:ascii="Book Antiqua" w:hAnsi="Book Antiqua" w:eastAsia="宋体" w:cs="Book Antiqua"/>
          <w:lang w:val="en-GB" w:eastAsia="zh-CN"/>
        </w:rPr>
      </w:pPr>
      <w:r>
        <w:rPr>
          <w:rFonts w:hint="eastAsia" w:ascii="Book Antiqua" w:hAnsi="Book Antiqua" w:eastAsia="宋体" w:cs="Book Antiqua"/>
          <w:lang w:val="en-GB" w:eastAsia="zh-CN"/>
        </w:rPr>
        <w:drawing>
          <wp:inline distT="0" distB="0" distL="114300" distR="114300">
            <wp:extent cx="4775200" cy="2234565"/>
            <wp:effectExtent l="0" t="0" r="6350" b="3810"/>
            <wp:docPr id="2" name="图片 2" descr="WJO-14-77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O-14-771-g001"/>
                    <pic:cNvPicPr>
                      <a:picLocks noChangeAspect="1"/>
                    </pic:cNvPicPr>
                  </pic:nvPicPr>
                  <pic:blipFill>
                    <a:blip r:embed="rId5"/>
                    <a:stretch>
                      <a:fillRect/>
                    </a:stretch>
                  </pic:blipFill>
                  <pic:spPr>
                    <a:xfrm>
                      <a:off x="0" y="0"/>
                      <a:ext cx="4775200" cy="2234565"/>
                    </a:xfrm>
                    <a:prstGeom prst="rect">
                      <a:avLst/>
                    </a:prstGeom>
                  </pic:spPr>
                </pic:pic>
              </a:graphicData>
            </a:graphic>
          </wp:inline>
        </w:drawing>
      </w:r>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Figure 1 Imaging examinations. </w:t>
      </w:r>
      <w:r>
        <w:rPr>
          <w:rFonts w:ascii="Book Antiqua" w:hAnsi="Book Antiqua" w:eastAsia="Book Antiqua" w:cs="Book Antiqua"/>
          <w:lang w:val="en-GB"/>
        </w:rPr>
        <w:t>A: An X-ray showed changes of chronic osteomyelitis in the right upper tibia; B: Magnetic resonance imaging showed changes of chronic osteomyelitis with abscess formation in the right upper tibia. The arrows indicate cavitation and changes due to chronic osteomyelitis.</w:t>
      </w:r>
    </w:p>
    <w:p>
      <w:pPr>
        <w:spacing w:line="360" w:lineRule="auto"/>
        <w:jc w:val="both"/>
        <w:rPr>
          <w:rFonts w:ascii="Book Antiqua" w:hAnsi="Book Antiqua" w:eastAsia="Book Antiqua" w:cs="Book Antiqua"/>
          <w:b/>
          <w:lang w:val="en-GB"/>
        </w:rPr>
      </w:pPr>
    </w:p>
    <w:p>
      <w:pPr>
        <w:spacing w:line="360" w:lineRule="auto"/>
        <w:jc w:val="both"/>
        <w:rPr>
          <w:rFonts w:hint="eastAsia" w:ascii="Book Antiqua" w:hAnsi="Book Antiqua" w:eastAsia="宋体" w:cs="Book Antiqua"/>
          <w:lang w:val="en-GB" w:eastAsia="zh-CN"/>
        </w:rPr>
      </w:pPr>
      <w:r>
        <w:rPr>
          <w:rFonts w:hint="eastAsia" w:ascii="Book Antiqua" w:hAnsi="Book Antiqua" w:eastAsia="宋体" w:cs="Book Antiqua"/>
          <w:lang w:val="en-GB" w:eastAsia="zh-CN"/>
        </w:rPr>
        <w:drawing>
          <wp:inline distT="0" distB="0" distL="114300" distR="114300">
            <wp:extent cx="5941060" cy="1955165"/>
            <wp:effectExtent l="0" t="0" r="2540" b="6985"/>
            <wp:docPr id="3" name="图片 3" descr="WJO-14-77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O-14-771-g002"/>
                    <pic:cNvPicPr>
                      <a:picLocks noChangeAspect="1"/>
                    </pic:cNvPicPr>
                  </pic:nvPicPr>
                  <pic:blipFill>
                    <a:blip r:embed="rId6"/>
                    <a:stretch>
                      <a:fillRect/>
                    </a:stretch>
                  </pic:blipFill>
                  <pic:spPr>
                    <a:xfrm>
                      <a:off x="0" y="0"/>
                      <a:ext cx="5941060" cy="1955165"/>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lang w:val="en-GB"/>
        </w:rPr>
      </w:pPr>
      <w:r>
        <w:rPr>
          <w:rFonts w:ascii="Book Antiqua" w:hAnsi="Book Antiqua" w:eastAsia="Book Antiqua" w:cs="Book Antiqua"/>
          <w:b/>
          <w:lang w:val="en-GB"/>
        </w:rPr>
        <w:t xml:space="preserve">Figure 2 Allergic reactions due to vancomycin. </w:t>
      </w:r>
      <w:r>
        <w:rPr>
          <w:rFonts w:ascii="Book Antiqua" w:hAnsi="Book Antiqua" w:eastAsia="Book Antiqua" w:cs="Book Antiqua"/>
          <w:lang w:val="en-GB"/>
        </w:rPr>
        <w:t>A: Chest; B: Legs; C: Forearm.</w:t>
      </w:r>
    </w:p>
    <w:p>
      <w:pPr>
        <w:spacing w:line="360" w:lineRule="auto"/>
        <w:jc w:val="both"/>
        <w:rPr>
          <w:rFonts w:ascii="Book Antiqua" w:hAnsi="Book Antiqua" w:eastAsia="Book Antiqua" w:cs="Book Antiqua"/>
          <w:b/>
          <w:lang w:val="en-GB"/>
        </w:rPr>
      </w:pPr>
    </w:p>
    <w:p>
      <w:pPr>
        <w:spacing w:line="360" w:lineRule="auto"/>
        <w:jc w:val="both"/>
        <w:rPr>
          <w:rFonts w:ascii="Book Antiqua" w:hAnsi="Book Antiqua" w:eastAsia="Book Antiqua" w:cs="Book Antiqua"/>
          <w:b/>
          <w:lang w:val="en-GB"/>
        </w:rPr>
      </w:pPr>
      <w:r>
        <w:rPr>
          <w:rFonts w:ascii="Book Antiqua" w:hAnsi="Book Antiqua" w:eastAsia="Book Antiqua" w:cs="Book Antiqua"/>
          <w:b/>
          <w:lang w:val="en-GB"/>
        </w:rPr>
        <w:t>Table 1 Review of literature of vancomycin flushing syndrome after local implantation of vancomycin</w:t>
      </w:r>
    </w:p>
    <w:tbl>
      <w:tblPr>
        <w:tblStyle w:val="20"/>
        <w:tblW w:w="77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75"/>
        <w:gridCol w:w="2320"/>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75" w:type="dxa"/>
            <w:tcBorders>
              <w:top w:val="single" w:color="000000" w:sz="4" w:space="0"/>
              <w:bottom w:val="single" w:color="000000" w:sz="4" w:space="0"/>
            </w:tcBorders>
          </w:tcPr>
          <w:p>
            <w:pPr>
              <w:spacing w:line="360" w:lineRule="auto"/>
              <w:jc w:val="both"/>
              <w:rPr>
                <w:rFonts w:ascii="Book Antiqua" w:hAnsi="Book Antiqua" w:eastAsia="Book Antiqua" w:cs="Book Antiqua"/>
                <w:b/>
                <w:color w:val="000000"/>
                <w:lang w:val="en-GB"/>
              </w:rPr>
            </w:pPr>
            <w:r>
              <w:rPr>
                <w:rFonts w:ascii="Book Antiqua" w:hAnsi="Book Antiqua" w:eastAsia="Book Antiqua" w:cs="Book Antiqua"/>
                <w:b/>
                <w:color w:val="000000"/>
                <w:lang w:val="en-GB"/>
              </w:rPr>
              <w:t>Ref.</w:t>
            </w:r>
          </w:p>
        </w:tc>
        <w:tc>
          <w:tcPr>
            <w:tcW w:w="2320" w:type="dxa"/>
            <w:tcBorders>
              <w:top w:val="single" w:color="000000" w:sz="4" w:space="0"/>
              <w:bottom w:val="single" w:color="000000" w:sz="4" w:space="0"/>
            </w:tcBorders>
          </w:tcPr>
          <w:p>
            <w:pPr>
              <w:spacing w:line="360" w:lineRule="auto"/>
              <w:jc w:val="both"/>
              <w:rPr>
                <w:rFonts w:ascii="Book Antiqua" w:hAnsi="Book Antiqua" w:eastAsia="Book Antiqua" w:cs="Book Antiqua"/>
                <w:b/>
                <w:color w:val="000000"/>
                <w:lang w:val="en-GB"/>
              </w:rPr>
            </w:pPr>
            <w:r>
              <w:rPr>
                <w:rFonts w:ascii="Book Antiqua" w:hAnsi="Book Antiqua" w:eastAsia="Book Antiqua" w:cs="Book Antiqua"/>
                <w:b/>
                <w:color w:val="000000"/>
                <w:lang w:val="en-GB"/>
              </w:rPr>
              <w:t>Vancomycin used</w:t>
            </w:r>
          </w:p>
        </w:tc>
        <w:tc>
          <w:tcPr>
            <w:tcW w:w="1336" w:type="dxa"/>
            <w:tcBorders>
              <w:top w:val="single" w:color="000000" w:sz="4" w:space="0"/>
              <w:bottom w:val="single" w:color="000000" w:sz="4" w:space="0"/>
            </w:tcBorders>
          </w:tcPr>
          <w:p>
            <w:pPr>
              <w:spacing w:line="360" w:lineRule="auto"/>
              <w:jc w:val="both"/>
              <w:rPr>
                <w:rFonts w:ascii="Book Antiqua" w:hAnsi="Book Antiqua" w:eastAsia="Book Antiqua" w:cs="Book Antiqua"/>
                <w:b/>
                <w:color w:val="000000"/>
                <w:lang w:val="en-GB"/>
              </w:rPr>
            </w:pPr>
            <w:r>
              <w:rPr>
                <w:rFonts w:ascii="Book Antiqua" w:hAnsi="Book Antiqua" w:eastAsia="Book Antiqua" w:cs="Book Antiqua"/>
                <w:b/>
                <w:color w:val="000000"/>
                <w:lang w:val="en-GB"/>
              </w:rPr>
              <w:t>Outcome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75" w:type="dxa"/>
            <w:tcBorders>
              <w:top w:val="single" w:color="000000" w:sz="4" w:space="0"/>
            </w:tcBorders>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 xml:space="preserve">Hinarejos </w:t>
            </w:r>
            <w:r>
              <w:rPr>
                <w:rFonts w:ascii="Book Antiqua" w:hAnsi="Book Antiqua" w:eastAsia="Book Antiqua" w:cs="Book Antiqua"/>
                <w:i/>
                <w:color w:val="000000"/>
                <w:lang w:val="en-GB"/>
              </w:rPr>
              <w:t>et al</w:t>
            </w:r>
            <w:r>
              <w:rPr>
                <w:rFonts w:ascii="Book Antiqua" w:hAnsi="Book Antiqua" w:eastAsia="Book Antiqua" w:cs="Book Antiqua"/>
                <w:color w:val="000000"/>
                <w:vertAlign w:val="superscript"/>
                <w:lang w:val="en-GB"/>
              </w:rPr>
              <w:t>[10]</w:t>
            </w:r>
            <w:r>
              <w:rPr>
                <w:rFonts w:ascii="Book Antiqua" w:hAnsi="Book Antiqua" w:eastAsia="Book Antiqua" w:cs="Book Antiqua"/>
                <w:color w:val="000000"/>
                <w:lang w:val="en-GB"/>
              </w:rPr>
              <w:t>, 2015</w:t>
            </w:r>
          </w:p>
        </w:tc>
        <w:tc>
          <w:tcPr>
            <w:tcW w:w="2320" w:type="dxa"/>
            <w:tcBorders>
              <w:top w:val="single" w:color="000000" w:sz="4" w:space="0"/>
            </w:tcBorders>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Bone cement</w:t>
            </w:r>
          </w:p>
        </w:tc>
        <w:tc>
          <w:tcPr>
            <w:tcW w:w="1336" w:type="dxa"/>
            <w:tcBorders>
              <w:top w:val="single" w:color="000000" w:sz="4" w:space="0"/>
            </w:tcBorders>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Recovered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75" w:type="dxa"/>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 xml:space="preserve">Juyal </w:t>
            </w:r>
            <w:r>
              <w:rPr>
                <w:rFonts w:ascii="Book Antiqua" w:hAnsi="Book Antiqua" w:eastAsia="Book Antiqua" w:cs="Book Antiqua"/>
                <w:i/>
                <w:color w:val="000000"/>
                <w:lang w:val="en-GB"/>
              </w:rPr>
              <w:t>et al</w:t>
            </w:r>
            <w:r>
              <w:rPr>
                <w:rFonts w:ascii="Book Antiqua" w:hAnsi="Book Antiqua" w:eastAsia="Book Antiqua" w:cs="Book Antiqua"/>
                <w:color w:val="000000"/>
                <w:vertAlign w:val="superscript"/>
                <w:lang w:val="en-GB"/>
              </w:rPr>
              <w:t>[12]</w:t>
            </w:r>
            <w:r>
              <w:rPr>
                <w:rFonts w:ascii="Book Antiqua" w:hAnsi="Book Antiqua" w:eastAsia="Book Antiqua" w:cs="Book Antiqua"/>
                <w:color w:val="000000"/>
                <w:lang w:val="en-GB"/>
              </w:rPr>
              <w:t>, 2015</w:t>
            </w:r>
          </w:p>
        </w:tc>
        <w:tc>
          <w:tcPr>
            <w:tcW w:w="2320" w:type="dxa"/>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Bone cement beads</w:t>
            </w:r>
          </w:p>
        </w:tc>
        <w:tc>
          <w:tcPr>
            <w:tcW w:w="1336" w:type="dxa"/>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Recovered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75" w:type="dxa"/>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 xml:space="preserve">Chen </w:t>
            </w:r>
            <w:r>
              <w:rPr>
                <w:rFonts w:ascii="Book Antiqua" w:hAnsi="Book Antiqua" w:eastAsia="Book Antiqua" w:cs="Book Antiqua"/>
                <w:i/>
                <w:color w:val="000000"/>
                <w:lang w:val="en-GB"/>
              </w:rPr>
              <w:t>et al</w:t>
            </w:r>
            <w:r>
              <w:rPr>
                <w:rFonts w:ascii="Book Antiqua" w:hAnsi="Book Antiqua" w:eastAsia="Book Antiqua" w:cs="Book Antiqua"/>
                <w:color w:val="000000"/>
                <w:vertAlign w:val="superscript"/>
                <w:lang w:val="en-GB"/>
              </w:rPr>
              <w:t>[11]</w:t>
            </w:r>
            <w:r>
              <w:rPr>
                <w:rFonts w:ascii="Book Antiqua" w:hAnsi="Book Antiqua" w:eastAsia="Book Antiqua" w:cs="Book Antiqua"/>
                <w:color w:val="000000"/>
                <w:lang w:val="en-GB"/>
              </w:rPr>
              <w:t>, 2018</w:t>
            </w:r>
          </w:p>
        </w:tc>
        <w:tc>
          <w:tcPr>
            <w:tcW w:w="2320" w:type="dxa"/>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Cement spacer</w:t>
            </w:r>
          </w:p>
        </w:tc>
        <w:tc>
          <w:tcPr>
            <w:tcW w:w="1336" w:type="dxa"/>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Recovered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75" w:type="dxa"/>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Harper and Incavo</w:t>
            </w:r>
            <w:r>
              <w:rPr>
                <w:rFonts w:ascii="Book Antiqua" w:hAnsi="Book Antiqua" w:eastAsia="Book Antiqua" w:cs="Book Antiqua"/>
                <w:color w:val="000000"/>
                <w:vertAlign w:val="superscript"/>
                <w:lang w:val="en-GB"/>
              </w:rPr>
              <w:t>[13]</w:t>
            </w:r>
            <w:r>
              <w:rPr>
                <w:rFonts w:ascii="Book Antiqua" w:hAnsi="Book Antiqua" w:eastAsia="Book Antiqua" w:cs="Book Antiqua"/>
                <w:color w:val="000000"/>
                <w:lang w:val="en-GB"/>
              </w:rPr>
              <w:t>, 2019</w:t>
            </w:r>
          </w:p>
        </w:tc>
        <w:tc>
          <w:tcPr>
            <w:tcW w:w="2320" w:type="dxa"/>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Cement spacer</w:t>
            </w:r>
          </w:p>
        </w:tc>
        <w:tc>
          <w:tcPr>
            <w:tcW w:w="1336" w:type="dxa"/>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Recovered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75" w:type="dxa"/>
            <w:tcBorders>
              <w:bottom w:val="single" w:color="000000" w:sz="4" w:space="0"/>
            </w:tcBorders>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Present case, 2023</w:t>
            </w:r>
          </w:p>
        </w:tc>
        <w:tc>
          <w:tcPr>
            <w:tcW w:w="2320" w:type="dxa"/>
            <w:tcBorders>
              <w:bottom w:val="single" w:color="000000" w:sz="4" w:space="0"/>
            </w:tcBorders>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Bone cement beads</w:t>
            </w:r>
          </w:p>
        </w:tc>
        <w:tc>
          <w:tcPr>
            <w:tcW w:w="1336" w:type="dxa"/>
            <w:tcBorders>
              <w:bottom w:val="single" w:color="000000" w:sz="4" w:space="0"/>
            </w:tcBorders>
          </w:tcPr>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Recovered</w:t>
            </w:r>
          </w:p>
        </w:tc>
      </w:tr>
    </w:tbl>
    <w:p>
      <w:pPr>
        <w:spacing w:line="360" w:lineRule="auto"/>
        <w:jc w:val="both"/>
        <w:rPr>
          <w:rFonts w:ascii="Book Antiqua" w:hAnsi="Book Antiqua" w:eastAsia="Book Antiqua" w:cs="Book Antiqua"/>
          <w:lang w:val="en-GB"/>
        </w:rPr>
        <w:sectPr>
          <w:footerReference r:id="rId3" w:type="default"/>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lang w:val="en-G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153"/>
        <w:tab w:val="right" w:pos="8306"/>
      </w:tabs>
      <w:jc w:val="right"/>
      <w:rPr>
        <w:rFonts w:ascii="Book Antiqua" w:hAnsi="Book Antiqua"/>
        <w:color w:val="000000"/>
      </w:rPr>
    </w:pPr>
    <w:r>
      <w:rPr>
        <w:rFonts w:ascii="Book Antiqua" w:hAnsi="Book Antiqua"/>
        <w:color w:val="000000"/>
      </w:rPr>
      <w:fldChar w:fldCharType="begin"/>
    </w:r>
    <w:r>
      <w:rPr>
        <w:rFonts w:ascii="Book Antiqua" w:hAnsi="Book Antiqua"/>
        <w:color w:val="000000"/>
      </w:rPr>
      <w:instrText xml:space="preserve">PAGE</w:instrText>
    </w:r>
    <w:r>
      <w:rPr>
        <w:rFonts w:ascii="Book Antiqua" w:hAnsi="Book Antiqua"/>
        <w:color w:val="000000"/>
      </w:rPr>
      <w:fldChar w:fldCharType="separate"/>
    </w:r>
    <w:r>
      <w:rPr>
        <w:rFonts w:ascii="Book Antiqua" w:hAnsi="Book Antiqua"/>
        <w:color w:val="000000"/>
      </w:rPr>
      <w:t>1</w:t>
    </w:r>
    <w:r>
      <w:rPr>
        <w:rFonts w:ascii="Book Antiqua" w:hAnsi="Book Antiqua"/>
        <w:color w:val="000000"/>
      </w:rPr>
      <w:fldChar w:fldCharType="end"/>
    </w:r>
    <w:r>
      <w:rPr>
        <w:rFonts w:ascii="Book Antiqua" w:hAnsi="Book Antiqua"/>
        <w:color w:val="000000"/>
      </w:rPr>
      <w:t xml:space="preserve"> / </w:t>
    </w:r>
    <w:r>
      <w:rPr>
        <w:rFonts w:ascii="Book Antiqua" w:hAnsi="Book Antiqua"/>
        <w:color w:val="000000"/>
      </w:rPr>
      <w:fldChar w:fldCharType="begin"/>
    </w:r>
    <w:r>
      <w:rPr>
        <w:rFonts w:ascii="Book Antiqua" w:hAnsi="Book Antiqua"/>
        <w:color w:val="000000"/>
      </w:rPr>
      <w:instrText xml:space="preserve">NUMPAGES</w:instrText>
    </w:r>
    <w:r>
      <w:rPr>
        <w:rFonts w:ascii="Book Antiqua" w:hAnsi="Book Antiqua"/>
        <w:color w:val="000000"/>
      </w:rPr>
      <w:fldChar w:fldCharType="separate"/>
    </w:r>
    <w:r>
      <w:rPr>
        <w:rFonts w:ascii="Book Antiqua" w:hAnsi="Book Antiqua"/>
        <w:color w:val="000000"/>
      </w:rPr>
      <w:t>2</w:t>
    </w:r>
    <w:r>
      <w:rPr>
        <w:rFonts w:ascii="Book Antiqua" w:hAnsi="Book Antiqua"/>
        <w:color w:val="000000"/>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1YWIyMTUwNTMzYzY5ODk4ZmYxZmUzMWNlMTBmOTEifQ=="/>
  </w:docVars>
  <w:rsids>
    <w:rsidRoot w:val="006C59B5"/>
    <w:rsid w:val="00003500"/>
    <w:rsid w:val="00010939"/>
    <w:rsid w:val="00056BB9"/>
    <w:rsid w:val="00095370"/>
    <w:rsid w:val="000D0F29"/>
    <w:rsid w:val="00104A86"/>
    <w:rsid w:val="0013331D"/>
    <w:rsid w:val="00187A40"/>
    <w:rsid w:val="00190DE6"/>
    <w:rsid w:val="001A580B"/>
    <w:rsid w:val="001B007C"/>
    <w:rsid w:val="001C2852"/>
    <w:rsid w:val="001D4512"/>
    <w:rsid w:val="001D48D9"/>
    <w:rsid w:val="001D76D6"/>
    <w:rsid w:val="002149F8"/>
    <w:rsid w:val="0022400F"/>
    <w:rsid w:val="00276089"/>
    <w:rsid w:val="00284818"/>
    <w:rsid w:val="002A03CE"/>
    <w:rsid w:val="002A0FC3"/>
    <w:rsid w:val="002E5DA3"/>
    <w:rsid w:val="0032079A"/>
    <w:rsid w:val="00363559"/>
    <w:rsid w:val="00386B3B"/>
    <w:rsid w:val="003A64C1"/>
    <w:rsid w:val="003D4C81"/>
    <w:rsid w:val="003D5449"/>
    <w:rsid w:val="004002F0"/>
    <w:rsid w:val="0040384B"/>
    <w:rsid w:val="00424BCE"/>
    <w:rsid w:val="00466D0D"/>
    <w:rsid w:val="004B62FE"/>
    <w:rsid w:val="004D19CE"/>
    <w:rsid w:val="005042DD"/>
    <w:rsid w:val="00510510"/>
    <w:rsid w:val="00532AFF"/>
    <w:rsid w:val="005B66B4"/>
    <w:rsid w:val="005B7616"/>
    <w:rsid w:val="005C486F"/>
    <w:rsid w:val="005D01A2"/>
    <w:rsid w:val="005E38D1"/>
    <w:rsid w:val="005F1296"/>
    <w:rsid w:val="006004DA"/>
    <w:rsid w:val="0069009C"/>
    <w:rsid w:val="006B4CF4"/>
    <w:rsid w:val="006C59B5"/>
    <w:rsid w:val="006D78D6"/>
    <w:rsid w:val="006E356F"/>
    <w:rsid w:val="006F2278"/>
    <w:rsid w:val="00723CAA"/>
    <w:rsid w:val="007333B2"/>
    <w:rsid w:val="007E60CB"/>
    <w:rsid w:val="008279F9"/>
    <w:rsid w:val="00873D23"/>
    <w:rsid w:val="008C69BE"/>
    <w:rsid w:val="008F6D6A"/>
    <w:rsid w:val="0090470E"/>
    <w:rsid w:val="00907762"/>
    <w:rsid w:val="0091477C"/>
    <w:rsid w:val="00936592"/>
    <w:rsid w:val="009F3BA4"/>
    <w:rsid w:val="00A17735"/>
    <w:rsid w:val="00A2712A"/>
    <w:rsid w:val="00A33B73"/>
    <w:rsid w:val="00A35857"/>
    <w:rsid w:val="00A77B3E"/>
    <w:rsid w:val="00AF0980"/>
    <w:rsid w:val="00B534A7"/>
    <w:rsid w:val="00BB231E"/>
    <w:rsid w:val="00BF1CC8"/>
    <w:rsid w:val="00C01E4A"/>
    <w:rsid w:val="00CA2A55"/>
    <w:rsid w:val="00CE475E"/>
    <w:rsid w:val="00D13BB5"/>
    <w:rsid w:val="00D342E7"/>
    <w:rsid w:val="00D90018"/>
    <w:rsid w:val="00D979E5"/>
    <w:rsid w:val="00DB101B"/>
    <w:rsid w:val="00E12893"/>
    <w:rsid w:val="00E7185F"/>
    <w:rsid w:val="00EA64BD"/>
    <w:rsid w:val="00ED1C3C"/>
    <w:rsid w:val="00EE4465"/>
    <w:rsid w:val="00EF57AA"/>
    <w:rsid w:val="00F01B4F"/>
    <w:rsid w:val="00F03D4D"/>
    <w:rsid w:val="00F04E61"/>
    <w:rsid w:val="00F05411"/>
    <w:rsid w:val="00F528FB"/>
    <w:rsid w:val="00F56420"/>
    <w:rsid w:val="00F70EC6"/>
    <w:rsid w:val="00F76B18"/>
    <w:rsid w:val="00F8072C"/>
    <w:rsid w:val="00FC158B"/>
    <w:rsid w:val="4B6425FF"/>
    <w:rsid w:val="673E78CC"/>
    <w:rsid w:val="67565513"/>
    <w:rsid w:val="67E44470"/>
    <w:rsid w:val="731C4778"/>
    <w:rsid w:val="757A7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link w:val="23"/>
    <w:qFormat/>
    <w:uiPriority w:val="9"/>
    <w:pPr>
      <w:keepNext/>
      <w:keepLines/>
      <w:spacing w:before="240"/>
      <w:outlineLvl w:val="0"/>
    </w:pPr>
    <w:rPr>
      <w:rFonts w:ascii="Cambria" w:hAnsi="Cambria" w:eastAsia="Cambria" w:cs="Cambria"/>
      <w:color w:val="366091"/>
      <w:sz w:val="32"/>
      <w:szCs w:val="32"/>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24"/>
    <w:qFormat/>
    <w:uiPriority w:val="0"/>
    <w:rPr>
      <w:rFonts w:eastAsiaTheme="minorEastAsia"/>
    </w:rPr>
  </w:style>
  <w:style w:type="paragraph" w:styleId="9">
    <w:name w:val="Balloon Text"/>
    <w:basedOn w:val="1"/>
    <w:link w:val="27"/>
    <w:semiHidden/>
    <w:unhideWhenUsed/>
    <w:qFormat/>
    <w:uiPriority w:val="99"/>
    <w:rPr>
      <w:sz w:val="18"/>
      <w:szCs w:val="18"/>
    </w:rPr>
  </w:style>
  <w:style w:type="paragraph" w:styleId="10">
    <w:name w:val="footer"/>
    <w:basedOn w:val="1"/>
    <w:link w:val="22"/>
    <w:qFormat/>
    <w:uiPriority w:val="99"/>
    <w:pPr>
      <w:tabs>
        <w:tab w:val="center" w:pos="4153"/>
        <w:tab w:val="right" w:pos="8306"/>
      </w:tabs>
      <w:snapToGrid w:val="0"/>
    </w:pPr>
    <w:rPr>
      <w:rFonts w:eastAsiaTheme="minorEastAsia"/>
      <w:sz w:val="18"/>
      <w:szCs w:val="18"/>
    </w:rPr>
  </w:style>
  <w:style w:type="paragraph" w:styleId="11">
    <w:name w:val="header"/>
    <w:basedOn w:val="1"/>
    <w:link w:val="21"/>
    <w:qFormat/>
    <w:uiPriority w:val="0"/>
    <w:pPr>
      <w:tabs>
        <w:tab w:val="center" w:pos="4153"/>
        <w:tab w:val="right" w:pos="8306"/>
      </w:tabs>
      <w:snapToGrid w:val="0"/>
      <w:jc w:val="center"/>
    </w:pPr>
    <w:rPr>
      <w:rFonts w:eastAsiaTheme="minorEastAsia"/>
      <w:sz w:val="18"/>
      <w:szCs w:val="18"/>
    </w:rPr>
  </w:style>
  <w:style w:type="paragraph" w:styleId="12">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3">
    <w:name w:val="Normal (Web)"/>
    <w:basedOn w:val="1"/>
    <w:unhideWhenUsed/>
    <w:qFormat/>
    <w:uiPriority w:val="99"/>
    <w:pPr>
      <w:spacing w:before="100" w:beforeAutospacing="1" w:after="100" w:afterAutospacing="1"/>
    </w:pPr>
  </w:style>
  <w:style w:type="paragraph" w:styleId="14">
    <w:name w:val="Title"/>
    <w:basedOn w:val="1"/>
    <w:next w:val="1"/>
    <w:qFormat/>
    <w:uiPriority w:val="10"/>
    <w:pPr>
      <w:keepNext/>
      <w:keepLines/>
      <w:spacing w:before="480" w:after="120"/>
    </w:pPr>
    <w:rPr>
      <w:b/>
      <w:sz w:val="72"/>
      <w:szCs w:val="72"/>
    </w:rPr>
  </w:style>
  <w:style w:type="paragraph" w:styleId="15">
    <w:name w:val="annotation subject"/>
    <w:basedOn w:val="8"/>
    <w:next w:val="8"/>
    <w:link w:val="25"/>
    <w:qFormat/>
    <w:uiPriority w:val="0"/>
    <w:rPr>
      <w:b/>
      <w:bCs/>
    </w:rPr>
  </w:style>
  <w:style w:type="table" w:styleId="17">
    <w:name w:val="Table Grid"/>
    <w:basedOn w:val="16"/>
    <w:qFormat/>
    <w:uiPriority w:val="0"/>
    <w:rPr>
      <w:rFonts w:eastAsiaTheme="minorEastAsi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annotation reference"/>
    <w:basedOn w:val="18"/>
    <w:qFormat/>
    <w:uiPriority w:val="0"/>
    <w:rPr>
      <w:sz w:val="21"/>
      <w:szCs w:val="21"/>
    </w:rPr>
  </w:style>
  <w:style w:type="table" w:customStyle="1" w:styleId="20">
    <w:name w:val="_Style 11"/>
    <w:basedOn w:val="16"/>
    <w:qFormat/>
    <w:uiPriority w:val="0"/>
  </w:style>
  <w:style w:type="character" w:customStyle="1" w:styleId="21">
    <w:name w:val="Header Char"/>
    <w:basedOn w:val="18"/>
    <w:link w:val="11"/>
    <w:qFormat/>
    <w:uiPriority w:val="0"/>
    <w:rPr>
      <w:rFonts w:eastAsiaTheme="minorEastAsia"/>
      <w:sz w:val="18"/>
      <w:szCs w:val="18"/>
    </w:rPr>
  </w:style>
  <w:style w:type="character" w:customStyle="1" w:styleId="22">
    <w:name w:val="Footer Char"/>
    <w:basedOn w:val="18"/>
    <w:link w:val="10"/>
    <w:qFormat/>
    <w:uiPriority w:val="99"/>
    <w:rPr>
      <w:rFonts w:eastAsiaTheme="minorEastAsia"/>
      <w:sz w:val="18"/>
      <w:szCs w:val="18"/>
    </w:rPr>
  </w:style>
  <w:style w:type="character" w:customStyle="1" w:styleId="23">
    <w:name w:val="Heading 1 Char"/>
    <w:basedOn w:val="18"/>
    <w:link w:val="2"/>
    <w:qFormat/>
    <w:uiPriority w:val="9"/>
    <w:rPr>
      <w:rFonts w:ascii="Cambria" w:hAnsi="Cambria" w:eastAsia="Cambria" w:cs="Cambria"/>
      <w:color w:val="366091"/>
      <w:sz w:val="32"/>
      <w:szCs w:val="32"/>
    </w:rPr>
  </w:style>
  <w:style w:type="character" w:customStyle="1" w:styleId="24">
    <w:name w:val="Comment Text Char"/>
    <w:basedOn w:val="18"/>
    <w:link w:val="8"/>
    <w:qFormat/>
    <w:uiPriority w:val="0"/>
    <w:rPr>
      <w:rFonts w:eastAsiaTheme="minorEastAsia"/>
    </w:rPr>
  </w:style>
  <w:style w:type="character" w:customStyle="1" w:styleId="25">
    <w:name w:val="Comment Subject Char"/>
    <w:basedOn w:val="24"/>
    <w:link w:val="15"/>
    <w:qFormat/>
    <w:uiPriority w:val="0"/>
    <w:rPr>
      <w:rFonts w:eastAsiaTheme="minorEastAsia"/>
      <w:b/>
      <w:bCs/>
    </w:rPr>
  </w:style>
  <w:style w:type="paragraph" w:customStyle="1" w:styleId="2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27">
    <w:name w:val="Balloon Text Char"/>
    <w:basedOn w:val="18"/>
    <w:link w:val="9"/>
    <w:semiHidden/>
    <w:qFormat/>
    <w:uiPriority w:val="99"/>
    <w:rPr>
      <w:sz w:val="18"/>
      <w:szCs w:val="18"/>
    </w:rPr>
  </w:style>
  <w:style w:type="character" w:customStyle="1" w:styleId="28">
    <w:name w:val="apple-converted-space"/>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11</Pages>
  <Words>2411</Words>
  <Characters>13745</Characters>
  <Lines>114</Lines>
  <Paragraphs>32</Paragraphs>
  <TotalTime>0</TotalTime>
  <ScaleCrop>false</ScaleCrop>
  <LinksUpToDate>false</LinksUpToDate>
  <CharactersWithSpaces>16124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2023-09-22T18:30:00Z</dcterms:created>
  <dc:creator>10436</dc:creator>
  <cp:lastModifiedBy>xzh</cp:lastModifiedBy>
  <dcterms:modified xsi:type="dcterms:W3CDTF">2023-10-16T06:41:05Z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E38032FBFA5D43CA84706D883DE6ED46_12</vt:lpwstr>
  </property>
</Properties>
</file>