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CF25" w14:textId="77777777" w:rsidR="000D2E46" w:rsidRPr="00A4009A" w:rsidRDefault="00000000">
      <w:pPr>
        <w:spacing w:line="360" w:lineRule="auto"/>
        <w:jc w:val="both"/>
      </w:pPr>
      <w:r w:rsidRPr="00A4009A">
        <w:rPr>
          <w:rFonts w:ascii="Book Antiqua" w:eastAsia="Book Antiqua" w:hAnsi="Book Antiqua" w:cs="Book Antiqua"/>
          <w:b/>
        </w:rPr>
        <w:t xml:space="preserve">Name of Journal: </w:t>
      </w:r>
      <w:r w:rsidRPr="00A4009A">
        <w:rPr>
          <w:rFonts w:ascii="Book Antiqua" w:eastAsia="Book Antiqua" w:hAnsi="Book Antiqua" w:cs="Book Antiqua"/>
          <w:i/>
        </w:rPr>
        <w:t>World Journal of Clinical Cases</w:t>
      </w:r>
    </w:p>
    <w:p w14:paraId="4D37B2CE" w14:textId="77777777" w:rsidR="000D2E46" w:rsidRPr="00A4009A" w:rsidRDefault="00000000">
      <w:pPr>
        <w:spacing w:line="360" w:lineRule="auto"/>
        <w:jc w:val="both"/>
      </w:pPr>
      <w:r w:rsidRPr="00A4009A">
        <w:rPr>
          <w:rFonts w:ascii="Book Antiqua" w:eastAsia="Book Antiqua" w:hAnsi="Book Antiqua" w:cs="Book Antiqua"/>
          <w:b/>
        </w:rPr>
        <w:t xml:space="preserve">Manuscript NO: </w:t>
      </w:r>
      <w:r w:rsidRPr="00A4009A">
        <w:rPr>
          <w:rFonts w:ascii="Book Antiqua" w:eastAsia="Book Antiqua" w:hAnsi="Book Antiqua" w:cs="Book Antiqua"/>
        </w:rPr>
        <w:t>86325</w:t>
      </w:r>
    </w:p>
    <w:p w14:paraId="6CD3661F" w14:textId="77777777" w:rsidR="000D2E46" w:rsidRPr="00A4009A" w:rsidRDefault="00000000">
      <w:pPr>
        <w:spacing w:line="360" w:lineRule="auto"/>
        <w:jc w:val="both"/>
      </w:pPr>
      <w:r w:rsidRPr="00A4009A">
        <w:rPr>
          <w:rFonts w:ascii="Book Antiqua" w:eastAsia="Book Antiqua" w:hAnsi="Book Antiqua" w:cs="Book Antiqua"/>
          <w:b/>
        </w:rPr>
        <w:t xml:space="preserve">Manuscript Type: </w:t>
      </w:r>
      <w:r w:rsidRPr="00A4009A">
        <w:rPr>
          <w:rFonts w:ascii="Book Antiqua" w:eastAsia="Book Antiqua" w:hAnsi="Book Antiqua" w:cs="Book Antiqua"/>
        </w:rPr>
        <w:t>CASE REPORT</w:t>
      </w:r>
    </w:p>
    <w:p w14:paraId="05019293" w14:textId="77777777" w:rsidR="000D2E46" w:rsidRPr="00A4009A" w:rsidRDefault="000D2E46">
      <w:pPr>
        <w:spacing w:line="360" w:lineRule="auto"/>
        <w:jc w:val="both"/>
      </w:pPr>
    </w:p>
    <w:p w14:paraId="2860C6AE" w14:textId="77777777" w:rsidR="000D2E46" w:rsidRPr="00A4009A" w:rsidRDefault="00000000">
      <w:pPr>
        <w:spacing w:line="360" w:lineRule="auto"/>
        <w:jc w:val="both"/>
        <w:rPr>
          <w:rFonts w:ascii="Book Antiqua" w:eastAsia="Book Antiqua" w:hAnsi="Book Antiqua" w:cs="Book Antiqua"/>
          <w:b/>
          <w:bCs/>
          <w:color w:val="000000"/>
        </w:rPr>
      </w:pPr>
      <w:r w:rsidRPr="00A4009A">
        <w:rPr>
          <w:rFonts w:ascii="Book Antiqua" w:hAnsi="Book Antiqua" w:cs="Book Antiqua" w:hint="eastAsia"/>
          <w:b/>
          <w:bCs/>
          <w:color w:val="000000"/>
          <w:lang w:eastAsia="zh-CN"/>
        </w:rPr>
        <w:t>Co-</w:t>
      </w:r>
      <w:r w:rsidRPr="00A4009A">
        <w:rPr>
          <w:rFonts w:ascii="Book Antiqua" w:eastAsia="Book Antiqua" w:hAnsi="Book Antiqua" w:cs="Book Antiqua"/>
          <w:b/>
          <w:bCs/>
          <w:color w:val="000000"/>
        </w:rPr>
        <w:t>infection</w:t>
      </w:r>
      <w:r w:rsidRPr="00A4009A">
        <w:rPr>
          <w:rFonts w:ascii="Book Antiqua" w:eastAsia="Book Antiqua" w:hAnsi="Book Antiqua" w:cs="Book Antiqua"/>
          <w:b/>
          <w:bCs/>
          <w:i/>
          <w:iCs/>
          <w:color w:val="000000"/>
        </w:rPr>
        <w:t xml:space="preserve"> </w:t>
      </w:r>
      <w:r w:rsidRPr="00A4009A">
        <w:rPr>
          <w:rFonts w:ascii="Book Antiqua" w:hAnsi="Book Antiqua" w:cs="Book Antiqua" w:hint="eastAsia"/>
          <w:b/>
          <w:bCs/>
          <w:iCs/>
          <w:color w:val="000000"/>
          <w:lang w:eastAsia="zh-CN"/>
        </w:rPr>
        <w:t xml:space="preserve">of </w:t>
      </w:r>
      <w:r w:rsidRPr="00A4009A">
        <w:rPr>
          <w:rFonts w:ascii="Book Antiqua" w:eastAsia="Book Antiqua" w:hAnsi="Book Antiqua" w:cs="Book Antiqua"/>
          <w:b/>
          <w:bCs/>
          <w:i/>
          <w:iCs/>
          <w:color w:val="000000"/>
        </w:rPr>
        <w:t>Chlamydia psittaci</w:t>
      </w:r>
      <w:r w:rsidRPr="00A4009A">
        <w:rPr>
          <w:rFonts w:ascii="Book Antiqua" w:eastAsia="Book Antiqua" w:hAnsi="Book Antiqua" w:cs="Book Antiqua"/>
          <w:b/>
          <w:bCs/>
          <w:color w:val="000000"/>
        </w:rPr>
        <w:t xml:space="preserve"> </w:t>
      </w:r>
      <w:r w:rsidRPr="00A4009A">
        <w:rPr>
          <w:rFonts w:ascii="Book Antiqua" w:hAnsi="Book Antiqua" w:cs="Book Antiqua" w:hint="eastAsia"/>
          <w:b/>
          <w:bCs/>
          <w:color w:val="000000"/>
          <w:lang w:eastAsia="zh-CN"/>
        </w:rPr>
        <w:t xml:space="preserve">and </w:t>
      </w:r>
      <w:r w:rsidRPr="00A4009A">
        <w:rPr>
          <w:rFonts w:ascii="Book Antiqua" w:eastAsia="Book Antiqua" w:hAnsi="Book Antiqua" w:cs="Book Antiqua"/>
          <w:b/>
          <w:bCs/>
          <w:i/>
          <w:iCs/>
          <w:color w:val="000000"/>
        </w:rPr>
        <w:t>Tropheryma whipplei</w:t>
      </w:r>
      <w:r w:rsidRPr="00A4009A">
        <w:rPr>
          <w:rFonts w:ascii="Book Antiqua" w:hAnsi="Book Antiqua" w:cs="Book Antiqua" w:hint="eastAsia"/>
          <w:b/>
          <w:bCs/>
          <w:color w:val="000000"/>
          <w:lang w:eastAsia="zh-CN"/>
        </w:rPr>
        <w:t>:</w:t>
      </w:r>
      <w:r w:rsidRPr="00A4009A">
        <w:rPr>
          <w:rFonts w:ascii="Book Antiqua" w:hAnsi="Book Antiqua" w:cs="Book Antiqua"/>
          <w:b/>
          <w:bCs/>
          <w:color w:val="000000"/>
          <w:lang w:eastAsia="zh-CN"/>
        </w:rPr>
        <w:t xml:space="preserve"> </w:t>
      </w:r>
      <w:r w:rsidRPr="00A4009A">
        <w:rPr>
          <w:rFonts w:ascii="Book Antiqua" w:eastAsia="Book Antiqua" w:hAnsi="Book Antiqua" w:cs="Book Antiqua"/>
          <w:b/>
          <w:bCs/>
          <w:color w:val="000000"/>
        </w:rPr>
        <w:t>A case report</w:t>
      </w:r>
    </w:p>
    <w:p w14:paraId="23B2BA4F" w14:textId="77777777" w:rsidR="000D2E46" w:rsidRPr="00A4009A" w:rsidRDefault="000D2E46">
      <w:pPr>
        <w:spacing w:line="360" w:lineRule="auto"/>
        <w:jc w:val="both"/>
      </w:pPr>
    </w:p>
    <w:p w14:paraId="1AA22BEA" w14:textId="64B923BF" w:rsidR="000D2E46" w:rsidRPr="00A4009A" w:rsidRDefault="00000000">
      <w:pPr>
        <w:spacing w:line="360" w:lineRule="auto"/>
        <w:jc w:val="both"/>
      </w:pPr>
      <w:r w:rsidRPr="00A4009A">
        <w:rPr>
          <w:rFonts w:ascii="Book Antiqua" w:eastAsia="Book Antiqua" w:hAnsi="Book Antiqua" w:cs="Book Antiqua"/>
          <w:color w:val="000000"/>
        </w:rPr>
        <w:t xml:space="preserve">Du </w:t>
      </w:r>
      <w:r w:rsidR="0002467D" w:rsidRPr="00A4009A">
        <w:rPr>
          <w:rFonts w:ascii="Book Antiqua" w:eastAsia="Book Antiqua" w:hAnsi="Book Antiqua" w:cs="Book Antiqua"/>
          <w:color w:val="000000"/>
        </w:rPr>
        <w:t>ZM</w:t>
      </w:r>
      <w:r w:rsidRPr="00A4009A">
        <w:rPr>
          <w:rFonts w:ascii="Book Antiqua" w:eastAsia="Book Antiqua" w:hAnsi="Book Antiqua" w:cs="Book Antiqua"/>
          <w:color w:val="000000"/>
        </w:rPr>
        <w:t xml:space="preserve"> </w:t>
      </w:r>
      <w:r w:rsidRPr="00A4009A">
        <w:rPr>
          <w:rFonts w:ascii="Book Antiqua" w:eastAsia="Book Antiqua" w:hAnsi="Book Antiqua" w:cs="Book Antiqua"/>
          <w:i/>
          <w:iCs/>
          <w:color w:val="000000"/>
        </w:rPr>
        <w:t>et al</w:t>
      </w:r>
      <w:r w:rsidRPr="00A4009A">
        <w:rPr>
          <w:rFonts w:ascii="Book Antiqua" w:eastAsia="Book Antiqua" w:hAnsi="Book Antiqua" w:cs="Book Antiqua"/>
          <w:color w:val="000000"/>
        </w:rPr>
        <w:t xml:space="preserve">. </w:t>
      </w:r>
      <w:r w:rsidRPr="00A4009A">
        <w:rPr>
          <w:rFonts w:ascii="Book Antiqua" w:eastAsia="Book Antiqua" w:hAnsi="Book Antiqua" w:cs="Book Antiqua"/>
          <w:i/>
          <w:iCs/>
          <w:color w:val="000000"/>
        </w:rPr>
        <w:t>Chlamydia 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rPr>
        <w:t>Tropheryma whipplei</w:t>
      </w:r>
      <w:r w:rsidRPr="00A4009A">
        <w:rPr>
          <w:rFonts w:ascii="Book Antiqua" w:eastAsia="Book Antiqua" w:hAnsi="Book Antiqua" w:cs="Book Antiqua"/>
          <w:color w:val="000000"/>
        </w:rPr>
        <w:t xml:space="preserve"> </w:t>
      </w:r>
      <w:r w:rsidRPr="00A4009A">
        <w:rPr>
          <w:rFonts w:ascii="Book Antiqua" w:hAnsi="Book Antiqua" w:cs="Book Antiqua" w:hint="eastAsia"/>
          <w:color w:val="000000"/>
          <w:lang w:eastAsia="zh-CN"/>
        </w:rPr>
        <w:t>co-</w:t>
      </w:r>
      <w:r w:rsidRPr="00A4009A">
        <w:rPr>
          <w:rFonts w:ascii="Book Antiqua" w:eastAsia="Book Antiqua" w:hAnsi="Book Antiqua" w:cs="Book Antiqua"/>
          <w:color w:val="000000"/>
        </w:rPr>
        <w:t>infection</w:t>
      </w:r>
    </w:p>
    <w:p w14:paraId="5A7B60DC" w14:textId="77777777" w:rsidR="000D2E46" w:rsidRPr="00A4009A" w:rsidRDefault="000D2E46">
      <w:pPr>
        <w:spacing w:line="360" w:lineRule="auto"/>
        <w:jc w:val="both"/>
      </w:pPr>
    </w:p>
    <w:p w14:paraId="4A3FC23F" w14:textId="06DEFE3D" w:rsidR="000D2E46" w:rsidRPr="00A4009A" w:rsidRDefault="0002467D">
      <w:pPr>
        <w:spacing w:line="360" w:lineRule="auto"/>
        <w:jc w:val="both"/>
      </w:pPr>
      <w:r w:rsidRPr="00A4009A">
        <w:rPr>
          <w:rFonts w:ascii="Book Antiqua" w:eastAsia="Book Antiqua" w:hAnsi="Book Antiqua" w:cs="Book Antiqua"/>
          <w:color w:val="000000"/>
        </w:rPr>
        <w:t>Zhu-Man Du, Pei Chen</w:t>
      </w:r>
    </w:p>
    <w:p w14:paraId="0B0BBB10" w14:textId="77777777" w:rsidR="000D2E46" w:rsidRPr="00A4009A" w:rsidRDefault="000D2E46">
      <w:pPr>
        <w:spacing w:line="360" w:lineRule="auto"/>
        <w:jc w:val="both"/>
      </w:pPr>
    </w:p>
    <w:p w14:paraId="5C1415EC" w14:textId="33CC2C06" w:rsidR="000D2E46" w:rsidRPr="00A4009A" w:rsidRDefault="0002467D">
      <w:pPr>
        <w:spacing w:line="360" w:lineRule="auto"/>
        <w:jc w:val="both"/>
      </w:pPr>
      <w:r w:rsidRPr="00A4009A">
        <w:rPr>
          <w:rFonts w:ascii="Book Antiqua" w:eastAsia="Book Antiqua" w:hAnsi="Book Antiqua" w:cs="Book Antiqua"/>
          <w:b/>
          <w:bCs/>
          <w:color w:val="000000"/>
        </w:rPr>
        <w:t xml:space="preserve">Zhu-Man Du, Pei Chen, </w:t>
      </w:r>
      <w:r w:rsidRPr="00A4009A">
        <w:rPr>
          <w:rFonts w:ascii="Book Antiqua" w:eastAsia="Book Antiqua" w:hAnsi="Book Antiqua" w:cs="Book Antiqua"/>
          <w:color w:val="000000"/>
        </w:rPr>
        <w:t>Respiratory and Critical Care Discipline, Clinical Medicine College</w:t>
      </w:r>
      <w:r w:rsidR="00282C70" w:rsidRPr="00A4009A">
        <w:rPr>
          <w:rFonts w:ascii="Book Antiqua" w:hAnsi="Book Antiqua" w:cs="Book Antiqua" w:hint="eastAsia"/>
          <w:color w:val="000000"/>
          <w:lang w:eastAsia="zh-CN"/>
        </w:rPr>
        <w:t>,</w:t>
      </w:r>
      <w:r w:rsidRPr="00A4009A">
        <w:rPr>
          <w:rFonts w:ascii="Book Antiqua" w:eastAsia="Book Antiqua" w:hAnsi="Book Antiqua" w:cs="Book Antiqua"/>
          <w:color w:val="000000"/>
        </w:rPr>
        <w:t xml:space="preserve"> Affiliated Hospital of Chengdu University, Chengdu 610000, Sichuan Province, China</w:t>
      </w:r>
    </w:p>
    <w:p w14:paraId="0999F905" w14:textId="77777777" w:rsidR="000D2E46" w:rsidRPr="00A4009A" w:rsidRDefault="000D2E46">
      <w:pPr>
        <w:spacing w:line="360" w:lineRule="auto"/>
        <w:jc w:val="both"/>
      </w:pPr>
    </w:p>
    <w:p w14:paraId="72F2F913" w14:textId="77777777" w:rsidR="000D2E46" w:rsidRPr="00A4009A" w:rsidRDefault="00000000">
      <w:pPr>
        <w:spacing w:line="360" w:lineRule="auto"/>
        <w:jc w:val="both"/>
      </w:pPr>
      <w:r w:rsidRPr="00A4009A">
        <w:rPr>
          <w:rFonts w:ascii="Book Antiqua" w:eastAsia="Book Antiqua" w:hAnsi="Book Antiqua" w:cs="Book Antiqua"/>
          <w:b/>
          <w:bCs/>
          <w:color w:val="000000"/>
          <w:szCs w:val="21"/>
        </w:rPr>
        <w:t xml:space="preserve">Author contributions: </w:t>
      </w:r>
      <w:r w:rsidRPr="00A4009A">
        <w:rPr>
          <w:rFonts w:ascii="Book Antiqua" w:eastAsia="Book Antiqua" w:hAnsi="Book Antiqua" w:cs="Book Antiqua"/>
          <w:color w:val="000000"/>
        </w:rPr>
        <w:t>Du ZM contributed to manuscript writing and editing, and data collection; Cheng P contributed to conceptualization and supervision; all authors have read and approved the final manuscript.</w:t>
      </w:r>
    </w:p>
    <w:p w14:paraId="6E4A39F2" w14:textId="77777777" w:rsidR="000D2E46" w:rsidRPr="00A4009A" w:rsidRDefault="000D2E46">
      <w:pPr>
        <w:spacing w:line="360" w:lineRule="auto"/>
        <w:jc w:val="both"/>
      </w:pPr>
    </w:p>
    <w:p w14:paraId="309DF66C" w14:textId="7C89E5AF" w:rsidR="000D2E46" w:rsidRPr="00A4009A" w:rsidRDefault="00000000">
      <w:pPr>
        <w:spacing w:line="360" w:lineRule="auto"/>
        <w:jc w:val="both"/>
      </w:pPr>
      <w:r w:rsidRPr="00A4009A">
        <w:rPr>
          <w:rFonts w:ascii="Book Antiqua" w:eastAsia="Book Antiqua" w:hAnsi="Book Antiqua" w:cs="Book Antiqua"/>
          <w:b/>
          <w:bCs/>
          <w:color w:val="000000"/>
        </w:rPr>
        <w:t xml:space="preserve">Corresponding author: Pei Chen, MBChB, Associate Professor, </w:t>
      </w:r>
      <w:r w:rsidRPr="00A4009A">
        <w:rPr>
          <w:rFonts w:ascii="Book Antiqua" w:eastAsia="Book Antiqua" w:hAnsi="Book Antiqua" w:cs="Book Antiqua"/>
          <w:color w:val="000000"/>
        </w:rPr>
        <w:t>Respiratory and Critical Care Discipline, Clinical Medicine College</w:t>
      </w:r>
      <w:r w:rsidR="00282C70" w:rsidRPr="00A4009A">
        <w:rPr>
          <w:rFonts w:ascii="Book Antiqua" w:hAnsi="Book Antiqua" w:cs="Book Antiqua" w:hint="eastAsia"/>
          <w:color w:val="000000"/>
          <w:lang w:eastAsia="zh-CN"/>
        </w:rPr>
        <w:t>,</w:t>
      </w:r>
      <w:r w:rsidRPr="00A4009A">
        <w:rPr>
          <w:rFonts w:ascii="Book Antiqua" w:eastAsia="Book Antiqua" w:hAnsi="Book Antiqua" w:cs="Book Antiqua"/>
          <w:color w:val="000000"/>
        </w:rPr>
        <w:t xml:space="preserve"> Affiliated Hospital of Chengdu University, No. 82 North Section 2, Second Ring Road, Chengdu 610000, Sichuan Province, China. 1552156159@qq.com</w:t>
      </w:r>
    </w:p>
    <w:p w14:paraId="37034A4D" w14:textId="77777777" w:rsidR="000D2E46" w:rsidRPr="00A4009A" w:rsidRDefault="000D2E46">
      <w:pPr>
        <w:spacing w:line="360" w:lineRule="auto"/>
        <w:jc w:val="both"/>
      </w:pPr>
    </w:p>
    <w:p w14:paraId="1446473D" w14:textId="77777777" w:rsidR="000D2E46" w:rsidRPr="00A4009A" w:rsidRDefault="00000000">
      <w:pPr>
        <w:spacing w:line="360" w:lineRule="auto"/>
        <w:jc w:val="both"/>
      </w:pPr>
      <w:r w:rsidRPr="00A4009A">
        <w:rPr>
          <w:rFonts w:ascii="Book Antiqua" w:eastAsia="Book Antiqua" w:hAnsi="Book Antiqua" w:cs="Book Antiqua"/>
          <w:b/>
          <w:bCs/>
        </w:rPr>
        <w:t xml:space="preserve">Received: </w:t>
      </w:r>
      <w:r w:rsidRPr="00A4009A">
        <w:rPr>
          <w:rFonts w:ascii="Book Antiqua" w:eastAsia="Book Antiqua" w:hAnsi="Book Antiqua" w:cs="Book Antiqua"/>
        </w:rPr>
        <w:t>June 19, 2023</w:t>
      </w:r>
    </w:p>
    <w:p w14:paraId="6727ABC6" w14:textId="77777777" w:rsidR="000D2E46" w:rsidRPr="00A4009A" w:rsidRDefault="00000000">
      <w:pPr>
        <w:spacing w:line="360" w:lineRule="auto"/>
        <w:jc w:val="both"/>
      </w:pPr>
      <w:r w:rsidRPr="00A4009A">
        <w:rPr>
          <w:rFonts w:ascii="Book Antiqua" w:eastAsia="Book Antiqua" w:hAnsi="Book Antiqua" w:cs="Book Antiqua"/>
          <w:b/>
          <w:bCs/>
        </w:rPr>
        <w:t xml:space="preserve">Revised: </w:t>
      </w:r>
      <w:r w:rsidRPr="00A4009A">
        <w:rPr>
          <w:rFonts w:ascii="Book Antiqua" w:eastAsia="Book Antiqua" w:hAnsi="Book Antiqua" w:cs="Book Antiqua"/>
        </w:rPr>
        <w:t>August 15, 2023</w:t>
      </w:r>
    </w:p>
    <w:p w14:paraId="77F5C91B" w14:textId="7E53D8DD" w:rsidR="000D2E46" w:rsidRPr="00A4009A" w:rsidRDefault="00000000">
      <w:pPr>
        <w:spacing w:line="360" w:lineRule="auto"/>
        <w:jc w:val="both"/>
      </w:pPr>
      <w:r w:rsidRPr="00A4009A">
        <w:rPr>
          <w:rFonts w:ascii="Book Antiqua" w:eastAsia="Book Antiqua" w:hAnsi="Book Antiqua" w:cs="Book Antiqua"/>
          <w:b/>
          <w:bCs/>
        </w:rPr>
        <w:t xml:space="preserve">Accepted: </w:t>
      </w:r>
      <w:r w:rsidR="00331FF7" w:rsidRPr="00A4009A">
        <w:rPr>
          <w:rFonts w:ascii="Book Antiqua" w:eastAsia="Book Antiqua" w:hAnsi="Book Antiqua" w:cs="Book Antiqua"/>
        </w:rPr>
        <w:t>September 25, 2023</w:t>
      </w:r>
    </w:p>
    <w:p w14:paraId="2B310C84" w14:textId="56C3BAFA" w:rsidR="000D2E46" w:rsidRPr="00A4009A" w:rsidRDefault="00000000">
      <w:pPr>
        <w:spacing w:line="360" w:lineRule="auto"/>
        <w:jc w:val="both"/>
      </w:pPr>
      <w:r w:rsidRPr="00A4009A">
        <w:rPr>
          <w:rFonts w:ascii="Book Antiqua" w:eastAsia="Book Antiqua" w:hAnsi="Book Antiqua" w:cs="Book Antiqua"/>
          <w:b/>
          <w:bCs/>
        </w:rPr>
        <w:t xml:space="preserve">Published online: </w:t>
      </w:r>
      <w:r w:rsidR="00305C5B" w:rsidRPr="00A4009A">
        <w:rPr>
          <w:rFonts w:ascii="Book Antiqua" w:hAnsi="Book Antiqua"/>
          <w:color w:val="000000"/>
          <w:shd w:val="clear" w:color="auto" w:fill="FFFFFF"/>
        </w:rPr>
        <w:t>October 16, 2023</w:t>
      </w:r>
    </w:p>
    <w:p w14:paraId="13B9F999" w14:textId="77777777" w:rsidR="000D2E46" w:rsidRPr="00A4009A" w:rsidRDefault="000D2E46">
      <w:pPr>
        <w:spacing w:line="360" w:lineRule="auto"/>
        <w:jc w:val="both"/>
        <w:sectPr w:rsidR="000D2E46" w:rsidRPr="00A4009A">
          <w:footerReference w:type="default" r:id="rId6"/>
          <w:pgSz w:w="12240" w:h="15840"/>
          <w:pgMar w:top="1440" w:right="1440" w:bottom="1440" w:left="1440" w:header="720" w:footer="720" w:gutter="0"/>
          <w:cols w:space="720"/>
          <w:docGrid w:linePitch="360"/>
        </w:sectPr>
      </w:pPr>
    </w:p>
    <w:p w14:paraId="60A92DA9" w14:textId="77777777" w:rsidR="000D2E46" w:rsidRPr="00A4009A" w:rsidRDefault="00000000">
      <w:pPr>
        <w:spacing w:line="360" w:lineRule="auto"/>
        <w:jc w:val="both"/>
      </w:pPr>
      <w:r w:rsidRPr="00A4009A">
        <w:rPr>
          <w:rFonts w:ascii="Book Antiqua" w:eastAsia="Book Antiqua" w:hAnsi="Book Antiqua" w:cs="Book Antiqua"/>
          <w:b/>
          <w:color w:val="000000"/>
        </w:rPr>
        <w:lastRenderedPageBreak/>
        <w:t>Abstract</w:t>
      </w:r>
    </w:p>
    <w:p w14:paraId="55498662" w14:textId="77777777" w:rsidR="000D2E46" w:rsidRPr="00A4009A" w:rsidRDefault="00000000">
      <w:pPr>
        <w:spacing w:line="360" w:lineRule="auto"/>
        <w:jc w:val="both"/>
      </w:pPr>
      <w:r w:rsidRPr="00A4009A">
        <w:rPr>
          <w:rFonts w:ascii="Book Antiqua" w:eastAsia="Book Antiqua" w:hAnsi="Book Antiqua" w:cs="Book Antiqua"/>
          <w:color w:val="000000"/>
        </w:rPr>
        <w:t>BACKGROUND</w:t>
      </w:r>
    </w:p>
    <w:p w14:paraId="00B53D37" w14:textId="77777777" w:rsidR="000D2E46" w:rsidRPr="00A4009A" w:rsidRDefault="00000000">
      <w:pPr>
        <w:spacing w:line="360" w:lineRule="auto"/>
        <w:jc w:val="both"/>
      </w:pPr>
      <w:r w:rsidRPr="00A4009A">
        <w:rPr>
          <w:rFonts w:ascii="Book Antiqua" w:eastAsia="Book Antiqua" w:hAnsi="Book Antiqua" w:cs="Book Antiqua"/>
        </w:rPr>
        <w:t>The co</w:t>
      </w:r>
      <w:r w:rsidRPr="00A4009A">
        <w:rPr>
          <w:rFonts w:ascii="Book Antiqua" w:hAnsi="Book Antiqua" w:cs="Book Antiqua" w:hint="eastAsia"/>
          <w:lang w:eastAsia="zh-CN"/>
        </w:rPr>
        <w:t>-</w:t>
      </w:r>
      <w:r w:rsidRPr="00A4009A">
        <w:rPr>
          <w:rFonts w:ascii="Book Antiqua" w:eastAsia="Book Antiqua" w:hAnsi="Book Antiqua" w:cs="Book Antiqua"/>
        </w:rPr>
        <w:t xml:space="preserve">infection of </w:t>
      </w:r>
      <w:r w:rsidRPr="00A4009A">
        <w:rPr>
          <w:rFonts w:ascii="Book Antiqua" w:eastAsia="Book Antiqua" w:hAnsi="Book Antiqua" w:cs="Book Antiqua"/>
          <w:i/>
          <w:iCs/>
        </w:rPr>
        <w:t>Chlamydia psittaci</w:t>
      </w:r>
      <w:r w:rsidRPr="00A4009A">
        <w:rPr>
          <w:rFonts w:ascii="Book Antiqua" w:eastAsia="Book Antiqua" w:hAnsi="Book Antiqua" w:cs="Book Antiqua"/>
        </w:rPr>
        <w:t xml:space="preserve"> (</w:t>
      </w:r>
      <w:r w:rsidRPr="00A4009A">
        <w:rPr>
          <w:rFonts w:ascii="Book Antiqua" w:eastAsia="Book Antiqua" w:hAnsi="Book Antiqua" w:cs="Book Antiqua"/>
          <w:i/>
          <w:iCs/>
        </w:rPr>
        <w:t>C. psittaci</w:t>
      </w:r>
      <w:r w:rsidRPr="00A4009A">
        <w:rPr>
          <w:rFonts w:ascii="Book Antiqua" w:eastAsia="Book Antiqua" w:hAnsi="Book Antiqua" w:cs="Book Antiqua"/>
        </w:rPr>
        <w:t xml:space="preserve">) and </w:t>
      </w:r>
      <w:r w:rsidRPr="00A4009A">
        <w:rPr>
          <w:rFonts w:ascii="Book Antiqua" w:eastAsia="Book Antiqua" w:hAnsi="Book Antiqua" w:cs="Book Antiqua"/>
          <w:i/>
          <w:iCs/>
          <w:color w:val="000000"/>
          <w:shd w:val="clear" w:color="auto" w:fill="FFFFFF"/>
        </w:rPr>
        <w:t>Tropheryma</w:t>
      </w:r>
      <w:r w:rsidRPr="00A4009A">
        <w:rPr>
          <w:rFonts w:ascii="Book Antiqua" w:eastAsia="Book Antiqua" w:hAnsi="Book Antiqua" w:cs="Book Antiqua"/>
          <w:i/>
          <w:iCs/>
        </w:rPr>
        <w:t xml:space="preserve"> whipplei</w:t>
      </w:r>
      <w:r w:rsidRPr="00A4009A">
        <w:rPr>
          <w:rFonts w:ascii="Book Antiqua" w:eastAsia="Book Antiqua" w:hAnsi="Book Antiqua" w:cs="Book Antiqua"/>
        </w:rPr>
        <w:t xml:space="preserve">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rPr>
        <w:t>) is unusual, and the detection of pathogenic microorganisms is particularly important for patients with severe diseases or poor experience in treatment. Early identification of pathogens can significantly improve the prognosis</w:t>
      </w:r>
      <w:r w:rsidRPr="00A4009A">
        <w:rPr>
          <w:rFonts w:ascii="Book Antiqua" w:hAnsi="Book Antiqua" w:cs="Book Antiqua" w:hint="eastAsia"/>
          <w:lang w:eastAsia="zh-CN"/>
        </w:rPr>
        <w:t xml:space="preserve"> of the patients</w:t>
      </w:r>
      <w:r w:rsidRPr="00A4009A">
        <w:rPr>
          <w:rFonts w:ascii="Book Antiqua" w:eastAsia="Book Antiqua" w:hAnsi="Book Antiqua" w:cs="Book Antiqua"/>
        </w:rPr>
        <w:t>. Targeted next-generation sequencing (tNGS) is currently widely used in clinical practice for various infectious diseases, including respiratory infections, to achieve early, accurate, and rapid microbial diagnosis.</w:t>
      </w:r>
    </w:p>
    <w:p w14:paraId="43FA11C4" w14:textId="77777777" w:rsidR="000D2E46" w:rsidRPr="00A4009A" w:rsidRDefault="000D2E46">
      <w:pPr>
        <w:spacing w:line="360" w:lineRule="auto"/>
        <w:jc w:val="both"/>
      </w:pPr>
    </w:p>
    <w:p w14:paraId="6B885B2D" w14:textId="77777777" w:rsidR="000D2E46" w:rsidRPr="00A4009A" w:rsidRDefault="00000000">
      <w:pPr>
        <w:spacing w:line="360" w:lineRule="auto"/>
        <w:jc w:val="both"/>
      </w:pPr>
      <w:r w:rsidRPr="00A4009A">
        <w:rPr>
          <w:rFonts w:ascii="Book Antiqua" w:eastAsia="Book Antiqua" w:hAnsi="Book Antiqua" w:cs="Book Antiqua"/>
          <w:color w:val="000000"/>
        </w:rPr>
        <w:t>CASE SUMMARY</w:t>
      </w:r>
    </w:p>
    <w:p w14:paraId="691EC3E2" w14:textId="77777777" w:rsidR="000D2E46" w:rsidRPr="00A4009A" w:rsidRDefault="00000000">
      <w:pPr>
        <w:spacing w:line="360" w:lineRule="auto"/>
        <w:jc w:val="both"/>
      </w:pPr>
      <w:r w:rsidRPr="00A4009A">
        <w:rPr>
          <w:rFonts w:ascii="Book Antiqua" w:eastAsia="Book Antiqua" w:hAnsi="Book Antiqua" w:cs="Book Antiqua"/>
        </w:rPr>
        <w:t xml:space="preserve">We report </w:t>
      </w:r>
      <w:r w:rsidRPr="00A4009A">
        <w:rPr>
          <w:rFonts w:ascii="Book Antiqua" w:hAnsi="Book Antiqua" w:cs="Book Antiqua" w:hint="eastAsia"/>
          <w:lang w:eastAsia="zh-CN"/>
        </w:rPr>
        <w:t>a</w:t>
      </w:r>
      <w:r w:rsidRPr="00A4009A">
        <w:rPr>
          <w:rFonts w:ascii="Book Antiqua" w:eastAsia="Book Antiqua" w:hAnsi="Book Antiqua" w:cs="Book Antiqua"/>
        </w:rPr>
        <w:t xml:space="preserve"> case of a 40-year-old female patient with a history of contact with parrots who was diagnosed with </w:t>
      </w:r>
      <w:r w:rsidRPr="00A4009A">
        <w:rPr>
          <w:rFonts w:ascii="Book Antiqua" w:eastAsia="Book Antiqua" w:hAnsi="Book Antiqua" w:cs="Book Antiqua"/>
          <w:i/>
          <w:iCs/>
        </w:rPr>
        <w:t>C. psittaci</w:t>
      </w:r>
      <w:r w:rsidRPr="00A4009A">
        <w:rPr>
          <w:rFonts w:ascii="Book Antiqua" w:eastAsia="Book Antiqua" w:hAnsi="Book Antiqua" w:cs="Book Antiqua"/>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rPr>
        <w:t xml:space="preserve"> infection through bronchial lavage fluid targeted next generation sequencing. After moxifloxacin treatment, the patient's symptoms improved significantly, and the imaging changes were obviously resolved.</w:t>
      </w:r>
    </w:p>
    <w:p w14:paraId="5C4D9CBA" w14:textId="77777777" w:rsidR="000D2E46" w:rsidRPr="00A4009A" w:rsidRDefault="000D2E46">
      <w:pPr>
        <w:spacing w:line="360" w:lineRule="auto"/>
        <w:jc w:val="both"/>
      </w:pPr>
    </w:p>
    <w:p w14:paraId="28826D6E" w14:textId="77777777" w:rsidR="000D2E46" w:rsidRPr="00A4009A" w:rsidRDefault="00000000">
      <w:pPr>
        <w:spacing w:line="360" w:lineRule="auto"/>
        <w:jc w:val="both"/>
        <w:rPr>
          <w:rFonts w:ascii="Book Antiqua" w:eastAsia="Book Antiqua" w:hAnsi="Book Antiqua" w:cs="Book Antiqua"/>
          <w:color w:val="000000"/>
        </w:rPr>
      </w:pPr>
      <w:r w:rsidRPr="00A4009A">
        <w:rPr>
          <w:rFonts w:ascii="Book Antiqua" w:eastAsia="Book Antiqua" w:hAnsi="Book Antiqua" w:cs="Book Antiqua"/>
          <w:color w:val="000000"/>
        </w:rPr>
        <w:t>CONCLUSION</w:t>
      </w:r>
    </w:p>
    <w:p w14:paraId="2EACD0FB" w14:textId="77777777" w:rsidR="000D2E46" w:rsidRPr="00A4009A" w:rsidRDefault="00000000">
      <w:pPr>
        <w:spacing w:line="360" w:lineRule="auto"/>
        <w:jc w:val="both"/>
        <w:rPr>
          <w:rFonts w:ascii="Book Antiqua" w:eastAsia="Book Antiqua" w:hAnsi="Book Antiqua" w:cs="Book Antiqua"/>
        </w:rPr>
      </w:pPr>
      <w:r w:rsidRPr="00A4009A">
        <w:rPr>
          <w:rFonts w:ascii="Book Antiqua" w:eastAsia="Book Antiqua" w:hAnsi="Book Antiqua" w:cs="Book Antiqua"/>
        </w:rPr>
        <w:t xml:space="preserve">Coinfection with </w:t>
      </w:r>
      <w:r w:rsidRPr="00A4009A">
        <w:rPr>
          <w:rFonts w:ascii="Book Antiqua" w:eastAsia="Book Antiqua" w:hAnsi="Book Antiqua" w:cs="Book Antiqua"/>
          <w:i/>
          <w:iCs/>
        </w:rPr>
        <w:t>C. psittaci</w:t>
      </w:r>
      <w:r w:rsidRPr="00A4009A">
        <w:rPr>
          <w:rFonts w:ascii="Book Antiqua" w:eastAsia="Book Antiqua" w:hAnsi="Book Antiqua" w:cs="Book Antiqua"/>
        </w:rPr>
        <w:t xml:space="preserve"> and </w:t>
      </w:r>
      <w:r w:rsidRPr="00A4009A">
        <w:rPr>
          <w:rFonts w:ascii="Book Antiqua" w:eastAsia="Book Antiqua" w:hAnsi="Book Antiqua" w:cs="Book Antiqua"/>
          <w:i/>
          <w:iCs/>
        </w:rPr>
        <w:t>T. whipplei</w:t>
      </w:r>
      <w:r w:rsidRPr="00A4009A">
        <w:rPr>
          <w:rFonts w:ascii="Book Antiqua" w:eastAsia="Book Antiqua" w:hAnsi="Book Antiqua" w:cs="Book Antiqua"/>
        </w:rPr>
        <w:t xml:space="preserve"> is not common. In this case, timely and accurate identification of both pathogens was achieved using </w:t>
      </w:r>
      <w:r w:rsidRPr="00A4009A">
        <w:rPr>
          <w:rFonts w:ascii="Book Antiqua" w:eastAsia="Book Antiqua" w:hAnsi="Book Antiqua" w:cs="Book Antiqua" w:hint="eastAsia"/>
        </w:rPr>
        <w:t>t</w:t>
      </w:r>
      <w:r w:rsidRPr="00A4009A">
        <w:rPr>
          <w:rFonts w:ascii="Book Antiqua" w:eastAsia="Book Antiqua" w:hAnsi="Book Antiqua" w:cs="Book Antiqua"/>
        </w:rPr>
        <w:t>NGS. Moreover, the efficacy of monotherapy with moxifloxacin was confirmed.</w:t>
      </w:r>
    </w:p>
    <w:p w14:paraId="36D9F39E" w14:textId="77777777" w:rsidR="000D2E46" w:rsidRPr="00A4009A" w:rsidRDefault="000D2E46">
      <w:pPr>
        <w:spacing w:line="360" w:lineRule="auto"/>
        <w:jc w:val="both"/>
      </w:pPr>
    </w:p>
    <w:p w14:paraId="6263C458" w14:textId="77777777" w:rsidR="000D2E46" w:rsidRPr="00A4009A" w:rsidRDefault="00000000">
      <w:pPr>
        <w:spacing w:line="360" w:lineRule="auto"/>
        <w:jc w:val="both"/>
      </w:pPr>
      <w:r w:rsidRPr="00A4009A">
        <w:rPr>
          <w:rFonts w:ascii="Book Antiqua" w:eastAsia="Book Antiqua" w:hAnsi="Book Antiqua" w:cs="Book Antiqua"/>
          <w:b/>
          <w:bCs/>
        </w:rPr>
        <w:t xml:space="preserve">Key Words: </w:t>
      </w:r>
      <w:r w:rsidRPr="00A4009A">
        <w:rPr>
          <w:rFonts w:ascii="Book Antiqua" w:eastAsia="Book Antiqua" w:hAnsi="Book Antiqua" w:cs="Book Antiqua"/>
        </w:rPr>
        <w:t xml:space="preserve">Infectious diseases; </w:t>
      </w:r>
      <w:r w:rsidRPr="00A4009A">
        <w:rPr>
          <w:rFonts w:ascii="Book Antiqua" w:eastAsia="Book Antiqua" w:hAnsi="Book Antiqua" w:cs="Book Antiqua"/>
          <w:i/>
          <w:iCs/>
        </w:rPr>
        <w:t>Chlamydia psittaci</w:t>
      </w:r>
      <w:r w:rsidRPr="00A4009A">
        <w:rPr>
          <w:rFonts w:ascii="Book Antiqua" w:eastAsia="Book Antiqua" w:hAnsi="Book Antiqua" w:cs="Book Antiqua"/>
        </w:rPr>
        <w:t xml:space="preserve">; </w:t>
      </w:r>
      <w:r w:rsidRPr="00A4009A">
        <w:rPr>
          <w:rFonts w:ascii="Book Antiqua" w:eastAsia="Book Antiqua" w:hAnsi="Book Antiqua" w:cs="Book Antiqua"/>
          <w:i/>
          <w:iCs/>
        </w:rPr>
        <w:t>Tropheryma whipplei</w:t>
      </w:r>
      <w:r w:rsidRPr="00A4009A">
        <w:rPr>
          <w:rFonts w:ascii="Book Antiqua" w:eastAsia="Book Antiqua" w:hAnsi="Book Antiqua" w:cs="Book Antiqua"/>
        </w:rPr>
        <w:t>; Targeted next generation sequencing; Case report</w:t>
      </w:r>
    </w:p>
    <w:p w14:paraId="28705CE8" w14:textId="77777777" w:rsidR="000D2E46" w:rsidRPr="00A4009A" w:rsidRDefault="000D2E46">
      <w:pPr>
        <w:spacing w:line="360" w:lineRule="auto"/>
        <w:jc w:val="both"/>
      </w:pPr>
    </w:p>
    <w:p w14:paraId="547BD096" w14:textId="77777777" w:rsidR="00D34939" w:rsidRPr="00A4009A" w:rsidRDefault="00D34939" w:rsidP="00D3493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4009A">
        <w:rPr>
          <w:rFonts w:ascii="Book Antiqua" w:eastAsia="Book Antiqua" w:hAnsi="Book Antiqua" w:cs="Book Antiqua" w:hint="eastAsia"/>
          <w:b/>
          <w:color w:val="000000"/>
        </w:rPr>
        <w:t>©</w:t>
      </w:r>
      <w:r w:rsidRPr="00A4009A">
        <w:rPr>
          <w:rFonts w:ascii="Book Antiqua" w:eastAsia="Book Antiqua" w:hAnsi="Book Antiqua" w:cs="Book Antiqua"/>
          <w:b/>
          <w:color w:val="000000"/>
        </w:rPr>
        <w:t>The</w:t>
      </w:r>
      <w:r w:rsidRPr="00A4009A">
        <w:rPr>
          <w:rFonts w:ascii="Book Antiqua" w:eastAsia="Book Antiqua" w:hAnsi="Book Antiqua" w:cs="Book Antiqua"/>
          <w:color w:val="000000"/>
        </w:rPr>
        <w:t xml:space="preserve"> </w:t>
      </w:r>
      <w:r w:rsidRPr="00A4009A">
        <w:rPr>
          <w:rFonts w:ascii="Book Antiqua" w:eastAsia="Book Antiqua" w:hAnsi="Book Antiqua" w:cs="Book Antiqua"/>
          <w:b/>
          <w:color w:val="000000"/>
        </w:rPr>
        <w:t xml:space="preserve">Author(s) 2023. </w:t>
      </w:r>
      <w:r w:rsidRPr="00A4009A">
        <w:rPr>
          <w:rFonts w:ascii="Book Antiqua" w:eastAsia="Book Antiqua" w:hAnsi="Book Antiqua" w:cs="Book Antiqua"/>
          <w:color w:val="000000"/>
        </w:rPr>
        <w:t>Published by Baishideng Publishing Group Inc. All rights reserved.</w:t>
      </w:r>
      <w:bookmarkEnd w:id="0"/>
      <w:r w:rsidRPr="00A4009A">
        <w:rPr>
          <w:rFonts w:ascii="Book Antiqua" w:eastAsia="Book Antiqua" w:hAnsi="Book Antiqua" w:cs="Book Antiqua"/>
          <w:color w:val="000000"/>
        </w:rPr>
        <w:t xml:space="preserve"> </w:t>
      </w:r>
    </w:p>
    <w:bookmarkEnd w:id="1"/>
    <w:p w14:paraId="2CFDDDAA" w14:textId="77777777" w:rsidR="00D34939" w:rsidRPr="00A4009A" w:rsidRDefault="00D34939" w:rsidP="00D34939">
      <w:pPr>
        <w:spacing w:line="360" w:lineRule="auto"/>
        <w:jc w:val="both"/>
        <w:rPr>
          <w:lang w:eastAsia="zh-CN"/>
        </w:rPr>
      </w:pPr>
    </w:p>
    <w:p w14:paraId="70C06F22" w14:textId="77777777" w:rsidR="00D34939" w:rsidRPr="00A4009A" w:rsidRDefault="00D34939" w:rsidP="00D34939">
      <w:pPr>
        <w:spacing w:line="360" w:lineRule="auto"/>
        <w:jc w:val="both"/>
        <w:rPr>
          <w:rFonts w:ascii="Book Antiqua" w:eastAsia="Book Antiqua" w:hAnsi="Book Antiqua" w:cs="Book Antiqua"/>
        </w:rPr>
      </w:pPr>
      <w:bookmarkStart w:id="4" w:name="_Hlk88512899"/>
      <w:bookmarkStart w:id="5" w:name="_Hlk88512352"/>
      <w:bookmarkEnd w:id="2"/>
      <w:r w:rsidRPr="00A4009A">
        <w:rPr>
          <w:rFonts w:ascii="Book Antiqua" w:hAnsi="Book Antiqua" w:cs="Book Antiqua" w:hint="eastAsia"/>
          <w:b/>
          <w:color w:val="000000"/>
          <w:lang w:eastAsia="zh-CN"/>
        </w:rPr>
        <w:t>Citation:</w:t>
      </w:r>
      <w:bookmarkEnd w:id="3"/>
      <w:bookmarkEnd w:id="4"/>
      <w:r w:rsidRPr="00A4009A">
        <w:rPr>
          <w:rFonts w:ascii="Book Antiqua" w:hAnsi="Book Antiqua" w:cs="Book Antiqua" w:hint="eastAsia"/>
          <w:color w:val="000000"/>
          <w:lang w:eastAsia="zh-CN"/>
        </w:rPr>
        <w:t xml:space="preserve"> </w:t>
      </w:r>
      <w:bookmarkEnd w:id="5"/>
      <w:r w:rsidRPr="00A4009A">
        <w:rPr>
          <w:rFonts w:ascii="Book Antiqua" w:eastAsia="Book Antiqua" w:hAnsi="Book Antiqua" w:cs="Book Antiqua"/>
        </w:rPr>
        <w:t>D</w:t>
      </w:r>
      <w:r w:rsidR="00E5380E" w:rsidRPr="00A4009A">
        <w:rPr>
          <w:rFonts w:ascii="Book Antiqua" w:eastAsia="Book Antiqua" w:hAnsi="Book Antiqua" w:cs="Book Antiqua"/>
        </w:rPr>
        <w:t>u</w:t>
      </w:r>
      <w:r w:rsidRPr="00A4009A">
        <w:rPr>
          <w:rFonts w:ascii="Book Antiqua" w:eastAsia="Book Antiqua" w:hAnsi="Book Antiqua" w:cs="Book Antiqua"/>
        </w:rPr>
        <w:t xml:space="preserve"> </w:t>
      </w:r>
      <w:r w:rsidR="006261F3" w:rsidRPr="00A4009A">
        <w:rPr>
          <w:rFonts w:ascii="Book Antiqua" w:eastAsia="Book Antiqua" w:hAnsi="Book Antiqua" w:cs="Book Antiqua"/>
        </w:rPr>
        <w:t>ZM</w:t>
      </w:r>
      <w:r w:rsidRPr="00A4009A">
        <w:rPr>
          <w:rFonts w:ascii="Book Antiqua" w:eastAsia="Book Antiqua" w:hAnsi="Book Antiqua" w:cs="Book Antiqua"/>
        </w:rPr>
        <w:t xml:space="preserve">, Chen P. </w:t>
      </w:r>
      <w:r w:rsidR="00E5380E" w:rsidRPr="00A4009A">
        <w:rPr>
          <w:rFonts w:ascii="Book Antiqua" w:eastAsia="Book Antiqua" w:hAnsi="Book Antiqua" w:cs="Book Antiqua"/>
        </w:rPr>
        <w:t xml:space="preserve">Co-infection of </w:t>
      </w:r>
      <w:r w:rsidR="00E5380E" w:rsidRPr="00A4009A">
        <w:rPr>
          <w:rFonts w:ascii="Book Antiqua" w:eastAsia="Book Antiqua" w:hAnsi="Book Antiqua" w:cs="Book Antiqua"/>
          <w:i/>
          <w:iCs/>
        </w:rPr>
        <w:t>Chlamydia psittaci</w:t>
      </w:r>
      <w:r w:rsidR="00E5380E" w:rsidRPr="00A4009A">
        <w:rPr>
          <w:rFonts w:ascii="Book Antiqua" w:eastAsia="Book Antiqua" w:hAnsi="Book Antiqua" w:cs="Book Antiqua"/>
        </w:rPr>
        <w:t xml:space="preserve"> and </w:t>
      </w:r>
      <w:r w:rsidR="00E5380E" w:rsidRPr="00A4009A">
        <w:rPr>
          <w:rFonts w:ascii="Book Antiqua" w:eastAsia="Book Antiqua" w:hAnsi="Book Antiqua" w:cs="Book Antiqua"/>
          <w:i/>
          <w:iCs/>
        </w:rPr>
        <w:t>Tropheryma whipplei</w:t>
      </w:r>
      <w:r w:rsidR="00E5380E" w:rsidRPr="00A4009A">
        <w:rPr>
          <w:rFonts w:ascii="Book Antiqua" w:eastAsia="Book Antiqua" w:hAnsi="Book Antiqua" w:cs="Book Antiqua"/>
        </w:rPr>
        <w:t>: A case report</w:t>
      </w:r>
      <w:r w:rsidRPr="00A4009A">
        <w:rPr>
          <w:rFonts w:ascii="Book Antiqua" w:eastAsia="Book Antiqua" w:hAnsi="Book Antiqua" w:cs="Book Antiqua"/>
        </w:rPr>
        <w:t>.</w:t>
      </w:r>
      <w:r w:rsidRPr="00A4009A">
        <w:rPr>
          <w:rFonts w:ascii="Book Antiqua" w:hAnsi="Book Antiqua" w:cs="Book Antiqua" w:hint="eastAsia"/>
          <w:lang w:eastAsia="zh-CN"/>
        </w:rPr>
        <w:t xml:space="preserve"> </w:t>
      </w:r>
      <w:r w:rsidRPr="00A4009A">
        <w:rPr>
          <w:rFonts w:ascii="Book Antiqua" w:eastAsia="Book Antiqua" w:hAnsi="Book Antiqua" w:cs="Book Antiqua"/>
          <w:i/>
          <w:iCs/>
        </w:rPr>
        <w:t>World J Clin Cases</w:t>
      </w:r>
      <w:r w:rsidRPr="00A4009A">
        <w:rPr>
          <w:rFonts w:ascii="Book Antiqua" w:eastAsia="Book Antiqua" w:hAnsi="Book Antiqua" w:cs="Book Antiqua"/>
        </w:rPr>
        <w:t xml:space="preserve"> 2023; </w:t>
      </w:r>
      <w:r w:rsidR="006914C1" w:rsidRPr="00A4009A">
        <w:rPr>
          <w:rFonts w:ascii="Book Antiqua" w:eastAsia="Book Antiqua" w:hAnsi="Book Antiqua" w:cs="Book Antiqua"/>
        </w:rPr>
        <w:t xml:space="preserve">11(29): </w:t>
      </w:r>
      <w:r w:rsidRPr="00A4009A">
        <w:rPr>
          <w:rFonts w:ascii="Book Antiqua" w:eastAsia="Book Antiqua" w:hAnsi="Book Antiqua" w:cs="Book Antiqua"/>
        </w:rPr>
        <w:t>7144</w:t>
      </w:r>
      <w:r w:rsidR="006914C1" w:rsidRPr="00A4009A">
        <w:rPr>
          <w:rFonts w:ascii="Book Antiqua" w:eastAsia="Book Antiqua" w:hAnsi="Book Antiqua" w:cs="Book Antiqua"/>
        </w:rPr>
        <w:t>-</w:t>
      </w:r>
      <w:r w:rsidRPr="00A4009A">
        <w:rPr>
          <w:rFonts w:ascii="Book Antiqua" w:eastAsia="Book Antiqua" w:hAnsi="Book Antiqua" w:cs="Book Antiqua"/>
        </w:rPr>
        <w:t>7149</w:t>
      </w:r>
    </w:p>
    <w:p w14:paraId="6B1A86AD" w14:textId="5D5B441F" w:rsidR="00D34939" w:rsidRPr="00A4009A" w:rsidRDefault="006914C1" w:rsidP="00D34939">
      <w:pPr>
        <w:spacing w:line="360" w:lineRule="auto"/>
        <w:jc w:val="both"/>
        <w:rPr>
          <w:rFonts w:ascii="Book Antiqua" w:eastAsia="Book Antiqua" w:hAnsi="Book Antiqua" w:cs="Book Antiqua"/>
        </w:rPr>
      </w:pPr>
      <w:r w:rsidRPr="00A4009A">
        <w:rPr>
          <w:rFonts w:ascii="Book Antiqua" w:eastAsia="Book Antiqua" w:hAnsi="Book Antiqua" w:cs="Book Antiqua"/>
          <w:b/>
          <w:bCs/>
        </w:rPr>
        <w:t>URL:</w:t>
      </w:r>
      <w:r w:rsidRPr="00A4009A">
        <w:rPr>
          <w:rFonts w:ascii="Book Antiqua" w:eastAsia="Book Antiqua" w:hAnsi="Book Antiqua" w:cs="Book Antiqua"/>
        </w:rPr>
        <w:t xml:space="preserve"> </w:t>
      </w:r>
      <w:hyperlink r:id="rId7" w:history="1">
        <w:r w:rsidR="00D34939" w:rsidRPr="00A4009A">
          <w:rPr>
            <w:rStyle w:val="af0"/>
            <w:rFonts w:ascii="Book Antiqua" w:eastAsia="Book Antiqua" w:hAnsi="Book Antiqua" w:cs="Book Antiqua"/>
          </w:rPr>
          <w:t>https://www.wjgnet.com/2307-8960/full/v11/i29/7144.htm</w:t>
        </w:r>
      </w:hyperlink>
    </w:p>
    <w:p w14:paraId="79A8EA33" w14:textId="0AFB7094" w:rsidR="000D2E46" w:rsidRPr="00A4009A" w:rsidRDefault="006914C1" w:rsidP="00D34939">
      <w:pPr>
        <w:spacing w:line="360" w:lineRule="auto"/>
        <w:jc w:val="both"/>
        <w:rPr>
          <w:rFonts w:ascii="Book Antiqua" w:eastAsia="Book Antiqua" w:hAnsi="Book Antiqua" w:cs="Book Antiqua"/>
        </w:rPr>
      </w:pPr>
      <w:r w:rsidRPr="00A4009A">
        <w:rPr>
          <w:rFonts w:ascii="Book Antiqua" w:eastAsia="Book Antiqua" w:hAnsi="Book Antiqua" w:cs="Book Antiqua"/>
          <w:b/>
          <w:bCs/>
        </w:rPr>
        <w:lastRenderedPageBreak/>
        <w:t xml:space="preserve">DOI: </w:t>
      </w:r>
      <w:r w:rsidRPr="00A4009A">
        <w:rPr>
          <w:rFonts w:ascii="Book Antiqua" w:eastAsia="Book Antiqua" w:hAnsi="Book Antiqua" w:cs="Book Antiqua"/>
        </w:rPr>
        <w:t>https://dx.doi.org/10.12998/wjcc.v11.i29.</w:t>
      </w:r>
      <w:r w:rsidR="00D34939" w:rsidRPr="00A4009A">
        <w:rPr>
          <w:rFonts w:ascii="Book Antiqua" w:eastAsia="Book Antiqua" w:hAnsi="Book Antiqua" w:cs="Book Antiqua"/>
        </w:rPr>
        <w:t>7144</w:t>
      </w:r>
    </w:p>
    <w:p w14:paraId="602D9006" w14:textId="77777777" w:rsidR="000D2E46" w:rsidRPr="00A4009A" w:rsidRDefault="000D2E46">
      <w:pPr>
        <w:spacing w:line="360" w:lineRule="auto"/>
        <w:jc w:val="both"/>
      </w:pPr>
    </w:p>
    <w:p w14:paraId="4EFB2CCA" w14:textId="77777777" w:rsidR="000D2E46" w:rsidRPr="00A4009A" w:rsidRDefault="00000000">
      <w:pPr>
        <w:spacing w:line="360" w:lineRule="auto"/>
        <w:jc w:val="both"/>
      </w:pPr>
      <w:r w:rsidRPr="00A4009A">
        <w:rPr>
          <w:rFonts w:ascii="Book Antiqua" w:eastAsia="Book Antiqua" w:hAnsi="Book Antiqua" w:cs="Book Antiqua"/>
          <w:b/>
          <w:bCs/>
        </w:rPr>
        <w:t xml:space="preserve">Core Tip: </w:t>
      </w:r>
      <w:r w:rsidRPr="00A4009A">
        <w:rPr>
          <w:rFonts w:ascii="Book Antiqua" w:eastAsia="Book Antiqua" w:hAnsi="Book Antiqua" w:cs="Book Antiqua"/>
        </w:rPr>
        <w:t xml:space="preserve">The co-infection of </w:t>
      </w:r>
      <w:r w:rsidRPr="00A4009A">
        <w:rPr>
          <w:rFonts w:ascii="Book Antiqua" w:eastAsia="Book Antiqua" w:hAnsi="Book Antiqua" w:cs="Book Antiqua"/>
          <w:i/>
          <w:iCs/>
        </w:rPr>
        <w:t>Chlamydia psittaci</w:t>
      </w:r>
      <w:r w:rsidRPr="00A4009A">
        <w:rPr>
          <w:rFonts w:ascii="Book Antiqua" w:eastAsia="Book Antiqua" w:hAnsi="Book Antiqua" w:cs="Book Antiqua"/>
        </w:rPr>
        <w:t xml:space="preserve"> and </w:t>
      </w:r>
      <w:r w:rsidRPr="00A4009A">
        <w:rPr>
          <w:rFonts w:ascii="Book Antiqua" w:eastAsia="Book Antiqua" w:hAnsi="Book Antiqua" w:cs="Book Antiqua"/>
          <w:i/>
          <w:iCs/>
        </w:rPr>
        <w:t>Tropheryma whipplei</w:t>
      </w:r>
      <w:r w:rsidRPr="00A4009A">
        <w:rPr>
          <w:rFonts w:ascii="Book Antiqua" w:eastAsia="Book Antiqua" w:hAnsi="Book Antiqua" w:cs="Book Antiqua"/>
        </w:rPr>
        <w:t xml:space="preserve"> is not common. Due to its ability to cause severe infections, timely and reliable diagnosis is crucial for improving prognosis. In recent years, the development of </w:t>
      </w:r>
      <w:r w:rsidRPr="00A4009A">
        <w:rPr>
          <w:rFonts w:ascii="Book Antiqua" w:eastAsia="Book Antiqua" w:hAnsi="Book Antiqua" w:cs="Book Antiqua"/>
          <w:color w:val="000000"/>
        </w:rPr>
        <w:t>targeted next-generation sequencing</w:t>
      </w:r>
      <w:r w:rsidRPr="00A4009A">
        <w:rPr>
          <w:rFonts w:ascii="Book Antiqua" w:eastAsia="Book Antiqua" w:hAnsi="Book Antiqua" w:cs="Book Antiqua"/>
        </w:rPr>
        <w:t xml:space="preserve"> has made the diagnosis of pathogenic microorganisms more economical and efficient.</w:t>
      </w:r>
    </w:p>
    <w:p w14:paraId="14F22FD4" w14:textId="77777777" w:rsidR="000D2E46" w:rsidRPr="00A4009A" w:rsidRDefault="000D2E46">
      <w:pPr>
        <w:spacing w:line="360" w:lineRule="auto"/>
        <w:jc w:val="both"/>
      </w:pPr>
    </w:p>
    <w:p w14:paraId="2A21A7D1"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INTRODUCTION</w:t>
      </w:r>
    </w:p>
    <w:p w14:paraId="682FC18F" w14:textId="77777777" w:rsidR="000D2E46" w:rsidRPr="00A4009A" w:rsidRDefault="00000000">
      <w:pPr>
        <w:spacing w:line="360" w:lineRule="auto"/>
        <w:jc w:val="both"/>
      </w:pPr>
      <w:r w:rsidRPr="00A4009A">
        <w:rPr>
          <w:rFonts w:ascii="Book Antiqua" w:eastAsia="Book Antiqua" w:hAnsi="Book Antiqua" w:cs="Book Antiqua"/>
          <w:color w:val="000000"/>
        </w:rPr>
        <w:t xml:space="preserve">Psittacosis is a zoonotic infectious disease caused by </w:t>
      </w:r>
      <w:r w:rsidRPr="00A4009A">
        <w:rPr>
          <w:rFonts w:ascii="Book Antiqua" w:eastAsia="Book Antiqua" w:hAnsi="Book Antiqua" w:cs="Book Antiqua"/>
          <w:i/>
          <w:iCs/>
          <w:color w:val="000000"/>
        </w:rPr>
        <w:t>Chlamydia psittaci</w:t>
      </w:r>
      <w:r w:rsidRPr="00A4009A">
        <w:rPr>
          <w:rFonts w:ascii="Book Antiqua" w:eastAsia="Book Antiqua" w:hAnsi="Book Antiqua" w:cs="Book Antiqua"/>
          <w:color w:val="000000"/>
        </w:rPr>
        <w:t xml:space="preserve"> (</w:t>
      </w:r>
      <w:r w:rsidRPr="00A4009A">
        <w:rPr>
          <w:rFonts w:ascii="Book Antiqua" w:eastAsia="Book Antiqua" w:hAnsi="Book Antiqua" w:cs="Book Antiqua"/>
          <w:i/>
          <w:iCs/>
        </w:rPr>
        <w:t>C. psittaci</w:t>
      </w:r>
      <w:r w:rsidRPr="00A4009A">
        <w:rPr>
          <w:rFonts w:ascii="Book Antiqua" w:eastAsia="Book Antiqua" w:hAnsi="Book Antiqua" w:cs="Book Antiqua"/>
          <w:color w:val="000000"/>
        </w:rPr>
        <w:t xml:space="preserve">), which is a gram-negative bacterium belonging to the </w:t>
      </w:r>
      <w:r w:rsidRPr="00A4009A">
        <w:rPr>
          <w:rFonts w:ascii="Book Antiqua" w:eastAsia="Book Antiqua" w:hAnsi="Book Antiqua" w:cs="Book Antiqua"/>
          <w:i/>
          <w:iCs/>
          <w:color w:val="000000"/>
        </w:rPr>
        <w:t>Chlamydia spp</w:t>
      </w:r>
      <w:r w:rsidRPr="00A4009A">
        <w:rPr>
          <w:rFonts w:ascii="Book Antiqua" w:eastAsia="Book Antiqua" w:hAnsi="Book Antiqua" w:cs="Book Antiqua"/>
          <w:color w:val="000000"/>
        </w:rPr>
        <w:t xml:space="preserve">. This pathogen mainly parasitizes parrots, pigeons, poultry, </w:t>
      </w:r>
      <w:r w:rsidRPr="00A4009A">
        <w:rPr>
          <w:rFonts w:ascii="Book Antiqua" w:eastAsia="Book Antiqua" w:hAnsi="Book Antiqua" w:cs="Book Antiqua"/>
          <w:i/>
          <w:iCs/>
          <w:color w:val="000000"/>
        </w:rPr>
        <w:t>etc.</w:t>
      </w:r>
      <w:r w:rsidRPr="00A4009A">
        <w:rPr>
          <w:rFonts w:ascii="Book Antiqua" w:eastAsia="Book Antiqua" w:hAnsi="Book Antiqua" w:cs="Book Antiqua"/>
          <w:color w:val="000000"/>
        </w:rPr>
        <w:t xml:space="preserve"> Humans are mainly affected by direct contact with birds and poultry excrement and respiratory secretions. Handling the feathers, tissues, or corpses of infected birds also carries a risk of infection</w:t>
      </w:r>
      <w:r w:rsidRPr="00A4009A">
        <w:rPr>
          <w:rFonts w:ascii="Book Antiqua" w:eastAsia="Book Antiqua" w:hAnsi="Book Antiqua" w:cs="Book Antiqua"/>
          <w:color w:val="000000"/>
          <w:szCs w:val="30"/>
          <w:vertAlign w:val="superscript"/>
        </w:rPr>
        <w:t>[1]</w:t>
      </w:r>
      <w:r w:rsidRPr="00A4009A">
        <w:rPr>
          <w:rFonts w:ascii="Book Antiqua" w:eastAsia="Book Antiqua" w:hAnsi="Book Antiqua" w:cs="Book Antiqua"/>
          <w:color w:val="000000"/>
        </w:rPr>
        <w:t>. The first description of psittacosis in the medical literature was in 1879</w:t>
      </w:r>
      <w:r w:rsidRPr="00A4009A">
        <w:rPr>
          <w:rFonts w:ascii="Book Antiqua" w:eastAsia="Book Antiqua" w:hAnsi="Book Antiqua" w:cs="Book Antiqua"/>
          <w:color w:val="000000"/>
          <w:szCs w:val="30"/>
          <w:vertAlign w:val="superscript"/>
        </w:rPr>
        <w:t>[2]</w:t>
      </w:r>
      <w:r w:rsidRPr="00A4009A">
        <w:rPr>
          <w:rFonts w:ascii="Book Antiqua" w:eastAsia="Book Antiqua" w:hAnsi="Book Antiqua" w:cs="Book Antiqua"/>
          <w:color w:val="000000"/>
        </w:rPr>
        <w:t xml:space="preserve">, and according to subsequent reports, psittacosis </w:t>
      </w:r>
      <w:r w:rsidRPr="00A4009A">
        <w:rPr>
          <w:rFonts w:ascii="Book Antiqua" w:hAnsi="Book Antiqua" w:cs="Book Antiqua" w:hint="eastAsia"/>
          <w:color w:val="000000"/>
          <w:lang w:eastAsia="zh-CN"/>
        </w:rPr>
        <w:t>may</w:t>
      </w:r>
      <w:r w:rsidRPr="00A4009A">
        <w:rPr>
          <w:rFonts w:ascii="Book Antiqua" w:eastAsia="Book Antiqua" w:hAnsi="Book Antiqua" w:cs="Book Antiqua"/>
          <w:color w:val="000000"/>
        </w:rPr>
        <w:t xml:space="preserve"> be the cause of one percent of cases among community-acquired pneumonia</w:t>
      </w:r>
      <w:r w:rsidRPr="00A4009A">
        <w:rPr>
          <w:rFonts w:ascii="Book Antiqua" w:eastAsia="Book Antiqua" w:hAnsi="Book Antiqua" w:cs="Book Antiqua"/>
          <w:color w:val="000000"/>
          <w:szCs w:val="30"/>
          <w:vertAlign w:val="superscript"/>
        </w:rPr>
        <w:t>[3]</w:t>
      </w:r>
      <w:r w:rsidRPr="00A4009A">
        <w:rPr>
          <w:rFonts w:ascii="Book Antiqua" w:eastAsia="Book Antiqua" w:hAnsi="Book Antiqua" w:cs="Book Antiqua"/>
          <w:color w:val="000000"/>
        </w:rPr>
        <w:t>. Clinical manifestations of psittacosis vary from asymptomatic infection to severe systemic symptoms and may even lead to fatal systemic illness. Symptoms of infected individuals may include headache, chills, fever (even high fever), myalgia, and dry cough during the course of the disease, which may be accompanied by dyspnoea and chest tightness</w:t>
      </w:r>
      <w:r w:rsidRPr="00A4009A">
        <w:rPr>
          <w:rFonts w:ascii="Book Antiqua" w:eastAsia="Book Antiqua" w:hAnsi="Book Antiqua" w:cs="Book Antiqua"/>
          <w:color w:val="000000"/>
          <w:szCs w:val="30"/>
          <w:vertAlign w:val="superscript"/>
        </w:rPr>
        <w:t>[4]</w:t>
      </w:r>
      <w:r w:rsidRPr="00A4009A">
        <w:rPr>
          <w:rFonts w:ascii="Book Antiqua" w:eastAsia="Book Antiqua" w:hAnsi="Book Antiqua" w:cs="Book Antiqua"/>
          <w:color w:val="000000"/>
        </w:rPr>
        <w:t xml:space="preserve">. </w:t>
      </w:r>
      <w:r w:rsidRPr="00A4009A">
        <w:rPr>
          <w:rFonts w:ascii="Book Antiqua" w:eastAsia="Book Antiqua" w:hAnsi="Book Antiqua" w:cs="Book Antiqua"/>
          <w:i/>
          <w:iCs/>
          <w:color w:val="000000"/>
          <w:shd w:val="clear" w:color="auto" w:fill="FFFFFF"/>
        </w:rPr>
        <w:t>Tropheryma</w:t>
      </w:r>
      <w:r w:rsidRPr="00A4009A">
        <w:rPr>
          <w:rFonts w:ascii="Book Antiqua" w:eastAsia="Book Antiqua" w:hAnsi="Book Antiqua" w:cs="Book Antiqua"/>
          <w:i/>
          <w:iCs/>
        </w:rPr>
        <w:t xml:space="preserve"> whipplei</w:t>
      </w:r>
      <w:r w:rsidRPr="00A4009A">
        <w:rPr>
          <w:rFonts w:ascii="Book Antiqua" w:eastAsia="Book Antiqua" w:hAnsi="Book Antiqua" w:cs="Book Antiqua"/>
        </w:rPr>
        <w:t xml:space="preserve">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rPr>
        <w:t>)</w:t>
      </w:r>
      <w:r w:rsidRPr="00A4009A">
        <w:rPr>
          <w:rFonts w:ascii="Book Antiqua" w:eastAsia="Book Antiqua" w:hAnsi="Book Antiqua" w:cs="Book Antiqua"/>
          <w:color w:val="000000"/>
        </w:rPr>
        <w:t xml:space="preserve"> is a gram-positive bacterium first described by American pathologist George Hoyt Whipple in 1907 and belongs to the trophozoite genus</w:t>
      </w:r>
      <w:r w:rsidRPr="00A4009A">
        <w:rPr>
          <w:rFonts w:ascii="Book Antiqua" w:eastAsia="Book Antiqua" w:hAnsi="Book Antiqua" w:cs="Book Antiqua"/>
          <w:color w:val="000000"/>
          <w:szCs w:val="30"/>
          <w:vertAlign w:val="superscript"/>
        </w:rPr>
        <w:t>[5]</w:t>
      </w:r>
      <w:r w:rsidRPr="00A4009A">
        <w:rPr>
          <w:rFonts w:ascii="Book Antiqua" w:eastAsia="Book Antiqua" w:hAnsi="Book Antiqua" w:cs="Book Antiqua"/>
          <w:color w:val="000000"/>
        </w:rPr>
        <w:t>. The most obvious symptoms include arthralgia, diarrhoea, abdominal pain, and weight loss, and reports of endocarditis, nervous system infection, uveitis, arthritis and osteoarthritis infection can also be seen</w:t>
      </w:r>
      <w:r w:rsidRPr="00A4009A">
        <w:rPr>
          <w:rFonts w:ascii="Book Antiqua" w:eastAsia="Book Antiqua" w:hAnsi="Book Antiqua" w:cs="Book Antiqua"/>
          <w:color w:val="000000"/>
          <w:szCs w:val="30"/>
          <w:vertAlign w:val="superscript"/>
        </w:rPr>
        <w:t>[6]</w:t>
      </w:r>
      <w:r w:rsidRPr="00A4009A">
        <w:rPr>
          <w:rFonts w:ascii="Book Antiqua" w:eastAsia="Book Antiqua" w:hAnsi="Book Antiqua" w:cs="Book Antiqua"/>
          <w:color w:val="000000"/>
        </w:rPr>
        <w:t xml:space="preserve">. However, there are few reports about pneumonia caused by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A previous study found that the respiratory infection rate was only 13%-14%</w:t>
      </w:r>
      <w:r w:rsidRPr="00A4009A">
        <w:rPr>
          <w:rFonts w:ascii="Book Antiqua" w:eastAsia="Book Antiqua" w:hAnsi="Book Antiqua" w:cs="Book Antiqua"/>
          <w:color w:val="000000"/>
          <w:szCs w:val="30"/>
          <w:vertAlign w:val="superscript"/>
        </w:rPr>
        <w:t>[7]</w:t>
      </w:r>
      <w:r w:rsidRPr="00A4009A">
        <w:rPr>
          <w:rFonts w:ascii="Book Antiqua" w:eastAsia="Book Antiqua" w:hAnsi="Book Antiqua" w:cs="Book Antiqua"/>
          <w:color w:val="000000"/>
        </w:rPr>
        <w:t>, of which only approximately 30% of patients had respiratory symptoms</w:t>
      </w:r>
      <w:r w:rsidRPr="00A4009A">
        <w:rPr>
          <w:rFonts w:ascii="Book Antiqua" w:eastAsia="Book Antiqua" w:hAnsi="Book Antiqua" w:cs="Book Antiqua"/>
          <w:color w:val="000000"/>
          <w:szCs w:val="30"/>
          <w:vertAlign w:val="superscript"/>
        </w:rPr>
        <w:t>[8]</w:t>
      </w:r>
      <w:r w:rsidRPr="00A4009A">
        <w:rPr>
          <w:rFonts w:ascii="Book Antiqua" w:eastAsia="Book Antiqua" w:hAnsi="Book Antiqua" w:cs="Book Antiqua"/>
          <w:color w:val="000000"/>
        </w:rPr>
        <w:t>, but the symptoms were not typical and included dyspnoea, cough, chest pain, and vital capacity reduction</w:t>
      </w:r>
      <w:r w:rsidRPr="00A4009A">
        <w:rPr>
          <w:rFonts w:ascii="Book Antiqua" w:eastAsia="Book Antiqua" w:hAnsi="Book Antiqua" w:cs="Book Antiqua"/>
          <w:color w:val="000000"/>
          <w:szCs w:val="30"/>
          <w:vertAlign w:val="superscript"/>
        </w:rPr>
        <w:t>[9]</w:t>
      </w:r>
      <w:r w:rsidRPr="00A4009A">
        <w:rPr>
          <w:rFonts w:ascii="Book Antiqua" w:eastAsia="Book Antiqua" w:hAnsi="Book Antiqua" w:cs="Book Antiqua"/>
          <w:color w:val="000000"/>
        </w:rPr>
        <w:t xml:space="preserve">. Reports of coinfection of </w:t>
      </w:r>
      <w:r w:rsidRPr="00A4009A">
        <w:rPr>
          <w:rFonts w:ascii="Book Antiqua" w:eastAsia="Book Antiqua" w:hAnsi="Book Antiqua" w:cs="Book Antiqua"/>
          <w:i/>
          <w:iCs/>
        </w:rPr>
        <w:t xml:space="preserve">C. </w:t>
      </w:r>
      <w:r w:rsidRPr="00A4009A">
        <w:rPr>
          <w:rFonts w:ascii="Book Antiqua" w:eastAsia="Book Antiqua" w:hAnsi="Book Antiqua" w:cs="Book Antiqua"/>
          <w:i/>
          <w:iCs/>
        </w:rPr>
        <w:lastRenderedPageBreak/>
        <w:t>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are extremely rare, but due to their ability to cause severe infections, rapid progression, and life-threatening conditions, timely and reliable diagnosis is crucial for treatment.</w:t>
      </w:r>
    </w:p>
    <w:p w14:paraId="0B21737A" w14:textId="77777777" w:rsidR="000D2E46" w:rsidRPr="00A4009A" w:rsidRDefault="00000000">
      <w:pPr>
        <w:spacing w:line="360" w:lineRule="auto"/>
        <w:ind w:firstLineChars="200" w:firstLine="480"/>
        <w:jc w:val="both"/>
      </w:pPr>
      <w:r w:rsidRPr="00A4009A">
        <w:rPr>
          <w:rFonts w:ascii="Book Antiqua" w:eastAsia="Book Antiqua" w:hAnsi="Book Antiqua" w:cs="Book Antiqua"/>
          <w:color w:val="000000"/>
        </w:rPr>
        <w:t>In recent years, high-throughput sequencing method</w:t>
      </w:r>
      <w:r w:rsidRPr="00A4009A">
        <w:rPr>
          <w:rFonts w:ascii="Book Antiqua" w:hAnsi="Book Antiqua" w:cs="Book Antiqua" w:hint="eastAsia"/>
          <w:color w:val="000000"/>
          <w:lang w:eastAsia="zh-CN"/>
        </w:rPr>
        <w:t>s</w:t>
      </w:r>
      <w:r w:rsidRPr="00A4009A">
        <w:rPr>
          <w:rFonts w:ascii="Book Antiqua" w:eastAsia="Book Antiqua" w:hAnsi="Book Antiqua" w:cs="Book Antiqua"/>
          <w:color w:val="000000"/>
        </w:rPr>
        <w:t xml:space="preserve"> have developed rapidly, mainly including whole genome sequencing (WGS), metagenomic next-generation sequencing (mNGS), and targeted next-generation sequencing (tNGS). Among them, WGS is less directly applied in clinical practice and is generally used in epidemiological investigations and research on the evolution of drug-resistant strains. MNGS can detect all pathogens in the sample without discrimination, while tNGS mainly focuses on common infectious pathogens in clinical practice. TNGS designs specific primers, uses a super multiplex polymerase chain reaction (PCR) library system to target and amplify the target sequence, and then uses high-throughput sequencing for synchronous detection of amplification products, achieving a new method of broad-spectrum accurate detection of pathogens. In this report, tNGS was used to confirm the clinical rarity of pneumonia caused by </w:t>
      </w:r>
      <w:r w:rsidRPr="00A4009A">
        <w:rPr>
          <w:rFonts w:ascii="Book Antiqua" w:eastAsia="Book Antiqua" w:hAnsi="Book Antiqua" w:cs="Book Antiqua"/>
          <w:i/>
          <w:iCs/>
        </w:rPr>
        <w:t>C. 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w:t>
      </w:r>
    </w:p>
    <w:p w14:paraId="1D57D1B6" w14:textId="77777777" w:rsidR="000D2E46" w:rsidRPr="00A4009A" w:rsidRDefault="000D2E46">
      <w:pPr>
        <w:spacing w:line="360" w:lineRule="auto"/>
        <w:jc w:val="both"/>
      </w:pPr>
    </w:p>
    <w:p w14:paraId="4D14E40B"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CASE PRESENTATION</w:t>
      </w:r>
    </w:p>
    <w:p w14:paraId="357D6B4A" w14:textId="77777777" w:rsidR="000D2E46" w:rsidRPr="00A4009A" w:rsidRDefault="00000000">
      <w:pPr>
        <w:spacing w:line="360" w:lineRule="auto"/>
        <w:jc w:val="both"/>
      </w:pPr>
      <w:r w:rsidRPr="00A4009A">
        <w:rPr>
          <w:rFonts w:ascii="Book Antiqua" w:eastAsia="Book Antiqua" w:hAnsi="Book Antiqua" w:cs="Book Antiqua"/>
          <w:b/>
          <w:i/>
          <w:color w:val="000000"/>
        </w:rPr>
        <w:t>Chief complaints</w:t>
      </w:r>
    </w:p>
    <w:p w14:paraId="2789C1F0" w14:textId="77777777" w:rsidR="000D2E46" w:rsidRPr="00A4009A" w:rsidRDefault="00000000">
      <w:pPr>
        <w:spacing w:line="360" w:lineRule="auto"/>
        <w:jc w:val="both"/>
      </w:pPr>
      <w:r w:rsidRPr="00A4009A">
        <w:rPr>
          <w:rFonts w:ascii="Book Antiqua" w:eastAsia="Book Antiqua" w:hAnsi="Book Antiqua" w:cs="Book Antiqua"/>
          <w:color w:val="000000"/>
        </w:rPr>
        <w:t xml:space="preserve">A 40-year-old female patient was admitted to the hospital for </w:t>
      </w:r>
      <w:r w:rsidRPr="00A4009A">
        <w:rPr>
          <w:rFonts w:ascii="Book Antiqua" w:eastAsia="Book Antiqua" w:hAnsi="Book Antiqua" w:cs="Book Antiqua"/>
          <w:color w:val="000000"/>
          <w:shd w:val="clear" w:color="auto" w:fill="FFFFFF"/>
        </w:rPr>
        <w:t>fever</w:t>
      </w:r>
      <w:r w:rsidRPr="00A4009A">
        <w:rPr>
          <w:rFonts w:ascii="Book Antiqua" w:eastAsia="Book Antiqua" w:hAnsi="Book Antiqua" w:cs="Book Antiqua"/>
          <w:color w:val="000000"/>
        </w:rPr>
        <w:t xml:space="preserve"> on </w:t>
      </w:r>
      <w:r w:rsidRPr="00A4009A">
        <w:rPr>
          <w:rFonts w:ascii="Book Antiqua" w:eastAsia="Book Antiqua" w:hAnsi="Book Antiqua" w:cs="Book Antiqua"/>
          <w:color w:val="000000"/>
          <w:shd w:val="clear" w:color="auto" w:fill="FFFFFF"/>
        </w:rPr>
        <w:t xml:space="preserve">November </w:t>
      </w:r>
      <w:r w:rsidRPr="00A4009A">
        <w:rPr>
          <w:rFonts w:ascii="Book Antiqua" w:eastAsia="Book Antiqua" w:hAnsi="Book Antiqua" w:cs="Book Antiqua"/>
          <w:color w:val="000000"/>
        </w:rPr>
        <w:t>6, 2022.</w:t>
      </w:r>
    </w:p>
    <w:p w14:paraId="6AE1D5AC" w14:textId="77777777" w:rsidR="000D2E46" w:rsidRPr="00A4009A" w:rsidRDefault="000D2E46">
      <w:pPr>
        <w:spacing w:line="360" w:lineRule="auto"/>
        <w:jc w:val="both"/>
      </w:pPr>
    </w:p>
    <w:p w14:paraId="74CF1E3E" w14:textId="77777777" w:rsidR="000D2E46" w:rsidRPr="00A4009A" w:rsidRDefault="00000000">
      <w:pPr>
        <w:spacing w:line="360" w:lineRule="auto"/>
        <w:jc w:val="both"/>
      </w:pPr>
      <w:r w:rsidRPr="00A4009A">
        <w:rPr>
          <w:rFonts w:ascii="Book Antiqua" w:eastAsia="Book Antiqua" w:hAnsi="Book Antiqua" w:cs="Book Antiqua"/>
          <w:b/>
          <w:i/>
          <w:color w:val="000000"/>
        </w:rPr>
        <w:t>History of present illness</w:t>
      </w:r>
    </w:p>
    <w:p w14:paraId="48C82CFB" w14:textId="02852C9B" w:rsidR="000D2E46" w:rsidRPr="00A4009A" w:rsidRDefault="00000000">
      <w:pPr>
        <w:spacing w:line="360" w:lineRule="auto"/>
        <w:jc w:val="both"/>
      </w:pPr>
      <w:r w:rsidRPr="00A4009A">
        <w:rPr>
          <w:rFonts w:ascii="Book Antiqua" w:eastAsia="Book Antiqua" w:hAnsi="Book Antiqua" w:cs="Book Antiqua"/>
          <w:color w:val="000000"/>
        </w:rPr>
        <w:t>The patient had a fever for 10 d and a maximum body temperature of 39.6°C, accompanied by dizziness and headache, but she had no other symptoms, such as cough, abdominal pain, or diarrhea.</w:t>
      </w:r>
    </w:p>
    <w:p w14:paraId="427267C9" w14:textId="77777777" w:rsidR="000D2E46" w:rsidRPr="00A4009A" w:rsidRDefault="000D2E46">
      <w:pPr>
        <w:spacing w:line="360" w:lineRule="auto"/>
        <w:jc w:val="both"/>
      </w:pPr>
    </w:p>
    <w:p w14:paraId="3A045240" w14:textId="77777777" w:rsidR="000D2E46" w:rsidRPr="00A4009A" w:rsidRDefault="00000000">
      <w:pPr>
        <w:spacing w:line="360" w:lineRule="auto"/>
        <w:jc w:val="both"/>
      </w:pPr>
      <w:r w:rsidRPr="00A4009A">
        <w:rPr>
          <w:rFonts w:ascii="Book Antiqua" w:eastAsia="Book Antiqua" w:hAnsi="Book Antiqua" w:cs="Book Antiqua"/>
          <w:b/>
          <w:i/>
          <w:color w:val="000000"/>
        </w:rPr>
        <w:t>History of past illness</w:t>
      </w:r>
    </w:p>
    <w:p w14:paraId="52D43EFC" w14:textId="77777777" w:rsidR="000D2E46" w:rsidRPr="00A4009A" w:rsidRDefault="00000000">
      <w:pPr>
        <w:spacing w:line="360" w:lineRule="auto"/>
        <w:jc w:val="both"/>
      </w:pPr>
      <w:r w:rsidRPr="00A4009A">
        <w:rPr>
          <w:rFonts w:ascii="Book Antiqua" w:eastAsia="Book Antiqua" w:hAnsi="Book Antiqua" w:cs="Book Antiqua"/>
          <w:color w:val="000000"/>
        </w:rPr>
        <w:t>The patient had previously been physically fit, but she had bought three parrots one week before the onset of symptoms, one of which was sick.</w:t>
      </w:r>
    </w:p>
    <w:p w14:paraId="33812C4E" w14:textId="77777777" w:rsidR="000D2E46" w:rsidRPr="00A4009A" w:rsidRDefault="000D2E46">
      <w:pPr>
        <w:spacing w:line="360" w:lineRule="auto"/>
        <w:jc w:val="both"/>
      </w:pPr>
    </w:p>
    <w:p w14:paraId="7D8D6F3E" w14:textId="77777777" w:rsidR="000D2E46" w:rsidRPr="00A4009A" w:rsidRDefault="00000000">
      <w:pPr>
        <w:spacing w:line="360" w:lineRule="auto"/>
        <w:jc w:val="both"/>
      </w:pPr>
      <w:r w:rsidRPr="00A4009A">
        <w:rPr>
          <w:rFonts w:ascii="Book Antiqua" w:eastAsia="Book Antiqua" w:hAnsi="Book Antiqua" w:cs="Book Antiqua"/>
          <w:b/>
          <w:i/>
          <w:color w:val="000000"/>
        </w:rPr>
        <w:lastRenderedPageBreak/>
        <w:t>Personal and family history</w:t>
      </w:r>
    </w:p>
    <w:p w14:paraId="35F1A598" w14:textId="77777777" w:rsidR="000D2E46" w:rsidRPr="00A4009A" w:rsidRDefault="00000000">
      <w:pPr>
        <w:spacing w:line="360" w:lineRule="auto"/>
        <w:jc w:val="both"/>
      </w:pPr>
      <w:r w:rsidRPr="00A4009A">
        <w:rPr>
          <w:rFonts w:ascii="Book Antiqua" w:eastAsia="Book Antiqua" w:hAnsi="Book Antiqua" w:cs="Book Antiqua"/>
          <w:color w:val="000000"/>
        </w:rPr>
        <w:t>The patient had no special history of personal history or family history.</w:t>
      </w:r>
    </w:p>
    <w:p w14:paraId="126A8CAB" w14:textId="77777777" w:rsidR="000D2E46" w:rsidRPr="00A4009A" w:rsidRDefault="000D2E46">
      <w:pPr>
        <w:spacing w:line="360" w:lineRule="auto"/>
        <w:jc w:val="both"/>
      </w:pPr>
    </w:p>
    <w:p w14:paraId="1CA3246F" w14:textId="77777777" w:rsidR="000D2E46" w:rsidRPr="00A4009A" w:rsidRDefault="00000000">
      <w:pPr>
        <w:spacing w:line="360" w:lineRule="auto"/>
        <w:jc w:val="both"/>
      </w:pPr>
      <w:r w:rsidRPr="00A4009A">
        <w:rPr>
          <w:rFonts w:ascii="Book Antiqua" w:eastAsia="Book Antiqua" w:hAnsi="Book Antiqua" w:cs="Book Antiqua"/>
          <w:b/>
          <w:i/>
          <w:color w:val="000000"/>
        </w:rPr>
        <w:t>Physical examination</w:t>
      </w:r>
    </w:p>
    <w:p w14:paraId="39B98586" w14:textId="4A0CF40D" w:rsidR="000D2E46" w:rsidRPr="00A4009A" w:rsidRDefault="00000000">
      <w:pPr>
        <w:spacing w:line="360" w:lineRule="auto"/>
        <w:jc w:val="both"/>
      </w:pPr>
      <w:r w:rsidRPr="00A4009A">
        <w:rPr>
          <w:rFonts w:ascii="Book Antiqua" w:eastAsia="Book Antiqua" w:hAnsi="Book Antiqua" w:cs="Book Antiqua"/>
          <w:color w:val="000000"/>
        </w:rPr>
        <w:t>On examination, body temperature was 36.0°C; heart rate was 94 beats/min; respiratory rate was 21 breaths/min; blood pressure was 100/72 mmHg; and pulse oxygen saturation was 96%. The patient was well built and cooperative, had no pharyngeal hyperaemia, and had no enlargement or purulent discharge of the tonsils. Breath sounds in both lungs were rough, and moist rales could be heard in the lower lobe of the right lung. Heart and abdominal examinations showed no significant findings.</w:t>
      </w:r>
    </w:p>
    <w:p w14:paraId="1D443F4C" w14:textId="77777777" w:rsidR="000D2E46" w:rsidRPr="00A4009A" w:rsidRDefault="000D2E46">
      <w:pPr>
        <w:spacing w:line="360" w:lineRule="auto"/>
        <w:jc w:val="both"/>
      </w:pPr>
    </w:p>
    <w:p w14:paraId="5E3D0360" w14:textId="77777777" w:rsidR="000D2E46" w:rsidRPr="00A4009A" w:rsidRDefault="00000000">
      <w:pPr>
        <w:spacing w:line="360" w:lineRule="auto"/>
        <w:jc w:val="both"/>
      </w:pPr>
      <w:r w:rsidRPr="00A4009A">
        <w:rPr>
          <w:rFonts w:ascii="Book Antiqua" w:eastAsia="Book Antiqua" w:hAnsi="Book Antiqua" w:cs="Book Antiqua"/>
          <w:b/>
          <w:i/>
          <w:color w:val="000000"/>
        </w:rPr>
        <w:t>Laboratory examinations</w:t>
      </w:r>
    </w:p>
    <w:p w14:paraId="65B75FA0" w14:textId="77777777" w:rsidR="000D2E46" w:rsidRPr="00A4009A" w:rsidRDefault="00000000">
      <w:pPr>
        <w:spacing w:line="360" w:lineRule="auto"/>
        <w:jc w:val="both"/>
      </w:pPr>
      <w:r w:rsidRPr="00A4009A">
        <w:rPr>
          <w:rFonts w:ascii="Book Antiqua" w:eastAsia="Book Antiqua" w:hAnsi="Book Antiqua" w:cs="Book Antiqua"/>
          <w:color w:val="000000"/>
        </w:rPr>
        <w:t>A preliminary hematological examination (Table 1) showed that the hypersensitive C-reactive protein was significantly increased, transaminase and direct bilirubin were slightly increased, and electrolyte metabolism was deranged. The white blood cells and their respective classification ratios were normal, and procalcitonin was normal. In addition, during coronavirus disease 2019 (COVID-19), we tested the patient for COVID-19 nucleic acid, and the results were negative.</w:t>
      </w:r>
    </w:p>
    <w:p w14:paraId="46DC7097" w14:textId="77777777" w:rsidR="000D2E46" w:rsidRPr="00A4009A" w:rsidRDefault="000D2E46">
      <w:pPr>
        <w:spacing w:line="360" w:lineRule="auto"/>
        <w:jc w:val="both"/>
      </w:pPr>
    </w:p>
    <w:p w14:paraId="11D8272D" w14:textId="77777777" w:rsidR="000D2E46" w:rsidRPr="00A4009A" w:rsidRDefault="00000000">
      <w:pPr>
        <w:spacing w:line="360" w:lineRule="auto"/>
        <w:jc w:val="both"/>
      </w:pPr>
      <w:r w:rsidRPr="00A4009A">
        <w:rPr>
          <w:rFonts w:ascii="Book Antiqua" w:eastAsia="Book Antiqua" w:hAnsi="Book Antiqua" w:cs="Book Antiqua"/>
          <w:b/>
          <w:i/>
          <w:color w:val="000000"/>
        </w:rPr>
        <w:t>Imaging examinations</w:t>
      </w:r>
    </w:p>
    <w:p w14:paraId="2C63A66A" w14:textId="77777777" w:rsidR="000D2E46" w:rsidRPr="00A4009A" w:rsidRDefault="00000000">
      <w:pPr>
        <w:spacing w:line="360" w:lineRule="auto"/>
        <w:jc w:val="both"/>
      </w:pPr>
      <w:r w:rsidRPr="00A4009A">
        <w:rPr>
          <w:rFonts w:ascii="Book Antiqua" w:eastAsia="Book Antiqua" w:hAnsi="Book Antiqua" w:cs="Book Antiqua"/>
          <w:color w:val="000000"/>
        </w:rPr>
        <w:t>A computed tomography (CT) scan on November 6, 2022 (Figure 1A-C) revealed multiple large uneven ground glass shadows in the lower lobe of the right lung, with grid shadows visible inside, close to the pleura, and special pathogen infections could not be ruled out.</w:t>
      </w:r>
    </w:p>
    <w:p w14:paraId="05F40BC6" w14:textId="77777777" w:rsidR="000D2E46" w:rsidRPr="00A4009A" w:rsidRDefault="000D2E46">
      <w:pPr>
        <w:spacing w:line="360" w:lineRule="auto"/>
        <w:jc w:val="both"/>
      </w:pPr>
    </w:p>
    <w:p w14:paraId="7E74678B"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FINAL DIAGNOSIS</w:t>
      </w:r>
    </w:p>
    <w:p w14:paraId="52B53DAD" w14:textId="77777777" w:rsidR="000D2E46" w:rsidRPr="00A4009A" w:rsidRDefault="00000000">
      <w:pPr>
        <w:spacing w:line="360" w:lineRule="auto"/>
        <w:jc w:val="both"/>
      </w:pPr>
      <w:r w:rsidRPr="00A4009A">
        <w:rPr>
          <w:rFonts w:ascii="Book Antiqua" w:eastAsia="Book Antiqua" w:hAnsi="Book Antiqua" w:cs="Book Antiqua"/>
          <w:color w:val="000000"/>
        </w:rPr>
        <w:t xml:space="preserve">The patient received fiber bronchoscopy examination, and fiber bronchoscopy reached the lower lobe bronchus of the right lung. The lower lobe bronchus of the right lung was repeatedly irrigated. The collected samples were then sent to the laboratory for tNGS testing and analysis, which revealed </w:t>
      </w:r>
      <w:r w:rsidRPr="00A4009A">
        <w:rPr>
          <w:rFonts w:ascii="Book Antiqua" w:eastAsia="Book Antiqua" w:hAnsi="Book Antiqua" w:cs="Book Antiqua"/>
          <w:i/>
          <w:iCs/>
        </w:rPr>
        <w:t>C. 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i/>
          <w:iCs/>
          <w:color w:val="000000"/>
        </w:rPr>
        <w:t xml:space="preserve"> </w:t>
      </w:r>
      <w:r w:rsidRPr="00A4009A">
        <w:rPr>
          <w:rFonts w:ascii="Book Antiqua" w:eastAsia="Book Antiqua" w:hAnsi="Book Antiqua" w:cs="Book Antiqua"/>
          <w:color w:val="000000"/>
        </w:rPr>
        <w:t>infection.</w:t>
      </w:r>
    </w:p>
    <w:p w14:paraId="0E0BEB32" w14:textId="77777777" w:rsidR="000D2E46" w:rsidRPr="00A4009A" w:rsidRDefault="000D2E46">
      <w:pPr>
        <w:spacing w:line="360" w:lineRule="auto"/>
        <w:jc w:val="both"/>
      </w:pPr>
    </w:p>
    <w:p w14:paraId="7A4A8C5E"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TREATMENT</w:t>
      </w:r>
    </w:p>
    <w:p w14:paraId="18F7DCA0" w14:textId="77777777" w:rsidR="000D2E46" w:rsidRPr="00A4009A" w:rsidRDefault="00000000">
      <w:pPr>
        <w:spacing w:line="360" w:lineRule="auto"/>
        <w:jc w:val="both"/>
      </w:pPr>
      <w:r w:rsidRPr="00A4009A">
        <w:rPr>
          <w:rFonts w:ascii="Book Antiqua" w:hAnsi="Book Antiqua" w:cs="Book Antiqua" w:hint="eastAsia"/>
          <w:color w:val="000000"/>
          <w:lang w:eastAsia="zh-CN"/>
        </w:rPr>
        <w:t>The patient was treated with m</w:t>
      </w:r>
      <w:r w:rsidRPr="00A4009A">
        <w:rPr>
          <w:rFonts w:ascii="Book Antiqua" w:eastAsia="Book Antiqua" w:hAnsi="Book Antiqua" w:cs="Book Antiqua"/>
          <w:color w:val="000000"/>
        </w:rPr>
        <w:t>oxifloxacin 0.4 g once daily for 10 d.</w:t>
      </w:r>
    </w:p>
    <w:p w14:paraId="77D79DF2" w14:textId="77777777" w:rsidR="000D2E46" w:rsidRPr="00A4009A" w:rsidRDefault="000D2E46">
      <w:pPr>
        <w:spacing w:line="360" w:lineRule="auto"/>
        <w:jc w:val="both"/>
      </w:pPr>
    </w:p>
    <w:p w14:paraId="25D3331E"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OUTCOME AND FOLLOW-UP</w:t>
      </w:r>
    </w:p>
    <w:p w14:paraId="325CD673" w14:textId="77777777" w:rsidR="000D2E46" w:rsidRPr="00A4009A" w:rsidRDefault="00000000">
      <w:pPr>
        <w:spacing w:line="360" w:lineRule="auto"/>
        <w:jc w:val="both"/>
      </w:pPr>
      <w:r w:rsidRPr="00A4009A">
        <w:rPr>
          <w:rFonts w:ascii="Book Antiqua" w:eastAsia="Book Antiqua" w:hAnsi="Book Antiqua" w:cs="Book Antiqua"/>
          <w:color w:val="000000"/>
        </w:rPr>
        <w:t>During hospitalization, the patient experienced coughing, phlegm, and diarrhea. Following treatment, the body temperature returned to normal, and the above symptoms disappeared completely. Hypersensitive C-reactive protein</w:t>
      </w:r>
      <w:r w:rsidRPr="00A4009A">
        <w:rPr>
          <w:rFonts w:ascii="Book Antiqua" w:hAnsi="Book Antiqua" w:cs="Book Antiqua" w:hint="eastAsia"/>
          <w:color w:val="000000"/>
          <w:lang w:eastAsia="zh-CN"/>
        </w:rPr>
        <w:t>,</w:t>
      </w:r>
      <w:r w:rsidRPr="00A4009A">
        <w:rPr>
          <w:rFonts w:ascii="Book Antiqua" w:eastAsia="Book Antiqua" w:hAnsi="Book Antiqua" w:cs="Book Antiqua"/>
          <w:color w:val="000000"/>
        </w:rPr>
        <w:t xml:space="preserve"> transaminase and direct bilirubin returned to normal values. After 10 d of anti-infection treatment with moxifloxacin, a CT scan on November 16, 2022 (Figure 1D-F) showed that patch shadows and ground glass shadows in the right lower lobe lesions were obviously resolved. After discharge, the patient insisted on taking moxifloxacin orally for one week, but she was unwilling to undergo a recheck chest CT again for a review as her physical condition was good.</w:t>
      </w:r>
    </w:p>
    <w:p w14:paraId="2E9BB75F" w14:textId="77777777" w:rsidR="000D2E46" w:rsidRPr="00A4009A" w:rsidRDefault="000D2E46">
      <w:pPr>
        <w:spacing w:line="360" w:lineRule="auto"/>
        <w:jc w:val="both"/>
      </w:pPr>
    </w:p>
    <w:p w14:paraId="26D676D4"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DISCUSSION</w:t>
      </w:r>
    </w:p>
    <w:p w14:paraId="0C996927" w14:textId="77777777" w:rsidR="000D2E46" w:rsidRPr="00A4009A" w:rsidRDefault="00000000">
      <w:pPr>
        <w:spacing w:line="360" w:lineRule="auto"/>
        <w:jc w:val="both"/>
      </w:pPr>
      <w:r w:rsidRPr="00A4009A">
        <w:rPr>
          <w:rFonts w:ascii="Book Antiqua" w:eastAsia="Book Antiqua" w:hAnsi="Book Antiqua" w:cs="Book Antiqua"/>
          <w:color w:val="000000"/>
        </w:rPr>
        <w:t xml:space="preserve">This article reports a rare case of </w:t>
      </w:r>
      <w:r w:rsidRPr="00A4009A">
        <w:rPr>
          <w:rFonts w:ascii="Book Antiqua" w:hAnsi="Book Antiqua" w:cs="Book Antiqua" w:hint="eastAsia"/>
          <w:color w:val="000000"/>
          <w:lang w:eastAsia="zh-CN"/>
        </w:rPr>
        <w:t>co-</w:t>
      </w:r>
      <w:r w:rsidRPr="00A4009A">
        <w:rPr>
          <w:rFonts w:ascii="Book Antiqua" w:eastAsia="Book Antiqua" w:hAnsi="Book Antiqua" w:cs="Book Antiqua"/>
          <w:color w:val="000000"/>
        </w:rPr>
        <w:t xml:space="preserve">infection </w:t>
      </w:r>
      <w:r w:rsidRPr="00A4009A">
        <w:rPr>
          <w:rFonts w:ascii="Book Antiqua" w:hAnsi="Book Antiqua" w:cs="Book Antiqua" w:hint="eastAsia"/>
          <w:color w:val="000000"/>
          <w:lang w:eastAsia="zh-CN"/>
        </w:rPr>
        <w:t>caused by</w:t>
      </w:r>
      <w:r w:rsidRPr="00A4009A">
        <w:rPr>
          <w:rFonts w:ascii="Book Antiqua" w:eastAsia="Book Antiqua" w:hAnsi="Book Antiqua" w:cs="Book Antiqua"/>
          <w:color w:val="000000"/>
        </w:rPr>
        <w:t xml:space="preserve"> </w:t>
      </w:r>
      <w:r w:rsidRPr="00A4009A">
        <w:rPr>
          <w:rFonts w:ascii="Book Antiqua" w:eastAsia="Book Antiqua" w:hAnsi="Book Antiqua" w:cs="Book Antiqua"/>
          <w:i/>
          <w:iCs/>
        </w:rPr>
        <w:t>C. 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There are no specific clinical manifestations of psittacosis, and routine detection methods lack sensitivity and specificity, making it difficult to determine the epidemiology of psittacosis. Before 2013, some literature mentioned the occurrence of psittacosis cases, but with the increasing number of poultry raised in households and farms, large-scale outbreaks of psittacosis have frequently occurred, especially since 2020. The majority of transmission modes of psittacosis are limited to human exposure to contaminated birds and their excreta. However, some literature has reported the possibility of human-to-human transmission, and there is no definitive conclusion on whether there is human-to-human transmission in the second and third generations</w:t>
      </w:r>
      <w:r w:rsidRPr="00A4009A">
        <w:rPr>
          <w:rFonts w:ascii="Book Antiqua" w:eastAsia="Book Antiqua" w:hAnsi="Book Antiqua" w:cs="Book Antiqua"/>
          <w:color w:val="000000"/>
          <w:szCs w:val="30"/>
          <w:vertAlign w:val="superscript"/>
        </w:rPr>
        <w:t>[4]</w:t>
      </w:r>
      <w:r w:rsidRPr="00A4009A">
        <w:rPr>
          <w:rFonts w:ascii="Book Antiqua" w:eastAsia="Book Antiqua" w:hAnsi="Book Antiqua" w:cs="Book Antiqua"/>
          <w:color w:val="000000"/>
        </w:rPr>
        <w:t xml:space="preserve">. The diagnosis and treatment of Whipple's disease in the digestive system is relatively mature, but reports of infection in the respiratory system are rare. In addition, strong evidence shows that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is a pathogen of acute pneumonia. Previous studies have found that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is detected in </w:t>
      </w:r>
      <w:r w:rsidRPr="00A4009A">
        <w:rPr>
          <w:rFonts w:ascii="Book Antiqua" w:eastAsia="Book Antiqua" w:hAnsi="Book Antiqua" w:cs="Book Antiqua"/>
          <w:color w:val="000000"/>
        </w:rPr>
        <w:lastRenderedPageBreak/>
        <w:t>the alveolar lavage fluid of patients with immune deficiency and patients with pneumonia who were admitted to intensive care units</w:t>
      </w:r>
      <w:r w:rsidRPr="00A4009A">
        <w:rPr>
          <w:rFonts w:ascii="Book Antiqua" w:eastAsia="Book Antiqua" w:hAnsi="Book Antiqua" w:cs="Book Antiqua"/>
          <w:color w:val="000000"/>
          <w:szCs w:val="30"/>
          <w:vertAlign w:val="superscript"/>
        </w:rPr>
        <w:t>[10,11]</w:t>
      </w:r>
      <w:r w:rsidRPr="00A4009A">
        <w:rPr>
          <w:rFonts w:ascii="Book Antiqua" w:eastAsia="Book Antiqua" w:hAnsi="Book Antiqua" w:cs="Book Antiqua"/>
          <w:color w:val="000000"/>
        </w:rPr>
        <w:t xml:space="preserve">. This evidence strongly supports a link between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and pulmonary infection. It is noteworthy that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can also exist in the saliva of asymptomatic patients</w:t>
      </w:r>
      <w:r w:rsidRPr="00A4009A">
        <w:rPr>
          <w:rFonts w:ascii="Book Antiqua" w:eastAsia="Book Antiqua" w:hAnsi="Book Antiqua" w:cs="Book Antiqua"/>
          <w:color w:val="000000"/>
          <w:szCs w:val="30"/>
          <w:vertAlign w:val="superscript"/>
        </w:rPr>
        <w:t>[12]</w:t>
      </w:r>
      <w:r w:rsidRPr="00A4009A">
        <w:rPr>
          <w:rFonts w:ascii="Book Antiqua" w:eastAsia="Book Antiqua" w:hAnsi="Book Antiqua" w:cs="Book Antiqua"/>
          <w:color w:val="000000"/>
        </w:rPr>
        <w:t>, who inhale pathogenic bacteria from the mouth, leading to pneumonia</w:t>
      </w:r>
      <w:r w:rsidRPr="00A4009A">
        <w:rPr>
          <w:rFonts w:ascii="Book Antiqua" w:eastAsia="Book Antiqua" w:hAnsi="Book Antiqua" w:cs="Book Antiqua"/>
          <w:color w:val="000000"/>
          <w:szCs w:val="30"/>
          <w:vertAlign w:val="superscript"/>
        </w:rPr>
        <w:t>[13]</w:t>
      </w:r>
      <w:r w:rsidRPr="00A4009A">
        <w:rPr>
          <w:rFonts w:ascii="Book Antiqua" w:eastAsia="Book Antiqua" w:hAnsi="Book Antiqua" w:cs="Book Antiqua"/>
          <w:color w:val="000000"/>
        </w:rPr>
        <w:t xml:space="preserve">. In this case, the patient had a clear history of contact with sick parrots, with fever symptoms initially appearing and headache and respiratory symptoms gradually developing during the course of the disease. Hematological examination showed that the hypersensitive C-reactive protein was significantly increased, and transaminase and direct bilirubin were slightly increased. These symptoms and examinations are consistent with psittacosis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pneumonia, and tNGS testing confirmed the presence of </w:t>
      </w:r>
      <w:r w:rsidRPr="00A4009A">
        <w:rPr>
          <w:rFonts w:ascii="Book Antiqua" w:eastAsia="Book Antiqua" w:hAnsi="Book Antiqua" w:cs="Book Antiqua"/>
          <w:i/>
          <w:iCs/>
        </w:rPr>
        <w:t>C. psittaci</w:t>
      </w:r>
      <w:r w:rsidRPr="00A4009A">
        <w:rPr>
          <w:rFonts w:ascii="Book Antiqua" w:eastAsia="Book Antiqua" w:hAnsi="Book Antiqua" w:cs="Book Antiqua"/>
          <w:color w:val="000000"/>
        </w:rPr>
        <w:t xml:space="preserve"> and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in the alveolar lavage fluid.</w:t>
      </w:r>
    </w:p>
    <w:p w14:paraId="7463B13E" w14:textId="77777777" w:rsidR="000D2E46" w:rsidRPr="00A4009A" w:rsidRDefault="00000000">
      <w:pPr>
        <w:spacing w:line="360" w:lineRule="auto"/>
        <w:ind w:firstLineChars="200" w:firstLine="480"/>
        <w:jc w:val="both"/>
      </w:pPr>
      <w:r w:rsidRPr="00A4009A">
        <w:rPr>
          <w:rFonts w:ascii="Book Antiqua" w:eastAsia="Book Antiqua" w:hAnsi="Book Antiqua" w:cs="Book Antiqua"/>
          <w:color w:val="000000"/>
        </w:rPr>
        <w:t xml:space="preserve">In clinical practice, traditional microbial culture methods and empirical diagnosis are still </w:t>
      </w:r>
      <w:r w:rsidRPr="00A4009A">
        <w:rPr>
          <w:rFonts w:ascii="Book Antiqua" w:hAnsi="Book Antiqua" w:cs="Book Antiqua" w:hint="eastAsia"/>
          <w:color w:val="000000"/>
          <w:lang w:eastAsia="zh-CN"/>
        </w:rPr>
        <w:t xml:space="preserve">the </w:t>
      </w:r>
      <w:r w:rsidRPr="00A4009A">
        <w:rPr>
          <w:rFonts w:ascii="Book Antiqua" w:eastAsia="Book Antiqua" w:hAnsi="Book Antiqua" w:cs="Book Antiqua"/>
          <w:color w:val="000000"/>
        </w:rPr>
        <w:t>mainstream, and the efficiency of traditional pathogen diagnosis methods is not high. Bacterial cultivation takes a long time, and in clinical practice, it is usually not possible to wait until the pathogenic microorganisms have been reported before taking medication. In addition, the positive rate of microbial culture is relatively low, resulting in many pathogenic infections that cannot obtain microorganisms. The emergence of high-throughput sequencing technology has improved this situation to some extent. At present, a variety of high-throughput sequencing technology have been used for the identification of pathogenic microorganisms in clinical infectious diseases, especially when there is a lack of diagnostic clues, it has significant advantages in identifying pathogenic microorganisms. According to different detection strategies, high-throughput sequencing methods are mainly divided into tNGS, mNGS and WGS. MNGS technology is to directly conduct unbiased detection and sequence analysis of all nucleic acids in the specimen, including but not limited to the detection of pathogenic bacteria nucleic acids, and also includes the nucleic acid detection of other pathogens and a large number of human host cells</w:t>
      </w:r>
      <w:r w:rsidRPr="00A4009A">
        <w:rPr>
          <w:rFonts w:ascii="Book Antiqua" w:eastAsia="Book Antiqua" w:hAnsi="Book Antiqua" w:cs="Book Antiqua"/>
          <w:color w:val="000000"/>
          <w:vertAlign w:val="superscript"/>
        </w:rPr>
        <w:t>[14]</w:t>
      </w:r>
      <w:r w:rsidRPr="00A4009A">
        <w:rPr>
          <w:rFonts w:ascii="Book Antiqua" w:eastAsia="Book Antiqua" w:hAnsi="Book Antiqua" w:cs="Book Antiqua"/>
          <w:color w:val="000000"/>
        </w:rPr>
        <w:t xml:space="preserve">. Due to the complex and time-consuming data processing of mNGS, it has the characteristics of high cost. </w:t>
      </w:r>
      <w:r w:rsidRPr="00A4009A">
        <w:rPr>
          <w:rFonts w:ascii="Book Antiqua" w:hAnsi="Book Antiqua" w:cs="Book Antiqua" w:hint="eastAsia"/>
          <w:color w:val="000000"/>
          <w:lang w:eastAsia="zh-CN"/>
        </w:rPr>
        <w:t xml:space="preserve">In </w:t>
      </w:r>
      <w:r w:rsidRPr="00A4009A">
        <w:rPr>
          <w:rFonts w:ascii="Book Antiqua" w:hAnsi="Book Antiqua" w:cs="Book Antiqua"/>
          <w:color w:val="000000"/>
          <w:lang w:eastAsia="zh-CN"/>
        </w:rPr>
        <w:t>particular</w:t>
      </w:r>
      <w:r w:rsidRPr="00A4009A">
        <w:rPr>
          <w:rFonts w:ascii="Book Antiqua" w:hAnsi="Book Antiqua" w:cs="Book Antiqua" w:hint="eastAsia"/>
          <w:color w:val="000000"/>
          <w:lang w:eastAsia="zh-CN"/>
        </w:rPr>
        <w:t>,</w:t>
      </w:r>
      <w:r w:rsidRPr="00A4009A">
        <w:rPr>
          <w:rFonts w:ascii="Book Antiqua" w:eastAsia="Book Antiqua" w:hAnsi="Book Antiqua" w:cs="Book Antiqua"/>
          <w:color w:val="000000"/>
        </w:rPr>
        <w:t xml:space="preserve"> mNGS is greatly influenced by human </w:t>
      </w:r>
      <w:r w:rsidRPr="00A4009A">
        <w:rPr>
          <w:rFonts w:ascii="Book Antiqua" w:eastAsia="Book Antiqua" w:hAnsi="Book Antiqua" w:cs="Book Antiqua"/>
          <w:color w:val="000000"/>
        </w:rPr>
        <w:lastRenderedPageBreak/>
        <w:t>genes making the results easily misunderstood and interfered with. TNGS is a combination of multiplex PCR amplification and sequencing technology, which can detect dozens to hundreds of common pathogenic microorganisms and their virulence and drug resistance genes in samples. Through targeted amplification, it can improve the reliability of pathogen detection. At the same time, it can also provide personalized medication tips for suspected pathogenic microorganisms according to different infection sites. Because only specific target regions need to be sequenced, data processing and analysis are usually easier, making it faster and more economical. However, as mentioned earlier, due to the high cost and time-consuming nature of mNGS, the clinical application of pathogen metagene sequencing is still limited to a small range, leaving a collaborative space for tNGS. But rather than replacing the application space of mNGS in clinical practice with tNGS, the two complement each other and jointly improve the efficiency of hospital pathogen diagnosis. An article published in 2022 pointed out that there is no significant difference in the detection efficiency of bacteria, fungi, and viruses between mNGS and tNGS, but the removal of human genetic background by tNGS may affect the detection rate of G-negative bacteria, viruses, and intracellular bacteria, leading to higher false-negatives</w:t>
      </w:r>
      <w:r w:rsidRPr="00A4009A">
        <w:rPr>
          <w:rFonts w:ascii="Book Antiqua" w:eastAsia="Book Antiqua" w:hAnsi="Book Antiqua" w:cs="Book Antiqua"/>
          <w:color w:val="000000"/>
          <w:vertAlign w:val="superscript"/>
        </w:rPr>
        <w:t>[15]</w:t>
      </w:r>
      <w:r w:rsidRPr="00A4009A">
        <w:rPr>
          <w:rFonts w:ascii="Book Antiqua" w:eastAsia="Book Antiqua" w:hAnsi="Book Antiqua" w:cs="Book Antiqua"/>
          <w:color w:val="000000"/>
        </w:rPr>
        <w:t xml:space="preserve">. </w:t>
      </w:r>
    </w:p>
    <w:p w14:paraId="2F937A94" w14:textId="77777777" w:rsidR="000D2E46" w:rsidRPr="00A4009A" w:rsidRDefault="00000000">
      <w:pPr>
        <w:spacing w:line="360" w:lineRule="auto"/>
        <w:jc w:val="both"/>
        <w:rPr>
          <w:rFonts w:ascii="Book Antiqua" w:eastAsia="Book Antiqua" w:hAnsi="Book Antiqua" w:cs="Book Antiqua"/>
          <w:color w:val="000000"/>
        </w:rPr>
      </w:pPr>
      <w:r w:rsidRPr="00A4009A">
        <w:rPr>
          <w:rFonts w:ascii="Book Antiqua" w:eastAsia="Book Antiqua" w:hAnsi="Book Antiqua" w:cs="Book Antiqua"/>
          <w:color w:val="000000"/>
        </w:rPr>
        <w:t>The guidelines are consistent with the literature recommendations for psittacosis. The first-line medication is tetracyclines, with a duration of at least 7-14 d, and the second choice of antibiotics include azithromycin, clarithromycin, erythromycin, and chloramphenicol</w:t>
      </w:r>
      <w:r w:rsidRPr="00A4009A">
        <w:rPr>
          <w:rFonts w:ascii="Book Antiqua" w:eastAsia="Book Antiqua" w:hAnsi="Book Antiqua" w:cs="Book Antiqua"/>
          <w:color w:val="000000"/>
          <w:szCs w:val="30"/>
          <w:vertAlign w:val="superscript"/>
        </w:rPr>
        <w:t>[1]</w:t>
      </w:r>
      <w:r w:rsidRPr="00A4009A">
        <w:rPr>
          <w:rFonts w:ascii="Book Antiqua" w:eastAsia="Book Antiqua" w:hAnsi="Book Antiqua" w:cs="Book Antiqua"/>
          <w:color w:val="000000"/>
        </w:rPr>
        <w:t xml:space="preserve">. There is not much evidence for the clinical use of quinolones alone. However, there are also studies suggesting that moxifloxacin has an anti-chlamydia effect, and moxifloxacin in this case has shown a good therapeutic effect, so first-line treatment is not used. This case also provides new evidence for the use of quinolones for psittacosis. The drugs for the treatment of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mainly include penicillin, streptomycin, tetracycline, ceftriaxone, meropenem, compound trimethoprim, doxycycline and hydroxychloroquine. In the past, tetracycline was once listed as a first-line treatment drug, but a high recurrence rate </w:t>
      </w:r>
      <w:r w:rsidRPr="00A4009A">
        <w:rPr>
          <w:rFonts w:ascii="Book Antiqua" w:hAnsi="Book Antiqua" w:cs="Book Antiqua" w:hint="eastAsia"/>
          <w:color w:val="000000"/>
          <w:lang w:eastAsia="zh-CN"/>
        </w:rPr>
        <w:t xml:space="preserve">was observed </w:t>
      </w:r>
      <w:r w:rsidRPr="00A4009A">
        <w:rPr>
          <w:rFonts w:ascii="Book Antiqua" w:eastAsia="Book Antiqua" w:hAnsi="Book Antiqua" w:cs="Book Antiqua"/>
          <w:color w:val="000000"/>
        </w:rPr>
        <w:t>after treatment</w:t>
      </w:r>
      <w:r w:rsidRPr="00A4009A">
        <w:rPr>
          <w:rFonts w:ascii="Book Antiqua" w:eastAsia="Book Antiqua" w:hAnsi="Book Antiqua" w:cs="Book Antiqua"/>
          <w:color w:val="000000"/>
          <w:szCs w:val="30"/>
          <w:vertAlign w:val="superscript"/>
        </w:rPr>
        <w:t>[16]</w:t>
      </w:r>
      <w:r w:rsidRPr="00A4009A">
        <w:rPr>
          <w:rFonts w:ascii="Book Antiqua" w:eastAsia="Book Antiqua" w:hAnsi="Book Antiqua" w:cs="Book Antiqua"/>
          <w:color w:val="000000"/>
        </w:rPr>
        <w:t xml:space="preserve">. However, most of the treatments target digestive disorders caused by </w:t>
      </w:r>
      <w:r w:rsidRPr="00A4009A">
        <w:rPr>
          <w:rFonts w:ascii="Book Antiqua" w:eastAsia="Book Antiqua" w:hAnsi="Book Antiqua" w:cs="Book Antiqua"/>
          <w:i/>
          <w:iCs/>
          <w:color w:val="000000"/>
          <w:shd w:val="clear" w:color="auto" w:fill="FFFFFF"/>
        </w:rPr>
        <w:t>T.</w:t>
      </w:r>
      <w:r w:rsidRPr="00A4009A">
        <w:rPr>
          <w:rFonts w:ascii="Book Antiqua" w:eastAsia="Book Antiqua" w:hAnsi="Book Antiqua" w:cs="Book Antiqua"/>
          <w:i/>
          <w:iCs/>
        </w:rPr>
        <w:t xml:space="preserve"> whipplei</w:t>
      </w:r>
      <w:r w:rsidRPr="00A4009A">
        <w:rPr>
          <w:rFonts w:ascii="Book Antiqua" w:eastAsia="Book Antiqua" w:hAnsi="Book Antiqua" w:cs="Book Antiqua"/>
          <w:color w:val="000000"/>
        </w:rPr>
        <w:t xml:space="preserve">, and there are few reports on </w:t>
      </w:r>
      <w:r w:rsidRPr="00A4009A">
        <w:rPr>
          <w:rFonts w:ascii="Book Antiqua" w:eastAsia="Book Antiqua" w:hAnsi="Book Antiqua" w:cs="Book Antiqua"/>
          <w:color w:val="000000"/>
        </w:rPr>
        <w:lastRenderedPageBreak/>
        <w:t xml:space="preserve">the treatment experience of pneumonia related to Whipple's disease. Therefore, there is still no broad consensus on the treatment of Whipple's disease-related pneumonia, and there is a lack of clinical treatment experience for a large number of cases. The anti-infection treatment plans are all empirical treatments, lacking sufficient </w:t>
      </w:r>
      <w:r w:rsidRPr="00A4009A">
        <w:rPr>
          <w:rFonts w:ascii="Book Antiqua" w:hAnsi="Book Antiqua" w:cs="Book Antiqua" w:hint="eastAsia"/>
          <w:color w:val="000000"/>
          <w:lang w:eastAsia="zh-CN"/>
        </w:rPr>
        <w:t>evidence</w:t>
      </w:r>
      <w:r w:rsidRPr="00A4009A">
        <w:rPr>
          <w:rFonts w:ascii="Book Antiqua" w:eastAsia="Book Antiqua" w:hAnsi="Book Antiqua" w:cs="Book Antiqua"/>
          <w:color w:val="000000"/>
        </w:rPr>
        <w:t xml:space="preserve"> support.</w:t>
      </w:r>
    </w:p>
    <w:p w14:paraId="47D25EB3" w14:textId="77777777" w:rsidR="000D2E46" w:rsidRPr="00A4009A" w:rsidRDefault="000D2E46">
      <w:pPr>
        <w:spacing w:line="360" w:lineRule="auto"/>
        <w:jc w:val="both"/>
      </w:pPr>
    </w:p>
    <w:p w14:paraId="6C87D82F" w14:textId="77777777" w:rsidR="000D2E46" w:rsidRPr="00A4009A" w:rsidRDefault="00000000">
      <w:pPr>
        <w:spacing w:line="360" w:lineRule="auto"/>
        <w:jc w:val="both"/>
      </w:pPr>
      <w:r w:rsidRPr="00A4009A">
        <w:rPr>
          <w:rFonts w:ascii="Book Antiqua" w:eastAsia="Book Antiqua" w:hAnsi="Book Antiqua" w:cs="Book Antiqua"/>
          <w:b/>
          <w:caps/>
          <w:color w:val="000000"/>
          <w:u w:val="single"/>
        </w:rPr>
        <w:t>CONCLUSION</w:t>
      </w:r>
    </w:p>
    <w:p w14:paraId="327D7724" w14:textId="77777777" w:rsidR="000D2E46" w:rsidRPr="00A4009A" w:rsidRDefault="00000000">
      <w:pPr>
        <w:spacing w:line="360" w:lineRule="auto"/>
        <w:jc w:val="both"/>
      </w:pPr>
      <w:r w:rsidRPr="00A4009A">
        <w:rPr>
          <w:rFonts w:ascii="Book Antiqua" w:eastAsia="Book Antiqua" w:hAnsi="Book Antiqua" w:cs="Book Antiqua"/>
          <w:color w:val="000000"/>
        </w:rPr>
        <w:t>Collectively, we believe that tNGS is promising in the diagnosis of unexplained pneumonia, and quinolones are effective in the treatment of psittacosis and Whipple's disease, which deserves more clinical attention.</w:t>
      </w:r>
    </w:p>
    <w:p w14:paraId="1250617E" w14:textId="77777777" w:rsidR="000D2E46" w:rsidRPr="00A4009A" w:rsidRDefault="000D2E46">
      <w:pPr>
        <w:spacing w:line="360" w:lineRule="auto"/>
        <w:jc w:val="both"/>
      </w:pPr>
    </w:p>
    <w:p w14:paraId="30B8E834" w14:textId="77777777" w:rsidR="000D2E46" w:rsidRPr="00A4009A" w:rsidRDefault="00000000">
      <w:pPr>
        <w:spacing w:line="360" w:lineRule="auto"/>
        <w:jc w:val="both"/>
      </w:pPr>
      <w:r w:rsidRPr="00A4009A">
        <w:rPr>
          <w:rFonts w:ascii="Book Antiqua" w:eastAsia="Book Antiqua" w:hAnsi="Book Antiqua" w:cs="Book Antiqua"/>
          <w:b/>
          <w:color w:val="000000"/>
        </w:rPr>
        <w:t>REFERENCES</w:t>
      </w:r>
    </w:p>
    <w:p w14:paraId="40B0ED08" w14:textId="77777777" w:rsidR="000D2E46" w:rsidRPr="00A4009A" w:rsidRDefault="00000000">
      <w:pPr>
        <w:spacing w:line="360" w:lineRule="auto"/>
        <w:jc w:val="both"/>
      </w:pPr>
      <w:r w:rsidRPr="00A4009A">
        <w:rPr>
          <w:rFonts w:ascii="Book Antiqua" w:eastAsia="Book Antiqua" w:hAnsi="Book Antiqua" w:cs="Book Antiqua"/>
        </w:rPr>
        <w:t xml:space="preserve">1 </w:t>
      </w:r>
      <w:r w:rsidRPr="00A4009A">
        <w:rPr>
          <w:rFonts w:ascii="Book Antiqua" w:eastAsia="Book Antiqua" w:hAnsi="Book Antiqua" w:cs="Book Antiqua"/>
          <w:b/>
          <w:bCs/>
        </w:rPr>
        <w:t>Balsamo G</w:t>
      </w:r>
      <w:r w:rsidRPr="00A4009A">
        <w:rPr>
          <w:rFonts w:ascii="Book Antiqua" w:eastAsia="Book Antiqua" w:hAnsi="Book Antiqua" w:cs="Book Antiqua"/>
        </w:rPr>
        <w:t xml:space="preserve">, Maxted AM, Midla JW, Murphy JM, Wohrle R, Edling TM, Fish PH, Flammer K, Hyde D, Kutty PK, Kobayashi M, Helm B, Oiulfstad B, Ritchie BW, Stobierski MG, Ehnert K, Tully TN Jr. Compendium of Measures to Control Chlamydia psittaci Infection Among Humans (Psittacosis) and Pet Birds (Avian Chlamydiosis), 2017. </w:t>
      </w:r>
      <w:r w:rsidRPr="00A4009A">
        <w:rPr>
          <w:rFonts w:ascii="Book Antiqua" w:eastAsia="Book Antiqua" w:hAnsi="Book Antiqua" w:cs="Book Antiqua"/>
          <w:i/>
          <w:iCs/>
        </w:rPr>
        <w:t>J Avian Med Surg</w:t>
      </w:r>
      <w:r w:rsidRPr="00A4009A">
        <w:rPr>
          <w:rFonts w:ascii="Book Antiqua" w:eastAsia="Book Antiqua" w:hAnsi="Book Antiqua" w:cs="Book Antiqua"/>
        </w:rPr>
        <w:t xml:space="preserve"> 2017; </w:t>
      </w:r>
      <w:r w:rsidRPr="00A4009A">
        <w:rPr>
          <w:rFonts w:ascii="Book Antiqua" w:eastAsia="Book Antiqua" w:hAnsi="Book Antiqua" w:cs="Book Antiqua"/>
          <w:b/>
          <w:bCs/>
        </w:rPr>
        <w:t>31</w:t>
      </w:r>
      <w:r w:rsidRPr="00A4009A">
        <w:rPr>
          <w:rFonts w:ascii="Book Antiqua" w:eastAsia="Book Antiqua" w:hAnsi="Book Antiqua" w:cs="Book Antiqua"/>
        </w:rPr>
        <w:t>: 262-282 [PMID: 28891690 DOI: 10.1647/217-265]</w:t>
      </w:r>
    </w:p>
    <w:p w14:paraId="5E821316" w14:textId="77777777" w:rsidR="000D2E46" w:rsidRPr="00A4009A" w:rsidRDefault="00000000">
      <w:pPr>
        <w:spacing w:line="360" w:lineRule="auto"/>
        <w:jc w:val="both"/>
      </w:pPr>
      <w:r w:rsidRPr="00A4009A">
        <w:rPr>
          <w:rFonts w:ascii="Book Antiqua" w:eastAsia="Book Antiqua" w:hAnsi="Book Antiqua" w:cs="Book Antiqua"/>
        </w:rPr>
        <w:t xml:space="preserve">2 </w:t>
      </w:r>
      <w:r w:rsidRPr="00A4009A">
        <w:rPr>
          <w:rFonts w:ascii="Book Antiqua" w:eastAsia="Book Antiqua" w:hAnsi="Book Antiqua" w:cs="Book Antiqua"/>
          <w:b/>
          <w:bCs/>
        </w:rPr>
        <w:t>Khadka S</w:t>
      </w:r>
      <w:r w:rsidRPr="00A4009A">
        <w:rPr>
          <w:rFonts w:ascii="Book Antiqua" w:eastAsia="Book Antiqua" w:hAnsi="Book Antiqua" w:cs="Book Antiqua"/>
        </w:rPr>
        <w:t xml:space="preserve">, Timilsina B, Pangeni RP, Regmi PR, Thapa AS. Importance of clinical history in the diagnosis of psittacosis: A case report. </w:t>
      </w:r>
      <w:r w:rsidRPr="00A4009A">
        <w:rPr>
          <w:rFonts w:ascii="Book Antiqua" w:eastAsia="Book Antiqua" w:hAnsi="Book Antiqua" w:cs="Book Antiqua"/>
          <w:i/>
          <w:iCs/>
        </w:rPr>
        <w:t>Ann Med Surg (Lond)</w:t>
      </w:r>
      <w:r w:rsidRPr="00A4009A">
        <w:rPr>
          <w:rFonts w:ascii="Book Antiqua" w:eastAsia="Book Antiqua" w:hAnsi="Book Antiqua" w:cs="Book Antiqua"/>
        </w:rPr>
        <w:t xml:space="preserve"> 2022; </w:t>
      </w:r>
      <w:r w:rsidRPr="00A4009A">
        <w:rPr>
          <w:rFonts w:ascii="Book Antiqua" w:eastAsia="Book Antiqua" w:hAnsi="Book Antiqua" w:cs="Book Antiqua"/>
          <w:b/>
          <w:bCs/>
        </w:rPr>
        <w:t>82</w:t>
      </w:r>
      <w:r w:rsidRPr="00A4009A">
        <w:rPr>
          <w:rFonts w:ascii="Book Antiqua" w:eastAsia="Book Antiqua" w:hAnsi="Book Antiqua" w:cs="Book Antiqua"/>
        </w:rPr>
        <w:t>: 104695 [PMID: 36268359 DOI: 10.1016/j.amsu.2022.104695]</w:t>
      </w:r>
    </w:p>
    <w:p w14:paraId="3F232243" w14:textId="77777777" w:rsidR="000D2E46" w:rsidRPr="00A4009A" w:rsidRDefault="00000000">
      <w:pPr>
        <w:spacing w:line="360" w:lineRule="auto"/>
        <w:jc w:val="both"/>
      </w:pPr>
      <w:r w:rsidRPr="00A4009A">
        <w:rPr>
          <w:rFonts w:ascii="Book Antiqua" w:eastAsia="Book Antiqua" w:hAnsi="Book Antiqua" w:cs="Book Antiqua"/>
        </w:rPr>
        <w:t xml:space="preserve">3 </w:t>
      </w:r>
      <w:r w:rsidRPr="00A4009A">
        <w:rPr>
          <w:rFonts w:ascii="Book Antiqua" w:eastAsia="Book Antiqua" w:hAnsi="Book Antiqua" w:cs="Book Antiqua"/>
          <w:b/>
          <w:bCs/>
        </w:rPr>
        <w:t>Hogerwerf L</w:t>
      </w:r>
      <w:r w:rsidRPr="00A4009A">
        <w:rPr>
          <w:rFonts w:ascii="Book Antiqua" w:eastAsia="Book Antiqua" w:hAnsi="Book Antiqua" w:cs="Book Antiqua"/>
        </w:rPr>
        <w:t xml:space="preserve">, DE Gier B, Baan B, VAN DER Hoek W. Chlamydia psittaci (psittacosis) as a cause of community-acquired pneumonia: a systematic review and meta-analysis. </w:t>
      </w:r>
      <w:r w:rsidRPr="00A4009A">
        <w:rPr>
          <w:rFonts w:ascii="Book Antiqua" w:eastAsia="Book Antiqua" w:hAnsi="Book Antiqua" w:cs="Book Antiqua"/>
          <w:i/>
          <w:iCs/>
        </w:rPr>
        <w:t>Epidemiol Infect</w:t>
      </w:r>
      <w:r w:rsidRPr="00A4009A">
        <w:rPr>
          <w:rFonts w:ascii="Book Antiqua" w:eastAsia="Book Antiqua" w:hAnsi="Book Antiqua" w:cs="Book Antiqua"/>
        </w:rPr>
        <w:t xml:space="preserve"> 2017; </w:t>
      </w:r>
      <w:r w:rsidRPr="00A4009A">
        <w:rPr>
          <w:rFonts w:ascii="Book Antiqua" w:eastAsia="Book Antiqua" w:hAnsi="Book Antiqua" w:cs="Book Antiqua"/>
          <w:b/>
          <w:bCs/>
        </w:rPr>
        <w:t>145</w:t>
      </w:r>
      <w:r w:rsidRPr="00A4009A">
        <w:rPr>
          <w:rFonts w:ascii="Book Antiqua" w:eastAsia="Book Antiqua" w:hAnsi="Book Antiqua" w:cs="Book Antiqua"/>
        </w:rPr>
        <w:t>: 3096-3105 [PMID: 28946931 DOI: 10.1017/S0950268817002060]</w:t>
      </w:r>
    </w:p>
    <w:p w14:paraId="41E63410" w14:textId="77777777" w:rsidR="000D2E46" w:rsidRPr="00A4009A" w:rsidRDefault="00000000">
      <w:pPr>
        <w:spacing w:line="360" w:lineRule="auto"/>
        <w:jc w:val="both"/>
      </w:pPr>
      <w:r w:rsidRPr="00A4009A">
        <w:rPr>
          <w:rFonts w:ascii="Book Antiqua" w:eastAsia="Book Antiqua" w:hAnsi="Book Antiqua" w:cs="Book Antiqua"/>
        </w:rPr>
        <w:t xml:space="preserve">4 </w:t>
      </w:r>
      <w:r w:rsidRPr="00A4009A">
        <w:rPr>
          <w:rFonts w:ascii="Book Antiqua" w:eastAsia="Book Antiqua" w:hAnsi="Book Antiqua" w:cs="Book Antiqua"/>
          <w:b/>
          <w:bCs/>
        </w:rPr>
        <w:t>Cui Z</w:t>
      </w:r>
      <w:r w:rsidRPr="00A4009A">
        <w:rPr>
          <w:rFonts w:ascii="Book Antiqua" w:eastAsia="Book Antiqua" w:hAnsi="Book Antiqua" w:cs="Book Antiqua"/>
        </w:rPr>
        <w:t xml:space="preserve">, Meng L. Psittacosis Pneumonia: Diagnosis, Treatment and Interhuman Transmission. </w:t>
      </w:r>
      <w:r w:rsidRPr="00A4009A">
        <w:rPr>
          <w:rFonts w:ascii="Book Antiqua" w:eastAsia="Book Antiqua" w:hAnsi="Book Antiqua" w:cs="Book Antiqua"/>
          <w:i/>
          <w:iCs/>
        </w:rPr>
        <w:t>Int J Gen Med</w:t>
      </w:r>
      <w:r w:rsidRPr="00A4009A">
        <w:rPr>
          <w:rFonts w:ascii="Book Antiqua" w:eastAsia="Book Antiqua" w:hAnsi="Book Antiqua" w:cs="Book Antiqua"/>
        </w:rPr>
        <w:t xml:space="preserve"> 2023; </w:t>
      </w:r>
      <w:r w:rsidRPr="00A4009A">
        <w:rPr>
          <w:rFonts w:ascii="Book Antiqua" w:eastAsia="Book Antiqua" w:hAnsi="Book Antiqua" w:cs="Book Antiqua"/>
          <w:b/>
          <w:bCs/>
        </w:rPr>
        <w:t>16</w:t>
      </w:r>
      <w:r w:rsidRPr="00A4009A">
        <w:rPr>
          <w:rFonts w:ascii="Book Antiqua" w:eastAsia="Book Antiqua" w:hAnsi="Book Antiqua" w:cs="Book Antiqua"/>
        </w:rPr>
        <w:t>: 1-6 [PMID: 36628298 DOI: 10.2147/IJGM.S396074]</w:t>
      </w:r>
    </w:p>
    <w:p w14:paraId="37682DD8" w14:textId="77777777" w:rsidR="000D2E46" w:rsidRPr="00A4009A" w:rsidRDefault="00000000">
      <w:pPr>
        <w:spacing w:line="360" w:lineRule="auto"/>
        <w:jc w:val="both"/>
      </w:pPr>
      <w:r w:rsidRPr="00A4009A">
        <w:rPr>
          <w:rFonts w:ascii="Book Antiqua" w:eastAsia="Book Antiqua" w:hAnsi="Book Antiqua" w:cs="Book Antiqua"/>
        </w:rPr>
        <w:t xml:space="preserve">5 </w:t>
      </w:r>
      <w:r w:rsidRPr="00A4009A">
        <w:rPr>
          <w:rFonts w:ascii="Book Antiqua" w:eastAsia="Book Antiqua" w:hAnsi="Book Antiqua" w:cs="Book Antiqua"/>
          <w:b/>
          <w:bCs/>
        </w:rPr>
        <w:t>Li W</w:t>
      </w:r>
      <w:r w:rsidRPr="00A4009A">
        <w:rPr>
          <w:rFonts w:ascii="Book Antiqua" w:eastAsia="Book Antiqua" w:hAnsi="Book Antiqua" w:cs="Book Antiqua"/>
        </w:rPr>
        <w:t xml:space="preserve">, Zhang Q, Xu Y, Zhang X, Huang Q, Su Z. Severe pneumonia in adults caused by Tropheryma whipplei and Candida sp. infection: a 2019 case series. </w:t>
      </w:r>
      <w:r w:rsidRPr="00A4009A">
        <w:rPr>
          <w:rFonts w:ascii="Book Antiqua" w:eastAsia="Book Antiqua" w:hAnsi="Book Antiqua" w:cs="Book Antiqua"/>
          <w:i/>
          <w:iCs/>
        </w:rPr>
        <w:t>BMC Pulm Med</w:t>
      </w:r>
      <w:r w:rsidRPr="00A4009A">
        <w:rPr>
          <w:rFonts w:ascii="Book Antiqua" w:eastAsia="Book Antiqua" w:hAnsi="Book Antiqua" w:cs="Book Antiqua"/>
        </w:rPr>
        <w:t xml:space="preserve"> 2021; </w:t>
      </w:r>
      <w:r w:rsidRPr="00A4009A">
        <w:rPr>
          <w:rFonts w:ascii="Book Antiqua" w:eastAsia="Book Antiqua" w:hAnsi="Book Antiqua" w:cs="Book Antiqua"/>
          <w:b/>
          <w:bCs/>
        </w:rPr>
        <w:t>21</w:t>
      </w:r>
      <w:r w:rsidRPr="00A4009A">
        <w:rPr>
          <w:rFonts w:ascii="Book Antiqua" w:eastAsia="Book Antiqua" w:hAnsi="Book Antiqua" w:cs="Book Antiqua"/>
        </w:rPr>
        <w:t>: 29 [PMID: 33451316 DOI: 10.1186/s12890-020-01384-4]</w:t>
      </w:r>
    </w:p>
    <w:p w14:paraId="32B37DC1" w14:textId="77777777" w:rsidR="000D2E46" w:rsidRPr="00A4009A" w:rsidRDefault="00000000">
      <w:pPr>
        <w:spacing w:line="360" w:lineRule="auto"/>
        <w:jc w:val="both"/>
      </w:pPr>
      <w:r w:rsidRPr="00A4009A">
        <w:rPr>
          <w:rFonts w:ascii="Book Antiqua" w:eastAsia="Book Antiqua" w:hAnsi="Book Antiqua" w:cs="Book Antiqua"/>
        </w:rPr>
        <w:t xml:space="preserve">6 </w:t>
      </w:r>
      <w:r w:rsidRPr="00A4009A">
        <w:rPr>
          <w:rFonts w:ascii="Book Antiqua" w:eastAsia="Book Antiqua" w:hAnsi="Book Antiqua" w:cs="Book Antiqua"/>
          <w:b/>
          <w:bCs/>
        </w:rPr>
        <w:t>Wang S</w:t>
      </w:r>
      <w:r w:rsidRPr="00A4009A">
        <w:rPr>
          <w:rFonts w:ascii="Book Antiqua" w:eastAsia="Book Antiqua" w:hAnsi="Book Antiqua" w:cs="Book Antiqua"/>
        </w:rPr>
        <w:t xml:space="preserve">, Xia D, Wu J, Jia D, Li L, Xu S. Severe Pneumonia Caused by Infection With Tropheryma whipplei Complicated With Acinetobacter baumannii Infection: A Case </w:t>
      </w:r>
      <w:r w:rsidRPr="00A4009A">
        <w:rPr>
          <w:rFonts w:ascii="Book Antiqua" w:eastAsia="Book Antiqua" w:hAnsi="Book Antiqua" w:cs="Book Antiqua"/>
        </w:rPr>
        <w:lastRenderedPageBreak/>
        <w:t xml:space="preserve">Report Involving a Young Woman. </w:t>
      </w:r>
      <w:r w:rsidRPr="00A4009A">
        <w:rPr>
          <w:rFonts w:ascii="Book Antiqua" w:eastAsia="Book Antiqua" w:hAnsi="Book Antiqua" w:cs="Book Antiqua"/>
          <w:i/>
          <w:iCs/>
        </w:rPr>
        <w:t>Front Public Health</w:t>
      </w:r>
      <w:r w:rsidRPr="00A4009A">
        <w:rPr>
          <w:rFonts w:ascii="Book Antiqua" w:eastAsia="Book Antiqua" w:hAnsi="Book Antiqua" w:cs="Book Antiqua"/>
        </w:rPr>
        <w:t xml:space="preserve"> 2021; </w:t>
      </w:r>
      <w:r w:rsidRPr="00A4009A">
        <w:rPr>
          <w:rFonts w:ascii="Book Antiqua" w:eastAsia="Book Antiqua" w:hAnsi="Book Antiqua" w:cs="Book Antiqua"/>
          <w:b/>
          <w:bCs/>
        </w:rPr>
        <w:t>9</w:t>
      </w:r>
      <w:r w:rsidRPr="00A4009A">
        <w:rPr>
          <w:rFonts w:ascii="Book Antiqua" w:eastAsia="Book Antiqua" w:hAnsi="Book Antiqua" w:cs="Book Antiqua"/>
        </w:rPr>
        <w:t>: 729595 [PMID: 34760862 DOI: 10.3389/fpubh.2021.729595]</w:t>
      </w:r>
    </w:p>
    <w:p w14:paraId="2AEC1720" w14:textId="77777777" w:rsidR="000D2E46" w:rsidRPr="00A4009A" w:rsidRDefault="00000000">
      <w:pPr>
        <w:spacing w:line="360" w:lineRule="auto"/>
        <w:jc w:val="both"/>
      </w:pPr>
      <w:r w:rsidRPr="00A4009A">
        <w:rPr>
          <w:rFonts w:ascii="Book Antiqua" w:eastAsia="Book Antiqua" w:hAnsi="Book Antiqua" w:cs="Book Antiqua"/>
        </w:rPr>
        <w:t xml:space="preserve">7 </w:t>
      </w:r>
      <w:r w:rsidRPr="00A4009A">
        <w:rPr>
          <w:rFonts w:ascii="Book Antiqua" w:eastAsia="Book Antiqua" w:hAnsi="Book Antiqua" w:cs="Book Antiqua"/>
          <w:b/>
          <w:bCs/>
        </w:rPr>
        <w:t>Dolmans RA</w:t>
      </w:r>
      <w:r w:rsidRPr="00A4009A">
        <w:rPr>
          <w:rFonts w:ascii="Book Antiqua" w:eastAsia="Book Antiqua" w:hAnsi="Book Antiqua" w:cs="Book Antiqua"/>
        </w:rPr>
        <w:t xml:space="preserve">, Boel CH, Lacle MM, Kusters JG. Clinical Manifestations, Treatment, and Diagnosis of Tropheryma whipplei Infections. </w:t>
      </w:r>
      <w:r w:rsidRPr="00A4009A">
        <w:rPr>
          <w:rFonts w:ascii="Book Antiqua" w:eastAsia="Book Antiqua" w:hAnsi="Book Antiqua" w:cs="Book Antiqua"/>
          <w:i/>
          <w:iCs/>
        </w:rPr>
        <w:t>Clin Microbiol Rev</w:t>
      </w:r>
      <w:r w:rsidRPr="00A4009A">
        <w:rPr>
          <w:rFonts w:ascii="Book Antiqua" w:eastAsia="Book Antiqua" w:hAnsi="Book Antiqua" w:cs="Book Antiqua"/>
        </w:rPr>
        <w:t xml:space="preserve"> 2017; </w:t>
      </w:r>
      <w:r w:rsidRPr="00A4009A">
        <w:rPr>
          <w:rFonts w:ascii="Book Antiqua" w:eastAsia="Book Antiqua" w:hAnsi="Book Antiqua" w:cs="Book Antiqua"/>
          <w:b/>
          <w:bCs/>
        </w:rPr>
        <w:t>30</w:t>
      </w:r>
      <w:r w:rsidRPr="00A4009A">
        <w:rPr>
          <w:rFonts w:ascii="Book Antiqua" w:eastAsia="Book Antiqua" w:hAnsi="Book Antiqua" w:cs="Book Antiqua"/>
        </w:rPr>
        <w:t>: 529-555 [PMID: 28298472 DOI: 10.1128/CMR.00033-16]</w:t>
      </w:r>
    </w:p>
    <w:p w14:paraId="3E400170" w14:textId="77777777" w:rsidR="000D2E46" w:rsidRPr="00A4009A" w:rsidRDefault="00000000">
      <w:pPr>
        <w:spacing w:line="360" w:lineRule="auto"/>
        <w:jc w:val="both"/>
      </w:pPr>
      <w:r w:rsidRPr="00A4009A">
        <w:rPr>
          <w:rFonts w:ascii="Book Antiqua" w:eastAsia="Book Antiqua" w:hAnsi="Book Antiqua" w:cs="Book Antiqua"/>
        </w:rPr>
        <w:t xml:space="preserve">8 </w:t>
      </w:r>
      <w:r w:rsidRPr="00A4009A">
        <w:rPr>
          <w:rFonts w:ascii="Book Antiqua" w:eastAsia="Book Antiqua" w:hAnsi="Book Antiqua" w:cs="Book Antiqua"/>
          <w:b/>
          <w:bCs/>
        </w:rPr>
        <w:t>Kutlu O</w:t>
      </w:r>
      <w:r w:rsidRPr="00A4009A">
        <w:rPr>
          <w:rFonts w:ascii="Book Antiqua" w:eastAsia="Book Antiqua" w:hAnsi="Book Antiqua" w:cs="Book Antiqua"/>
        </w:rPr>
        <w:t xml:space="preserve">, Erhan SŞ, Gökden Y, Kandemir Ö, Tükek T. Whipple's Disease: A Case Report. </w:t>
      </w:r>
      <w:r w:rsidRPr="00A4009A">
        <w:rPr>
          <w:rFonts w:ascii="Book Antiqua" w:eastAsia="Book Antiqua" w:hAnsi="Book Antiqua" w:cs="Book Antiqua"/>
          <w:i/>
          <w:iCs/>
        </w:rPr>
        <w:t>Med Princ Pract</w:t>
      </w:r>
      <w:r w:rsidRPr="00A4009A">
        <w:rPr>
          <w:rFonts w:ascii="Book Antiqua" w:eastAsia="Book Antiqua" w:hAnsi="Book Antiqua" w:cs="Book Antiqua"/>
        </w:rPr>
        <w:t xml:space="preserve"> 2020; </w:t>
      </w:r>
      <w:r w:rsidRPr="00A4009A">
        <w:rPr>
          <w:rFonts w:ascii="Book Antiqua" w:eastAsia="Book Antiqua" w:hAnsi="Book Antiqua" w:cs="Book Antiqua"/>
          <w:b/>
          <w:bCs/>
        </w:rPr>
        <w:t>29</w:t>
      </w:r>
      <w:r w:rsidRPr="00A4009A">
        <w:rPr>
          <w:rFonts w:ascii="Book Antiqua" w:eastAsia="Book Antiqua" w:hAnsi="Book Antiqua" w:cs="Book Antiqua"/>
        </w:rPr>
        <w:t>: 90-93 [PMID: 30763942 DOI: 10.1159/000498909]</w:t>
      </w:r>
    </w:p>
    <w:p w14:paraId="38840539" w14:textId="77777777" w:rsidR="000D2E46" w:rsidRPr="00A4009A" w:rsidRDefault="00000000">
      <w:pPr>
        <w:spacing w:line="360" w:lineRule="auto"/>
        <w:jc w:val="both"/>
      </w:pPr>
      <w:r w:rsidRPr="00A4009A">
        <w:rPr>
          <w:rFonts w:ascii="Book Antiqua" w:eastAsia="Book Antiqua" w:hAnsi="Book Antiqua" w:cs="Book Antiqua"/>
        </w:rPr>
        <w:t xml:space="preserve">9 </w:t>
      </w:r>
      <w:r w:rsidRPr="00A4009A">
        <w:rPr>
          <w:rFonts w:ascii="Book Antiqua" w:eastAsia="Book Antiqua" w:hAnsi="Book Antiqua" w:cs="Book Antiqua"/>
          <w:b/>
          <w:bCs/>
        </w:rPr>
        <w:t>Dutly F</w:t>
      </w:r>
      <w:r w:rsidRPr="00A4009A">
        <w:rPr>
          <w:rFonts w:ascii="Book Antiqua" w:eastAsia="Book Antiqua" w:hAnsi="Book Antiqua" w:cs="Book Antiqua"/>
        </w:rPr>
        <w:t xml:space="preserve">, Altwegg M. Whipple's disease and "Tropheryma whippelii". </w:t>
      </w:r>
      <w:r w:rsidRPr="00A4009A">
        <w:rPr>
          <w:rFonts w:ascii="Book Antiqua" w:eastAsia="Book Antiqua" w:hAnsi="Book Antiqua" w:cs="Book Antiqua"/>
          <w:i/>
          <w:iCs/>
        </w:rPr>
        <w:t>Clin Microbiol Rev</w:t>
      </w:r>
      <w:r w:rsidRPr="00A4009A">
        <w:rPr>
          <w:rFonts w:ascii="Book Antiqua" w:eastAsia="Book Antiqua" w:hAnsi="Book Antiqua" w:cs="Book Antiqua"/>
        </w:rPr>
        <w:t xml:space="preserve"> 2001; </w:t>
      </w:r>
      <w:r w:rsidRPr="00A4009A">
        <w:rPr>
          <w:rFonts w:ascii="Book Antiqua" w:eastAsia="Book Antiqua" w:hAnsi="Book Antiqua" w:cs="Book Antiqua"/>
          <w:b/>
          <w:bCs/>
        </w:rPr>
        <w:t>14</w:t>
      </w:r>
      <w:r w:rsidRPr="00A4009A">
        <w:rPr>
          <w:rFonts w:ascii="Book Antiqua" w:eastAsia="Book Antiqua" w:hAnsi="Book Antiqua" w:cs="Book Antiqua"/>
        </w:rPr>
        <w:t>: 561-583 [PMID: 11432814 DOI: 10.1128/CMR.14.3.561-583.2001]</w:t>
      </w:r>
    </w:p>
    <w:p w14:paraId="3BC925E3" w14:textId="77777777" w:rsidR="000D2E46" w:rsidRPr="00A4009A" w:rsidRDefault="00000000">
      <w:pPr>
        <w:spacing w:line="360" w:lineRule="auto"/>
        <w:jc w:val="both"/>
      </w:pPr>
      <w:r w:rsidRPr="00A4009A">
        <w:rPr>
          <w:rFonts w:ascii="Book Antiqua" w:eastAsia="Book Antiqua" w:hAnsi="Book Antiqua" w:cs="Book Antiqua"/>
        </w:rPr>
        <w:t xml:space="preserve">10 </w:t>
      </w:r>
      <w:r w:rsidRPr="00A4009A">
        <w:rPr>
          <w:rFonts w:ascii="Book Antiqua" w:eastAsia="Book Antiqua" w:hAnsi="Book Antiqua" w:cs="Book Antiqua"/>
          <w:b/>
          <w:bCs/>
        </w:rPr>
        <w:t>Bousbia S</w:t>
      </w:r>
      <w:r w:rsidRPr="00A4009A">
        <w:rPr>
          <w:rFonts w:ascii="Book Antiqua" w:eastAsia="Book Antiqua" w:hAnsi="Book Antiqua" w:cs="Book Antiqua"/>
        </w:rPr>
        <w:t xml:space="preserve">, Papazian L, Auffray JP, Fenollar F, Martin C, Li W, Chiche L, La Scola B, Raoult D. Tropheryma whipplei in patients with pneumonia. </w:t>
      </w:r>
      <w:r w:rsidRPr="00A4009A">
        <w:rPr>
          <w:rFonts w:ascii="Book Antiqua" w:eastAsia="Book Antiqua" w:hAnsi="Book Antiqua" w:cs="Book Antiqua"/>
          <w:i/>
          <w:iCs/>
        </w:rPr>
        <w:t>Emerg Infect Dis</w:t>
      </w:r>
      <w:r w:rsidRPr="00A4009A">
        <w:rPr>
          <w:rFonts w:ascii="Book Antiqua" w:eastAsia="Book Antiqua" w:hAnsi="Book Antiqua" w:cs="Book Antiqua"/>
        </w:rPr>
        <w:t xml:space="preserve"> 2010; </w:t>
      </w:r>
      <w:r w:rsidRPr="00A4009A">
        <w:rPr>
          <w:rFonts w:ascii="Book Antiqua" w:eastAsia="Book Antiqua" w:hAnsi="Book Antiqua" w:cs="Book Antiqua"/>
          <w:b/>
          <w:bCs/>
        </w:rPr>
        <w:t>16</w:t>
      </w:r>
      <w:r w:rsidRPr="00A4009A">
        <w:rPr>
          <w:rFonts w:ascii="Book Antiqua" w:eastAsia="Book Antiqua" w:hAnsi="Book Antiqua" w:cs="Book Antiqua"/>
        </w:rPr>
        <w:t>: 258-263 [PMID: 20113556 DOI: 10.3201/eid1602.090610]</w:t>
      </w:r>
    </w:p>
    <w:p w14:paraId="2EBF4890" w14:textId="77777777" w:rsidR="000D2E46" w:rsidRPr="00A4009A" w:rsidRDefault="00000000">
      <w:pPr>
        <w:spacing w:line="360" w:lineRule="auto"/>
        <w:jc w:val="both"/>
      </w:pPr>
      <w:r w:rsidRPr="00A4009A">
        <w:rPr>
          <w:rFonts w:ascii="Book Antiqua" w:eastAsia="Book Antiqua" w:hAnsi="Book Antiqua" w:cs="Book Antiqua"/>
        </w:rPr>
        <w:t xml:space="preserve">11 </w:t>
      </w:r>
      <w:r w:rsidRPr="00A4009A">
        <w:rPr>
          <w:rFonts w:ascii="Book Antiqua" w:eastAsia="Book Antiqua" w:hAnsi="Book Antiqua" w:cs="Book Antiqua"/>
          <w:b/>
          <w:bCs/>
        </w:rPr>
        <w:t>Lozupone C</w:t>
      </w:r>
      <w:r w:rsidRPr="00A4009A">
        <w:rPr>
          <w:rFonts w:ascii="Book Antiqua" w:eastAsia="Book Antiqua" w:hAnsi="Book Antiqua" w:cs="Book Antiqua"/>
        </w:rPr>
        <w:t xml:space="preserve">, Cota-Gomez A, Palmer BE, Linderman DJ, Charlson ES, Sodergren E, Mitreva M, Abubucker S, Martin J, Yao G, Campbell TB, Flores SC, Ackerman G, Stombaugh J, Ursell L, Beck JM, Curtis JL, Young VB, Lynch SV, Huang L, Weinstock GM, Knox KS, Twigg H, Morris A, Ghedin E, Bushman FD, Collman RG, Knight R, Fontenot AP; Lung HIV Microbiome Project. Widespread colonization of the lung by Tropheryma whipplei in HIV infection. </w:t>
      </w:r>
      <w:r w:rsidRPr="00A4009A">
        <w:rPr>
          <w:rFonts w:ascii="Book Antiqua" w:eastAsia="Book Antiqua" w:hAnsi="Book Antiqua" w:cs="Book Antiqua"/>
          <w:i/>
          <w:iCs/>
        </w:rPr>
        <w:t>Am J Respir Crit Care Med</w:t>
      </w:r>
      <w:r w:rsidRPr="00A4009A">
        <w:rPr>
          <w:rFonts w:ascii="Book Antiqua" w:eastAsia="Book Antiqua" w:hAnsi="Book Antiqua" w:cs="Book Antiqua"/>
        </w:rPr>
        <w:t xml:space="preserve"> 2013; </w:t>
      </w:r>
      <w:r w:rsidRPr="00A4009A">
        <w:rPr>
          <w:rFonts w:ascii="Book Antiqua" w:eastAsia="Book Antiqua" w:hAnsi="Book Antiqua" w:cs="Book Antiqua"/>
          <w:b/>
          <w:bCs/>
        </w:rPr>
        <w:t>187</w:t>
      </w:r>
      <w:r w:rsidRPr="00A4009A">
        <w:rPr>
          <w:rFonts w:ascii="Book Antiqua" w:eastAsia="Book Antiqua" w:hAnsi="Book Antiqua" w:cs="Book Antiqua"/>
        </w:rPr>
        <w:t>: 1110-1117 [PMID: 23392441 DOI: 10.1164/rccm.201211-2145OC]</w:t>
      </w:r>
    </w:p>
    <w:p w14:paraId="7B4F80A5" w14:textId="77777777" w:rsidR="000D2E46" w:rsidRPr="00A4009A" w:rsidRDefault="00000000">
      <w:pPr>
        <w:spacing w:line="360" w:lineRule="auto"/>
        <w:jc w:val="both"/>
      </w:pPr>
      <w:r w:rsidRPr="00A4009A">
        <w:rPr>
          <w:rFonts w:ascii="Book Antiqua" w:eastAsia="Book Antiqua" w:hAnsi="Book Antiqua" w:cs="Book Antiqua"/>
        </w:rPr>
        <w:t xml:space="preserve">12 </w:t>
      </w:r>
      <w:r w:rsidRPr="00A4009A">
        <w:rPr>
          <w:rFonts w:ascii="Book Antiqua" w:eastAsia="Book Antiqua" w:hAnsi="Book Antiqua" w:cs="Book Antiqua"/>
          <w:b/>
          <w:bCs/>
        </w:rPr>
        <w:t>Keita AK</w:t>
      </w:r>
      <w:r w:rsidRPr="00A4009A">
        <w:rPr>
          <w:rFonts w:ascii="Book Antiqua" w:eastAsia="Book Antiqua" w:hAnsi="Book Antiqua" w:cs="Book Antiqua"/>
        </w:rPr>
        <w:t xml:space="preserve">, Raoult D, Fenollar F. Tropheryma whipplei as a commensal bacterium. </w:t>
      </w:r>
      <w:r w:rsidRPr="00A4009A">
        <w:rPr>
          <w:rFonts w:ascii="Book Antiqua" w:eastAsia="Book Antiqua" w:hAnsi="Book Antiqua" w:cs="Book Antiqua"/>
          <w:i/>
          <w:iCs/>
        </w:rPr>
        <w:t>Future Microbiol</w:t>
      </w:r>
      <w:r w:rsidRPr="00A4009A">
        <w:rPr>
          <w:rFonts w:ascii="Book Antiqua" w:eastAsia="Book Antiqua" w:hAnsi="Book Antiqua" w:cs="Book Antiqua"/>
        </w:rPr>
        <w:t xml:space="preserve"> 2013; </w:t>
      </w:r>
      <w:r w:rsidRPr="00A4009A">
        <w:rPr>
          <w:rFonts w:ascii="Book Antiqua" w:eastAsia="Book Antiqua" w:hAnsi="Book Antiqua" w:cs="Book Antiqua"/>
          <w:b/>
          <w:bCs/>
        </w:rPr>
        <w:t>8</w:t>
      </w:r>
      <w:r w:rsidRPr="00A4009A">
        <w:rPr>
          <w:rFonts w:ascii="Book Antiqua" w:eastAsia="Book Antiqua" w:hAnsi="Book Antiqua" w:cs="Book Antiqua"/>
        </w:rPr>
        <w:t>: 57-71 [PMID: 23252493 DOI: 10.2217/fmb.12.124]</w:t>
      </w:r>
    </w:p>
    <w:p w14:paraId="34072CF5" w14:textId="77777777" w:rsidR="000D2E46" w:rsidRPr="00A4009A" w:rsidRDefault="00000000">
      <w:pPr>
        <w:spacing w:line="360" w:lineRule="auto"/>
        <w:jc w:val="both"/>
      </w:pPr>
      <w:r w:rsidRPr="00A4009A">
        <w:rPr>
          <w:rFonts w:ascii="Book Antiqua" w:eastAsia="Book Antiqua" w:hAnsi="Book Antiqua" w:cs="Book Antiqua"/>
        </w:rPr>
        <w:t xml:space="preserve">13 </w:t>
      </w:r>
      <w:r w:rsidRPr="00A4009A">
        <w:rPr>
          <w:rFonts w:ascii="Book Antiqua" w:eastAsia="Book Antiqua" w:hAnsi="Book Antiqua" w:cs="Book Antiqua"/>
          <w:b/>
          <w:bCs/>
        </w:rPr>
        <w:t>García-Álvarez L</w:t>
      </w:r>
      <w:r w:rsidRPr="00A4009A">
        <w:rPr>
          <w:rFonts w:ascii="Book Antiqua" w:eastAsia="Book Antiqua" w:hAnsi="Book Antiqua" w:cs="Book Antiqua"/>
        </w:rPr>
        <w:t xml:space="preserve">, Pérez-Matute P, Blanco JR, Ibarra V, Oteo JA. High prevalence of asymptomatic carriers of Tropheryma whipplei in different populations from the North of Spain. </w:t>
      </w:r>
      <w:r w:rsidRPr="00A4009A">
        <w:rPr>
          <w:rFonts w:ascii="Book Antiqua" w:eastAsia="Book Antiqua" w:hAnsi="Book Antiqua" w:cs="Book Antiqua"/>
          <w:i/>
          <w:iCs/>
        </w:rPr>
        <w:t>Enferm Infecc Microbiol Clin</w:t>
      </w:r>
      <w:r w:rsidRPr="00A4009A">
        <w:rPr>
          <w:rFonts w:ascii="Book Antiqua" w:eastAsia="Book Antiqua" w:hAnsi="Book Antiqua" w:cs="Book Antiqua"/>
        </w:rPr>
        <w:t xml:space="preserve"> 2016; </w:t>
      </w:r>
      <w:r w:rsidRPr="00A4009A">
        <w:rPr>
          <w:rFonts w:ascii="Book Antiqua" w:eastAsia="Book Antiqua" w:hAnsi="Book Antiqua" w:cs="Book Antiqua"/>
          <w:b/>
          <w:bCs/>
        </w:rPr>
        <w:t>34</w:t>
      </w:r>
      <w:r w:rsidRPr="00A4009A">
        <w:rPr>
          <w:rFonts w:ascii="Book Antiqua" w:eastAsia="Book Antiqua" w:hAnsi="Book Antiqua" w:cs="Book Antiqua"/>
        </w:rPr>
        <w:t>: 340-345 [PMID: 26585816 DOI: 10.1016/j.eimc.2015.09.006]</w:t>
      </w:r>
    </w:p>
    <w:p w14:paraId="125485F4" w14:textId="77777777" w:rsidR="000D2E46" w:rsidRPr="00A4009A" w:rsidRDefault="00000000">
      <w:pPr>
        <w:spacing w:line="360" w:lineRule="auto"/>
        <w:jc w:val="both"/>
      </w:pPr>
      <w:r w:rsidRPr="00A4009A">
        <w:rPr>
          <w:rFonts w:ascii="Book Antiqua" w:eastAsia="Book Antiqua" w:hAnsi="Book Antiqua" w:cs="Book Antiqua"/>
        </w:rPr>
        <w:t xml:space="preserve">14 </w:t>
      </w:r>
      <w:r w:rsidRPr="00A4009A">
        <w:rPr>
          <w:rFonts w:ascii="Book Antiqua" w:eastAsia="Book Antiqua" w:hAnsi="Book Antiqua" w:cs="Book Antiqua"/>
          <w:b/>
          <w:bCs/>
        </w:rPr>
        <w:t>Wilson MR</w:t>
      </w:r>
      <w:r w:rsidRPr="00A4009A">
        <w:rPr>
          <w:rFonts w:ascii="Book Antiqua" w:eastAsia="Book Antiqua" w:hAnsi="Book Antiqua" w:cs="Book Antiqua"/>
        </w:rPr>
        <w:t xml:space="preserve">, Naccache SN, Samayoa E, Biagtan M, Bashir H, Yu G, Salamat SM, Somasekar S, Federman S, Miller S, Sokolic R, Garabedian E, Candotti F, Buckley RH, Reed KD, Meyer TL, Seroogy CM, Galloway R, Henderson SL, Gern JE, DeRisi JL, Chiu </w:t>
      </w:r>
      <w:r w:rsidRPr="00A4009A">
        <w:rPr>
          <w:rFonts w:ascii="Book Antiqua" w:eastAsia="Book Antiqua" w:hAnsi="Book Antiqua" w:cs="Book Antiqua"/>
        </w:rPr>
        <w:lastRenderedPageBreak/>
        <w:t xml:space="preserve">CY. Actionable diagnosis of neuroleptospirosis by next-generation sequencing. </w:t>
      </w:r>
      <w:r w:rsidRPr="00A4009A">
        <w:rPr>
          <w:rFonts w:ascii="Book Antiqua" w:eastAsia="Book Antiqua" w:hAnsi="Book Antiqua" w:cs="Book Antiqua"/>
          <w:i/>
          <w:iCs/>
        </w:rPr>
        <w:t>N Engl J Med</w:t>
      </w:r>
      <w:r w:rsidRPr="00A4009A">
        <w:rPr>
          <w:rFonts w:ascii="Book Antiqua" w:eastAsia="Book Antiqua" w:hAnsi="Book Antiqua" w:cs="Book Antiqua"/>
        </w:rPr>
        <w:t xml:space="preserve"> 2014; </w:t>
      </w:r>
      <w:r w:rsidRPr="00A4009A">
        <w:rPr>
          <w:rFonts w:ascii="Book Antiqua" w:eastAsia="Book Antiqua" w:hAnsi="Book Antiqua" w:cs="Book Antiqua"/>
          <w:b/>
          <w:bCs/>
        </w:rPr>
        <w:t>370</w:t>
      </w:r>
      <w:r w:rsidRPr="00A4009A">
        <w:rPr>
          <w:rFonts w:ascii="Book Antiqua" w:eastAsia="Book Antiqua" w:hAnsi="Book Antiqua" w:cs="Book Antiqua"/>
        </w:rPr>
        <w:t>: 2408-2417 [PMID: 24896819 DOI: 10.1056/NEJMoa1401268]</w:t>
      </w:r>
    </w:p>
    <w:p w14:paraId="4FA3980A" w14:textId="77777777" w:rsidR="000D2E46" w:rsidRPr="00A4009A" w:rsidRDefault="00000000">
      <w:pPr>
        <w:spacing w:line="360" w:lineRule="auto"/>
        <w:jc w:val="both"/>
      </w:pPr>
      <w:r w:rsidRPr="00A4009A">
        <w:rPr>
          <w:rFonts w:ascii="Book Antiqua" w:eastAsia="Book Antiqua" w:hAnsi="Book Antiqua" w:cs="Book Antiqua"/>
        </w:rPr>
        <w:t xml:space="preserve">15 </w:t>
      </w:r>
      <w:r w:rsidRPr="00A4009A">
        <w:rPr>
          <w:rFonts w:ascii="Book Antiqua" w:eastAsia="Book Antiqua" w:hAnsi="Book Antiqua" w:cs="Book Antiqua"/>
          <w:b/>
          <w:bCs/>
        </w:rPr>
        <w:t>Gaston DC</w:t>
      </w:r>
      <w:r w:rsidRPr="00A4009A">
        <w:rPr>
          <w:rFonts w:ascii="Book Antiqua" w:eastAsia="Book Antiqua" w:hAnsi="Book Antiqua" w:cs="Book Antiqua"/>
        </w:rPr>
        <w:t xml:space="preserve">, Miller HB, Fissel JA, Jacobs E, Gough E, Wu J, Klein EY, Carroll KC, Simner PJ. Evaluation of Metagenomic and Targeted Next-Generation Sequencing Workflows for Detection of Respiratory Pathogens from Bronchoalveolar Lavage Fluid Specimens. </w:t>
      </w:r>
      <w:r w:rsidRPr="00A4009A">
        <w:rPr>
          <w:rFonts w:ascii="Book Antiqua" w:eastAsia="Book Antiqua" w:hAnsi="Book Antiqua" w:cs="Book Antiqua"/>
          <w:i/>
          <w:iCs/>
        </w:rPr>
        <w:t>J Clin Microbiol</w:t>
      </w:r>
      <w:r w:rsidRPr="00A4009A">
        <w:rPr>
          <w:rFonts w:ascii="Book Antiqua" w:eastAsia="Book Antiqua" w:hAnsi="Book Antiqua" w:cs="Book Antiqua"/>
        </w:rPr>
        <w:t xml:space="preserve"> 2022; </w:t>
      </w:r>
      <w:r w:rsidRPr="00A4009A">
        <w:rPr>
          <w:rFonts w:ascii="Book Antiqua" w:eastAsia="Book Antiqua" w:hAnsi="Book Antiqua" w:cs="Book Antiqua"/>
          <w:b/>
          <w:bCs/>
        </w:rPr>
        <w:t>60</w:t>
      </w:r>
      <w:r w:rsidRPr="00A4009A">
        <w:rPr>
          <w:rFonts w:ascii="Book Antiqua" w:eastAsia="Book Antiqua" w:hAnsi="Book Antiqua" w:cs="Book Antiqua"/>
        </w:rPr>
        <w:t>: e0052622 [PMID: 35695488 DOI: 10.1128/jcm.00526-22]</w:t>
      </w:r>
    </w:p>
    <w:p w14:paraId="520C8C87" w14:textId="77777777" w:rsidR="000D2E46" w:rsidRPr="00A4009A" w:rsidRDefault="00000000">
      <w:pPr>
        <w:spacing w:line="360" w:lineRule="auto"/>
        <w:jc w:val="both"/>
      </w:pPr>
      <w:r w:rsidRPr="00A4009A">
        <w:rPr>
          <w:rFonts w:ascii="Book Antiqua" w:eastAsia="Book Antiqua" w:hAnsi="Book Antiqua" w:cs="Book Antiqua"/>
        </w:rPr>
        <w:t xml:space="preserve">16 </w:t>
      </w:r>
      <w:r w:rsidRPr="00A4009A">
        <w:rPr>
          <w:rFonts w:ascii="Book Antiqua" w:eastAsia="Book Antiqua" w:hAnsi="Book Antiqua" w:cs="Book Antiqua"/>
          <w:b/>
          <w:bCs/>
        </w:rPr>
        <w:t>Fenollar F</w:t>
      </w:r>
      <w:r w:rsidRPr="00A4009A">
        <w:rPr>
          <w:rFonts w:ascii="Book Antiqua" w:eastAsia="Book Antiqua" w:hAnsi="Book Antiqua" w:cs="Book Antiqua"/>
        </w:rPr>
        <w:t xml:space="preserve">, Ponge T, La Scola B, Lagier JC, Lefebvre M, Raoult D. First isolation of Tropheryma whipplei from bronchoalveolar fluid and clinical implications. </w:t>
      </w:r>
      <w:r w:rsidRPr="00A4009A">
        <w:rPr>
          <w:rFonts w:ascii="Book Antiqua" w:eastAsia="Book Antiqua" w:hAnsi="Book Antiqua" w:cs="Book Antiqua"/>
          <w:i/>
          <w:iCs/>
        </w:rPr>
        <w:t>J Infect</w:t>
      </w:r>
      <w:r w:rsidRPr="00A4009A">
        <w:rPr>
          <w:rFonts w:ascii="Book Antiqua" w:eastAsia="Book Antiqua" w:hAnsi="Book Antiqua" w:cs="Book Antiqua"/>
        </w:rPr>
        <w:t xml:space="preserve"> 2012; </w:t>
      </w:r>
      <w:r w:rsidRPr="00A4009A">
        <w:rPr>
          <w:rFonts w:ascii="Book Antiqua" w:eastAsia="Book Antiqua" w:hAnsi="Book Antiqua" w:cs="Book Antiqua"/>
          <w:b/>
          <w:bCs/>
        </w:rPr>
        <w:t>65</w:t>
      </w:r>
      <w:r w:rsidRPr="00A4009A">
        <w:rPr>
          <w:rFonts w:ascii="Book Antiqua" w:eastAsia="Book Antiqua" w:hAnsi="Book Antiqua" w:cs="Book Antiqua"/>
        </w:rPr>
        <w:t>: 275-278 [PMID: 22172770 DOI: 10.1016/j.jinf.2011.11.026]</w:t>
      </w:r>
    </w:p>
    <w:p w14:paraId="4677E92A" w14:textId="77777777" w:rsidR="000D2E46" w:rsidRPr="00A4009A" w:rsidRDefault="000D2E46">
      <w:pPr>
        <w:spacing w:line="360" w:lineRule="auto"/>
        <w:jc w:val="both"/>
        <w:sectPr w:rsidR="000D2E46" w:rsidRPr="00A4009A">
          <w:pgSz w:w="12240" w:h="15840"/>
          <w:pgMar w:top="1440" w:right="1440" w:bottom="1440" w:left="1440" w:header="720" w:footer="720" w:gutter="0"/>
          <w:cols w:space="720"/>
          <w:docGrid w:linePitch="360"/>
        </w:sectPr>
      </w:pPr>
    </w:p>
    <w:p w14:paraId="0138CD19" w14:textId="77777777" w:rsidR="000D2E46" w:rsidRPr="00A4009A" w:rsidRDefault="00000000">
      <w:pPr>
        <w:spacing w:line="360" w:lineRule="auto"/>
        <w:jc w:val="both"/>
      </w:pPr>
      <w:r w:rsidRPr="00A4009A">
        <w:rPr>
          <w:rFonts w:ascii="Book Antiqua" w:eastAsia="Book Antiqua" w:hAnsi="Book Antiqua" w:cs="Book Antiqua"/>
          <w:b/>
          <w:color w:val="000000"/>
        </w:rPr>
        <w:lastRenderedPageBreak/>
        <w:t>Footnotes</w:t>
      </w:r>
    </w:p>
    <w:p w14:paraId="7B20ED94" w14:textId="77777777" w:rsidR="000D2E46" w:rsidRPr="00A4009A" w:rsidRDefault="00000000">
      <w:pPr>
        <w:spacing w:line="360" w:lineRule="auto"/>
        <w:jc w:val="both"/>
      </w:pPr>
      <w:r w:rsidRPr="00A4009A">
        <w:rPr>
          <w:rFonts w:ascii="Book Antiqua" w:eastAsia="Book Antiqua" w:hAnsi="Book Antiqua" w:cs="Book Antiqua"/>
          <w:b/>
          <w:bCs/>
          <w:szCs w:val="21"/>
        </w:rPr>
        <w:t xml:space="preserve">Informed consent statement: </w:t>
      </w:r>
      <w:r w:rsidRPr="00A4009A">
        <w:rPr>
          <w:rFonts w:ascii="Book Antiqua" w:eastAsia="Book Antiqua" w:hAnsi="Book Antiqua" w:cs="Book Antiqua"/>
        </w:rPr>
        <w:t>Informed written consent was obtained from the patient for publication of this report and any accompanying images.</w:t>
      </w:r>
    </w:p>
    <w:p w14:paraId="39473B22" w14:textId="77777777" w:rsidR="000D2E46" w:rsidRPr="00A4009A" w:rsidRDefault="000D2E46">
      <w:pPr>
        <w:spacing w:line="360" w:lineRule="auto"/>
        <w:jc w:val="both"/>
      </w:pPr>
    </w:p>
    <w:p w14:paraId="7CB449CF" w14:textId="77777777" w:rsidR="000D2E46" w:rsidRPr="00A4009A" w:rsidRDefault="00000000">
      <w:pPr>
        <w:spacing w:line="360" w:lineRule="auto"/>
        <w:jc w:val="both"/>
      </w:pPr>
      <w:r w:rsidRPr="00A4009A">
        <w:rPr>
          <w:rFonts w:ascii="Book Antiqua" w:eastAsia="Book Antiqua" w:hAnsi="Book Antiqua" w:cs="Book Antiqua"/>
          <w:b/>
          <w:bCs/>
          <w:szCs w:val="21"/>
        </w:rPr>
        <w:t xml:space="preserve">Conflict-of-interest statement: </w:t>
      </w:r>
      <w:r w:rsidRPr="00A4009A">
        <w:rPr>
          <w:rFonts w:ascii="Book Antiqua" w:eastAsia="Book Antiqua" w:hAnsi="Book Antiqua" w:cs="Book Antiqua"/>
        </w:rPr>
        <w:t>The authors declare that they have no conflict of interest to disclose.</w:t>
      </w:r>
    </w:p>
    <w:p w14:paraId="2B808ED3" w14:textId="77777777" w:rsidR="000D2E46" w:rsidRPr="00A4009A" w:rsidRDefault="000D2E46">
      <w:pPr>
        <w:spacing w:line="360" w:lineRule="auto"/>
        <w:jc w:val="both"/>
      </w:pPr>
    </w:p>
    <w:p w14:paraId="7DF3FB9B" w14:textId="77777777" w:rsidR="000D2E46" w:rsidRPr="00A4009A" w:rsidRDefault="00000000">
      <w:pPr>
        <w:spacing w:line="360" w:lineRule="auto"/>
        <w:jc w:val="both"/>
      </w:pPr>
      <w:r w:rsidRPr="00A4009A">
        <w:rPr>
          <w:rFonts w:ascii="Book Antiqua" w:eastAsia="Book Antiqua" w:hAnsi="Book Antiqua" w:cs="Book Antiqua"/>
          <w:b/>
          <w:bCs/>
          <w:szCs w:val="21"/>
        </w:rPr>
        <w:t xml:space="preserve">CARE Checklist (2016) statement: </w:t>
      </w:r>
      <w:r w:rsidRPr="00A4009A">
        <w:rPr>
          <w:rFonts w:ascii="Book Antiqua" w:eastAsia="Book Antiqua" w:hAnsi="Book Antiqua" w:cs="Book Antiqua"/>
        </w:rPr>
        <w:t>The authors have read the CARE Checklist (2016), and the manuscript was prepared and revised according to the CARE Checklist (2016).</w:t>
      </w:r>
    </w:p>
    <w:p w14:paraId="14086A0A" w14:textId="77777777" w:rsidR="000D2E46" w:rsidRPr="00A4009A" w:rsidRDefault="000D2E46">
      <w:pPr>
        <w:spacing w:line="360" w:lineRule="auto"/>
        <w:jc w:val="both"/>
      </w:pPr>
    </w:p>
    <w:p w14:paraId="21D8B782" w14:textId="77777777" w:rsidR="000D2E46" w:rsidRPr="00A4009A" w:rsidRDefault="00000000">
      <w:pPr>
        <w:spacing w:line="360" w:lineRule="auto"/>
        <w:jc w:val="both"/>
      </w:pPr>
      <w:r w:rsidRPr="00A4009A">
        <w:rPr>
          <w:rFonts w:ascii="Book Antiqua" w:eastAsia="Book Antiqua" w:hAnsi="Book Antiqua" w:cs="Book Antiqua"/>
          <w:b/>
          <w:bCs/>
        </w:rPr>
        <w:t xml:space="preserve">Open-Access: </w:t>
      </w:r>
      <w:r w:rsidRPr="00A4009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04C0B5" w14:textId="77777777" w:rsidR="000D2E46" w:rsidRPr="00A4009A" w:rsidRDefault="000D2E46">
      <w:pPr>
        <w:spacing w:line="360" w:lineRule="auto"/>
        <w:jc w:val="both"/>
      </w:pPr>
    </w:p>
    <w:p w14:paraId="5B61A85C" w14:textId="77777777" w:rsidR="000D2E46" w:rsidRPr="00A4009A" w:rsidRDefault="00000000">
      <w:pPr>
        <w:spacing w:line="360" w:lineRule="auto"/>
        <w:jc w:val="both"/>
        <w:rPr>
          <w:rFonts w:ascii="Book Antiqua" w:eastAsia="Book Antiqua" w:hAnsi="Book Antiqua" w:cs="Book Antiqua"/>
        </w:rPr>
      </w:pPr>
      <w:r w:rsidRPr="00A4009A">
        <w:rPr>
          <w:rFonts w:ascii="Book Antiqua" w:eastAsia="Book Antiqua" w:hAnsi="Book Antiqua" w:cs="Book Antiqua"/>
          <w:b/>
          <w:color w:val="000000"/>
        </w:rPr>
        <w:t xml:space="preserve">Provenance and peer review: </w:t>
      </w:r>
      <w:r w:rsidRPr="00A4009A">
        <w:rPr>
          <w:rFonts w:ascii="Book Antiqua" w:eastAsia="Book Antiqua" w:hAnsi="Book Antiqua" w:cs="Book Antiqua"/>
        </w:rPr>
        <w:t>Unsolicited article; Externally peer reviewed.</w:t>
      </w:r>
    </w:p>
    <w:p w14:paraId="4C84ABA3" w14:textId="77777777" w:rsidR="000D2E46" w:rsidRPr="00A4009A" w:rsidRDefault="000D2E46">
      <w:pPr>
        <w:spacing w:line="360" w:lineRule="auto"/>
        <w:jc w:val="both"/>
      </w:pPr>
    </w:p>
    <w:p w14:paraId="18B95A5E" w14:textId="77777777" w:rsidR="000D2E46" w:rsidRPr="00A4009A" w:rsidRDefault="00000000">
      <w:pPr>
        <w:spacing w:line="360" w:lineRule="auto"/>
        <w:jc w:val="both"/>
      </w:pPr>
      <w:r w:rsidRPr="00A4009A">
        <w:rPr>
          <w:rFonts w:ascii="Book Antiqua" w:eastAsia="Book Antiqua" w:hAnsi="Book Antiqua" w:cs="Book Antiqua"/>
          <w:b/>
          <w:color w:val="000000"/>
        </w:rPr>
        <w:t xml:space="preserve">Peer-review model: </w:t>
      </w:r>
      <w:r w:rsidRPr="00A4009A">
        <w:rPr>
          <w:rFonts w:ascii="Book Antiqua" w:eastAsia="Book Antiqua" w:hAnsi="Book Antiqua" w:cs="Book Antiqua"/>
        </w:rPr>
        <w:t>Single blind</w:t>
      </w:r>
    </w:p>
    <w:p w14:paraId="19CC8CEF" w14:textId="77777777" w:rsidR="000D2E46" w:rsidRPr="00A4009A" w:rsidRDefault="000D2E46">
      <w:pPr>
        <w:spacing w:line="360" w:lineRule="auto"/>
        <w:jc w:val="both"/>
      </w:pPr>
    </w:p>
    <w:p w14:paraId="57477CEC" w14:textId="77777777" w:rsidR="000D2E46" w:rsidRPr="00A4009A" w:rsidRDefault="00000000">
      <w:pPr>
        <w:spacing w:line="360" w:lineRule="auto"/>
        <w:jc w:val="both"/>
      </w:pPr>
      <w:r w:rsidRPr="00A4009A">
        <w:rPr>
          <w:rFonts w:ascii="Book Antiqua" w:eastAsia="Book Antiqua" w:hAnsi="Book Antiqua" w:cs="Book Antiqua"/>
          <w:b/>
          <w:color w:val="000000"/>
        </w:rPr>
        <w:t xml:space="preserve">Peer-review started: </w:t>
      </w:r>
      <w:r w:rsidRPr="00A4009A">
        <w:rPr>
          <w:rFonts w:ascii="Book Antiqua" w:eastAsia="Book Antiqua" w:hAnsi="Book Antiqua" w:cs="Book Antiqua"/>
        </w:rPr>
        <w:t>June 19, 2023</w:t>
      </w:r>
    </w:p>
    <w:p w14:paraId="6C904A3D" w14:textId="77777777" w:rsidR="000D2E46" w:rsidRPr="00A4009A" w:rsidRDefault="00000000">
      <w:pPr>
        <w:spacing w:line="360" w:lineRule="auto"/>
        <w:jc w:val="both"/>
      </w:pPr>
      <w:r w:rsidRPr="00A4009A">
        <w:rPr>
          <w:rFonts w:ascii="Book Antiqua" w:eastAsia="Book Antiqua" w:hAnsi="Book Antiqua" w:cs="Book Antiqua"/>
          <w:b/>
          <w:color w:val="000000"/>
        </w:rPr>
        <w:t xml:space="preserve">First decision: </w:t>
      </w:r>
      <w:r w:rsidRPr="00A4009A">
        <w:rPr>
          <w:rFonts w:ascii="Book Antiqua" w:eastAsia="Book Antiqua" w:hAnsi="Book Antiqua" w:cs="Book Antiqua"/>
        </w:rPr>
        <w:t>August 4, 2023</w:t>
      </w:r>
    </w:p>
    <w:p w14:paraId="767D0490" w14:textId="25E6849D" w:rsidR="000D2E46" w:rsidRPr="00A4009A" w:rsidRDefault="00000000">
      <w:pPr>
        <w:spacing w:line="360" w:lineRule="auto"/>
        <w:jc w:val="both"/>
      </w:pPr>
      <w:r w:rsidRPr="00A4009A">
        <w:rPr>
          <w:rFonts w:ascii="Book Antiqua" w:eastAsia="Book Antiqua" w:hAnsi="Book Antiqua" w:cs="Book Antiqua"/>
          <w:b/>
          <w:color w:val="000000"/>
        </w:rPr>
        <w:t xml:space="preserve">Article in press: </w:t>
      </w:r>
      <w:r w:rsidR="006914C1" w:rsidRPr="00A4009A">
        <w:rPr>
          <w:rFonts w:ascii="Book Antiqua" w:eastAsia="Book Antiqua" w:hAnsi="Book Antiqua" w:cs="Book Antiqua"/>
        </w:rPr>
        <w:t>September 25, 2023</w:t>
      </w:r>
    </w:p>
    <w:p w14:paraId="3524F2A3" w14:textId="77777777" w:rsidR="000D2E46" w:rsidRPr="00A4009A" w:rsidRDefault="000D2E46">
      <w:pPr>
        <w:spacing w:line="360" w:lineRule="auto"/>
        <w:jc w:val="both"/>
      </w:pPr>
    </w:p>
    <w:p w14:paraId="657D2776" w14:textId="77777777" w:rsidR="000D2E46" w:rsidRPr="00A4009A" w:rsidRDefault="00000000">
      <w:pPr>
        <w:spacing w:line="360" w:lineRule="auto"/>
        <w:jc w:val="both"/>
      </w:pPr>
      <w:r w:rsidRPr="00A4009A">
        <w:rPr>
          <w:rFonts w:ascii="Book Antiqua" w:eastAsia="Book Antiqua" w:hAnsi="Book Antiqua" w:cs="Book Antiqua"/>
          <w:b/>
          <w:color w:val="000000"/>
        </w:rPr>
        <w:t xml:space="preserve">Specialty type: </w:t>
      </w:r>
      <w:r w:rsidRPr="00A4009A">
        <w:rPr>
          <w:rFonts w:ascii="Book Antiqua" w:eastAsia="Book Antiqua" w:hAnsi="Book Antiqua" w:cs="Book Antiqua"/>
        </w:rPr>
        <w:t>Medicine, research and experimental</w:t>
      </w:r>
    </w:p>
    <w:p w14:paraId="0D5FC851" w14:textId="77777777" w:rsidR="000D2E46" w:rsidRPr="00A4009A" w:rsidRDefault="00000000">
      <w:pPr>
        <w:spacing w:line="360" w:lineRule="auto"/>
        <w:jc w:val="both"/>
      </w:pPr>
      <w:r w:rsidRPr="00A4009A">
        <w:rPr>
          <w:rFonts w:ascii="Book Antiqua" w:eastAsia="Book Antiqua" w:hAnsi="Book Antiqua" w:cs="Book Antiqua"/>
          <w:b/>
          <w:color w:val="000000"/>
        </w:rPr>
        <w:t xml:space="preserve">Country/Territory of origin: </w:t>
      </w:r>
      <w:r w:rsidRPr="00A4009A">
        <w:rPr>
          <w:rFonts w:ascii="Book Antiqua" w:eastAsia="Book Antiqua" w:hAnsi="Book Antiqua" w:cs="Book Antiqua"/>
        </w:rPr>
        <w:t>China</w:t>
      </w:r>
    </w:p>
    <w:p w14:paraId="2E9474DD" w14:textId="77777777" w:rsidR="000D2E46" w:rsidRPr="00A4009A" w:rsidRDefault="00000000">
      <w:pPr>
        <w:spacing w:line="360" w:lineRule="auto"/>
        <w:jc w:val="both"/>
      </w:pPr>
      <w:r w:rsidRPr="00A4009A">
        <w:rPr>
          <w:rFonts w:ascii="Book Antiqua" w:eastAsia="Book Antiqua" w:hAnsi="Book Antiqua" w:cs="Book Antiqua"/>
          <w:b/>
          <w:color w:val="000000"/>
        </w:rPr>
        <w:t>Peer-review report’s scientific quality classification</w:t>
      </w:r>
    </w:p>
    <w:p w14:paraId="105406EC" w14:textId="77777777" w:rsidR="000D2E46" w:rsidRPr="00A4009A" w:rsidRDefault="00000000">
      <w:pPr>
        <w:spacing w:line="360" w:lineRule="auto"/>
        <w:jc w:val="both"/>
      </w:pPr>
      <w:r w:rsidRPr="00A4009A">
        <w:rPr>
          <w:rFonts w:ascii="Book Antiqua" w:eastAsia="Book Antiqua" w:hAnsi="Book Antiqua" w:cs="Book Antiqua"/>
        </w:rPr>
        <w:t>Grade A (Excellent): 0</w:t>
      </w:r>
    </w:p>
    <w:p w14:paraId="029A4DE6" w14:textId="77777777" w:rsidR="000D2E46" w:rsidRPr="00A4009A" w:rsidRDefault="00000000">
      <w:pPr>
        <w:spacing w:line="360" w:lineRule="auto"/>
        <w:jc w:val="both"/>
      </w:pPr>
      <w:r w:rsidRPr="00A4009A">
        <w:rPr>
          <w:rFonts w:ascii="Book Antiqua" w:eastAsia="Book Antiqua" w:hAnsi="Book Antiqua" w:cs="Book Antiqua"/>
        </w:rPr>
        <w:lastRenderedPageBreak/>
        <w:t>Grade B (Very good): B</w:t>
      </w:r>
    </w:p>
    <w:p w14:paraId="74AB32F0" w14:textId="77777777" w:rsidR="000D2E46" w:rsidRPr="00A4009A" w:rsidRDefault="00000000">
      <w:pPr>
        <w:spacing w:line="360" w:lineRule="auto"/>
        <w:jc w:val="both"/>
      </w:pPr>
      <w:r w:rsidRPr="00A4009A">
        <w:rPr>
          <w:rFonts w:ascii="Book Antiqua" w:eastAsia="Book Antiqua" w:hAnsi="Book Antiqua" w:cs="Book Antiqua"/>
        </w:rPr>
        <w:t>Grade C (Good): C</w:t>
      </w:r>
    </w:p>
    <w:p w14:paraId="66CE1ED8" w14:textId="77777777" w:rsidR="000D2E46" w:rsidRPr="00A4009A" w:rsidRDefault="00000000">
      <w:pPr>
        <w:spacing w:line="360" w:lineRule="auto"/>
        <w:jc w:val="both"/>
      </w:pPr>
      <w:r w:rsidRPr="00A4009A">
        <w:rPr>
          <w:rFonts w:ascii="Book Antiqua" w:eastAsia="Book Antiqua" w:hAnsi="Book Antiqua" w:cs="Book Antiqua"/>
        </w:rPr>
        <w:t>Grade D (Fair): D</w:t>
      </w:r>
    </w:p>
    <w:p w14:paraId="0C822667" w14:textId="77777777" w:rsidR="000D2E46" w:rsidRPr="00A4009A" w:rsidRDefault="00000000">
      <w:pPr>
        <w:spacing w:line="360" w:lineRule="auto"/>
        <w:jc w:val="both"/>
      </w:pPr>
      <w:r w:rsidRPr="00A4009A">
        <w:rPr>
          <w:rFonts w:ascii="Book Antiqua" w:eastAsia="Book Antiqua" w:hAnsi="Book Antiqua" w:cs="Book Antiqua"/>
        </w:rPr>
        <w:t>Grade E (Poor): 0</w:t>
      </w:r>
    </w:p>
    <w:p w14:paraId="78080067" w14:textId="77777777" w:rsidR="000D2E46" w:rsidRPr="00A4009A" w:rsidRDefault="000D2E46">
      <w:pPr>
        <w:spacing w:line="360" w:lineRule="auto"/>
        <w:jc w:val="both"/>
      </w:pPr>
    </w:p>
    <w:p w14:paraId="0508FB7A" w14:textId="77777777" w:rsidR="000D2E46" w:rsidRPr="00A4009A" w:rsidRDefault="00000000">
      <w:pPr>
        <w:spacing w:line="360" w:lineRule="auto"/>
        <w:jc w:val="both"/>
        <w:rPr>
          <w:rFonts w:ascii="Book Antiqua" w:eastAsia="Book Antiqua" w:hAnsi="Book Antiqua" w:cs="Book Antiqua"/>
          <w:bCs/>
          <w:color w:val="000000"/>
        </w:rPr>
      </w:pPr>
      <w:r w:rsidRPr="00A4009A">
        <w:rPr>
          <w:rFonts w:ascii="Book Antiqua" w:eastAsia="Book Antiqua" w:hAnsi="Book Antiqua" w:cs="Book Antiqua"/>
          <w:b/>
          <w:color w:val="000000"/>
        </w:rPr>
        <w:t xml:space="preserve">P-Reviewer: </w:t>
      </w:r>
      <w:r w:rsidRPr="00A4009A">
        <w:rPr>
          <w:rFonts w:ascii="Book Antiqua" w:eastAsia="Book Antiqua" w:hAnsi="Book Antiqua" w:cs="Book Antiqua"/>
        </w:rPr>
        <w:t>Emran TB, Bangladesh; Yeoh SW, Australia</w:t>
      </w:r>
      <w:r w:rsidRPr="00A4009A">
        <w:rPr>
          <w:rFonts w:ascii="Book Antiqua" w:eastAsia="Book Antiqua" w:hAnsi="Book Antiqua" w:cs="Book Antiqua"/>
          <w:b/>
          <w:color w:val="000000"/>
        </w:rPr>
        <w:t xml:space="preserve"> S-Editor: </w:t>
      </w:r>
      <w:r w:rsidRPr="00A4009A">
        <w:rPr>
          <w:rFonts w:ascii="Book Antiqua" w:eastAsia="Book Antiqua" w:hAnsi="Book Antiqua" w:cs="Book Antiqua"/>
          <w:bCs/>
          <w:color w:val="000000"/>
        </w:rPr>
        <w:t>Lin C</w:t>
      </w:r>
      <w:r w:rsidRPr="00A4009A">
        <w:rPr>
          <w:rFonts w:ascii="Book Antiqua" w:eastAsia="Book Antiqua" w:hAnsi="Book Antiqua" w:cs="Book Antiqua"/>
          <w:b/>
          <w:color w:val="000000"/>
        </w:rPr>
        <w:t xml:space="preserve"> L-Editor: </w:t>
      </w:r>
      <w:r w:rsidRPr="00A4009A">
        <w:rPr>
          <w:rFonts w:ascii="Book Antiqua" w:hAnsi="Book Antiqua" w:cs="Book Antiqua" w:hint="eastAsia"/>
          <w:color w:val="000000"/>
          <w:lang w:eastAsia="zh-CN"/>
        </w:rPr>
        <w:t>Ma JY</w:t>
      </w:r>
      <w:r w:rsidRPr="00A4009A">
        <w:rPr>
          <w:rFonts w:ascii="Book Antiqua" w:hAnsi="Book Antiqua" w:cs="Book Antiqua" w:hint="eastAsia"/>
          <w:b/>
          <w:color w:val="000000"/>
          <w:lang w:eastAsia="zh-CN"/>
        </w:rPr>
        <w:t xml:space="preserve"> </w:t>
      </w:r>
      <w:r w:rsidRPr="00A4009A">
        <w:rPr>
          <w:rFonts w:ascii="Book Antiqua" w:eastAsia="Book Antiqua" w:hAnsi="Book Antiqua" w:cs="Book Antiqua"/>
          <w:b/>
          <w:color w:val="000000"/>
        </w:rPr>
        <w:t xml:space="preserve">P-Editor: </w:t>
      </w:r>
      <w:r w:rsidR="00F70D58" w:rsidRPr="00A4009A">
        <w:rPr>
          <w:rFonts w:ascii="Book Antiqua" w:eastAsia="Book Antiqua" w:hAnsi="Book Antiqua" w:cs="Book Antiqua"/>
          <w:bCs/>
          <w:color w:val="000000"/>
        </w:rPr>
        <w:t>Lin C</w:t>
      </w:r>
    </w:p>
    <w:p w14:paraId="66045817" w14:textId="7301BF2B" w:rsidR="00F70D58" w:rsidRPr="00A4009A" w:rsidRDefault="00F70D58">
      <w:pPr>
        <w:spacing w:line="360" w:lineRule="auto"/>
        <w:jc w:val="both"/>
        <w:sectPr w:rsidR="00F70D58" w:rsidRPr="00A4009A">
          <w:pgSz w:w="12240" w:h="15840"/>
          <w:pgMar w:top="1440" w:right="1440" w:bottom="1440" w:left="1440" w:header="720" w:footer="720" w:gutter="0"/>
          <w:cols w:space="720"/>
          <w:docGrid w:linePitch="360"/>
        </w:sectPr>
      </w:pPr>
    </w:p>
    <w:p w14:paraId="4FB4611E" w14:textId="77777777" w:rsidR="000D2E46" w:rsidRPr="00A4009A" w:rsidRDefault="00000000">
      <w:pPr>
        <w:spacing w:line="360" w:lineRule="auto"/>
        <w:jc w:val="both"/>
        <w:rPr>
          <w:rFonts w:ascii="Book Antiqua" w:eastAsia="Book Antiqua" w:hAnsi="Book Antiqua" w:cs="Book Antiqua"/>
          <w:b/>
          <w:color w:val="000000"/>
        </w:rPr>
      </w:pPr>
      <w:r w:rsidRPr="00A4009A">
        <w:rPr>
          <w:rFonts w:ascii="Book Antiqua" w:eastAsia="Book Antiqua" w:hAnsi="Book Antiqua" w:cs="Book Antiqua"/>
          <w:b/>
          <w:color w:val="000000"/>
        </w:rPr>
        <w:lastRenderedPageBreak/>
        <w:t>Figure Legends</w:t>
      </w:r>
    </w:p>
    <w:p w14:paraId="55FE91EA" w14:textId="45AA14ED" w:rsidR="000D2E46" w:rsidRPr="00A4009A" w:rsidRDefault="002D7EC5">
      <w:pPr>
        <w:spacing w:line="360" w:lineRule="auto"/>
        <w:jc w:val="both"/>
      </w:pPr>
      <w:r>
        <w:rPr>
          <w:noProof/>
        </w:rPr>
        <w:drawing>
          <wp:inline distT="0" distB="0" distL="0" distR="0" wp14:anchorId="67B784E5" wp14:editId="28F19F04">
            <wp:extent cx="5939155" cy="3313430"/>
            <wp:effectExtent l="0" t="0" r="4445" b="1270"/>
            <wp:docPr id="1673167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3313430"/>
                    </a:xfrm>
                    <a:prstGeom prst="rect">
                      <a:avLst/>
                    </a:prstGeom>
                    <a:noFill/>
                    <a:ln>
                      <a:noFill/>
                    </a:ln>
                  </pic:spPr>
                </pic:pic>
              </a:graphicData>
            </a:graphic>
          </wp:inline>
        </w:drawing>
      </w:r>
    </w:p>
    <w:p w14:paraId="2230ABEE" w14:textId="7FF5581C" w:rsidR="000D2E46" w:rsidRPr="00A4009A" w:rsidRDefault="00000000">
      <w:pPr>
        <w:spacing w:line="360" w:lineRule="auto"/>
        <w:jc w:val="both"/>
        <w:rPr>
          <w:rFonts w:ascii="Book Antiqua" w:eastAsia="Book Antiqua" w:hAnsi="Book Antiqua" w:cs="Book Antiqua"/>
        </w:rPr>
      </w:pPr>
      <w:r w:rsidRPr="00A4009A">
        <w:rPr>
          <w:rFonts w:ascii="Book Antiqua" w:eastAsia="Book Antiqua" w:hAnsi="Book Antiqua" w:cs="Book Antiqua"/>
          <w:b/>
          <w:bCs/>
        </w:rPr>
        <w:t xml:space="preserve">Figure 1 Chronological computed tomography of the chest demonstrating changes in the lungs. </w:t>
      </w:r>
      <w:r w:rsidRPr="00A4009A">
        <w:rPr>
          <w:rFonts w:ascii="Book Antiqua" w:eastAsia="Book Antiqua" w:hAnsi="Book Antiqua" w:cs="Book Antiqua"/>
        </w:rPr>
        <w:t>A</w:t>
      </w:r>
      <w:r w:rsidR="0031536D" w:rsidRPr="00A4009A">
        <w:rPr>
          <w:rFonts w:ascii="Book Antiqua" w:eastAsia="Book Antiqua" w:hAnsi="Book Antiqua" w:cs="Book Antiqua"/>
        </w:rPr>
        <w:t>-</w:t>
      </w:r>
      <w:r w:rsidR="00805D3D" w:rsidRPr="00A4009A">
        <w:rPr>
          <w:rFonts w:ascii="Book Antiqua" w:eastAsia="Book Antiqua" w:hAnsi="Book Antiqua" w:cs="Book Antiqua"/>
        </w:rPr>
        <w:t>C</w:t>
      </w:r>
      <w:r w:rsidRPr="00A4009A">
        <w:rPr>
          <w:rFonts w:ascii="Book Antiqua" w:eastAsia="Book Antiqua" w:hAnsi="Book Antiqua" w:cs="Book Antiqua"/>
        </w:rPr>
        <w:t xml:space="preserve">: Multiple large uneven ground glass shadows in the lower lobe of the right lung, with grid shadows visible inside, close to the pleura, as shown on a computed tomography on November 6, 2022; </w:t>
      </w:r>
      <w:r w:rsidR="00805D3D" w:rsidRPr="00A4009A">
        <w:rPr>
          <w:rFonts w:ascii="Book Antiqua" w:eastAsia="宋体" w:hAnsi="Book Antiqua" w:cs="Book Antiqua"/>
          <w:lang w:eastAsia="zh-CN"/>
        </w:rPr>
        <w:t>D</w:t>
      </w:r>
      <w:r w:rsidR="0031536D" w:rsidRPr="00A4009A">
        <w:rPr>
          <w:rFonts w:ascii="Book Antiqua" w:eastAsia="宋体" w:hAnsi="Book Antiqua" w:cs="Book Antiqua"/>
          <w:lang w:eastAsia="zh-CN"/>
        </w:rPr>
        <w:t>-</w:t>
      </w:r>
      <w:r w:rsidR="00805D3D" w:rsidRPr="00A4009A">
        <w:rPr>
          <w:rFonts w:ascii="Book Antiqua" w:eastAsia="宋体" w:hAnsi="Book Antiqua" w:cs="Book Antiqua"/>
          <w:lang w:eastAsia="zh-CN"/>
        </w:rPr>
        <w:t>F</w:t>
      </w:r>
      <w:r w:rsidRPr="00A4009A">
        <w:rPr>
          <w:rFonts w:ascii="Book Antiqua" w:eastAsia="Book Antiqua" w:hAnsi="Book Antiqua" w:cs="Book Antiqua"/>
        </w:rPr>
        <w:t>: The patchy and ground glass shadows in the lesion of the lower lobe of the right lung were clearly resolved on November 16, 2022.</w:t>
      </w:r>
    </w:p>
    <w:p w14:paraId="40408ED8" w14:textId="77777777" w:rsidR="000D2E46" w:rsidRPr="00A4009A" w:rsidRDefault="000D2E46">
      <w:pPr>
        <w:spacing w:line="360" w:lineRule="auto"/>
        <w:jc w:val="both"/>
        <w:rPr>
          <w:rFonts w:ascii="Book Antiqua" w:eastAsia="Book Antiqua" w:hAnsi="Book Antiqua" w:cs="Book Antiqua"/>
        </w:rPr>
      </w:pPr>
    </w:p>
    <w:p w14:paraId="4444A700" w14:textId="77777777" w:rsidR="00211979" w:rsidRPr="00A4009A" w:rsidRDefault="00211979">
      <w:pPr>
        <w:rPr>
          <w:rFonts w:ascii="Book Antiqua" w:hAnsi="Book Antiqua" w:cs="Tahoma"/>
          <w:b/>
          <w:bCs/>
        </w:rPr>
      </w:pPr>
      <w:r w:rsidRPr="00A4009A">
        <w:rPr>
          <w:rFonts w:ascii="Book Antiqua" w:hAnsi="Book Antiqua" w:cs="Tahoma"/>
          <w:b/>
          <w:bCs/>
        </w:rPr>
        <w:br w:type="page"/>
      </w:r>
    </w:p>
    <w:p w14:paraId="07B4D5F4" w14:textId="27ECD8C4" w:rsidR="000D2E46" w:rsidRPr="00A4009A" w:rsidRDefault="00000000">
      <w:pPr>
        <w:adjustRightInd w:val="0"/>
        <w:snapToGrid w:val="0"/>
        <w:spacing w:line="360" w:lineRule="auto"/>
        <w:jc w:val="both"/>
        <w:rPr>
          <w:rFonts w:ascii="Book Antiqua" w:hAnsi="Book Antiqua" w:cs="Tahoma"/>
          <w:b/>
          <w:bCs/>
        </w:rPr>
      </w:pPr>
      <w:r w:rsidRPr="00A4009A">
        <w:rPr>
          <w:rFonts w:ascii="Book Antiqua" w:hAnsi="Book Antiqua" w:cs="Tahoma"/>
          <w:b/>
          <w:bCs/>
        </w:rPr>
        <w:lastRenderedPageBreak/>
        <w:t>Table 1 Results of blood tests on admission</w:t>
      </w:r>
    </w:p>
    <w:tbl>
      <w:tblPr>
        <w:tblStyle w:val="a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701"/>
        <w:gridCol w:w="2409"/>
      </w:tblGrid>
      <w:tr w:rsidR="000D2E46" w:rsidRPr="00A4009A" w14:paraId="276855D5" w14:textId="77777777" w:rsidTr="00211979">
        <w:tc>
          <w:tcPr>
            <w:tcW w:w="4503" w:type="dxa"/>
            <w:tcBorders>
              <w:top w:val="single" w:sz="4" w:space="0" w:color="auto"/>
              <w:bottom w:val="single" w:sz="4" w:space="0" w:color="auto"/>
            </w:tcBorders>
          </w:tcPr>
          <w:p w14:paraId="3F80B12E" w14:textId="77777777" w:rsidR="000D2E46" w:rsidRPr="00A4009A" w:rsidRDefault="00000000">
            <w:pPr>
              <w:adjustRightInd w:val="0"/>
              <w:snapToGrid w:val="0"/>
              <w:spacing w:line="360" w:lineRule="auto"/>
              <w:jc w:val="both"/>
              <w:rPr>
                <w:rFonts w:ascii="Book Antiqua" w:hAnsi="Book Antiqua" w:cs="Tahoma"/>
                <w:b/>
                <w:bCs/>
                <w:lang w:eastAsia="zh-CN"/>
              </w:rPr>
            </w:pPr>
            <w:r w:rsidRPr="00A4009A">
              <w:rPr>
                <w:rFonts w:ascii="Book Antiqua" w:hAnsi="Book Antiqua" w:cs="Tahoma"/>
                <w:b/>
                <w:bCs/>
                <w:lang w:eastAsia="zh-CN"/>
              </w:rPr>
              <w:t>Blood test</w:t>
            </w:r>
            <w:r w:rsidRPr="00A4009A">
              <w:rPr>
                <w:rFonts w:ascii="Book Antiqua" w:hAnsi="Book Antiqua" w:cs="Tahoma" w:hint="eastAsia"/>
                <w:b/>
                <w:bCs/>
                <w:lang w:eastAsia="zh-CN"/>
              </w:rPr>
              <w:t>s</w:t>
            </w:r>
          </w:p>
        </w:tc>
        <w:tc>
          <w:tcPr>
            <w:tcW w:w="1701" w:type="dxa"/>
            <w:tcBorders>
              <w:top w:val="single" w:sz="4" w:space="0" w:color="auto"/>
              <w:bottom w:val="single" w:sz="4" w:space="0" w:color="auto"/>
            </w:tcBorders>
          </w:tcPr>
          <w:p w14:paraId="471A0CC0" w14:textId="77777777" w:rsidR="000D2E46" w:rsidRPr="00A4009A" w:rsidRDefault="00000000">
            <w:pPr>
              <w:adjustRightInd w:val="0"/>
              <w:snapToGrid w:val="0"/>
              <w:spacing w:line="360" w:lineRule="auto"/>
              <w:jc w:val="both"/>
              <w:rPr>
                <w:rFonts w:ascii="Book Antiqua" w:hAnsi="Book Antiqua" w:cs="Tahoma"/>
                <w:b/>
                <w:bCs/>
                <w:lang w:eastAsia="zh-CN"/>
              </w:rPr>
            </w:pPr>
            <w:r w:rsidRPr="00A4009A">
              <w:rPr>
                <w:rFonts w:ascii="Book Antiqua" w:hAnsi="Book Antiqua" w:cs="Tahoma"/>
                <w:b/>
                <w:bCs/>
                <w:lang w:eastAsia="zh-CN"/>
              </w:rPr>
              <w:t>Result</w:t>
            </w:r>
            <w:r w:rsidRPr="00A4009A">
              <w:rPr>
                <w:rFonts w:ascii="Book Antiqua" w:hAnsi="Book Antiqua" w:cs="Tahoma" w:hint="eastAsia"/>
                <w:b/>
                <w:bCs/>
                <w:lang w:eastAsia="zh-CN"/>
              </w:rPr>
              <w:t>s</w:t>
            </w:r>
          </w:p>
        </w:tc>
        <w:tc>
          <w:tcPr>
            <w:tcW w:w="2409" w:type="dxa"/>
            <w:tcBorders>
              <w:top w:val="single" w:sz="4" w:space="0" w:color="auto"/>
              <w:bottom w:val="single" w:sz="4" w:space="0" w:color="auto"/>
            </w:tcBorders>
          </w:tcPr>
          <w:p w14:paraId="4D67EFD3" w14:textId="77777777" w:rsidR="000D2E46" w:rsidRPr="00A4009A" w:rsidRDefault="00000000">
            <w:pPr>
              <w:adjustRightInd w:val="0"/>
              <w:snapToGrid w:val="0"/>
              <w:spacing w:line="360" w:lineRule="auto"/>
              <w:jc w:val="both"/>
              <w:rPr>
                <w:rFonts w:ascii="Book Antiqua" w:hAnsi="Book Antiqua" w:cs="Tahoma"/>
                <w:b/>
                <w:bCs/>
                <w:lang w:eastAsia="zh-CN"/>
              </w:rPr>
            </w:pPr>
            <w:r w:rsidRPr="00A4009A">
              <w:rPr>
                <w:rFonts w:ascii="Book Antiqua" w:hAnsi="Book Antiqua" w:cs="Tahoma"/>
                <w:b/>
                <w:bCs/>
                <w:lang w:eastAsia="zh-CN"/>
              </w:rPr>
              <w:t>Normal range</w:t>
            </w:r>
          </w:p>
        </w:tc>
      </w:tr>
      <w:tr w:rsidR="000D2E46" w:rsidRPr="00A4009A" w14:paraId="544DBB7D" w14:textId="77777777" w:rsidTr="00211979">
        <w:trPr>
          <w:trHeight w:val="330"/>
        </w:trPr>
        <w:tc>
          <w:tcPr>
            <w:tcW w:w="4503" w:type="dxa"/>
            <w:tcBorders>
              <w:top w:val="single" w:sz="4" w:space="0" w:color="auto"/>
            </w:tcBorders>
          </w:tcPr>
          <w:p w14:paraId="68B1A099"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White blood cells (/L)</w:t>
            </w:r>
          </w:p>
        </w:tc>
        <w:tc>
          <w:tcPr>
            <w:tcW w:w="1701" w:type="dxa"/>
            <w:tcBorders>
              <w:top w:val="single" w:sz="4" w:space="0" w:color="auto"/>
            </w:tcBorders>
          </w:tcPr>
          <w:p w14:paraId="016AEDB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5.78 × 10</w:t>
            </w:r>
            <w:r w:rsidRPr="00A4009A">
              <w:rPr>
                <w:rFonts w:ascii="Book Antiqua" w:hAnsi="Book Antiqua" w:cs="Tahoma"/>
                <w:vertAlign w:val="superscript"/>
                <w:lang w:eastAsia="zh-CN"/>
              </w:rPr>
              <w:t>9</w:t>
            </w:r>
          </w:p>
        </w:tc>
        <w:tc>
          <w:tcPr>
            <w:tcW w:w="2409" w:type="dxa"/>
            <w:tcBorders>
              <w:top w:val="single" w:sz="4" w:space="0" w:color="auto"/>
            </w:tcBorders>
          </w:tcPr>
          <w:p w14:paraId="7E2E610A" w14:textId="77777777" w:rsidR="000D2E46" w:rsidRPr="00A4009A" w:rsidRDefault="00000000">
            <w:pPr>
              <w:adjustRightInd w:val="0"/>
              <w:snapToGrid w:val="0"/>
              <w:spacing w:line="360" w:lineRule="auto"/>
              <w:jc w:val="both"/>
              <w:rPr>
                <w:rFonts w:ascii="Book Antiqua" w:hAnsi="Book Antiqua" w:cs="Tahoma"/>
                <w:lang w:eastAsia="zh-CN"/>
              </w:rPr>
            </w:pPr>
            <w:r w:rsidRPr="00A4009A">
              <w:rPr>
                <w:rFonts w:ascii="Book Antiqua" w:hAnsi="Book Antiqua" w:cs="Tahoma"/>
                <w:lang w:eastAsia="zh-CN"/>
              </w:rPr>
              <w:t>3.5 × 10</w:t>
            </w:r>
            <w:r w:rsidRPr="00A4009A">
              <w:rPr>
                <w:rFonts w:ascii="Book Antiqua" w:hAnsi="Book Antiqua" w:cs="Tahoma"/>
                <w:vertAlign w:val="superscript"/>
                <w:lang w:eastAsia="zh-CN"/>
              </w:rPr>
              <w:t>9</w:t>
            </w:r>
            <w:r w:rsidRPr="00A4009A">
              <w:rPr>
                <w:rFonts w:ascii="Book Antiqua" w:hAnsi="Book Antiqua" w:cs="Tahoma"/>
                <w:lang w:eastAsia="zh-CN"/>
              </w:rPr>
              <w:t>-9.5 × 10</w:t>
            </w:r>
            <w:r w:rsidRPr="00A4009A">
              <w:rPr>
                <w:rFonts w:ascii="Book Antiqua" w:hAnsi="Book Antiqua" w:cs="Tahoma"/>
                <w:vertAlign w:val="superscript"/>
                <w:lang w:eastAsia="zh-CN"/>
              </w:rPr>
              <w:t>9</w:t>
            </w:r>
          </w:p>
        </w:tc>
      </w:tr>
      <w:tr w:rsidR="000D2E46" w:rsidRPr="00A4009A" w14:paraId="586AFE32" w14:textId="77777777">
        <w:trPr>
          <w:trHeight w:val="319"/>
        </w:trPr>
        <w:tc>
          <w:tcPr>
            <w:tcW w:w="4503" w:type="dxa"/>
          </w:tcPr>
          <w:p w14:paraId="451E7D5B"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Neutrophils (%)</w:t>
            </w:r>
          </w:p>
        </w:tc>
        <w:tc>
          <w:tcPr>
            <w:tcW w:w="1701" w:type="dxa"/>
          </w:tcPr>
          <w:p w14:paraId="3DBBE8D2"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70.5</w:t>
            </w:r>
          </w:p>
        </w:tc>
        <w:tc>
          <w:tcPr>
            <w:tcW w:w="2409" w:type="dxa"/>
          </w:tcPr>
          <w:p w14:paraId="6CDF952E"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40.0-75.0</w:t>
            </w:r>
          </w:p>
        </w:tc>
      </w:tr>
      <w:tr w:rsidR="000D2E46" w:rsidRPr="00A4009A" w14:paraId="569EA1BB" w14:textId="77777777">
        <w:trPr>
          <w:trHeight w:val="319"/>
        </w:trPr>
        <w:tc>
          <w:tcPr>
            <w:tcW w:w="4503" w:type="dxa"/>
          </w:tcPr>
          <w:p w14:paraId="1BA6A101"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Lymphocytes (%)</w:t>
            </w:r>
          </w:p>
        </w:tc>
        <w:tc>
          <w:tcPr>
            <w:tcW w:w="1701" w:type="dxa"/>
          </w:tcPr>
          <w:p w14:paraId="627B58DC"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22.2</w:t>
            </w:r>
          </w:p>
        </w:tc>
        <w:tc>
          <w:tcPr>
            <w:tcW w:w="2409" w:type="dxa"/>
          </w:tcPr>
          <w:p w14:paraId="310CE449"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20.0-50.0</w:t>
            </w:r>
          </w:p>
        </w:tc>
      </w:tr>
      <w:tr w:rsidR="000D2E46" w:rsidRPr="00A4009A" w14:paraId="6D507769" w14:textId="77777777">
        <w:trPr>
          <w:trHeight w:val="319"/>
        </w:trPr>
        <w:tc>
          <w:tcPr>
            <w:tcW w:w="4503" w:type="dxa"/>
          </w:tcPr>
          <w:p w14:paraId="1EAF5B4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Red blood cells (/L)</w:t>
            </w:r>
          </w:p>
        </w:tc>
        <w:tc>
          <w:tcPr>
            <w:tcW w:w="1701" w:type="dxa"/>
          </w:tcPr>
          <w:p w14:paraId="484D6C3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4.2 × 10</w:t>
            </w:r>
            <w:r w:rsidRPr="00A4009A">
              <w:rPr>
                <w:rFonts w:ascii="Book Antiqua" w:hAnsi="Book Antiqua" w:cs="Tahoma"/>
                <w:vertAlign w:val="superscript"/>
                <w:lang w:eastAsia="zh-CN"/>
              </w:rPr>
              <w:t>12</w:t>
            </w:r>
          </w:p>
        </w:tc>
        <w:tc>
          <w:tcPr>
            <w:tcW w:w="2409" w:type="dxa"/>
          </w:tcPr>
          <w:p w14:paraId="5D3C4C85"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3.8 × 10</w:t>
            </w:r>
            <w:r w:rsidRPr="00A4009A">
              <w:rPr>
                <w:rFonts w:ascii="Book Antiqua" w:hAnsi="Book Antiqua" w:cs="Tahoma"/>
                <w:vertAlign w:val="superscript"/>
                <w:lang w:eastAsia="zh-CN"/>
              </w:rPr>
              <w:t>12</w:t>
            </w:r>
            <w:r w:rsidRPr="00A4009A">
              <w:rPr>
                <w:rFonts w:ascii="Book Antiqua" w:hAnsi="Book Antiqua" w:cs="Tahoma"/>
                <w:lang w:eastAsia="zh-CN"/>
              </w:rPr>
              <w:t>-5.1 × 10</w:t>
            </w:r>
            <w:r w:rsidRPr="00A4009A">
              <w:rPr>
                <w:rFonts w:ascii="Book Antiqua" w:hAnsi="Book Antiqua" w:cs="Tahoma"/>
                <w:vertAlign w:val="superscript"/>
                <w:lang w:eastAsia="zh-CN"/>
              </w:rPr>
              <w:t>12</w:t>
            </w:r>
          </w:p>
        </w:tc>
      </w:tr>
      <w:tr w:rsidR="000D2E46" w:rsidRPr="00A4009A" w14:paraId="2600CB14" w14:textId="77777777">
        <w:trPr>
          <w:trHeight w:val="319"/>
        </w:trPr>
        <w:tc>
          <w:tcPr>
            <w:tcW w:w="4503" w:type="dxa"/>
          </w:tcPr>
          <w:p w14:paraId="4301E2F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Haemoglobin (g/L)</w:t>
            </w:r>
          </w:p>
        </w:tc>
        <w:tc>
          <w:tcPr>
            <w:tcW w:w="1701" w:type="dxa"/>
          </w:tcPr>
          <w:p w14:paraId="3A6D0642"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119</w:t>
            </w:r>
          </w:p>
        </w:tc>
        <w:tc>
          <w:tcPr>
            <w:tcW w:w="2409" w:type="dxa"/>
          </w:tcPr>
          <w:p w14:paraId="0395D45E"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115-150</w:t>
            </w:r>
          </w:p>
        </w:tc>
      </w:tr>
      <w:tr w:rsidR="000D2E46" w:rsidRPr="00A4009A" w14:paraId="1C5AF3C8" w14:textId="77777777">
        <w:trPr>
          <w:trHeight w:val="319"/>
        </w:trPr>
        <w:tc>
          <w:tcPr>
            <w:tcW w:w="4503" w:type="dxa"/>
          </w:tcPr>
          <w:p w14:paraId="077B8933"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Platelets (/L)</w:t>
            </w:r>
          </w:p>
        </w:tc>
        <w:tc>
          <w:tcPr>
            <w:tcW w:w="1701" w:type="dxa"/>
          </w:tcPr>
          <w:p w14:paraId="294B0F3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186 × 10</w:t>
            </w:r>
            <w:r w:rsidRPr="00A4009A">
              <w:rPr>
                <w:rFonts w:ascii="Book Antiqua" w:hAnsi="Book Antiqua" w:cs="Tahoma"/>
                <w:vertAlign w:val="superscript"/>
                <w:lang w:eastAsia="zh-CN"/>
              </w:rPr>
              <w:t>9</w:t>
            </w:r>
          </w:p>
        </w:tc>
        <w:tc>
          <w:tcPr>
            <w:tcW w:w="2409" w:type="dxa"/>
          </w:tcPr>
          <w:p w14:paraId="3F9398D5"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125 × 10</w:t>
            </w:r>
            <w:r w:rsidRPr="00A4009A">
              <w:rPr>
                <w:rFonts w:ascii="Book Antiqua" w:hAnsi="Book Antiqua" w:cs="Tahoma"/>
                <w:vertAlign w:val="superscript"/>
                <w:lang w:eastAsia="zh-CN"/>
              </w:rPr>
              <w:t>9</w:t>
            </w:r>
            <w:r w:rsidRPr="00A4009A">
              <w:rPr>
                <w:rFonts w:ascii="Book Antiqua" w:hAnsi="Book Antiqua" w:cs="Tahoma"/>
                <w:lang w:eastAsia="zh-CN"/>
              </w:rPr>
              <w:t>-350 × 10</w:t>
            </w:r>
            <w:r w:rsidRPr="00A4009A">
              <w:rPr>
                <w:rFonts w:ascii="Book Antiqua" w:hAnsi="Book Antiqua" w:cs="Tahoma"/>
                <w:vertAlign w:val="superscript"/>
                <w:lang w:eastAsia="zh-CN"/>
              </w:rPr>
              <w:t>9</w:t>
            </w:r>
          </w:p>
        </w:tc>
      </w:tr>
      <w:tr w:rsidR="000D2E46" w:rsidRPr="00A4009A" w14:paraId="225490ED" w14:textId="77777777">
        <w:trPr>
          <w:trHeight w:val="319"/>
        </w:trPr>
        <w:tc>
          <w:tcPr>
            <w:tcW w:w="4503" w:type="dxa"/>
          </w:tcPr>
          <w:p w14:paraId="6846EF4F"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Total protein (g/L)</w:t>
            </w:r>
          </w:p>
        </w:tc>
        <w:tc>
          <w:tcPr>
            <w:tcW w:w="1701" w:type="dxa"/>
          </w:tcPr>
          <w:p w14:paraId="0457979F"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68.9</w:t>
            </w:r>
          </w:p>
        </w:tc>
        <w:tc>
          <w:tcPr>
            <w:tcW w:w="2409" w:type="dxa"/>
          </w:tcPr>
          <w:p w14:paraId="2F607426"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65.0-85.0</w:t>
            </w:r>
          </w:p>
        </w:tc>
      </w:tr>
      <w:tr w:rsidR="000D2E46" w:rsidRPr="00A4009A" w14:paraId="5BAA2A44" w14:textId="77777777">
        <w:trPr>
          <w:trHeight w:val="319"/>
        </w:trPr>
        <w:tc>
          <w:tcPr>
            <w:tcW w:w="4503" w:type="dxa"/>
          </w:tcPr>
          <w:p w14:paraId="214893A4"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Albumin (g/L)</w:t>
            </w:r>
          </w:p>
        </w:tc>
        <w:tc>
          <w:tcPr>
            <w:tcW w:w="1701" w:type="dxa"/>
          </w:tcPr>
          <w:p w14:paraId="7854AF4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42.0</w:t>
            </w:r>
          </w:p>
        </w:tc>
        <w:tc>
          <w:tcPr>
            <w:tcW w:w="2409" w:type="dxa"/>
          </w:tcPr>
          <w:p w14:paraId="63D41EB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40.0-55.0</w:t>
            </w:r>
          </w:p>
        </w:tc>
      </w:tr>
      <w:tr w:rsidR="000D2E46" w:rsidRPr="00A4009A" w14:paraId="0D5718D3" w14:textId="77777777">
        <w:trPr>
          <w:trHeight w:val="319"/>
        </w:trPr>
        <w:tc>
          <w:tcPr>
            <w:tcW w:w="4503" w:type="dxa"/>
          </w:tcPr>
          <w:p w14:paraId="2A2454DC"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Total bilirubin (umol/L)</w:t>
            </w:r>
          </w:p>
        </w:tc>
        <w:tc>
          <w:tcPr>
            <w:tcW w:w="1701" w:type="dxa"/>
          </w:tcPr>
          <w:p w14:paraId="4ED853D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16.3</w:t>
            </w:r>
          </w:p>
        </w:tc>
        <w:tc>
          <w:tcPr>
            <w:tcW w:w="2409" w:type="dxa"/>
          </w:tcPr>
          <w:p w14:paraId="5C142EDF"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&lt; 23.0</w:t>
            </w:r>
          </w:p>
        </w:tc>
      </w:tr>
      <w:tr w:rsidR="000D2E46" w:rsidRPr="00A4009A" w14:paraId="16D55447" w14:textId="77777777">
        <w:trPr>
          <w:trHeight w:val="319"/>
        </w:trPr>
        <w:tc>
          <w:tcPr>
            <w:tcW w:w="4503" w:type="dxa"/>
          </w:tcPr>
          <w:p w14:paraId="61601B23"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Direct bilirubin (umol/L)</w:t>
            </w:r>
          </w:p>
        </w:tc>
        <w:tc>
          <w:tcPr>
            <w:tcW w:w="1701" w:type="dxa"/>
          </w:tcPr>
          <w:p w14:paraId="3EFDE84E"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9.4</w:t>
            </w:r>
          </w:p>
        </w:tc>
        <w:tc>
          <w:tcPr>
            <w:tcW w:w="2409" w:type="dxa"/>
          </w:tcPr>
          <w:p w14:paraId="2DC5C2F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&lt; 6.8</w:t>
            </w:r>
          </w:p>
        </w:tc>
      </w:tr>
      <w:tr w:rsidR="000D2E46" w:rsidRPr="00A4009A" w14:paraId="625786A8" w14:textId="77777777">
        <w:trPr>
          <w:trHeight w:val="319"/>
        </w:trPr>
        <w:tc>
          <w:tcPr>
            <w:tcW w:w="4503" w:type="dxa"/>
          </w:tcPr>
          <w:p w14:paraId="110ED36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Aspartate aminotransferase (IU/L)</w:t>
            </w:r>
          </w:p>
        </w:tc>
        <w:tc>
          <w:tcPr>
            <w:tcW w:w="1701" w:type="dxa"/>
          </w:tcPr>
          <w:p w14:paraId="00D0E552"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53</w:t>
            </w:r>
          </w:p>
        </w:tc>
        <w:tc>
          <w:tcPr>
            <w:tcW w:w="2409" w:type="dxa"/>
          </w:tcPr>
          <w:p w14:paraId="68FA388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13.0-35.0</w:t>
            </w:r>
          </w:p>
        </w:tc>
      </w:tr>
      <w:tr w:rsidR="000D2E46" w:rsidRPr="00A4009A" w14:paraId="3480773D" w14:textId="77777777">
        <w:trPr>
          <w:trHeight w:val="319"/>
        </w:trPr>
        <w:tc>
          <w:tcPr>
            <w:tcW w:w="4503" w:type="dxa"/>
          </w:tcPr>
          <w:p w14:paraId="52D5CAC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Alanine aminotransferase (IU/L)</w:t>
            </w:r>
          </w:p>
        </w:tc>
        <w:tc>
          <w:tcPr>
            <w:tcW w:w="1701" w:type="dxa"/>
          </w:tcPr>
          <w:p w14:paraId="6ECFFAEB"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61</w:t>
            </w:r>
          </w:p>
        </w:tc>
        <w:tc>
          <w:tcPr>
            <w:tcW w:w="2409" w:type="dxa"/>
          </w:tcPr>
          <w:p w14:paraId="3BD9FB0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7.0-40.0</w:t>
            </w:r>
          </w:p>
        </w:tc>
      </w:tr>
      <w:tr w:rsidR="000D2E46" w:rsidRPr="00A4009A" w14:paraId="634AE99D" w14:textId="77777777">
        <w:trPr>
          <w:trHeight w:val="319"/>
        </w:trPr>
        <w:tc>
          <w:tcPr>
            <w:tcW w:w="4503" w:type="dxa"/>
          </w:tcPr>
          <w:p w14:paraId="3F6B396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Lactate dehydrogenase (IU/L)</w:t>
            </w:r>
          </w:p>
        </w:tc>
        <w:tc>
          <w:tcPr>
            <w:tcW w:w="1701" w:type="dxa"/>
          </w:tcPr>
          <w:p w14:paraId="0F84E60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431.2</w:t>
            </w:r>
          </w:p>
        </w:tc>
        <w:tc>
          <w:tcPr>
            <w:tcW w:w="2409" w:type="dxa"/>
          </w:tcPr>
          <w:p w14:paraId="78795F53"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120.0-250.0</w:t>
            </w:r>
          </w:p>
        </w:tc>
      </w:tr>
      <w:tr w:rsidR="000D2E46" w:rsidRPr="00A4009A" w14:paraId="1EED8B4D" w14:textId="77777777">
        <w:trPr>
          <w:trHeight w:val="319"/>
        </w:trPr>
        <w:tc>
          <w:tcPr>
            <w:tcW w:w="4503" w:type="dxa"/>
          </w:tcPr>
          <w:p w14:paraId="4BF10C9E"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Creatinine (umol/L)</w:t>
            </w:r>
          </w:p>
        </w:tc>
        <w:tc>
          <w:tcPr>
            <w:tcW w:w="1701" w:type="dxa"/>
          </w:tcPr>
          <w:p w14:paraId="797DE86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48.1</w:t>
            </w:r>
          </w:p>
        </w:tc>
        <w:tc>
          <w:tcPr>
            <w:tcW w:w="2409" w:type="dxa"/>
          </w:tcPr>
          <w:p w14:paraId="6E49C3E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41.0-73.0</w:t>
            </w:r>
          </w:p>
        </w:tc>
      </w:tr>
      <w:tr w:rsidR="000D2E46" w:rsidRPr="00A4009A" w14:paraId="32F5BB82" w14:textId="77777777">
        <w:trPr>
          <w:trHeight w:val="319"/>
        </w:trPr>
        <w:tc>
          <w:tcPr>
            <w:tcW w:w="4503" w:type="dxa"/>
          </w:tcPr>
          <w:p w14:paraId="1A05D1BB"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Sodium (mmol/L)</w:t>
            </w:r>
          </w:p>
        </w:tc>
        <w:tc>
          <w:tcPr>
            <w:tcW w:w="1701" w:type="dxa"/>
          </w:tcPr>
          <w:p w14:paraId="6C4BB4B8"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128</w:t>
            </w:r>
          </w:p>
        </w:tc>
        <w:tc>
          <w:tcPr>
            <w:tcW w:w="2409" w:type="dxa"/>
          </w:tcPr>
          <w:p w14:paraId="2F60E31E"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137.0-147.0</w:t>
            </w:r>
          </w:p>
        </w:tc>
      </w:tr>
      <w:tr w:rsidR="000D2E46" w:rsidRPr="00A4009A" w14:paraId="3214CD5F" w14:textId="77777777">
        <w:trPr>
          <w:trHeight w:val="319"/>
        </w:trPr>
        <w:tc>
          <w:tcPr>
            <w:tcW w:w="4503" w:type="dxa"/>
          </w:tcPr>
          <w:p w14:paraId="18273A41"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Potassium (mmol/L)</w:t>
            </w:r>
          </w:p>
        </w:tc>
        <w:tc>
          <w:tcPr>
            <w:tcW w:w="1701" w:type="dxa"/>
          </w:tcPr>
          <w:p w14:paraId="33F282C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3.08</w:t>
            </w:r>
          </w:p>
        </w:tc>
        <w:tc>
          <w:tcPr>
            <w:tcW w:w="2409" w:type="dxa"/>
          </w:tcPr>
          <w:p w14:paraId="79905B8B"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3.5-5.5</w:t>
            </w:r>
          </w:p>
        </w:tc>
      </w:tr>
      <w:tr w:rsidR="000D2E46" w:rsidRPr="00A4009A" w14:paraId="4EF0D513" w14:textId="77777777">
        <w:trPr>
          <w:trHeight w:val="319"/>
        </w:trPr>
        <w:tc>
          <w:tcPr>
            <w:tcW w:w="4503" w:type="dxa"/>
          </w:tcPr>
          <w:p w14:paraId="6317825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Chloride (mmol/L)</w:t>
            </w:r>
          </w:p>
        </w:tc>
        <w:tc>
          <w:tcPr>
            <w:tcW w:w="1701" w:type="dxa"/>
          </w:tcPr>
          <w:p w14:paraId="17EF17DF"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92.4</w:t>
            </w:r>
          </w:p>
        </w:tc>
        <w:tc>
          <w:tcPr>
            <w:tcW w:w="2409" w:type="dxa"/>
          </w:tcPr>
          <w:p w14:paraId="4A739390"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99-110</w:t>
            </w:r>
          </w:p>
        </w:tc>
      </w:tr>
      <w:tr w:rsidR="000D2E46" w:rsidRPr="00A4009A" w14:paraId="52742D3E" w14:textId="77777777">
        <w:trPr>
          <w:trHeight w:val="319"/>
        </w:trPr>
        <w:tc>
          <w:tcPr>
            <w:tcW w:w="4503" w:type="dxa"/>
          </w:tcPr>
          <w:p w14:paraId="082B2AF9"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Hypersensitive C-reactive (mg/L)</w:t>
            </w:r>
          </w:p>
        </w:tc>
        <w:tc>
          <w:tcPr>
            <w:tcW w:w="1701" w:type="dxa"/>
          </w:tcPr>
          <w:p w14:paraId="7B1C499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165.75</w:t>
            </w:r>
          </w:p>
        </w:tc>
        <w:tc>
          <w:tcPr>
            <w:tcW w:w="2409" w:type="dxa"/>
          </w:tcPr>
          <w:p w14:paraId="07408D2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0.5-10</w:t>
            </w:r>
          </w:p>
        </w:tc>
      </w:tr>
      <w:tr w:rsidR="000D2E46" w:rsidRPr="00A4009A" w14:paraId="092CAB87" w14:textId="77777777">
        <w:trPr>
          <w:trHeight w:val="319"/>
        </w:trPr>
        <w:tc>
          <w:tcPr>
            <w:tcW w:w="4503" w:type="dxa"/>
          </w:tcPr>
          <w:p w14:paraId="4DF88B13"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Procalcitonin (ng/mL)</w:t>
            </w:r>
          </w:p>
        </w:tc>
        <w:tc>
          <w:tcPr>
            <w:tcW w:w="1701" w:type="dxa"/>
          </w:tcPr>
          <w:p w14:paraId="52FC32C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&lt; 0.05</w:t>
            </w:r>
          </w:p>
        </w:tc>
        <w:tc>
          <w:tcPr>
            <w:tcW w:w="2409" w:type="dxa"/>
          </w:tcPr>
          <w:p w14:paraId="303555E3"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&lt; 0.5</w:t>
            </w:r>
          </w:p>
        </w:tc>
      </w:tr>
      <w:tr w:rsidR="000D2E46" w:rsidRPr="00A4009A" w14:paraId="29B6C5F7" w14:textId="77777777" w:rsidTr="00211979">
        <w:trPr>
          <w:trHeight w:val="319"/>
        </w:trPr>
        <w:tc>
          <w:tcPr>
            <w:tcW w:w="4503" w:type="dxa"/>
          </w:tcPr>
          <w:p w14:paraId="11BD072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Prothrombin time (s)</w:t>
            </w:r>
          </w:p>
        </w:tc>
        <w:tc>
          <w:tcPr>
            <w:tcW w:w="1701" w:type="dxa"/>
          </w:tcPr>
          <w:p w14:paraId="1BC823FC"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13.5</w:t>
            </w:r>
          </w:p>
        </w:tc>
        <w:tc>
          <w:tcPr>
            <w:tcW w:w="2409" w:type="dxa"/>
          </w:tcPr>
          <w:p w14:paraId="6819329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9-14</w:t>
            </w:r>
          </w:p>
        </w:tc>
      </w:tr>
      <w:tr w:rsidR="000D2E46" w:rsidRPr="00A4009A" w14:paraId="48E9E9DA" w14:textId="77777777" w:rsidTr="00211979">
        <w:trPr>
          <w:trHeight w:val="319"/>
        </w:trPr>
        <w:tc>
          <w:tcPr>
            <w:tcW w:w="4503" w:type="dxa"/>
            <w:tcBorders>
              <w:bottom w:val="single" w:sz="4" w:space="0" w:color="auto"/>
            </w:tcBorders>
          </w:tcPr>
          <w:p w14:paraId="63D558EA"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Activated partial thromboplastin time (s)</w:t>
            </w:r>
          </w:p>
        </w:tc>
        <w:tc>
          <w:tcPr>
            <w:tcW w:w="1701" w:type="dxa"/>
            <w:tcBorders>
              <w:bottom w:val="single" w:sz="4" w:space="0" w:color="auto"/>
            </w:tcBorders>
          </w:tcPr>
          <w:p w14:paraId="0AC0EE17"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28.9</w:t>
            </w:r>
          </w:p>
        </w:tc>
        <w:tc>
          <w:tcPr>
            <w:tcW w:w="2409" w:type="dxa"/>
            <w:tcBorders>
              <w:bottom w:val="single" w:sz="4" w:space="0" w:color="auto"/>
            </w:tcBorders>
          </w:tcPr>
          <w:p w14:paraId="267A9D1B" w14:textId="77777777" w:rsidR="000D2E46" w:rsidRPr="00A4009A" w:rsidRDefault="00000000">
            <w:pPr>
              <w:adjustRightInd w:val="0"/>
              <w:snapToGrid w:val="0"/>
              <w:spacing w:line="360" w:lineRule="auto"/>
              <w:rPr>
                <w:rFonts w:ascii="Book Antiqua" w:hAnsi="Book Antiqua" w:cs="Tahoma"/>
                <w:lang w:eastAsia="zh-CN"/>
              </w:rPr>
            </w:pPr>
            <w:r w:rsidRPr="00A4009A">
              <w:rPr>
                <w:rFonts w:ascii="Book Antiqua" w:hAnsi="Book Antiqua" w:cs="Tahoma"/>
                <w:lang w:eastAsia="zh-CN"/>
              </w:rPr>
              <w:t>20-40</w:t>
            </w:r>
          </w:p>
        </w:tc>
      </w:tr>
    </w:tbl>
    <w:p w14:paraId="50BD3041" w14:textId="77777777" w:rsidR="000D2E46" w:rsidRPr="00A4009A" w:rsidRDefault="00000000">
      <w:pPr>
        <w:adjustRightInd w:val="0"/>
        <w:snapToGrid w:val="0"/>
        <w:spacing w:line="360" w:lineRule="auto"/>
        <w:jc w:val="both"/>
        <w:rPr>
          <w:rFonts w:ascii="Book Antiqua" w:hAnsi="Book Antiqua" w:cs="Tahoma"/>
        </w:rPr>
      </w:pPr>
      <w:r w:rsidRPr="00A4009A">
        <w:rPr>
          <w:rFonts w:ascii="Book Antiqua" w:hAnsi="Book Antiqua" w:cs="Tahoma"/>
        </w:rPr>
        <w:t>IU: International unit.</w:t>
      </w:r>
    </w:p>
    <w:p w14:paraId="35BB4231" w14:textId="6BE716BC" w:rsidR="00A4009A" w:rsidRPr="00A4009A" w:rsidRDefault="00A4009A">
      <w:pPr>
        <w:rPr>
          <w:rFonts w:ascii="Book Antiqua" w:hAnsi="Book Antiqua" w:cs="Tahoma"/>
        </w:rPr>
      </w:pPr>
      <w:r w:rsidRPr="00A4009A">
        <w:rPr>
          <w:rFonts w:ascii="Book Antiqua" w:hAnsi="Book Antiqua" w:cs="Tahoma"/>
        </w:rPr>
        <w:br w:type="page"/>
      </w:r>
    </w:p>
    <w:p w14:paraId="4E2C7D38" w14:textId="77777777" w:rsidR="00A4009A" w:rsidRPr="00A4009A" w:rsidRDefault="00A4009A" w:rsidP="00A4009A">
      <w:pPr>
        <w:ind w:leftChars="100" w:left="240"/>
        <w:jc w:val="center"/>
        <w:rPr>
          <w:rFonts w:ascii="Book Antiqua" w:hAnsi="Book Antiqua"/>
          <w:lang w:val="pt-BR" w:eastAsia="zh-CN"/>
        </w:rPr>
      </w:pPr>
      <w:bookmarkStart w:id="6" w:name="_Hlk88512952"/>
    </w:p>
    <w:p w14:paraId="1BCCAD1B" w14:textId="77777777" w:rsidR="00A4009A" w:rsidRPr="00A4009A" w:rsidRDefault="00A4009A" w:rsidP="00A4009A">
      <w:pPr>
        <w:ind w:leftChars="100" w:left="240"/>
        <w:jc w:val="center"/>
        <w:rPr>
          <w:rFonts w:ascii="Book Antiqua" w:hAnsi="Book Antiqua"/>
          <w:lang w:val="pt-BR" w:eastAsia="zh-CN"/>
        </w:rPr>
      </w:pPr>
    </w:p>
    <w:p w14:paraId="16199D88" w14:textId="77777777" w:rsidR="00A4009A" w:rsidRPr="00A4009A" w:rsidRDefault="00A4009A" w:rsidP="00A4009A">
      <w:pPr>
        <w:ind w:leftChars="100" w:left="240"/>
        <w:jc w:val="center"/>
        <w:rPr>
          <w:rFonts w:ascii="Book Antiqua" w:hAnsi="Book Antiqua"/>
          <w:lang w:val="pt-BR" w:eastAsia="zh-CN"/>
        </w:rPr>
      </w:pPr>
    </w:p>
    <w:p w14:paraId="6FBD3123" w14:textId="77777777" w:rsidR="00A4009A" w:rsidRPr="00A4009A" w:rsidRDefault="00A4009A" w:rsidP="00A4009A">
      <w:pPr>
        <w:ind w:leftChars="100" w:left="240"/>
        <w:jc w:val="center"/>
        <w:rPr>
          <w:rFonts w:ascii="Book Antiqua" w:hAnsi="Book Antiqua"/>
          <w:lang w:val="pt-BR" w:eastAsia="zh-CN"/>
        </w:rPr>
      </w:pPr>
    </w:p>
    <w:p w14:paraId="4812F789" w14:textId="77777777" w:rsidR="00A4009A" w:rsidRPr="00A4009A" w:rsidRDefault="00A4009A" w:rsidP="00A4009A">
      <w:pPr>
        <w:ind w:leftChars="100" w:left="240"/>
        <w:jc w:val="center"/>
        <w:rPr>
          <w:rFonts w:ascii="Book Antiqua" w:hAnsi="Book Antiqua"/>
          <w:lang w:eastAsia="zh-CN"/>
        </w:rPr>
      </w:pPr>
      <w:r w:rsidRPr="00A4009A">
        <w:rPr>
          <w:rFonts w:ascii="Book Antiqua" w:hAnsi="Book Antiqua"/>
          <w:noProof/>
          <w:lang w:eastAsia="zh-CN"/>
        </w:rPr>
        <w:drawing>
          <wp:inline distT="0" distB="0" distL="0" distR="0" wp14:anchorId="27686BF6" wp14:editId="6C027D8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AF2B4C" w14:textId="77777777" w:rsidR="00A4009A" w:rsidRPr="00A4009A" w:rsidRDefault="00A4009A" w:rsidP="00A4009A">
      <w:pPr>
        <w:ind w:leftChars="100" w:left="240"/>
        <w:jc w:val="center"/>
        <w:rPr>
          <w:rFonts w:ascii="Book Antiqua" w:hAnsi="Book Antiqua"/>
          <w:lang w:eastAsia="zh-CN"/>
        </w:rPr>
      </w:pPr>
    </w:p>
    <w:p w14:paraId="4D1CC4FF" w14:textId="77777777" w:rsidR="00A4009A" w:rsidRPr="00A4009A" w:rsidRDefault="00A4009A" w:rsidP="00A4009A">
      <w:pPr>
        <w:autoSpaceDE w:val="0"/>
        <w:autoSpaceDN w:val="0"/>
        <w:adjustRightInd w:val="0"/>
        <w:ind w:leftChars="100" w:left="240"/>
        <w:jc w:val="center"/>
        <w:rPr>
          <w:rFonts w:ascii="Book Antiqua" w:eastAsia="Garamond-Bold" w:hAnsi="Book Antiqua" w:cs="Garamond-Bold"/>
          <w:b/>
          <w:bCs/>
          <w:color w:val="000000"/>
          <w:sz w:val="28"/>
          <w:szCs w:val="28"/>
        </w:rPr>
      </w:pPr>
      <w:r w:rsidRPr="00A4009A">
        <w:rPr>
          <w:rFonts w:ascii="Book Antiqua" w:eastAsia="TimesNewRomanPSMT" w:hAnsi="Book Antiqua" w:cs="TimesNewRomanPSMT"/>
          <w:color w:val="000000"/>
          <w:sz w:val="28"/>
          <w:szCs w:val="28"/>
        </w:rPr>
        <w:t xml:space="preserve">Published by </w:t>
      </w:r>
      <w:r w:rsidRPr="00A4009A">
        <w:rPr>
          <w:rFonts w:ascii="Book Antiqua" w:eastAsia="Garamond-Bold" w:hAnsi="Book Antiqua" w:cs="Garamond-Bold"/>
          <w:b/>
          <w:bCs/>
          <w:color w:val="000000"/>
          <w:sz w:val="28"/>
          <w:szCs w:val="28"/>
        </w:rPr>
        <w:t>Baishideng Publishing Group Inc</w:t>
      </w:r>
    </w:p>
    <w:p w14:paraId="63BE41ED" w14:textId="77777777" w:rsidR="00A4009A" w:rsidRPr="00A4009A" w:rsidRDefault="00A4009A" w:rsidP="00A4009A">
      <w:pPr>
        <w:autoSpaceDE w:val="0"/>
        <w:autoSpaceDN w:val="0"/>
        <w:adjustRightInd w:val="0"/>
        <w:ind w:leftChars="100" w:left="240"/>
        <w:jc w:val="center"/>
        <w:rPr>
          <w:rFonts w:ascii="Book Antiqua" w:eastAsia="TimesNewRomanPSMT" w:hAnsi="Book Antiqua" w:cs="Garamond"/>
          <w:color w:val="000000"/>
          <w:sz w:val="28"/>
          <w:szCs w:val="28"/>
        </w:rPr>
      </w:pPr>
      <w:r w:rsidRPr="00A4009A">
        <w:rPr>
          <w:rFonts w:ascii="Book Antiqua" w:eastAsia="TimesNewRomanPSMT" w:hAnsi="Book Antiqua" w:cs="Garamond"/>
          <w:color w:val="000000"/>
          <w:sz w:val="28"/>
          <w:szCs w:val="28"/>
        </w:rPr>
        <w:t>7041 Koll Center Parkway, Suite 160, Pleasanton, CA 94566, USA</w:t>
      </w:r>
    </w:p>
    <w:p w14:paraId="14F41264" w14:textId="77777777" w:rsidR="00A4009A" w:rsidRPr="00A4009A" w:rsidRDefault="00A4009A" w:rsidP="00A4009A">
      <w:pPr>
        <w:autoSpaceDE w:val="0"/>
        <w:autoSpaceDN w:val="0"/>
        <w:adjustRightInd w:val="0"/>
        <w:ind w:leftChars="100" w:left="240"/>
        <w:jc w:val="center"/>
        <w:rPr>
          <w:rFonts w:ascii="Book Antiqua" w:eastAsia="TimesNewRomanPSMT" w:hAnsi="Book Antiqua" w:cs="Garamond"/>
          <w:color w:val="000000"/>
          <w:sz w:val="28"/>
          <w:szCs w:val="28"/>
        </w:rPr>
      </w:pPr>
      <w:r w:rsidRPr="00A4009A">
        <w:rPr>
          <w:rFonts w:ascii="Book Antiqua" w:eastAsia="Garamond-Bold" w:hAnsi="Book Antiqua" w:cs="Garamond-Bold"/>
          <w:b/>
          <w:bCs/>
          <w:color w:val="000000"/>
          <w:sz w:val="28"/>
          <w:szCs w:val="28"/>
        </w:rPr>
        <w:t xml:space="preserve">Telephone: </w:t>
      </w:r>
      <w:r w:rsidRPr="00A4009A">
        <w:rPr>
          <w:rFonts w:ascii="Book Antiqua" w:eastAsia="TimesNewRomanPSMT" w:hAnsi="Book Antiqua" w:cs="Garamond"/>
          <w:color w:val="000000"/>
          <w:sz w:val="28"/>
          <w:szCs w:val="28"/>
        </w:rPr>
        <w:t>+1-925-3991568</w:t>
      </w:r>
    </w:p>
    <w:p w14:paraId="72725261" w14:textId="77777777" w:rsidR="00A4009A" w:rsidRPr="00A4009A" w:rsidRDefault="00A4009A" w:rsidP="00A4009A">
      <w:pPr>
        <w:autoSpaceDE w:val="0"/>
        <w:autoSpaceDN w:val="0"/>
        <w:adjustRightInd w:val="0"/>
        <w:ind w:leftChars="100" w:left="240"/>
        <w:jc w:val="center"/>
        <w:rPr>
          <w:rFonts w:ascii="Book Antiqua" w:eastAsia="TimesNewRomanPSMT" w:hAnsi="Book Antiqua" w:cs="Garamond"/>
          <w:color w:val="D56400"/>
          <w:sz w:val="28"/>
          <w:szCs w:val="28"/>
        </w:rPr>
      </w:pPr>
      <w:r w:rsidRPr="00A4009A">
        <w:rPr>
          <w:rFonts w:ascii="Book Antiqua" w:eastAsia="Garamond-Bold" w:hAnsi="Book Antiqua" w:cs="Garamond-Bold"/>
          <w:b/>
          <w:bCs/>
          <w:color w:val="000000"/>
          <w:sz w:val="28"/>
          <w:szCs w:val="28"/>
        </w:rPr>
        <w:t xml:space="preserve">E-mail: </w:t>
      </w:r>
      <w:r w:rsidRPr="00A4009A">
        <w:rPr>
          <w:rFonts w:ascii="Book Antiqua" w:eastAsia="TimesNewRomanPSMT" w:hAnsi="Book Antiqua" w:cs="Garamond"/>
          <w:color w:val="D56400"/>
          <w:sz w:val="28"/>
          <w:szCs w:val="28"/>
        </w:rPr>
        <w:t>bpgoffice@wjgnet.com</w:t>
      </w:r>
    </w:p>
    <w:p w14:paraId="26CF3B17" w14:textId="77777777" w:rsidR="00A4009A" w:rsidRPr="00A4009A" w:rsidRDefault="00A4009A" w:rsidP="00A4009A">
      <w:pPr>
        <w:autoSpaceDE w:val="0"/>
        <w:autoSpaceDN w:val="0"/>
        <w:adjustRightInd w:val="0"/>
        <w:ind w:leftChars="100" w:left="240"/>
        <w:jc w:val="center"/>
        <w:rPr>
          <w:rFonts w:ascii="Book Antiqua" w:eastAsia="TimesNewRomanPSMT" w:hAnsi="Book Antiqua" w:cs="Garamond"/>
          <w:color w:val="D56400"/>
          <w:sz w:val="28"/>
          <w:szCs w:val="28"/>
        </w:rPr>
      </w:pPr>
      <w:r w:rsidRPr="00A4009A">
        <w:rPr>
          <w:rFonts w:ascii="Book Antiqua" w:eastAsia="Garamond-Bold" w:hAnsi="Book Antiqua" w:cs="Garamond-Bold"/>
          <w:b/>
          <w:bCs/>
          <w:color w:val="000000"/>
          <w:sz w:val="28"/>
          <w:szCs w:val="28"/>
        </w:rPr>
        <w:t xml:space="preserve">Help Desk: </w:t>
      </w:r>
      <w:r w:rsidRPr="00A4009A">
        <w:rPr>
          <w:rFonts w:ascii="Book Antiqua" w:eastAsia="TimesNewRomanPSMT" w:hAnsi="Book Antiqua" w:cs="Garamond"/>
          <w:color w:val="D56400"/>
          <w:sz w:val="28"/>
          <w:szCs w:val="28"/>
        </w:rPr>
        <w:t>https://www.f6publishing.com/helpdesk</w:t>
      </w:r>
    </w:p>
    <w:p w14:paraId="771AB1E6" w14:textId="77777777" w:rsidR="00A4009A" w:rsidRPr="00A4009A" w:rsidRDefault="00A4009A" w:rsidP="00A4009A">
      <w:pPr>
        <w:ind w:leftChars="100" w:left="240"/>
        <w:jc w:val="center"/>
        <w:rPr>
          <w:rFonts w:ascii="Book Antiqua" w:hAnsi="Book Antiqua"/>
          <w:lang w:eastAsia="zh-CN"/>
        </w:rPr>
      </w:pPr>
      <w:r w:rsidRPr="00A4009A">
        <w:rPr>
          <w:rFonts w:ascii="Book Antiqua" w:eastAsia="TimesNewRomanPSMT" w:hAnsi="Book Antiqua" w:cs="Garamond"/>
          <w:color w:val="D56400"/>
          <w:sz w:val="28"/>
          <w:szCs w:val="28"/>
        </w:rPr>
        <w:t>https://www.wjgnet.com</w:t>
      </w:r>
    </w:p>
    <w:p w14:paraId="5627CEDF" w14:textId="77777777" w:rsidR="00A4009A" w:rsidRPr="00A4009A" w:rsidRDefault="00A4009A" w:rsidP="00A4009A">
      <w:pPr>
        <w:ind w:leftChars="100" w:left="240"/>
        <w:jc w:val="center"/>
        <w:rPr>
          <w:rFonts w:ascii="Book Antiqua" w:hAnsi="Book Antiqua"/>
          <w:lang w:eastAsia="zh-CN"/>
        </w:rPr>
      </w:pPr>
    </w:p>
    <w:p w14:paraId="503826D7" w14:textId="77777777" w:rsidR="00A4009A" w:rsidRPr="00A4009A" w:rsidRDefault="00A4009A" w:rsidP="00A4009A">
      <w:pPr>
        <w:ind w:leftChars="100" w:left="240"/>
        <w:jc w:val="center"/>
        <w:rPr>
          <w:rFonts w:ascii="Book Antiqua" w:hAnsi="Book Antiqua"/>
          <w:lang w:eastAsia="zh-CN"/>
        </w:rPr>
      </w:pPr>
    </w:p>
    <w:p w14:paraId="1536DA2E" w14:textId="77777777" w:rsidR="00A4009A" w:rsidRPr="00A4009A" w:rsidRDefault="00A4009A" w:rsidP="00A4009A">
      <w:pPr>
        <w:ind w:leftChars="100" w:left="240"/>
        <w:jc w:val="center"/>
        <w:rPr>
          <w:rFonts w:ascii="Book Antiqua" w:hAnsi="Book Antiqua"/>
          <w:lang w:eastAsia="zh-CN"/>
        </w:rPr>
      </w:pPr>
    </w:p>
    <w:p w14:paraId="745CC28B" w14:textId="77777777" w:rsidR="00A4009A" w:rsidRPr="00A4009A" w:rsidRDefault="00A4009A" w:rsidP="00A4009A">
      <w:pPr>
        <w:ind w:leftChars="100" w:left="240"/>
        <w:jc w:val="center"/>
        <w:rPr>
          <w:rFonts w:ascii="Book Antiqua" w:hAnsi="Book Antiqua"/>
          <w:lang w:eastAsia="zh-CN"/>
        </w:rPr>
      </w:pPr>
      <w:r w:rsidRPr="00A4009A">
        <w:rPr>
          <w:rFonts w:ascii="Book Antiqua" w:hAnsi="Book Antiqua"/>
          <w:noProof/>
          <w:lang w:eastAsia="zh-CN"/>
        </w:rPr>
        <w:drawing>
          <wp:inline distT="0" distB="0" distL="0" distR="0" wp14:anchorId="36978B7A" wp14:editId="6ECE87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A0324D" w14:textId="77777777" w:rsidR="00A4009A" w:rsidRPr="00A4009A" w:rsidRDefault="00A4009A" w:rsidP="00A4009A">
      <w:pPr>
        <w:ind w:leftChars="100" w:left="240"/>
        <w:jc w:val="center"/>
        <w:rPr>
          <w:rFonts w:ascii="Book Antiqua" w:hAnsi="Book Antiqua"/>
          <w:lang w:eastAsia="zh-CN"/>
        </w:rPr>
      </w:pPr>
    </w:p>
    <w:p w14:paraId="0DB68BB8" w14:textId="77777777" w:rsidR="00A4009A" w:rsidRPr="00A4009A" w:rsidRDefault="00A4009A" w:rsidP="00A4009A">
      <w:pPr>
        <w:ind w:leftChars="100" w:left="240"/>
        <w:jc w:val="center"/>
        <w:rPr>
          <w:rFonts w:ascii="Book Antiqua" w:hAnsi="Book Antiqua"/>
          <w:lang w:eastAsia="zh-CN"/>
        </w:rPr>
      </w:pPr>
    </w:p>
    <w:p w14:paraId="2F1AB9DB" w14:textId="77777777" w:rsidR="00A4009A" w:rsidRPr="00A4009A" w:rsidRDefault="00A4009A" w:rsidP="00A4009A">
      <w:pPr>
        <w:ind w:leftChars="100" w:left="240"/>
        <w:jc w:val="center"/>
        <w:rPr>
          <w:rFonts w:ascii="Book Antiqua" w:hAnsi="Book Antiqua"/>
          <w:lang w:eastAsia="zh-CN"/>
        </w:rPr>
      </w:pPr>
    </w:p>
    <w:p w14:paraId="2F58E040" w14:textId="77777777" w:rsidR="00A4009A" w:rsidRPr="00A4009A" w:rsidRDefault="00A4009A" w:rsidP="00A4009A">
      <w:pPr>
        <w:ind w:leftChars="100" w:left="240"/>
        <w:jc w:val="center"/>
        <w:rPr>
          <w:rFonts w:ascii="Book Antiqua" w:hAnsi="Book Antiqua"/>
          <w:lang w:eastAsia="zh-CN"/>
        </w:rPr>
      </w:pPr>
    </w:p>
    <w:p w14:paraId="7F9FBAFB" w14:textId="77777777" w:rsidR="00A4009A" w:rsidRPr="00A4009A" w:rsidRDefault="00A4009A" w:rsidP="00A4009A">
      <w:pPr>
        <w:ind w:leftChars="100" w:left="240"/>
        <w:jc w:val="center"/>
        <w:rPr>
          <w:rFonts w:ascii="Book Antiqua" w:hAnsi="Book Antiqua"/>
          <w:lang w:eastAsia="zh-CN"/>
        </w:rPr>
      </w:pPr>
    </w:p>
    <w:p w14:paraId="2DD5372E" w14:textId="77777777" w:rsidR="00A4009A" w:rsidRPr="00A4009A" w:rsidRDefault="00A4009A" w:rsidP="00A4009A">
      <w:pPr>
        <w:ind w:leftChars="100" w:left="240"/>
        <w:jc w:val="center"/>
        <w:rPr>
          <w:rFonts w:ascii="Book Antiqua" w:hAnsi="Book Antiqua"/>
          <w:lang w:eastAsia="zh-CN"/>
        </w:rPr>
      </w:pPr>
    </w:p>
    <w:p w14:paraId="67B2AD42" w14:textId="77777777" w:rsidR="00A4009A" w:rsidRPr="00A4009A" w:rsidRDefault="00A4009A" w:rsidP="00A4009A">
      <w:pPr>
        <w:ind w:leftChars="100" w:left="240"/>
        <w:jc w:val="center"/>
        <w:rPr>
          <w:rFonts w:ascii="Book Antiqua" w:hAnsi="Book Antiqua"/>
          <w:lang w:eastAsia="zh-CN"/>
        </w:rPr>
      </w:pPr>
    </w:p>
    <w:p w14:paraId="4CADBD1A" w14:textId="77777777" w:rsidR="00A4009A" w:rsidRPr="00A4009A" w:rsidRDefault="00A4009A" w:rsidP="00A4009A">
      <w:pPr>
        <w:ind w:leftChars="100" w:left="240"/>
        <w:jc w:val="center"/>
        <w:rPr>
          <w:rFonts w:ascii="Book Antiqua" w:hAnsi="Book Antiqua"/>
          <w:lang w:eastAsia="zh-CN"/>
        </w:rPr>
      </w:pPr>
    </w:p>
    <w:p w14:paraId="403C7F83" w14:textId="77777777" w:rsidR="00A4009A" w:rsidRPr="00A4009A" w:rsidRDefault="00A4009A" w:rsidP="00A4009A">
      <w:pPr>
        <w:ind w:leftChars="100" w:left="240"/>
        <w:jc w:val="center"/>
        <w:rPr>
          <w:rFonts w:ascii="Book Antiqua" w:hAnsi="Book Antiqua"/>
          <w:lang w:eastAsia="zh-CN"/>
        </w:rPr>
      </w:pPr>
    </w:p>
    <w:p w14:paraId="6BF4A219" w14:textId="77777777" w:rsidR="00A4009A" w:rsidRPr="00A4009A" w:rsidRDefault="00A4009A" w:rsidP="00A4009A">
      <w:pPr>
        <w:ind w:leftChars="100" w:left="240"/>
        <w:jc w:val="right"/>
        <w:rPr>
          <w:rFonts w:ascii="Book Antiqua" w:hAnsi="Book Antiqua"/>
          <w:color w:val="000000" w:themeColor="text1"/>
          <w:lang w:eastAsia="zh-CN"/>
        </w:rPr>
      </w:pPr>
    </w:p>
    <w:p w14:paraId="22FB8D4C" w14:textId="77777777" w:rsidR="00A4009A" w:rsidRPr="00763D22" w:rsidRDefault="00A4009A" w:rsidP="00A4009A">
      <w:pPr>
        <w:ind w:leftChars="100" w:left="240"/>
        <w:jc w:val="center"/>
        <w:rPr>
          <w:rFonts w:ascii="Book Antiqua" w:hAnsi="Book Antiqua"/>
          <w:color w:val="000000" w:themeColor="text1"/>
          <w:lang w:eastAsia="zh-CN"/>
        </w:rPr>
      </w:pPr>
      <w:r w:rsidRPr="00A4009A">
        <w:rPr>
          <w:rFonts w:ascii="Book Antiqua" w:eastAsia="BookAntiqua-Bold" w:hAnsi="Book Antiqua" w:cs="BookAntiqua-Bold"/>
          <w:b/>
          <w:bCs/>
          <w:color w:val="000000" w:themeColor="text1"/>
        </w:rPr>
        <w:t>© 2023 Baishideng Publishing Group Inc. All rights reserved.</w:t>
      </w:r>
      <w:r w:rsidRPr="00A4009A">
        <w:rPr>
          <w:rFonts w:ascii="Book Antiqua" w:hAnsi="Book Antiqua"/>
          <w:color w:val="000000" w:themeColor="text1"/>
          <w:lang w:eastAsia="zh-CN"/>
        </w:rPr>
        <w:fldChar w:fldCharType="begin"/>
      </w:r>
      <w:r w:rsidRPr="00A4009A">
        <w:rPr>
          <w:rFonts w:ascii="Book Antiqua" w:hAnsi="Book Antiqua"/>
          <w:color w:val="000000" w:themeColor="text1"/>
          <w:lang w:eastAsia="zh-CN"/>
        </w:rPr>
        <w:instrText xml:space="preserve"> ADDIN EN.REFLIST </w:instrText>
      </w:r>
      <w:r w:rsidRPr="00A4009A">
        <w:rPr>
          <w:rFonts w:ascii="Book Antiqua" w:hAnsi="Book Antiqua"/>
          <w:color w:val="000000" w:themeColor="text1"/>
          <w:lang w:eastAsia="zh-CN"/>
        </w:rPr>
        <w:fldChar w:fldCharType="end"/>
      </w:r>
      <w:bookmarkEnd w:id="6"/>
    </w:p>
    <w:p w14:paraId="1B600856" w14:textId="77777777" w:rsidR="00A4009A" w:rsidRDefault="00A4009A">
      <w:pPr>
        <w:adjustRightInd w:val="0"/>
        <w:snapToGrid w:val="0"/>
        <w:spacing w:line="360" w:lineRule="auto"/>
        <w:jc w:val="both"/>
        <w:rPr>
          <w:rFonts w:ascii="Book Antiqua" w:hAnsi="Book Antiqua"/>
        </w:rPr>
      </w:pPr>
    </w:p>
    <w:sectPr w:rsidR="00A400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2A93" w14:textId="77777777" w:rsidR="00862085" w:rsidRDefault="00862085">
      <w:r>
        <w:separator/>
      </w:r>
    </w:p>
  </w:endnote>
  <w:endnote w:type="continuationSeparator" w:id="0">
    <w:p w14:paraId="2DA94730" w14:textId="77777777" w:rsidR="00862085" w:rsidRDefault="008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42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1D77E87" w14:textId="77777777" w:rsidR="000D2E4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14:paraId="231DEF0A" w14:textId="77777777" w:rsidR="000D2E46" w:rsidRDefault="000D2E46">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0DF7" w14:textId="77777777" w:rsidR="00862085" w:rsidRDefault="00862085">
      <w:r>
        <w:separator/>
      </w:r>
    </w:p>
  </w:footnote>
  <w:footnote w:type="continuationSeparator" w:id="0">
    <w:p w14:paraId="0A611087" w14:textId="77777777" w:rsidR="00862085" w:rsidRDefault="008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I0YmYwNThkMDU0NGM4YzgwN2IzNzNkMWVhNWM3NjMifQ=="/>
    <w:docVar w:name="KY_MEDREF_DOCUID" w:val="{BF07F5A9-FC9C-4ED9-ABD4-BB2232B127BA}"/>
    <w:docVar w:name="KY_MEDREF_VERSION" w:val="3"/>
  </w:docVars>
  <w:rsids>
    <w:rsidRoot w:val="00A77B3E"/>
    <w:rsid w:val="000020FD"/>
    <w:rsid w:val="0002467D"/>
    <w:rsid w:val="0002659F"/>
    <w:rsid w:val="000737CD"/>
    <w:rsid w:val="00094890"/>
    <w:rsid w:val="000A1FA6"/>
    <w:rsid w:val="000A31D7"/>
    <w:rsid w:val="000A6613"/>
    <w:rsid w:val="000C637C"/>
    <w:rsid w:val="000D2E46"/>
    <w:rsid w:val="000E0AD1"/>
    <w:rsid w:val="000E0FCB"/>
    <w:rsid w:val="00105CDF"/>
    <w:rsid w:val="00172FF1"/>
    <w:rsid w:val="001C6F5B"/>
    <w:rsid w:val="001F3B39"/>
    <w:rsid w:val="00211979"/>
    <w:rsid w:val="00223E07"/>
    <w:rsid w:val="00272F1D"/>
    <w:rsid w:val="00280B7C"/>
    <w:rsid w:val="00282C70"/>
    <w:rsid w:val="002878CC"/>
    <w:rsid w:val="002905EE"/>
    <w:rsid w:val="002D563B"/>
    <w:rsid w:val="002D7EC5"/>
    <w:rsid w:val="00300BC3"/>
    <w:rsid w:val="00305C5B"/>
    <w:rsid w:val="0031536D"/>
    <w:rsid w:val="00330DD7"/>
    <w:rsid w:val="00331FF7"/>
    <w:rsid w:val="00337291"/>
    <w:rsid w:val="0034336E"/>
    <w:rsid w:val="00350D38"/>
    <w:rsid w:val="00356F12"/>
    <w:rsid w:val="00394471"/>
    <w:rsid w:val="003B1932"/>
    <w:rsid w:val="003B4DDD"/>
    <w:rsid w:val="003C2087"/>
    <w:rsid w:val="003D2021"/>
    <w:rsid w:val="00411A00"/>
    <w:rsid w:val="00411A51"/>
    <w:rsid w:val="00450FD7"/>
    <w:rsid w:val="0045542E"/>
    <w:rsid w:val="004934B7"/>
    <w:rsid w:val="00496C4D"/>
    <w:rsid w:val="004A2C80"/>
    <w:rsid w:val="004C413E"/>
    <w:rsid w:val="004E70E3"/>
    <w:rsid w:val="00513CAA"/>
    <w:rsid w:val="005B174D"/>
    <w:rsid w:val="006261F3"/>
    <w:rsid w:val="00632ABC"/>
    <w:rsid w:val="00637DCC"/>
    <w:rsid w:val="00683EBC"/>
    <w:rsid w:val="006914C1"/>
    <w:rsid w:val="006965F9"/>
    <w:rsid w:val="006C4CAF"/>
    <w:rsid w:val="00707A88"/>
    <w:rsid w:val="00726844"/>
    <w:rsid w:val="00733545"/>
    <w:rsid w:val="00735BFF"/>
    <w:rsid w:val="00753260"/>
    <w:rsid w:val="00763809"/>
    <w:rsid w:val="00776FBF"/>
    <w:rsid w:val="00777D70"/>
    <w:rsid w:val="007B7E96"/>
    <w:rsid w:val="007C44BA"/>
    <w:rsid w:val="00805D3D"/>
    <w:rsid w:val="00836839"/>
    <w:rsid w:val="00862085"/>
    <w:rsid w:val="008A723B"/>
    <w:rsid w:val="00930FCA"/>
    <w:rsid w:val="00932524"/>
    <w:rsid w:val="00932C15"/>
    <w:rsid w:val="00945205"/>
    <w:rsid w:val="00950BF6"/>
    <w:rsid w:val="0098361E"/>
    <w:rsid w:val="009A4778"/>
    <w:rsid w:val="009B4AEE"/>
    <w:rsid w:val="009C4031"/>
    <w:rsid w:val="009D7F22"/>
    <w:rsid w:val="009E4B9F"/>
    <w:rsid w:val="00A31F1C"/>
    <w:rsid w:val="00A4009A"/>
    <w:rsid w:val="00A7717F"/>
    <w:rsid w:val="00A77B3E"/>
    <w:rsid w:val="00A8311D"/>
    <w:rsid w:val="00A8373A"/>
    <w:rsid w:val="00B00DE4"/>
    <w:rsid w:val="00B04298"/>
    <w:rsid w:val="00B729AA"/>
    <w:rsid w:val="00BC17ED"/>
    <w:rsid w:val="00BE7D6A"/>
    <w:rsid w:val="00CA2A55"/>
    <w:rsid w:val="00D224D6"/>
    <w:rsid w:val="00D23A26"/>
    <w:rsid w:val="00D34939"/>
    <w:rsid w:val="00D45B96"/>
    <w:rsid w:val="00D509FE"/>
    <w:rsid w:val="00D87B81"/>
    <w:rsid w:val="00DC4C8C"/>
    <w:rsid w:val="00E108BD"/>
    <w:rsid w:val="00E20D5E"/>
    <w:rsid w:val="00E26DC9"/>
    <w:rsid w:val="00E407B3"/>
    <w:rsid w:val="00E5380E"/>
    <w:rsid w:val="00E85A3D"/>
    <w:rsid w:val="00EA1642"/>
    <w:rsid w:val="00F16E8C"/>
    <w:rsid w:val="00F320F9"/>
    <w:rsid w:val="00F6381B"/>
    <w:rsid w:val="00F70D58"/>
    <w:rsid w:val="00F7295C"/>
    <w:rsid w:val="00F97E59"/>
    <w:rsid w:val="00FA67C0"/>
    <w:rsid w:val="00FA7740"/>
    <w:rsid w:val="00FF456E"/>
    <w:rsid w:val="215C5D18"/>
    <w:rsid w:val="523B3EA2"/>
    <w:rsid w:val="695E4656"/>
    <w:rsid w:val="6E881C94"/>
    <w:rsid w:val="7AE0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73D77"/>
  <w15:docId w15:val="{07699120-6BE4-474A-BAC2-0978EC6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uiPriority w:val="5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1">
    <w:name w:val="修订1"/>
    <w:hidden/>
    <w:uiPriority w:val="99"/>
    <w:semiHidden/>
    <w:rPr>
      <w:sz w:val="24"/>
      <w:szCs w:val="24"/>
      <w:lang w:eastAsia="en-US"/>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dxdefaultcursor">
    <w:name w:val="dxdefaultcursor"/>
    <w:basedOn w:val="a0"/>
  </w:style>
  <w:style w:type="character" w:customStyle="1" w:styleId="dxebaseoffice2010blue">
    <w:name w:val="dxebase_office2010blue"/>
    <w:basedOn w:val="a0"/>
  </w:style>
  <w:style w:type="character" w:customStyle="1" w:styleId="a6">
    <w:name w:val="批注框文本 字符"/>
    <w:basedOn w:val="a0"/>
    <w:link w:val="a5"/>
    <w:rPr>
      <w:sz w:val="18"/>
      <w:szCs w:val="18"/>
    </w:rPr>
  </w:style>
  <w:style w:type="paragraph" w:styleId="af">
    <w:name w:val="Revision"/>
    <w:hidden/>
    <w:uiPriority w:val="99"/>
    <w:unhideWhenUsed/>
    <w:rsid w:val="00513CAA"/>
    <w:rPr>
      <w:sz w:val="24"/>
      <w:szCs w:val="24"/>
      <w:lang w:eastAsia="en-US"/>
    </w:rPr>
  </w:style>
  <w:style w:type="character" w:styleId="af0">
    <w:name w:val="Hyperlink"/>
    <w:basedOn w:val="a0"/>
    <w:rsid w:val="00D34939"/>
    <w:rPr>
      <w:color w:val="0000FF" w:themeColor="hyperlink"/>
      <w:u w:val="single"/>
    </w:rPr>
  </w:style>
  <w:style w:type="character" w:styleId="af1">
    <w:name w:val="Unresolved Mention"/>
    <w:basedOn w:val="a0"/>
    <w:uiPriority w:val="99"/>
    <w:semiHidden/>
    <w:unhideWhenUsed/>
    <w:rsid w:val="00D3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29/714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3456</Words>
  <Characters>19705</Characters>
  <Application>Microsoft Office Word</Application>
  <DocSecurity>0</DocSecurity>
  <Lines>164</Lines>
  <Paragraphs>46</Paragraphs>
  <ScaleCrop>false</ScaleCrop>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A9487</cp:lastModifiedBy>
  <cp:revision>20</cp:revision>
  <dcterms:created xsi:type="dcterms:W3CDTF">2023-09-22T06:17:00Z</dcterms:created>
  <dcterms:modified xsi:type="dcterms:W3CDTF">2023-10-12T02:03:00Z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26ACC855A1F5430D9B0D6D40F31EFCA0_12</vt:lpwstr>
  </property>
</Properties>
</file>