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A9" w:rsidRPr="0027683C" w:rsidRDefault="00CE40A9" w:rsidP="00197E9C">
      <w:pPr>
        <w:spacing w:after="0" w:line="360" w:lineRule="auto"/>
        <w:jc w:val="both"/>
        <w:rPr>
          <w:rFonts w:ascii="Book Antiqua" w:hAnsi="Book Antiqua" w:cs="Tahoma"/>
          <w:b/>
          <w:color w:val="000000"/>
          <w:sz w:val="24"/>
          <w:szCs w:val="24"/>
          <w:lang w:val="en-US"/>
        </w:rPr>
      </w:pPr>
      <w:bookmarkStart w:id="0" w:name="OLE_LINK313"/>
      <w:bookmarkStart w:id="1" w:name="OLE_LINK319"/>
      <w:bookmarkStart w:id="2" w:name="OLE_LINK320"/>
      <w:bookmarkStart w:id="3" w:name="OLE_LINK355"/>
      <w:r w:rsidRPr="0027683C">
        <w:rPr>
          <w:rFonts w:ascii="Book Antiqua" w:hAnsi="Book Antiqua" w:cs="Tahoma"/>
          <w:b/>
          <w:color w:val="0000FF"/>
          <w:sz w:val="24"/>
          <w:szCs w:val="24"/>
          <w:lang w:val="en-US"/>
        </w:rPr>
        <w:t xml:space="preserve">Name of journal: </w:t>
      </w:r>
      <w:r w:rsidRPr="0027683C">
        <w:rPr>
          <w:rFonts w:ascii="Book Antiqua" w:hAnsi="Book Antiqua" w:cs="Tahoma"/>
          <w:b/>
          <w:color w:val="000000"/>
          <w:sz w:val="24"/>
          <w:szCs w:val="24"/>
          <w:lang w:val="en-US"/>
        </w:rPr>
        <w:t>World Journal of Gastroenterology</w:t>
      </w:r>
    </w:p>
    <w:p w:rsidR="00CE40A9" w:rsidRPr="0027683C" w:rsidRDefault="00CE40A9" w:rsidP="00197E9C">
      <w:pPr>
        <w:spacing w:after="0" w:line="360" w:lineRule="auto"/>
        <w:jc w:val="both"/>
        <w:rPr>
          <w:rFonts w:ascii="Book Antiqua" w:hAnsi="Book Antiqua" w:cs="Tahoma"/>
          <w:b/>
          <w:color w:val="0000FF"/>
          <w:sz w:val="24"/>
          <w:szCs w:val="24"/>
          <w:lang w:val="en-US" w:eastAsia="zh-CN"/>
        </w:rPr>
      </w:pPr>
      <w:r w:rsidRPr="0027683C">
        <w:rPr>
          <w:rFonts w:ascii="Book Antiqua" w:hAnsi="Book Antiqua" w:cs="Tahoma"/>
          <w:b/>
          <w:color w:val="0000FF"/>
          <w:sz w:val="24"/>
          <w:szCs w:val="24"/>
          <w:lang w:val="en-US"/>
        </w:rPr>
        <w:t>ESPS Manuscript NO:</w:t>
      </w:r>
      <w:r w:rsidRPr="0027683C">
        <w:rPr>
          <w:rFonts w:ascii="Book Antiqua" w:hAnsi="Book Antiqua" w:cs="Tahoma"/>
          <w:b/>
          <w:color w:val="0000FF"/>
          <w:sz w:val="24"/>
          <w:szCs w:val="24"/>
          <w:lang w:val="en-US" w:eastAsia="zh-CN"/>
        </w:rPr>
        <w:t xml:space="preserve"> 8636</w:t>
      </w:r>
    </w:p>
    <w:bookmarkEnd w:id="0"/>
    <w:bookmarkEnd w:id="1"/>
    <w:bookmarkEnd w:id="2"/>
    <w:bookmarkEnd w:id="3"/>
    <w:p w:rsidR="00CE40A9" w:rsidRPr="0027683C" w:rsidRDefault="00CE40A9" w:rsidP="00197E9C">
      <w:pPr>
        <w:spacing w:after="0" w:line="360" w:lineRule="auto"/>
        <w:jc w:val="both"/>
        <w:rPr>
          <w:rFonts w:ascii="Book Antiqua" w:hAnsi="Book Antiqua"/>
          <w:b/>
          <w:color w:val="000000"/>
          <w:sz w:val="24"/>
          <w:szCs w:val="24"/>
          <w:lang w:val="en-US"/>
        </w:rPr>
      </w:pPr>
      <w:r w:rsidRPr="0027683C">
        <w:rPr>
          <w:rFonts w:ascii="Book Antiqua" w:hAnsi="Book Antiqua" w:cs="Tahoma"/>
          <w:b/>
          <w:color w:val="0000FF"/>
          <w:sz w:val="24"/>
          <w:szCs w:val="24"/>
          <w:lang w:val="en-US"/>
        </w:rPr>
        <w:t>Columns:</w:t>
      </w:r>
      <w:r w:rsidRPr="0027683C">
        <w:rPr>
          <w:rFonts w:ascii="Book Antiqua" w:hAnsi="Book Antiqua"/>
          <w:sz w:val="24"/>
          <w:szCs w:val="24"/>
          <w:lang w:val="en-US"/>
        </w:rPr>
        <w:t xml:space="preserve"> </w:t>
      </w:r>
      <w:r w:rsidRPr="0027683C">
        <w:rPr>
          <w:rFonts w:ascii="Book Antiqua" w:hAnsi="Book Antiqua"/>
          <w:b/>
          <w:color w:val="000000"/>
          <w:sz w:val="24"/>
          <w:szCs w:val="24"/>
          <w:lang w:val="en-US"/>
        </w:rPr>
        <w:t xml:space="preserve">OBSERVATIONAL STUDY </w:t>
      </w:r>
    </w:p>
    <w:p w:rsidR="00CE40A9" w:rsidRPr="0027683C" w:rsidRDefault="00CE40A9" w:rsidP="00197E9C">
      <w:pPr>
        <w:autoSpaceDE w:val="0"/>
        <w:autoSpaceDN w:val="0"/>
        <w:adjustRightInd w:val="0"/>
        <w:spacing w:after="0" w:line="360" w:lineRule="auto"/>
        <w:jc w:val="both"/>
        <w:rPr>
          <w:rFonts w:ascii="Book Antiqua" w:hAnsi="Book Antiqua"/>
          <w:b/>
          <w:bCs/>
          <w:color w:val="000000"/>
          <w:sz w:val="24"/>
          <w:szCs w:val="24"/>
          <w:lang w:val="en-US" w:eastAsia="zh-CN"/>
        </w:rPr>
      </w:pPr>
    </w:p>
    <w:p w:rsidR="00CE40A9" w:rsidRPr="0027683C" w:rsidRDefault="00CE40A9" w:rsidP="00197E9C">
      <w:pPr>
        <w:autoSpaceDE w:val="0"/>
        <w:autoSpaceDN w:val="0"/>
        <w:adjustRightInd w:val="0"/>
        <w:spacing w:after="0" w:line="360" w:lineRule="auto"/>
        <w:jc w:val="both"/>
        <w:rPr>
          <w:rFonts w:ascii="Book Antiqua" w:hAnsi="Book Antiqua"/>
          <w:b/>
          <w:color w:val="000000"/>
          <w:sz w:val="24"/>
          <w:szCs w:val="24"/>
          <w:lang w:val="en-US" w:eastAsia="zh-CN"/>
        </w:rPr>
      </w:pPr>
      <w:r w:rsidRPr="0027683C">
        <w:rPr>
          <w:rFonts w:ascii="Book Antiqua" w:hAnsi="Book Antiqua"/>
          <w:b/>
          <w:color w:val="000000"/>
          <w:sz w:val="24"/>
          <w:szCs w:val="24"/>
          <w:lang w:val="en-US"/>
        </w:rPr>
        <w:t>Autoimmune gastritis presenting as iron deficiency anemia in childhood</w:t>
      </w:r>
    </w:p>
    <w:p w:rsidR="00CE40A9" w:rsidRPr="0027683C" w:rsidRDefault="00CE40A9" w:rsidP="00197E9C">
      <w:pPr>
        <w:autoSpaceDE w:val="0"/>
        <w:autoSpaceDN w:val="0"/>
        <w:adjustRightInd w:val="0"/>
        <w:spacing w:after="0" w:line="360" w:lineRule="auto"/>
        <w:jc w:val="both"/>
        <w:rPr>
          <w:rFonts w:ascii="Book Antiqua" w:hAnsi="Book Antiqua"/>
          <w:color w:val="000000"/>
          <w:sz w:val="24"/>
          <w:szCs w:val="24"/>
          <w:lang w:val="en-US" w:eastAsia="zh-CN"/>
        </w:rPr>
      </w:pPr>
    </w:p>
    <w:p w:rsidR="00CE40A9" w:rsidRPr="00182F90" w:rsidRDefault="00CE40A9" w:rsidP="00197E9C">
      <w:pPr>
        <w:autoSpaceDE w:val="0"/>
        <w:autoSpaceDN w:val="0"/>
        <w:adjustRightInd w:val="0"/>
        <w:spacing w:after="0" w:line="360" w:lineRule="auto"/>
        <w:jc w:val="both"/>
        <w:rPr>
          <w:rFonts w:ascii="Book Antiqua" w:hAnsi="Book Antiqua"/>
          <w:color w:val="000000"/>
          <w:sz w:val="24"/>
          <w:szCs w:val="24"/>
          <w:lang w:val="es-ES" w:eastAsia="zh-CN"/>
        </w:rPr>
      </w:pPr>
      <w:r w:rsidRPr="00182F90">
        <w:rPr>
          <w:rFonts w:ascii="Book Antiqua" w:hAnsi="Book Antiqua"/>
          <w:color w:val="000000"/>
          <w:sz w:val="24"/>
          <w:szCs w:val="24"/>
          <w:lang w:val="es-ES"/>
        </w:rPr>
        <w:t xml:space="preserve">Gonçalves </w:t>
      </w:r>
      <w:r w:rsidRPr="00182F90">
        <w:rPr>
          <w:rFonts w:ascii="Book Antiqua" w:hAnsi="Book Antiqua"/>
          <w:color w:val="000000"/>
          <w:sz w:val="24"/>
          <w:szCs w:val="24"/>
          <w:lang w:val="es-ES" w:eastAsia="zh-CN"/>
        </w:rPr>
        <w:t xml:space="preserve">C </w:t>
      </w:r>
      <w:r w:rsidRPr="00182F90">
        <w:rPr>
          <w:rFonts w:ascii="Book Antiqua" w:hAnsi="Book Antiqua"/>
          <w:i/>
          <w:color w:val="000000"/>
          <w:sz w:val="24"/>
          <w:szCs w:val="24"/>
          <w:lang w:val="es-ES" w:eastAsia="zh-CN"/>
        </w:rPr>
        <w:t>et al.</w:t>
      </w:r>
      <w:r w:rsidRPr="00182F90">
        <w:rPr>
          <w:rFonts w:ascii="Book Antiqua" w:hAnsi="Book Antiqua"/>
          <w:color w:val="000000"/>
          <w:sz w:val="24"/>
          <w:szCs w:val="24"/>
          <w:lang w:val="es-ES" w:eastAsia="zh-CN"/>
        </w:rPr>
        <w:t xml:space="preserve"> </w:t>
      </w:r>
      <w:r w:rsidRPr="00182F90">
        <w:rPr>
          <w:rFonts w:ascii="Book Antiqua" w:hAnsi="Book Antiqua"/>
          <w:color w:val="000000"/>
          <w:sz w:val="24"/>
          <w:szCs w:val="24"/>
          <w:lang w:val="es-ES"/>
        </w:rPr>
        <w:t>Autoimmune gastritis in childhood</w:t>
      </w:r>
    </w:p>
    <w:p w:rsidR="00CE40A9" w:rsidRPr="00182F90" w:rsidRDefault="00CE40A9" w:rsidP="00197E9C">
      <w:pPr>
        <w:autoSpaceDE w:val="0"/>
        <w:autoSpaceDN w:val="0"/>
        <w:adjustRightInd w:val="0"/>
        <w:spacing w:after="0" w:line="360" w:lineRule="auto"/>
        <w:jc w:val="both"/>
        <w:rPr>
          <w:rFonts w:ascii="Book Antiqua" w:hAnsi="Book Antiqua"/>
          <w:color w:val="000000"/>
          <w:sz w:val="24"/>
          <w:szCs w:val="24"/>
          <w:lang w:val="es-ES" w:eastAsia="zh-CN"/>
        </w:rPr>
      </w:pPr>
    </w:p>
    <w:p w:rsidR="00CE40A9" w:rsidRPr="00182F90" w:rsidRDefault="00CE40A9" w:rsidP="00197E9C">
      <w:pPr>
        <w:autoSpaceDE w:val="0"/>
        <w:autoSpaceDN w:val="0"/>
        <w:adjustRightInd w:val="0"/>
        <w:spacing w:after="0" w:line="360" w:lineRule="auto"/>
        <w:jc w:val="both"/>
        <w:rPr>
          <w:rFonts w:ascii="Book Antiqua" w:hAnsi="Book Antiqua"/>
          <w:color w:val="000000"/>
          <w:sz w:val="24"/>
          <w:szCs w:val="24"/>
          <w:lang w:val="es-ES" w:eastAsia="zh-CN"/>
        </w:rPr>
      </w:pPr>
      <w:r w:rsidRPr="0027683C">
        <w:rPr>
          <w:rFonts w:ascii="Book Antiqua" w:hAnsi="Book Antiqua"/>
          <w:color w:val="000000"/>
          <w:sz w:val="24"/>
          <w:szCs w:val="24"/>
        </w:rPr>
        <w:t>Cristina Gonçalves, Maria Emília Oliveira, Maria Emília Oliveira, Ana M Palha, Anabela Ferrão,</w:t>
      </w:r>
      <w:r w:rsidRPr="0027683C">
        <w:rPr>
          <w:rFonts w:ascii="Book Antiqua" w:hAnsi="Book Antiqua"/>
          <w:color w:val="000000"/>
          <w:sz w:val="24"/>
          <w:szCs w:val="24"/>
          <w:lang w:eastAsia="zh-CN"/>
        </w:rPr>
        <w:t xml:space="preserve"> </w:t>
      </w:r>
      <w:r w:rsidRPr="0027683C">
        <w:rPr>
          <w:rFonts w:ascii="Book Antiqua" w:hAnsi="Book Antiqua"/>
          <w:color w:val="000000"/>
          <w:sz w:val="24"/>
          <w:szCs w:val="24"/>
        </w:rPr>
        <w:t>Anabela Morais, Ana Isabel Lopes</w:t>
      </w:r>
    </w:p>
    <w:p w:rsidR="00CE40A9" w:rsidRPr="00182F90" w:rsidRDefault="0066458E" w:rsidP="00197E9C">
      <w:pPr>
        <w:autoSpaceDE w:val="0"/>
        <w:autoSpaceDN w:val="0"/>
        <w:adjustRightInd w:val="0"/>
        <w:spacing w:after="0" w:line="360" w:lineRule="auto"/>
        <w:jc w:val="both"/>
        <w:rPr>
          <w:rFonts w:ascii="Book Antiqua" w:hAnsi="Book Antiqua"/>
          <w:color w:val="000000"/>
          <w:sz w:val="24"/>
          <w:szCs w:val="24"/>
          <w:lang w:val="es-ES" w:eastAsia="zh-CN"/>
        </w:rPr>
      </w:pPr>
      <w:r>
        <w:rPr>
          <w:noProof/>
          <w:lang w:val="en-US" w:eastAsia="zh-CN"/>
        </w:rPr>
        <mc:AlternateContent>
          <mc:Choice Requires="wps">
            <w:drawing>
              <wp:anchor distT="4294967295" distB="4294967295" distL="114300" distR="114300" simplePos="0" relativeHeight="251658240" behindDoc="0" locked="0" layoutInCell="1" allowOverlap="1">
                <wp:simplePos x="0" y="0"/>
                <wp:positionH relativeFrom="column">
                  <wp:posOffset>-13335</wp:posOffset>
                </wp:positionH>
                <wp:positionV relativeFrom="paragraph">
                  <wp:posOffset>114934</wp:posOffset>
                </wp:positionV>
                <wp:extent cx="5410200" cy="0"/>
                <wp:effectExtent l="0" t="19050" r="0"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9.05pt" to="424.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" strokecolor="gray" strokeweight="3pt"/>
            </w:pict>
          </mc:Fallback>
        </mc:AlternateContent>
      </w:r>
    </w:p>
    <w:p w:rsidR="00CE40A9" w:rsidRPr="0027683C" w:rsidRDefault="00CE40A9" w:rsidP="00197E9C">
      <w:pPr>
        <w:autoSpaceDE w:val="0"/>
        <w:autoSpaceDN w:val="0"/>
        <w:adjustRightInd w:val="0"/>
        <w:spacing w:after="0" w:line="360" w:lineRule="auto"/>
        <w:jc w:val="both"/>
        <w:rPr>
          <w:rFonts w:ascii="Book Antiqua" w:hAnsi="Book Antiqua"/>
          <w:color w:val="000000"/>
          <w:sz w:val="24"/>
          <w:szCs w:val="24"/>
          <w:lang w:eastAsia="zh-CN"/>
        </w:rPr>
      </w:pPr>
      <w:r w:rsidRPr="0027683C">
        <w:rPr>
          <w:rFonts w:ascii="Book Antiqua" w:hAnsi="Book Antiqua"/>
          <w:b/>
          <w:color w:val="000000"/>
          <w:sz w:val="24"/>
          <w:szCs w:val="24"/>
        </w:rPr>
        <w:t>Cristina Gonçalves, Maria Emília Oliveira, Maria Emília Oliveira, Ana M Palha,</w:t>
      </w:r>
      <w:r w:rsidRPr="0027683C">
        <w:rPr>
          <w:rFonts w:ascii="Book Antiqua" w:hAnsi="Book Antiqua"/>
          <w:color w:val="000000"/>
          <w:sz w:val="24"/>
          <w:szCs w:val="24"/>
          <w:lang w:eastAsia="zh-CN"/>
        </w:rPr>
        <w:t xml:space="preserve"> </w:t>
      </w:r>
      <w:r w:rsidRPr="0027683C">
        <w:rPr>
          <w:rFonts w:ascii="Book Antiqua" w:hAnsi="Book Antiqua"/>
          <w:color w:val="000000"/>
          <w:sz w:val="24"/>
          <w:szCs w:val="24"/>
        </w:rPr>
        <w:t>Pediatric Department</w:t>
      </w:r>
      <w:r w:rsidRPr="0027683C">
        <w:rPr>
          <w:rFonts w:ascii="Book Antiqua" w:hAnsi="Book Antiqua"/>
          <w:color w:val="000000"/>
          <w:sz w:val="24"/>
          <w:szCs w:val="24"/>
          <w:lang w:eastAsia="zh-CN"/>
        </w:rPr>
        <w:t xml:space="preserve">, </w:t>
      </w:r>
      <w:r w:rsidRPr="0027683C">
        <w:rPr>
          <w:rFonts w:ascii="Book Antiqua" w:hAnsi="Book Antiqua"/>
          <w:color w:val="000000"/>
          <w:sz w:val="24"/>
          <w:szCs w:val="24"/>
        </w:rPr>
        <w:t>CHLN, EPE</w:t>
      </w:r>
      <w:r w:rsidRPr="0027683C">
        <w:rPr>
          <w:rFonts w:ascii="Book Antiqua" w:hAnsi="Book Antiqua"/>
          <w:color w:val="000000"/>
          <w:sz w:val="24"/>
          <w:szCs w:val="24"/>
          <w:lang w:eastAsia="zh-CN"/>
        </w:rPr>
        <w:t>-</w:t>
      </w:r>
      <w:r w:rsidRPr="0027683C">
        <w:rPr>
          <w:rFonts w:ascii="Book Antiqua" w:hAnsi="Book Antiqua"/>
          <w:color w:val="000000"/>
          <w:sz w:val="24"/>
          <w:szCs w:val="24"/>
        </w:rPr>
        <w:t>University Hospital Santa Maria, Lisbon Academic Medical Centre</w:t>
      </w:r>
      <w:r w:rsidRPr="0027683C">
        <w:rPr>
          <w:rFonts w:ascii="Book Antiqua" w:hAnsi="Book Antiqua"/>
          <w:color w:val="000000"/>
          <w:sz w:val="24"/>
          <w:szCs w:val="24"/>
          <w:lang w:eastAsia="zh-CN"/>
        </w:rPr>
        <w:t xml:space="preserve">, </w:t>
      </w:r>
      <w:r w:rsidRPr="0027683C">
        <w:rPr>
          <w:rFonts w:ascii="Book Antiqua" w:hAnsi="Book Antiqua"/>
          <w:color w:val="000000"/>
          <w:sz w:val="24"/>
          <w:szCs w:val="24"/>
        </w:rPr>
        <w:t>1649-035 Lisboa</w:t>
      </w:r>
      <w:r w:rsidRPr="0027683C">
        <w:rPr>
          <w:rFonts w:ascii="Book Antiqua" w:hAnsi="Book Antiqua"/>
          <w:color w:val="000000"/>
          <w:sz w:val="24"/>
          <w:szCs w:val="24"/>
          <w:lang w:eastAsia="zh-CN"/>
        </w:rPr>
        <w:t>, Portugal</w:t>
      </w:r>
    </w:p>
    <w:p w:rsidR="00CE40A9" w:rsidRPr="0027683C" w:rsidRDefault="00CE40A9" w:rsidP="00197E9C">
      <w:pPr>
        <w:autoSpaceDE w:val="0"/>
        <w:autoSpaceDN w:val="0"/>
        <w:adjustRightInd w:val="0"/>
        <w:spacing w:after="0" w:line="360" w:lineRule="auto"/>
        <w:jc w:val="both"/>
        <w:rPr>
          <w:rFonts w:ascii="Book Antiqua" w:hAnsi="Book Antiqua"/>
          <w:color w:val="000000"/>
          <w:sz w:val="24"/>
          <w:szCs w:val="24"/>
          <w:lang w:eastAsia="zh-CN"/>
        </w:rPr>
      </w:pPr>
    </w:p>
    <w:p w:rsidR="00CE40A9" w:rsidRPr="0027683C" w:rsidRDefault="00CE40A9" w:rsidP="00197E9C">
      <w:pPr>
        <w:autoSpaceDE w:val="0"/>
        <w:autoSpaceDN w:val="0"/>
        <w:adjustRightInd w:val="0"/>
        <w:spacing w:after="0" w:line="360" w:lineRule="auto"/>
        <w:jc w:val="both"/>
        <w:rPr>
          <w:rFonts w:ascii="Book Antiqua" w:hAnsi="Book Antiqua"/>
          <w:color w:val="000000"/>
          <w:sz w:val="24"/>
          <w:szCs w:val="24"/>
          <w:lang w:eastAsia="zh-CN"/>
        </w:rPr>
      </w:pPr>
      <w:r w:rsidRPr="0027683C">
        <w:rPr>
          <w:rFonts w:ascii="Book Antiqua" w:hAnsi="Book Antiqua"/>
          <w:b/>
          <w:color w:val="000000"/>
          <w:sz w:val="24"/>
          <w:szCs w:val="24"/>
        </w:rPr>
        <w:t>Anabela Ferrão,</w:t>
      </w:r>
      <w:r w:rsidRPr="0027683C">
        <w:rPr>
          <w:rFonts w:ascii="Book Antiqua" w:hAnsi="Book Antiqua"/>
          <w:b/>
          <w:color w:val="000000"/>
          <w:sz w:val="24"/>
          <w:szCs w:val="24"/>
          <w:lang w:eastAsia="zh-CN"/>
        </w:rPr>
        <w:t xml:space="preserve"> </w:t>
      </w:r>
      <w:r w:rsidRPr="0027683C">
        <w:rPr>
          <w:rFonts w:ascii="Book Antiqua" w:hAnsi="Book Antiqua"/>
          <w:b/>
          <w:color w:val="000000"/>
          <w:sz w:val="24"/>
          <w:szCs w:val="24"/>
        </w:rPr>
        <w:t>Anabela Morais,</w:t>
      </w:r>
      <w:r w:rsidRPr="0027683C">
        <w:rPr>
          <w:rFonts w:ascii="Book Antiqua" w:hAnsi="Book Antiqua"/>
          <w:b/>
          <w:color w:val="000000"/>
          <w:sz w:val="24"/>
          <w:szCs w:val="24"/>
          <w:lang w:eastAsia="zh-CN"/>
        </w:rPr>
        <w:t xml:space="preserve"> </w:t>
      </w:r>
      <w:r w:rsidRPr="0027683C">
        <w:rPr>
          <w:rFonts w:ascii="Book Antiqua" w:hAnsi="Book Antiqua"/>
          <w:b/>
          <w:color w:val="000000"/>
          <w:sz w:val="24"/>
          <w:szCs w:val="24"/>
        </w:rPr>
        <w:t>Ana Isabel Lopes,</w:t>
      </w:r>
      <w:r>
        <w:rPr>
          <w:rFonts w:ascii="Book Antiqua" w:hAnsi="Book Antiqua"/>
          <w:b/>
          <w:color w:val="000000"/>
          <w:sz w:val="24"/>
          <w:szCs w:val="24"/>
          <w:lang w:eastAsia="zh-CN"/>
        </w:rPr>
        <w:t xml:space="preserve"> </w:t>
      </w:r>
      <w:r w:rsidRPr="006B67EE">
        <w:rPr>
          <w:rFonts w:ascii="Book Antiqua" w:hAnsi="Book Antiqua"/>
          <w:color w:val="000000"/>
          <w:sz w:val="24"/>
          <w:szCs w:val="24"/>
        </w:rPr>
        <w:t>Unit of Pediatric Hematology</w:t>
      </w:r>
      <w:r w:rsidRPr="0027683C">
        <w:rPr>
          <w:rFonts w:ascii="Book Antiqua" w:hAnsi="Book Antiqua"/>
          <w:color w:val="000000"/>
          <w:sz w:val="24"/>
          <w:szCs w:val="24"/>
          <w:lang w:eastAsia="zh-CN"/>
        </w:rPr>
        <w:t xml:space="preserve">, </w:t>
      </w:r>
      <w:r w:rsidRPr="006B67EE">
        <w:rPr>
          <w:rFonts w:ascii="Book Antiqua" w:hAnsi="Book Antiqua"/>
          <w:color w:val="000000"/>
          <w:sz w:val="24"/>
          <w:szCs w:val="24"/>
        </w:rPr>
        <w:t>Pediatric Department</w:t>
      </w:r>
      <w:r w:rsidRPr="0027683C">
        <w:rPr>
          <w:rFonts w:ascii="Book Antiqua" w:hAnsi="Book Antiqua"/>
          <w:color w:val="000000"/>
          <w:sz w:val="24"/>
          <w:szCs w:val="24"/>
          <w:lang w:eastAsia="zh-CN"/>
        </w:rPr>
        <w:t xml:space="preserve">, </w:t>
      </w:r>
      <w:r w:rsidRPr="0027683C">
        <w:rPr>
          <w:rFonts w:ascii="Book Antiqua" w:hAnsi="Book Antiqua"/>
          <w:color w:val="000000"/>
          <w:sz w:val="24"/>
          <w:szCs w:val="24"/>
        </w:rPr>
        <w:t>CHLN, EPE</w:t>
      </w:r>
      <w:r w:rsidRPr="0027683C">
        <w:rPr>
          <w:rFonts w:ascii="Book Antiqua" w:hAnsi="Book Antiqua"/>
          <w:color w:val="000000"/>
          <w:sz w:val="24"/>
          <w:szCs w:val="24"/>
          <w:lang w:eastAsia="zh-CN"/>
        </w:rPr>
        <w:t>-</w:t>
      </w:r>
      <w:r w:rsidRPr="0027683C">
        <w:rPr>
          <w:rFonts w:ascii="Book Antiqua" w:hAnsi="Book Antiqua"/>
          <w:color w:val="000000"/>
          <w:sz w:val="24"/>
          <w:szCs w:val="24"/>
        </w:rPr>
        <w:t>University Hospital Santa Maria, Lisbon Academic Medical Centre</w:t>
      </w:r>
      <w:r w:rsidRPr="0027683C">
        <w:rPr>
          <w:rFonts w:ascii="Book Antiqua" w:hAnsi="Book Antiqua"/>
          <w:color w:val="000000"/>
          <w:sz w:val="24"/>
          <w:szCs w:val="24"/>
          <w:lang w:eastAsia="zh-CN"/>
        </w:rPr>
        <w:t xml:space="preserve">, </w:t>
      </w:r>
      <w:r w:rsidRPr="0027683C">
        <w:rPr>
          <w:rFonts w:ascii="Book Antiqua" w:hAnsi="Book Antiqua"/>
          <w:color w:val="000000"/>
          <w:sz w:val="24"/>
          <w:szCs w:val="24"/>
        </w:rPr>
        <w:t>1649-035 Lisboa</w:t>
      </w:r>
      <w:r w:rsidRPr="0027683C">
        <w:rPr>
          <w:rFonts w:ascii="Book Antiqua" w:hAnsi="Book Antiqua"/>
          <w:color w:val="000000"/>
          <w:sz w:val="24"/>
          <w:szCs w:val="24"/>
          <w:lang w:eastAsia="zh-CN"/>
        </w:rPr>
        <w:t>, Portugal</w:t>
      </w:r>
    </w:p>
    <w:p w:rsidR="00CE40A9" w:rsidRPr="006B67EE" w:rsidRDefault="00CE40A9" w:rsidP="00197E9C">
      <w:pPr>
        <w:autoSpaceDE w:val="0"/>
        <w:autoSpaceDN w:val="0"/>
        <w:adjustRightInd w:val="0"/>
        <w:spacing w:after="0" w:line="360" w:lineRule="auto"/>
        <w:jc w:val="both"/>
        <w:rPr>
          <w:rFonts w:ascii="Book Antiqua" w:hAnsi="Book Antiqua"/>
          <w:b/>
          <w:bCs/>
          <w:color w:val="000000"/>
          <w:sz w:val="24"/>
          <w:szCs w:val="24"/>
          <w:lang w:eastAsia="zh-CN"/>
        </w:rPr>
      </w:pPr>
    </w:p>
    <w:p w:rsidR="00CE40A9" w:rsidRPr="0027683C" w:rsidRDefault="00CE40A9" w:rsidP="00197E9C">
      <w:pPr>
        <w:autoSpaceDE w:val="0"/>
        <w:autoSpaceDN w:val="0"/>
        <w:adjustRightInd w:val="0"/>
        <w:spacing w:after="0" w:line="360" w:lineRule="auto"/>
        <w:jc w:val="both"/>
        <w:rPr>
          <w:rFonts w:ascii="Book Antiqua" w:hAnsi="Book Antiqua"/>
          <w:b/>
          <w:bCs/>
          <w:color w:val="000000"/>
          <w:sz w:val="24"/>
          <w:szCs w:val="24"/>
          <w:lang w:val="en-US" w:eastAsia="zh-CN"/>
        </w:rPr>
      </w:pPr>
      <w:r w:rsidRPr="0027683C">
        <w:rPr>
          <w:rFonts w:ascii="Book Antiqua" w:hAnsi="Book Antiqua"/>
          <w:b/>
          <w:bCs/>
          <w:color w:val="000000"/>
          <w:sz w:val="24"/>
          <w:szCs w:val="24"/>
          <w:lang w:val="en-US"/>
        </w:rPr>
        <w:t xml:space="preserve">Author contribution: </w:t>
      </w:r>
      <w:r w:rsidRPr="0027683C">
        <w:rPr>
          <w:rFonts w:ascii="Book Antiqua" w:hAnsi="Book Antiqua"/>
          <w:color w:val="000000"/>
          <w:sz w:val="24"/>
          <w:szCs w:val="24"/>
        </w:rPr>
        <w:t>Gonçalves</w:t>
      </w:r>
      <w:r w:rsidRPr="0027683C">
        <w:rPr>
          <w:rFonts w:ascii="Book Antiqua" w:hAnsi="Book Antiqua"/>
          <w:bCs/>
          <w:color w:val="000000"/>
          <w:sz w:val="24"/>
          <w:szCs w:val="24"/>
          <w:lang w:val="en-US"/>
        </w:rPr>
        <w:t xml:space="preserve"> C, </w:t>
      </w:r>
      <w:r w:rsidRPr="0027683C">
        <w:rPr>
          <w:rFonts w:ascii="Book Antiqua" w:hAnsi="Book Antiqua"/>
          <w:color w:val="000000"/>
          <w:sz w:val="24"/>
          <w:szCs w:val="24"/>
        </w:rPr>
        <w:t>Ferrão</w:t>
      </w:r>
      <w:r w:rsidRPr="0027683C">
        <w:rPr>
          <w:rFonts w:ascii="Book Antiqua" w:hAnsi="Book Antiqua"/>
          <w:bCs/>
          <w:color w:val="000000"/>
          <w:sz w:val="24"/>
          <w:szCs w:val="24"/>
          <w:lang w:val="en-US"/>
        </w:rPr>
        <w:t xml:space="preserve"> A, </w:t>
      </w:r>
      <w:r w:rsidRPr="0027683C">
        <w:rPr>
          <w:rFonts w:ascii="Book Antiqua" w:hAnsi="Book Antiqua"/>
          <w:color w:val="000000"/>
          <w:sz w:val="24"/>
          <w:szCs w:val="24"/>
        </w:rPr>
        <w:t>Morais</w:t>
      </w:r>
      <w:r w:rsidRPr="0027683C">
        <w:rPr>
          <w:rFonts w:ascii="Book Antiqua" w:hAnsi="Book Antiqua"/>
          <w:bCs/>
          <w:color w:val="000000"/>
          <w:sz w:val="24"/>
          <w:szCs w:val="24"/>
          <w:lang w:val="en-US"/>
        </w:rPr>
        <w:t xml:space="preserve"> A and </w:t>
      </w:r>
      <w:r w:rsidRPr="0027683C">
        <w:rPr>
          <w:rFonts w:ascii="Book Antiqua" w:hAnsi="Book Antiqua"/>
          <w:color w:val="000000"/>
          <w:sz w:val="24"/>
          <w:szCs w:val="24"/>
        </w:rPr>
        <w:t>Lopes</w:t>
      </w:r>
      <w:r w:rsidRPr="0027683C">
        <w:rPr>
          <w:rFonts w:ascii="Book Antiqua" w:hAnsi="Book Antiqua"/>
          <w:bCs/>
          <w:color w:val="000000"/>
          <w:sz w:val="24"/>
          <w:szCs w:val="24"/>
          <w:lang w:val="en-US"/>
        </w:rPr>
        <w:t xml:space="preserve"> AI</w:t>
      </w:r>
      <w:r w:rsidRPr="0027683C">
        <w:rPr>
          <w:rFonts w:ascii="Book Antiqua" w:hAnsi="Book Antiqua"/>
          <w:bCs/>
          <w:color w:val="000000"/>
          <w:sz w:val="24"/>
          <w:szCs w:val="24"/>
          <w:lang w:val="en-US" w:eastAsia="zh-CN"/>
        </w:rPr>
        <w:t xml:space="preserve"> </w:t>
      </w:r>
      <w:r w:rsidRPr="0027683C">
        <w:rPr>
          <w:rFonts w:ascii="Book Antiqua" w:hAnsi="Book Antiqua"/>
          <w:bCs/>
          <w:color w:val="000000"/>
          <w:sz w:val="24"/>
          <w:szCs w:val="24"/>
          <w:lang w:val="en-US"/>
        </w:rPr>
        <w:t>observed the patients and collected patient and laboratorial data</w:t>
      </w:r>
      <w:r w:rsidRPr="0027683C">
        <w:rPr>
          <w:rFonts w:ascii="Book Antiqua" w:hAnsi="Book Antiqua"/>
          <w:bCs/>
          <w:color w:val="000000"/>
          <w:sz w:val="24"/>
          <w:szCs w:val="24"/>
          <w:lang w:val="en-US" w:eastAsia="zh-CN"/>
        </w:rPr>
        <w:t xml:space="preserve">; </w:t>
      </w:r>
      <w:r w:rsidRPr="0027683C">
        <w:rPr>
          <w:rFonts w:ascii="Book Antiqua" w:hAnsi="Book Antiqua"/>
          <w:color w:val="000000"/>
          <w:sz w:val="24"/>
          <w:szCs w:val="24"/>
        </w:rPr>
        <w:t>Lopes</w:t>
      </w:r>
      <w:r w:rsidRPr="0027683C">
        <w:rPr>
          <w:rFonts w:ascii="Book Antiqua" w:hAnsi="Book Antiqua"/>
          <w:bCs/>
          <w:color w:val="000000"/>
          <w:sz w:val="24"/>
          <w:szCs w:val="24"/>
          <w:lang w:val="en-US"/>
        </w:rPr>
        <w:t xml:space="preserve"> AI performed esophaduodenoscopy and biopsy sample collection</w:t>
      </w:r>
      <w:r w:rsidRPr="0027683C">
        <w:rPr>
          <w:rFonts w:ascii="Book Antiqua" w:hAnsi="Book Antiqua"/>
          <w:bCs/>
          <w:color w:val="000000"/>
          <w:sz w:val="24"/>
          <w:szCs w:val="24"/>
          <w:lang w:val="en-US" w:eastAsia="zh-CN"/>
        </w:rPr>
        <w:t>;</w:t>
      </w:r>
      <w:r w:rsidRPr="0027683C">
        <w:rPr>
          <w:rFonts w:ascii="Book Antiqua" w:hAnsi="Book Antiqua"/>
          <w:bCs/>
          <w:color w:val="000000"/>
          <w:sz w:val="24"/>
          <w:szCs w:val="24"/>
          <w:lang w:val="en-US"/>
        </w:rPr>
        <w:t xml:space="preserve"> </w:t>
      </w:r>
      <w:r w:rsidRPr="0027683C">
        <w:rPr>
          <w:rFonts w:ascii="Book Antiqua" w:hAnsi="Book Antiqua"/>
          <w:color w:val="000000"/>
          <w:sz w:val="24"/>
          <w:szCs w:val="24"/>
        </w:rPr>
        <w:t>Palha</w:t>
      </w:r>
      <w:r w:rsidRPr="0027683C">
        <w:rPr>
          <w:rFonts w:ascii="Book Antiqua" w:hAnsi="Book Antiqua"/>
          <w:bCs/>
          <w:color w:val="000000"/>
          <w:sz w:val="24"/>
          <w:szCs w:val="24"/>
          <w:lang w:val="en-US"/>
        </w:rPr>
        <w:t xml:space="preserve"> AM and </w:t>
      </w:r>
      <w:r w:rsidRPr="0027683C">
        <w:rPr>
          <w:rFonts w:ascii="Book Antiqua" w:hAnsi="Book Antiqua"/>
          <w:color w:val="000000"/>
          <w:sz w:val="24"/>
          <w:szCs w:val="24"/>
        </w:rPr>
        <w:t>Oliveira</w:t>
      </w:r>
      <w:r w:rsidRPr="0027683C">
        <w:rPr>
          <w:rFonts w:ascii="Book Antiqua" w:hAnsi="Book Antiqua"/>
          <w:bCs/>
          <w:color w:val="000000"/>
          <w:sz w:val="24"/>
          <w:szCs w:val="24"/>
          <w:lang w:val="en-US"/>
        </w:rPr>
        <w:t xml:space="preserve"> ME performed histopathological analysis</w:t>
      </w:r>
      <w:r w:rsidRPr="0027683C">
        <w:rPr>
          <w:rFonts w:ascii="Book Antiqua" w:hAnsi="Book Antiqua"/>
          <w:bCs/>
          <w:color w:val="000000"/>
          <w:sz w:val="24"/>
          <w:szCs w:val="24"/>
          <w:lang w:val="en-US" w:eastAsia="zh-CN"/>
        </w:rPr>
        <w:t xml:space="preserve">; </w:t>
      </w:r>
      <w:r w:rsidRPr="0027683C">
        <w:rPr>
          <w:rFonts w:ascii="Book Antiqua" w:hAnsi="Book Antiqua"/>
          <w:color w:val="000000"/>
          <w:sz w:val="24"/>
          <w:szCs w:val="24"/>
        </w:rPr>
        <w:t>Gonçalves</w:t>
      </w:r>
      <w:r w:rsidRPr="0027683C">
        <w:rPr>
          <w:rFonts w:ascii="Book Antiqua" w:hAnsi="Book Antiqua"/>
          <w:bCs/>
          <w:color w:val="000000"/>
          <w:sz w:val="24"/>
          <w:szCs w:val="24"/>
          <w:lang w:val="en-US"/>
        </w:rPr>
        <w:t xml:space="preserve"> C and </w:t>
      </w:r>
      <w:r w:rsidRPr="0027683C">
        <w:rPr>
          <w:rFonts w:ascii="Book Antiqua" w:hAnsi="Book Antiqua"/>
          <w:color w:val="000000"/>
          <w:sz w:val="24"/>
          <w:szCs w:val="24"/>
        </w:rPr>
        <w:t>Lopes</w:t>
      </w:r>
      <w:r w:rsidRPr="0027683C">
        <w:rPr>
          <w:rFonts w:ascii="Book Antiqua" w:hAnsi="Book Antiqua"/>
          <w:bCs/>
          <w:color w:val="000000"/>
          <w:sz w:val="24"/>
          <w:szCs w:val="24"/>
          <w:lang w:val="en-US"/>
        </w:rPr>
        <w:t xml:space="preserve"> AI</w:t>
      </w:r>
      <w:r w:rsidRPr="0027683C">
        <w:rPr>
          <w:rFonts w:ascii="Book Antiqua" w:hAnsi="Book Antiqua"/>
          <w:bCs/>
          <w:color w:val="000000"/>
          <w:sz w:val="24"/>
          <w:szCs w:val="24"/>
          <w:lang w:val="en-US" w:eastAsia="zh-CN"/>
        </w:rPr>
        <w:t xml:space="preserve"> </w:t>
      </w:r>
      <w:r w:rsidRPr="0027683C">
        <w:rPr>
          <w:rFonts w:ascii="Book Antiqua" w:hAnsi="Book Antiqua"/>
          <w:bCs/>
          <w:color w:val="000000"/>
          <w:sz w:val="24"/>
          <w:szCs w:val="24"/>
          <w:lang w:val="en-US"/>
        </w:rPr>
        <w:t>wrote the paper</w:t>
      </w:r>
      <w:r>
        <w:rPr>
          <w:rFonts w:ascii="Book Antiqua" w:hAnsi="Book Antiqua"/>
          <w:bCs/>
          <w:color w:val="000000"/>
          <w:sz w:val="24"/>
          <w:szCs w:val="24"/>
          <w:lang w:val="en-US" w:eastAsia="zh-CN"/>
        </w:rPr>
        <w:t>.</w:t>
      </w:r>
    </w:p>
    <w:p w:rsidR="00CE40A9" w:rsidRPr="0027683C" w:rsidRDefault="00CE40A9" w:rsidP="00197E9C">
      <w:pPr>
        <w:autoSpaceDE w:val="0"/>
        <w:autoSpaceDN w:val="0"/>
        <w:adjustRightInd w:val="0"/>
        <w:spacing w:after="0" w:line="360" w:lineRule="auto"/>
        <w:jc w:val="both"/>
        <w:rPr>
          <w:rFonts w:ascii="Book Antiqua" w:hAnsi="Book Antiqua"/>
          <w:b/>
          <w:bCs/>
          <w:color w:val="000000"/>
          <w:sz w:val="24"/>
          <w:szCs w:val="24"/>
          <w:lang w:val="en-US" w:eastAsia="zh-CN"/>
        </w:rPr>
      </w:pPr>
    </w:p>
    <w:p w:rsidR="00CE40A9" w:rsidRPr="0027683C" w:rsidRDefault="00CE40A9" w:rsidP="00197E9C">
      <w:pPr>
        <w:autoSpaceDE w:val="0"/>
        <w:autoSpaceDN w:val="0"/>
        <w:adjustRightInd w:val="0"/>
        <w:spacing w:after="0" w:line="360" w:lineRule="auto"/>
        <w:jc w:val="both"/>
        <w:rPr>
          <w:rFonts w:ascii="Book Antiqua" w:hAnsi="Book Antiqua"/>
          <w:color w:val="000000"/>
          <w:sz w:val="24"/>
          <w:szCs w:val="24"/>
          <w:lang w:eastAsia="zh-CN"/>
        </w:rPr>
      </w:pPr>
      <w:r w:rsidRPr="0027683C">
        <w:rPr>
          <w:rFonts w:ascii="Book Antiqua" w:hAnsi="Book Antiqua"/>
          <w:b/>
          <w:bCs/>
          <w:color w:val="000000"/>
          <w:sz w:val="24"/>
          <w:szCs w:val="24"/>
          <w:lang w:val="en-US"/>
        </w:rPr>
        <w:t>Correspondence to:</w:t>
      </w:r>
      <w:r w:rsidRPr="0027683C">
        <w:rPr>
          <w:rFonts w:ascii="Book Antiqua" w:hAnsi="Book Antiqua"/>
          <w:b/>
          <w:bCs/>
          <w:color w:val="000000"/>
          <w:sz w:val="24"/>
          <w:szCs w:val="24"/>
          <w:lang w:val="en-US" w:eastAsia="zh-CN"/>
        </w:rPr>
        <w:t xml:space="preserve"> </w:t>
      </w:r>
      <w:r w:rsidRPr="0027683C">
        <w:rPr>
          <w:rFonts w:ascii="Book Antiqua" w:hAnsi="Book Antiqua"/>
          <w:b/>
          <w:color w:val="000000"/>
          <w:sz w:val="24"/>
          <w:szCs w:val="24"/>
          <w:lang w:val="en-US"/>
        </w:rPr>
        <w:t>Ana Isabel Lopes</w:t>
      </w:r>
      <w:r w:rsidRPr="0027683C">
        <w:rPr>
          <w:rFonts w:ascii="Book Antiqua" w:hAnsi="Book Antiqua"/>
          <w:b/>
          <w:color w:val="000000"/>
          <w:sz w:val="24"/>
          <w:szCs w:val="24"/>
          <w:lang w:val="en-US" w:eastAsia="zh-CN"/>
        </w:rPr>
        <w:t>,</w:t>
      </w:r>
      <w:r w:rsidRPr="0027683C">
        <w:rPr>
          <w:rFonts w:ascii="Book Antiqua" w:hAnsi="Book Antiqua"/>
          <w:b/>
          <w:bCs/>
          <w:color w:val="000000"/>
          <w:sz w:val="24"/>
          <w:szCs w:val="24"/>
          <w:lang w:val="en-US" w:eastAsia="zh-CN"/>
        </w:rPr>
        <w:t xml:space="preserve"> </w:t>
      </w:r>
      <w:r w:rsidRPr="0027683C">
        <w:rPr>
          <w:rFonts w:ascii="Book Antiqua" w:hAnsi="Book Antiqua"/>
          <w:b/>
          <w:color w:val="000000"/>
          <w:sz w:val="24"/>
          <w:szCs w:val="24"/>
        </w:rPr>
        <w:t>MD, PhD</w:t>
      </w:r>
      <w:r w:rsidRPr="0027683C">
        <w:rPr>
          <w:rFonts w:ascii="Book Antiqua" w:hAnsi="Book Antiqua"/>
          <w:b/>
          <w:color w:val="000000"/>
          <w:sz w:val="24"/>
          <w:szCs w:val="24"/>
          <w:lang w:eastAsia="zh-CN"/>
        </w:rPr>
        <w:t>,</w:t>
      </w:r>
      <w:r w:rsidRPr="0027683C">
        <w:rPr>
          <w:rFonts w:ascii="Book Antiqua" w:hAnsi="Book Antiqua"/>
          <w:color w:val="000000"/>
          <w:sz w:val="24"/>
          <w:szCs w:val="24"/>
          <w:lang w:eastAsia="zh-CN"/>
        </w:rPr>
        <w:t xml:space="preserve"> </w:t>
      </w:r>
      <w:r w:rsidRPr="0027683C">
        <w:rPr>
          <w:rFonts w:ascii="Book Antiqua" w:hAnsi="Book Antiqua"/>
          <w:color w:val="000000"/>
          <w:sz w:val="24"/>
          <w:szCs w:val="24"/>
          <w:lang w:val="en-US"/>
        </w:rPr>
        <w:t>Gastrenterology Unit, Pediatric Department</w:t>
      </w:r>
      <w:r w:rsidRPr="0027683C">
        <w:rPr>
          <w:rFonts w:ascii="Book Antiqua" w:hAnsi="Book Antiqua"/>
          <w:b/>
          <w:bCs/>
          <w:color w:val="000000"/>
          <w:sz w:val="24"/>
          <w:szCs w:val="24"/>
          <w:lang w:val="en-US" w:eastAsia="zh-CN"/>
        </w:rPr>
        <w:t xml:space="preserve">, </w:t>
      </w:r>
      <w:r w:rsidRPr="0027683C">
        <w:rPr>
          <w:rFonts w:ascii="Book Antiqua" w:hAnsi="Book Antiqua"/>
          <w:color w:val="000000"/>
          <w:sz w:val="24"/>
          <w:szCs w:val="24"/>
          <w:lang w:val="en-US"/>
        </w:rPr>
        <w:t>CHLN, EPE</w:t>
      </w:r>
      <w:r w:rsidRPr="0027683C">
        <w:rPr>
          <w:rFonts w:ascii="Book Antiqua" w:hAnsi="Book Antiqua"/>
          <w:color w:val="000000"/>
          <w:sz w:val="24"/>
          <w:szCs w:val="24"/>
          <w:lang w:val="en-US" w:eastAsia="zh-CN"/>
        </w:rPr>
        <w:t>-</w:t>
      </w:r>
      <w:r w:rsidRPr="0027683C">
        <w:rPr>
          <w:rFonts w:ascii="Book Antiqua" w:hAnsi="Book Antiqua"/>
          <w:color w:val="000000"/>
          <w:sz w:val="24"/>
          <w:szCs w:val="24"/>
          <w:lang w:val="en-US"/>
        </w:rPr>
        <w:t>University Hospital Santa Maria</w:t>
      </w:r>
      <w:r w:rsidRPr="0027683C">
        <w:rPr>
          <w:rFonts w:ascii="Book Antiqua" w:hAnsi="Book Antiqua"/>
          <w:b/>
          <w:bCs/>
          <w:color w:val="000000"/>
          <w:sz w:val="24"/>
          <w:szCs w:val="24"/>
          <w:lang w:val="en-US" w:eastAsia="zh-CN"/>
        </w:rPr>
        <w:t xml:space="preserve">, </w:t>
      </w:r>
      <w:r w:rsidRPr="0027683C">
        <w:rPr>
          <w:rFonts w:ascii="Book Antiqua" w:hAnsi="Book Antiqua"/>
          <w:color w:val="000000"/>
          <w:sz w:val="24"/>
          <w:szCs w:val="24"/>
          <w:lang w:val="en-US"/>
        </w:rPr>
        <w:t>Lisbon Medical Academic Centre</w:t>
      </w:r>
      <w:r w:rsidRPr="0027683C">
        <w:rPr>
          <w:rFonts w:ascii="Book Antiqua" w:hAnsi="Book Antiqua"/>
          <w:b/>
          <w:bCs/>
          <w:color w:val="000000"/>
          <w:sz w:val="24"/>
          <w:szCs w:val="24"/>
          <w:lang w:val="en-US" w:eastAsia="zh-CN"/>
        </w:rPr>
        <w:t xml:space="preserve">, </w:t>
      </w:r>
      <w:r w:rsidRPr="0027683C">
        <w:rPr>
          <w:rFonts w:ascii="Book Antiqua" w:hAnsi="Book Antiqua"/>
          <w:color w:val="000000"/>
          <w:sz w:val="24"/>
          <w:szCs w:val="24"/>
          <w:lang w:val="en-US"/>
        </w:rPr>
        <w:t xml:space="preserve">Av. </w:t>
      </w:r>
      <w:r w:rsidRPr="006B67EE">
        <w:rPr>
          <w:rFonts w:ascii="Book Antiqua" w:hAnsi="Book Antiqua"/>
          <w:color w:val="000000"/>
          <w:sz w:val="24"/>
          <w:szCs w:val="24"/>
          <w:lang w:val="es-ES"/>
        </w:rPr>
        <w:t>Prof. Egas Moniz</w:t>
      </w:r>
      <w:r w:rsidRPr="006B67EE">
        <w:rPr>
          <w:rFonts w:ascii="Book Antiqua" w:hAnsi="Book Antiqua"/>
          <w:b/>
          <w:bCs/>
          <w:color w:val="000000"/>
          <w:sz w:val="24"/>
          <w:szCs w:val="24"/>
          <w:lang w:val="es-ES" w:eastAsia="zh-CN"/>
        </w:rPr>
        <w:t xml:space="preserve">, </w:t>
      </w:r>
      <w:r w:rsidRPr="006B67EE">
        <w:rPr>
          <w:rFonts w:ascii="Book Antiqua" w:hAnsi="Book Antiqua"/>
          <w:color w:val="000000"/>
          <w:sz w:val="24"/>
          <w:szCs w:val="24"/>
          <w:lang w:val="es-ES"/>
        </w:rPr>
        <w:t>1649-035 Lisboa</w:t>
      </w:r>
      <w:r w:rsidRPr="006B67EE">
        <w:rPr>
          <w:rFonts w:ascii="Book Antiqua" w:hAnsi="Book Antiqua"/>
          <w:color w:val="000000"/>
          <w:sz w:val="24"/>
          <w:szCs w:val="24"/>
          <w:lang w:val="es-ES" w:eastAsia="zh-CN"/>
        </w:rPr>
        <w:t>, Portugal. anaisalopes@sapo.pt</w:t>
      </w:r>
    </w:p>
    <w:p w:rsidR="00CE40A9" w:rsidRPr="006B67EE" w:rsidRDefault="00CE40A9" w:rsidP="00197E9C">
      <w:pPr>
        <w:autoSpaceDE w:val="0"/>
        <w:autoSpaceDN w:val="0"/>
        <w:adjustRightInd w:val="0"/>
        <w:spacing w:after="0" w:line="360" w:lineRule="auto"/>
        <w:jc w:val="both"/>
        <w:rPr>
          <w:rFonts w:ascii="Book Antiqua" w:hAnsi="Book Antiqua"/>
          <w:color w:val="000000"/>
          <w:sz w:val="24"/>
          <w:szCs w:val="24"/>
          <w:lang w:val="es-ES" w:eastAsia="zh-CN"/>
        </w:rPr>
      </w:pPr>
      <w:r w:rsidRPr="006B67EE">
        <w:rPr>
          <w:rFonts w:ascii="Book Antiqua" w:hAnsi="Book Antiqua"/>
          <w:b/>
          <w:color w:val="000000"/>
          <w:sz w:val="24"/>
          <w:szCs w:val="24"/>
          <w:lang w:val="es-ES" w:eastAsia="zh-CN"/>
        </w:rPr>
        <w:t>Tele</w:t>
      </w:r>
      <w:r w:rsidRPr="006B67EE">
        <w:rPr>
          <w:rFonts w:ascii="Book Antiqua" w:hAnsi="Book Antiqua"/>
          <w:b/>
          <w:color w:val="000000"/>
          <w:sz w:val="24"/>
          <w:szCs w:val="24"/>
          <w:lang w:val="es-ES"/>
        </w:rPr>
        <w:t>phone</w:t>
      </w:r>
      <w:r w:rsidRPr="006B67EE">
        <w:rPr>
          <w:rFonts w:ascii="Book Antiqua" w:hAnsi="Book Antiqua"/>
          <w:color w:val="000000"/>
          <w:sz w:val="24"/>
          <w:szCs w:val="24"/>
          <w:lang w:val="es-ES"/>
        </w:rPr>
        <w:t>: +351</w:t>
      </w:r>
      <w:r w:rsidRPr="006B67EE">
        <w:rPr>
          <w:rFonts w:ascii="Book Antiqua" w:hAnsi="Book Antiqua"/>
          <w:color w:val="000000"/>
          <w:sz w:val="24"/>
          <w:szCs w:val="24"/>
          <w:lang w:val="es-ES" w:eastAsia="zh-CN"/>
        </w:rPr>
        <w:t>-</w:t>
      </w:r>
      <w:r w:rsidRPr="006B67EE">
        <w:rPr>
          <w:rFonts w:ascii="Book Antiqua" w:hAnsi="Book Antiqua"/>
          <w:color w:val="000000"/>
          <w:sz w:val="24"/>
          <w:szCs w:val="24"/>
          <w:lang w:val="es-ES"/>
        </w:rPr>
        <w:t>91-9075306</w:t>
      </w:r>
      <w:r w:rsidRPr="006B67EE">
        <w:rPr>
          <w:rFonts w:ascii="Book Antiqua" w:hAnsi="Book Antiqua"/>
          <w:color w:val="000000"/>
          <w:sz w:val="24"/>
          <w:szCs w:val="24"/>
          <w:lang w:val="es-ES" w:eastAsia="zh-CN"/>
        </w:rPr>
        <w:tab/>
      </w:r>
      <w:r w:rsidRPr="006B67EE">
        <w:rPr>
          <w:rFonts w:ascii="Book Antiqua" w:hAnsi="Book Antiqua"/>
          <w:color w:val="000000"/>
          <w:sz w:val="24"/>
          <w:szCs w:val="24"/>
          <w:lang w:val="es-ES" w:eastAsia="zh-CN"/>
        </w:rPr>
        <w:tab/>
      </w:r>
      <w:r w:rsidRPr="006B67EE">
        <w:rPr>
          <w:rFonts w:ascii="Book Antiqua" w:hAnsi="Book Antiqua"/>
          <w:b/>
          <w:color w:val="000000"/>
          <w:sz w:val="24"/>
          <w:szCs w:val="24"/>
          <w:lang w:val="es-ES" w:eastAsia="zh-CN"/>
        </w:rPr>
        <w:t>Fax</w:t>
      </w:r>
      <w:r w:rsidRPr="006B67EE">
        <w:rPr>
          <w:rFonts w:ascii="Book Antiqua" w:hAnsi="Book Antiqua"/>
          <w:color w:val="000000"/>
          <w:sz w:val="24"/>
          <w:szCs w:val="24"/>
          <w:lang w:val="es-ES" w:eastAsia="zh-CN"/>
        </w:rPr>
        <w:t xml:space="preserve">: </w:t>
      </w:r>
      <w:r w:rsidRPr="006B67EE">
        <w:rPr>
          <w:rFonts w:ascii="Book Antiqua" w:hAnsi="Book Antiqua"/>
          <w:color w:val="000000"/>
          <w:sz w:val="24"/>
          <w:szCs w:val="24"/>
          <w:lang w:val="es-ES"/>
        </w:rPr>
        <w:t>+351</w:t>
      </w:r>
      <w:r w:rsidRPr="006B67EE">
        <w:rPr>
          <w:rFonts w:ascii="Book Antiqua" w:hAnsi="Book Antiqua"/>
          <w:color w:val="000000"/>
          <w:sz w:val="24"/>
          <w:szCs w:val="24"/>
          <w:lang w:val="es-ES" w:eastAsia="zh-CN"/>
        </w:rPr>
        <w:t>-</w:t>
      </w:r>
      <w:r w:rsidRPr="006B67EE">
        <w:rPr>
          <w:rFonts w:ascii="Book Antiqua" w:hAnsi="Book Antiqua"/>
          <w:color w:val="000000"/>
          <w:sz w:val="24"/>
          <w:szCs w:val="24"/>
          <w:lang w:val="es-ES"/>
        </w:rPr>
        <w:t>91-9075306</w:t>
      </w:r>
    </w:p>
    <w:p w:rsidR="00CE40A9" w:rsidRPr="006B67EE" w:rsidRDefault="00CE40A9" w:rsidP="00197E9C">
      <w:pPr>
        <w:autoSpaceDE w:val="0"/>
        <w:autoSpaceDN w:val="0"/>
        <w:adjustRightInd w:val="0"/>
        <w:spacing w:after="0" w:line="360" w:lineRule="auto"/>
        <w:jc w:val="both"/>
        <w:rPr>
          <w:rFonts w:ascii="Book Antiqua" w:hAnsi="Book Antiqua"/>
          <w:b/>
          <w:bCs/>
          <w:color w:val="000000"/>
          <w:sz w:val="24"/>
          <w:szCs w:val="24"/>
          <w:lang w:val="es-ES"/>
        </w:rPr>
      </w:pPr>
    </w:p>
    <w:p w:rsidR="00CE40A9" w:rsidRPr="0027683C" w:rsidRDefault="00CE40A9" w:rsidP="00197E9C">
      <w:pPr>
        <w:spacing w:after="0" w:line="360" w:lineRule="auto"/>
        <w:jc w:val="both"/>
        <w:rPr>
          <w:rFonts w:ascii="Book Antiqua" w:hAnsi="Book Antiqua"/>
          <w:color w:val="000000"/>
          <w:sz w:val="24"/>
          <w:szCs w:val="24"/>
          <w:lang w:val="en-US" w:eastAsia="zh-CN"/>
        </w:rPr>
      </w:pPr>
      <w:bookmarkStart w:id="4" w:name="OLE_LINK4"/>
      <w:bookmarkStart w:id="5" w:name="OLE_LINK5"/>
      <w:bookmarkStart w:id="6" w:name="OLE_LINK332"/>
      <w:r w:rsidRPr="0027683C">
        <w:rPr>
          <w:rFonts w:ascii="Book Antiqua" w:hAnsi="Book Antiqua"/>
          <w:b/>
          <w:color w:val="000000"/>
          <w:sz w:val="24"/>
          <w:szCs w:val="24"/>
          <w:lang w:val="en-US"/>
        </w:rPr>
        <w:lastRenderedPageBreak/>
        <w:t xml:space="preserve">Received: </w:t>
      </w:r>
      <w:r w:rsidRPr="0027683C">
        <w:rPr>
          <w:rFonts w:ascii="Book Antiqua" w:hAnsi="Book Antiqua"/>
          <w:color w:val="000000"/>
          <w:sz w:val="24"/>
          <w:szCs w:val="24"/>
          <w:lang w:val="en-US" w:eastAsia="zh-CN"/>
        </w:rPr>
        <w:t>December 31</w:t>
      </w:r>
      <w:r w:rsidRPr="0027683C">
        <w:rPr>
          <w:rFonts w:ascii="Book Antiqua" w:hAnsi="Book Antiqua"/>
          <w:color w:val="000000"/>
          <w:sz w:val="24"/>
          <w:szCs w:val="24"/>
          <w:lang w:val="en-US"/>
        </w:rPr>
        <w:t>, 2013</w:t>
      </w:r>
      <w:r w:rsidRPr="0027683C">
        <w:rPr>
          <w:rFonts w:ascii="Book Antiqua" w:hAnsi="Book Antiqua"/>
          <w:color w:val="000000"/>
          <w:sz w:val="24"/>
          <w:szCs w:val="24"/>
          <w:lang w:val="en-US" w:eastAsia="zh-CN"/>
        </w:rPr>
        <w:tab/>
      </w:r>
      <w:r w:rsidRPr="0027683C">
        <w:rPr>
          <w:rFonts w:ascii="Book Antiqua" w:hAnsi="Book Antiqua"/>
          <w:b/>
          <w:color w:val="000000"/>
          <w:sz w:val="24"/>
          <w:szCs w:val="24"/>
          <w:lang w:val="en-US"/>
        </w:rPr>
        <w:t>Revised:</w:t>
      </w:r>
      <w:r w:rsidRPr="0027683C">
        <w:rPr>
          <w:rFonts w:ascii="Book Antiqua" w:hAnsi="Book Antiqua"/>
          <w:b/>
          <w:color w:val="000000"/>
          <w:sz w:val="24"/>
          <w:szCs w:val="24"/>
          <w:lang w:val="en-US" w:eastAsia="zh-CN"/>
        </w:rPr>
        <w:t xml:space="preserve"> </w:t>
      </w:r>
      <w:r w:rsidRPr="0027683C">
        <w:rPr>
          <w:rFonts w:ascii="Book Antiqua" w:hAnsi="Book Antiqua"/>
          <w:color w:val="000000"/>
          <w:sz w:val="24"/>
          <w:szCs w:val="24"/>
          <w:lang w:val="en-US" w:eastAsia="zh-CN"/>
        </w:rPr>
        <w:t>March 10, 2014</w:t>
      </w:r>
    </w:p>
    <w:p w:rsidR="00286D3E" w:rsidRPr="00A13FFF" w:rsidRDefault="00CE40A9" w:rsidP="00286D3E">
      <w:pPr>
        <w:rPr>
          <w:rFonts w:ascii="Book Antiqua" w:hAnsi="Book Antiqua"/>
          <w:sz w:val="24"/>
          <w:szCs w:val="24"/>
        </w:rPr>
      </w:pPr>
      <w:r w:rsidRPr="0027683C">
        <w:rPr>
          <w:rFonts w:ascii="Book Antiqua" w:hAnsi="Book Antiqua"/>
          <w:b/>
          <w:color w:val="000000"/>
          <w:sz w:val="24"/>
          <w:szCs w:val="24"/>
          <w:lang w:val="en-US"/>
        </w:rPr>
        <w:t xml:space="preserve">Accepted: </w:t>
      </w:r>
      <w:r w:rsidR="00286D3E" w:rsidRPr="00A13FFF">
        <w:rPr>
          <w:rFonts w:ascii="Book Antiqua" w:hAnsi="Book Antiqua"/>
          <w:sz w:val="24"/>
          <w:szCs w:val="24"/>
        </w:rPr>
        <w:t>April 28, 2014</w:t>
      </w:r>
    </w:p>
    <w:p w:rsidR="00CE40A9" w:rsidRPr="0027683C" w:rsidRDefault="00CE40A9" w:rsidP="00197E9C">
      <w:pPr>
        <w:spacing w:after="0" w:line="360" w:lineRule="auto"/>
        <w:jc w:val="both"/>
        <w:rPr>
          <w:rFonts w:ascii="Book Antiqua" w:hAnsi="Book Antiqua"/>
          <w:b/>
          <w:color w:val="000000"/>
          <w:sz w:val="24"/>
          <w:szCs w:val="24"/>
          <w:lang w:val="en-US"/>
        </w:rPr>
      </w:pPr>
      <w:bookmarkStart w:id="7" w:name="_GoBack"/>
      <w:bookmarkEnd w:id="7"/>
    </w:p>
    <w:p w:rsidR="00CE40A9" w:rsidRPr="0027683C" w:rsidRDefault="00CE40A9" w:rsidP="00197E9C">
      <w:pPr>
        <w:spacing w:after="0" w:line="360" w:lineRule="auto"/>
        <w:jc w:val="both"/>
        <w:rPr>
          <w:rFonts w:ascii="Book Antiqua" w:hAnsi="Book Antiqua"/>
          <w:color w:val="000000"/>
          <w:sz w:val="24"/>
          <w:szCs w:val="24"/>
          <w:lang w:val="en-US"/>
        </w:rPr>
      </w:pPr>
      <w:r w:rsidRPr="0027683C">
        <w:rPr>
          <w:rFonts w:ascii="Book Antiqua" w:hAnsi="Book Antiqua"/>
          <w:b/>
          <w:color w:val="000000"/>
          <w:sz w:val="24"/>
          <w:szCs w:val="24"/>
          <w:lang w:val="en-US"/>
        </w:rPr>
        <w:t xml:space="preserve">Published online: </w:t>
      </w:r>
    </w:p>
    <w:bookmarkEnd w:id="4"/>
    <w:bookmarkEnd w:id="5"/>
    <w:bookmarkEnd w:id="6"/>
    <w:p w:rsidR="00CE40A9" w:rsidRPr="0027683C" w:rsidRDefault="00CE40A9" w:rsidP="00197E9C">
      <w:pPr>
        <w:autoSpaceDE w:val="0"/>
        <w:autoSpaceDN w:val="0"/>
        <w:adjustRightInd w:val="0"/>
        <w:spacing w:after="0" w:line="360" w:lineRule="auto"/>
        <w:jc w:val="both"/>
        <w:rPr>
          <w:rFonts w:ascii="Book Antiqua" w:hAnsi="Book Antiqua"/>
          <w:b/>
          <w:bCs/>
          <w:color w:val="000000"/>
          <w:sz w:val="24"/>
          <w:szCs w:val="24"/>
          <w:lang w:val="en-US"/>
        </w:rPr>
      </w:pPr>
    </w:p>
    <w:p w:rsidR="00CE40A9" w:rsidRPr="0027683C" w:rsidRDefault="00CE40A9" w:rsidP="00197E9C">
      <w:pPr>
        <w:autoSpaceDE w:val="0"/>
        <w:autoSpaceDN w:val="0"/>
        <w:adjustRightInd w:val="0"/>
        <w:spacing w:after="0" w:line="360" w:lineRule="auto"/>
        <w:jc w:val="both"/>
        <w:rPr>
          <w:rFonts w:ascii="Book Antiqua" w:hAnsi="Book Antiqua"/>
          <w:b/>
          <w:bCs/>
          <w:color w:val="000000"/>
          <w:sz w:val="24"/>
          <w:szCs w:val="24"/>
          <w:lang w:val="en-US"/>
        </w:rPr>
      </w:pPr>
    </w:p>
    <w:p w:rsidR="00CE40A9" w:rsidRPr="0027683C" w:rsidRDefault="00CE40A9" w:rsidP="00197E9C">
      <w:pPr>
        <w:autoSpaceDE w:val="0"/>
        <w:autoSpaceDN w:val="0"/>
        <w:adjustRightInd w:val="0"/>
        <w:spacing w:after="0" w:line="360" w:lineRule="auto"/>
        <w:jc w:val="both"/>
        <w:rPr>
          <w:rFonts w:ascii="Book Antiqua" w:hAnsi="Book Antiqua"/>
          <w:b/>
          <w:bCs/>
          <w:color w:val="000000"/>
          <w:sz w:val="24"/>
          <w:szCs w:val="24"/>
          <w:lang w:val="en-US"/>
        </w:rPr>
      </w:pPr>
    </w:p>
    <w:p w:rsidR="00CE40A9" w:rsidRPr="0027683C" w:rsidRDefault="00CE40A9" w:rsidP="00197E9C">
      <w:pPr>
        <w:autoSpaceDE w:val="0"/>
        <w:autoSpaceDN w:val="0"/>
        <w:adjustRightInd w:val="0"/>
        <w:spacing w:after="0" w:line="360" w:lineRule="auto"/>
        <w:jc w:val="both"/>
        <w:rPr>
          <w:rFonts w:ascii="Book Antiqua" w:hAnsi="Book Antiqua"/>
          <w:b/>
          <w:bCs/>
          <w:color w:val="000000"/>
          <w:sz w:val="24"/>
          <w:szCs w:val="24"/>
          <w:lang w:val="en-US"/>
        </w:rPr>
      </w:pPr>
    </w:p>
    <w:p w:rsidR="00CE40A9" w:rsidRPr="0027683C" w:rsidRDefault="00CE40A9" w:rsidP="00197E9C">
      <w:pPr>
        <w:autoSpaceDE w:val="0"/>
        <w:autoSpaceDN w:val="0"/>
        <w:adjustRightInd w:val="0"/>
        <w:spacing w:after="0" w:line="360" w:lineRule="auto"/>
        <w:jc w:val="both"/>
        <w:rPr>
          <w:rFonts w:ascii="Book Antiqua" w:hAnsi="Book Antiqua"/>
          <w:b/>
          <w:bCs/>
          <w:color w:val="000000"/>
          <w:sz w:val="24"/>
          <w:szCs w:val="24"/>
          <w:lang w:val="en-US"/>
        </w:rPr>
      </w:pPr>
    </w:p>
    <w:p w:rsidR="00CE40A9" w:rsidRPr="0027683C" w:rsidRDefault="00CE40A9" w:rsidP="00197E9C">
      <w:pPr>
        <w:autoSpaceDE w:val="0"/>
        <w:autoSpaceDN w:val="0"/>
        <w:adjustRightInd w:val="0"/>
        <w:spacing w:after="0" w:line="360" w:lineRule="auto"/>
        <w:jc w:val="both"/>
        <w:rPr>
          <w:rFonts w:ascii="Book Antiqua" w:hAnsi="Book Antiqua"/>
          <w:b/>
          <w:bCs/>
          <w:color w:val="000000"/>
          <w:sz w:val="24"/>
          <w:szCs w:val="24"/>
          <w:lang w:val="en-US"/>
        </w:rPr>
      </w:pPr>
    </w:p>
    <w:p w:rsidR="00CE40A9" w:rsidRPr="0027683C" w:rsidRDefault="00CE40A9" w:rsidP="00197E9C">
      <w:pPr>
        <w:autoSpaceDE w:val="0"/>
        <w:autoSpaceDN w:val="0"/>
        <w:adjustRightInd w:val="0"/>
        <w:spacing w:after="0" w:line="360" w:lineRule="auto"/>
        <w:jc w:val="both"/>
        <w:rPr>
          <w:rFonts w:ascii="Book Antiqua" w:hAnsi="Book Antiqua"/>
          <w:b/>
          <w:bCs/>
          <w:color w:val="000000"/>
          <w:sz w:val="24"/>
          <w:szCs w:val="24"/>
          <w:lang w:val="en-US"/>
        </w:rPr>
      </w:pPr>
    </w:p>
    <w:p w:rsidR="00CE40A9" w:rsidRPr="0027683C" w:rsidRDefault="00CE40A9" w:rsidP="00197E9C">
      <w:pPr>
        <w:autoSpaceDE w:val="0"/>
        <w:autoSpaceDN w:val="0"/>
        <w:adjustRightInd w:val="0"/>
        <w:spacing w:after="0" w:line="360" w:lineRule="auto"/>
        <w:jc w:val="both"/>
        <w:rPr>
          <w:rFonts w:ascii="Book Antiqua" w:hAnsi="Book Antiqua"/>
          <w:b/>
          <w:bCs/>
          <w:color w:val="000000"/>
          <w:sz w:val="24"/>
          <w:szCs w:val="24"/>
          <w:lang w:val="en-US" w:eastAsia="zh-CN"/>
        </w:rPr>
      </w:pPr>
    </w:p>
    <w:p w:rsidR="00CE40A9" w:rsidRPr="0027683C" w:rsidRDefault="00CE40A9" w:rsidP="00197E9C">
      <w:pPr>
        <w:spacing w:after="0" w:line="240" w:lineRule="auto"/>
        <w:rPr>
          <w:rFonts w:ascii="Book Antiqua" w:hAnsi="Book Antiqua"/>
          <w:b/>
          <w:bCs/>
          <w:color w:val="000000"/>
          <w:sz w:val="24"/>
          <w:szCs w:val="24"/>
          <w:lang w:val="en-US"/>
        </w:rPr>
      </w:pPr>
      <w:r w:rsidRPr="0027683C">
        <w:rPr>
          <w:rFonts w:ascii="Book Antiqua" w:hAnsi="Book Antiqua"/>
          <w:b/>
          <w:bCs/>
          <w:color w:val="000000"/>
          <w:sz w:val="24"/>
          <w:szCs w:val="24"/>
          <w:lang w:val="en-US"/>
        </w:rPr>
        <w:br w:type="page"/>
      </w:r>
    </w:p>
    <w:p w:rsidR="00CE40A9" w:rsidRPr="0027683C" w:rsidRDefault="00CE40A9" w:rsidP="00197E9C">
      <w:pPr>
        <w:autoSpaceDE w:val="0"/>
        <w:autoSpaceDN w:val="0"/>
        <w:adjustRightInd w:val="0"/>
        <w:spacing w:after="0" w:line="360" w:lineRule="auto"/>
        <w:jc w:val="both"/>
        <w:rPr>
          <w:rFonts w:ascii="Book Antiqua" w:hAnsi="Book Antiqua"/>
          <w:b/>
          <w:bCs/>
          <w:color w:val="000000"/>
          <w:sz w:val="24"/>
          <w:szCs w:val="24"/>
          <w:lang w:val="en-US" w:eastAsia="zh-CN"/>
        </w:rPr>
      </w:pPr>
      <w:r w:rsidRPr="0027683C">
        <w:rPr>
          <w:rFonts w:ascii="Book Antiqua" w:hAnsi="Book Antiqua"/>
          <w:b/>
          <w:bCs/>
          <w:color w:val="000000"/>
          <w:sz w:val="24"/>
          <w:szCs w:val="24"/>
          <w:lang w:val="en-US"/>
        </w:rPr>
        <w:t>Abstract</w:t>
      </w:r>
    </w:p>
    <w:p w:rsidR="00CE40A9" w:rsidRPr="0027683C" w:rsidRDefault="00CE40A9" w:rsidP="00197E9C">
      <w:pPr>
        <w:autoSpaceDE w:val="0"/>
        <w:autoSpaceDN w:val="0"/>
        <w:adjustRightInd w:val="0"/>
        <w:spacing w:after="0" w:line="360" w:lineRule="auto"/>
        <w:jc w:val="both"/>
        <w:rPr>
          <w:rFonts w:ascii="Book Antiqua" w:hAnsi="Book Antiqua"/>
          <w:color w:val="000000"/>
          <w:sz w:val="24"/>
          <w:szCs w:val="24"/>
          <w:lang w:val="en-US" w:eastAsia="zh-CN"/>
        </w:rPr>
      </w:pPr>
      <w:r w:rsidRPr="0027683C">
        <w:rPr>
          <w:rFonts w:ascii="Book Antiqua" w:hAnsi="Book Antiqua"/>
          <w:b/>
          <w:color w:val="000000"/>
          <w:sz w:val="24"/>
          <w:szCs w:val="24"/>
          <w:lang w:val="en-US" w:eastAsia="zh-CN"/>
        </w:rPr>
        <w:t>AIM:</w:t>
      </w:r>
      <w:r w:rsidRPr="0027683C">
        <w:rPr>
          <w:rFonts w:ascii="Book Antiqua" w:hAnsi="Book Antiqua"/>
          <w:color w:val="000000"/>
          <w:sz w:val="24"/>
          <w:szCs w:val="24"/>
          <w:lang w:val="en-US" w:eastAsia="zh-CN"/>
        </w:rPr>
        <w:t xml:space="preserve"> </w:t>
      </w:r>
      <w:r w:rsidRPr="0027683C">
        <w:rPr>
          <w:rFonts w:ascii="Book Antiqua" w:hAnsi="Book Antiqua"/>
          <w:color w:val="000000"/>
          <w:sz w:val="24"/>
          <w:szCs w:val="24"/>
          <w:lang w:val="en-US"/>
        </w:rPr>
        <w:t>To characterize clinical, laboratorial and histological profile of pediatric autoimmune gastritis in the setting of unexplained iron deficiency anemia investigation</w:t>
      </w:r>
      <w:r w:rsidRPr="0027683C">
        <w:rPr>
          <w:rFonts w:ascii="Book Antiqua" w:hAnsi="Book Antiqua"/>
          <w:color w:val="000000"/>
          <w:sz w:val="24"/>
          <w:szCs w:val="24"/>
          <w:lang w:val="en-US" w:eastAsia="zh-CN"/>
        </w:rPr>
        <w:t>.</w:t>
      </w:r>
    </w:p>
    <w:p w:rsidR="00CE40A9" w:rsidRPr="0027683C" w:rsidRDefault="00CE40A9" w:rsidP="00197E9C">
      <w:pPr>
        <w:autoSpaceDE w:val="0"/>
        <w:autoSpaceDN w:val="0"/>
        <w:adjustRightInd w:val="0"/>
        <w:spacing w:after="0" w:line="360" w:lineRule="auto"/>
        <w:jc w:val="both"/>
        <w:rPr>
          <w:rFonts w:ascii="Book Antiqua" w:hAnsi="Book Antiqua"/>
          <w:color w:val="000000"/>
          <w:sz w:val="24"/>
          <w:szCs w:val="24"/>
          <w:lang w:val="en-US" w:eastAsia="zh-CN"/>
        </w:rPr>
      </w:pPr>
    </w:p>
    <w:p w:rsidR="00CE40A9" w:rsidRPr="0027683C" w:rsidRDefault="00CE40A9" w:rsidP="00197E9C">
      <w:pPr>
        <w:autoSpaceDE w:val="0"/>
        <w:autoSpaceDN w:val="0"/>
        <w:adjustRightInd w:val="0"/>
        <w:spacing w:after="0" w:line="360" w:lineRule="auto"/>
        <w:jc w:val="both"/>
        <w:rPr>
          <w:rFonts w:ascii="Book Antiqua" w:hAnsi="Book Antiqua"/>
          <w:color w:val="000000"/>
          <w:sz w:val="24"/>
          <w:szCs w:val="24"/>
          <w:lang w:val="en-US" w:eastAsia="zh-CN"/>
        </w:rPr>
      </w:pPr>
      <w:r w:rsidRPr="0027683C">
        <w:rPr>
          <w:rFonts w:ascii="Book Antiqua" w:hAnsi="Book Antiqua"/>
          <w:b/>
          <w:color w:val="000000"/>
          <w:sz w:val="24"/>
          <w:szCs w:val="24"/>
          <w:lang w:val="en-US"/>
        </w:rPr>
        <w:t xml:space="preserve">METHODS: </w:t>
      </w:r>
      <w:r w:rsidRPr="0027683C">
        <w:rPr>
          <w:rFonts w:ascii="Book Antiqua" w:hAnsi="Book Antiqua"/>
          <w:color w:val="000000"/>
          <w:sz w:val="24"/>
          <w:szCs w:val="24"/>
          <w:lang w:val="en-US"/>
        </w:rPr>
        <w:t xml:space="preserve">Descriptive, observational study including pediatric patients with diagnosis of autoimmune gastritis (positive parietal cell antibody and gastric </w:t>
      </w:r>
      <w:r w:rsidRPr="0027683C">
        <w:rPr>
          <w:rFonts w:ascii="Book Antiqua" w:hAnsi="Book Antiqua"/>
          <w:i/>
          <w:iCs/>
          <w:color w:val="000000"/>
          <w:sz w:val="24"/>
          <w:szCs w:val="24"/>
          <w:lang w:val="en-US"/>
        </w:rPr>
        <w:t xml:space="preserve">corpus </w:t>
      </w:r>
      <w:r w:rsidRPr="0027683C">
        <w:rPr>
          <w:rFonts w:ascii="Book Antiqua" w:hAnsi="Book Antiqua"/>
          <w:color w:val="000000"/>
          <w:sz w:val="24"/>
          <w:szCs w:val="24"/>
          <w:lang w:val="en-US"/>
        </w:rPr>
        <w:t xml:space="preserve">atrophy) established in a 6 year period (2006-2011) in the setting of refractory iron deficiency anemia (refractoriness to oral iron therapy for at least 6 months and requirement for intravenous iron therapy) investigation, after exclusion of other potentially contributing causes of anemia. </w:t>
      </w:r>
      <w:r w:rsidRPr="0027683C">
        <w:rPr>
          <w:rFonts w:ascii="Book Antiqua" w:hAnsi="Book Antiqua"/>
          <w:i/>
          <w:color w:val="000000"/>
          <w:sz w:val="24"/>
          <w:szCs w:val="24"/>
          <w:lang w:val="en-US"/>
        </w:rPr>
        <w:t>Helicobacter pylori</w:t>
      </w:r>
      <w:r w:rsidRPr="0027683C">
        <w:rPr>
          <w:rFonts w:ascii="Book Antiqua" w:hAnsi="Book Antiqua"/>
          <w:color w:val="000000"/>
          <w:sz w:val="24"/>
          <w:szCs w:val="24"/>
          <w:lang w:val="en-US"/>
        </w:rPr>
        <w:t xml:space="preserve"> </w:t>
      </w:r>
      <w:r w:rsidRPr="0027683C">
        <w:rPr>
          <w:rFonts w:ascii="Book Antiqua" w:hAnsi="Book Antiqua"/>
          <w:color w:val="000000"/>
          <w:sz w:val="24"/>
          <w:szCs w:val="24"/>
          <w:lang w:val="en-US" w:eastAsia="zh-CN"/>
        </w:rPr>
        <w:t>(</w:t>
      </w:r>
      <w:r w:rsidRPr="0027683C">
        <w:rPr>
          <w:rFonts w:ascii="Book Antiqua" w:hAnsi="Book Antiqua"/>
          <w:i/>
          <w:iCs/>
          <w:sz w:val="24"/>
          <w:szCs w:val="24"/>
          <w:lang w:val="en-US"/>
        </w:rPr>
        <w:t>H. pylori</w:t>
      </w:r>
      <w:r w:rsidRPr="0027683C">
        <w:rPr>
          <w:rFonts w:ascii="Book Antiqua" w:hAnsi="Book Antiqua"/>
          <w:iCs/>
          <w:sz w:val="24"/>
          <w:szCs w:val="24"/>
          <w:lang w:val="en-US" w:eastAsia="zh-CN"/>
        </w:rPr>
        <w:t>)</w:t>
      </w:r>
      <w:r w:rsidRPr="0027683C">
        <w:rPr>
          <w:rFonts w:ascii="Book Antiqua" w:hAnsi="Book Antiqua"/>
          <w:color w:val="000000"/>
          <w:sz w:val="24"/>
          <w:szCs w:val="24"/>
          <w:lang w:val="en-US"/>
        </w:rPr>
        <w:t xml:space="preserve"> infection and anti-secretory therapy were also excluded. Data were retrospectively collected from clinical files, including: demographic data (age, gender, ethnic background), past medical history, gastrointestinal symptoms, familial history, laboratorial evaluation </w:t>
      </w:r>
      <w:r>
        <w:rPr>
          <w:rFonts w:ascii="Book Antiqua" w:hAnsi="Book Antiqua"/>
          <w:color w:val="000000"/>
          <w:sz w:val="24"/>
          <w:szCs w:val="24"/>
          <w:lang w:val="en-US" w:eastAsia="zh-CN"/>
        </w:rPr>
        <w:t>(</w:t>
      </w:r>
      <w:r w:rsidRPr="0027683C">
        <w:rPr>
          <w:rFonts w:ascii="Book Antiqua" w:hAnsi="Book Antiqua"/>
          <w:color w:val="000000"/>
          <w:sz w:val="24"/>
          <w:szCs w:val="24"/>
          <w:lang w:val="en-US"/>
        </w:rPr>
        <w:t>Hb, serum ferritin, serum gastrin, pepsinogen I/ pepsinogen II, B12 vitamin, intrinsic factor autoantibodies, thyroid autoantibodies, an</w:t>
      </w:r>
      <w:r>
        <w:rPr>
          <w:rFonts w:ascii="Book Antiqua" w:hAnsi="Book Antiqua"/>
          <w:color w:val="000000"/>
          <w:sz w:val="24"/>
          <w:szCs w:val="24"/>
          <w:lang w:val="en-US"/>
        </w:rPr>
        <w:t>ti-transglutaminase antibodies</w:t>
      </w:r>
      <w:r w:rsidRPr="0027683C">
        <w:rPr>
          <w:rFonts w:ascii="Book Antiqua" w:hAnsi="Book Antiqua"/>
          <w:color w:val="000000"/>
          <w:sz w:val="24"/>
          <w:szCs w:val="24"/>
          <w:lang w:val="en-US"/>
        </w:rPr>
        <w:t>), endoscopic and histological findings (HE, Periodic Acid–Schiff/Alcian blue, gastrin, chromogranin A and immunochemistry analysis for CD3, CD20 and CD68). Descriptive statistical analysis was performed (mean, median, standard deviation).</w:t>
      </w:r>
    </w:p>
    <w:p w:rsidR="00CE40A9" w:rsidRPr="0027683C" w:rsidRDefault="00CE40A9" w:rsidP="00197E9C">
      <w:pPr>
        <w:autoSpaceDE w:val="0"/>
        <w:autoSpaceDN w:val="0"/>
        <w:adjustRightInd w:val="0"/>
        <w:spacing w:after="0" w:line="360" w:lineRule="auto"/>
        <w:jc w:val="both"/>
        <w:rPr>
          <w:rFonts w:ascii="Book Antiqua" w:hAnsi="Book Antiqua"/>
          <w:color w:val="000000"/>
          <w:sz w:val="24"/>
          <w:szCs w:val="24"/>
          <w:lang w:val="en-US" w:eastAsia="zh-CN"/>
        </w:rPr>
      </w:pPr>
    </w:p>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b/>
          <w:color w:val="000000"/>
          <w:sz w:val="24"/>
          <w:szCs w:val="24"/>
          <w:lang w:val="en-US"/>
        </w:rPr>
        <w:t>RESULTS:</w:t>
      </w:r>
      <w:r w:rsidRPr="0027683C">
        <w:rPr>
          <w:rFonts w:ascii="Book Antiqua" w:hAnsi="Book Antiqua"/>
          <w:color w:val="000000"/>
          <w:sz w:val="24"/>
          <w:szCs w:val="24"/>
          <w:lang w:val="en-US"/>
        </w:rPr>
        <w:t xml:space="preserve">  We report a case-series concerning 3 girls and 2 boys with a </w:t>
      </w:r>
      <w:r w:rsidRPr="0027683C">
        <w:rPr>
          <w:rFonts w:ascii="Book Antiqua" w:hAnsi="Book Antiqua"/>
          <w:sz w:val="24"/>
          <w:szCs w:val="24"/>
          <w:lang w:val="en-US"/>
        </w:rPr>
        <w:t>mean age of 13</w:t>
      </w:r>
      <w:r w:rsidRPr="0027683C">
        <w:rPr>
          <w:rFonts w:ascii="Book Antiqua" w:hAnsi="Book Antiqua"/>
          <w:sz w:val="24"/>
          <w:szCs w:val="24"/>
          <w:lang w:val="en-US" w:eastAsia="zh-CN"/>
        </w:rPr>
        <w:t>.</w:t>
      </w:r>
      <w:r w:rsidRPr="0027683C">
        <w:rPr>
          <w:rFonts w:ascii="Book Antiqua" w:hAnsi="Book Antiqua"/>
          <w:sz w:val="24"/>
          <w:szCs w:val="24"/>
          <w:lang w:val="en-US"/>
        </w:rPr>
        <w:t>6</w:t>
      </w:r>
      <w:r w:rsidRPr="0027683C">
        <w:rPr>
          <w:rFonts w:ascii="Book Antiqua" w:hAnsi="Book Antiqua"/>
          <w:sz w:val="24"/>
          <w:szCs w:val="24"/>
          <w:lang w:val="en-US" w:eastAsia="zh-CN"/>
        </w:rPr>
        <w:t xml:space="preserve"> </w:t>
      </w:r>
      <w:r w:rsidRPr="0027683C">
        <w:rPr>
          <w:rFonts w:ascii="Book Antiqua" w:hAnsi="Book Antiqua"/>
          <w:sz w:val="24"/>
          <w:szCs w:val="24"/>
          <w:lang w:val="en-US"/>
        </w:rPr>
        <w:t>± 2</w:t>
      </w:r>
      <w:r w:rsidRPr="0027683C">
        <w:rPr>
          <w:rFonts w:ascii="Book Antiqua" w:hAnsi="Book Antiqua"/>
          <w:sz w:val="24"/>
          <w:szCs w:val="24"/>
          <w:lang w:val="en-US" w:eastAsia="zh-CN"/>
        </w:rPr>
        <w:t>.</w:t>
      </w:r>
      <w:r w:rsidRPr="0027683C">
        <w:rPr>
          <w:rFonts w:ascii="Book Antiqua" w:hAnsi="Book Antiqua"/>
          <w:sz w:val="24"/>
          <w:szCs w:val="24"/>
          <w:lang w:val="en-US"/>
        </w:rPr>
        <w:t>8 years</w:t>
      </w:r>
      <w:r w:rsidRPr="0027683C">
        <w:rPr>
          <w:rFonts w:ascii="Book Antiqua" w:hAnsi="Book Antiqua"/>
          <w:color w:val="000000"/>
          <w:sz w:val="24"/>
          <w:szCs w:val="24"/>
          <w:lang w:val="en-US"/>
        </w:rPr>
        <w:t xml:space="preserve"> (3 caucasian and 2 african). One girl had type I Diabetes. Familial history was positive in 4/5 cases, respectively for autoimmune thyroiditis (2/5), sarcoidosis (1/5) and multiple myeloma (1/5). Laboratorial evaluation on admission included: Hb: 9.5</w:t>
      </w:r>
      <w:r w:rsidRPr="0027683C">
        <w:rPr>
          <w:rFonts w:ascii="Book Antiqua" w:hAnsi="Book Antiqua"/>
          <w:color w:val="000000"/>
          <w:sz w:val="24"/>
          <w:szCs w:val="24"/>
          <w:lang w:val="en-US" w:eastAsia="zh-CN"/>
        </w:rPr>
        <w:t xml:space="preserve"> </w:t>
      </w:r>
      <w:r w:rsidRPr="0027683C">
        <w:rPr>
          <w:rFonts w:ascii="Book Antiqua" w:hAnsi="Book Antiqua"/>
          <w:color w:val="000000"/>
          <w:sz w:val="24"/>
          <w:szCs w:val="24"/>
          <w:lang w:val="en-US"/>
        </w:rPr>
        <w:t>±</w:t>
      </w:r>
      <w:r w:rsidRPr="0027683C">
        <w:rPr>
          <w:rFonts w:ascii="Book Antiqua" w:hAnsi="Book Antiqua"/>
          <w:color w:val="000000"/>
          <w:sz w:val="24"/>
          <w:szCs w:val="24"/>
          <w:lang w:val="en-US" w:eastAsia="zh-CN"/>
        </w:rPr>
        <w:t xml:space="preserve"> </w:t>
      </w:r>
      <w:r w:rsidRPr="0027683C">
        <w:rPr>
          <w:rFonts w:ascii="Book Antiqua" w:hAnsi="Book Antiqua"/>
          <w:color w:val="000000"/>
          <w:sz w:val="24"/>
          <w:szCs w:val="24"/>
          <w:lang w:val="en-US"/>
        </w:rPr>
        <w:t>0</w:t>
      </w:r>
      <w:r w:rsidRPr="0027683C">
        <w:rPr>
          <w:rFonts w:ascii="Book Antiqua" w:hAnsi="Book Antiqua"/>
          <w:color w:val="000000"/>
          <w:sz w:val="24"/>
          <w:szCs w:val="24"/>
          <w:lang w:val="en-US" w:eastAsia="zh-CN"/>
        </w:rPr>
        <w:t>.</w:t>
      </w:r>
      <w:r w:rsidRPr="0027683C">
        <w:rPr>
          <w:rFonts w:ascii="Book Antiqua" w:hAnsi="Book Antiqua"/>
          <w:color w:val="000000"/>
          <w:sz w:val="24"/>
          <w:szCs w:val="24"/>
          <w:lang w:val="en-US"/>
        </w:rPr>
        <w:t>7 g/dL; serum ferritin: 4</w:t>
      </w:r>
      <w:r w:rsidRPr="0027683C">
        <w:rPr>
          <w:rFonts w:ascii="Book Antiqua" w:hAnsi="Book Antiqua"/>
          <w:color w:val="000000"/>
          <w:sz w:val="24"/>
          <w:szCs w:val="24"/>
          <w:lang w:val="en-US" w:eastAsia="zh-CN"/>
        </w:rPr>
        <w:t>.</w:t>
      </w:r>
      <w:r w:rsidRPr="0027683C">
        <w:rPr>
          <w:rFonts w:ascii="Book Antiqua" w:hAnsi="Book Antiqua"/>
          <w:color w:val="000000"/>
          <w:sz w:val="24"/>
          <w:szCs w:val="24"/>
          <w:lang w:val="en-US"/>
        </w:rPr>
        <w:t>0</w:t>
      </w:r>
      <w:r w:rsidRPr="0027683C">
        <w:rPr>
          <w:rFonts w:ascii="Book Antiqua" w:hAnsi="Book Antiqua"/>
          <w:color w:val="000000"/>
          <w:sz w:val="24"/>
          <w:szCs w:val="24"/>
          <w:lang w:val="en-US" w:eastAsia="zh-CN"/>
        </w:rPr>
        <w:t xml:space="preserve"> </w:t>
      </w:r>
      <w:r w:rsidRPr="0027683C">
        <w:rPr>
          <w:rFonts w:ascii="Book Antiqua" w:hAnsi="Book Antiqua"/>
          <w:color w:val="000000"/>
          <w:sz w:val="24"/>
          <w:szCs w:val="24"/>
          <w:lang w:val="en-US"/>
        </w:rPr>
        <w:t>±</w:t>
      </w:r>
      <w:r w:rsidRPr="0027683C">
        <w:rPr>
          <w:rFonts w:ascii="Book Antiqua" w:hAnsi="Book Antiqua"/>
          <w:color w:val="000000"/>
          <w:sz w:val="24"/>
          <w:szCs w:val="24"/>
          <w:lang w:val="en-US" w:eastAsia="zh-CN"/>
        </w:rPr>
        <w:t xml:space="preserve"> </w:t>
      </w:r>
      <w:r w:rsidRPr="0027683C">
        <w:rPr>
          <w:rFonts w:ascii="Book Antiqua" w:hAnsi="Book Antiqua"/>
          <w:color w:val="000000"/>
          <w:sz w:val="24"/>
          <w:szCs w:val="24"/>
          <w:lang w:val="en-US"/>
        </w:rPr>
        <w:t>0</w:t>
      </w:r>
      <w:r w:rsidRPr="0027683C">
        <w:rPr>
          <w:rFonts w:ascii="Book Antiqua" w:hAnsi="Book Antiqua"/>
          <w:color w:val="000000"/>
          <w:sz w:val="24"/>
          <w:szCs w:val="24"/>
          <w:lang w:val="en-US" w:eastAsia="zh-CN"/>
        </w:rPr>
        <w:t>.</w:t>
      </w:r>
      <w:r w:rsidRPr="0027683C">
        <w:rPr>
          <w:rFonts w:ascii="Book Antiqua" w:hAnsi="Book Antiqua"/>
          <w:color w:val="000000"/>
          <w:sz w:val="24"/>
          <w:szCs w:val="24"/>
          <w:lang w:val="en-US"/>
        </w:rPr>
        <w:t>9</w:t>
      </w:r>
      <w:r w:rsidRPr="0027683C">
        <w:rPr>
          <w:rFonts w:ascii="Book Antiqua" w:hAnsi="Book Antiqua"/>
          <w:color w:val="000000"/>
          <w:sz w:val="24"/>
          <w:szCs w:val="24"/>
          <w:lang w:val="en-US" w:eastAsia="zh-CN"/>
        </w:rPr>
        <w:t xml:space="preserve"> </w:t>
      </w:r>
      <w:r w:rsidRPr="0027683C">
        <w:rPr>
          <w:rFonts w:ascii="Book Antiqua" w:hAnsi="Book Antiqua"/>
          <w:color w:val="000000"/>
          <w:sz w:val="24"/>
          <w:szCs w:val="24"/>
          <w:lang w:val="en-US"/>
        </w:rPr>
        <w:t>ng/mL; serum gastrin: 393</w:t>
      </w:r>
      <w:r w:rsidRPr="0027683C">
        <w:rPr>
          <w:rFonts w:ascii="Book Antiqua" w:hAnsi="Book Antiqua"/>
          <w:color w:val="000000"/>
          <w:sz w:val="24"/>
          <w:szCs w:val="24"/>
          <w:lang w:val="en-US" w:eastAsia="zh-CN"/>
        </w:rPr>
        <w:t xml:space="preserve"> </w:t>
      </w:r>
      <w:r w:rsidRPr="0027683C">
        <w:rPr>
          <w:rFonts w:ascii="Book Antiqua" w:hAnsi="Book Antiqua"/>
          <w:color w:val="000000"/>
          <w:sz w:val="24"/>
          <w:szCs w:val="24"/>
          <w:lang w:val="en-US"/>
        </w:rPr>
        <w:t>±</w:t>
      </w:r>
      <w:r w:rsidRPr="0027683C">
        <w:rPr>
          <w:rFonts w:ascii="Book Antiqua" w:hAnsi="Book Antiqua"/>
          <w:color w:val="000000"/>
          <w:sz w:val="24"/>
          <w:szCs w:val="24"/>
          <w:lang w:val="en-US" w:eastAsia="zh-CN"/>
        </w:rPr>
        <w:t xml:space="preserve"> </w:t>
      </w:r>
      <w:r w:rsidRPr="0027683C">
        <w:rPr>
          <w:rFonts w:ascii="Book Antiqua" w:hAnsi="Book Antiqua"/>
          <w:color w:val="000000"/>
          <w:sz w:val="24"/>
          <w:szCs w:val="24"/>
          <w:lang w:val="en-US"/>
        </w:rPr>
        <w:t xml:space="preserve">286 pg/mL; low pepsinogen I/ pepsinogen II ratio in 1/5 patients; normal vitamin B12 levels (analyzed in 3 patients).  Endoscopy findings included:  duodenal nodularity (2/5) and gastric fold softening (2/5) and histological evaluation showed </w:t>
      </w:r>
      <w:r w:rsidRPr="0027683C">
        <w:rPr>
          <w:rFonts w:ascii="Book Antiqua" w:hAnsi="Book Antiqua"/>
          <w:i/>
          <w:iCs/>
          <w:color w:val="000000"/>
          <w:sz w:val="24"/>
          <w:szCs w:val="24"/>
          <w:lang w:val="en-US"/>
        </w:rPr>
        <w:t xml:space="preserve">corpus </w:t>
      </w:r>
      <w:r w:rsidRPr="0027683C">
        <w:rPr>
          <w:rFonts w:ascii="Book Antiqua" w:hAnsi="Book Antiqua"/>
          <w:color w:val="000000"/>
          <w:sz w:val="24"/>
          <w:szCs w:val="24"/>
          <w:lang w:val="en-US"/>
        </w:rPr>
        <w:t xml:space="preserve">atrophic gastritis with lymphocytic </w:t>
      </w:r>
      <w:r w:rsidRPr="0027683C">
        <w:rPr>
          <w:rFonts w:ascii="Book Antiqua" w:hAnsi="Book Antiqua"/>
          <w:color w:val="000000"/>
          <w:sz w:val="24"/>
          <w:szCs w:val="24"/>
          <w:lang w:val="en-US"/>
        </w:rPr>
        <w:lastRenderedPageBreak/>
        <w:t xml:space="preserve">infiltration (5/5), </w:t>
      </w:r>
      <w:r w:rsidRPr="0027683C">
        <w:rPr>
          <w:rFonts w:ascii="Book Antiqua" w:hAnsi="Book Antiqua"/>
          <w:sz w:val="24"/>
          <w:szCs w:val="24"/>
          <w:lang w:val="en-US"/>
        </w:rPr>
        <w:t>patchy oxyntic gland mononuclear cell infiltration</w:t>
      </w:r>
      <w:r w:rsidRPr="0027683C">
        <w:rPr>
          <w:rFonts w:ascii="Book Antiqua" w:hAnsi="Book Antiqua"/>
          <w:color w:val="000000"/>
          <w:sz w:val="24"/>
          <w:szCs w:val="24"/>
          <w:lang w:val="en-US"/>
        </w:rPr>
        <w:t xml:space="preserve"> (5/5), intestinal and/or pseudo-pyloric metaplasia in </w:t>
      </w:r>
      <w:r w:rsidRPr="0027683C">
        <w:rPr>
          <w:rFonts w:ascii="Book Antiqua" w:hAnsi="Book Antiqua"/>
          <w:i/>
          <w:iCs/>
          <w:color w:val="000000"/>
          <w:sz w:val="24"/>
          <w:szCs w:val="24"/>
          <w:lang w:val="en-US"/>
        </w:rPr>
        <w:t xml:space="preserve">corpus </w:t>
      </w:r>
      <w:r w:rsidRPr="0027683C">
        <w:rPr>
          <w:rFonts w:ascii="Book Antiqua" w:hAnsi="Book Antiqua"/>
          <w:color w:val="000000"/>
          <w:sz w:val="24"/>
          <w:szCs w:val="24"/>
          <w:lang w:val="en-US"/>
        </w:rPr>
        <w:t>mucosa (4/5) and enterochromaffin cell hyperplasia (4/5).</w:t>
      </w:r>
      <w:r w:rsidRPr="0027683C">
        <w:rPr>
          <w:rFonts w:ascii="Book Antiqua" w:hAnsi="Book Antiqua"/>
          <w:sz w:val="24"/>
          <w:szCs w:val="24"/>
          <w:lang w:val="en-US"/>
        </w:rPr>
        <w:t xml:space="preserve"> Immunochemistry for gastrin on </w:t>
      </w:r>
      <w:r w:rsidRPr="0027683C">
        <w:rPr>
          <w:rFonts w:ascii="Book Antiqua" w:hAnsi="Book Antiqua"/>
          <w:i/>
          <w:iCs/>
          <w:sz w:val="24"/>
          <w:szCs w:val="24"/>
          <w:lang w:val="en-US"/>
        </w:rPr>
        <w:t xml:space="preserve">corpus </w:t>
      </w:r>
      <w:r w:rsidRPr="0027683C">
        <w:rPr>
          <w:rFonts w:ascii="Book Antiqua" w:hAnsi="Book Antiqua"/>
          <w:sz w:val="24"/>
          <w:szCs w:val="24"/>
          <w:lang w:val="en-US"/>
        </w:rPr>
        <w:t xml:space="preserve">biopsies was negative in all cases. </w:t>
      </w:r>
      <w:r w:rsidRPr="0027683C">
        <w:rPr>
          <w:rFonts w:ascii="Book Antiqua" w:hAnsi="Book Antiqua"/>
          <w:color w:val="000000"/>
          <w:sz w:val="24"/>
          <w:szCs w:val="24"/>
          <w:lang w:val="en-US"/>
        </w:rPr>
        <w:t xml:space="preserve">Duodenal histology was normal. </w:t>
      </w:r>
      <w:r w:rsidRPr="0027683C">
        <w:rPr>
          <w:rFonts w:ascii="Book Antiqua" w:hAnsi="Book Antiqua"/>
          <w:sz w:val="24"/>
          <w:szCs w:val="24"/>
          <w:lang w:val="en-US"/>
        </w:rPr>
        <w:t xml:space="preserve">All biopsies were negative for </w:t>
      </w:r>
      <w:r w:rsidRPr="0027683C">
        <w:rPr>
          <w:rFonts w:ascii="Book Antiqua" w:hAnsi="Book Antiqua"/>
          <w:i/>
          <w:iCs/>
          <w:sz w:val="24"/>
          <w:szCs w:val="24"/>
          <w:lang w:val="en-US"/>
        </w:rPr>
        <w:t xml:space="preserve">H. pylori </w:t>
      </w:r>
      <w:r w:rsidRPr="0027683C">
        <w:rPr>
          <w:rFonts w:ascii="Book Antiqua" w:hAnsi="Book Antiqua"/>
          <w:sz w:val="24"/>
          <w:szCs w:val="24"/>
          <w:lang w:val="en-US"/>
        </w:rPr>
        <w:t xml:space="preserve">(Giemsa staining and cultural examination). </w:t>
      </w:r>
    </w:p>
    <w:p w:rsidR="00CE40A9" w:rsidRPr="0027683C" w:rsidRDefault="00CE40A9" w:rsidP="00197E9C">
      <w:pPr>
        <w:autoSpaceDE w:val="0"/>
        <w:autoSpaceDN w:val="0"/>
        <w:adjustRightInd w:val="0"/>
        <w:spacing w:after="0" w:line="360" w:lineRule="auto"/>
        <w:jc w:val="both"/>
        <w:rPr>
          <w:rFonts w:ascii="Book Antiqua" w:hAnsi="Book Antiqua"/>
          <w:caps/>
          <w:color w:val="000000"/>
          <w:sz w:val="24"/>
          <w:szCs w:val="24"/>
          <w:lang w:val="en-US" w:eastAsia="zh-CN"/>
        </w:rPr>
      </w:pPr>
    </w:p>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b/>
          <w:caps/>
          <w:color w:val="000000"/>
          <w:sz w:val="24"/>
          <w:szCs w:val="24"/>
          <w:lang w:val="en-US"/>
        </w:rPr>
        <w:t>Conclusion</w:t>
      </w:r>
      <w:r w:rsidRPr="0027683C">
        <w:rPr>
          <w:rFonts w:ascii="Book Antiqua" w:hAnsi="Book Antiqua"/>
          <w:b/>
          <w:color w:val="000000"/>
          <w:sz w:val="24"/>
          <w:szCs w:val="24"/>
          <w:lang w:val="en-US"/>
        </w:rPr>
        <w:t>:</w:t>
      </w:r>
      <w:r w:rsidRPr="0027683C">
        <w:rPr>
          <w:rFonts w:ascii="Book Antiqua" w:hAnsi="Book Antiqua"/>
          <w:color w:val="000000"/>
          <w:sz w:val="24"/>
          <w:szCs w:val="24"/>
          <w:lang w:val="en-US"/>
        </w:rPr>
        <w:t xml:space="preserve"> We highlight autoimmune gastritis as a diagnosis to be considered when investigating refractory iron deficiency anemia in children, particularly in the setting of a personal/familial history of autoimmune disease, as well as </w:t>
      </w:r>
      <w:r w:rsidRPr="0027683C">
        <w:rPr>
          <w:rFonts w:ascii="Book Antiqua" w:hAnsi="Book Antiqua"/>
          <w:sz w:val="24"/>
          <w:szCs w:val="24"/>
          <w:lang w:val="en-US"/>
        </w:rPr>
        <w:t>the diagnostic contribution of a careful immunohistological evaluation.</w:t>
      </w:r>
    </w:p>
    <w:p w:rsidR="00CE40A9" w:rsidRPr="0027683C" w:rsidRDefault="00CE40A9" w:rsidP="00197E9C">
      <w:pPr>
        <w:autoSpaceDE w:val="0"/>
        <w:autoSpaceDN w:val="0"/>
        <w:adjustRightInd w:val="0"/>
        <w:spacing w:after="0" w:line="360" w:lineRule="auto"/>
        <w:jc w:val="both"/>
        <w:rPr>
          <w:rFonts w:ascii="Book Antiqua" w:hAnsi="Book Antiqua"/>
          <w:color w:val="000000"/>
          <w:sz w:val="24"/>
          <w:szCs w:val="24"/>
          <w:lang w:val="en-US" w:eastAsia="zh-CN"/>
        </w:rPr>
      </w:pPr>
    </w:p>
    <w:p w:rsidR="00CE40A9" w:rsidRPr="0027683C" w:rsidRDefault="00CE40A9" w:rsidP="00197E9C">
      <w:pPr>
        <w:spacing w:after="0" w:line="360" w:lineRule="auto"/>
        <w:jc w:val="both"/>
        <w:rPr>
          <w:rFonts w:ascii="Book Antiqua" w:hAnsi="Book Antiqua"/>
          <w:sz w:val="24"/>
          <w:szCs w:val="24"/>
          <w:lang w:val="en-US"/>
        </w:rPr>
      </w:pPr>
      <w:bookmarkStart w:id="8" w:name="OLE_LINK344"/>
      <w:bookmarkStart w:id="9" w:name="OLE_LINK345"/>
      <w:r w:rsidRPr="0027683C">
        <w:rPr>
          <w:rFonts w:ascii="Book Antiqua" w:hAnsi="Book Antiqua"/>
          <w:sz w:val="24"/>
          <w:szCs w:val="24"/>
          <w:lang w:val="en-US"/>
        </w:rPr>
        <w:t>© 2014 Baishideng Publishing Group Co., Limited. All rights reserved.</w:t>
      </w:r>
    </w:p>
    <w:bookmarkEnd w:id="8"/>
    <w:bookmarkEnd w:id="9"/>
    <w:p w:rsidR="00CE40A9" w:rsidRPr="0027683C" w:rsidRDefault="00CE40A9" w:rsidP="00197E9C">
      <w:pPr>
        <w:autoSpaceDE w:val="0"/>
        <w:autoSpaceDN w:val="0"/>
        <w:adjustRightInd w:val="0"/>
        <w:spacing w:after="0" w:line="360" w:lineRule="auto"/>
        <w:jc w:val="both"/>
        <w:rPr>
          <w:rFonts w:ascii="Book Antiqua" w:hAnsi="Book Antiqua"/>
          <w:b/>
          <w:bCs/>
          <w:color w:val="000000"/>
          <w:sz w:val="24"/>
          <w:szCs w:val="24"/>
          <w:lang w:val="en-US"/>
        </w:rPr>
      </w:pPr>
    </w:p>
    <w:p w:rsidR="00CE40A9" w:rsidRPr="0027683C" w:rsidRDefault="00CE40A9" w:rsidP="00197E9C">
      <w:pPr>
        <w:autoSpaceDE w:val="0"/>
        <w:autoSpaceDN w:val="0"/>
        <w:adjustRightInd w:val="0"/>
        <w:spacing w:after="0" w:line="360" w:lineRule="auto"/>
        <w:jc w:val="both"/>
        <w:rPr>
          <w:rFonts w:ascii="Book Antiqua" w:hAnsi="Book Antiqua"/>
          <w:color w:val="000000"/>
          <w:sz w:val="24"/>
          <w:szCs w:val="24"/>
          <w:lang w:val="en-US"/>
        </w:rPr>
      </w:pPr>
      <w:r w:rsidRPr="0027683C">
        <w:rPr>
          <w:rFonts w:ascii="Book Antiqua" w:hAnsi="Book Antiqua"/>
          <w:b/>
          <w:bCs/>
          <w:color w:val="000000"/>
          <w:sz w:val="24"/>
          <w:szCs w:val="24"/>
          <w:lang w:val="en-US"/>
        </w:rPr>
        <w:t>Key</w:t>
      </w:r>
      <w:r w:rsidRPr="0027683C">
        <w:rPr>
          <w:rFonts w:ascii="Book Antiqua" w:hAnsi="Book Antiqua"/>
          <w:b/>
          <w:bCs/>
          <w:color w:val="000000"/>
          <w:sz w:val="24"/>
          <w:szCs w:val="24"/>
          <w:lang w:val="en-US" w:eastAsia="zh-CN"/>
        </w:rPr>
        <w:t xml:space="preserve"> </w:t>
      </w:r>
      <w:r w:rsidRPr="0027683C">
        <w:rPr>
          <w:rFonts w:ascii="Book Antiqua" w:hAnsi="Book Antiqua"/>
          <w:b/>
          <w:bCs/>
          <w:color w:val="000000"/>
          <w:sz w:val="24"/>
          <w:szCs w:val="24"/>
          <w:lang w:val="en-US"/>
        </w:rPr>
        <w:t xml:space="preserve">words: </w:t>
      </w:r>
      <w:r w:rsidRPr="0027683C">
        <w:rPr>
          <w:rFonts w:ascii="Book Antiqua" w:hAnsi="Book Antiqua"/>
          <w:color w:val="000000"/>
          <w:sz w:val="24"/>
          <w:szCs w:val="24"/>
          <w:lang w:val="en-US"/>
        </w:rPr>
        <w:t>Autoimmune gastritis</w:t>
      </w:r>
      <w:r w:rsidRPr="0027683C">
        <w:rPr>
          <w:rFonts w:ascii="Book Antiqua" w:hAnsi="Book Antiqua"/>
          <w:color w:val="000000"/>
          <w:sz w:val="24"/>
          <w:szCs w:val="24"/>
          <w:lang w:val="en-US" w:eastAsia="zh-CN"/>
        </w:rPr>
        <w:t>;</w:t>
      </w:r>
      <w:r w:rsidRPr="0027683C">
        <w:rPr>
          <w:rFonts w:ascii="Book Antiqua" w:hAnsi="Book Antiqua"/>
          <w:color w:val="000000"/>
          <w:sz w:val="24"/>
          <w:szCs w:val="24"/>
          <w:lang w:val="en-US"/>
        </w:rPr>
        <w:t xml:space="preserve"> Iron deficiency anemia</w:t>
      </w:r>
      <w:r w:rsidRPr="0027683C">
        <w:rPr>
          <w:rFonts w:ascii="Book Antiqua" w:hAnsi="Book Antiqua"/>
          <w:color w:val="000000"/>
          <w:sz w:val="24"/>
          <w:szCs w:val="24"/>
          <w:lang w:val="en-US" w:eastAsia="zh-CN"/>
        </w:rPr>
        <w:t>;</w:t>
      </w:r>
      <w:r w:rsidRPr="0027683C">
        <w:rPr>
          <w:rFonts w:ascii="Book Antiqua" w:hAnsi="Book Antiqua"/>
          <w:color w:val="000000"/>
          <w:sz w:val="24"/>
          <w:szCs w:val="24"/>
          <w:lang w:val="en-US"/>
        </w:rPr>
        <w:t xml:space="preserve"> Children</w:t>
      </w:r>
    </w:p>
    <w:p w:rsidR="00CE40A9" w:rsidRPr="0027683C" w:rsidRDefault="00CE40A9" w:rsidP="00197E9C">
      <w:pPr>
        <w:autoSpaceDE w:val="0"/>
        <w:autoSpaceDN w:val="0"/>
        <w:adjustRightInd w:val="0"/>
        <w:spacing w:after="0" w:line="360" w:lineRule="auto"/>
        <w:jc w:val="both"/>
        <w:rPr>
          <w:rFonts w:ascii="Book Antiqua" w:hAnsi="Book Antiqua"/>
          <w:b/>
          <w:bCs/>
          <w:color w:val="000000"/>
          <w:sz w:val="24"/>
          <w:szCs w:val="24"/>
          <w:lang w:val="en-US"/>
        </w:rPr>
      </w:pPr>
    </w:p>
    <w:p w:rsidR="00CE40A9" w:rsidRPr="0027683C" w:rsidRDefault="00CE40A9" w:rsidP="00197E9C">
      <w:pPr>
        <w:spacing w:after="0" w:line="360" w:lineRule="auto"/>
        <w:jc w:val="both"/>
        <w:rPr>
          <w:rFonts w:ascii="Book Antiqua" w:hAnsi="Book Antiqua" w:cs="Arial Unicode MS"/>
          <w:b/>
          <w:sz w:val="24"/>
          <w:szCs w:val="24"/>
          <w:lang w:val="en-US"/>
        </w:rPr>
      </w:pPr>
      <w:bookmarkStart w:id="10" w:name="OLE_LINK101"/>
      <w:bookmarkStart w:id="11" w:name="OLE_LINK107"/>
      <w:bookmarkStart w:id="12" w:name="OLE_LINK350"/>
      <w:bookmarkStart w:id="13" w:name="OLE_LINK351"/>
      <w:r w:rsidRPr="0027683C">
        <w:rPr>
          <w:rFonts w:ascii="Book Antiqua" w:hAnsi="Book Antiqua" w:cs="Arial Unicode MS"/>
          <w:b/>
          <w:sz w:val="24"/>
          <w:szCs w:val="24"/>
          <w:lang w:val="en-US"/>
        </w:rPr>
        <w:t>Core tip:</w:t>
      </w:r>
      <w:bookmarkEnd w:id="10"/>
      <w:bookmarkEnd w:id="11"/>
      <w:r w:rsidRPr="0027683C">
        <w:rPr>
          <w:rFonts w:ascii="Book Antiqua" w:hAnsi="Book Antiqua" w:cs="Arial Unicode MS"/>
          <w:b/>
          <w:sz w:val="24"/>
          <w:szCs w:val="24"/>
          <w:lang w:val="en-US" w:eastAsia="zh-CN"/>
        </w:rPr>
        <w:t xml:space="preserve"> </w:t>
      </w:r>
      <w:r w:rsidRPr="0027683C">
        <w:rPr>
          <w:rFonts w:ascii="Book Antiqua" w:hAnsi="Book Antiqua"/>
          <w:color w:val="000000"/>
          <w:sz w:val="24"/>
          <w:szCs w:val="24"/>
          <w:lang w:val="en-US"/>
        </w:rPr>
        <w:t xml:space="preserve">Autoimmune gastritis (AIG) is a rare entity at young age. Although classically associated with pernicious anemia in adulthood, its presentation as iron-deficiency anemia (IDA) has been recently reported, particularly in younger patients. </w:t>
      </w:r>
      <w:bookmarkStart w:id="14" w:name="OLE_LINK130"/>
      <w:bookmarkStart w:id="15" w:name="OLE_LINK134"/>
      <w:r w:rsidRPr="0027683C">
        <w:rPr>
          <w:rFonts w:ascii="Book Antiqua" w:hAnsi="Book Antiqua"/>
          <w:sz w:val="24"/>
          <w:szCs w:val="24"/>
          <w:lang w:val="en-US"/>
        </w:rPr>
        <w:t>Our study aimed to further contribute to a better characterization of clinical and histological expression of AIG at pediatric age, highlighting IDA as a precocious hematological manifestation and the diagnostic contribution of a careful immunohistological evaluation. Furthermore, in the setting of personal and/or familial history of autoimmune disease, the importance of taking AIG into account and to include parietal cell antibodies in the autoimmune screening panel is emphasized.</w:t>
      </w:r>
    </w:p>
    <w:p w:rsidR="00CE40A9" w:rsidRPr="0027683C" w:rsidRDefault="00CE40A9" w:rsidP="00197E9C">
      <w:pPr>
        <w:autoSpaceDE w:val="0"/>
        <w:autoSpaceDN w:val="0"/>
        <w:adjustRightInd w:val="0"/>
        <w:spacing w:after="0" w:line="360" w:lineRule="auto"/>
        <w:jc w:val="both"/>
        <w:rPr>
          <w:rFonts w:ascii="Book Antiqua" w:hAnsi="Book Antiqua"/>
          <w:color w:val="000000"/>
          <w:sz w:val="24"/>
          <w:szCs w:val="24"/>
          <w:lang w:val="en-US" w:eastAsia="zh-CN"/>
        </w:rPr>
      </w:pPr>
    </w:p>
    <w:p w:rsidR="00CE40A9" w:rsidRPr="00182F90" w:rsidRDefault="00CE40A9" w:rsidP="00182F90">
      <w:pPr>
        <w:autoSpaceDE w:val="0"/>
        <w:autoSpaceDN w:val="0"/>
        <w:adjustRightInd w:val="0"/>
        <w:spacing w:after="0" w:line="360" w:lineRule="auto"/>
        <w:jc w:val="both"/>
        <w:rPr>
          <w:rFonts w:ascii="Book Antiqua" w:hAnsi="Book Antiqua"/>
          <w:color w:val="000000"/>
          <w:sz w:val="24"/>
          <w:szCs w:val="24"/>
          <w:lang w:val="en-US" w:eastAsia="zh-CN"/>
        </w:rPr>
      </w:pPr>
      <w:r w:rsidRPr="0027683C">
        <w:rPr>
          <w:rFonts w:ascii="Book Antiqua" w:hAnsi="Book Antiqua" w:cs="Tahoma"/>
          <w:sz w:val="24"/>
          <w:szCs w:val="24"/>
        </w:rPr>
        <w:t xml:space="preserve">Gonçalves C, Oliveira ME, Palha AM, Ferrão A, Morais A, Lopes AI. </w:t>
      </w:r>
      <w:r w:rsidRPr="0027683C">
        <w:rPr>
          <w:rFonts w:ascii="Book Antiqua" w:hAnsi="Book Antiqua"/>
          <w:color w:val="000000"/>
          <w:sz w:val="24"/>
          <w:szCs w:val="24"/>
          <w:lang w:val="en-US"/>
        </w:rPr>
        <w:t>Autoimmune gastritis presenting as iron deficiency anemia in childhood</w:t>
      </w:r>
      <w:r>
        <w:rPr>
          <w:rFonts w:ascii="Book Antiqua" w:hAnsi="Book Antiqua"/>
          <w:color w:val="000000"/>
          <w:sz w:val="24"/>
          <w:szCs w:val="24"/>
          <w:lang w:val="en-US" w:eastAsia="zh-CN"/>
        </w:rPr>
        <w:t xml:space="preserve">. </w:t>
      </w:r>
      <w:r w:rsidRPr="0027683C">
        <w:rPr>
          <w:rFonts w:ascii="Book Antiqua" w:hAnsi="Book Antiqua"/>
          <w:i/>
          <w:sz w:val="24"/>
          <w:szCs w:val="24"/>
          <w:lang w:val="en-US"/>
        </w:rPr>
        <w:t>World J Gastroenterol</w:t>
      </w:r>
      <w:r w:rsidRPr="0027683C">
        <w:rPr>
          <w:rFonts w:ascii="Book Antiqua" w:hAnsi="Book Antiqua"/>
          <w:sz w:val="24"/>
          <w:szCs w:val="24"/>
          <w:lang w:val="en-US"/>
        </w:rPr>
        <w:t xml:space="preserve"> 2014;  </w:t>
      </w:r>
      <w:r w:rsidRPr="00182F90">
        <w:rPr>
          <w:rFonts w:ascii="Book Antiqua" w:hAnsi="Book Antiqua"/>
          <w:sz w:val="24"/>
          <w:szCs w:val="24"/>
          <w:lang w:val="en-US"/>
        </w:rPr>
        <w:t>In press</w:t>
      </w:r>
    </w:p>
    <w:p w:rsidR="00CE40A9" w:rsidRPr="0027683C" w:rsidRDefault="00CE40A9" w:rsidP="00197E9C">
      <w:pPr>
        <w:pStyle w:val="p0"/>
        <w:adjustRightInd w:val="0"/>
        <w:snapToGrid w:val="0"/>
        <w:spacing w:line="360" w:lineRule="auto"/>
        <w:jc w:val="both"/>
        <w:rPr>
          <w:rFonts w:ascii="Book Antiqua" w:hAnsi="Book Antiqua"/>
          <w:sz w:val="24"/>
          <w:szCs w:val="24"/>
        </w:rPr>
      </w:pPr>
      <w:r w:rsidRPr="0027683C">
        <w:rPr>
          <w:rFonts w:ascii="Book Antiqua" w:hAnsi="Book Antiqua"/>
          <w:b/>
          <w:bCs/>
          <w:sz w:val="24"/>
          <w:szCs w:val="24"/>
        </w:rPr>
        <w:t>Available from:</w:t>
      </w:r>
    </w:p>
    <w:p w:rsidR="00CE40A9" w:rsidRPr="0027683C" w:rsidRDefault="00CE40A9" w:rsidP="00197E9C">
      <w:pPr>
        <w:pStyle w:val="p0"/>
        <w:adjustRightInd w:val="0"/>
        <w:snapToGrid w:val="0"/>
        <w:spacing w:line="360" w:lineRule="auto"/>
        <w:jc w:val="both"/>
        <w:rPr>
          <w:rFonts w:ascii="Book Antiqua" w:hAnsi="Book Antiqua"/>
          <w:kern w:val="2"/>
          <w:sz w:val="24"/>
          <w:szCs w:val="24"/>
        </w:rPr>
      </w:pPr>
      <w:r w:rsidRPr="0027683C">
        <w:rPr>
          <w:rFonts w:ascii="Book Antiqua" w:hAnsi="Book Antiqua"/>
          <w:b/>
          <w:kern w:val="2"/>
          <w:sz w:val="24"/>
          <w:szCs w:val="24"/>
        </w:rPr>
        <w:lastRenderedPageBreak/>
        <w:t>DOI:</w:t>
      </w:r>
      <w:r w:rsidRPr="0027683C">
        <w:rPr>
          <w:rFonts w:ascii="Book Antiqua" w:hAnsi="Book Antiqua"/>
          <w:kern w:val="2"/>
          <w:sz w:val="24"/>
          <w:szCs w:val="24"/>
        </w:rPr>
        <w:t xml:space="preserve"> </w:t>
      </w:r>
    </w:p>
    <w:bookmarkEnd w:id="12"/>
    <w:bookmarkEnd w:id="13"/>
    <w:bookmarkEnd w:id="14"/>
    <w:bookmarkEnd w:id="15"/>
    <w:p w:rsidR="00CE40A9" w:rsidRPr="0027683C" w:rsidRDefault="00CE40A9" w:rsidP="00197E9C">
      <w:pPr>
        <w:autoSpaceDE w:val="0"/>
        <w:autoSpaceDN w:val="0"/>
        <w:adjustRightInd w:val="0"/>
        <w:spacing w:after="0" w:line="360" w:lineRule="auto"/>
        <w:jc w:val="both"/>
        <w:rPr>
          <w:rFonts w:ascii="Book Antiqua" w:hAnsi="Book Antiqua"/>
          <w:b/>
          <w:bCs/>
          <w:color w:val="000000"/>
          <w:sz w:val="24"/>
          <w:szCs w:val="24"/>
          <w:lang w:val="en-US"/>
        </w:rPr>
      </w:pPr>
    </w:p>
    <w:p w:rsidR="00CE40A9" w:rsidRPr="0027683C" w:rsidRDefault="00CE40A9" w:rsidP="00197E9C">
      <w:pPr>
        <w:autoSpaceDE w:val="0"/>
        <w:autoSpaceDN w:val="0"/>
        <w:adjustRightInd w:val="0"/>
        <w:spacing w:after="0" w:line="360" w:lineRule="auto"/>
        <w:jc w:val="both"/>
        <w:rPr>
          <w:rFonts w:ascii="Book Antiqua" w:hAnsi="Book Antiqua"/>
          <w:b/>
          <w:bCs/>
          <w:color w:val="000000"/>
          <w:sz w:val="24"/>
          <w:szCs w:val="24"/>
          <w:lang w:val="en-US"/>
        </w:rPr>
      </w:pPr>
    </w:p>
    <w:p w:rsidR="00CE40A9" w:rsidRPr="0027683C" w:rsidRDefault="00CE40A9" w:rsidP="00197E9C">
      <w:pPr>
        <w:autoSpaceDE w:val="0"/>
        <w:autoSpaceDN w:val="0"/>
        <w:adjustRightInd w:val="0"/>
        <w:spacing w:after="0" w:line="360" w:lineRule="auto"/>
        <w:jc w:val="both"/>
        <w:rPr>
          <w:rFonts w:ascii="Book Antiqua" w:hAnsi="Book Antiqua"/>
          <w:b/>
          <w:bCs/>
          <w:color w:val="000000"/>
          <w:sz w:val="24"/>
          <w:szCs w:val="24"/>
          <w:lang w:val="en-US"/>
        </w:rPr>
      </w:pPr>
    </w:p>
    <w:p w:rsidR="00CE40A9" w:rsidRPr="0027683C" w:rsidRDefault="00CE40A9" w:rsidP="00197E9C">
      <w:pPr>
        <w:autoSpaceDE w:val="0"/>
        <w:autoSpaceDN w:val="0"/>
        <w:adjustRightInd w:val="0"/>
        <w:spacing w:after="0" w:line="360" w:lineRule="auto"/>
        <w:jc w:val="both"/>
        <w:rPr>
          <w:rFonts w:ascii="Book Antiqua" w:hAnsi="Book Antiqua"/>
          <w:b/>
          <w:bCs/>
          <w:color w:val="000000"/>
          <w:sz w:val="24"/>
          <w:szCs w:val="24"/>
          <w:lang w:val="en-US"/>
        </w:rPr>
      </w:pPr>
    </w:p>
    <w:p w:rsidR="00CE40A9" w:rsidRPr="0027683C" w:rsidRDefault="00CE40A9" w:rsidP="00197E9C">
      <w:pPr>
        <w:autoSpaceDE w:val="0"/>
        <w:autoSpaceDN w:val="0"/>
        <w:adjustRightInd w:val="0"/>
        <w:spacing w:after="0" w:line="360" w:lineRule="auto"/>
        <w:jc w:val="both"/>
        <w:rPr>
          <w:rFonts w:ascii="Book Antiqua" w:hAnsi="Book Antiqua"/>
          <w:b/>
          <w:bCs/>
          <w:color w:val="000000"/>
          <w:sz w:val="24"/>
          <w:szCs w:val="24"/>
          <w:lang w:val="en-US"/>
        </w:rPr>
      </w:pPr>
    </w:p>
    <w:p w:rsidR="00CE40A9" w:rsidRPr="0027683C" w:rsidRDefault="00CE40A9" w:rsidP="00197E9C">
      <w:pPr>
        <w:autoSpaceDE w:val="0"/>
        <w:autoSpaceDN w:val="0"/>
        <w:adjustRightInd w:val="0"/>
        <w:spacing w:after="0" w:line="360" w:lineRule="auto"/>
        <w:jc w:val="both"/>
        <w:rPr>
          <w:rFonts w:ascii="Book Antiqua" w:hAnsi="Book Antiqua"/>
          <w:b/>
          <w:bCs/>
          <w:color w:val="000000"/>
          <w:sz w:val="24"/>
          <w:szCs w:val="24"/>
          <w:lang w:val="en-US"/>
        </w:rPr>
      </w:pPr>
    </w:p>
    <w:p w:rsidR="00CE40A9" w:rsidRPr="0027683C" w:rsidRDefault="00CE40A9" w:rsidP="00197E9C">
      <w:pPr>
        <w:autoSpaceDE w:val="0"/>
        <w:autoSpaceDN w:val="0"/>
        <w:adjustRightInd w:val="0"/>
        <w:spacing w:after="0" w:line="360" w:lineRule="auto"/>
        <w:jc w:val="both"/>
        <w:rPr>
          <w:rFonts w:ascii="Book Antiqua" w:hAnsi="Book Antiqua"/>
          <w:b/>
          <w:bCs/>
          <w:color w:val="000000"/>
          <w:sz w:val="24"/>
          <w:szCs w:val="24"/>
          <w:lang w:val="en-US"/>
        </w:rPr>
      </w:pPr>
      <w:r w:rsidRPr="0027683C">
        <w:rPr>
          <w:rFonts w:ascii="Book Antiqua" w:hAnsi="Book Antiqua"/>
          <w:b/>
          <w:bCs/>
          <w:color w:val="000000"/>
          <w:sz w:val="24"/>
          <w:szCs w:val="24"/>
          <w:lang w:val="en-US"/>
        </w:rPr>
        <w:br w:type="page"/>
      </w:r>
      <w:r w:rsidRPr="0027683C">
        <w:rPr>
          <w:rFonts w:ascii="Book Antiqua" w:hAnsi="Book Antiqua"/>
          <w:b/>
          <w:bCs/>
          <w:color w:val="000000"/>
          <w:sz w:val="24"/>
          <w:szCs w:val="24"/>
          <w:lang w:val="en-US"/>
        </w:rPr>
        <w:lastRenderedPageBreak/>
        <w:t>INTRODUCTION</w:t>
      </w:r>
    </w:p>
    <w:p w:rsidR="00CE40A9" w:rsidRPr="0027683C" w:rsidRDefault="00CE40A9" w:rsidP="00197E9C">
      <w:pPr>
        <w:autoSpaceDE w:val="0"/>
        <w:autoSpaceDN w:val="0"/>
        <w:adjustRightInd w:val="0"/>
        <w:spacing w:after="0" w:line="360" w:lineRule="auto"/>
        <w:jc w:val="both"/>
        <w:rPr>
          <w:rFonts w:ascii="Book Antiqua" w:hAnsi="Book Antiqua"/>
          <w:color w:val="000000"/>
          <w:sz w:val="24"/>
          <w:szCs w:val="24"/>
          <w:lang w:val="en-US"/>
        </w:rPr>
      </w:pPr>
      <w:r w:rsidRPr="0027683C">
        <w:rPr>
          <w:rFonts w:ascii="Book Antiqua" w:hAnsi="Book Antiqua"/>
          <w:color w:val="000000"/>
          <w:sz w:val="24"/>
          <w:szCs w:val="24"/>
          <w:lang w:val="en-US"/>
        </w:rPr>
        <w:t>Autoimmune gastritis (AIG) is an inflammatory condition of the stomach, typically restricted to the corpus and characterized by the presence of autoantibodies against the proton pump H+/K+ adenosine triphospatase (present in gastric parietal cells) and to a lesser extent to intrinsic factor</w:t>
      </w:r>
      <w:r w:rsidRPr="0027683C">
        <w:rPr>
          <w:rFonts w:ascii="Book Antiqua" w:hAnsi="Book Antiqua"/>
          <w:color w:val="000000"/>
          <w:sz w:val="24"/>
          <w:szCs w:val="24"/>
          <w:vertAlign w:val="superscript"/>
          <w:lang w:val="en-US"/>
        </w:rPr>
        <w:t>[1,2,3]</w:t>
      </w:r>
      <w:r w:rsidRPr="0027683C">
        <w:rPr>
          <w:rFonts w:ascii="Book Antiqua" w:hAnsi="Book Antiqua"/>
          <w:color w:val="000000"/>
          <w:sz w:val="24"/>
          <w:szCs w:val="24"/>
          <w:lang w:val="en-US"/>
        </w:rPr>
        <w:t>. The immunopathogenic basis for this process seems to involve the activation of parietal-cell– specific T helper type 1 CD4-T cells</w:t>
      </w:r>
      <w:r w:rsidRPr="0027683C">
        <w:rPr>
          <w:rFonts w:ascii="Book Antiqua" w:hAnsi="Book Antiqua"/>
          <w:color w:val="000000"/>
          <w:sz w:val="24"/>
          <w:szCs w:val="24"/>
          <w:vertAlign w:val="superscript"/>
          <w:lang w:val="en-US"/>
        </w:rPr>
        <w:t>[4,5]</w:t>
      </w:r>
      <w:r w:rsidRPr="0027683C">
        <w:rPr>
          <w:rFonts w:ascii="Book Antiqua" w:hAnsi="Book Antiqua"/>
          <w:color w:val="000000"/>
          <w:sz w:val="24"/>
          <w:szCs w:val="24"/>
          <w:lang w:val="en-US"/>
        </w:rPr>
        <w:t>. Macroscopically, gastric mucosa becomes thinner and the folds soften. Histologically it is characterized by the loss of gastric glandular structures in the oxyntic mucosa, which are inappropriately replaced by glands</w:t>
      </w:r>
      <w:r w:rsidRPr="0027683C">
        <w:rPr>
          <w:rFonts w:ascii="Book Antiqua" w:hAnsi="Book Antiqua"/>
          <w:color w:val="000000"/>
          <w:sz w:val="24"/>
          <w:szCs w:val="24"/>
          <w:vertAlign w:val="superscript"/>
          <w:lang w:val="en-US"/>
        </w:rPr>
        <w:t>[6]</w:t>
      </w:r>
      <w:r w:rsidRPr="0027683C">
        <w:rPr>
          <w:rFonts w:ascii="Book Antiqua" w:hAnsi="Book Antiqua"/>
          <w:color w:val="000000"/>
          <w:sz w:val="24"/>
          <w:szCs w:val="24"/>
          <w:lang w:val="en-US"/>
        </w:rPr>
        <w:t>. Histological features result in achlorydria, low serum pepsinogen I and hypergastrinemia. Additionally, a proliferation of enterochromaffin-like cells (ECL) occurs due to trophic stimulus induced by hypergastrinemia</w:t>
      </w:r>
      <w:r w:rsidRPr="0027683C">
        <w:rPr>
          <w:rFonts w:ascii="Book Antiqua" w:hAnsi="Book Antiqua"/>
          <w:color w:val="000000"/>
          <w:sz w:val="24"/>
          <w:szCs w:val="24"/>
          <w:vertAlign w:val="superscript"/>
          <w:lang w:val="en-US"/>
        </w:rPr>
        <w:t>[4,7,8]</w:t>
      </w:r>
      <w:r w:rsidRPr="0027683C">
        <w:rPr>
          <w:rFonts w:ascii="Book Antiqua" w:hAnsi="Book Antiqua"/>
          <w:color w:val="000000"/>
          <w:sz w:val="24"/>
          <w:szCs w:val="24"/>
          <w:lang w:val="en-US"/>
        </w:rPr>
        <w:t xml:space="preserve">. </w:t>
      </w:r>
    </w:p>
    <w:p w:rsidR="00CE40A9" w:rsidRPr="0027683C" w:rsidRDefault="00CE40A9" w:rsidP="00197E9C">
      <w:pPr>
        <w:autoSpaceDE w:val="0"/>
        <w:autoSpaceDN w:val="0"/>
        <w:adjustRightInd w:val="0"/>
        <w:spacing w:after="0" w:line="360" w:lineRule="auto"/>
        <w:ind w:firstLineChars="200" w:firstLine="480"/>
        <w:jc w:val="both"/>
        <w:rPr>
          <w:rFonts w:ascii="Book Antiqua" w:hAnsi="Book Antiqua"/>
          <w:color w:val="000000"/>
          <w:sz w:val="24"/>
          <w:szCs w:val="24"/>
          <w:lang w:val="en-US"/>
        </w:rPr>
      </w:pPr>
      <w:r w:rsidRPr="0027683C">
        <w:rPr>
          <w:rFonts w:ascii="Book Antiqua" w:hAnsi="Book Antiqua"/>
          <w:color w:val="000000"/>
          <w:sz w:val="24"/>
          <w:szCs w:val="24"/>
          <w:lang w:val="en-US"/>
        </w:rPr>
        <w:t>AIG is a well-known cause of pernicious anemia in the middle aged and elderly adult, usually expressed by cobalamin deficiency and megaloblastic anemia. Its role in iron deficiency anemia (IDA) (a recognized complication of achlorydria) has recently been evaluated, seeming more prevalent in young patients with AIG, when compared to older patients in whom pernicious anemia is the most prevalent hematologic condition</w:t>
      </w:r>
      <w:r w:rsidRPr="0027683C">
        <w:rPr>
          <w:rFonts w:ascii="Book Antiqua" w:hAnsi="Book Antiqua"/>
          <w:color w:val="000000"/>
          <w:sz w:val="24"/>
          <w:szCs w:val="24"/>
          <w:vertAlign w:val="superscript"/>
          <w:lang w:val="en-US"/>
        </w:rPr>
        <w:t>[1,9,10]</w:t>
      </w:r>
      <w:r w:rsidRPr="0027683C">
        <w:rPr>
          <w:rFonts w:ascii="Book Antiqua" w:hAnsi="Book Antiqua"/>
          <w:color w:val="000000"/>
          <w:sz w:val="24"/>
          <w:szCs w:val="24"/>
          <w:lang w:val="en-US"/>
        </w:rPr>
        <w:t xml:space="preserve">. Hershko </w:t>
      </w:r>
      <w:r w:rsidRPr="0027683C">
        <w:rPr>
          <w:rFonts w:ascii="Book Antiqua" w:hAnsi="Book Antiqua"/>
          <w:i/>
          <w:iCs/>
          <w:color w:val="000000"/>
          <w:sz w:val="24"/>
          <w:szCs w:val="24"/>
          <w:lang w:val="en-US"/>
        </w:rPr>
        <w:t>et al</w:t>
      </w:r>
      <w:r w:rsidRPr="0027683C">
        <w:rPr>
          <w:rFonts w:ascii="Book Antiqua" w:hAnsi="Book Antiqua"/>
          <w:color w:val="000000"/>
          <w:sz w:val="24"/>
          <w:szCs w:val="24"/>
          <w:vertAlign w:val="superscript"/>
          <w:lang w:val="en-US"/>
        </w:rPr>
        <w:t>[10]</w:t>
      </w:r>
      <w:r w:rsidRPr="0027683C">
        <w:rPr>
          <w:rFonts w:ascii="Book Antiqua" w:hAnsi="Book Antiqua"/>
          <w:i/>
          <w:iCs/>
          <w:color w:val="000000"/>
          <w:sz w:val="24"/>
          <w:szCs w:val="24"/>
          <w:lang w:val="en-US"/>
        </w:rPr>
        <w:t xml:space="preserve"> </w:t>
      </w:r>
      <w:r w:rsidRPr="0027683C">
        <w:rPr>
          <w:rFonts w:ascii="Book Antiqua" w:hAnsi="Book Antiqua"/>
          <w:color w:val="000000"/>
          <w:sz w:val="24"/>
          <w:szCs w:val="24"/>
          <w:lang w:val="en-US"/>
        </w:rPr>
        <w:t>reported a significant frequency of AIG in adults with IDA without gastrointestinal symptoms and a progressive increase in mean corpuscular volume with age</w:t>
      </w:r>
      <w:r w:rsidRPr="0027683C">
        <w:rPr>
          <w:rFonts w:ascii="Book Antiqua" w:hAnsi="Book Antiqua"/>
          <w:color w:val="000000"/>
          <w:sz w:val="24"/>
          <w:szCs w:val="24"/>
          <w:vertAlign w:val="superscript"/>
          <w:lang w:val="en-US"/>
        </w:rPr>
        <w:t>[9]</w:t>
      </w:r>
      <w:r w:rsidRPr="0027683C">
        <w:rPr>
          <w:rFonts w:ascii="Book Antiqua" w:hAnsi="Book Antiqua"/>
          <w:color w:val="000000"/>
          <w:sz w:val="24"/>
          <w:szCs w:val="24"/>
          <w:lang w:val="en-US"/>
        </w:rPr>
        <w:t>.</w:t>
      </w:r>
    </w:p>
    <w:p w:rsidR="00CE40A9" w:rsidRPr="0027683C" w:rsidRDefault="00CE40A9" w:rsidP="00197E9C">
      <w:pPr>
        <w:autoSpaceDE w:val="0"/>
        <w:autoSpaceDN w:val="0"/>
        <w:adjustRightInd w:val="0"/>
        <w:spacing w:after="0" w:line="360" w:lineRule="auto"/>
        <w:ind w:firstLineChars="200" w:firstLine="480"/>
        <w:jc w:val="both"/>
        <w:rPr>
          <w:rFonts w:ascii="Book Antiqua" w:hAnsi="Book Antiqua"/>
          <w:color w:val="000000"/>
          <w:sz w:val="24"/>
          <w:szCs w:val="24"/>
          <w:lang w:val="en-US"/>
        </w:rPr>
      </w:pPr>
      <w:r w:rsidRPr="0027683C">
        <w:rPr>
          <w:rFonts w:ascii="Book Antiqua" w:hAnsi="Book Antiqua"/>
          <w:color w:val="000000"/>
          <w:sz w:val="24"/>
          <w:szCs w:val="24"/>
          <w:lang w:val="en-US"/>
        </w:rPr>
        <w:t>AIG accounts for up to 10% of cases of gastritis in adults</w:t>
      </w:r>
      <w:r w:rsidRPr="0027683C">
        <w:rPr>
          <w:rFonts w:ascii="Book Antiqua" w:hAnsi="Book Antiqua"/>
          <w:color w:val="000000"/>
          <w:sz w:val="24"/>
          <w:szCs w:val="24"/>
          <w:vertAlign w:val="superscript"/>
          <w:lang w:val="en-US"/>
        </w:rPr>
        <w:t>[11]</w:t>
      </w:r>
      <w:r w:rsidRPr="0027683C">
        <w:rPr>
          <w:rFonts w:ascii="Book Antiqua" w:hAnsi="Book Antiqua"/>
          <w:color w:val="000000"/>
          <w:sz w:val="24"/>
          <w:szCs w:val="24"/>
          <w:lang w:val="en-US"/>
        </w:rPr>
        <w:t xml:space="preserve"> and it has an estimated overall prevalence closer to 20% in the general population, as assessed by the serological biomarker of parietal cell antibody</w:t>
      </w:r>
      <w:r w:rsidRPr="0027683C">
        <w:rPr>
          <w:rFonts w:ascii="Book Antiqua" w:hAnsi="Book Antiqua"/>
          <w:color w:val="000000"/>
          <w:sz w:val="24"/>
          <w:szCs w:val="24"/>
          <w:vertAlign w:val="superscript"/>
          <w:lang w:val="en-US"/>
        </w:rPr>
        <w:t>[12]</w:t>
      </w:r>
      <w:r w:rsidRPr="0027683C">
        <w:rPr>
          <w:rFonts w:ascii="Book Antiqua" w:hAnsi="Book Antiqua"/>
          <w:color w:val="000000"/>
          <w:sz w:val="24"/>
          <w:szCs w:val="24"/>
          <w:lang w:val="en-US"/>
        </w:rPr>
        <w:t xml:space="preserve">. However, its true incidence worldwide remains unclear, because it is usually asymptomatic before clinical presentation as pernicious anemia in adulthood. </w:t>
      </w:r>
    </w:p>
    <w:p w:rsidR="00CE40A9" w:rsidRPr="0027683C" w:rsidRDefault="00CE40A9" w:rsidP="00197E9C">
      <w:pPr>
        <w:autoSpaceDE w:val="0"/>
        <w:autoSpaceDN w:val="0"/>
        <w:adjustRightInd w:val="0"/>
        <w:spacing w:after="0" w:line="360" w:lineRule="auto"/>
        <w:ind w:firstLineChars="250" w:firstLine="600"/>
        <w:jc w:val="both"/>
        <w:rPr>
          <w:rFonts w:ascii="Book Antiqua" w:hAnsi="Book Antiqua"/>
          <w:color w:val="000000"/>
          <w:sz w:val="24"/>
          <w:szCs w:val="24"/>
          <w:lang w:val="en-US"/>
        </w:rPr>
      </w:pPr>
      <w:r w:rsidRPr="0027683C">
        <w:rPr>
          <w:rFonts w:ascii="Book Antiqua" w:hAnsi="Book Antiqua"/>
          <w:color w:val="000000"/>
          <w:sz w:val="24"/>
          <w:szCs w:val="24"/>
          <w:lang w:val="en-US"/>
        </w:rPr>
        <w:t xml:space="preserve">In children, AIG is considered as a very </w:t>
      </w:r>
      <w:r>
        <w:rPr>
          <w:rFonts w:ascii="Book Antiqua" w:hAnsi="Book Antiqua"/>
          <w:color w:val="000000"/>
          <w:sz w:val="24"/>
          <w:szCs w:val="24"/>
          <w:lang w:val="en-US"/>
        </w:rPr>
        <w:t>rare condition</w:t>
      </w:r>
      <w:r w:rsidRPr="0027683C">
        <w:rPr>
          <w:rFonts w:ascii="Book Antiqua" w:hAnsi="Book Antiqua"/>
          <w:color w:val="000000"/>
          <w:sz w:val="24"/>
          <w:szCs w:val="24"/>
          <w:vertAlign w:val="superscript"/>
          <w:lang w:val="en-US"/>
        </w:rPr>
        <w:t>[13,14]</w:t>
      </w:r>
      <w:r w:rsidRPr="0027683C">
        <w:rPr>
          <w:rFonts w:ascii="Book Antiqua" w:hAnsi="Book Antiqua"/>
          <w:color w:val="000000"/>
          <w:sz w:val="24"/>
          <w:szCs w:val="24"/>
          <w:lang w:val="en-US"/>
        </w:rPr>
        <w:t>. There are only a few reports of AIG in pediatric patients</w:t>
      </w:r>
      <w:r w:rsidRPr="0027683C">
        <w:rPr>
          <w:rFonts w:ascii="Book Antiqua" w:hAnsi="Book Antiqua"/>
          <w:color w:val="000000"/>
          <w:sz w:val="24"/>
          <w:szCs w:val="24"/>
          <w:vertAlign w:val="superscript"/>
          <w:lang w:val="en-US"/>
        </w:rPr>
        <w:t>[8,15,16,17,18]</w:t>
      </w:r>
      <w:r>
        <w:rPr>
          <w:rFonts w:ascii="Book Antiqua" w:hAnsi="Book Antiqua"/>
          <w:color w:val="000000"/>
          <w:sz w:val="24"/>
          <w:szCs w:val="24"/>
          <w:lang w:val="en-US"/>
        </w:rPr>
        <w:t>, rarely associated with IDA</w:t>
      </w:r>
      <w:r w:rsidRPr="00BE4FFB">
        <w:rPr>
          <w:rFonts w:ascii="Book Antiqua" w:hAnsi="Book Antiqua"/>
          <w:color w:val="000000"/>
          <w:sz w:val="24"/>
          <w:szCs w:val="24"/>
          <w:vertAlign w:val="superscript"/>
          <w:lang w:val="en-US"/>
        </w:rPr>
        <w:t>[16]</w:t>
      </w:r>
      <w:r w:rsidRPr="0027683C">
        <w:rPr>
          <w:rFonts w:ascii="Book Antiqua" w:hAnsi="Book Antiqua"/>
          <w:color w:val="000000"/>
          <w:sz w:val="24"/>
          <w:szCs w:val="24"/>
          <w:lang w:val="en-US"/>
        </w:rPr>
        <w:t>. In fact, in the two so far published series, gastric autoimmunity has been incidentally disclosed in the setting of type 1 diabetes</w:t>
      </w:r>
      <w:r w:rsidRPr="0027683C">
        <w:rPr>
          <w:rFonts w:ascii="Book Antiqua" w:hAnsi="Book Antiqua"/>
          <w:color w:val="000000"/>
          <w:sz w:val="24"/>
          <w:szCs w:val="24"/>
          <w:vertAlign w:val="superscript"/>
          <w:lang w:val="en-US"/>
        </w:rPr>
        <w:t>[18]</w:t>
      </w:r>
      <w:r w:rsidRPr="0027683C">
        <w:rPr>
          <w:rFonts w:ascii="Book Antiqua" w:hAnsi="Book Antiqua"/>
          <w:color w:val="000000"/>
          <w:sz w:val="24"/>
          <w:szCs w:val="24"/>
          <w:lang w:val="en-US"/>
        </w:rPr>
        <w:t xml:space="preserve"> and thyroiditis</w:t>
      </w:r>
      <w:r w:rsidRPr="0027683C">
        <w:rPr>
          <w:rFonts w:ascii="Book Antiqua" w:hAnsi="Book Antiqua"/>
          <w:color w:val="000000"/>
          <w:sz w:val="24"/>
          <w:szCs w:val="24"/>
          <w:vertAlign w:val="superscript"/>
          <w:lang w:val="en-US"/>
        </w:rPr>
        <w:t>[19]</w:t>
      </w:r>
      <w:r w:rsidRPr="0027683C">
        <w:rPr>
          <w:rFonts w:ascii="Book Antiqua" w:hAnsi="Book Antiqua"/>
          <w:color w:val="000000"/>
          <w:sz w:val="24"/>
          <w:szCs w:val="24"/>
          <w:lang w:val="en-US"/>
        </w:rPr>
        <w:t>.</w:t>
      </w:r>
    </w:p>
    <w:p w:rsidR="00CE40A9" w:rsidRPr="0027683C" w:rsidRDefault="00CE40A9" w:rsidP="00197E9C">
      <w:pPr>
        <w:autoSpaceDE w:val="0"/>
        <w:autoSpaceDN w:val="0"/>
        <w:adjustRightInd w:val="0"/>
        <w:spacing w:after="0" w:line="360" w:lineRule="auto"/>
        <w:jc w:val="both"/>
        <w:rPr>
          <w:rFonts w:ascii="Book Antiqua" w:hAnsi="Book Antiqua"/>
          <w:color w:val="000000"/>
          <w:sz w:val="24"/>
          <w:szCs w:val="24"/>
          <w:lang w:val="en-US"/>
        </w:rPr>
      </w:pPr>
      <w:r w:rsidRPr="0027683C">
        <w:rPr>
          <w:rFonts w:ascii="Book Antiqua" w:hAnsi="Book Antiqua"/>
          <w:color w:val="000000"/>
          <w:sz w:val="24"/>
          <w:szCs w:val="24"/>
          <w:lang w:val="en-US"/>
        </w:rPr>
        <w:lastRenderedPageBreak/>
        <w:t xml:space="preserve">The present study describes 5 pediatric cases of AIG diagnosed during the work-up evaluation of IDA, emphasizing the important contribution of gastric </w:t>
      </w:r>
      <w:r w:rsidRPr="0027683C">
        <w:rPr>
          <w:rFonts w:ascii="Book Antiqua" w:hAnsi="Book Antiqua"/>
          <w:i/>
          <w:iCs/>
          <w:color w:val="000000"/>
          <w:sz w:val="24"/>
          <w:szCs w:val="24"/>
          <w:lang w:val="en-US"/>
        </w:rPr>
        <w:t xml:space="preserve">corpus </w:t>
      </w:r>
      <w:r w:rsidRPr="0027683C">
        <w:rPr>
          <w:rFonts w:ascii="Book Antiqua" w:hAnsi="Book Antiqua"/>
          <w:color w:val="000000"/>
          <w:sz w:val="24"/>
          <w:szCs w:val="24"/>
          <w:lang w:val="en-US"/>
        </w:rPr>
        <w:t>histopathology findings to a definitive diagnosis.</w:t>
      </w:r>
    </w:p>
    <w:p w:rsidR="00CE40A9" w:rsidRPr="0027683C" w:rsidRDefault="00CE40A9" w:rsidP="00197E9C">
      <w:pPr>
        <w:autoSpaceDE w:val="0"/>
        <w:autoSpaceDN w:val="0"/>
        <w:adjustRightInd w:val="0"/>
        <w:spacing w:after="0" w:line="360" w:lineRule="auto"/>
        <w:jc w:val="both"/>
        <w:rPr>
          <w:rFonts w:ascii="Book Antiqua" w:hAnsi="Book Antiqua"/>
          <w:b/>
          <w:bCs/>
          <w:color w:val="000000"/>
          <w:sz w:val="24"/>
          <w:szCs w:val="24"/>
          <w:lang w:val="en-US" w:eastAsia="zh-CN"/>
        </w:rPr>
      </w:pPr>
    </w:p>
    <w:p w:rsidR="00CE40A9" w:rsidRPr="0027683C" w:rsidRDefault="00CE40A9" w:rsidP="00197E9C">
      <w:pPr>
        <w:spacing w:after="0" w:line="360" w:lineRule="auto"/>
        <w:jc w:val="both"/>
        <w:rPr>
          <w:rFonts w:ascii="Book Antiqua" w:hAnsi="Book Antiqua"/>
          <w:b/>
          <w:sz w:val="24"/>
          <w:szCs w:val="24"/>
          <w:lang w:val="en-US"/>
        </w:rPr>
      </w:pPr>
      <w:bookmarkStart w:id="16" w:name="OLE_LINK337"/>
      <w:bookmarkStart w:id="17" w:name="OLE_LINK338"/>
      <w:r w:rsidRPr="0027683C">
        <w:rPr>
          <w:rFonts w:ascii="Book Antiqua" w:hAnsi="Book Antiqua"/>
          <w:b/>
          <w:sz w:val="24"/>
          <w:szCs w:val="24"/>
          <w:lang w:val="en-US"/>
        </w:rPr>
        <w:t>MATERIALS AND METHODS</w:t>
      </w:r>
    </w:p>
    <w:bookmarkEnd w:id="16"/>
    <w:bookmarkEnd w:id="17"/>
    <w:p w:rsidR="00CE40A9" w:rsidRPr="0027683C" w:rsidRDefault="00CE40A9" w:rsidP="00197E9C">
      <w:pPr>
        <w:autoSpaceDE w:val="0"/>
        <w:autoSpaceDN w:val="0"/>
        <w:adjustRightInd w:val="0"/>
        <w:spacing w:after="0" w:line="360" w:lineRule="auto"/>
        <w:jc w:val="both"/>
        <w:rPr>
          <w:rFonts w:ascii="Book Antiqua" w:hAnsi="Book Antiqua"/>
          <w:color w:val="000000"/>
          <w:sz w:val="24"/>
          <w:szCs w:val="24"/>
          <w:lang w:val="en-US"/>
        </w:rPr>
      </w:pPr>
      <w:r w:rsidRPr="0027683C">
        <w:rPr>
          <w:rFonts w:ascii="Book Antiqua" w:hAnsi="Book Antiqua"/>
          <w:color w:val="000000"/>
          <w:sz w:val="24"/>
          <w:szCs w:val="24"/>
          <w:lang w:val="en-US"/>
        </w:rPr>
        <w:t>We performed a descriptive, observational case-series study, reporting five cases of pediatric AIG, retrospectively collected from clinical files, concerning a 6 years period (2006-2011).</w:t>
      </w:r>
    </w:p>
    <w:p w:rsidR="00CE40A9" w:rsidRPr="0027683C" w:rsidRDefault="00CE40A9" w:rsidP="00197E9C">
      <w:pPr>
        <w:autoSpaceDE w:val="0"/>
        <w:autoSpaceDN w:val="0"/>
        <w:adjustRightInd w:val="0"/>
        <w:spacing w:after="0" w:line="360" w:lineRule="auto"/>
        <w:ind w:firstLineChars="200" w:firstLine="480"/>
        <w:jc w:val="both"/>
        <w:rPr>
          <w:rFonts w:ascii="Book Antiqua" w:hAnsi="Book Antiqua"/>
          <w:color w:val="000000"/>
          <w:sz w:val="24"/>
          <w:szCs w:val="24"/>
          <w:lang w:val="en-US"/>
        </w:rPr>
      </w:pPr>
      <w:r w:rsidRPr="0027683C">
        <w:rPr>
          <w:rFonts w:ascii="Book Antiqua" w:hAnsi="Book Antiqua"/>
          <w:color w:val="000000"/>
          <w:sz w:val="24"/>
          <w:szCs w:val="24"/>
          <w:lang w:val="en-US"/>
        </w:rPr>
        <w:t>The diagnosis was suggested during investigation of IDA (Hemoglobin (Hb) &lt; 2 standard deviation (SD) for age and sex and serum ferritin</w:t>
      </w:r>
      <w:r w:rsidRPr="0027683C">
        <w:rPr>
          <w:rFonts w:ascii="Book Antiqua" w:hAnsi="Book Antiqua"/>
          <w:color w:val="000000"/>
          <w:sz w:val="24"/>
          <w:szCs w:val="24"/>
          <w:lang w:val="en-US" w:eastAsia="zh-CN"/>
        </w:rPr>
        <w:t xml:space="preserve"> </w:t>
      </w:r>
      <w:r w:rsidRPr="0027683C">
        <w:rPr>
          <w:rFonts w:ascii="Book Antiqua" w:hAnsi="Book Antiqua"/>
          <w:color w:val="000000"/>
          <w:sz w:val="24"/>
          <w:szCs w:val="24"/>
          <w:lang w:val="en-US"/>
        </w:rPr>
        <w:t>&lt;</w:t>
      </w:r>
      <w:r w:rsidRPr="0027683C">
        <w:rPr>
          <w:rFonts w:ascii="Book Antiqua" w:hAnsi="Book Antiqua"/>
          <w:color w:val="000000"/>
          <w:sz w:val="24"/>
          <w:szCs w:val="24"/>
          <w:lang w:val="en-US" w:eastAsia="zh-CN"/>
        </w:rPr>
        <w:t xml:space="preserve"> </w:t>
      </w:r>
      <w:r w:rsidRPr="0027683C">
        <w:rPr>
          <w:rFonts w:ascii="Book Antiqua" w:hAnsi="Book Antiqua"/>
          <w:color w:val="000000"/>
          <w:sz w:val="24"/>
          <w:szCs w:val="24"/>
          <w:lang w:val="en-US"/>
        </w:rPr>
        <w:t xml:space="preserve">15 ng/mdL), refractoriness to oral iron therapy for at least 6 months and requirement for intravenous iron therapy. Upper endoscopy confirmed the presence of </w:t>
      </w:r>
      <w:r w:rsidRPr="0027683C">
        <w:rPr>
          <w:rFonts w:ascii="Book Antiqua" w:hAnsi="Book Antiqua"/>
          <w:i/>
          <w:iCs/>
          <w:color w:val="000000"/>
          <w:sz w:val="24"/>
          <w:szCs w:val="24"/>
          <w:lang w:val="en-US"/>
        </w:rPr>
        <w:t xml:space="preserve">corpus </w:t>
      </w:r>
      <w:r w:rsidRPr="0027683C">
        <w:rPr>
          <w:rFonts w:ascii="Book Antiqua" w:hAnsi="Book Antiqua"/>
          <w:color w:val="000000"/>
          <w:sz w:val="24"/>
          <w:szCs w:val="24"/>
          <w:lang w:val="en-US"/>
        </w:rPr>
        <w:t xml:space="preserve">atrophic gastritis and positive anti-parietal cell autoantibodies (PCA). At least three gastric biopsies were collected from each patient (gastric </w:t>
      </w:r>
      <w:r w:rsidRPr="0027683C">
        <w:rPr>
          <w:rFonts w:ascii="Book Antiqua" w:hAnsi="Book Antiqua"/>
          <w:i/>
          <w:iCs/>
          <w:color w:val="000000"/>
          <w:sz w:val="24"/>
          <w:szCs w:val="24"/>
          <w:lang w:val="en-US"/>
        </w:rPr>
        <w:t>fundus</w:t>
      </w:r>
      <w:r w:rsidRPr="0027683C">
        <w:rPr>
          <w:rFonts w:ascii="Book Antiqua" w:hAnsi="Book Antiqua"/>
          <w:color w:val="000000"/>
          <w:sz w:val="24"/>
          <w:szCs w:val="24"/>
          <w:lang w:val="en-US"/>
        </w:rPr>
        <w:t xml:space="preserve">, </w:t>
      </w:r>
      <w:r w:rsidRPr="0027683C">
        <w:rPr>
          <w:rFonts w:ascii="Book Antiqua" w:hAnsi="Book Antiqua"/>
          <w:i/>
          <w:iCs/>
          <w:color w:val="000000"/>
          <w:sz w:val="24"/>
          <w:szCs w:val="24"/>
          <w:lang w:val="en-US"/>
        </w:rPr>
        <w:t xml:space="preserve">corpus </w:t>
      </w:r>
      <w:r w:rsidRPr="0027683C">
        <w:rPr>
          <w:rFonts w:ascii="Book Antiqua" w:hAnsi="Book Antiqua"/>
          <w:color w:val="000000"/>
          <w:sz w:val="24"/>
          <w:szCs w:val="24"/>
          <w:lang w:val="en-US"/>
        </w:rPr>
        <w:t xml:space="preserve">and </w:t>
      </w:r>
      <w:r w:rsidRPr="0027683C">
        <w:rPr>
          <w:rFonts w:ascii="Book Antiqua" w:hAnsi="Book Antiqua"/>
          <w:i/>
          <w:iCs/>
          <w:color w:val="000000"/>
          <w:sz w:val="24"/>
          <w:szCs w:val="24"/>
          <w:lang w:val="en-US"/>
        </w:rPr>
        <w:t>antrum</w:t>
      </w:r>
      <w:r w:rsidRPr="0027683C">
        <w:rPr>
          <w:rFonts w:ascii="Book Antiqua" w:hAnsi="Book Antiqua"/>
          <w:color w:val="000000"/>
          <w:sz w:val="24"/>
          <w:szCs w:val="24"/>
          <w:lang w:val="en-US"/>
        </w:rPr>
        <w:t xml:space="preserve">). Duodenal mucosa biopsies were also obtained. Cultural examination for </w:t>
      </w:r>
      <w:r w:rsidRPr="0027683C">
        <w:rPr>
          <w:rFonts w:ascii="Book Antiqua" w:hAnsi="Book Antiqua"/>
          <w:i/>
          <w:color w:val="000000"/>
          <w:sz w:val="24"/>
          <w:szCs w:val="24"/>
          <w:lang w:val="en-US"/>
        </w:rPr>
        <w:t>Helicobacter pylori</w:t>
      </w:r>
      <w:r w:rsidRPr="0027683C">
        <w:rPr>
          <w:rFonts w:ascii="Book Antiqua" w:hAnsi="Book Antiqua"/>
          <w:color w:val="000000"/>
          <w:sz w:val="24"/>
          <w:szCs w:val="24"/>
          <w:lang w:val="en-US"/>
        </w:rPr>
        <w:t xml:space="preserve"> </w:t>
      </w:r>
      <w:r w:rsidRPr="0027683C">
        <w:rPr>
          <w:rFonts w:ascii="Book Antiqua" w:hAnsi="Book Antiqua"/>
          <w:color w:val="000000"/>
          <w:sz w:val="24"/>
          <w:szCs w:val="24"/>
          <w:lang w:val="en-US" w:eastAsia="zh-CN"/>
        </w:rPr>
        <w:t>(</w:t>
      </w:r>
      <w:r w:rsidRPr="0027683C">
        <w:rPr>
          <w:rFonts w:ascii="Book Antiqua" w:hAnsi="Book Antiqua"/>
          <w:i/>
          <w:iCs/>
          <w:sz w:val="24"/>
          <w:szCs w:val="24"/>
          <w:lang w:val="en-US"/>
        </w:rPr>
        <w:t>H. pylori</w:t>
      </w:r>
      <w:r w:rsidRPr="0027683C">
        <w:rPr>
          <w:rFonts w:ascii="Book Antiqua" w:hAnsi="Book Antiqua"/>
          <w:iCs/>
          <w:sz w:val="24"/>
          <w:szCs w:val="24"/>
          <w:lang w:val="en-US" w:eastAsia="zh-CN"/>
        </w:rPr>
        <w:t>)</w:t>
      </w:r>
      <w:r w:rsidRPr="0027683C">
        <w:rPr>
          <w:rFonts w:ascii="Book Antiqua" w:hAnsi="Book Antiqua"/>
          <w:color w:val="000000"/>
          <w:sz w:val="24"/>
          <w:szCs w:val="24"/>
          <w:lang w:val="en-US"/>
        </w:rPr>
        <w:t xml:space="preserve"> according to standard methodology</w:t>
      </w:r>
      <w:r w:rsidRPr="0027683C">
        <w:rPr>
          <w:rFonts w:ascii="Book Antiqua" w:hAnsi="Book Antiqua"/>
          <w:color w:val="000000"/>
          <w:sz w:val="24"/>
          <w:szCs w:val="24"/>
          <w:vertAlign w:val="superscript"/>
          <w:lang w:val="en-US"/>
        </w:rPr>
        <w:t>[20]</w:t>
      </w:r>
      <w:r w:rsidRPr="0027683C">
        <w:rPr>
          <w:rFonts w:ascii="Book Antiqua" w:hAnsi="Book Antiqua"/>
          <w:color w:val="000000"/>
          <w:sz w:val="24"/>
          <w:szCs w:val="24"/>
          <w:lang w:val="en-US"/>
        </w:rPr>
        <w:t xml:space="preserve">  was performed in all cases.</w:t>
      </w:r>
    </w:p>
    <w:p w:rsidR="00CE40A9" w:rsidRPr="0027683C" w:rsidRDefault="00CE40A9" w:rsidP="00197E9C">
      <w:pPr>
        <w:autoSpaceDE w:val="0"/>
        <w:autoSpaceDN w:val="0"/>
        <w:adjustRightInd w:val="0"/>
        <w:spacing w:after="0" w:line="360" w:lineRule="auto"/>
        <w:ind w:firstLineChars="250" w:firstLine="600"/>
        <w:jc w:val="both"/>
        <w:rPr>
          <w:rFonts w:ascii="Book Antiqua" w:hAnsi="Book Antiqua"/>
          <w:sz w:val="24"/>
          <w:szCs w:val="24"/>
          <w:lang w:val="en-US"/>
        </w:rPr>
      </w:pPr>
      <w:r w:rsidRPr="0027683C">
        <w:rPr>
          <w:rFonts w:ascii="Book Antiqua" w:hAnsi="Book Antiqua"/>
          <w:sz w:val="24"/>
          <w:szCs w:val="24"/>
          <w:lang w:val="en-US"/>
        </w:rPr>
        <w:t xml:space="preserve">Formalin-fixed (10%), paraffin-embedded tissues from </w:t>
      </w:r>
      <w:r w:rsidRPr="0027683C">
        <w:rPr>
          <w:rFonts w:ascii="Book Antiqua" w:hAnsi="Book Antiqua"/>
          <w:i/>
          <w:sz w:val="24"/>
          <w:szCs w:val="24"/>
          <w:lang w:val="en-US"/>
        </w:rPr>
        <w:t>antrum</w:t>
      </w:r>
      <w:r w:rsidRPr="0027683C">
        <w:rPr>
          <w:rFonts w:ascii="Book Antiqua" w:hAnsi="Book Antiqua"/>
          <w:sz w:val="24"/>
          <w:szCs w:val="24"/>
          <w:lang w:val="en-US"/>
        </w:rPr>
        <w:t xml:space="preserve"> and </w:t>
      </w:r>
      <w:r w:rsidRPr="0027683C">
        <w:rPr>
          <w:rFonts w:ascii="Book Antiqua" w:hAnsi="Book Antiqua"/>
          <w:i/>
          <w:iCs/>
          <w:sz w:val="24"/>
          <w:szCs w:val="24"/>
          <w:lang w:val="en-US"/>
        </w:rPr>
        <w:t xml:space="preserve">corpus </w:t>
      </w:r>
      <w:r w:rsidRPr="0027683C">
        <w:rPr>
          <w:rFonts w:ascii="Book Antiqua" w:hAnsi="Book Antiqua"/>
          <w:sz w:val="24"/>
          <w:szCs w:val="24"/>
          <w:lang w:val="en-US"/>
        </w:rPr>
        <w:t xml:space="preserve">biopsies, were processed according to conventional histological technique. Serial sections </w:t>
      </w:r>
      <w:r w:rsidRPr="0027683C">
        <w:rPr>
          <w:rFonts w:ascii="Book Antiqua" w:hAnsi="Book Antiqua"/>
          <w:b/>
          <w:sz w:val="24"/>
          <w:szCs w:val="24"/>
          <w:lang w:val="en-US"/>
        </w:rPr>
        <w:t>(</w:t>
      </w:r>
      <w:r w:rsidRPr="0027683C">
        <w:rPr>
          <w:rFonts w:ascii="Book Antiqua" w:hAnsi="Book Antiqua"/>
          <w:sz w:val="24"/>
          <w:szCs w:val="24"/>
          <w:lang w:val="en-US"/>
        </w:rPr>
        <w:t xml:space="preserve">4 </w:t>
      </w:r>
      <w:r w:rsidRPr="0027683C">
        <w:rPr>
          <w:rFonts w:ascii="Book Antiqua" w:hAnsi="Book Antiqua"/>
          <w:sz w:val="24"/>
          <w:szCs w:val="24"/>
        </w:rPr>
        <w:t>μ</w:t>
      </w:r>
      <w:r w:rsidRPr="0027683C">
        <w:rPr>
          <w:rFonts w:ascii="Book Antiqua" w:hAnsi="Book Antiqua"/>
          <w:sz w:val="24"/>
          <w:szCs w:val="24"/>
          <w:lang w:val="en-US"/>
        </w:rPr>
        <w:t>m</w:t>
      </w:r>
      <w:r w:rsidRPr="0027683C">
        <w:rPr>
          <w:rFonts w:ascii="Book Antiqua" w:hAnsi="Book Antiqua" w:cs="TimesNewRomanPSMT"/>
          <w:sz w:val="24"/>
          <w:szCs w:val="24"/>
          <w:lang w:val="en-GB" w:eastAsia="pt-PT"/>
        </w:rPr>
        <w:t>)</w:t>
      </w:r>
      <w:r w:rsidRPr="0027683C">
        <w:rPr>
          <w:rFonts w:ascii="Book Antiqua" w:hAnsi="Book Antiqua"/>
          <w:sz w:val="24"/>
          <w:szCs w:val="24"/>
          <w:lang w:val="en-US"/>
        </w:rPr>
        <w:t xml:space="preserve"> were stained with </w:t>
      </w:r>
      <w:r w:rsidRPr="0027683C">
        <w:rPr>
          <w:rFonts w:ascii="Book Antiqua" w:hAnsi="Book Antiqua" w:cs="TimesNewRomanPSMT"/>
          <w:sz w:val="24"/>
          <w:szCs w:val="24"/>
          <w:lang w:val="en-GB" w:eastAsia="pt-PT"/>
        </w:rPr>
        <w:t>hematoxylin-eosin</w:t>
      </w:r>
      <w:r>
        <w:rPr>
          <w:rFonts w:ascii="Book Antiqua" w:hAnsi="Book Antiqua"/>
          <w:sz w:val="24"/>
          <w:szCs w:val="24"/>
          <w:lang w:val="en-US"/>
        </w:rPr>
        <w:t xml:space="preserve"> (H</w:t>
      </w:r>
      <w:r w:rsidRPr="0027683C">
        <w:rPr>
          <w:rFonts w:ascii="Book Antiqua" w:hAnsi="Book Antiqua"/>
          <w:sz w:val="24"/>
          <w:szCs w:val="24"/>
          <w:lang w:val="en-US"/>
        </w:rPr>
        <w:t xml:space="preserve">E), Giemsa staining for </w:t>
      </w:r>
      <w:r w:rsidRPr="0027683C">
        <w:rPr>
          <w:rFonts w:ascii="Book Antiqua" w:hAnsi="Book Antiqua"/>
          <w:i/>
          <w:iCs/>
          <w:sz w:val="24"/>
          <w:szCs w:val="24"/>
          <w:lang w:val="en-US"/>
        </w:rPr>
        <w:t>H. pylori</w:t>
      </w:r>
      <w:r>
        <w:rPr>
          <w:rFonts w:ascii="Book Antiqua" w:hAnsi="Book Antiqua"/>
          <w:iCs/>
          <w:sz w:val="24"/>
          <w:szCs w:val="24"/>
          <w:lang w:val="en-US" w:eastAsia="zh-CN"/>
        </w:rPr>
        <w:t xml:space="preserve"> </w:t>
      </w:r>
      <w:r w:rsidRPr="0027683C">
        <w:rPr>
          <w:rFonts w:ascii="Book Antiqua" w:hAnsi="Book Antiqua"/>
          <w:sz w:val="24"/>
          <w:szCs w:val="24"/>
          <w:lang w:val="en-US"/>
        </w:rPr>
        <w:t>and</w:t>
      </w:r>
      <w:r w:rsidRPr="0027683C">
        <w:rPr>
          <w:rFonts w:ascii="Book Antiqua" w:hAnsi="Book Antiqua"/>
          <w:i/>
          <w:iCs/>
          <w:sz w:val="24"/>
          <w:szCs w:val="24"/>
          <w:lang w:val="en-US"/>
        </w:rPr>
        <w:t xml:space="preserve"> </w:t>
      </w:r>
      <w:r w:rsidRPr="0027683C">
        <w:rPr>
          <w:rFonts w:ascii="Book Antiqua" w:hAnsi="Book Antiqua"/>
          <w:sz w:val="24"/>
          <w:szCs w:val="24"/>
          <w:lang w:val="en-US"/>
        </w:rPr>
        <w:t>Periodic acid– Schiff/Alcian blue staining at pH</w:t>
      </w:r>
      <w:r>
        <w:rPr>
          <w:rFonts w:ascii="Book Antiqua" w:hAnsi="Book Antiqua"/>
          <w:sz w:val="24"/>
          <w:szCs w:val="24"/>
          <w:lang w:val="en-US" w:eastAsia="zh-CN"/>
        </w:rPr>
        <w:t xml:space="preserve"> </w:t>
      </w:r>
      <w:r w:rsidRPr="0027683C">
        <w:rPr>
          <w:rFonts w:ascii="Book Antiqua" w:hAnsi="Book Antiqua"/>
          <w:sz w:val="24"/>
          <w:szCs w:val="24"/>
          <w:lang w:val="en-US" w:eastAsia="zh-CN"/>
        </w:rPr>
        <w:t>=</w:t>
      </w:r>
      <w:r>
        <w:rPr>
          <w:rFonts w:ascii="Book Antiqua" w:hAnsi="Book Antiqua"/>
          <w:sz w:val="24"/>
          <w:szCs w:val="24"/>
          <w:lang w:val="en-US" w:eastAsia="zh-CN"/>
        </w:rPr>
        <w:t xml:space="preserve"> </w:t>
      </w:r>
      <w:r w:rsidRPr="0027683C">
        <w:rPr>
          <w:rFonts w:ascii="Book Antiqua" w:hAnsi="Book Antiqua"/>
          <w:sz w:val="24"/>
          <w:szCs w:val="24"/>
          <w:lang w:val="en-US"/>
        </w:rPr>
        <w:t>2.5 to confirm the presence of intestinal and pseudopyloric metaplasia (antral-like mucosa obtained from anatomically collected corpus mucosa). Degree of active and chronic inflammation was scored on a scale of 0 to 3 (0 = none, 1 = mild, 2 = moderate and 3 = intense) according to updated Sidney system</w:t>
      </w:r>
      <w:r w:rsidRPr="0027683C">
        <w:rPr>
          <w:rFonts w:ascii="Book Antiqua" w:hAnsi="Book Antiqua"/>
          <w:sz w:val="24"/>
          <w:szCs w:val="24"/>
          <w:vertAlign w:val="superscript"/>
          <w:lang w:val="en-US"/>
        </w:rPr>
        <w:t>[21]</w:t>
      </w:r>
      <w:r w:rsidRPr="0027683C">
        <w:rPr>
          <w:rFonts w:ascii="Book Antiqua" w:hAnsi="Book Antiqua"/>
          <w:sz w:val="24"/>
          <w:szCs w:val="24"/>
          <w:lang w:val="en-US"/>
        </w:rPr>
        <w:t xml:space="preserve">. As gastrin cells are absent from </w:t>
      </w:r>
      <w:r w:rsidRPr="0027683C">
        <w:rPr>
          <w:rFonts w:ascii="Book Antiqua" w:hAnsi="Book Antiqua"/>
          <w:i/>
          <w:iCs/>
          <w:sz w:val="24"/>
          <w:szCs w:val="24"/>
          <w:lang w:val="en-US"/>
        </w:rPr>
        <w:t xml:space="preserve">corpus </w:t>
      </w:r>
      <w:r w:rsidRPr="0027683C">
        <w:rPr>
          <w:rFonts w:ascii="Book Antiqua" w:hAnsi="Book Antiqua"/>
          <w:sz w:val="24"/>
          <w:szCs w:val="24"/>
          <w:lang w:val="en-US"/>
        </w:rPr>
        <w:t xml:space="preserve">mucosa, gastrin immunostaining was performed in all cases </w:t>
      </w:r>
      <w:r w:rsidRPr="0027683C">
        <w:rPr>
          <w:rFonts w:ascii="Book Antiqua" w:hAnsi="Book Antiqua" w:cs="TimesNewRomanPSMT"/>
          <w:sz w:val="24"/>
          <w:szCs w:val="24"/>
          <w:lang w:val="en-GB" w:eastAsia="pt-PT"/>
        </w:rPr>
        <w:t>(indirect method with polymer detection system peroxidase/DAB)</w:t>
      </w:r>
      <w:r w:rsidRPr="0027683C">
        <w:rPr>
          <w:rFonts w:ascii="Book Antiqua" w:hAnsi="Book Antiqua"/>
          <w:sz w:val="24"/>
          <w:szCs w:val="24"/>
          <w:shd w:val="clear" w:color="auto" w:fill="FFFFFF"/>
          <w:lang w:val="en-GB"/>
        </w:rPr>
        <w:t xml:space="preserve"> </w:t>
      </w:r>
      <w:r w:rsidRPr="00BE4FFB">
        <w:rPr>
          <w:rFonts w:ascii="Book Antiqua" w:hAnsi="Book Antiqua"/>
          <w:sz w:val="24"/>
          <w:szCs w:val="24"/>
          <w:lang w:val="en-GB"/>
        </w:rPr>
        <w:t>were performed</w:t>
      </w:r>
      <w:r w:rsidRPr="00BE4FFB">
        <w:rPr>
          <w:rFonts w:ascii="Book Antiqua" w:hAnsi="Book Antiqua" w:cs="TimesNewRomanPSMT"/>
          <w:sz w:val="24"/>
          <w:szCs w:val="24"/>
          <w:lang w:val="en-GB" w:eastAsia="pt-PT"/>
        </w:rPr>
        <w:t xml:space="preserve"> for </w:t>
      </w:r>
      <w:r w:rsidRPr="00BE4FFB">
        <w:rPr>
          <w:rFonts w:ascii="Book Antiqua" w:hAnsi="Book Antiqua"/>
          <w:sz w:val="24"/>
          <w:szCs w:val="24"/>
          <w:lang w:val="en-US"/>
        </w:rPr>
        <w:t>gastri</w:t>
      </w:r>
      <w:r w:rsidRPr="0027683C">
        <w:rPr>
          <w:rFonts w:ascii="Book Antiqua" w:hAnsi="Book Antiqua"/>
          <w:sz w:val="24"/>
          <w:szCs w:val="24"/>
          <w:lang w:val="en-US"/>
        </w:rPr>
        <w:t xml:space="preserve">n (Policlonal antibody, 1:1800 dilution, A0568, DAKO®), to ensure that the biopsied tissue was obtained from </w:t>
      </w:r>
      <w:r w:rsidRPr="0027683C">
        <w:rPr>
          <w:rFonts w:ascii="Book Antiqua" w:hAnsi="Book Antiqua"/>
          <w:i/>
          <w:iCs/>
          <w:sz w:val="24"/>
          <w:szCs w:val="24"/>
          <w:lang w:val="en-US"/>
        </w:rPr>
        <w:t>corpus</w:t>
      </w:r>
      <w:r w:rsidRPr="0027683C">
        <w:rPr>
          <w:rFonts w:ascii="Book Antiqua" w:hAnsi="Book Antiqua"/>
          <w:sz w:val="24"/>
          <w:szCs w:val="24"/>
          <w:lang w:val="en-US"/>
        </w:rPr>
        <w:t xml:space="preserve">.  ECL-cell hyperplasia in the gastric </w:t>
      </w:r>
      <w:r w:rsidRPr="0027683C">
        <w:rPr>
          <w:rFonts w:ascii="Book Antiqua" w:hAnsi="Book Antiqua"/>
          <w:i/>
          <w:iCs/>
          <w:sz w:val="24"/>
          <w:szCs w:val="24"/>
          <w:lang w:val="en-US"/>
        </w:rPr>
        <w:t xml:space="preserve">corpus </w:t>
      </w:r>
      <w:r w:rsidRPr="0027683C">
        <w:rPr>
          <w:rFonts w:ascii="Book Antiqua" w:hAnsi="Book Antiqua"/>
          <w:sz w:val="24"/>
          <w:szCs w:val="24"/>
          <w:lang w:val="en-US"/>
        </w:rPr>
        <w:t xml:space="preserve">was also evaluated in all cases using chromogranin A staining (Policlonal antibody, 1:350 dilution, Invitrogen®). </w:t>
      </w:r>
      <w:r w:rsidRPr="0027683C">
        <w:rPr>
          <w:rFonts w:ascii="Book Antiqua" w:hAnsi="Book Antiqua"/>
          <w:sz w:val="24"/>
          <w:szCs w:val="24"/>
          <w:lang w:val="en-US"/>
        </w:rPr>
        <w:lastRenderedPageBreak/>
        <w:t>Results were scored as normal, linear or nodular hyperplasia, using the modified Solcia classification schema</w:t>
      </w:r>
      <w:r w:rsidRPr="0027683C">
        <w:rPr>
          <w:rFonts w:ascii="Book Antiqua" w:hAnsi="Book Antiqua"/>
          <w:sz w:val="24"/>
          <w:szCs w:val="24"/>
          <w:vertAlign w:val="superscript"/>
          <w:lang w:val="en-US"/>
        </w:rPr>
        <w:t>[22]</w:t>
      </w:r>
      <w:r w:rsidRPr="0027683C">
        <w:rPr>
          <w:rFonts w:ascii="Book Antiqua" w:hAnsi="Book Antiqua"/>
          <w:sz w:val="24"/>
          <w:szCs w:val="24"/>
          <w:lang w:val="en-US"/>
        </w:rPr>
        <w:t>. According to this classification, linear ECL-cell hyperplasia is characterized by a linear sequence of at least five ECL-cells lying inside the basement membrane of glands. The diagnosis requires at least two of such lines per linear millimeter of mucosa; micronodular ECL-cell hyperplasia is defined by the presence of micronodular clusters of five or more ECL-cells not exceeding 150</w:t>
      </w:r>
      <w:r>
        <w:rPr>
          <w:rFonts w:ascii="Book Antiqua" w:hAnsi="Book Antiqua"/>
          <w:sz w:val="24"/>
          <w:szCs w:val="24"/>
          <w:lang w:val="en-US" w:eastAsia="zh-CN"/>
        </w:rPr>
        <w:t xml:space="preserve"> </w:t>
      </w:r>
      <w:r w:rsidRPr="0027683C">
        <w:rPr>
          <w:rFonts w:ascii="Book Antiqua" w:hAnsi="Book Antiqua"/>
          <w:sz w:val="24"/>
          <w:szCs w:val="24"/>
        </w:rPr>
        <w:t>μ</w:t>
      </w:r>
      <w:r w:rsidRPr="0027683C">
        <w:rPr>
          <w:rFonts w:ascii="Book Antiqua" w:hAnsi="Book Antiqua"/>
          <w:sz w:val="24"/>
          <w:szCs w:val="24"/>
          <w:lang w:val="en-US"/>
        </w:rPr>
        <w:t xml:space="preserve">m in size. </w:t>
      </w:r>
    </w:p>
    <w:p w:rsidR="00CE40A9" w:rsidRPr="0027683C" w:rsidRDefault="00CE40A9" w:rsidP="00197E9C">
      <w:pPr>
        <w:autoSpaceDE w:val="0"/>
        <w:autoSpaceDN w:val="0"/>
        <w:adjustRightInd w:val="0"/>
        <w:spacing w:after="0" w:line="360" w:lineRule="auto"/>
        <w:ind w:firstLineChars="250" w:firstLine="600"/>
        <w:jc w:val="both"/>
        <w:rPr>
          <w:rFonts w:ascii="Book Antiqua" w:hAnsi="Book Antiqua"/>
          <w:color w:val="000000"/>
          <w:sz w:val="24"/>
          <w:szCs w:val="24"/>
          <w:lang w:val="en-US"/>
        </w:rPr>
      </w:pPr>
      <w:r w:rsidRPr="0027683C">
        <w:rPr>
          <w:rFonts w:ascii="Book Antiqua" w:hAnsi="Book Antiqua"/>
          <w:color w:val="000000"/>
          <w:sz w:val="24"/>
          <w:szCs w:val="24"/>
          <w:lang w:val="en-US"/>
        </w:rPr>
        <w:t xml:space="preserve">To characterize mucosal inflammatory infiltrate, </w:t>
      </w:r>
      <w:r w:rsidRPr="0027683C">
        <w:rPr>
          <w:rFonts w:ascii="Book Antiqua" w:hAnsi="Book Antiqua"/>
          <w:i/>
          <w:color w:val="000000"/>
          <w:sz w:val="24"/>
          <w:szCs w:val="24"/>
          <w:lang w:val="en-US"/>
        </w:rPr>
        <w:t>corpus</w:t>
      </w:r>
      <w:r w:rsidRPr="0027683C">
        <w:rPr>
          <w:rFonts w:ascii="Book Antiqua" w:hAnsi="Book Antiqua"/>
          <w:color w:val="000000"/>
          <w:sz w:val="24"/>
          <w:szCs w:val="24"/>
          <w:lang w:val="en-US"/>
        </w:rPr>
        <w:t xml:space="preserve"> biopsy immunostaing with anti-CD3 antibody (Policlonal A0452, DAKO®), anti-CD20 antibody (Clone L26, M0755, DAKO®) and  anti-CD68 antibody (Clone PG-M1, A0452, DAKO®) and anti-gastrin (Policlonal, A0568, DAKO®) was performed. All positively marked cells were counted (epithelium, crypt and </w:t>
      </w:r>
      <w:r w:rsidRPr="0027683C">
        <w:rPr>
          <w:rFonts w:ascii="Book Antiqua" w:hAnsi="Book Antiqua"/>
          <w:i/>
          <w:color w:val="000000"/>
          <w:sz w:val="24"/>
          <w:szCs w:val="24"/>
          <w:lang w:val="en-US"/>
        </w:rPr>
        <w:t>lamina propria</w:t>
      </w:r>
      <w:r w:rsidRPr="0027683C">
        <w:rPr>
          <w:rFonts w:ascii="Book Antiqua" w:hAnsi="Book Antiqua"/>
          <w:color w:val="000000"/>
          <w:sz w:val="24"/>
          <w:szCs w:val="24"/>
          <w:lang w:val="en-US"/>
        </w:rPr>
        <w:t xml:space="preserve">) at 40x magnification; results were expressed as number of immunostained cells per field. Sections were independently evaluated by two experienced pathologists. Clinical data concerned age, gender, ethnic background, past medical history, familial history and laboratorial data at admission. These included iron status evaluation (Hb, ferritin), serum B12 vitamin levels, serum gastrin, serum pepsinogen I, pepsinogen II and the respective ratio (PGI/PGII) and autoimmune profile (PCA, intrinsic factor auto-antibodies (IFA), antithyroglobulin and/ or anti-thyroid peroxidase autoantibodies (TPO/Tg-Ab) and antitranglutaminase auto-antibodies (TgA)). </w:t>
      </w:r>
      <w:r w:rsidRPr="0027683C">
        <w:rPr>
          <w:rFonts w:ascii="Book Antiqua" w:hAnsi="Book Antiqua"/>
          <w:i/>
          <w:iCs/>
          <w:color w:val="000000"/>
          <w:sz w:val="24"/>
          <w:szCs w:val="24"/>
          <w:lang w:val="en-US"/>
        </w:rPr>
        <w:t xml:space="preserve">H. pylori </w:t>
      </w:r>
      <w:r w:rsidRPr="0027683C">
        <w:rPr>
          <w:rFonts w:ascii="Book Antiqua" w:hAnsi="Book Antiqua"/>
          <w:color w:val="000000"/>
          <w:sz w:val="24"/>
          <w:szCs w:val="24"/>
          <w:lang w:val="en-US"/>
        </w:rPr>
        <w:t xml:space="preserve">serology was further included. Other potentially contributing causes of anemia were excluded, namely gastrointestinal blood loss, nutritional deficiency, </w:t>
      </w:r>
      <w:r w:rsidRPr="0027683C">
        <w:rPr>
          <w:rFonts w:ascii="Book Antiqua" w:hAnsi="Book Antiqua"/>
          <w:sz w:val="24"/>
          <w:szCs w:val="24"/>
          <w:lang w:val="en-US"/>
        </w:rPr>
        <w:t>menstrual</w:t>
      </w:r>
      <w:r w:rsidRPr="0027683C">
        <w:rPr>
          <w:rFonts w:ascii="Book Antiqua" w:hAnsi="Book Antiqua"/>
          <w:color w:val="000000"/>
          <w:sz w:val="24"/>
          <w:szCs w:val="24"/>
          <w:lang w:val="en-US"/>
        </w:rPr>
        <w:t xml:space="preserve"> losses, inflammatory bowel disease and celiac disease. No patient was under any pharmacological treatment, including anti-secretory therapy. </w:t>
      </w:r>
    </w:p>
    <w:p w:rsidR="00CE40A9" w:rsidRPr="0027683C" w:rsidRDefault="00CE40A9" w:rsidP="00197E9C">
      <w:pPr>
        <w:autoSpaceDE w:val="0"/>
        <w:autoSpaceDN w:val="0"/>
        <w:adjustRightInd w:val="0"/>
        <w:spacing w:after="0" w:line="360" w:lineRule="auto"/>
        <w:ind w:firstLineChars="200" w:firstLine="480"/>
        <w:jc w:val="both"/>
        <w:rPr>
          <w:rFonts w:ascii="Book Antiqua" w:hAnsi="Book Antiqua"/>
          <w:color w:val="000000"/>
          <w:sz w:val="24"/>
          <w:szCs w:val="24"/>
          <w:lang w:val="en-US"/>
        </w:rPr>
      </w:pPr>
      <w:r w:rsidRPr="0027683C">
        <w:rPr>
          <w:rFonts w:ascii="Book Antiqua" w:hAnsi="Book Antiqua"/>
          <w:color w:val="000000"/>
          <w:sz w:val="24"/>
          <w:szCs w:val="24"/>
          <w:lang w:val="en-US"/>
        </w:rPr>
        <w:t>Descriptive statistical analysis was performed (mean, median, standard deviation (SD), minimum, maximum).</w:t>
      </w:r>
    </w:p>
    <w:p w:rsidR="00CE40A9" w:rsidRPr="0027683C" w:rsidRDefault="00CE40A9" w:rsidP="00197E9C">
      <w:pPr>
        <w:autoSpaceDE w:val="0"/>
        <w:autoSpaceDN w:val="0"/>
        <w:adjustRightInd w:val="0"/>
        <w:spacing w:after="0" w:line="360" w:lineRule="auto"/>
        <w:jc w:val="both"/>
        <w:rPr>
          <w:rFonts w:ascii="Book Antiqua" w:hAnsi="Book Antiqua"/>
          <w:b/>
          <w:bCs/>
          <w:sz w:val="24"/>
          <w:szCs w:val="24"/>
          <w:lang w:val="en-US"/>
        </w:rPr>
      </w:pPr>
    </w:p>
    <w:p w:rsidR="00CE40A9" w:rsidRPr="0027683C" w:rsidRDefault="00CE40A9" w:rsidP="00197E9C">
      <w:pPr>
        <w:autoSpaceDE w:val="0"/>
        <w:autoSpaceDN w:val="0"/>
        <w:adjustRightInd w:val="0"/>
        <w:spacing w:after="0" w:line="360" w:lineRule="auto"/>
        <w:jc w:val="both"/>
        <w:rPr>
          <w:rFonts w:ascii="Book Antiqua" w:hAnsi="Book Antiqua"/>
          <w:b/>
          <w:bCs/>
          <w:sz w:val="24"/>
          <w:szCs w:val="24"/>
          <w:lang w:val="en-US"/>
        </w:rPr>
      </w:pPr>
      <w:r w:rsidRPr="0027683C">
        <w:rPr>
          <w:rFonts w:ascii="Book Antiqua" w:hAnsi="Book Antiqua"/>
          <w:b/>
          <w:bCs/>
          <w:sz w:val="24"/>
          <w:szCs w:val="24"/>
          <w:lang w:val="en-US"/>
        </w:rPr>
        <w:t>RESULTS</w:t>
      </w:r>
    </w:p>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The five patients included in this report had a mean age of 13</w:t>
      </w:r>
      <w:r>
        <w:rPr>
          <w:rFonts w:ascii="Book Antiqua" w:hAnsi="Book Antiqua"/>
          <w:sz w:val="24"/>
          <w:szCs w:val="24"/>
          <w:lang w:val="en-US" w:eastAsia="zh-CN"/>
        </w:rPr>
        <w:t>.</w:t>
      </w:r>
      <w:r w:rsidRPr="0027683C">
        <w:rPr>
          <w:rFonts w:ascii="Book Antiqua" w:hAnsi="Book Antiqua"/>
          <w:sz w:val="24"/>
          <w:szCs w:val="24"/>
          <w:lang w:val="en-US"/>
        </w:rPr>
        <w:t>6</w:t>
      </w:r>
      <w:r>
        <w:rPr>
          <w:rFonts w:ascii="Book Antiqua" w:hAnsi="Book Antiqua"/>
          <w:sz w:val="24"/>
          <w:szCs w:val="24"/>
          <w:lang w:val="en-US" w:eastAsia="zh-CN"/>
        </w:rPr>
        <w:t xml:space="preserve"> </w:t>
      </w:r>
      <w:r w:rsidRPr="0027683C">
        <w:rPr>
          <w:rFonts w:ascii="Book Antiqua" w:hAnsi="Book Antiqua"/>
          <w:sz w:val="24"/>
          <w:szCs w:val="24"/>
          <w:lang w:val="en-US"/>
        </w:rPr>
        <w:t>± 2</w:t>
      </w:r>
      <w:r>
        <w:rPr>
          <w:rFonts w:ascii="Book Antiqua" w:hAnsi="Book Antiqua"/>
          <w:sz w:val="24"/>
          <w:szCs w:val="24"/>
          <w:lang w:val="en-US" w:eastAsia="zh-CN"/>
        </w:rPr>
        <w:t>.</w:t>
      </w:r>
      <w:r w:rsidRPr="0027683C">
        <w:rPr>
          <w:rFonts w:ascii="Book Antiqua" w:hAnsi="Book Antiqua"/>
          <w:sz w:val="24"/>
          <w:szCs w:val="24"/>
          <w:lang w:val="en-US"/>
        </w:rPr>
        <w:t>8 years and a</w:t>
      </w:r>
    </w:p>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lastRenderedPageBreak/>
        <w:t xml:space="preserve">male:female </w:t>
      </w:r>
      <w:r w:rsidRPr="0027683C">
        <w:rPr>
          <w:rFonts w:ascii="Book Antiqua" w:hAnsi="Book Antiqua"/>
          <w:i/>
          <w:iCs/>
          <w:sz w:val="24"/>
          <w:szCs w:val="24"/>
          <w:lang w:val="en-US"/>
        </w:rPr>
        <w:t xml:space="preserve">ratio </w:t>
      </w:r>
      <w:r w:rsidRPr="0027683C">
        <w:rPr>
          <w:rFonts w:ascii="Book Antiqua" w:hAnsi="Book Antiqua"/>
          <w:sz w:val="24"/>
          <w:szCs w:val="24"/>
          <w:lang w:val="en-US"/>
        </w:rPr>
        <w:t xml:space="preserve">of 2:3. Three patients were Caucasian and two were from African origin. Considering past medical history, one girl had type I diabetes and all the other were previously healthy. Familial history was positive for autoimmune thyroiditis (2 mothers), multiple myeloma (MM) and sarcoidosis (one mother), breast cancer (two mothers) and type I diabetes (two uncles of one child). No patient had major gastrointestinal symptoms (Table </w:t>
      </w:r>
      <w:r>
        <w:rPr>
          <w:rFonts w:ascii="Book Antiqua" w:hAnsi="Book Antiqua"/>
          <w:sz w:val="24"/>
          <w:szCs w:val="24"/>
          <w:lang w:val="en-US" w:eastAsia="zh-CN"/>
        </w:rPr>
        <w:t>1</w:t>
      </w:r>
      <w:r w:rsidRPr="0027683C">
        <w:rPr>
          <w:rFonts w:ascii="Book Antiqua" w:hAnsi="Book Antiqua"/>
          <w:sz w:val="24"/>
          <w:szCs w:val="24"/>
          <w:lang w:val="en-US"/>
        </w:rPr>
        <w:t>).</w:t>
      </w:r>
    </w:p>
    <w:p w:rsidR="00CE40A9" w:rsidRPr="0027683C" w:rsidRDefault="00CE40A9" w:rsidP="00197E9C">
      <w:pPr>
        <w:autoSpaceDE w:val="0"/>
        <w:autoSpaceDN w:val="0"/>
        <w:adjustRightInd w:val="0"/>
        <w:spacing w:after="0" w:line="360" w:lineRule="auto"/>
        <w:ind w:firstLineChars="250" w:firstLine="600"/>
        <w:jc w:val="both"/>
        <w:rPr>
          <w:rFonts w:ascii="Book Antiqua" w:hAnsi="Book Antiqua"/>
          <w:sz w:val="24"/>
          <w:szCs w:val="24"/>
          <w:lang w:val="en-US"/>
        </w:rPr>
      </w:pPr>
      <w:r w:rsidRPr="0027683C">
        <w:rPr>
          <w:rFonts w:ascii="Book Antiqua" w:hAnsi="Book Antiqua"/>
          <w:sz w:val="24"/>
          <w:szCs w:val="24"/>
          <w:lang w:val="en-US"/>
        </w:rPr>
        <w:t>Laboratorial values on admission included: mean Hb</w:t>
      </w:r>
      <w:r>
        <w:rPr>
          <w:rFonts w:ascii="Book Antiqua" w:hAnsi="Book Antiqua"/>
          <w:sz w:val="24"/>
          <w:szCs w:val="24"/>
          <w:lang w:val="en-US" w:eastAsia="zh-CN"/>
        </w:rPr>
        <w:t xml:space="preserve"> </w:t>
      </w:r>
      <w:r w:rsidRPr="0027683C">
        <w:rPr>
          <w:rFonts w:ascii="Book Antiqua" w:hAnsi="Book Antiqua"/>
          <w:sz w:val="24"/>
          <w:szCs w:val="24"/>
          <w:lang w:val="en-US"/>
        </w:rPr>
        <w:t>=</w:t>
      </w:r>
      <w:r>
        <w:rPr>
          <w:rFonts w:ascii="Book Antiqua" w:hAnsi="Book Antiqua"/>
          <w:sz w:val="24"/>
          <w:szCs w:val="24"/>
          <w:lang w:val="en-US" w:eastAsia="zh-CN"/>
        </w:rPr>
        <w:t xml:space="preserve"> </w:t>
      </w:r>
      <w:r w:rsidRPr="0027683C">
        <w:rPr>
          <w:rFonts w:ascii="Book Antiqua" w:hAnsi="Book Antiqua"/>
          <w:sz w:val="24"/>
          <w:szCs w:val="24"/>
          <w:lang w:val="en-US"/>
        </w:rPr>
        <w:t>9</w:t>
      </w:r>
      <w:r>
        <w:rPr>
          <w:rFonts w:ascii="Book Antiqua" w:hAnsi="Book Antiqua"/>
          <w:sz w:val="24"/>
          <w:szCs w:val="24"/>
          <w:lang w:val="en-US" w:eastAsia="zh-CN"/>
        </w:rPr>
        <w:t>.</w:t>
      </w:r>
      <w:r w:rsidRPr="0027683C">
        <w:rPr>
          <w:rFonts w:ascii="Book Antiqua" w:hAnsi="Book Antiqua"/>
          <w:sz w:val="24"/>
          <w:szCs w:val="24"/>
          <w:lang w:val="en-US"/>
        </w:rPr>
        <w:t>5</w:t>
      </w:r>
      <w:r>
        <w:rPr>
          <w:rFonts w:ascii="Book Antiqua" w:hAnsi="Book Antiqua"/>
          <w:sz w:val="24"/>
          <w:szCs w:val="24"/>
          <w:lang w:val="en-US" w:eastAsia="zh-CN"/>
        </w:rPr>
        <w:t xml:space="preserve"> </w:t>
      </w:r>
      <w:r w:rsidRPr="0027683C">
        <w:rPr>
          <w:rFonts w:ascii="Book Antiqua" w:hAnsi="Book Antiqua"/>
          <w:sz w:val="24"/>
          <w:szCs w:val="24"/>
          <w:lang w:val="en-US"/>
        </w:rPr>
        <w:t>±</w:t>
      </w:r>
      <w:r>
        <w:rPr>
          <w:rFonts w:ascii="Book Antiqua" w:hAnsi="Book Antiqua"/>
          <w:sz w:val="24"/>
          <w:szCs w:val="24"/>
          <w:lang w:val="en-US" w:eastAsia="zh-CN"/>
        </w:rPr>
        <w:t xml:space="preserve"> </w:t>
      </w:r>
      <w:r w:rsidRPr="0027683C">
        <w:rPr>
          <w:rFonts w:ascii="Book Antiqua" w:hAnsi="Book Antiqua"/>
          <w:sz w:val="24"/>
          <w:szCs w:val="24"/>
          <w:lang w:val="en-US"/>
        </w:rPr>
        <w:t>0</w:t>
      </w:r>
      <w:r>
        <w:rPr>
          <w:rFonts w:ascii="Book Antiqua" w:hAnsi="Book Antiqua"/>
          <w:sz w:val="24"/>
          <w:szCs w:val="24"/>
          <w:lang w:val="en-US" w:eastAsia="zh-CN"/>
        </w:rPr>
        <w:t>.</w:t>
      </w:r>
      <w:r w:rsidRPr="0027683C">
        <w:rPr>
          <w:rFonts w:ascii="Book Antiqua" w:hAnsi="Book Antiqua"/>
          <w:sz w:val="24"/>
          <w:szCs w:val="24"/>
          <w:lang w:val="en-US"/>
        </w:rPr>
        <w:t>7 g/dL; mean serum ferritin</w:t>
      </w:r>
      <w:r>
        <w:rPr>
          <w:rFonts w:ascii="Book Antiqua" w:hAnsi="Book Antiqua"/>
          <w:sz w:val="24"/>
          <w:szCs w:val="24"/>
          <w:lang w:val="en-US" w:eastAsia="zh-CN"/>
        </w:rPr>
        <w:t xml:space="preserve"> </w:t>
      </w:r>
      <w:r w:rsidRPr="0027683C">
        <w:rPr>
          <w:rFonts w:ascii="Book Antiqua" w:hAnsi="Book Antiqua"/>
          <w:sz w:val="24"/>
          <w:szCs w:val="24"/>
          <w:lang w:val="en-US"/>
        </w:rPr>
        <w:t>=</w:t>
      </w:r>
      <w:r>
        <w:rPr>
          <w:rFonts w:ascii="Book Antiqua" w:hAnsi="Book Antiqua"/>
          <w:sz w:val="24"/>
          <w:szCs w:val="24"/>
          <w:lang w:val="en-US" w:eastAsia="zh-CN"/>
        </w:rPr>
        <w:t xml:space="preserve"> </w:t>
      </w:r>
      <w:r w:rsidRPr="0027683C">
        <w:rPr>
          <w:rFonts w:ascii="Book Antiqua" w:hAnsi="Book Antiqua"/>
          <w:sz w:val="24"/>
          <w:szCs w:val="24"/>
          <w:lang w:val="en-US"/>
        </w:rPr>
        <w:t>4</w:t>
      </w:r>
      <w:r>
        <w:rPr>
          <w:rFonts w:ascii="Book Antiqua" w:hAnsi="Book Antiqua"/>
          <w:sz w:val="24"/>
          <w:szCs w:val="24"/>
          <w:lang w:val="en-US" w:eastAsia="zh-CN"/>
        </w:rPr>
        <w:t>.</w:t>
      </w:r>
      <w:r w:rsidRPr="0027683C">
        <w:rPr>
          <w:rFonts w:ascii="Book Antiqua" w:hAnsi="Book Antiqua"/>
          <w:sz w:val="24"/>
          <w:szCs w:val="24"/>
          <w:lang w:val="en-US"/>
        </w:rPr>
        <w:t>1</w:t>
      </w:r>
      <w:r>
        <w:rPr>
          <w:rFonts w:ascii="Book Antiqua" w:hAnsi="Book Antiqua"/>
          <w:sz w:val="24"/>
          <w:szCs w:val="24"/>
          <w:lang w:val="en-US" w:eastAsia="zh-CN"/>
        </w:rPr>
        <w:t xml:space="preserve"> </w:t>
      </w:r>
      <w:r w:rsidRPr="0027683C">
        <w:rPr>
          <w:rFonts w:ascii="Book Antiqua" w:hAnsi="Book Antiqua"/>
          <w:sz w:val="24"/>
          <w:szCs w:val="24"/>
          <w:lang w:val="en-US"/>
        </w:rPr>
        <w:t>±</w:t>
      </w:r>
      <w:r>
        <w:rPr>
          <w:rFonts w:ascii="Book Antiqua" w:hAnsi="Book Antiqua"/>
          <w:sz w:val="24"/>
          <w:szCs w:val="24"/>
          <w:lang w:val="en-US" w:eastAsia="zh-CN"/>
        </w:rPr>
        <w:t xml:space="preserve"> </w:t>
      </w:r>
      <w:r w:rsidRPr="0027683C">
        <w:rPr>
          <w:rFonts w:ascii="Book Antiqua" w:hAnsi="Book Antiqua"/>
          <w:sz w:val="24"/>
          <w:szCs w:val="24"/>
          <w:lang w:val="en-US"/>
        </w:rPr>
        <w:t>0</w:t>
      </w:r>
      <w:r>
        <w:rPr>
          <w:rFonts w:ascii="Book Antiqua" w:hAnsi="Book Antiqua"/>
          <w:sz w:val="24"/>
          <w:szCs w:val="24"/>
          <w:lang w:val="en-US" w:eastAsia="zh-CN"/>
        </w:rPr>
        <w:t>.</w:t>
      </w:r>
      <w:r w:rsidRPr="0027683C">
        <w:rPr>
          <w:rFonts w:ascii="Book Antiqua" w:hAnsi="Book Antiqua"/>
          <w:sz w:val="24"/>
          <w:szCs w:val="24"/>
          <w:lang w:val="en-US"/>
        </w:rPr>
        <w:t>9</w:t>
      </w:r>
      <w:r>
        <w:rPr>
          <w:rFonts w:ascii="Book Antiqua" w:hAnsi="Book Antiqua"/>
          <w:sz w:val="24"/>
          <w:szCs w:val="24"/>
          <w:lang w:val="en-US" w:eastAsia="zh-CN"/>
        </w:rPr>
        <w:t xml:space="preserve"> </w:t>
      </w:r>
      <w:r w:rsidRPr="0027683C">
        <w:rPr>
          <w:rFonts w:ascii="Book Antiqua" w:hAnsi="Book Antiqua"/>
          <w:sz w:val="24"/>
          <w:szCs w:val="24"/>
          <w:lang w:val="en-US"/>
        </w:rPr>
        <w:t>ng/dL; mean serum gastrin = 393</w:t>
      </w:r>
      <w:r>
        <w:rPr>
          <w:rFonts w:ascii="Book Antiqua" w:hAnsi="Book Antiqua"/>
          <w:sz w:val="24"/>
          <w:szCs w:val="24"/>
          <w:lang w:val="en-US" w:eastAsia="zh-CN"/>
        </w:rPr>
        <w:t xml:space="preserve"> </w:t>
      </w:r>
      <w:r w:rsidRPr="0027683C">
        <w:rPr>
          <w:rFonts w:ascii="Book Antiqua" w:hAnsi="Book Antiqua"/>
          <w:sz w:val="24"/>
          <w:szCs w:val="24"/>
          <w:lang w:val="en-US"/>
        </w:rPr>
        <w:t>±</w:t>
      </w:r>
      <w:r>
        <w:rPr>
          <w:rFonts w:ascii="Book Antiqua" w:hAnsi="Book Antiqua"/>
          <w:sz w:val="24"/>
          <w:szCs w:val="24"/>
          <w:lang w:val="en-US" w:eastAsia="zh-CN"/>
        </w:rPr>
        <w:t xml:space="preserve"> </w:t>
      </w:r>
      <w:r w:rsidRPr="0027683C">
        <w:rPr>
          <w:rFonts w:ascii="Book Antiqua" w:hAnsi="Book Antiqua"/>
          <w:sz w:val="24"/>
          <w:szCs w:val="24"/>
          <w:lang w:val="en-US"/>
        </w:rPr>
        <w:t>286 pg/mL (4/5 had hypergastrinemia) and the PGI/PGII ratio below 1 in only one patient. Serum B12 vitamin levels were normal in the three patients in whom it was performed (Table I). Laboratory values were otherwise normal including liver and kidney function tests.</w:t>
      </w:r>
    </w:p>
    <w:p w:rsidR="00CE40A9" w:rsidRPr="0027683C" w:rsidRDefault="00CE40A9" w:rsidP="00197E9C">
      <w:pPr>
        <w:autoSpaceDE w:val="0"/>
        <w:autoSpaceDN w:val="0"/>
        <w:adjustRightInd w:val="0"/>
        <w:spacing w:after="0" w:line="360" w:lineRule="auto"/>
        <w:ind w:firstLineChars="200" w:firstLine="480"/>
        <w:jc w:val="both"/>
        <w:rPr>
          <w:rFonts w:ascii="Book Antiqua" w:hAnsi="Book Antiqua"/>
          <w:sz w:val="24"/>
          <w:szCs w:val="24"/>
          <w:lang w:val="en-US"/>
        </w:rPr>
      </w:pPr>
      <w:r w:rsidRPr="0027683C">
        <w:rPr>
          <w:rFonts w:ascii="Book Antiqua" w:hAnsi="Book Antiqua"/>
          <w:sz w:val="24"/>
          <w:szCs w:val="24"/>
          <w:lang w:val="en-US"/>
        </w:rPr>
        <w:t xml:space="preserve">All patients but one, had negative IgG for </w:t>
      </w:r>
      <w:r w:rsidRPr="0027683C">
        <w:rPr>
          <w:rFonts w:ascii="Book Antiqua" w:hAnsi="Book Antiqua"/>
          <w:i/>
          <w:iCs/>
          <w:sz w:val="24"/>
          <w:szCs w:val="24"/>
          <w:lang w:val="en-US"/>
        </w:rPr>
        <w:t xml:space="preserve">H. pylori. </w:t>
      </w:r>
      <w:r w:rsidRPr="0027683C">
        <w:rPr>
          <w:rFonts w:ascii="Book Antiqua" w:hAnsi="Book Antiqua"/>
          <w:sz w:val="24"/>
          <w:szCs w:val="24"/>
          <w:lang w:val="en-US"/>
        </w:rPr>
        <w:t xml:space="preserve">By definition, all children had positive PCA; none had positive IFA. TPO/Tg-Ab were positive in the sole patient with autoimmune thyroiditis and none had positive TgA (Table </w:t>
      </w:r>
      <w:r>
        <w:rPr>
          <w:rFonts w:ascii="Book Antiqua" w:hAnsi="Book Antiqua"/>
          <w:sz w:val="24"/>
          <w:szCs w:val="24"/>
          <w:lang w:val="en-US" w:eastAsia="zh-CN"/>
        </w:rPr>
        <w:t>1</w:t>
      </w:r>
      <w:r w:rsidRPr="0027683C">
        <w:rPr>
          <w:rFonts w:ascii="Book Antiqua" w:hAnsi="Book Antiqua"/>
          <w:sz w:val="24"/>
          <w:szCs w:val="24"/>
          <w:lang w:val="en-US"/>
        </w:rPr>
        <w:t>).</w:t>
      </w:r>
    </w:p>
    <w:p w:rsidR="00CE40A9" w:rsidRPr="0027683C" w:rsidRDefault="00CE40A9" w:rsidP="00197E9C">
      <w:pPr>
        <w:autoSpaceDE w:val="0"/>
        <w:autoSpaceDN w:val="0"/>
        <w:adjustRightInd w:val="0"/>
        <w:spacing w:after="0" w:line="360" w:lineRule="auto"/>
        <w:ind w:firstLineChars="250" w:firstLine="600"/>
        <w:jc w:val="both"/>
        <w:rPr>
          <w:rFonts w:ascii="Book Antiqua" w:hAnsi="Book Antiqua"/>
          <w:sz w:val="24"/>
          <w:szCs w:val="24"/>
          <w:lang w:val="en-US"/>
        </w:rPr>
      </w:pPr>
      <w:r w:rsidRPr="0027683C">
        <w:rPr>
          <w:rFonts w:ascii="Book Antiqua" w:hAnsi="Book Antiqua"/>
          <w:sz w:val="24"/>
          <w:szCs w:val="24"/>
          <w:lang w:val="en-US"/>
        </w:rPr>
        <w:t>Esophagoduodenoscopy showed slight nodular duodenitis in two patients and fold softening in other two patients.</w:t>
      </w:r>
    </w:p>
    <w:p w:rsidR="00CE40A9" w:rsidRPr="0027683C" w:rsidRDefault="00CE40A9" w:rsidP="00197E9C">
      <w:pPr>
        <w:autoSpaceDE w:val="0"/>
        <w:autoSpaceDN w:val="0"/>
        <w:adjustRightInd w:val="0"/>
        <w:spacing w:after="0" w:line="360" w:lineRule="auto"/>
        <w:ind w:firstLineChars="250" w:firstLine="600"/>
        <w:jc w:val="both"/>
        <w:rPr>
          <w:rFonts w:ascii="Book Antiqua" w:hAnsi="Book Antiqua"/>
          <w:sz w:val="24"/>
          <w:szCs w:val="24"/>
          <w:lang w:val="en-US"/>
        </w:rPr>
      </w:pPr>
      <w:r w:rsidRPr="0027683C">
        <w:rPr>
          <w:rFonts w:ascii="Book Antiqua" w:hAnsi="Book Antiqua"/>
          <w:sz w:val="24"/>
          <w:szCs w:val="24"/>
          <w:lang w:val="en-US"/>
        </w:rPr>
        <w:t xml:space="preserve">Histological findings included the presence of a diffuse and moderate to intense mononuclear infiltrate composed of lymphocytes and plasma cells in the lamina propria (Figure 1) (Table </w:t>
      </w:r>
      <w:r>
        <w:rPr>
          <w:rFonts w:ascii="Book Antiqua" w:hAnsi="Book Antiqua"/>
          <w:sz w:val="24"/>
          <w:szCs w:val="24"/>
          <w:lang w:val="en-US" w:eastAsia="zh-CN"/>
        </w:rPr>
        <w:t>2</w:t>
      </w:r>
      <w:r w:rsidRPr="0027683C">
        <w:rPr>
          <w:rFonts w:ascii="Book Antiqua" w:hAnsi="Book Antiqua"/>
          <w:sz w:val="24"/>
          <w:szCs w:val="24"/>
          <w:lang w:val="en-US"/>
        </w:rPr>
        <w:t xml:space="preserve">). In all cases, a patchy oxyntic gland mononuclear cell infiltration was evident: with moderate to severe atrophic gastritis in 4 patients (Figure 2) and with mild atrophic gastritis in one (younger patient). In </w:t>
      </w:r>
      <w:r w:rsidRPr="0027683C">
        <w:rPr>
          <w:rFonts w:ascii="Book Antiqua" w:hAnsi="Book Antiqua"/>
          <w:i/>
          <w:iCs/>
          <w:sz w:val="24"/>
          <w:szCs w:val="24"/>
          <w:lang w:val="en-US"/>
        </w:rPr>
        <w:t xml:space="preserve">corpus </w:t>
      </w:r>
      <w:r w:rsidRPr="0027683C">
        <w:rPr>
          <w:rFonts w:ascii="Book Antiqua" w:hAnsi="Book Antiqua"/>
          <w:sz w:val="24"/>
          <w:szCs w:val="24"/>
          <w:lang w:val="en-US"/>
        </w:rPr>
        <w:t>mucosa, intestinal and pseudopyloric metaplasia were observed in one and</w:t>
      </w:r>
      <w:r>
        <w:rPr>
          <w:rFonts w:ascii="Book Antiqua" w:hAnsi="Book Antiqua"/>
          <w:sz w:val="24"/>
          <w:szCs w:val="24"/>
          <w:lang w:val="en-US" w:eastAsia="zh-CN"/>
        </w:rPr>
        <w:t xml:space="preserve"> </w:t>
      </w:r>
      <w:r w:rsidRPr="0027683C">
        <w:rPr>
          <w:rFonts w:ascii="Book Antiqua" w:hAnsi="Book Antiqua"/>
          <w:sz w:val="24"/>
          <w:szCs w:val="24"/>
          <w:lang w:val="en-US"/>
        </w:rPr>
        <w:t xml:space="preserve">three patients, respectively. All of the biopsies were negative for </w:t>
      </w:r>
      <w:r w:rsidRPr="0027683C">
        <w:rPr>
          <w:rFonts w:ascii="Book Antiqua" w:hAnsi="Book Antiqua"/>
          <w:i/>
          <w:iCs/>
          <w:sz w:val="24"/>
          <w:szCs w:val="24"/>
          <w:lang w:val="en-US"/>
        </w:rPr>
        <w:t xml:space="preserve">H. pylori </w:t>
      </w:r>
      <w:r w:rsidRPr="0027683C">
        <w:rPr>
          <w:rFonts w:ascii="Book Antiqua" w:hAnsi="Book Antiqua"/>
          <w:sz w:val="24"/>
          <w:szCs w:val="24"/>
          <w:lang w:val="en-US"/>
        </w:rPr>
        <w:t>both in Giemsa staining and cultural examination.</w:t>
      </w:r>
    </w:p>
    <w:p w:rsidR="00CE40A9" w:rsidRPr="0027683C" w:rsidRDefault="00CE40A9" w:rsidP="00197E9C">
      <w:pPr>
        <w:autoSpaceDE w:val="0"/>
        <w:autoSpaceDN w:val="0"/>
        <w:adjustRightInd w:val="0"/>
        <w:spacing w:after="0" w:line="360" w:lineRule="auto"/>
        <w:ind w:firstLineChars="250" w:firstLine="600"/>
        <w:jc w:val="both"/>
        <w:rPr>
          <w:rFonts w:ascii="Book Antiqua" w:hAnsi="Book Antiqua"/>
          <w:sz w:val="24"/>
          <w:szCs w:val="24"/>
          <w:lang w:val="en-US"/>
        </w:rPr>
      </w:pPr>
      <w:r w:rsidRPr="0027683C">
        <w:rPr>
          <w:rFonts w:ascii="Book Antiqua" w:hAnsi="Book Antiqua"/>
          <w:sz w:val="24"/>
          <w:szCs w:val="24"/>
          <w:lang w:val="en-US"/>
        </w:rPr>
        <w:t xml:space="preserve">Characterization of </w:t>
      </w:r>
      <w:r w:rsidRPr="0027683C">
        <w:rPr>
          <w:rFonts w:ascii="Book Antiqua" w:hAnsi="Book Antiqua"/>
          <w:i/>
          <w:sz w:val="24"/>
          <w:szCs w:val="24"/>
          <w:lang w:val="en-US"/>
        </w:rPr>
        <w:t>corpus</w:t>
      </w:r>
      <w:r w:rsidRPr="0027683C">
        <w:rPr>
          <w:rFonts w:ascii="Book Antiqua" w:hAnsi="Book Antiqua"/>
          <w:sz w:val="24"/>
          <w:szCs w:val="24"/>
          <w:lang w:val="en-US"/>
        </w:rPr>
        <w:t xml:space="preserve"> mucosa inflammatory infiltrate showed that T Lymphocytes (CD3+) rather than B Lymphocytes (CD20+) or macrophages (CD68+) mainly composed it. Gastrin immunostaining of </w:t>
      </w:r>
      <w:r w:rsidRPr="0027683C">
        <w:rPr>
          <w:rFonts w:ascii="Book Antiqua" w:hAnsi="Book Antiqua"/>
          <w:i/>
          <w:iCs/>
          <w:sz w:val="24"/>
          <w:szCs w:val="24"/>
          <w:lang w:val="en-US"/>
        </w:rPr>
        <w:t xml:space="preserve">corpus </w:t>
      </w:r>
      <w:r w:rsidRPr="0027683C">
        <w:rPr>
          <w:rFonts w:ascii="Book Antiqua" w:hAnsi="Book Antiqua"/>
          <w:sz w:val="24"/>
          <w:szCs w:val="24"/>
          <w:lang w:val="en-US"/>
        </w:rPr>
        <w:t xml:space="preserve">biopsies was negative in all cases, indicating that the biopsies concerned the oxyntic mucosa (data not shown). Furthermore, Chromogranin A staining at </w:t>
      </w:r>
      <w:r w:rsidRPr="0027683C">
        <w:rPr>
          <w:rFonts w:ascii="Book Antiqua" w:hAnsi="Book Antiqua"/>
          <w:i/>
          <w:iCs/>
          <w:sz w:val="24"/>
          <w:szCs w:val="24"/>
          <w:lang w:val="en-US"/>
        </w:rPr>
        <w:t xml:space="preserve">corpus </w:t>
      </w:r>
      <w:r w:rsidRPr="0027683C">
        <w:rPr>
          <w:rFonts w:ascii="Book Antiqua" w:hAnsi="Book Antiqua"/>
          <w:sz w:val="24"/>
          <w:szCs w:val="24"/>
          <w:lang w:val="en-US"/>
        </w:rPr>
        <w:t xml:space="preserve">showed </w:t>
      </w:r>
      <w:r w:rsidRPr="0027683C">
        <w:rPr>
          <w:rFonts w:ascii="Book Antiqua" w:hAnsi="Book Antiqua"/>
          <w:sz w:val="24"/>
          <w:szCs w:val="24"/>
          <w:lang w:val="en-US"/>
        </w:rPr>
        <w:lastRenderedPageBreak/>
        <w:t xml:space="preserve">linear ECL-cell hyperplasia in 4/5 patients and micronodular ECL-cell hyperplasia in 3/5 cases (Figure 3). Duodenal biopsies showed no major abnormalities in </w:t>
      </w:r>
      <w:r>
        <w:rPr>
          <w:rFonts w:ascii="Book Antiqua" w:hAnsi="Book Antiqua"/>
          <w:sz w:val="24"/>
          <w:szCs w:val="24"/>
          <w:lang w:val="en-US"/>
        </w:rPr>
        <w:t>all patients</w:t>
      </w:r>
      <w:r w:rsidRPr="0027683C">
        <w:rPr>
          <w:rFonts w:ascii="Book Antiqua" w:hAnsi="Book Antiqua"/>
          <w:sz w:val="24"/>
          <w:szCs w:val="24"/>
          <w:lang w:val="en-US"/>
        </w:rPr>
        <w:t>.</w:t>
      </w:r>
    </w:p>
    <w:p w:rsidR="00CE40A9" w:rsidRPr="0027683C" w:rsidRDefault="00CE40A9" w:rsidP="00197E9C">
      <w:pPr>
        <w:autoSpaceDE w:val="0"/>
        <w:autoSpaceDN w:val="0"/>
        <w:adjustRightInd w:val="0"/>
        <w:spacing w:after="0" w:line="360" w:lineRule="auto"/>
        <w:jc w:val="both"/>
        <w:rPr>
          <w:rFonts w:ascii="Book Antiqua" w:hAnsi="Book Antiqua"/>
          <w:b/>
          <w:bCs/>
          <w:sz w:val="24"/>
          <w:szCs w:val="24"/>
          <w:lang w:val="en-US" w:eastAsia="zh-CN"/>
        </w:rPr>
      </w:pPr>
    </w:p>
    <w:p w:rsidR="00CE40A9" w:rsidRPr="0027683C" w:rsidRDefault="00CE40A9" w:rsidP="00197E9C">
      <w:pPr>
        <w:autoSpaceDE w:val="0"/>
        <w:autoSpaceDN w:val="0"/>
        <w:adjustRightInd w:val="0"/>
        <w:spacing w:after="0" w:line="360" w:lineRule="auto"/>
        <w:jc w:val="both"/>
        <w:rPr>
          <w:rFonts w:ascii="Book Antiqua" w:hAnsi="Book Antiqua"/>
          <w:b/>
          <w:bCs/>
          <w:sz w:val="24"/>
          <w:szCs w:val="24"/>
          <w:lang w:val="en-US"/>
        </w:rPr>
      </w:pPr>
      <w:r w:rsidRPr="0027683C">
        <w:rPr>
          <w:rFonts w:ascii="Book Antiqua" w:hAnsi="Book Antiqua"/>
          <w:b/>
          <w:bCs/>
          <w:sz w:val="24"/>
          <w:szCs w:val="24"/>
          <w:lang w:val="en-US"/>
        </w:rPr>
        <w:t>DISCUSSION</w:t>
      </w:r>
    </w:p>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AIG is recognized as a very rare condition in childhood</w:t>
      </w:r>
      <w:r w:rsidRPr="0027683C">
        <w:rPr>
          <w:rFonts w:ascii="Book Antiqua" w:hAnsi="Book Antiqua"/>
          <w:sz w:val="24"/>
          <w:szCs w:val="24"/>
          <w:vertAlign w:val="superscript"/>
          <w:lang w:val="en-US"/>
        </w:rPr>
        <w:t>[13,14]</w:t>
      </w:r>
      <w:r w:rsidRPr="0027683C">
        <w:rPr>
          <w:rFonts w:ascii="Book Antiqua" w:hAnsi="Book Antiqua"/>
          <w:sz w:val="24"/>
          <w:szCs w:val="24"/>
          <w:lang w:val="en-US"/>
        </w:rPr>
        <w:t>, but due to its asymptomatic course in the majority of the patients, it may remain underdiagnosed at young age. In this report, we have studied five youths with diagnosis of AIG presenting as IDA. Though this association has recently been highlighted in the adult population, it has rarely been reported in pediatric patients.</w:t>
      </w:r>
    </w:p>
    <w:p w:rsidR="00CE40A9" w:rsidRPr="0027683C" w:rsidRDefault="00CE40A9" w:rsidP="00197E9C">
      <w:pPr>
        <w:autoSpaceDE w:val="0"/>
        <w:autoSpaceDN w:val="0"/>
        <w:adjustRightInd w:val="0"/>
        <w:spacing w:after="0" w:line="360" w:lineRule="auto"/>
        <w:ind w:firstLineChars="250" w:firstLine="600"/>
        <w:jc w:val="both"/>
        <w:rPr>
          <w:rFonts w:ascii="Book Antiqua" w:hAnsi="Book Antiqua"/>
          <w:sz w:val="24"/>
          <w:szCs w:val="24"/>
          <w:lang w:val="en-US"/>
        </w:rPr>
      </w:pPr>
      <w:r w:rsidRPr="0027683C">
        <w:rPr>
          <w:rFonts w:ascii="Book Antiqua" w:hAnsi="Book Antiqua"/>
          <w:sz w:val="24"/>
          <w:szCs w:val="24"/>
          <w:lang w:val="en-US"/>
        </w:rPr>
        <w:t>IDA is a common condition in childhood</w:t>
      </w:r>
      <w:r w:rsidRPr="0027683C">
        <w:rPr>
          <w:rFonts w:ascii="Book Antiqua" w:hAnsi="Book Antiqua"/>
          <w:sz w:val="24"/>
          <w:szCs w:val="24"/>
          <w:vertAlign w:val="superscript"/>
          <w:lang w:val="en-US"/>
        </w:rPr>
        <w:t>[23]</w:t>
      </w:r>
      <w:r w:rsidRPr="0027683C">
        <w:rPr>
          <w:rFonts w:ascii="Book Antiqua" w:hAnsi="Book Antiqua"/>
          <w:sz w:val="24"/>
          <w:szCs w:val="24"/>
          <w:lang w:val="en-US"/>
        </w:rPr>
        <w:t xml:space="preserve"> and its refractoriness to oral iron therapy, should suggest a range of gastrointestinal pathology including, among others, celiac disease. This entity was excluded in our patients. Although iron absorption is known to be impaired also in the setting of gastric hypo/achlorhydria, gastric atrophy is usually not considered a frequent etiological factor for IDA in the pediatric age group. In adult patients with IDA and no major gastrointestinal symptoms, it has been previously reported that 20% had gastric atrophy associated with hypergastrinemia and positive PCA</w:t>
      </w:r>
      <w:r w:rsidRPr="0027683C">
        <w:rPr>
          <w:rFonts w:ascii="Book Antiqua" w:hAnsi="Book Antiqua"/>
          <w:sz w:val="24"/>
          <w:szCs w:val="24"/>
          <w:vertAlign w:val="superscript"/>
          <w:lang w:val="en-US"/>
        </w:rPr>
        <w:t>[24]</w:t>
      </w:r>
      <w:r w:rsidRPr="0027683C">
        <w:rPr>
          <w:rFonts w:ascii="Book Antiqua" w:hAnsi="Book Antiqua"/>
          <w:sz w:val="24"/>
          <w:szCs w:val="24"/>
          <w:lang w:val="en-US"/>
        </w:rPr>
        <w:t xml:space="preserve">; Moreover, Hershko </w:t>
      </w:r>
      <w:r w:rsidRPr="0027683C">
        <w:rPr>
          <w:rFonts w:ascii="Book Antiqua" w:hAnsi="Book Antiqua"/>
          <w:i/>
          <w:iCs/>
          <w:sz w:val="24"/>
          <w:szCs w:val="24"/>
          <w:lang w:val="en-US"/>
        </w:rPr>
        <w:t>et al</w:t>
      </w:r>
      <w:r w:rsidRPr="0027683C">
        <w:rPr>
          <w:rFonts w:ascii="Book Antiqua" w:hAnsi="Book Antiqua"/>
          <w:sz w:val="24"/>
          <w:szCs w:val="24"/>
          <w:vertAlign w:val="superscript"/>
          <w:lang w:val="en-US"/>
        </w:rPr>
        <w:t>[25]</w:t>
      </w:r>
      <w:r w:rsidRPr="0027683C">
        <w:rPr>
          <w:rFonts w:ascii="Book Antiqua" w:hAnsi="Book Antiqua"/>
          <w:i/>
          <w:iCs/>
          <w:sz w:val="24"/>
          <w:szCs w:val="24"/>
          <w:lang w:val="en-US"/>
        </w:rPr>
        <w:t xml:space="preserve"> </w:t>
      </w:r>
      <w:r w:rsidRPr="0027683C">
        <w:rPr>
          <w:rFonts w:ascii="Book Antiqua" w:hAnsi="Book Antiqua"/>
          <w:sz w:val="24"/>
          <w:szCs w:val="24"/>
          <w:lang w:val="en-US"/>
        </w:rPr>
        <w:t>reported that AIG is 4-6 times more frequent in patients with unexplained IDA than celiac disease. Although pernicious anemia is considered as the classic hematological presentation of AIG, further studies</w:t>
      </w:r>
      <w:r w:rsidRPr="0027683C">
        <w:rPr>
          <w:rFonts w:ascii="Book Antiqua" w:hAnsi="Book Antiqua"/>
          <w:sz w:val="24"/>
          <w:szCs w:val="24"/>
          <w:vertAlign w:val="superscript"/>
          <w:lang w:val="en-US"/>
        </w:rPr>
        <w:t>[10,11]</w:t>
      </w:r>
      <w:r w:rsidRPr="0027683C">
        <w:rPr>
          <w:rFonts w:ascii="Book Antiqua" w:hAnsi="Book Antiqua"/>
          <w:sz w:val="24"/>
          <w:szCs w:val="24"/>
          <w:lang w:val="en-US"/>
        </w:rPr>
        <w:t xml:space="preserve"> have highlighted IDA as a precocious manifestation of this gastric condition. Additionally, Hershko </w:t>
      </w:r>
      <w:r w:rsidRPr="0027683C">
        <w:rPr>
          <w:rFonts w:ascii="Book Antiqua" w:hAnsi="Book Antiqua"/>
          <w:i/>
          <w:iCs/>
          <w:sz w:val="24"/>
          <w:szCs w:val="24"/>
          <w:lang w:val="en-US"/>
        </w:rPr>
        <w:t>et al</w:t>
      </w:r>
      <w:r w:rsidRPr="0027683C">
        <w:rPr>
          <w:rFonts w:ascii="Book Antiqua" w:hAnsi="Book Antiqua"/>
          <w:sz w:val="24"/>
          <w:szCs w:val="24"/>
          <w:vertAlign w:val="superscript"/>
          <w:lang w:val="en-US"/>
        </w:rPr>
        <w:t>[25]</w:t>
      </w:r>
      <w:r w:rsidRPr="0027683C">
        <w:rPr>
          <w:rFonts w:ascii="Book Antiqua" w:hAnsi="Book Antiqua"/>
          <w:sz w:val="24"/>
          <w:szCs w:val="24"/>
          <w:lang w:val="en-US"/>
        </w:rPr>
        <w:t xml:space="preserve"> have compared patients with macrocytic anemia and patients with IDA and have shown that the former were much younger, and the mean globular volume of erythrocytes, ferritin and gastrin increases with age as cobalamin levels decrease</w:t>
      </w:r>
      <w:r w:rsidRPr="0027683C">
        <w:rPr>
          <w:rFonts w:ascii="Book Antiqua" w:hAnsi="Book Antiqua"/>
          <w:sz w:val="24"/>
          <w:szCs w:val="24"/>
          <w:vertAlign w:val="superscript"/>
          <w:lang w:val="en-US"/>
        </w:rPr>
        <w:t>[9]</w:t>
      </w:r>
      <w:r w:rsidRPr="0027683C">
        <w:rPr>
          <w:rFonts w:ascii="Book Antiqua" w:hAnsi="Book Antiqua"/>
          <w:sz w:val="24"/>
          <w:szCs w:val="24"/>
          <w:lang w:val="en-US"/>
        </w:rPr>
        <w:t xml:space="preserve">. In our report, all patients but one (seven years old girl) were adolescents and diagnosed as having AIG during investigation for refractory IDA, thus reinforcing the hypothesis of IDA as an early manifestation of AIG. On the other hand, it can´t be assumed that AIG is the only etiologic factor, as IDA in fertile woman </w:t>
      </w:r>
      <w:r w:rsidRPr="0027683C">
        <w:rPr>
          <w:rFonts w:ascii="Book Antiqua" w:hAnsi="Book Antiqua"/>
          <w:sz w:val="24"/>
          <w:szCs w:val="24"/>
          <w:lang w:val="en-US"/>
        </w:rPr>
        <w:lastRenderedPageBreak/>
        <w:t>menstrual losses may also occur</w:t>
      </w:r>
      <w:r>
        <w:rPr>
          <w:rFonts w:ascii="Book Antiqua" w:hAnsi="Book Antiqua"/>
          <w:sz w:val="24"/>
          <w:szCs w:val="24"/>
          <w:vertAlign w:val="superscript"/>
          <w:lang w:val="en-US"/>
        </w:rPr>
        <w:t>[10,</w:t>
      </w:r>
      <w:r w:rsidRPr="0027683C">
        <w:rPr>
          <w:rFonts w:ascii="Book Antiqua" w:hAnsi="Book Antiqua"/>
          <w:sz w:val="24"/>
          <w:szCs w:val="24"/>
          <w:vertAlign w:val="superscript"/>
          <w:lang w:val="en-US"/>
        </w:rPr>
        <w:t>26]</w:t>
      </w:r>
      <w:r w:rsidRPr="0027683C">
        <w:rPr>
          <w:rFonts w:ascii="Book Antiqua" w:hAnsi="Book Antiqua"/>
          <w:sz w:val="24"/>
          <w:szCs w:val="24"/>
          <w:lang w:val="en-US"/>
        </w:rPr>
        <w:t xml:space="preserve">.Although in the present study intravenous iron therapy and follow-up data were not included, it’s well recognized the need to periodically replacing  iron stores in these patients. </w:t>
      </w:r>
    </w:p>
    <w:p w:rsidR="00CE40A9" w:rsidRPr="0027683C" w:rsidRDefault="00CE40A9" w:rsidP="00197E9C">
      <w:pPr>
        <w:autoSpaceDE w:val="0"/>
        <w:autoSpaceDN w:val="0"/>
        <w:adjustRightInd w:val="0"/>
        <w:spacing w:after="0" w:line="360" w:lineRule="auto"/>
        <w:ind w:firstLineChars="250" w:firstLine="600"/>
        <w:jc w:val="both"/>
        <w:rPr>
          <w:rFonts w:ascii="Book Antiqua" w:hAnsi="Book Antiqua"/>
          <w:i/>
          <w:iCs/>
          <w:sz w:val="24"/>
          <w:szCs w:val="24"/>
          <w:lang w:val="en-US"/>
        </w:rPr>
      </w:pPr>
      <w:r w:rsidRPr="0027683C">
        <w:rPr>
          <w:rFonts w:ascii="Book Antiqua" w:hAnsi="Book Antiqua"/>
          <w:sz w:val="24"/>
          <w:szCs w:val="24"/>
          <w:lang w:val="en-US"/>
        </w:rPr>
        <w:t xml:space="preserve">In our study, although serum gastrin levels were increased in three of our patients, PGI/PGII </w:t>
      </w:r>
      <w:r w:rsidRPr="0027683C">
        <w:rPr>
          <w:rFonts w:ascii="Book Antiqua" w:hAnsi="Book Antiqua"/>
          <w:i/>
          <w:iCs/>
          <w:sz w:val="24"/>
          <w:szCs w:val="24"/>
          <w:lang w:val="en-US"/>
        </w:rPr>
        <w:t xml:space="preserve">ratio </w:t>
      </w:r>
      <w:r w:rsidRPr="0027683C">
        <w:rPr>
          <w:rFonts w:ascii="Book Antiqua" w:hAnsi="Book Antiqua"/>
          <w:sz w:val="24"/>
          <w:szCs w:val="24"/>
          <w:lang w:val="en-US"/>
        </w:rPr>
        <w:t>was low in only one patient. The different disease time course, as well as lesser histological involvement, should be taken into account at young age, as compared to adulthood.</w:t>
      </w:r>
    </w:p>
    <w:p w:rsidR="00CE40A9" w:rsidRPr="0027683C" w:rsidRDefault="00CE40A9" w:rsidP="00197E9C">
      <w:pPr>
        <w:autoSpaceDE w:val="0"/>
        <w:autoSpaceDN w:val="0"/>
        <w:adjustRightInd w:val="0"/>
        <w:spacing w:after="0" w:line="360" w:lineRule="auto"/>
        <w:ind w:firstLineChars="200" w:firstLine="480"/>
        <w:jc w:val="both"/>
        <w:rPr>
          <w:rFonts w:ascii="Book Antiqua" w:hAnsi="Book Antiqua"/>
          <w:sz w:val="24"/>
          <w:szCs w:val="24"/>
          <w:lang w:val="en-US"/>
        </w:rPr>
      </w:pPr>
      <w:r w:rsidRPr="0027683C">
        <w:rPr>
          <w:rFonts w:ascii="Book Antiqua" w:hAnsi="Book Antiqua"/>
          <w:sz w:val="24"/>
          <w:szCs w:val="24"/>
          <w:lang w:val="en-US"/>
        </w:rPr>
        <w:t xml:space="preserve">Lahner </w:t>
      </w:r>
      <w:r w:rsidRPr="0027683C">
        <w:rPr>
          <w:rFonts w:ascii="Book Antiqua" w:hAnsi="Book Antiqua"/>
          <w:i/>
          <w:sz w:val="24"/>
          <w:szCs w:val="24"/>
          <w:lang w:val="en-US"/>
        </w:rPr>
        <w:t>et al</w:t>
      </w:r>
      <w:r w:rsidRPr="0027683C">
        <w:rPr>
          <w:rFonts w:ascii="Book Antiqua" w:hAnsi="Book Antiqua"/>
          <w:sz w:val="24"/>
          <w:szCs w:val="24"/>
          <w:vertAlign w:val="superscript"/>
          <w:lang w:val="en-US"/>
        </w:rPr>
        <w:t>[27]</w:t>
      </w:r>
      <w:r>
        <w:rPr>
          <w:rFonts w:ascii="Book Antiqua" w:hAnsi="Book Antiqua"/>
          <w:sz w:val="24"/>
          <w:szCs w:val="24"/>
          <w:vertAlign w:val="superscript"/>
          <w:lang w:val="en-US" w:eastAsia="zh-CN"/>
        </w:rPr>
        <w:t xml:space="preserve"> </w:t>
      </w:r>
      <w:r w:rsidRPr="0027683C">
        <w:rPr>
          <w:rFonts w:ascii="Book Antiqua" w:hAnsi="Book Antiqua"/>
          <w:sz w:val="24"/>
          <w:szCs w:val="24"/>
          <w:lang w:val="en-US"/>
        </w:rPr>
        <w:t>have recently reported in adults, PCA and IFA sensitivity of 81</w:t>
      </w:r>
      <w:r>
        <w:rPr>
          <w:rFonts w:ascii="Book Antiqua" w:hAnsi="Book Antiqua"/>
          <w:sz w:val="24"/>
          <w:szCs w:val="24"/>
          <w:lang w:val="en-US" w:eastAsia="zh-CN"/>
        </w:rPr>
        <w:t>.</w:t>
      </w:r>
      <w:r w:rsidRPr="0027683C">
        <w:rPr>
          <w:rFonts w:ascii="Book Antiqua" w:hAnsi="Book Antiqua"/>
          <w:sz w:val="24"/>
          <w:szCs w:val="24"/>
          <w:lang w:val="en-US"/>
        </w:rPr>
        <w:t>5% and 37%, respectively. It is not surprising that all our patients had positive PCA and negative IFA, as in fact, it has been argued that the positivity of IFA increases with age and the duration of the disease</w:t>
      </w:r>
      <w:r w:rsidRPr="0027683C">
        <w:rPr>
          <w:rFonts w:ascii="Book Antiqua" w:hAnsi="Book Antiqua"/>
          <w:sz w:val="24"/>
          <w:szCs w:val="24"/>
          <w:vertAlign w:val="superscript"/>
          <w:lang w:val="en-US"/>
        </w:rPr>
        <w:t>[28]</w:t>
      </w:r>
      <w:r w:rsidRPr="0027683C">
        <w:rPr>
          <w:rFonts w:ascii="Book Antiqua" w:hAnsi="Book Antiqua"/>
          <w:sz w:val="24"/>
          <w:szCs w:val="24"/>
          <w:lang w:val="en-US"/>
        </w:rPr>
        <w:t xml:space="preserve"> and eventually some patients will develop IFA at later stages.</w:t>
      </w:r>
    </w:p>
    <w:p w:rsidR="00CE40A9" w:rsidRPr="0027683C" w:rsidRDefault="00CE40A9" w:rsidP="00197E9C">
      <w:pPr>
        <w:autoSpaceDE w:val="0"/>
        <w:autoSpaceDN w:val="0"/>
        <w:adjustRightInd w:val="0"/>
        <w:spacing w:after="0" w:line="360" w:lineRule="auto"/>
        <w:ind w:firstLineChars="250" w:firstLine="600"/>
        <w:jc w:val="both"/>
        <w:rPr>
          <w:rFonts w:ascii="Book Antiqua" w:hAnsi="Book Antiqua"/>
          <w:sz w:val="24"/>
          <w:szCs w:val="24"/>
          <w:lang w:val="en-US"/>
        </w:rPr>
      </w:pPr>
      <w:r w:rsidRPr="00BE4FFB">
        <w:rPr>
          <w:rStyle w:val="apple-converted-space"/>
          <w:rFonts w:ascii="Book Antiqua" w:hAnsi="Book Antiqua" w:cs="Arial"/>
          <w:color w:val="000000"/>
          <w:sz w:val="24"/>
          <w:szCs w:val="24"/>
          <w:lang w:val="en-US"/>
        </w:rPr>
        <w:t>It</w:t>
      </w:r>
      <w:r w:rsidRPr="00BE4FFB">
        <w:rPr>
          <w:rFonts w:ascii="Book Antiqua" w:hAnsi="Book Antiqua" w:cs="Arial"/>
          <w:color w:val="000000"/>
          <w:sz w:val="24"/>
          <w:szCs w:val="24"/>
          <w:lang w:val="en-US"/>
        </w:rPr>
        <w:t xml:space="preserve"> has been clearly established that a CD4+ T cell response to the H/K ATPase beta-subunit, in particular, is essential for the initiation of</w:t>
      </w:r>
      <w:r w:rsidRPr="00BE4FFB">
        <w:rPr>
          <w:rStyle w:val="apple-converted-space"/>
          <w:rFonts w:ascii="Book Antiqua" w:hAnsi="Book Antiqua" w:cs="Arial"/>
          <w:color w:val="000000"/>
          <w:sz w:val="24"/>
          <w:szCs w:val="24"/>
          <w:lang w:val="en-US"/>
        </w:rPr>
        <w:t> </w:t>
      </w:r>
      <w:r w:rsidRPr="00BE4FFB">
        <w:rPr>
          <w:rStyle w:val="highlight"/>
          <w:rFonts w:ascii="Book Antiqua" w:hAnsi="Book Antiqua" w:cs="Arial"/>
          <w:color w:val="000000"/>
          <w:sz w:val="24"/>
          <w:szCs w:val="24"/>
          <w:lang w:val="en-US"/>
        </w:rPr>
        <w:t>autoimmune gastritis</w:t>
      </w:r>
      <w:r w:rsidRPr="00BE4FFB">
        <w:rPr>
          <w:rFonts w:ascii="Book Antiqua" w:hAnsi="Book Antiqua"/>
          <w:sz w:val="24"/>
          <w:szCs w:val="24"/>
          <w:vertAlign w:val="superscript"/>
          <w:lang w:val="en-US"/>
        </w:rPr>
        <w:t>[29]</w:t>
      </w:r>
      <w:r w:rsidRPr="00BE4FFB">
        <w:rPr>
          <w:rFonts w:ascii="Book Antiqua" w:hAnsi="Book Antiqua" w:cs="Arial"/>
          <w:color w:val="000000"/>
          <w:sz w:val="24"/>
          <w:szCs w:val="24"/>
          <w:lang w:val="en-US"/>
        </w:rPr>
        <w:t>. Thus, the</w:t>
      </w:r>
      <w:r w:rsidRPr="00BE4FFB">
        <w:rPr>
          <w:rStyle w:val="apple-converted-space"/>
          <w:rFonts w:ascii="Book Antiqua" w:hAnsi="Book Antiqua" w:cs="Arial"/>
          <w:color w:val="000000"/>
          <w:sz w:val="24"/>
          <w:szCs w:val="24"/>
          <w:lang w:val="en-US"/>
        </w:rPr>
        <w:t> </w:t>
      </w:r>
      <w:r w:rsidRPr="00BE4FFB">
        <w:rPr>
          <w:rStyle w:val="highlight"/>
          <w:rFonts w:ascii="Book Antiqua" w:hAnsi="Book Antiqua" w:cs="Arial"/>
          <w:color w:val="000000"/>
          <w:sz w:val="24"/>
          <w:szCs w:val="24"/>
          <w:lang w:val="en-US"/>
        </w:rPr>
        <w:t>immunopathology</w:t>
      </w:r>
      <w:r w:rsidRPr="00BE4FFB">
        <w:rPr>
          <w:rStyle w:val="apple-converted-space"/>
          <w:rFonts w:ascii="Book Antiqua" w:hAnsi="Book Antiqua" w:cs="Arial"/>
          <w:color w:val="000000"/>
          <w:sz w:val="24"/>
          <w:szCs w:val="24"/>
          <w:lang w:val="en-US"/>
        </w:rPr>
        <w:t> </w:t>
      </w:r>
      <w:r w:rsidRPr="00BE4FFB">
        <w:rPr>
          <w:rFonts w:ascii="Book Antiqua" w:hAnsi="Book Antiqua" w:cs="Arial"/>
          <w:color w:val="000000"/>
          <w:sz w:val="24"/>
          <w:szCs w:val="24"/>
          <w:lang w:val="en-US"/>
        </w:rPr>
        <w:t>of</w:t>
      </w:r>
      <w:r w:rsidRPr="00BE4FFB">
        <w:rPr>
          <w:rStyle w:val="apple-converted-space"/>
          <w:rFonts w:ascii="Book Antiqua" w:hAnsi="Book Antiqua" w:cs="Arial"/>
          <w:color w:val="000000"/>
          <w:sz w:val="24"/>
          <w:szCs w:val="24"/>
          <w:lang w:val="en-US"/>
        </w:rPr>
        <w:t> </w:t>
      </w:r>
      <w:r w:rsidRPr="00BE4FFB">
        <w:rPr>
          <w:rStyle w:val="highlight"/>
          <w:rFonts w:ascii="Book Antiqua" w:hAnsi="Book Antiqua" w:cs="Arial"/>
          <w:color w:val="000000"/>
          <w:sz w:val="24"/>
          <w:szCs w:val="24"/>
          <w:lang w:val="en-US"/>
        </w:rPr>
        <w:t>autoimmune gastritis</w:t>
      </w:r>
      <w:r w:rsidRPr="00BE4FFB">
        <w:rPr>
          <w:rStyle w:val="apple-converted-space"/>
          <w:rFonts w:ascii="Book Antiqua" w:hAnsi="Book Antiqua" w:cs="Arial"/>
          <w:color w:val="000000"/>
          <w:sz w:val="24"/>
          <w:szCs w:val="24"/>
          <w:lang w:val="en-US"/>
        </w:rPr>
        <w:t> </w:t>
      </w:r>
      <w:r w:rsidRPr="00BE4FFB">
        <w:rPr>
          <w:rFonts w:ascii="Book Antiqua" w:hAnsi="Book Antiqua" w:cs="Arial"/>
          <w:color w:val="000000"/>
          <w:sz w:val="24"/>
          <w:szCs w:val="24"/>
          <w:lang w:val="en-US"/>
        </w:rPr>
        <w:t>is due to a disruption of mucosal immune response, potentially involving Treg cells, rather than a direct depletion of the end-stage parietal and zymogenic cells</w:t>
      </w:r>
      <w:r w:rsidRPr="00BE4FFB">
        <w:rPr>
          <w:rFonts w:ascii="Book Antiqua" w:hAnsi="Book Antiqua"/>
          <w:sz w:val="24"/>
          <w:szCs w:val="24"/>
          <w:vertAlign w:val="superscript"/>
          <w:lang w:val="en-US"/>
        </w:rPr>
        <w:t>[29]</w:t>
      </w:r>
      <w:r w:rsidRPr="00BE4FFB">
        <w:rPr>
          <w:rFonts w:ascii="Book Antiqua" w:hAnsi="Book Antiqua"/>
          <w:sz w:val="24"/>
          <w:szCs w:val="24"/>
          <w:lang w:val="en-US"/>
        </w:rPr>
        <w:t xml:space="preserve">. According to the frequent association of AIG with other autoimmune </w:t>
      </w:r>
      <w:r w:rsidRPr="0027683C">
        <w:rPr>
          <w:rFonts w:ascii="Book Antiqua" w:hAnsi="Book Antiqua"/>
          <w:sz w:val="24"/>
          <w:szCs w:val="24"/>
          <w:lang w:val="en-US"/>
        </w:rPr>
        <w:t>disease, we report the case of one girl with a previous diagnosis of type 1 diabetes and other case with positive TPO/Tg-Ab without clinical manifestations. There was also a strong familial history of autoimmunity in three patients (type 1 diabetes in uncles of one girl and autoimmune thyroiditis in the mothers of two girls). Previous studies showed that type 1 diabetes</w:t>
      </w:r>
      <w:r w:rsidRPr="0027683C">
        <w:rPr>
          <w:rFonts w:ascii="Book Antiqua" w:hAnsi="Book Antiqua"/>
          <w:sz w:val="24"/>
          <w:szCs w:val="24"/>
          <w:vertAlign w:val="superscript"/>
          <w:lang w:val="en-US"/>
        </w:rPr>
        <w:t>[30,31]</w:t>
      </w:r>
      <w:r w:rsidRPr="0027683C">
        <w:rPr>
          <w:rFonts w:ascii="Book Antiqua" w:hAnsi="Book Antiqua"/>
          <w:sz w:val="24"/>
          <w:szCs w:val="24"/>
          <w:lang w:val="en-US"/>
        </w:rPr>
        <w:t xml:space="preserve"> and autoimmune thyroiditis</w:t>
      </w:r>
      <w:r w:rsidRPr="0027683C">
        <w:rPr>
          <w:rFonts w:ascii="Book Antiqua" w:hAnsi="Book Antiqua"/>
          <w:sz w:val="24"/>
          <w:szCs w:val="24"/>
          <w:vertAlign w:val="superscript"/>
          <w:lang w:val="en-US"/>
        </w:rPr>
        <w:t>[19,32,33]</w:t>
      </w:r>
      <w:r w:rsidRPr="0027683C">
        <w:rPr>
          <w:rFonts w:ascii="Book Antiqua" w:hAnsi="Book Antiqua"/>
          <w:sz w:val="24"/>
          <w:szCs w:val="24"/>
          <w:lang w:val="en-US"/>
        </w:rPr>
        <w:t xml:space="preserve"> may be associated with positive PCA and AIG at young ages. </w:t>
      </w:r>
    </w:p>
    <w:p w:rsidR="00CE40A9" w:rsidRPr="0027683C" w:rsidRDefault="00CE40A9" w:rsidP="00197E9C">
      <w:pPr>
        <w:autoSpaceDE w:val="0"/>
        <w:autoSpaceDN w:val="0"/>
        <w:adjustRightInd w:val="0"/>
        <w:spacing w:after="0" w:line="360" w:lineRule="auto"/>
        <w:ind w:firstLineChars="250" w:firstLine="600"/>
        <w:jc w:val="both"/>
        <w:rPr>
          <w:rFonts w:ascii="Book Antiqua" w:hAnsi="Book Antiqua"/>
          <w:sz w:val="24"/>
          <w:szCs w:val="24"/>
          <w:lang w:val="en-US"/>
        </w:rPr>
      </w:pPr>
      <w:r w:rsidRPr="0027683C">
        <w:rPr>
          <w:rFonts w:ascii="Book Antiqua" w:hAnsi="Book Antiqua"/>
          <w:sz w:val="24"/>
          <w:szCs w:val="24"/>
          <w:lang w:val="en-US"/>
        </w:rPr>
        <w:t xml:space="preserve">Segni </w:t>
      </w:r>
      <w:r w:rsidRPr="0027683C">
        <w:rPr>
          <w:rFonts w:ascii="Book Antiqua" w:hAnsi="Book Antiqua"/>
          <w:i/>
          <w:iCs/>
          <w:sz w:val="24"/>
          <w:szCs w:val="24"/>
          <w:lang w:val="en-US"/>
        </w:rPr>
        <w:t>et al</w:t>
      </w:r>
      <w:r w:rsidRPr="0027683C">
        <w:rPr>
          <w:rFonts w:ascii="Book Antiqua" w:hAnsi="Book Antiqua"/>
          <w:sz w:val="24"/>
          <w:szCs w:val="24"/>
          <w:vertAlign w:val="superscript"/>
          <w:lang w:val="en-US"/>
        </w:rPr>
        <w:t>[19]</w:t>
      </w:r>
      <w:r w:rsidRPr="0027683C">
        <w:rPr>
          <w:rFonts w:ascii="Book Antiqua" w:hAnsi="Book Antiqua"/>
          <w:i/>
          <w:iCs/>
          <w:sz w:val="24"/>
          <w:szCs w:val="24"/>
          <w:lang w:val="en-US"/>
        </w:rPr>
        <w:t xml:space="preserve"> </w:t>
      </w:r>
      <w:r w:rsidRPr="0027683C">
        <w:rPr>
          <w:rFonts w:ascii="Book Antiqua" w:hAnsi="Book Antiqua"/>
          <w:sz w:val="24"/>
          <w:szCs w:val="24"/>
          <w:lang w:val="en-US"/>
        </w:rPr>
        <w:t>have reported an the incidence of PCA in patients with autoimmune thyroid disease reach</w:t>
      </w:r>
      <w:r>
        <w:rPr>
          <w:rFonts w:ascii="Book Antiqua" w:hAnsi="Book Antiqua"/>
          <w:sz w:val="24"/>
          <w:szCs w:val="24"/>
          <w:lang w:val="en-US"/>
        </w:rPr>
        <w:t>ing</w:t>
      </w:r>
      <w:r w:rsidRPr="0027683C">
        <w:rPr>
          <w:rFonts w:ascii="Book Antiqua" w:hAnsi="Book Antiqua"/>
          <w:sz w:val="24"/>
          <w:szCs w:val="24"/>
          <w:lang w:val="en-US"/>
        </w:rPr>
        <w:t xml:space="preserve"> 21%, with atrophic gastritis in 5/18 patients submitted to endoscopy. Interestingly, all our patients had both positive PCA and </w:t>
      </w:r>
      <w:r w:rsidRPr="0027683C">
        <w:rPr>
          <w:rFonts w:ascii="Book Antiqua" w:hAnsi="Book Antiqua"/>
          <w:i/>
          <w:iCs/>
          <w:sz w:val="24"/>
          <w:szCs w:val="24"/>
          <w:lang w:val="en-US"/>
        </w:rPr>
        <w:t xml:space="preserve">corpus </w:t>
      </w:r>
      <w:r w:rsidRPr="0027683C">
        <w:rPr>
          <w:rFonts w:ascii="Book Antiqua" w:hAnsi="Book Antiqua"/>
          <w:sz w:val="24"/>
          <w:szCs w:val="24"/>
          <w:lang w:val="en-US"/>
        </w:rPr>
        <w:t>atrophic gastritis. This underlines the need to screen patients with autoimmune conditions for AIG.</w:t>
      </w:r>
    </w:p>
    <w:p w:rsidR="00CE40A9" w:rsidRPr="0027683C" w:rsidRDefault="00CE40A9" w:rsidP="00197E9C">
      <w:pPr>
        <w:autoSpaceDE w:val="0"/>
        <w:autoSpaceDN w:val="0"/>
        <w:adjustRightInd w:val="0"/>
        <w:spacing w:after="0" w:line="360" w:lineRule="auto"/>
        <w:ind w:firstLineChars="200" w:firstLine="480"/>
        <w:jc w:val="both"/>
        <w:rPr>
          <w:rFonts w:ascii="Book Antiqua" w:hAnsi="Book Antiqua"/>
          <w:sz w:val="24"/>
          <w:szCs w:val="24"/>
          <w:lang w:val="en-US"/>
        </w:rPr>
      </w:pPr>
      <w:r w:rsidRPr="0027683C">
        <w:rPr>
          <w:rFonts w:ascii="Book Antiqua" w:hAnsi="Book Antiqua"/>
          <w:sz w:val="24"/>
          <w:szCs w:val="24"/>
          <w:lang w:val="en-US"/>
        </w:rPr>
        <w:t xml:space="preserve">Concerning histopathological features, we noticed that in all of our patients with one exception, there was a moderate to severe gastritis with intense </w:t>
      </w:r>
      <w:r w:rsidRPr="0027683C">
        <w:rPr>
          <w:rFonts w:ascii="Book Antiqua" w:hAnsi="Book Antiqua"/>
          <w:sz w:val="24"/>
          <w:szCs w:val="24"/>
          <w:lang w:val="en-US"/>
        </w:rPr>
        <w:lastRenderedPageBreak/>
        <w:t>inflammatory infiltrate (T lymphocytes predominance, as expected), intestinal and/ or pseudo-pyloric metaplasia and ECL micronodular or linear hyperplasia. Micronodular hyperplasia is generally combined with linear hyperplasia and typically found in patients with autoimmune chronic atrophic gastritis in association with higher levels of serum gastrin</w:t>
      </w:r>
      <w:r w:rsidRPr="0027683C">
        <w:rPr>
          <w:rFonts w:ascii="Book Antiqua" w:hAnsi="Book Antiqua"/>
          <w:sz w:val="24"/>
          <w:szCs w:val="24"/>
          <w:vertAlign w:val="superscript"/>
          <w:lang w:val="en-US"/>
        </w:rPr>
        <w:t>[22]</w:t>
      </w:r>
      <w:r w:rsidRPr="0027683C">
        <w:rPr>
          <w:rFonts w:ascii="Book Antiqua" w:hAnsi="Book Antiqua"/>
          <w:sz w:val="24"/>
          <w:szCs w:val="24"/>
          <w:lang w:val="en-US"/>
        </w:rPr>
        <w:t xml:space="preserve"> .</w:t>
      </w:r>
    </w:p>
    <w:p w:rsidR="00CE40A9" w:rsidRPr="0027683C" w:rsidRDefault="00CE40A9" w:rsidP="00197E9C">
      <w:pPr>
        <w:autoSpaceDE w:val="0"/>
        <w:autoSpaceDN w:val="0"/>
        <w:adjustRightInd w:val="0"/>
        <w:spacing w:after="0" w:line="360" w:lineRule="auto"/>
        <w:ind w:firstLineChars="200" w:firstLine="480"/>
        <w:jc w:val="both"/>
        <w:rPr>
          <w:rFonts w:ascii="Book Antiqua" w:hAnsi="Book Antiqua"/>
          <w:sz w:val="24"/>
          <w:szCs w:val="24"/>
          <w:lang w:val="en-US"/>
        </w:rPr>
      </w:pPr>
      <w:r w:rsidRPr="0027683C">
        <w:rPr>
          <w:rFonts w:ascii="Book Antiqua" w:hAnsi="Book Antiqua"/>
          <w:sz w:val="24"/>
          <w:szCs w:val="24"/>
          <w:lang w:val="en-US"/>
        </w:rPr>
        <w:t>It should be emphasized the importance of a firm histological diagnosis of AIG, requiring a representative number of gastric mucosal samples (</w:t>
      </w:r>
      <w:r w:rsidRPr="0027683C">
        <w:rPr>
          <w:rFonts w:ascii="Book Antiqua" w:hAnsi="Book Antiqua"/>
          <w:i/>
          <w:iCs/>
          <w:sz w:val="24"/>
          <w:szCs w:val="24"/>
          <w:lang w:val="en-US"/>
        </w:rPr>
        <w:t>antrum</w:t>
      </w:r>
      <w:r w:rsidRPr="0027683C">
        <w:rPr>
          <w:rFonts w:ascii="Book Antiqua" w:hAnsi="Book Antiqua"/>
          <w:sz w:val="24"/>
          <w:szCs w:val="24"/>
          <w:lang w:val="en-US"/>
        </w:rPr>
        <w:t xml:space="preserve">, </w:t>
      </w:r>
      <w:r w:rsidRPr="0027683C">
        <w:rPr>
          <w:rFonts w:ascii="Book Antiqua" w:hAnsi="Book Antiqua"/>
          <w:i/>
          <w:iCs/>
          <w:sz w:val="24"/>
          <w:szCs w:val="24"/>
          <w:lang w:val="en-US"/>
        </w:rPr>
        <w:t xml:space="preserve">corpus </w:t>
      </w:r>
      <w:r w:rsidRPr="0027683C">
        <w:rPr>
          <w:rFonts w:ascii="Book Antiqua" w:hAnsi="Book Antiqua"/>
          <w:sz w:val="24"/>
          <w:szCs w:val="24"/>
          <w:lang w:val="en-US"/>
        </w:rPr>
        <w:t xml:space="preserve">and </w:t>
      </w:r>
      <w:r w:rsidRPr="0027683C">
        <w:rPr>
          <w:rFonts w:ascii="Book Antiqua" w:hAnsi="Book Antiqua"/>
          <w:i/>
          <w:iCs/>
          <w:sz w:val="24"/>
          <w:szCs w:val="24"/>
          <w:lang w:val="en-US"/>
        </w:rPr>
        <w:t>fundus</w:t>
      </w:r>
      <w:r w:rsidRPr="0027683C">
        <w:rPr>
          <w:rFonts w:ascii="Book Antiqua" w:hAnsi="Book Antiqua"/>
          <w:sz w:val="24"/>
          <w:szCs w:val="24"/>
          <w:lang w:val="en-US"/>
        </w:rPr>
        <w:t>), due to the focal nature of the process</w:t>
      </w:r>
      <w:r w:rsidRPr="0027683C">
        <w:rPr>
          <w:rFonts w:ascii="Book Antiqua" w:hAnsi="Book Antiqua"/>
          <w:sz w:val="24"/>
          <w:szCs w:val="24"/>
          <w:vertAlign w:val="superscript"/>
          <w:lang w:val="en-US"/>
        </w:rPr>
        <w:t>[4,34]</w:t>
      </w:r>
      <w:r w:rsidRPr="0027683C">
        <w:rPr>
          <w:rFonts w:ascii="Book Antiqua" w:hAnsi="Book Antiqua"/>
          <w:sz w:val="24"/>
          <w:szCs w:val="24"/>
          <w:lang w:val="en-US"/>
        </w:rPr>
        <w:t xml:space="preserve">. It is also essential to topographically localize mucosal biopsies, to ensure that the gastritis process is localized to </w:t>
      </w:r>
      <w:r w:rsidRPr="0027683C">
        <w:rPr>
          <w:rFonts w:ascii="Book Antiqua" w:hAnsi="Book Antiqua"/>
          <w:i/>
          <w:iCs/>
          <w:sz w:val="24"/>
          <w:szCs w:val="24"/>
          <w:lang w:val="en-US"/>
        </w:rPr>
        <w:t xml:space="preserve">corpus </w:t>
      </w:r>
      <w:r w:rsidRPr="0027683C">
        <w:rPr>
          <w:rFonts w:ascii="Book Antiqua" w:hAnsi="Book Antiqua"/>
          <w:sz w:val="24"/>
          <w:szCs w:val="24"/>
          <w:lang w:val="en-US"/>
        </w:rPr>
        <w:t xml:space="preserve">and </w:t>
      </w:r>
      <w:r w:rsidRPr="0027683C">
        <w:rPr>
          <w:rFonts w:ascii="Book Antiqua" w:hAnsi="Book Antiqua"/>
          <w:i/>
          <w:iCs/>
          <w:sz w:val="24"/>
          <w:szCs w:val="24"/>
          <w:lang w:val="en-US"/>
        </w:rPr>
        <w:t xml:space="preserve">fundus </w:t>
      </w:r>
      <w:r w:rsidRPr="0027683C">
        <w:rPr>
          <w:rFonts w:ascii="Book Antiqua" w:hAnsi="Book Antiqua"/>
          <w:sz w:val="24"/>
          <w:szCs w:val="24"/>
          <w:lang w:val="en-US"/>
        </w:rPr>
        <w:t>(negative immunohistochemistry for G cells).</w:t>
      </w:r>
    </w:p>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 xml:space="preserve">The association of </w:t>
      </w:r>
      <w:r w:rsidRPr="0027683C">
        <w:rPr>
          <w:rFonts w:ascii="Book Antiqua" w:hAnsi="Book Antiqua"/>
          <w:i/>
          <w:iCs/>
          <w:sz w:val="24"/>
          <w:szCs w:val="24"/>
          <w:lang w:val="en-US"/>
        </w:rPr>
        <w:t xml:space="preserve">H. pylori </w:t>
      </w:r>
      <w:r w:rsidRPr="0027683C">
        <w:rPr>
          <w:rFonts w:ascii="Book Antiqua" w:hAnsi="Book Antiqua"/>
          <w:sz w:val="24"/>
          <w:szCs w:val="24"/>
          <w:lang w:val="en-US"/>
        </w:rPr>
        <w:t xml:space="preserve">with AIG is a controversial issue. Although AIG is not classically associated with </w:t>
      </w:r>
      <w:r w:rsidRPr="0027683C">
        <w:rPr>
          <w:rFonts w:ascii="Book Antiqua" w:hAnsi="Book Antiqua"/>
          <w:i/>
          <w:iCs/>
          <w:sz w:val="24"/>
          <w:szCs w:val="24"/>
          <w:lang w:val="en-US"/>
        </w:rPr>
        <w:t xml:space="preserve">H. pylori </w:t>
      </w:r>
      <w:r w:rsidRPr="0027683C">
        <w:rPr>
          <w:rFonts w:ascii="Book Antiqua" w:hAnsi="Book Antiqua"/>
          <w:sz w:val="24"/>
          <w:szCs w:val="24"/>
          <w:lang w:val="en-US"/>
        </w:rPr>
        <w:t>active infection, this agent had been advocated by some authors as a trigger for the development of the autoimmune process in the gastric mucosa</w:t>
      </w:r>
      <w:r w:rsidRPr="0027683C">
        <w:rPr>
          <w:rFonts w:ascii="Book Antiqua" w:hAnsi="Book Antiqua"/>
          <w:sz w:val="24"/>
          <w:szCs w:val="24"/>
          <w:vertAlign w:val="superscript"/>
          <w:lang w:val="en-US"/>
        </w:rPr>
        <w:t>[35,36,37]</w:t>
      </w:r>
      <w:r w:rsidRPr="0027683C">
        <w:rPr>
          <w:rFonts w:ascii="Book Antiqua" w:hAnsi="Book Antiqua"/>
          <w:sz w:val="24"/>
          <w:szCs w:val="24"/>
          <w:lang w:val="en-US"/>
        </w:rPr>
        <w:t>.</w:t>
      </w:r>
    </w:p>
    <w:p w:rsidR="00CE40A9" w:rsidRPr="0027683C" w:rsidRDefault="00CE40A9" w:rsidP="00197E9C">
      <w:pPr>
        <w:autoSpaceDE w:val="0"/>
        <w:autoSpaceDN w:val="0"/>
        <w:adjustRightInd w:val="0"/>
        <w:spacing w:after="0" w:line="360" w:lineRule="auto"/>
        <w:ind w:firstLineChars="200" w:firstLine="480"/>
        <w:jc w:val="both"/>
        <w:rPr>
          <w:rFonts w:ascii="Book Antiqua" w:hAnsi="Book Antiqua"/>
          <w:sz w:val="24"/>
          <w:szCs w:val="24"/>
          <w:lang w:val="en-US"/>
        </w:rPr>
      </w:pPr>
      <w:r w:rsidRPr="0027683C">
        <w:rPr>
          <w:rFonts w:ascii="Book Antiqua" w:hAnsi="Book Antiqua"/>
          <w:sz w:val="24"/>
          <w:szCs w:val="24"/>
          <w:lang w:val="en-US"/>
        </w:rPr>
        <w:t xml:space="preserve">According with this, no culture was positive and only one of our patients had positive IgG serology for </w:t>
      </w:r>
      <w:r w:rsidRPr="0027683C">
        <w:rPr>
          <w:rFonts w:ascii="Book Antiqua" w:hAnsi="Book Antiqua"/>
          <w:i/>
          <w:iCs/>
          <w:sz w:val="24"/>
          <w:szCs w:val="24"/>
          <w:lang w:val="en-US"/>
        </w:rPr>
        <w:t>H. pylori</w:t>
      </w:r>
      <w:r w:rsidRPr="0027683C">
        <w:rPr>
          <w:rFonts w:ascii="Book Antiqua" w:hAnsi="Book Antiqua"/>
          <w:sz w:val="24"/>
          <w:szCs w:val="24"/>
          <w:lang w:val="en-US"/>
        </w:rPr>
        <w:t xml:space="preserve">, compatible with past infection. This findings are consistent with previous reports that did not found an association between AIG and </w:t>
      </w:r>
      <w:r w:rsidRPr="0027683C">
        <w:rPr>
          <w:rFonts w:ascii="Book Antiqua" w:hAnsi="Book Antiqua"/>
          <w:i/>
          <w:iCs/>
          <w:sz w:val="24"/>
          <w:szCs w:val="24"/>
          <w:lang w:val="en-US"/>
        </w:rPr>
        <w:t xml:space="preserve">H. pylori </w:t>
      </w:r>
      <w:r w:rsidRPr="0027683C">
        <w:rPr>
          <w:rFonts w:ascii="Book Antiqua" w:hAnsi="Book Antiqua"/>
          <w:iCs/>
          <w:sz w:val="24"/>
          <w:szCs w:val="24"/>
          <w:lang w:val="en-US"/>
        </w:rPr>
        <w:t>infection</w:t>
      </w:r>
      <w:r w:rsidRPr="0027683C">
        <w:rPr>
          <w:rFonts w:ascii="Book Antiqua" w:hAnsi="Book Antiqua"/>
          <w:sz w:val="24"/>
          <w:szCs w:val="24"/>
          <w:vertAlign w:val="superscript"/>
          <w:lang w:val="en-US"/>
        </w:rPr>
        <w:t>[38]</w:t>
      </w:r>
      <w:r w:rsidRPr="0027683C">
        <w:rPr>
          <w:rFonts w:ascii="Book Antiqua" w:hAnsi="Book Antiqua"/>
          <w:sz w:val="24"/>
          <w:szCs w:val="24"/>
          <w:lang w:val="en-US"/>
        </w:rPr>
        <w:t>. Finally, concerning the issue of cancer risk, endoscopic surveillance of AIG every 5 years</w:t>
      </w:r>
      <w:r>
        <w:rPr>
          <w:rFonts w:ascii="Book Antiqua" w:hAnsi="Book Antiqua"/>
          <w:sz w:val="24"/>
          <w:szCs w:val="24"/>
          <w:lang w:val="en-US"/>
        </w:rPr>
        <w:t xml:space="preserve"> has been  suggested</w:t>
      </w:r>
      <w:r w:rsidRPr="0027683C">
        <w:rPr>
          <w:rFonts w:ascii="Book Antiqua" w:hAnsi="Book Antiqua"/>
          <w:sz w:val="24"/>
          <w:szCs w:val="24"/>
          <w:vertAlign w:val="superscript"/>
          <w:lang w:val="en-US"/>
        </w:rPr>
        <w:t>[39]</w:t>
      </w:r>
      <w:r w:rsidRPr="0027683C">
        <w:rPr>
          <w:rFonts w:ascii="Book Antiqua" w:hAnsi="Book Antiqua"/>
          <w:sz w:val="24"/>
          <w:szCs w:val="24"/>
          <w:lang w:val="en-US"/>
        </w:rPr>
        <w:t>.</w:t>
      </w:r>
    </w:p>
    <w:p w:rsidR="00CE40A9" w:rsidRPr="0027683C" w:rsidRDefault="00CE40A9" w:rsidP="00197E9C">
      <w:pPr>
        <w:autoSpaceDE w:val="0"/>
        <w:autoSpaceDN w:val="0"/>
        <w:adjustRightInd w:val="0"/>
        <w:spacing w:after="0" w:line="360" w:lineRule="auto"/>
        <w:ind w:firstLineChars="250" w:firstLine="600"/>
        <w:jc w:val="both"/>
        <w:rPr>
          <w:rFonts w:ascii="Book Antiqua" w:hAnsi="Book Antiqua"/>
          <w:sz w:val="24"/>
          <w:szCs w:val="24"/>
          <w:lang w:val="en-US"/>
        </w:rPr>
      </w:pPr>
      <w:r w:rsidRPr="0027683C">
        <w:rPr>
          <w:rFonts w:ascii="Book Antiqua" w:hAnsi="Book Antiqua"/>
          <w:sz w:val="24"/>
          <w:szCs w:val="24"/>
          <w:lang w:val="en-US"/>
        </w:rPr>
        <w:t>In conclusion, our study aimed to further contribute to a better characterization of clinical expression of AIG at pediatric age, highlighting IDA as a precocious hematological manifestation and the diagnostic contribution of a careful immunohistological evaluation. Furthermore, in the setting of personal and/or familial history of autoimmune disease, the importance of taking AIG into account and to include PCA in the autoimmune screening panel, is emphasized.</w:t>
      </w:r>
    </w:p>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p>
    <w:p w:rsidR="00CE40A9" w:rsidRDefault="00CE40A9" w:rsidP="00197E9C">
      <w:pPr>
        <w:spacing w:after="0" w:line="240" w:lineRule="auto"/>
        <w:rPr>
          <w:rFonts w:ascii="Book Antiqua" w:hAnsi="Book Antiqua"/>
          <w:b/>
          <w:bCs/>
          <w:sz w:val="24"/>
          <w:szCs w:val="24"/>
          <w:lang w:val="en-US"/>
        </w:rPr>
      </w:pPr>
      <w:bookmarkStart w:id="18" w:name="OLE_LINK13"/>
      <w:bookmarkStart w:id="19" w:name="OLE_LINK323"/>
      <w:bookmarkStart w:id="20" w:name="OLE_LINK349"/>
      <w:r>
        <w:rPr>
          <w:rFonts w:ascii="Book Antiqua" w:hAnsi="Book Antiqua"/>
          <w:b/>
          <w:bCs/>
          <w:sz w:val="24"/>
          <w:szCs w:val="24"/>
          <w:lang w:val="en-US"/>
        </w:rPr>
        <w:br w:type="page"/>
      </w:r>
    </w:p>
    <w:p w:rsidR="00CE40A9" w:rsidRPr="0027683C" w:rsidRDefault="00CE40A9" w:rsidP="00197E9C">
      <w:pPr>
        <w:spacing w:after="0" w:line="360" w:lineRule="auto"/>
        <w:jc w:val="both"/>
        <w:rPr>
          <w:rFonts w:ascii="Book Antiqua" w:hAnsi="Book Antiqua"/>
          <w:b/>
          <w:sz w:val="24"/>
          <w:szCs w:val="24"/>
          <w:lang w:val="en-US"/>
        </w:rPr>
      </w:pPr>
      <w:r w:rsidRPr="0027683C">
        <w:rPr>
          <w:rFonts w:ascii="Book Antiqua" w:hAnsi="Book Antiqua"/>
          <w:b/>
          <w:sz w:val="24"/>
          <w:szCs w:val="24"/>
          <w:lang w:val="en-US"/>
        </w:rPr>
        <w:t>COMMENTS</w:t>
      </w:r>
    </w:p>
    <w:p w:rsidR="00CE40A9" w:rsidRPr="0027683C" w:rsidRDefault="00CE40A9" w:rsidP="00197E9C">
      <w:pPr>
        <w:spacing w:after="0" w:line="360" w:lineRule="auto"/>
        <w:jc w:val="both"/>
        <w:rPr>
          <w:rFonts w:ascii="Book Antiqua" w:hAnsi="Book Antiqua"/>
          <w:b/>
          <w:i/>
          <w:sz w:val="24"/>
          <w:szCs w:val="24"/>
          <w:lang w:val="en-US"/>
        </w:rPr>
      </w:pPr>
      <w:r w:rsidRPr="0027683C">
        <w:rPr>
          <w:rFonts w:ascii="Book Antiqua" w:hAnsi="Book Antiqua"/>
          <w:b/>
          <w:i/>
          <w:sz w:val="24"/>
          <w:szCs w:val="24"/>
          <w:lang w:val="en-US"/>
        </w:rPr>
        <w:t>Background</w:t>
      </w:r>
    </w:p>
    <w:p w:rsidR="00CE40A9" w:rsidRPr="0027683C" w:rsidRDefault="00CE40A9" w:rsidP="00197E9C">
      <w:pPr>
        <w:autoSpaceDE w:val="0"/>
        <w:autoSpaceDN w:val="0"/>
        <w:adjustRightInd w:val="0"/>
        <w:spacing w:after="0" w:line="360" w:lineRule="auto"/>
        <w:jc w:val="both"/>
        <w:rPr>
          <w:rFonts w:ascii="Book Antiqua" w:hAnsi="Book Antiqua"/>
          <w:color w:val="000000"/>
          <w:sz w:val="24"/>
          <w:szCs w:val="24"/>
          <w:lang w:val="en-US" w:eastAsia="zh-CN"/>
        </w:rPr>
      </w:pPr>
      <w:r w:rsidRPr="0027683C">
        <w:rPr>
          <w:rFonts w:ascii="Book Antiqua" w:hAnsi="Book Antiqua"/>
          <w:color w:val="000000"/>
          <w:sz w:val="24"/>
          <w:szCs w:val="24"/>
          <w:lang w:val="en-US"/>
        </w:rPr>
        <w:t>Autoimmune gastritis is a very rare entity at young age. Although classically associated with pernicious anemia in adulthood, recent studies have reported its presentation as iron-deficiency anemia.</w:t>
      </w:r>
    </w:p>
    <w:p w:rsidR="00CE40A9" w:rsidRPr="0027683C" w:rsidRDefault="00CE40A9" w:rsidP="00197E9C">
      <w:pPr>
        <w:spacing w:after="0" w:line="360" w:lineRule="auto"/>
        <w:jc w:val="both"/>
        <w:rPr>
          <w:rFonts w:ascii="Book Antiqua" w:hAnsi="Book Antiqua"/>
          <w:b/>
          <w:i/>
          <w:sz w:val="24"/>
          <w:szCs w:val="24"/>
          <w:lang w:val="en-US"/>
        </w:rPr>
      </w:pPr>
    </w:p>
    <w:p w:rsidR="00CE40A9" w:rsidRPr="0027683C" w:rsidRDefault="00CE40A9" w:rsidP="00197E9C">
      <w:pPr>
        <w:spacing w:after="0" w:line="360" w:lineRule="auto"/>
        <w:jc w:val="both"/>
        <w:rPr>
          <w:rFonts w:ascii="Book Antiqua" w:hAnsi="Book Antiqua"/>
          <w:b/>
          <w:i/>
          <w:sz w:val="24"/>
          <w:szCs w:val="24"/>
          <w:lang w:val="en-US"/>
        </w:rPr>
      </w:pPr>
      <w:r w:rsidRPr="0027683C">
        <w:rPr>
          <w:rFonts w:ascii="Book Antiqua" w:hAnsi="Book Antiqua"/>
          <w:b/>
          <w:i/>
          <w:sz w:val="24"/>
          <w:szCs w:val="24"/>
          <w:lang w:val="en-US"/>
        </w:rPr>
        <w:t>Research frontiers</w:t>
      </w:r>
    </w:p>
    <w:p w:rsidR="00CE40A9" w:rsidRDefault="00CE40A9" w:rsidP="00197E9C">
      <w:pPr>
        <w:spacing w:after="0" w:line="360" w:lineRule="auto"/>
        <w:jc w:val="both"/>
        <w:rPr>
          <w:rFonts w:ascii="Book Antiqua" w:hAnsi="Book Antiqua"/>
          <w:sz w:val="24"/>
          <w:szCs w:val="24"/>
          <w:lang w:val="en-US" w:eastAsia="zh-CN"/>
        </w:rPr>
      </w:pPr>
      <w:r w:rsidRPr="0027683C">
        <w:rPr>
          <w:rFonts w:ascii="Book Antiqua" w:hAnsi="Book Antiqua"/>
          <w:sz w:val="24"/>
          <w:szCs w:val="24"/>
          <w:lang w:val="en-US"/>
        </w:rPr>
        <w:t xml:space="preserve">Pernicious megaloblastic anemia is well-known complication of autoimmune gastritis. The association of this digestive disease with iron deficiency anemia in youth patients and the mean globular volume evolution through life in autoimmune gastritis patients has currently been highlighted. </w:t>
      </w:r>
    </w:p>
    <w:p w:rsidR="00CE40A9" w:rsidRPr="0027683C" w:rsidRDefault="00CE40A9" w:rsidP="00197E9C">
      <w:pPr>
        <w:spacing w:after="0" w:line="360" w:lineRule="auto"/>
        <w:jc w:val="both"/>
        <w:rPr>
          <w:rFonts w:ascii="Book Antiqua" w:hAnsi="Book Antiqua"/>
          <w:sz w:val="24"/>
          <w:szCs w:val="24"/>
          <w:lang w:val="en-US" w:eastAsia="zh-CN"/>
        </w:rPr>
      </w:pPr>
    </w:p>
    <w:p w:rsidR="00CE40A9" w:rsidRPr="0027683C" w:rsidRDefault="00CE40A9" w:rsidP="00197E9C">
      <w:pPr>
        <w:spacing w:after="0" w:line="360" w:lineRule="auto"/>
        <w:jc w:val="both"/>
        <w:rPr>
          <w:rFonts w:ascii="Book Antiqua" w:hAnsi="Book Antiqua"/>
          <w:b/>
          <w:i/>
          <w:sz w:val="24"/>
          <w:szCs w:val="24"/>
          <w:lang w:val="en-US"/>
        </w:rPr>
      </w:pPr>
      <w:r w:rsidRPr="0027683C">
        <w:rPr>
          <w:rFonts w:ascii="Book Antiqua" w:hAnsi="Book Antiqua"/>
          <w:b/>
          <w:i/>
          <w:sz w:val="24"/>
          <w:szCs w:val="24"/>
          <w:lang w:val="en-US"/>
        </w:rPr>
        <w:t>Innovations and breakthroughs</w:t>
      </w:r>
    </w:p>
    <w:p w:rsidR="00CE40A9" w:rsidRDefault="00CE40A9" w:rsidP="00197E9C">
      <w:pPr>
        <w:spacing w:after="0" w:line="360" w:lineRule="auto"/>
        <w:jc w:val="both"/>
        <w:rPr>
          <w:rFonts w:ascii="Book Antiqua" w:hAnsi="Book Antiqua"/>
          <w:sz w:val="24"/>
          <w:szCs w:val="24"/>
          <w:lang w:val="en-US" w:eastAsia="zh-CN"/>
        </w:rPr>
      </w:pPr>
      <w:r w:rsidRPr="0027683C">
        <w:rPr>
          <w:rFonts w:ascii="Book Antiqua" w:hAnsi="Book Antiqua"/>
          <w:sz w:val="24"/>
          <w:szCs w:val="24"/>
          <w:lang w:val="en-US"/>
        </w:rPr>
        <w:t xml:space="preserve">Autoimmune gastritis is classically seen as a disease of the elderly, manifesting as pernicious anemia. Our study describes five cases of this disease in children and adolescents, diagnosed in the setting of refractory iron deficiency anemia. </w:t>
      </w:r>
    </w:p>
    <w:p w:rsidR="00CE40A9" w:rsidRPr="0027683C" w:rsidRDefault="00CE40A9" w:rsidP="00197E9C">
      <w:pPr>
        <w:spacing w:after="0" w:line="360" w:lineRule="auto"/>
        <w:jc w:val="both"/>
        <w:rPr>
          <w:rFonts w:ascii="Book Antiqua" w:hAnsi="Book Antiqua"/>
          <w:sz w:val="24"/>
          <w:szCs w:val="24"/>
          <w:lang w:val="en-US" w:eastAsia="zh-CN"/>
        </w:rPr>
      </w:pPr>
    </w:p>
    <w:p w:rsidR="00CE40A9" w:rsidRPr="0027683C" w:rsidRDefault="00CE40A9" w:rsidP="00197E9C">
      <w:pPr>
        <w:spacing w:after="0" w:line="360" w:lineRule="auto"/>
        <w:jc w:val="both"/>
        <w:rPr>
          <w:rFonts w:ascii="Book Antiqua" w:hAnsi="Book Antiqua"/>
          <w:b/>
          <w:i/>
          <w:sz w:val="24"/>
          <w:szCs w:val="24"/>
          <w:lang w:val="en-US"/>
        </w:rPr>
      </w:pPr>
      <w:r w:rsidRPr="0027683C">
        <w:rPr>
          <w:rFonts w:ascii="Book Antiqua" w:hAnsi="Book Antiqua"/>
          <w:b/>
          <w:i/>
          <w:sz w:val="24"/>
          <w:szCs w:val="24"/>
          <w:lang w:val="en-US"/>
        </w:rPr>
        <w:t>Applications</w:t>
      </w:r>
    </w:p>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 xml:space="preserve">Refractory iron deficiency anemia could be a manifestation of autoimmune gastritis in young patients and this diagnosis should be considered, after exclusion of more frequent etiologies, particularly in the setting of a personal or familial history of other autoimmune disease. </w:t>
      </w:r>
    </w:p>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p>
    <w:p w:rsidR="00CE40A9" w:rsidRPr="0027683C" w:rsidRDefault="00CE40A9" w:rsidP="00197E9C">
      <w:pPr>
        <w:spacing w:after="0" w:line="360" w:lineRule="auto"/>
        <w:jc w:val="both"/>
        <w:rPr>
          <w:rFonts w:ascii="Book Antiqua" w:hAnsi="Book Antiqua"/>
          <w:b/>
          <w:i/>
          <w:sz w:val="24"/>
          <w:szCs w:val="24"/>
          <w:lang w:val="en-US"/>
        </w:rPr>
      </w:pPr>
      <w:r w:rsidRPr="0027683C">
        <w:rPr>
          <w:rFonts w:ascii="Book Antiqua" w:hAnsi="Book Antiqua"/>
          <w:b/>
          <w:i/>
          <w:sz w:val="24"/>
          <w:szCs w:val="24"/>
          <w:lang w:val="en-US"/>
        </w:rPr>
        <w:t>Terminology</w:t>
      </w:r>
    </w:p>
    <w:p w:rsidR="00CE40A9" w:rsidRPr="00BE4FFB" w:rsidRDefault="00CE40A9" w:rsidP="00197E9C">
      <w:pPr>
        <w:autoSpaceDE w:val="0"/>
        <w:autoSpaceDN w:val="0"/>
        <w:adjustRightInd w:val="0"/>
        <w:spacing w:after="0" w:line="360" w:lineRule="auto"/>
        <w:jc w:val="both"/>
        <w:rPr>
          <w:rFonts w:ascii="Book Antiqua" w:hAnsi="Book Antiqua"/>
          <w:color w:val="000000"/>
          <w:sz w:val="24"/>
          <w:szCs w:val="24"/>
          <w:lang w:val="en-US"/>
        </w:rPr>
      </w:pPr>
      <w:r w:rsidRPr="0027683C">
        <w:rPr>
          <w:rFonts w:ascii="Book Antiqua" w:hAnsi="Book Antiqua"/>
          <w:sz w:val="24"/>
          <w:szCs w:val="24"/>
          <w:lang w:val="en-US"/>
        </w:rPr>
        <w:t xml:space="preserve">Autoimmune gastritis – atrophic </w:t>
      </w:r>
      <w:r w:rsidRPr="0027683C">
        <w:rPr>
          <w:rFonts w:ascii="Book Antiqua" w:hAnsi="Book Antiqua"/>
          <w:color w:val="000000"/>
          <w:sz w:val="24"/>
          <w:szCs w:val="24"/>
          <w:lang w:val="en-US"/>
        </w:rPr>
        <w:t>gastritis restricted to the corpus associated with the presence of autoantibodies against the parietal cell proton pump H+/K+ adenosine triphospatase.</w:t>
      </w:r>
      <w:r>
        <w:rPr>
          <w:rFonts w:ascii="Book Antiqua" w:hAnsi="Book Antiqua"/>
          <w:color w:val="000000"/>
          <w:sz w:val="24"/>
          <w:szCs w:val="24"/>
          <w:lang w:val="en-US" w:eastAsia="zh-CN"/>
        </w:rPr>
        <w:t xml:space="preserve"> </w:t>
      </w:r>
      <w:r w:rsidRPr="0027683C">
        <w:rPr>
          <w:rFonts w:ascii="Book Antiqua" w:hAnsi="Book Antiqua"/>
          <w:sz w:val="24"/>
          <w:szCs w:val="24"/>
          <w:lang w:val="en-US"/>
        </w:rPr>
        <w:t>Refractory Iron Deficiency Anemia</w:t>
      </w:r>
      <w:r>
        <w:rPr>
          <w:rFonts w:ascii="Book Antiqua" w:hAnsi="Book Antiqua"/>
          <w:sz w:val="24"/>
          <w:szCs w:val="24"/>
          <w:lang w:val="en-US" w:eastAsia="zh-CN"/>
        </w:rPr>
        <w:t>-</w:t>
      </w:r>
      <w:r w:rsidRPr="0027683C">
        <w:rPr>
          <w:rFonts w:ascii="Book Antiqua" w:hAnsi="Book Antiqua"/>
          <w:sz w:val="24"/>
          <w:szCs w:val="24"/>
          <w:lang w:val="en-US"/>
        </w:rPr>
        <w:t xml:space="preserve">Anemia </w:t>
      </w:r>
      <w:r w:rsidRPr="0027683C">
        <w:rPr>
          <w:rFonts w:ascii="Book Antiqua" w:hAnsi="Book Antiqua"/>
          <w:color w:val="000000"/>
          <w:sz w:val="24"/>
          <w:szCs w:val="24"/>
          <w:lang w:val="en-US"/>
        </w:rPr>
        <w:t>(</w:t>
      </w:r>
      <w:r>
        <w:rPr>
          <w:rFonts w:ascii="Book Antiqua" w:hAnsi="Book Antiqua"/>
          <w:color w:val="000000"/>
          <w:sz w:val="24"/>
          <w:szCs w:val="24"/>
          <w:lang w:val="en-US"/>
        </w:rPr>
        <w:t>Hb</w:t>
      </w:r>
      <w:r w:rsidRPr="0027683C">
        <w:rPr>
          <w:rFonts w:ascii="Book Antiqua" w:hAnsi="Book Antiqua"/>
          <w:color w:val="000000"/>
          <w:sz w:val="24"/>
          <w:szCs w:val="24"/>
          <w:lang w:val="en-US"/>
        </w:rPr>
        <w:t xml:space="preserve"> &lt; 2 </w:t>
      </w:r>
      <w:r>
        <w:rPr>
          <w:rFonts w:ascii="Book Antiqua" w:hAnsi="Book Antiqua"/>
          <w:color w:val="000000"/>
          <w:sz w:val="24"/>
          <w:szCs w:val="24"/>
          <w:lang w:val="en-US"/>
        </w:rPr>
        <w:t>SD</w:t>
      </w:r>
      <w:r w:rsidRPr="0027683C">
        <w:rPr>
          <w:rFonts w:ascii="Book Antiqua" w:hAnsi="Book Antiqua"/>
          <w:color w:val="000000"/>
          <w:sz w:val="24"/>
          <w:szCs w:val="24"/>
          <w:lang w:val="en-US"/>
        </w:rPr>
        <w:t xml:space="preserve"> for age and sex) due to iron deficiency (serum ferritin</w:t>
      </w:r>
      <w:r w:rsidRPr="0027683C">
        <w:rPr>
          <w:rFonts w:ascii="Book Antiqua" w:hAnsi="Book Antiqua"/>
          <w:color w:val="000000"/>
          <w:sz w:val="24"/>
          <w:szCs w:val="24"/>
          <w:lang w:val="en-US" w:eastAsia="zh-CN"/>
        </w:rPr>
        <w:t xml:space="preserve"> </w:t>
      </w:r>
      <w:r w:rsidRPr="0027683C">
        <w:rPr>
          <w:rFonts w:ascii="Book Antiqua" w:hAnsi="Book Antiqua"/>
          <w:color w:val="000000"/>
          <w:sz w:val="24"/>
          <w:szCs w:val="24"/>
          <w:lang w:val="en-US"/>
        </w:rPr>
        <w:t>&lt;</w:t>
      </w:r>
      <w:r w:rsidRPr="0027683C">
        <w:rPr>
          <w:rFonts w:ascii="Book Antiqua" w:hAnsi="Book Antiqua"/>
          <w:color w:val="000000"/>
          <w:sz w:val="24"/>
          <w:szCs w:val="24"/>
          <w:lang w:val="en-US" w:eastAsia="zh-CN"/>
        </w:rPr>
        <w:t xml:space="preserve"> </w:t>
      </w:r>
      <w:r w:rsidRPr="0027683C">
        <w:rPr>
          <w:rFonts w:ascii="Book Antiqua" w:hAnsi="Book Antiqua"/>
          <w:color w:val="000000"/>
          <w:sz w:val="24"/>
          <w:szCs w:val="24"/>
          <w:lang w:val="en-US"/>
        </w:rPr>
        <w:t xml:space="preserve">15 ng/mL), refractory to oral iron therapy for at least 6 months and requirement for intravenous iron therapy. </w:t>
      </w:r>
    </w:p>
    <w:p w:rsidR="00CE40A9" w:rsidRPr="0027683C" w:rsidRDefault="00CE40A9" w:rsidP="00197E9C">
      <w:pPr>
        <w:spacing w:after="0" w:line="360" w:lineRule="auto"/>
        <w:jc w:val="both"/>
        <w:rPr>
          <w:rFonts w:ascii="Book Antiqua" w:hAnsi="Book Antiqua"/>
          <w:b/>
          <w:i/>
          <w:sz w:val="24"/>
          <w:szCs w:val="24"/>
          <w:lang w:val="en-US"/>
        </w:rPr>
      </w:pPr>
    </w:p>
    <w:p w:rsidR="00CE40A9" w:rsidRPr="0027683C" w:rsidRDefault="00CE40A9" w:rsidP="00197E9C">
      <w:pPr>
        <w:spacing w:after="0" w:line="360" w:lineRule="auto"/>
        <w:jc w:val="both"/>
        <w:rPr>
          <w:rFonts w:ascii="Book Antiqua" w:hAnsi="Book Antiqua"/>
          <w:b/>
          <w:i/>
          <w:sz w:val="24"/>
          <w:szCs w:val="24"/>
          <w:lang w:val="en-US"/>
        </w:rPr>
      </w:pPr>
      <w:r w:rsidRPr="0027683C">
        <w:rPr>
          <w:rFonts w:ascii="Book Antiqua" w:hAnsi="Book Antiqua"/>
          <w:b/>
          <w:i/>
          <w:sz w:val="24"/>
          <w:szCs w:val="24"/>
          <w:lang w:val="en-US"/>
        </w:rPr>
        <w:lastRenderedPageBreak/>
        <w:t>Peer review</w:t>
      </w:r>
    </w:p>
    <w:bookmarkEnd w:id="18"/>
    <w:bookmarkEnd w:id="19"/>
    <w:bookmarkEnd w:id="20"/>
    <w:p w:rsidR="00CE40A9" w:rsidRPr="00BE4FFB" w:rsidRDefault="00CE40A9" w:rsidP="00197E9C">
      <w:pPr>
        <w:autoSpaceDE w:val="0"/>
        <w:autoSpaceDN w:val="0"/>
        <w:adjustRightInd w:val="0"/>
        <w:spacing w:after="0" w:line="360" w:lineRule="auto"/>
        <w:jc w:val="both"/>
        <w:rPr>
          <w:rFonts w:ascii="Book Antiqua" w:hAnsi="Book Antiqua"/>
          <w:b/>
          <w:bCs/>
          <w:sz w:val="24"/>
          <w:szCs w:val="24"/>
          <w:lang w:val="en-US"/>
        </w:rPr>
      </w:pPr>
      <w:r w:rsidRPr="00BE4FFB">
        <w:rPr>
          <w:rFonts w:ascii="Book Antiqua" w:hAnsi="Book Antiqua"/>
          <w:sz w:val="24"/>
          <w:szCs w:val="24"/>
        </w:rPr>
        <w:t>The inflammatory infiltrate in the gastric mucosa should be identified by immunohistology with antibody markers minimally for T cells. B cells and macrophages</w:t>
      </w:r>
      <w:r>
        <w:rPr>
          <w:rFonts w:ascii="Book Antiqua" w:hAnsi="Book Antiqua"/>
          <w:sz w:val="24"/>
          <w:szCs w:val="24"/>
          <w:lang w:eastAsia="zh-CN"/>
        </w:rPr>
        <w:t>.</w:t>
      </w:r>
      <w:r w:rsidRPr="00BE4FFB">
        <w:rPr>
          <w:rFonts w:ascii="Book Antiqua" w:hAnsi="Book Antiqua"/>
          <w:sz w:val="24"/>
          <w:szCs w:val="24"/>
        </w:rPr>
        <w:t xml:space="preserve"> The characteristics of the gastric glandular atrophy should documented by immunostaining for parietal cells by antibody to these cells to assess for any loss of these cells from the gastric mucosa; the hypergastrinaemia supports the loss of these cells. The presence of metaplasia should be assessed by immunostaining for mucin.</w:t>
      </w:r>
    </w:p>
    <w:p w:rsidR="00CE40A9" w:rsidRPr="0027683C" w:rsidRDefault="00CE40A9" w:rsidP="00197E9C">
      <w:pPr>
        <w:autoSpaceDE w:val="0"/>
        <w:autoSpaceDN w:val="0"/>
        <w:adjustRightInd w:val="0"/>
        <w:spacing w:after="0" w:line="360" w:lineRule="auto"/>
        <w:jc w:val="both"/>
        <w:rPr>
          <w:rFonts w:ascii="Book Antiqua" w:hAnsi="Book Antiqua"/>
          <w:b/>
          <w:bCs/>
          <w:sz w:val="24"/>
          <w:szCs w:val="24"/>
          <w:lang w:val="en-US"/>
        </w:rPr>
      </w:pPr>
    </w:p>
    <w:p w:rsidR="00CE40A9" w:rsidRPr="0027683C" w:rsidRDefault="00CE40A9" w:rsidP="00197E9C">
      <w:pPr>
        <w:autoSpaceDE w:val="0"/>
        <w:autoSpaceDN w:val="0"/>
        <w:adjustRightInd w:val="0"/>
        <w:spacing w:after="0" w:line="360" w:lineRule="auto"/>
        <w:jc w:val="both"/>
        <w:rPr>
          <w:rFonts w:ascii="Book Antiqua" w:hAnsi="Book Antiqua"/>
          <w:b/>
          <w:bCs/>
          <w:sz w:val="24"/>
          <w:szCs w:val="24"/>
          <w:lang w:val="en-US"/>
        </w:rPr>
      </w:pPr>
    </w:p>
    <w:p w:rsidR="00CE40A9" w:rsidRPr="0027683C" w:rsidRDefault="00CE40A9" w:rsidP="00197E9C">
      <w:pPr>
        <w:autoSpaceDE w:val="0"/>
        <w:autoSpaceDN w:val="0"/>
        <w:adjustRightInd w:val="0"/>
        <w:spacing w:after="0" w:line="360" w:lineRule="auto"/>
        <w:jc w:val="both"/>
        <w:rPr>
          <w:rFonts w:ascii="Book Antiqua" w:hAnsi="Book Antiqua"/>
          <w:b/>
          <w:bCs/>
          <w:sz w:val="24"/>
          <w:szCs w:val="24"/>
          <w:lang w:val="en-US"/>
        </w:rPr>
      </w:pPr>
    </w:p>
    <w:p w:rsidR="00CE40A9" w:rsidRPr="0027683C" w:rsidRDefault="00CE40A9" w:rsidP="00197E9C">
      <w:pPr>
        <w:autoSpaceDE w:val="0"/>
        <w:autoSpaceDN w:val="0"/>
        <w:adjustRightInd w:val="0"/>
        <w:spacing w:after="0" w:line="360" w:lineRule="auto"/>
        <w:jc w:val="both"/>
        <w:rPr>
          <w:rFonts w:ascii="Book Antiqua" w:hAnsi="Book Antiqua"/>
          <w:b/>
          <w:bCs/>
          <w:sz w:val="24"/>
          <w:szCs w:val="24"/>
          <w:lang w:val="en-US"/>
        </w:rPr>
      </w:pPr>
    </w:p>
    <w:p w:rsidR="00CE40A9" w:rsidRPr="0027683C" w:rsidRDefault="00CE40A9" w:rsidP="00197E9C">
      <w:pPr>
        <w:autoSpaceDE w:val="0"/>
        <w:autoSpaceDN w:val="0"/>
        <w:adjustRightInd w:val="0"/>
        <w:spacing w:after="0" w:line="360" w:lineRule="auto"/>
        <w:jc w:val="both"/>
        <w:rPr>
          <w:rFonts w:ascii="Book Antiqua" w:hAnsi="Book Antiqua"/>
          <w:b/>
          <w:bCs/>
          <w:sz w:val="24"/>
          <w:szCs w:val="24"/>
          <w:lang w:val="en-US"/>
        </w:rPr>
      </w:pPr>
    </w:p>
    <w:p w:rsidR="00CE40A9" w:rsidRPr="00182F90" w:rsidRDefault="00CE40A9" w:rsidP="00197E9C">
      <w:pPr>
        <w:autoSpaceDE w:val="0"/>
        <w:autoSpaceDN w:val="0"/>
        <w:adjustRightInd w:val="0"/>
        <w:spacing w:after="0" w:line="360" w:lineRule="auto"/>
        <w:jc w:val="both"/>
        <w:rPr>
          <w:rFonts w:ascii="Book Antiqua" w:hAnsi="Book Antiqua"/>
          <w:b/>
          <w:bCs/>
          <w:sz w:val="24"/>
          <w:szCs w:val="24"/>
          <w:lang w:val="es-ES"/>
        </w:rPr>
      </w:pPr>
      <w:r w:rsidRPr="00182F90">
        <w:rPr>
          <w:rFonts w:ascii="Book Antiqua" w:hAnsi="Book Antiqua"/>
          <w:b/>
          <w:bCs/>
          <w:sz w:val="24"/>
          <w:szCs w:val="24"/>
          <w:lang w:val="es-ES"/>
        </w:rPr>
        <w:br w:type="page"/>
      </w:r>
      <w:r w:rsidRPr="00182F90">
        <w:rPr>
          <w:rFonts w:ascii="Book Antiqua" w:hAnsi="Book Antiqua"/>
          <w:b/>
          <w:bCs/>
          <w:sz w:val="24"/>
          <w:szCs w:val="24"/>
          <w:lang w:val="es-ES"/>
        </w:rPr>
        <w:lastRenderedPageBreak/>
        <w:t>REFERENCES</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1 </w:t>
      </w:r>
      <w:r w:rsidRPr="008E00FE">
        <w:rPr>
          <w:rFonts w:ascii="Book Antiqua" w:hAnsi="Book Antiqua" w:cs="宋体"/>
          <w:b/>
          <w:bCs/>
          <w:sz w:val="24"/>
          <w:szCs w:val="24"/>
        </w:rPr>
        <w:t>Toh BH</w:t>
      </w:r>
      <w:r w:rsidRPr="008E00FE">
        <w:rPr>
          <w:rFonts w:ascii="Book Antiqua" w:hAnsi="Book Antiqua" w:cs="宋体"/>
          <w:sz w:val="24"/>
          <w:szCs w:val="24"/>
        </w:rPr>
        <w:t>, van Driel IR, Gleeson PA. Pernicious anemia. </w:t>
      </w:r>
      <w:r w:rsidRPr="008E00FE">
        <w:rPr>
          <w:rFonts w:ascii="Book Antiqua" w:hAnsi="Book Antiqua" w:cs="宋体"/>
          <w:i/>
          <w:iCs/>
          <w:sz w:val="24"/>
          <w:szCs w:val="24"/>
        </w:rPr>
        <w:t>N Engl J Med</w:t>
      </w:r>
      <w:r w:rsidRPr="008E00FE">
        <w:rPr>
          <w:rFonts w:ascii="Book Antiqua" w:hAnsi="Book Antiqua" w:cs="宋体"/>
          <w:sz w:val="24"/>
          <w:szCs w:val="24"/>
        </w:rPr>
        <w:t> 1997; </w:t>
      </w:r>
      <w:r w:rsidRPr="008E00FE">
        <w:rPr>
          <w:rFonts w:ascii="Book Antiqua" w:hAnsi="Book Antiqua" w:cs="宋体"/>
          <w:b/>
          <w:bCs/>
          <w:sz w:val="24"/>
          <w:szCs w:val="24"/>
        </w:rPr>
        <w:t>337</w:t>
      </w:r>
      <w:r w:rsidRPr="008E00FE">
        <w:rPr>
          <w:rFonts w:ascii="Book Antiqua" w:hAnsi="Book Antiqua" w:cs="宋体"/>
          <w:sz w:val="24"/>
          <w:szCs w:val="24"/>
        </w:rPr>
        <w:t>: 1441-1448 [PMID: 9358143 DOI: 10.1056/NEJM199711133372007]</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2 </w:t>
      </w:r>
      <w:r w:rsidRPr="008E00FE">
        <w:rPr>
          <w:rFonts w:ascii="Book Antiqua" w:hAnsi="Book Antiqua" w:cs="宋体"/>
          <w:b/>
          <w:bCs/>
          <w:sz w:val="24"/>
          <w:szCs w:val="24"/>
        </w:rPr>
        <w:t>TAYLOR KB</w:t>
      </w:r>
      <w:r w:rsidRPr="008E00FE">
        <w:rPr>
          <w:rFonts w:ascii="Book Antiqua" w:hAnsi="Book Antiqua" w:cs="宋体"/>
          <w:sz w:val="24"/>
          <w:szCs w:val="24"/>
        </w:rPr>
        <w:t>, ROITT IM, DONIACH D, COUCHMAN KG, SHAPLAND C. Autoimmune phenomena in pernicious anaemia: gastric antibodies. </w:t>
      </w:r>
      <w:r w:rsidRPr="008E00FE">
        <w:rPr>
          <w:rFonts w:ascii="Book Antiqua" w:hAnsi="Book Antiqua" w:cs="宋体"/>
          <w:i/>
          <w:iCs/>
          <w:sz w:val="24"/>
          <w:szCs w:val="24"/>
        </w:rPr>
        <w:t>Br Med J</w:t>
      </w:r>
      <w:r w:rsidRPr="008E00FE">
        <w:rPr>
          <w:rFonts w:ascii="Book Antiqua" w:hAnsi="Book Antiqua" w:cs="宋体"/>
          <w:sz w:val="24"/>
          <w:szCs w:val="24"/>
        </w:rPr>
        <w:t> 1962; </w:t>
      </w:r>
      <w:r w:rsidRPr="008E00FE">
        <w:rPr>
          <w:rFonts w:ascii="Book Antiqua" w:hAnsi="Book Antiqua" w:cs="宋体"/>
          <w:b/>
          <w:bCs/>
          <w:sz w:val="24"/>
          <w:szCs w:val="24"/>
        </w:rPr>
        <w:t>2</w:t>
      </w:r>
      <w:r w:rsidRPr="008E00FE">
        <w:rPr>
          <w:rFonts w:ascii="Book Antiqua" w:hAnsi="Book Antiqua" w:cs="宋体"/>
          <w:sz w:val="24"/>
          <w:szCs w:val="24"/>
        </w:rPr>
        <w:t>: 1347-1352 [PMID: 13993616 DOI: 10.1136/bmj.2.5316.1347]</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3 </w:t>
      </w:r>
      <w:r w:rsidRPr="008E00FE">
        <w:rPr>
          <w:rFonts w:ascii="Book Antiqua" w:hAnsi="Book Antiqua" w:cs="宋体"/>
          <w:b/>
          <w:bCs/>
          <w:sz w:val="24"/>
          <w:szCs w:val="24"/>
        </w:rPr>
        <w:t>TAYLOR KB</w:t>
      </w:r>
      <w:r w:rsidRPr="008E00FE">
        <w:rPr>
          <w:rFonts w:ascii="Book Antiqua" w:hAnsi="Book Antiqua" w:cs="宋体"/>
          <w:sz w:val="24"/>
          <w:szCs w:val="24"/>
        </w:rPr>
        <w:t>. Inhibition of intrinsic factor by pernicious anaemia sera. </w:t>
      </w:r>
      <w:r w:rsidRPr="008E00FE">
        <w:rPr>
          <w:rFonts w:ascii="Book Antiqua" w:hAnsi="Book Antiqua" w:cs="宋体"/>
          <w:i/>
          <w:iCs/>
          <w:sz w:val="24"/>
          <w:szCs w:val="24"/>
        </w:rPr>
        <w:t>Lancet</w:t>
      </w:r>
      <w:r w:rsidRPr="008E00FE">
        <w:rPr>
          <w:rFonts w:ascii="Book Antiqua" w:hAnsi="Book Antiqua" w:cs="宋体"/>
          <w:sz w:val="24"/>
          <w:szCs w:val="24"/>
        </w:rPr>
        <w:t> 1959; </w:t>
      </w:r>
      <w:r w:rsidRPr="008E00FE">
        <w:rPr>
          <w:rFonts w:ascii="Book Antiqua" w:hAnsi="Book Antiqua" w:cs="宋体"/>
          <w:b/>
          <w:bCs/>
          <w:sz w:val="24"/>
          <w:szCs w:val="24"/>
        </w:rPr>
        <w:t>2</w:t>
      </w:r>
      <w:r w:rsidRPr="008E00FE">
        <w:rPr>
          <w:rFonts w:ascii="Book Antiqua" w:hAnsi="Book Antiqua" w:cs="宋体"/>
          <w:sz w:val="24"/>
          <w:szCs w:val="24"/>
        </w:rPr>
        <w:t>: 106-108 [PMID: 13837172 DOI: 10.1016/S0140-6736(59)92216-0]</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4 </w:t>
      </w:r>
      <w:r w:rsidRPr="008E00FE">
        <w:rPr>
          <w:rFonts w:ascii="Book Antiqua" w:hAnsi="Book Antiqua" w:cs="宋体"/>
          <w:b/>
          <w:bCs/>
          <w:sz w:val="24"/>
          <w:szCs w:val="24"/>
        </w:rPr>
        <w:t>Faller G</w:t>
      </w:r>
      <w:r w:rsidRPr="008E00FE">
        <w:rPr>
          <w:rFonts w:ascii="Book Antiqua" w:hAnsi="Book Antiqua" w:cs="宋体"/>
          <w:sz w:val="24"/>
          <w:szCs w:val="24"/>
        </w:rPr>
        <w:t>, Kirchner T. Immunological and morphogenic basis of gastric mucosa atrophy and metaplasia. </w:t>
      </w:r>
      <w:r w:rsidRPr="008E00FE">
        <w:rPr>
          <w:rFonts w:ascii="Book Antiqua" w:hAnsi="Book Antiqua" w:cs="宋体"/>
          <w:i/>
          <w:iCs/>
          <w:sz w:val="24"/>
          <w:szCs w:val="24"/>
        </w:rPr>
        <w:t>Virchows Arch</w:t>
      </w:r>
      <w:r w:rsidRPr="008E00FE">
        <w:rPr>
          <w:rFonts w:ascii="Book Antiqua" w:hAnsi="Book Antiqua" w:cs="宋体"/>
          <w:sz w:val="24"/>
          <w:szCs w:val="24"/>
        </w:rPr>
        <w:t> 2005; </w:t>
      </w:r>
      <w:r w:rsidRPr="008E00FE">
        <w:rPr>
          <w:rFonts w:ascii="Book Antiqua" w:hAnsi="Book Antiqua" w:cs="宋体"/>
          <w:b/>
          <w:bCs/>
          <w:sz w:val="24"/>
          <w:szCs w:val="24"/>
        </w:rPr>
        <w:t>446</w:t>
      </w:r>
      <w:r w:rsidRPr="008E00FE">
        <w:rPr>
          <w:rFonts w:ascii="Book Antiqua" w:hAnsi="Book Antiqua" w:cs="宋体"/>
          <w:sz w:val="24"/>
          <w:szCs w:val="24"/>
        </w:rPr>
        <w:t>: 1-9 [PMID: 15583929 DOI: 10.1007/s00428-004-1157-3]</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5 </w:t>
      </w:r>
      <w:r w:rsidRPr="008E00FE">
        <w:rPr>
          <w:rFonts w:ascii="Book Antiqua" w:hAnsi="Book Antiqua" w:cs="宋体"/>
          <w:b/>
          <w:bCs/>
          <w:sz w:val="24"/>
          <w:szCs w:val="24"/>
        </w:rPr>
        <w:t>Hogan TV</w:t>
      </w:r>
      <w:r w:rsidRPr="008E00FE">
        <w:rPr>
          <w:rFonts w:ascii="Book Antiqua" w:hAnsi="Book Antiqua" w:cs="宋体"/>
          <w:sz w:val="24"/>
          <w:szCs w:val="24"/>
        </w:rPr>
        <w:t>, Ang DK, Gleeson PA, van Driel IR. Extrathymic mechanisms of T cell tolerance: lessons from autoimmune gastritis. </w:t>
      </w:r>
      <w:r w:rsidRPr="008E00FE">
        <w:rPr>
          <w:rFonts w:ascii="Book Antiqua" w:hAnsi="Book Antiqua" w:cs="宋体"/>
          <w:i/>
          <w:iCs/>
          <w:sz w:val="24"/>
          <w:szCs w:val="24"/>
        </w:rPr>
        <w:t>J Autoimmun</w:t>
      </w:r>
      <w:r w:rsidRPr="008E00FE">
        <w:rPr>
          <w:rFonts w:ascii="Book Antiqua" w:hAnsi="Book Antiqua" w:cs="宋体"/>
          <w:sz w:val="24"/>
          <w:szCs w:val="24"/>
        </w:rPr>
        <w:t> 2008; </w:t>
      </w:r>
      <w:r w:rsidRPr="008E00FE">
        <w:rPr>
          <w:rFonts w:ascii="Book Antiqua" w:hAnsi="Book Antiqua" w:cs="宋体"/>
          <w:b/>
          <w:bCs/>
          <w:sz w:val="24"/>
          <w:szCs w:val="24"/>
        </w:rPr>
        <w:t>31</w:t>
      </w:r>
      <w:r w:rsidRPr="008E00FE">
        <w:rPr>
          <w:rFonts w:ascii="Book Antiqua" w:hAnsi="Book Antiqua" w:cs="宋体"/>
          <w:sz w:val="24"/>
          <w:szCs w:val="24"/>
        </w:rPr>
        <w:t>: 268-273 [PMID: 18499395 DOI: 10.1016/j.jaut.2008.04.007]</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 xml:space="preserve">6 </w:t>
      </w:r>
      <w:r w:rsidRPr="008E00FE">
        <w:rPr>
          <w:rFonts w:ascii="Book Antiqua" w:hAnsi="Book Antiqua" w:cs="宋体"/>
          <w:b/>
          <w:sz w:val="24"/>
          <w:szCs w:val="24"/>
        </w:rPr>
        <w:t>Solcia E</w:t>
      </w:r>
      <w:r w:rsidRPr="008E00FE">
        <w:rPr>
          <w:rFonts w:ascii="Book Antiqua" w:hAnsi="Book Antiqua" w:cs="宋体"/>
          <w:sz w:val="24"/>
          <w:szCs w:val="24"/>
        </w:rPr>
        <w:t>, Capella C, Fiocca R, Cornaggia M, Rindi G, Villani L, Bosi F, Ambrosiani L. Exocrine and endocrine epithelial changes in type A and B chronic gastritis. Helicobacter pylori, Gastritis and Peptic Ulcer. Berlin: Springer-Verlag 1990</w:t>
      </w:r>
      <w:r>
        <w:rPr>
          <w:rFonts w:ascii="Book Antiqua" w:hAnsi="Book Antiqua" w:cs="宋体"/>
          <w:sz w:val="24"/>
          <w:szCs w:val="24"/>
        </w:rPr>
        <w:t>;</w:t>
      </w:r>
      <w:r w:rsidRPr="008E00FE">
        <w:rPr>
          <w:rFonts w:ascii="Book Antiqua" w:hAnsi="Book Antiqua" w:cs="宋体"/>
          <w:sz w:val="24"/>
          <w:szCs w:val="24"/>
        </w:rPr>
        <w:t xml:space="preserve"> 245-58 [DOI: 10.1007/978-3-642-75315-2_37]</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7 </w:t>
      </w:r>
      <w:r w:rsidRPr="008E00FE">
        <w:rPr>
          <w:rFonts w:ascii="Book Antiqua" w:hAnsi="Book Antiqua" w:cs="宋体"/>
          <w:b/>
          <w:bCs/>
          <w:sz w:val="24"/>
          <w:szCs w:val="24"/>
        </w:rPr>
        <w:t>Lehy T</w:t>
      </w:r>
      <w:r w:rsidRPr="008E00FE">
        <w:rPr>
          <w:rFonts w:ascii="Book Antiqua" w:hAnsi="Book Antiqua" w:cs="宋体"/>
          <w:sz w:val="24"/>
          <w:szCs w:val="24"/>
        </w:rPr>
        <w:t>, Roucayrol AM, Mignon M. Histomorphological characteristics of gastric mucosa in patients with Zollinger-Ellison syndrome or autoimmune gastric atrophy: role of gastrin and atrophying gastritis. </w:t>
      </w:r>
      <w:r w:rsidRPr="008E00FE">
        <w:rPr>
          <w:rFonts w:ascii="Book Antiqua" w:hAnsi="Book Antiqua" w:cs="宋体"/>
          <w:i/>
          <w:iCs/>
          <w:sz w:val="24"/>
          <w:szCs w:val="24"/>
        </w:rPr>
        <w:t>Microsc Res Tech</w:t>
      </w:r>
      <w:r w:rsidRPr="008E00FE">
        <w:rPr>
          <w:rFonts w:ascii="Book Antiqua" w:hAnsi="Book Antiqua" w:cs="宋体"/>
          <w:sz w:val="24"/>
          <w:szCs w:val="24"/>
        </w:rPr>
        <w:t> 2000; </w:t>
      </w:r>
      <w:r w:rsidRPr="008E00FE">
        <w:rPr>
          <w:rFonts w:ascii="Book Antiqua" w:hAnsi="Book Antiqua" w:cs="宋体"/>
          <w:b/>
          <w:bCs/>
          <w:sz w:val="24"/>
          <w:szCs w:val="24"/>
        </w:rPr>
        <w:t>48</w:t>
      </w:r>
      <w:r w:rsidRPr="008E00FE">
        <w:rPr>
          <w:rFonts w:ascii="Book Antiqua" w:hAnsi="Book Antiqua" w:cs="宋体"/>
          <w:sz w:val="24"/>
          <w:szCs w:val="24"/>
        </w:rPr>
        <w:t>: 327-338 [PMID: 10738314 DOI: 10.1002/(SICI)1097-0029(20000315)]</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8 </w:t>
      </w:r>
      <w:r w:rsidRPr="008E00FE">
        <w:rPr>
          <w:rFonts w:ascii="Book Antiqua" w:hAnsi="Book Antiqua" w:cs="宋体"/>
          <w:b/>
          <w:bCs/>
          <w:sz w:val="24"/>
          <w:szCs w:val="24"/>
        </w:rPr>
        <w:t>Russell AC</w:t>
      </w:r>
      <w:r w:rsidRPr="008E00FE">
        <w:rPr>
          <w:rFonts w:ascii="Book Antiqua" w:hAnsi="Book Antiqua" w:cs="宋体"/>
          <w:sz w:val="24"/>
          <w:szCs w:val="24"/>
        </w:rPr>
        <w:t>, Black JO, Schwartz DA, Correa H, Rosen MJ. 15-year-old girl with metaplastic atrophic gastritis and enterochromaffin-like cell hyperplasia. </w:t>
      </w:r>
      <w:r w:rsidRPr="008E00FE">
        <w:rPr>
          <w:rFonts w:ascii="Book Antiqua" w:hAnsi="Book Antiqua" w:cs="宋体"/>
          <w:i/>
          <w:iCs/>
          <w:sz w:val="24"/>
          <w:szCs w:val="24"/>
        </w:rPr>
        <w:t>J Pediatr Gastroenterol Nutr</w:t>
      </w:r>
      <w:r w:rsidRPr="008E00FE">
        <w:rPr>
          <w:rFonts w:ascii="Book Antiqua" w:hAnsi="Book Antiqua" w:cs="宋体"/>
          <w:sz w:val="24"/>
          <w:szCs w:val="24"/>
        </w:rPr>
        <w:t> 2012; </w:t>
      </w:r>
      <w:r w:rsidRPr="008E00FE">
        <w:rPr>
          <w:rFonts w:ascii="Book Antiqua" w:hAnsi="Book Antiqua" w:cs="宋体"/>
          <w:b/>
          <w:bCs/>
          <w:sz w:val="24"/>
          <w:szCs w:val="24"/>
        </w:rPr>
        <w:t>55</w:t>
      </w:r>
      <w:r w:rsidRPr="008E00FE">
        <w:rPr>
          <w:rFonts w:ascii="Book Antiqua" w:hAnsi="Book Antiqua" w:cs="宋体"/>
          <w:sz w:val="24"/>
          <w:szCs w:val="24"/>
        </w:rPr>
        <w:t>: e148-e151 [PMID: 22134551 DOI: 10.1097/MPG.0b013e318242da36]</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9 </w:t>
      </w:r>
      <w:r w:rsidRPr="008E00FE">
        <w:rPr>
          <w:rFonts w:ascii="Book Antiqua" w:hAnsi="Book Antiqua" w:cs="宋体"/>
          <w:b/>
          <w:bCs/>
          <w:sz w:val="24"/>
          <w:szCs w:val="24"/>
        </w:rPr>
        <w:t>Hershko C</w:t>
      </w:r>
      <w:r w:rsidRPr="008E00FE">
        <w:rPr>
          <w:rFonts w:ascii="Book Antiqua" w:hAnsi="Book Antiqua" w:cs="宋体"/>
          <w:sz w:val="24"/>
          <w:szCs w:val="24"/>
        </w:rPr>
        <w:t xml:space="preserve">, Ronson A, Souroujon M, Maschler I, Heyd J, Patz J. Variable hematologic presentation of autoimmune gastritis: age-related progression from </w:t>
      </w:r>
      <w:r w:rsidRPr="008E00FE">
        <w:rPr>
          <w:rFonts w:ascii="Book Antiqua" w:hAnsi="Book Antiqua" w:cs="宋体"/>
          <w:sz w:val="24"/>
          <w:szCs w:val="24"/>
        </w:rPr>
        <w:lastRenderedPageBreak/>
        <w:t>iron deficiency to cobalamin depletion. </w:t>
      </w:r>
      <w:r w:rsidRPr="008E00FE">
        <w:rPr>
          <w:rFonts w:ascii="Book Antiqua" w:hAnsi="Book Antiqua" w:cs="宋体"/>
          <w:i/>
          <w:iCs/>
          <w:sz w:val="24"/>
          <w:szCs w:val="24"/>
        </w:rPr>
        <w:t>Blood</w:t>
      </w:r>
      <w:r w:rsidRPr="008E00FE">
        <w:rPr>
          <w:rFonts w:ascii="Book Antiqua" w:hAnsi="Book Antiqua" w:cs="宋体"/>
          <w:sz w:val="24"/>
          <w:szCs w:val="24"/>
        </w:rPr>
        <w:t> 2006; </w:t>
      </w:r>
      <w:r w:rsidRPr="008E00FE">
        <w:rPr>
          <w:rFonts w:ascii="Book Antiqua" w:hAnsi="Book Antiqua" w:cs="宋体"/>
          <w:b/>
          <w:bCs/>
          <w:sz w:val="24"/>
          <w:szCs w:val="24"/>
        </w:rPr>
        <w:t>107</w:t>
      </w:r>
      <w:r w:rsidRPr="008E00FE">
        <w:rPr>
          <w:rFonts w:ascii="Book Antiqua" w:hAnsi="Book Antiqua" w:cs="宋体"/>
          <w:sz w:val="24"/>
          <w:szCs w:val="24"/>
        </w:rPr>
        <w:t>: 1673-1679 [PMID: 16239424 DOI: 10.1182/blood-2005-09-3534]</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10 </w:t>
      </w:r>
      <w:r w:rsidRPr="008E00FE">
        <w:rPr>
          <w:rFonts w:ascii="Book Antiqua" w:hAnsi="Book Antiqua" w:cs="宋体"/>
          <w:b/>
          <w:bCs/>
          <w:sz w:val="24"/>
          <w:szCs w:val="24"/>
        </w:rPr>
        <w:t>Hershko C</w:t>
      </w:r>
      <w:r w:rsidRPr="008E00FE">
        <w:rPr>
          <w:rFonts w:ascii="Book Antiqua" w:hAnsi="Book Antiqua" w:cs="宋体"/>
          <w:sz w:val="24"/>
          <w:szCs w:val="24"/>
        </w:rPr>
        <w:t>, Hoffbrand AV, Keret D, Souroujon M, Maschler I, Monselise Y, Lahad A. Role of autoimmune gastritis, Helicobacter pylori and celiac disease in refractory or unexplained iron deficiency anemia. </w:t>
      </w:r>
      <w:r w:rsidRPr="008E00FE">
        <w:rPr>
          <w:rFonts w:ascii="Book Antiqua" w:hAnsi="Book Antiqua" w:cs="宋体"/>
          <w:i/>
          <w:iCs/>
          <w:sz w:val="24"/>
          <w:szCs w:val="24"/>
        </w:rPr>
        <w:t>Haematologica</w:t>
      </w:r>
      <w:r w:rsidRPr="008E00FE">
        <w:rPr>
          <w:rFonts w:ascii="Book Antiqua" w:hAnsi="Book Antiqua" w:cs="宋体"/>
          <w:sz w:val="24"/>
          <w:szCs w:val="24"/>
        </w:rPr>
        <w:t> 2005; </w:t>
      </w:r>
      <w:r w:rsidRPr="008E00FE">
        <w:rPr>
          <w:rFonts w:ascii="Book Antiqua" w:hAnsi="Book Antiqua" w:cs="宋体"/>
          <w:b/>
          <w:bCs/>
          <w:sz w:val="24"/>
          <w:szCs w:val="24"/>
        </w:rPr>
        <w:t>90</w:t>
      </w:r>
      <w:r w:rsidRPr="008E00FE">
        <w:rPr>
          <w:rFonts w:ascii="Book Antiqua" w:hAnsi="Book Antiqua" w:cs="宋体"/>
          <w:sz w:val="24"/>
          <w:szCs w:val="24"/>
        </w:rPr>
        <w:t>: 585-595 [PMID: 15921373]</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11 </w:t>
      </w:r>
      <w:r w:rsidRPr="008E00FE">
        <w:rPr>
          <w:rFonts w:ascii="Book Antiqua" w:hAnsi="Book Antiqua" w:cs="宋体"/>
          <w:b/>
          <w:bCs/>
          <w:sz w:val="24"/>
          <w:szCs w:val="24"/>
        </w:rPr>
        <w:t>Irvine WJ</w:t>
      </w:r>
      <w:r w:rsidRPr="008E00FE">
        <w:rPr>
          <w:rFonts w:ascii="Book Antiqua" w:hAnsi="Book Antiqua" w:cs="宋体"/>
          <w:sz w:val="24"/>
          <w:szCs w:val="24"/>
        </w:rPr>
        <w:t>, Cullen DR, Mawhinney H. Natural history of autoimmune achlorhydric atrophic gastritis. A 1-15-year follow-up study. </w:t>
      </w:r>
      <w:r w:rsidRPr="008E00FE">
        <w:rPr>
          <w:rFonts w:ascii="Book Antiqua" w:hAnsi="Book Antiqua" w:cs="宋体"/>
          <w:i/>
          <w:iCs/>
          <w:sz w:val="24"/>
          <w:szCs w:val="24"/>
        </w:rPr>
        <w:t>Lancet</w:t>
      </w:r>
      <w:r w:rsidRPr="008E00FE">
        <w:rPr>
          <w:rFonts w:ascii="Book Antiqua" w:hAnsi="Book Antiqua" w:cs="宋体"/>
          <w:sz w:val="24"/>
          <w:szCs w:val="24"/>
        </w:rPr>
        <w:t> 1974; </w:t>
      </w:r>
      <w:r w:rsidRPr="008E00FE">
        <w:rPr>
          <w:rFonts w:ascii="Book Antiqua" w:hAnsi="Book Antiqua" w:cs="宋体"/>
          <w:b/>
          <w:bCs/>
          <w:sz w:val="24"/>
          <w:szCs w:val="24"/>
        </w:rPr>
        <w:t>2</w:t>
      </w:r>
      <w:r w:rsidRPr="008E00FE">
        <w:rPr>
          <w:rFonts w:ascii="Book Antiqua" w:hAnsi="Book Antiqua" w:cs="宋体"/>
          <w:sz w:val="24"/>
          <w:szCs w:val="24"/>
        </w:rPr>
        <w:t>: 482-485 [PMID: 4137076 DOI: 10.1016/S0140-6736(74)92013-3]</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12 </w:t>
      </w:r>
      <w:r w:rsidRPr="008E00FE">
        <w:rPr>
          <w:rFonts w:ascii="Book Antiqua" w:hAnsi="Book Antiqua" w:cs="宋体"/>
          <w:b/>
          <w:bCs/>
          <w:sz w:val="24"/>
          <w:szCs w:val="24"/>
        </w:rPr>
        <w:t>Zhang Y</w:t>
      </w:r>
      <w:r w:rsidRPr="008E00FE">
        <w:rPr>
          <w:rFonts w:ascii="Book Antiqua" w:hAnsi="Book Antiqua" w:cs="宋体"/>
          <w:sz w:val="24"/>
          <w:szCs w:val="24"/>
        </w:rPr>
        <w:t>, Weck MN, Schöttker B, Rothenbacher D, Brenner H. Gastric parietal cell antibodies, Helicobacter pylori infection, and chronic atrophic gastritis: evidence from a large population-based study in Germany. </w:t>
      </w:r>
      <w:r w:rsidRPr="008E00FE">
        <w:rPr>
          <w:rFonts w:ascii="Book Antiqua" w:hAnsi="Book Antiqua" w:cs="宋体"/>
          <w:i/>
          <w:iCs/>
          <w:sz w:val="24"/>
          <w:szCs w:val="24"/>
        </w:rPr>
        <w:t>Cancer Epidemiol Biomarkers Prev</w:t>
      </w:r>
      <w:r w:rsidRPr="008E00FE">
        <w:rPr>
          <w:rFonts w:ascii="Book Antiqua" w:hAnsi="Book Antiqua" w:cs="宋体"/>
          <w:sz w:val="24"/>
          <w:szCs w:val="24"/>
        </w:rPr>
        <w:t> 2013; </w:t>
      </w:r>
      <w:r w:rsidRPr="008E00FE">
        <w:rPr>
          <w:rFonts w:ascii="Book Antiqua" w:hAnsi="Book Antiqua" w:cs="宋体"/>
          <w:b/>
          <w:bCs/>
          <w:sz w:val="24"/>
          <w:szCs w:val="24"/>
        </w:rPr>
        <w:t>22</w:t>
      </w:r>
      <w:r w:rsidRPr="008E00FE">
        <w:rPr>
          <w:rFonts w:ascii="Book Antiqua" w:hAnsi="Book Antiqua" w:cs="宋体"/>
          <w:sz w:val="24"/>
          <w:szCs w:val="24"/>
        </w:rPr>
        <w:t>: 821-826 [PMID: 23456556 DOI: 10.1158/1055-9965.epi-12-1343]</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13 </w:t>
      </w:r>
      <w:r w:rsidRPr="008E00FE">
        <w:rPr>
          <w:rFonts w:ascii="Book Antiqua" w:hAnsi="Book Antiqua" w:cs="宋体"/>
          <w:b/>
          <w:bCs/>
          <w:sz w:val="24"/>
          <w:szCs w:val="24"/>
        </w:rPr>
        <w:t>Houston GA</w:t>
      </w:r>
      <w:r w:rsidRPr="008E00FE">
        <w:rPr>
          <w:rFonts w:ascii="Book Antiqua" w:hAnsi="Book Antiqua" w:cs="宋体"/>
          <w:sz w:val="24"/>
          <w:szCs w:val="24"/>
        </w:rPr>
        <w:t>, Files JC, Morrison FS. Race, age, and pernicious anemia. </w:t>
      </w:r>
      <w:r w:rsidRPr="008E00FE">
        <w:rPr>
          <w:rFonts w:ascii="Book Antiqua" w:hAnsi="Book Antiqua" w:cs="宋体"/>
          <w:i/>
          <w:iCs/>
          <w:sz w:val="24"/>
          <w:szCs w:val="24"/>
        </w:rPr>
        <w:t>South Med J</w:t>
      </w:r>
      <w:r w:rsidRPr="008E00FE">
        <w:rPr>
          <w:rFonts w:ascii="Book Antiqua" w:hAnsi="Book Antiqua" w:cs="宋体"/>
          <w:sz w:val="24"/>
          <w:szCs w:val="24"/>
        </w:rPr>
        <w:t> 1985; </w:t>
      </w:r>
      <w:r w:rsidRPr="008E00FE">
        <w:rPr>
          <w:rFonts w:ascii="Book Antiqua" w:hAnsi="Book Antiqua" w:cs="宋体"/>
          <w:b/>
          <w:bCs/>
          <w:sz w:val="24"/>
          <w:szCs w:val="24"/>
        </w:rPr>
        <w:t>78</w:t>
      </w:r>
      <w:r w:rsidRPr="008E00FE">
        <w:rPr>
          <w:rFonts w:ascii="Book Antiqua" w:hAnsi="Book Antiqua" w:cs="宋体"/>
          <w:sz w:val="24"/>
          <w:szCs w:val="24"/>
        </w:rPr>
        <w:t>: 69-70 [PMID: 3966173 DOI: 10.1097/00007611-198501000-00019]</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14 </w:t>
      </w:r>
      <w:r w:rsidRPr="008E00FE">
        <w:rPr>
          <w:rFonts w:ascii="Book Antiqua" w:hAnsi="Book Antiqua" w:cs="宋体"/>
          <w:b/>
          <w:bCs/>
          <w:sz w:val="24"/>
          <w:szCs w:val="24"/>
        </w:rPr>
        <w:t>Adamu MA</w:t>
      </w:r>
      <w:r w:rsidRPr="008E00FE">
        <w:rPr>
          <w:rFonts w:ascii="Book Antiqua" w:hAnsi="Book Antiqua" w:cs="宋体"/>
          <w:sz w:val="24"/>
          <w:szCs w:val="24"/>
        </w:rPr>
        <w:t>, Weck MN, Gao L, Brenner H. Incidence of chronic atrophic gastritis: systematic review and meta-analysis of follow-up studies. </w:t>
      </w:r>
      <w:r w:rsidRPr="008E00FE">
        <w:rPr>
          <w:rFonts w:ascii="Book Antiqua" w:hAnsi="Book Antiqua" w:cs="宋体"/>
          <w:i/>
          <w:iCs/>
          <w:sz w:val="24"/>
          <w:szCs w:val="24"/>
        </w:rPr>
        <w:t>Eur J Epidemiol</w:t>
      </w:r>
      <w:r w:rsidRPr="008E00FE">
        <w:rPr>
          <w:rFonts w:ascii="Book Antiqua" w:hAnsi="Book Antiqua" w:cs="宋体"/>
          <w:sz w:val="24"/>
          <w:szCs w:val="24"/>
        </w:rPr>
        <w:t> 2010; </w:t>
      </w:r>
      <w:r w:rsidRPr="008E00FE">
        <w:rPr>
          <w:rFonts w:ascii="Book Antiqua" w:hAnsi="Book Antiqua" w:cs="宋体"/>
          <w:b/>
          <w:bCs/>
          <w:sz w:val="24"/>
          <w:szCs w:val="24"/>
        </w:rPr>
        <w:t>25</w:t>
      </w:r>
      <w:r w:rsidRPr="008E00FE">
        <w:rPr>
          <w:rFonts w:ascii="Book Antiqua" w:hAnsi="Book Antiqua" w:cs="宋体"/>
          <w:sz w:val="24"/>
          <w:szCs w:val="24"/>
        </w:rPr>
        <w:t>: 439-448 [PMID: 20585973 DOI: 10.1007/s10654-010-9482-0]</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15 </w:t>
      </w:r>
      <w:r w:rsidRPr="008E00FE">
        <w:rPr>
          <w:rFonts w:ascii="Book Antiqua" w:hAnsi="Book Antiqua" w:cs="宋体"/>
          <w:b/>
          <w:bCs/>
          <w:sz w:val="24"/>
          <w:szCs w:val="24"/>
        </w:rPr>
        <w:t>Greenwood DL</w:t>
      </w:r>
      <w:r w:rsidRPr="008E00FE">
        <w:rPr>
          <w:rFonts w:ascii="Book Antiqua" w:hAnsi="Book Antiqua" w:cs="宋体"/>
          <w:sz w:val="24"/>
          <w:szCs w:val="24"/>
        </w:rPr>
        <w:t>, Crock P, Braye S, Davidson P, Sentry JW. Autoimmune gastritis and parietal cell reactivity in two children with abnormal intestinal permeability. </w:t>
      </w:r>
      <w:r w:rsidRPr="008E00FE">
        <w:rPr>
          <w:rFonts w:ascii="Book Antiqua" w:hAnsi="Book Antiqua" w:cs="宋体"/>
          <w:i/>
          <w:iCs/>
          <w:sz w:val="24"/>
          <w:szCs w:val="24"/>
        </w:rPr>
        <w:t>Eur J Pediatr</w:t>
      </w:r>
      <w:r w:rsidRPr="008E00FE">
        <w:rPr>
          <w:rFonts w:ascii="Book Antiqua" w:hAnsi="Book Antiqua" w:cs="宋体"/>
          <w:sz w:val="24"/>
          <w:szCs w:val="24"/>
        </w:rPr>
        <w:t> 2008; </w:t>
      </w:r>
      <w:r w:rsidRPr="008E00FE">
        <w:rPr>
          <w:rFonts w:ascii="Book Antiqua" w:hAnsi="Book Antiqua" w:cs="宋体"/>
          <w:b/>
          <w:bCs/>
          <w:sz w:val="24"/>
          <w:szCs w:val="24"/>
        </w:rPr>
        <w:t>167</w:t>
      </w:r>
      <w:r w:rsidRPr="008E00FE">
        <w:rPr>
          <w:rFonts w:ascii="Book Antiqua" w:hAnsi="Book Antiqua" w:cs="宋体"/>
          <w:sz w:val="24"/>
          <w:szCs w:val="24"/>
        </w:rPr>
        <w:t>: 917-925 [PMID: 18214536 DOI: 10.1007/s00431-007-0664-z]</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16 </w:t>
      </w:r>
      <w:r w:rsidRPr="008E00FE">
        <w:rPr>
          <w:rFonts w:ascii="Book Antiqua" w:hAnsi="Book Antiqua" w:cs="宋体"/>
          <w:b/>
          <w:bCs/>
          <w:sz w:val="24"/>
          <w:szCs w:val="24"/>
        </w:rPr>
        <w:t>Katz S</w:t>
      </w:r>
      <w:r w:rsidRPr="008E00FE">
        <w:rPr>
          <w:rFonts w:ascii="Book Antiqua" w:hAnsi="Book Antiqua" w:cs="宋体"/>
          <w:sz w:val="24"/>
          <w:szCs w:val="24"/>
        </w:rPr>
        <w:t>, Berernheim J, Kaufman Z, Lazar L, Erez I, Wolach B. Pernicious anemia and adenocarcinoma of the stomach in an adolescent: clinical presentation and histopathology. </w:t>
      </w:r>
      <w:r w:rsidRPr="008E00FE">
        <w:rPr>
          <w:rFonts w:ascii="Book Antiqua" w:hAnsi="Book Antiqua" w:cs="宋体"/>
          <w:i/>
          <w:iCs/>
          <w:sz w:val="24"/>
          <w:szCs w:val="24"/>
        </w:rPr>
        <w:t>J Pediatr Surg</w:t>
      </w:r>
      <w:r w:rsidRPr="008E00FE">
        <w:rPr>
          <w:rFonts w:ascii="Book Antiqua" w:hAnsi="Book Antiqua" w:cs="宋体"/>
          <w:sz w:val="24"/>
          <w:szCs w:val="24"/>
        </w:rPr>
        <w:t> 1997; </w:t>
      </w:r>
      <w:r w:rsidRPr="008E00FE">
        <w:rPr>
          <w:rFonts w:ascii="Book Antiqua" w:hAnsi="Book Antiqua" w:cs="宋体"/>
          <w:b/>
          <w:bCs/>
          <w:sz w:val="24"/>
          <w:szCs w:val="24"/>
        </w:rPr>
        <w:t>32</w:t>
      </w:r>
      <w:r w:rsidRPr="008E00FE">
        <w:rPr>
          <w:rFonts w:ascii="Book Antiqua" w:hAnsi="Book Antiqua" w:cs="宋体"/>
          <w:sz w:val="24"/>
          <w:szCs w:val="24"/>
        </w:rPr>
        <w:t>: 1384-1385 [PMID: 9314271 DOI: 10.1016/S0022-3468(97)90330-4]</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17 </w:t>
      </w:r>
      <w:r w:rsidRPr="008E00FE">
        <w:rPr>
          <w:rFonts w:ascii="Book Antiqua" w:hAnsi="Book Antiqua" w:cs="宋体"/>
          <w:b/>
          <w:bCs/>
          <w:sz w:val="24"/>
          <w:szCs w:val="24"/>
        </w:rPr>
        <w:t>Guilloteau M</w:t>
      </w:r>
      <w:r w:rsidRPr="008E00FE">
        <w:rPr>
          <w:rFonts w:ascii="Book Antiqua" w:hAnsi="Book Antiqua" w:cs="宋体"/>
          <w:sz w:val="24"/>
          <w:szCs w:val="24"/>
        </w:rPr>
        <w:t>, Bertrand Y, Lachaux A, Mialou V, Le Gall C, Girard S. [Pernicious anemia: a teenager with an unusual cause of iron-deficiency anemia]. </w:t>
      </w:r>
      <w:r w:rsidRPr="008E00FE">
        <w:rPr>
          <w:rFonts w:ascii="Book Antiqua" w:hAnsi="Book Antiqua" w:cs="宋体"/>
          <w:i/>
          <w:iCs/>
          <w:sz w:val="24"/>
          <w:szCs w:val="24"/>
        </w:rPr>
        <w:t>Gastroenterol Clin Biol</w:t>
      </w:r>
      <w:r w:rsidRPr="008E00FE">
        <w:rPr>
          <w:rFonts w:ascii="Book Antiqua" w:hAnsi="Book Antiqua" w:cs="宋体"/>
          <w:sz w:val="24"/>
          <w:szCs w:val="24"/>
        </w:rPr>
        <w:t> 2007; </w:t>
      </w:r>
      <w:r w:rsidRPr="008E00FE">
        <w:rPr>
          <w:rFonts w:ascii="Book Antiqua" w:hAnsi="Book Antiqua" w:cs="宋体"/>
          <w:b/>
          <w:bCs/>
          <w:sz w:val="24"/>
          <w:szCs w:val="24"/>
        </w:rPr>
        <w:t>31</w:t>
      </w:r>
      <w:r w:rsidRPr="008E00FE">
        <w:rPr>
          <w:rFonts w:ascii="Book Antiqua" w:hAnsi="Book Antiqua" w:cs="宋体"/>
          <w:sz w:val="24"/>
          <w:szCs w:val="24"/>
        </w:rPr>
        <w:t>: 1155-1156 [PMID: 18176379 DOI: 0.1016/S0399-8320(07)78357-4]</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lastRenderedPageBreak/>
        <w:t>18 </w:t>
      </w:r>
      <w:r w:rsidRPr="008E00FE">
        <w:rPr>
          <w:rFonts w:ascii="Book Antiqua" w:hAnsi="Book Antiqua" w:cs="宋体"/>
          <w:b/>
          <w:bCs/>
          <w:sz w:val="24"/>
          <w:szCs w:val="24"/>
        </w:rPr>
        <w:t>Landin-Olsson M</w:t>
      </w:r>
      <w:r w:rsidRPr="008E00FE">
        <w:rPr>
          <w:rFonts w:ascii="Book Antiqua" w:hAnsi="Book Antiqua" w:cs="宋体"/>
          <w:sz w:val="24"/>
          <w:szCs w:val="24"/>
        </w:rPr>
        <w:t>, Karlsson A, Dahlquist G, Blom L, Lernmark A, Sundkvist G. Islet cell and other organ-specific autoantibodies in all children developing type 1 (insulin-dependent) diabetes mellitus in Sweden during one year and in matched control children. </w:t>
      </w:r>
      <w:r w:rsidRPr="008E00FE">
        <w:rPr>
          <w:rFonts w:ascii="Book Antiqua" w:hAnsi="Book Antiqua" w:cs="宋体"/>
          <w:i/>
          <w:iCs/>
          <w:sz w:val="24"/>
          <w:szCs w:val="24"/>
        </w:rPr>
        <w:t>Diabetologia</w:t>
      </w:r>
      <w:r w:rsidRPr="008E00FE">
        <w:rPr>
          <w:rFonts w:ascii="Book Antiqua" w:hAnsi="Book Antiqua" w:cs="宋体"/>
          <w:sz w:val="24"/>
          <w:szCs w:val="24"/>
        </w:rPr>
        <w:t> 1989; </w:t>
      </w:r>
      <w:r w:rsidRPr="008E00FE">
        <w:rPr>
          <w:rFonts w:ascii="Book Antiqua" w:hAnsi="Book Antiqua" w:cs="宋体"/>
          <w:b/>
          <w:bCs/>
          <w:sz w:val="24"/>
          <w:szCs w:val="24"/>
        </w:rPr>
        <w:t>32</w:t>
      </w:r>
      <w:r w:rsidRPr="008E00FE">
        <w:rPr>
          <w:rFonts w:ascii="Book Antiqua" w:hAnsi="Book Antiqua" w:cs="宋体"/>
          <w:sz w:val="24"/>
          <w:szCs w:val="24"/>
        </w:rPr>
        <w:t>: 387-395 [PMID: 2547682 DOI: 10.1007/BF00277264]</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19 </w:t>
      </w:r>
      <w:r w:rsidRPr="008E00FE">
        <w:rPr>
          <w:rFonts w:ascii="Book Antiqua" w:hAnsi="Book Antiqua" w:cs="宋体"/>
          <w:b/>
          <w:bCs/>
          <w:sz w:val="24"/>
          <w:szCs w:val="24"/>
        </w:rPr>
        <w:t>Segni M</w:t>
      </w:r>
      <w:r w:rsidRPr="008E00FE">
        <w:rPr>
          <w:rFonts w:ascii="Book Antiqua" w:hAnsi="Book Antiqua" w:cs="宋体"/>
          <w:sz w:val="24"/>
          <w:szCs w:val="24"/>
        </w:rPr>
        <w:t>, Borrelli O, Pucarelli I, Delle Fave G, Pasquino AM, Annibale B. Early manifestations of gastric autoimmunity in patients with juvenile autoimmune thyroid diseases. </w:t>
      </w:r>
      <w:r w:rsidRPr="008E00FE">
        <w:rPr>
          <w:rFonts w:ascii="Book Antiqua" w:hAnsi="Book Antiqua" w:cs="宋体"/>
          <w:i/>
          <w:iCs/>
          <w:sz w:val="24"/>
          <w:szCs w:val="24"/>
        </w:rPr>
        <w:t>J Clin Endocrinol Metab</w:t>
      </w:r>
      <w:r w:rsidRPr="008E00FE">
        <w:rPr>
          <w:rFonts w:ascii="Book Antiqua" w:hAnsi="Book Antiqua" w:cs="宋体"/>
          <w:sz w:val="24"/>
          <w:szCs w:val="24"/>
        </w:rPr>
        <w:t> 2004; </w:t>
      </w:r>
      <w:r w:rsidRPr="008E00FE">
        <w:rPr>
          <w:rFonts w:ascii="Book Antiqua" w:hAnsi="Book Antiqua" w:cs="宋体"/>
          <w:b/>
          <w:bCs/>
          <w:sz w:val="24"/>
          <w:szCs w:val="24"/>
        </w:rPr>
        <w:t>89</w:t>
      </w:r>
      <w:r w:rsidRPr="008E00FE">
        <w:rPr>
          <w:rFonts w:ascii="Book Antiqua" w:hAnsi="Book Antiqua" w:cs="宋体"/>
          <w:sz w:val="24"/>
          <w:szCs w:val="24"/>
        </w:rPr>
        <w:t>: 4944-4948 [PMID: 15472189 DOI: 10.1210/jc.2003-031597]</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20 </w:t>
      </w:r>
      <w:r w:rsidRPr="008E00FE">
        <w:rPr>
          <w:rFonts w:ascii="Book Antiqua" w:hAnsi="Book Antiqua" w:cs="宋体"/>
          <w:b/>
          <w:bCs/>
          <w:sz w:val="24"/>
          <w:szCs w:val="24"/>
        </w:rPr>
        <w:t>Queiroz DM</w:t>
      </w:r>
      <w:r w:rsidRPr="008E00FE">
        <w:rPr>
          <w:rFonts w:ascii="Book Antiqua" w:hAnsi="Book Antiqua" w:cs="宋体"/>
          <w:sz w:val="24"/>
          <w:szCs w:val="24"/>
        </w:rPr>
        <w:t>, Mendes EN, Rocha GA. Indicator medium for isolation of Campylobacter pylori. </w:t>
      </w:r>
      <w:r w:rsidRPr="008E00FE">
        <w:rPr>
          <w:rFonts w:ascii="Book Antiqua" w:hAnsi="Book Antiqua" w:cs="宋体"/>
          <w:i/>
          <w:iCs/>
          <w:sz w:val="24"/>
          <w:szCs w:val="24"/>
        </w:rPr>
        <w:t>J Clin Microbiol</w:t>
      </w:r>
      <w:r w:rsidRPr="008E00FE">
        <w:rPr>
          <w:rFonts w:ascii="Book Antiqua" w:hAnsi="Book Antiqua" w:cs="宋体"/>
          <w:sz w:val="24"/>
          <w:szCs w:val="24"/>
        </w:rPr>
        <w:t> 1987; </w:t>
      </w:r>
      <w:r w:rsidRPr="008E00FE">
        <w:rPr>
          <w:rFonts w:ascii="Book Antiqua" w:hAnsi="Book Antiqua" w:cs="宋体"/>
          <w:b/>
          <w:bCs/>
          <w:sz w:val="24"/>
          <w:szCs w:val="24"/>
        </w:rPr>
        <w:t>25</w:t>
      </w:r>
      <w:r w:rsidRPr="008E00FE">
        <w:rPr>
          <w:rFonts w:ascii="Book Antiqua" w:hAnsi="Book Antiqua" w:cs="宋体"/>
          <w:sz w:val="24"/>
          <w:szCs w:val="24"/>
        </w:rPr>
        <w:t>: 2378-2379 [PMID: 3429628]</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21 </w:t>
      </w:r>
      <w:r w:rsidRPr="008E00FE">
        <w:rPr>
          <w:rFonts w:ascii="Book Antiqua" w:hAnsi="Book Antiqua" w:cs="宋体"/>
          <w:b/>
          <w:bCs/>
          <w:sz w:val="24"/>
          <w:szCs w:val="24"/>
        </w:rPr>
        <w:t>Dixon MF</w:t>
      </w:r>
      <w:r w:rsidRPr="008E00FE">
        <w:rPr>
          <w:rFonts w:ascii="Book Antiqua" w:hAnsi="Book Antiqua" w:cs="宋体"/>
          <w:sz w:val="24"/>
          <w:szCs w:val="24"/>
        </w:rPr>
        <w:t>, Genta RM, Yardley JH, Correa P. Classification and grading of gastritis. The updated Sydney System. International Workshop on the Histopathology of Gastritis, Houston 1994. </w:t>
      </w:r>
      <w:r w:rsidRPr="008E00FE">
        <w:rPr>
          <w:rFonts w:ascii="Book Antiqua" w:hAnsi="Book Antiqua" w:cs="宋体"/>
          <w:i/>
          <w:iCs/>
          <w:sz w:val="24"/>
          <w:szCs w:val="24"/>
        </w:rPr>
        <w:t>Am J Surg Pathol</w:t>
      </w:r>
      <w:r w:rsidRPr="008E00FE">
        <w:rPr>
          <w:rFonts w:ascii="Book Antiqua" w:hAnsi="Book Antiqua" w:cs="宋体"/>
          <w:sz w:val="24"/>
          <w:szCs w:val="24"/>
        </w:rPr>
        <w:t> 1996; </w:t>
      </w:r>
      <w:r w:rsidRPr="008E00FE">
        <w:rPr>
          <w:rFonts w:ascii="Book Antiqua" w:hAnsi="Book Antiqua" w:cs="宋体"/>
          <w:b/>
          <w:bCs/>
          <w:sz w:val="24"/>
          <w:szCs w:val="24"/>
        </w:rPr>
        <w:t>20</w:t>
      </w:r>
      <w:r w:rsidRPr="008E00FE">
        <w:rPr>
          <w:rFonts w:ascii="Book Antiqua" w:hAnsi="Book Antiqua" w:cs="宋体"/>
          <w:sz w:val="24"/>
          <w:szCs w:val="24"/>
        </w:rPr>
        <w:t>: 1161-1181 [PMID: 8827022 DOI: 00000478-199610000-00001]</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22 </w:t>
      </w:r>
      <w:r w:rsidRPr="008E00FE">
        <w:rPr>
          <w:rFonts w:ascii="Book Antiqua" w:hAnsi="Book Antiqua" w:cs="宋体"/>
          <w:b/>
          <w:bCs/>
          <w:sz w:val="24"/>
          <w:szCs w:val="24"/>
        </w:rPr>
        <w:t>Solcia E</w:t>
      </w:r>
      <w:r w:rsidRPr="008E00FE">
        <w:rPr>
          <w:rFonts w:ascii="Book Antiqua" w:hAnsi="Book Antiqua" w:cs="宋体"/>
          <w:sz w:val="24"/>
          <w:szCs w:val="24"/>
        </w:rPr>
        <w:t>, Fiocca R, Villani L, Luinetti O, Capella C. Hyperplastic, dysplastic, and neoplastic enterochromaffin-like-cell proliferations of the gastric mucosa. Classification and histogenesis. </w:t>
      </w:r>
      <w:r w:rsidRPr="008E00FE">
        <w:rPr>
          <w:rFonts w:ascii="Book Antiqua" w:hAnsi="Book Antiqua" w:cs="宋体"/>
          <w:i/>
          <w:iCs/>
          <w:sz w:val="24"/>
          <w:szCs w:val="24"/>
        </w:rPr>
        <w:t>Am J Surg Pathol</w:t>
      </w:r>
      <w:r w:rsidRPr="008E00FE">
        <w:rPr>
          <w:rFonts w:ascii="Book Antiqua" w:hAnsi="Book Antiqua" w:cs="宋体"/>
          <w:sz w:val="24"/>
          <w:szCs w:val="24"/>
        </w:rPr>
        <w:t> 1995; </w:t>
      </w:r>
      <w:r w:rsidRPr="008E00FE">
        <w:rPr>
          <w:rFonts w:ascii="Book Antiqua" w:hAnsi="Book Antiqua" w:cs="宋体"/>
          <w:b/>
          <w:bCs/>
          <w:sz w:val="24"/>
          <w:szCs w:val="24"/>
        </w:rPr>
        <w:t xml:space="preserve">19 </w:t>
      </w:r>
      <w:r w:rsidRPr="008E00FE">
        <w:rPr>
          <w:rFonts w:ascii="Book Antiqua" w:hAnsi="Book Antiqua" w:cs="宋体"/>
          <w:bCs/>
          <w:sz w:val="24"/>
          <w:szCs w:val="24"/>
        </w:rPr>
        <w:t>Suppl 1</w:t>
      </w:r>
      <w:r w:rsidRPr="008E00FE">
        <w:rPr>
          <w:rFonts w:ascii="Book Antiqua" w:hAnsi="Book Antiqua" w:cs="宋体"/>
          <w:sz w:val="24"/>
          <w:szCs w:val="24"/>
        </w:rPr>
        <w:t>: S1-S7 [PMID: 7762735]</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23</w:t>
      </w:r>
      <w:r>
        <w:rPr>
          <w:rFonts w:ascii="Book Antiqua" w:hAnsi="Book Antiqua" w:cs="宋体"/>
          <w:sz w:val="24"/>
          <w:szCs w:val="24"/>
        </w:rPr>
        <w:t xml:space="preserve"> </w:t>
      </w:r>
      <w:r w:rsidRPr="008E00FE">
        <w:rPr>
          <w:rFonts w:ascii="Book Antiqua" w:hAnsi="Book Antiqua" w:cs="宋体"/>
          <w:b/>
          <w:sz w:val="24"/>
          <w:szCs w:val="24"/>
        </w:rPr>
        <w:t xml:space="preserve">Wu AC, </w:t>
      </w:r>
      <w:r w:rsidRPr="008E00FE">
        <w:rPr>
          <w:rFonts w:ascii="Book Antiqua" w:hAnsi="Book Antiqua" w:cs="宋体"/>
          <w:sz w:val="24"/>
          <w:szCs w:val="24"/>
        </w:rPr>
        <w:t xml:space="preserve">Lesperance L, Bernstein H. Screening for Iron Deficiency. </w:t>
      </w:r>
      <w:r w:rsidRPr="008E00FE">
        <w:rPr>
          <w:rFonts w:ascii="Book Antiqua" w:hAnsi="Book Antiqua" w:cs="宋体"/>
          <w:i/>
          <w:sz w:val="24"/>
          <w:szCs w:val="24"/>
        </w:rPr>
        <w:t xml:space="preserve">Ped Rev </w:t>
      </w:r>
      <w:r w:rsidRPr="008E00FE">
        <w:rPr>
          <w:rFonts w:ascii="Book Antiqua" w:hAnsi="Book Antiqua" w:cs="宋体"/>
          <w:sz w:val="24"/>
          <w:szCs w:val="24"/>
        </w:rPr>
        <w:t xml:space="preserve">2002; </w:t>
      </w:r>
      <w:r w:rsidRPr="008E00FE">
        <w:rPr>
          <w:rFonts w:ascii="Book Antiqua" w:hAnsi="Book Antiqua" w:cs="宋体"/>
          <w:b/>
          <w:sz w:val="24"/>
          <w:szCs w:val="24"/>
        </w:rPr>
        <w:t>23</w:t>
      </w:r>
      <w:r w:rsidRPr="008E00FE">
        <w:rPr>
          <w:rFonts w:ascii="Book Antiqua" w:hAnsi="Book Antiqua" w:cs="宋体"/>
          <w:sz w:val="24"/>
          <w:szCs w:val="24"/>
        </w:rPr>
        <w:t>: 171-</w:t>
      </w:r>
      <w:r>
        <w:rPr>
          <w:rFonts w:ascii="Book Antiqua" w:hAnsi="Book Antiqua" w:cs="宋体"/>
          <w:sz w:val="24"/>
          <w:szCs w:val="24"/>
        </w:rPr>
        <w:t>17</w:t>
      </w:r>
      <w:r w:rsidRPr="008E00FE">
        <w:rPr>
          <w:rFonts w:ascii="Book Antiqua" w:hAnsi="Book Antiqua" w:cs="宋体"/>
          <w:sz w:val="24"/>
          <w:szCs w:val="24"/>
        </w:rPr>
        <w:t>8 [DOI: 10.1542/pir.23-5-171]</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24 </w:t>
      </w:r>
      <w:r w:rsidRPr="008E00FE">
        <w:rPr>
          <w:rFonts w:ascii="Book Antiqua" w:hAnsi="Book Antiqua" w:cs="宋体"/>
          <w:b/>
          <w:bCs/>
          <w:sz w:val="24"/>
          <w:szCs w:val="24"/>
        </w:rPr>
        <w:t>Dickey W</w:t>
      </w:r>
      <w:r w:rsidRPr="008E00FE">
        <w:rPr>
          <w:rFonts w:ascii="Book Antiqua" w:hAnsi="Book Antiqua" w:cs="宋体"/>
          <w:sz w:val="24"/>
          <w:szCs w:val="24"/>
        </w:rPr>
        <w:t>, Kenny BD, McMillan SA, Porter KG, McConnell JB. Gastric as well as duodenal biopsies may be useful in the investigation of iron deficiency anaemia. </w:t>
      </w:r>
      <w:r w:rsidRPr="008E00FE">
        <w:rPr>
          <w:rFonts w:ascii="Book Antiqua" w:hAnsi="Book Antiqua" w:cs="宋体"/>
          <w:i/>
          <w:iCs/>
          <w:sz w:val="24"/>
          <w:szCs w:val="24"/>
        </w:rPr>
        <w:t>Scand J Gastroenterol</w:t>
      </w:r>
      <w:r w:rsidRPr="008E00FE">
        <w:rPr>
          <w:rFonts w:ascii="Book Antiqua" w:hAnsi="Book Antiqua" w:cs="宋体"/>
          <w:sz w:val="24"/>
          <w:szCs w:val="24"/>
        </w:rPr>
        <w:t> 1997; </w:t>
      </w:r>
      <w:r w:rsidRPr="008E00FE">
        <w:rPr>
          <w:rFonts w:ascii="Book Antiqua" w:hAnsi="Book Antiqua" w:cs="宋体"/>
          <w:b/>
          <w:bCs/>
          <w:sz w:val="24"/>
          <w:szCs w:val="24"/>
        </w:rPr>
        <w:t>32</w:t>
      </w:r>
      <w:r w:rsidRPr="008E00FE">
        <w:rPr>
          <w:rFonts w:ascii="Book Antiqua" w:hAnsi="Book Antiqua" w:cs="宋体"/>
          <w:sz w:val="24"/>
          <w:szCs w:val="24"/>
        </w:rPr>
        <w:t>: 469-472 [PMID: 9175209 DOI: 10.3109/00365529709025083]</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25 </w:t>
      </w:r>
      <w:r w:rsidRPr="008E00FE">
        <w:rPr>
          <w:rFonts w:ascii="Book Antiqua" w:hAnsi="Book Antiqua" w:cs="宋体"/>
          <w:b/>
          <w:bCs/>
          <w:sz w:val="24"/>
          <w:szCs w:val="24"/>
        </w:rPr>
        <w:t>Hershko C</w:t>
      </w:r>
      <w:r w:rsidRPr="008E00FE">
        <w:rPr>
          <w:rFonts w:ascii="Book Antiqua" w:hAnsi="Book Antiqua" w:cs="宋体"/>
          <w:sz w:val="24"/>
          <w:szCs w:val="24"/>
        </w:rPr>
        <w:t>, Patz J, Ronson A. The anemia of achylia gastrica revisited. </w:t>
      </w:r>
      <w:r w:rsidRPr="008E00FE">
        <w:rPr>
          <w:rFonts w:ascii="Book Antiqua" w:hAnsi="Book Antiqua" w:cs="宋体"/>
          <w:i/>
          <w:iCs/>
          <w:sz w:val="24"/>
          <w:szCs w:val="24"/>
        </w:rPr>
        <w:t>Blood Cells Mol Dis</w:t>
      </w:r>
      <w:r w:rsidRPr="008E00FE">
        <w:rPr>
          <w:rFonts w:ascii="Book Antiqua" w:hAnsi="Book Antiqua" w:cs="宋体"/>
          <w:sz w:val="24"/>
          <w:szCs w:val="24"/>
        </w:rPr>
        <w:t> </w:t>
      </w:r>
      <w:r>
        <w:rPr>
          <w:rFonts w:ascii="Book Antiqua" w:hAnsi="Book Antiqua" w:cs="宋体"/>
          <w:sz w:val="24"/>
          <w:szCs w:val="24"/>
        </w:rPr>
        <w:t>2007</w:t>
      </w:r>
      <w:r w:rsidRPr="008E00FE">
        <w:rPr>
          <w:rFonts w:ascii="Book Antiqua" w:hAnsi="Book Antiqua" w:cs="宋体"/>
          <w:sz w:val="24"/>
          <w:szCs w:val="24"/>
        </w:rPr>
        <w:t>; </w:t>
      </w:r>
      <w:r w:rsidRPr="008E00FE">
        <w:rPr>
          <w:rFonts w:ascii="Book Antiqua" w:hAnsi="Book Antiqua" w:cs="宋体"/>
          <w:b/>
          <w:bCs/>
          <w:sz w:val="24"/>
          <w:szCs w:val="24"/>
        </w:rPr>
        <w:t>39</w:t>
      </w:r>
      <w:r w:rsidRPr="008E00FE">
        <w:rPr>
          <w:rFonts w:ascii="Book Antiqua" w:hAnsi="Book Antiqua" w:cs="宋体"/>
          <w:sz w:val="24"/>
          <w:szCs w:val="24"/>
        </w:rPr>
        <w:t xml:space="preserve">: 178-183 [PMID: </w:t>
      </w:r>
      <w:bookmarkStart w:id="21" w:name="OLE_LINK1"/>
      <w:bookmarkStart w:id="22" w:name="OLE_LINK2"/>
      <w:r w:rsidRPr="008E00FE">
        <w:rPr>
          <w:rFonts w:ascii="Book Antiqua" w:hAnsi="Book Antiqua" w:cs="宋体"/>
          <w:sz w:val="24"/>
          <w:szCs w:val="24"/>
        </w:rPr>
        <w:t xml:space="preserve">17493846 </w:t>
      </w:r>
      <w:bookmarkEnd w:id="21"/>
      <w:bookmarkEnd w:id="22"/>
      <w:r w:rsidRPr="008E00FE">
        <w:rPr>
          <w:rFonts w:ascii="Book Antiqua" w:hAnsi="Book Antiqua" w:cs="宋体"/>
          <w:sz w:val="24"/>
          <w:szCs w:val="24"/>
        </w:rPr>
        <w:t>DOI: 10.1016/j.bcmd.2007.03.006]</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26 </w:t>
      </w:r>
      <w:r w:rsidRPr="008E00FE">
        <w:rPr>
          <w:rFonts w:ascii="Book Antiqua" w:hAnsi="Book Antiqua" w:cs="宋体"/>
          <w:b/>
          <w:bCs/>
          <w:sz w:val="24"/>
          <w:szCs w:val="24"/>
        </w:rPr>
        <w:t>Marignani M</w:t>
      </w:r>
      <w:r w:rsidRPr="008E00FE">
        <w:rPr>
          <w:rFonts w:ascii="Book Antiqua" w:hAnsi="Book Antiqua" w:cs="宋体"/>
          <w:sz w:val="24"/>
          <w:szCs w:val="24"/>
        </w:rPr>
        <w:t xml:space="preserve">, Delle Fave G, Mecarocci S, Bordi C, Angeletti S, D'Ambra G, Aprile MR, Corleto VD, Monarca B, Annibale B. High prevalence of atrophic body gastritis in patients with unexplained microcytic and macrocytic anemia: a </w:t>
      </w:r>
      <w:r w:rsidRPr="008E00FE">
        <w:rPr>
          <w:rFonts w:ascii="Book Antiqua" w:hAnsi="Book Antiqua" w:cs="宋体"/>
          <w:sz w:val="24"/>
          <w:szCs w:val="24"/>
        </w:rPr>
        <w:lastRenderedPageBreak/>
        <w:t>prospective screening study. </w:t>
      </w:r>
      <w:r w:rsidRPr="008E00FE">
        <w:rPr>
          <w:rFonts w:ascii="Book Antiqua" w:hAnsi="Book Antiqua" w:cs="宋体"/>
          <w:i/>
          <w:iCs/>
          <w:sz w:val="24"/>
          <w:szCs w:val="24"/>
        </w:rPr>
        <w:t>Am J Gastroenterol</w:t>
      </w:r>
      <w:r w:rsidRPr="008E00FE">
        <w:rPr>
          <w:rFonts w:ascii="Book Antiqua" w:hAnsi="Book Antiqua" w:cs="宋体"/>
          <w:sz w:val="24"/>
          <w:szCs w:val="24"/>
        </w:rPr>
        <w:t> 1999; </w:t>
      </w:r>
      <w:r w:rsidRPr="008E00FE">
        <w:rPr>
          <w:rFonts w:ascii="Book Antiqua" w:hAnsi="Book Antiqua" w:cs="宋体"/>
          <w:b/>
          <w:bCs/>
          <w:sz w:val="24"/>
          <w:szCs w:val="24"/>
        </w:rPr>
        <w:t>94</w:t>
      </w:r>
      <w:r w:rsidRPr="008E00FE">
        <w:rPr>
          <w:rFonts w:ascii="Book Antiqua" w:hAnsi="Book Antiqua" w:cs="宋体"/>
          <w:sz w:val="24"/>
          <w:szCs w:val="24"/>
        </w:rPr>
        <w:t>: 766-772 [PMID: 10086664 DOI: 10.1111/j.1572-0241.1999.00949.x]</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27 </w:t>
      </w:r>
      <w:r w:rsidRPr="008E00FE">
        <w:rPr>
          <w:rFonts w:ascii="Book Antiqua" w:hAnsi="Book Antiqua" w:cs="宋体"/>
          <w:b/>
          <w:bCs/>
          <w:sz w:val="24"/>
          <w:szCs w:val="24"/>
        </w:rPr>
        <w:t>Lahner E</w:t>
      </w:r>
      <w:r w:rsidRPr="008E00FE">
        <w:rPr>
          <w:rFonts w:ascii="Book Antiqua" w:hAnsi="Book Antiqua" w:cs="宋体"/>
          <w:sz w:val="24"/>
          <w:szCs w:val="24"/>
        </w:rPr>
        <w:t>, Norman GL, Severi C, Encabo S, Shums Z, Vannella L, Delle Fave G, Annibale B. Reassessment of intrinsic factor and parietal cell autoantibodies in atrophic gastritis with respect to cobalamin deficiency. </w:t>
      </w:r>
      <w:r w:rsidRPr="008E00FE">
        <w:rPr>
          <w:rFonts w:ascii="Book Antiqua" w:hAnsi="Book Antiqua" w:cs="宋体"/>
          <w:i/>
          <w:iCs/>
          <w:sz w:val="24"/>
          <w:szCs w:val="24"/>
        </w:rPr>
        <w:t>Am J Gastroenterol</w:t>
      </w:r>
      <w:r w:rsidRPr="008E00FE">
        <w:rPr>
          <w:rFonts w:ascii="Book Antiqua" w:hAnsi="Book Antiqua" w:cs="宋体"/>
          <w:sz w:val="24"/>
          <w:szCs w:val="24"/>
        </w:rPr>
        <w:t> 2009; </w:t>
      </w:r>
      <w:r w:rsidRPr="008E00FE">
        <w:rPr>
          <w:rFonts w:ascii="Book Antiqua" w:hAnsi="Book Antiqua" w:cs="宋体"/>
          <w:b/>
          <w:bCs/>
          <w:sz w:val="24"/>
          <w:szCs w:val="24"/>
        </w:rPr>
        <w:t>104</w:t>
      </w:r>
      <w:r w:rsidRPr="008E00FE">
        <w:rPr>
          <w:rFonts w:ascii="Book Antiqua" w:hAnsi="Book Antiqua" w:cs="宋体"/>
          <w:sz w:val="24"/>
          <w:szCs w:val="24"/>
        </w:rPr>
        <w:t>: 2071-2079 [PMID: 19491828 DOI: 10.1038/ajg.2009.231]</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28 </w:t>
      </w:r>
      <w:r w:rsidRPr="008E00FE">
        <w:rPr>
          <w:rFonts w:ascii="Book Antiqua" w:hAnsi="Book Antiqua" w:cs="宋体"/>
          <w:b/>
          <w:bCs/>
          <w:sz w:val="24"/>
          <w:szCs w:val="24"/>
        </w:rPr>
        <w:t>Carmel R</w:t>
      </w:r>
      <w:r w:rsidRPr="008E00FE">
        <w:rPr>
          <w:rFonts w:ascii="Book Antiqua" w:hAnsi="Book Antiqua" w:cs="宋体"/>
          <w:sz w:val="24"/>
          <w:szCs w:val="24"/>
        </w:rPr>
        <w:t>. Reassessment of the relative prevalences of antibodies to gastric parietal cell and to intrinsic factor in patients with pernicious anaemia: influence of patient age and race. </w:t>
      </w:r>
      <w:r w:rsidRPr="008E00FE">
        <w:rPr>
          <w:rFonts w:ascii="Book Antiqua" w:hAnsi="Book Antiqua" w:cs="宋体"/>
          <w:i/>
          <w:iCs/>
          <w:sz w:val="24"/>
          <w:szCs w:val="24"/>
        </w:rPr>
        <w:t>Clin Exp Immunol</w:t>
      </w:r>
      <w:r w:rsidRPr="008E00FE">
        <w:rPr>
          <w:rFonts w:ascii="Book Antiqua" w:hAnsi="Book Antiqua" w:cs="宋体"/>
          <w:sz w:val="24"/>
          <w:szCs w:val="24"/>
        </w:rPr>
        <w:t> 1992; </w:t>
      </w:r>
      <w:r w:rsidRPr="008E00FE">
        <w:rPr>
          <w:rFonts w:ascii="Book Antiqua" w:hAnsi="Book Antiqua" w:cs="宋体"/>
          <w:b/>
          <w:bCs/>
          <w:sz w:val="24"/>
          <w:szCs w:val="24"/>
        </w:rPr>
        <w:t>89</w:t>
      </w:r>
      <w:r w:rsidRPr="008E00FE">
        <w:rPr>
          <w:rFonts w:ascii="Book Antiqua" w:hAnsi="Book Antiqua" w:cs="宋体"/>
          <w:sz w:val="24"/>
          <w:szCs w:val="24"/>
        </w:rPr>
        <w:t>: 74-77 [PMID: 1628426 DOI: 10.1111/j.1365-2249.1992.tb06880.x]</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29 </w:t>
      </w:r>
      <w:r w:rsidRPr="008E00FE">
        <w:rPr>
          <w:rFonts w:ascii="Book Antiqua" w:hAnsi="Book Antiqua" w:cs="宋体"/>
          <w:b/>
          <w:bCs/>
          <w:sz w:val="24"/>
          <w:szCs w:val="24"/>
        </w:rPr>
        <w:t>van Driel IR</w:t>
      </w:r>
      <w:r w:rsidRPr="008E00FE">
        <w:rPr>
          <w:rFonts w:ascii="Book Antiqua" w:hAnsi="Book Antiqua" w:cs="宋体"/>
          <w:sz w:val="24"/>
          <w:szCs w:val="24"/>
        </w:rPr>
        <w:t>, Baxter AG, Laurie KL, Zwar TD, La Gruta NL, Judd LM, Scarff KL, Silveira PA, Gleeson PA. Immunopathogenesis, loss of T cell tolerance and genetics of autoimmune gastritis. </w:t>
      </w:r>
      <w:r w:rsidRPr="008E00FE">
        <w:rPr>
          <w:rFonts w:ascii="Book Antiqua" w:hAnsi="Book Antiqua" w:cs="宋体"/>
          <w:i/>
          <w:iCs/>
          <w:sz w:val="24"/>
          <w:szCs w:val="24"/>
        </w:rPr>
        <w:t>Autoimmun Rev</w:t>
      </w:r>
      <w:r w:rsidRPr="008E00FE">
        <w:rPr>
          <w:rFonts w:ascii="Book Antiqua" w:hAnsi="Book Antiqua" w:cs="宋体"/>
          <w:sz w:val="24"/>
          <w:szCs w:val="24"/>
        </w:rPr>
        <w:t> 2002; </w:t>
      </w:r>
      <w:r w:rsidRPr="008E00FE">
        <w:rPr>
          <w:rFonts w:ascii="Book Antiqua" w:hAnsi="Book Antiqua" w:cs="宋体"/>
          <w:b/>
          <w:bCs/>
          <w:sz w:val="24"/>
          <w:szCs w:val="24"/>
        </w:rPr>
        <w:t>1</w:t>
      </w:r>
      <w:r w:rsidRPr="008E00FE">
        <w:rPr>
          <w:rFonts w:ascii="Book Antiqua" w:hAnsi="Book Antiqua" w:cs="宋体"/>
          <w:sz w:val="24"/>
          <w:szCs w:val="24"/>
        </w:rPr>
        <w:t>: 290-297 [PMID: 12848983 DOI: 10.1016/s1568-9972(02)00066-6]</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30 </w:t>
      </w:r>
      <w:r w:rsidRPr="008E00FE">
        <w:rPr>
          <w:rFonts w:ascii="Book Antiqua" w:hAnsi="Book Antiqua" w:cs="宋体"/>
          <w:b/>
          <w:bCs/>
          <w:sz w:val="24"/>
          <w:szCs w:val="24"/>
        </w:rPr>
        <w:t>De Block CE</w:t>
      </w:r>
      <w:r w:rsidRPr="008E00FE">
        <w:rPr>
          <w:rFonts w:ascii="Book Antiqua" w:hAnsi="Book Antiqua" w:cs="宋体"/>
          <w:sz w:val="24"/>
          <w:szCs w:val="24"/>
        </w:rPr>
        <w:t>, De Leeuw IH, Van Gaal LF. Autoimmune gastritis in type 1 diabetes: a clinically oriented review. </w:t>
      </w:r>
      <w:r w:rsidRPr="008E00FE">
        <w:rPr>
          <w:rFonts w:ascii="Book Antiqua" w:hAnsi="Book Antiqua" w:cs="宋体"/>
          <w:i/>
          <w:iCs/>
          <w:sz w:val="24"/>
          <w:szCs w:val="24"/>
        </w:rPr>
        <w:t>J Clin Endocrinol Metab</w:t>
      </w:r>
      <w:r w:rsidRPr="008E00FE">
        <w:rPr>
          <w:rFonts w:ascii="Book Antiqua" w:hAnsi="Book Antiqua" w:cs="宋体"/>
          <w:sz w:val="24"/>
          <w:szCs w:val="24"/>
        </w:rPr>
        <w:t> 2008; </w:t>
      </w:r>
      <w:r w:rsidRPr="008E00FE">
        <w:rPr>
          <w:rFonts w:ascii="Book Antiqua" w:hAnsi="Book Antiqua" w:cs="宋体"/>
          <w:b/>
          <w:bCs/>
          <w:sz w:val="24"/>
          <w:szCs w:val="24"/>
        </w:rPr>
        <w:t>93</w:t>
      </w:r>
      <w:r w:rsidRPr="008E00FE">
        <w:rPr>
          <w:rFonts w:ascii="Book Antiqua" w:hAnsi="Book Antiqua" w:cs="宋体"/>
          <w:sz w:val="24"/>
          <w:szCs w:val="24"/>
        </w:rPr>
        <w:t>: 363-371 [PMID: 18029461 DOI: 10.1210/jc.2007-2134]</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31 </w:t>
      </w:r>
      <w:r w:rsidRPr="008E00FE">
        <w:rPr>
          <w:rFonts w:ascii="Book Antiqua" w:hAnsi="Book Antiqua" w:cs="宋体"/>
          <w:b/>
          <w:bCs/>
          <w:sz w:val="24"/>
          <w:szCs w:val="24"/>
        </w:rPr>
        <w:t>De Block CE</w:t>
      </w:r>
      <w:r w:rsidRPr="008E00FE">
        <w:rPr>
          <w:rFonts w:ascii="Book Antiqua" w:hAnsi="Book Antiqua" w:cs="宋体"/>
          <w:sz w:val="24"/>
          <w:szCs w:val="24"/>
        </w:rPr>
        <w:t>, De Leeuw IH, Bogers JJ, Pelckmans PA, Ieven MM, Van Marck EA, Van Acker KL, Van Gaal LF. Autoimmune gastropathy in type 1 diabetic patients with parietal cell antibodies: histological and clinical findings. </w:t>
      </w:r>
      <w:r w:rsidRPr="008E00FE">
        <w:rPr>
          <w:rFonts w:ascii="Book Antiqua" w:hAnsi="Book Antiqua" w:cs="宋体"/>
          <w:i/>
          <w:iCs/>
          <w:sz w:val="24"/>
          <w:szCs w:val="24"/>
        </w:rPr>
        <w:t>Diabetes Care</w:t>
      </w:r>
      <w:r w:rsidRPr="008E00FE">
        <w:rPr>
          <w:rFonts w:ascii="Book Antiqua" w:hAnsi="Book Antiqua" w:cs="宋体"/>
          <w:sz w:val="24"/>
          <w:szCs w:val="24"/>
        </w:rPr>
        <w:t> 2003; </w:t>
      </w:r>
      <w:r w:rsidRPr="008E00FE">
        <w:rPr>
          <w:rFonts w:ascii="Book Antiqua" w:hAnsi="Book Antiqua" w:cs="宋体"/>
          <w:b/>
          <w:bCs/>
          <w:sz w:val="24"/>
          <w:szCs w:val="24"/>
        </w:rPr>
        <w:t>26</w:t>
      </w:r>
      <w:r w:rsidRPr="008E00FE">
        <w:rPr>
          <w:rFonts w:ascii="Book Antiqua" w:hAnsi="Book Antiqua" w:cs="宋体"/>
          <w:sz w:val="24"/>
          <w:szCs w:val="24"/>
        </w:rPr>
        <w:t>: 82-88 [PMID: 12502662 DOI: 10.2337/diacare.26.1.82]</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32 </w:t>
      </w:r>
      <w:r w:rsidRPr="008E00FE">
        <w:rPr>
          <w:rFonts w:ascii="Book Antiqua" w:hAnsi="Book Antiqua" w:cs="宋体"/>
          <w:b/>
          <w:bCs/>
          <w:sz w:val="24"/>
          <w:szCs w:val="24"/>
        </w:rPr>
        <w:t>Centanni M</w:t>
      </w:r>
      <w:r w:rsidRPr="008E00FE">
        <w:rPr>
          <w:rFonts w:ascii="Book Antiqua" w:hAnsi="Book Antiqua" w:cs="宋体"/>
          <w:sz w:val="24"/>
          <w:szCs w:val="24"/>
        </w:rPr>
        <w:t>, Marignani M, Gargano L, Corleto VD, Casini A, Delle Fave G, Andreoli M, Annibale B. Atrophic body gastritis in patients with autoimmune thyroid disease: an underdiagnosed association. </w:t>
      </w:r>
      <w:r w:rsidRPr="008E00FE">
        <w:rPr>
          <w:rFonts w:ascii="Book Antiqua" w:hAnsi="Book Antiqua" w:cs="宋体"/>
          <w:i/>
          <w:iCs/>
          <w:sz w:val="24"/>
          <w:szCs w:val="24"/>
        </w:rPr>
        <w:t>Arch Intern Med</w:t>
      </w:r>
      <w:r w:rsidRPr="008E00FE">
        <w:rPr>
          <w:rFonts w:ascii="Book Antiqua" w:hAnsi="Book Antiqua" w:cs="宋体"/>
          <w:sz w:val="24"/>
          <w:szCs w:val="24"/>
        </w:rPr>
        <w:t> </w:t>
      </w:r>
      <w:r>
        <w:rPr>
          <w:rFonts w:ascii="Book Antiqua" w:hAnsi="Book Antiqua" w:cs="宋体"/>
          <w:sz w:val="24"/>
          <w:szCs w:val="24"/>
        </w:rPr>
        <w:t>1999</w:t>
      </w:r>
      <w:r w:rsidRPr="008E00FE">
        <w:rPr>
          <w:rFonts w:ascii="Book Antiqua" w:hAnsi="Book Antiqua" w:cs="宋体"/>
          <w:sz w:val="24"/>
          <w:szCs w:val="24"/>
        </w:rPr>
        <w:t>; </w:t>
      </w:r>
      <w:r w:rsidRPr="008E00FE">
        <w:rPr>
          <w:rFonts w:ascii="Book Antiqua" w:hAnsi="Book Antiqua" w:cs="宋体"/>
          <w:b/>
          <w:bCs/>
          <w:sz w:val="24"/>
          <w:szCs w:val="24"/>
        </w:rPr>
        <w:t>159</w:t>
      </w:r>
      <w:r w:rsidRPr="008E00FE">
        <w:rPr>
          <w:rFonts w:ascii="Book Antiqua" w:hAnsi="Book Antiqua" w:cs="宋体"/>
          <w:sz w:val="24"/>
          <w:szCs w:val="24"/>
        </w:rPr>
        <w:t>: 1726-1730 [PMID: 10448775 DOI: dx.doi.org/10.1001/archinte.159.15.1726]</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33 </w:t>
      </w:r>
      <w:r w:rsidRPr="008E00FE">
        <w:rPr>
          <w:rFonts w:ascii="Book Antiqua" w:hAnsi="Book Antiqua" w:cs="宋体"/>
          <w:b/>
          <w:bCs/>
          <w:sz w:val="24"/>
          <w:szCs w:val="24"/>
        </w:rPr>
        <w:t>Tozzoli R</w:t>
      </w:r>
      <w:r w:rsidRPr="008E00FE">
        <w:rPr>
          <w:rFonts w:ascii="Book Antiqua" w:hAnsi="Book Antiqua" w:cs="宋体"/>
          <w:sz w:val="24"/>
          <w:szCs w:val="24"/>
        </w:rPr>
        <w:t>, Kodermaz G, Perosa AR, Tampoia M, Zucano A, Antico A, Bizzaro N. Autoantibodies to parietal cells as predictors of atrophic body gastritis: a five-year prospective study in patients with autoimmune thyroid diseases. </w:t>
      </w:r>
      <w:r w:rsidRPr="008E00FE">
        <w:rPr>
          <w:rFonts w:ascii="Book Antiqua" w:hAnsi="Book Antiqua" w:cs="宋体"/>
          <w:i/>
          <w:iCs/>
          <w:sz w:val="24"/>
          <w:szCs w:val="24"/>
        </w:rPr>
        <w:t>Autoimmun Rev</w:t>
      </w:r>
      <w:r w:rsidRPr="008E00FE">
        <w:rPr>
          <w:rFonts w:ascii="Book Antiqua" w:hAnsi="Book Antiqua" w:cs="宋体"/>
          <w:sz w:val="24"/>
          <w:szCs w:val="24"/>
        </w:rPr>
        <w:t> 2010; </w:t>
      </w:r>
      <w:r w:rsidRPr="008E00FE">
        <w:rPr>
          <w:rFonts w:ascii="Book Antiqua" w:hAnsi="Book Antiqua" w:cs="宋体"/>
          <w:b/>
          <w:bCs/>
          <w:sz w:val="24"/>
          <w:szCs w:val="24"/>
        </w:rPr>
        <w:t>10</w:t>
      </w:r>
      <w:r w:rsidRPr="008E00FE">
        <w:rPr>
          <w:rFonts w:ascii="Book Antiqua" w:hAnsi="Book Antiqua" w:cs="宋体"/>
          <w:sz w:val="24"/>
          <w:szCs w:val="24"/>
        </w:rPr>
        <w:t>: 80-83 [PMID: 20696284 DOI: 10.1016/j.autrev.2010.08.006]</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lastRenderedPageBreak/>
        <w:t>34 </w:t>
      </w:r>
      <w:r w:rsidRPr="008E00FE">
        <w:rPr>
          <w:rFonts w:ascii="Book Antiqua" w:hAnsi="Book Antiqua" w:cs="宋体"/>
          <w:b/>
          <w:bCs/>
          <w:sz w:val="24"/>
          <w:szCs w:val="24"/>
        </w:rPr>
        <w:t>Ricuarte O</w:t>
      </w:r>
      <w:r w:rsidRPr="008E00FE">
        <w:rPr>
          <w:rFonts w:ascii="Book Antiqua" w:hAnsi="Book Antiqua" w:cs="宋体"/>
          <w:sz w:val="24"/>
          <w:szCs w:val="24"/>
        </w:rPr>
        <w:t>, Gutierrez O, Cardona H, Kim JG, Graham DY, El-Zimaity HM. Atrophic gastritis in young children and adolescents. </w:t>
      </w:r>
      <w:r w:rsidRPr="008E00FE">
        <w:rPr>
          <w:rFonts w:ascii="Book Antiqua" w:hAnsi="Book Antiqua" w:cs="宋体"/>
          <w:i/>
          <w:iCs/>
          <w:sz w:val="24"/>
          <w:szCs w:val="24"/>
        </w:rPr>
        <w:t>J Clin Pathol</w:t>
      </w:r>
      <w:r w:rsidRPr="008E00FE">
        <w:rPr>
          <w:rFonts w:ascii="Book Antiqua" w:hAnsi="Book Antiqua" w:cs="宋体"/>
          <w:sz w:val="24"/>
          <w:szCs w:val="24"/>
        </w:rPr>
        <w:t> 2005; </w:t>
      </w:r>
      <w:r w:rsidRPr="008E00FE">
        <w:rPr>
          <w:rFonts w:ascii="Book Antiqua" w:hAnsi="Book Antiqua" w:cs="宋体"/>
          <w:b/>
          <w:bCs/>
          <w:sz w:val="24"/>
          <w:szCs w:val="24"/>
        </w:rPr>
        <w:t>58</w:t>
      </w:r>
      <w:r w:rsidRPr="008E00FE">
        <w:rPr>
          <w:rFonts w:ascii="Book Antiqua" w:hAnsi="Book Antiqua" w:cs="宋体"/>
          <w:sz w:val="24"/>
          <w:szCs w:val="24"/>
        </w:rPr>
        <w:t>: 1189-1193 [PMID: 16254110 DOI: 10.1136/jcp.2005.026310]</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35 </w:t>
      </w:r>
      <w:r w:rsidRPr="008E00FE">
        <w:rPr>
          <w:rFonts w:ascii="Book Antiqua" w:hAnsi="Book Antiqua" w:cs="宋体"/>
          <w:b/>
          <w:bCs/>
          <w:sz w:val="24"/>
          <w:szCs w:val="24"/>
        </w:rPr>
        <w:t>Appelmelk BJ</w:t>
      </w:r>
      <w:r w:rsidRPr="008E00FE">
        <w:rPr>
          <w:rFonts w:ascii="Book Antiqua" w:hAnsi="Book Antiqua" w:cs="宋体"/>
          <w:sz w:val="24"/>
          <w:szCs w:val="24"/>
        </w:rPr>
        <w:t>, Faller G, Claeys D, Kirchner T, Vandenbroucke-Grauls CM. Bugs on trial: the case of Helicobacter pylori and autoimmunity. </w:t>
      </w:r>
      <w:r w:rsidRPr="008E00FE">
        <w:rPr>
          <w:rFonts w:ascii="Book Antiqua" w:hAnsi="Book Antiqua" w:cs="宋体"/>
          <w:i/>
          <w:iCs/>
          <w:sz w:val="24"/>
          <w:szCs w:val="24"/>
        </w:rPr>
        <w:t>Immunol Today</w:t>
      </w:r>
      <w:r w:rsidRPr="008E00FE">
        <w:rPr>
          <w:rFonts w:ascii="Book Antiqua" w:hAnsi="Book Antiqua" w:cs="宋体"/>
          <w:sz w:val="24"/>
          <w:szCs w:val="24"/>
        </w:rPr>
        <w:t> 1998; </w:t>
      </w:r>
      <w:r w:rsidRPr="008E00FE">
        <w:rPr>
          <w:rFonts w:ascii="Book Antiqua" w:hAnsi="Book Antiqua" w:cs="宋体"/>
          <w:b/>
          <w:bCs/>
          <w:sz w:val="24"/>
          <w:szCs w:val="24"/>
        </w:rPr>
        <w:t>19</w:t>
      </w:r>
      <w:r w:rsidRPr="008E00FE">
        <w:rPr>
          <w:rFonts w:ascii="Book Antiqua" w:hAnsi="Book Antiqua" w:cs="宋体"/>
          <w:sz w:val="24"/>
          <w:szCs w:val="24"/>
        </w:rPr>
        <w:t>: 296-299 [PMID: 9666600 DOI: 10.1016/S0167-5699(98)01281-X]</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36 </w:t>
      </w:r>
      <w:r w:rsidRPr="008E00FE">
        <w:rPr>
          <w:rFonts w:ascii="Book Antiqua" w:hAnsi="Book Antiqua" w:cs="宋体"/>
          <w:b/>
          <w:bCs/>
          <w:sz w:val="24"/>
          <w:szCs w:val="24"/>
        </w:rPr>
        <w:t>D'Elios MM</w:t>
      </w:r>
      <w:r w:rsidRPr="008E00FE">
        <w:rPr>
          <w:rFonts w:ascii="Book Antiqua" w:hAnsi="Book Antiqua" w:cs="宋体"/>
          <w:sz w:val="24"/>
          <w:szCs w:val="24"/>
        </w:rPr>
        <w:t>, Appelmelk BJ, Amedei A, Bergman MP, Del Prete G. Gastric autoimmunity: the role of Helicobacter pylori and molecular mimicry. </w:t>
      </w:r>
      <w:r w:rsidRPr="008E00FE">
        <w:rPr>
          <w:rFonts w:ascii="Book Antiqua" w:hAnsi="Book Antiqua" w:cs="宋体"/>
          <w:i/>
          <w:iCs/>
          <w:sz w:val="24"/>
          <w:szCs w:val="24"/>
        </w:rPr>
        <w:t>Trends Mol Med</w:t>
      </w:r>
      <w:r w:rsidRPr="008E00FE">
        <w:rPr>
          <w:rFonts w:ascii="Book Antiqua" w:hAnsi="Book Antiqua" w:cs="宋体"/>
          <w:sz w:val="24"/>
          <w:szCs w:val="24"/>
        </w:rPr>
        <w:t> 2004; </w:t>
      </w:r>
      <w:r w:rsidRPr="008E00FE">
        <w:rPr>
          <w:rFonts w:ascii="Book Antiqua" w:hAnsi="Book Antiqua" w:cs="宋体"/>
          <w:b/>
          <w:bCs/>
          <w:sz w:val="24"/>
          <w:szCs w:val="24"/>
        </w:rPr>
        <w:t>10</w:t>
      </w:r>
      <w:r w:rsidRPr="008E00FE">
        <w:rPr>
          <w:rFonts w:ascii="Book Antiqua" w:hAnsi="Book Antiqua" w:cs="宋体"/>
          <w:sz w:val="24"/>
          <w:szCs w:val="24"/>
        </w:rPr>
        <w:t>: 316-323 [PMID: 15242679 DOI: 10.1016/j.molmed.2004.06.001]</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37 </w:t>
      </w:r>
      <w:r w:rsidRPr="008E00FE">
        <w:rPr>
          <w:rFonts w:ascii="Book Antiqua" w:hAnsi="Book Antiqua" w:cs="宋体"/>
          <w:b/>
          <w:bCs/>
          <w:sz w:val="24"/>
          <w:szCs w:val="24"/>
        </w:rPr>
        <w:t>Amedei A</w:t>
      </w:r>
      <w:r w:rsidRPr="008E00FE">
        <w:rPr>
          <w:rFonts w:ascii="Book Antiqua" w:hAnsi="Book Antiqua" w:cs="宋体"/>
          <w:sz w:val="24"/>
          <w:szCs w:val="24"/>
        </w:rPr>
        <w:t>, Bergman MP, Appelmelk BJ, Azzurri A, Benagiano M, Tamburini C, van der Zee R, Telford JL, Vandenbroucke-Grauls CM, D'Elios MM, Del Prete G. Molecular mimicry between Helicobacter pylori antigens and H+, K+ --adenosine triphosphatase in human gastric autoimmunity. </w:t>
      </w:r>
      <w:r w:rsidRPr="008E00FE">
        <w:rPr>
          <w:rFonts w:ascii="Book Antiqua" w:hAnsi="Book Antiqua" w:cs="宋体"/>
          <w:i/>
          <w:iCs/>
          <w:sz w:val="24"/>
          <w:szCs w:val="24"/>
        </w:rPr>
        <w:t>J Exp Med</w:t>
      </w:r>
      <w:r w:rsidRPr="008E00FE">
        <w:rPr>
          <w:rFonts w:ascii="Book Antiqua" w:hAnsi="Book Antiqua" w:cs="宋体"/>
          <w:sz w:val="24"/>
          <w:szCs w:val="24"/>
        </w:rPr>
        <w:t> 2003; </w:t>
      </w:r>
      <w:r w:rsidRPr="008E00FE">
        <w:rPr>
          <w:rFonts w:ascii="Book Antiqua" w:hAnsi="Book Antiqua" w:cs="宋体"/>
          <w:b/>
          <w:bCs/>
          <w:sz w:val="24"/>
          <w:szCs w:val="24"/>
        </w:rPr>
        <w:t>198</w:t>
      </w:r>
      <w:r w:rsidRPr="008E00FE">
        <w:rPr>
          <w:rFonts w:ascii="Book Antiqua" w:hAnsi="Book Antiqua" w:cs="宋体"/>
          <w:sz w:val="24"/>
          <w:szCs w:val="24"/>
        </w:rPr>
        <w:t>: 1147-1156 [PMID: 14568977 DOI: 10.1084/jem.20030530]</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38 </w:t>
      </w:r>
      <w:r w:rsidRPr="008E00FE">
        <w:rPr>
          <w:rFonts w:ascii="Book Antiqua" w:hAnsi="Book Antiqua" w:cs="宋体"/>
          <w:b/>
          <w:bCs/>
          <w:sz w:val="24"/>
          <w:szCs w:val="24"/>
        </w:rPr>
        <w:t>De Block CE</w:t>
      </w:r>
      <w:r w:rsidRPr="008E00FE">
        <w:rPr>
          <w:rFonts w:ascii="Book Antiqua" w:hAnsi="Book Antiqua" w:cs="宋体"/>
          <w:sz w:val="24"/>
          <w:szCs w:val="24"/>
        </w:rPr>
        <w:t>, De Leeuw IH, Bogers JJ, Pelckmans PA, Ieven MM, Van Marck EA, Van Hoof V, Máday E, Van Acker KL, Van Gaal LF. Helicobacter pylori, parietal cell antibodies and autoimmune gastropathy in type 1 diabetes mellitus. </w:t>
      </w:r>
      <w:r w:rsidRPr="008E00FE">
        <w:rPr>
          <w:rFonts w:ascii="Book Antiqua" w:hAnsi="Book Antiqua" w:cs="宋体"/>
          <w:i/>
          <w:iCs/>
          <w:sz w:val="24"/>
          <w:szCs w:val="24"/>
        </w:rPr>
        <w:t>Aliment Pharmacol Ther</w:t>
      </w:r>
      <w:r w:rsidRPr="008E00FE">
        <w:rPr>
          <w:rFonts w:ascii="Book Antiqua" w:hAnsi="Book Antiqua" w:cs="宋体"/>
          <w:sz w:val="24"/>
          <w:szCs w:val="24"/>
        </w:rPr>
        <w:t> 2002; </w:t>
      </w:r>
      <w:r w:rsidRPr="008E00FE">
        <w:rPr>
          <w:rFonts w:ascii="Book Antiqua" w:hAnsi="Book Antiqua" w:cs="宋体"/>
          <w:b/>
          <w:bCs/>
          <w:sz w:val="24"/>
          <w:szCs w:val="24"/>
        </w:rPr>
        <w:t>16</w:t>
      </w:r>
      <w:r w:rsidRPr="008E00FE">
        <w:rPr>
          <w:rFonts w:ascii="Book Antiqua" w:hAnsi="Book Antiqua" w:cs="宋体"/>
          <w:sz w:val="24"/>
          <w:szCs w:val="24"/>
        </w:rPr>
        <w:t>: 281-289 [PMID: 11860411 DOI: 10.1046/j.1365-2036.2002.01186.x]</w:t>
      </w:r>
    </w:p>
    <w:p w:rsidR="00CE40A9" w:rsidRPr="008E00FE" w:rsidRDefault="00CE40A9" w:rsidP="00197E9C">
      <w:pPr>
        <w:spacing w:after="0" w:line="360" w:lineRule="auto"/>
        <w:jc w:val="both"/>
        <w:rPr>
          <w:rFonts w:ascii="Book Antiqua" w:hAnsi="Book Antiqua" w:cs="宋体"/>
          <w:sz w:val="24"/>
          <w:szCs w:val="24"/>
        </w:rPr>
      </w:pPr>
      <w:r w:rsidRPr="008E00FE">
        <w:rPr>
          <w:rFonts w:ascii="Book Antiqua" w:hAnsi="Book Antiqua" w:cs="宋体"/>
          <w:sz w:val="24"/>
          <w:szCs w:val="24"/>
        </w:rPr>
        <w:t>39 </w:t>
      </w:r>
      <w:r w:rsidRPr="008E00FE">
        <w:rPr>
          <w:rFonts w:ascii="Book Antiqua" w:hAnsi="Book Antiqua" w:cs="宋体"/>
          <w:b/>
          <w:bCs/>
          <w:sz w:val="24"/>
          <w:szCs w:val="24"/>
        </w:rPr>
        <w:t>Armbrecht U</w:t>
      </w:r>
      <w:r w:rsidRPr="008E00FE">
        <w:rPr>
          <w:rFonts w:ascii="Book Antiqua" w:hAnsi="Book Antiqua" w:cs="宋体"/>
          <w:sz w:val="24"/>
          <w:szCs w:val="24"/>
        </w:rPr>
        <w:t>, Stockbrügger RW, Rode J, Menon GG, Cotton PB. Development of gastric dysplasia in pernicious anaemia: a clinical and endoscopic follow up study of 80 patients. </w:t>
      </w:r>
      <w:r w:rsidRPr="008E00FE">
        <w:rPr>
          <w:rFonts w:ascii="Book Antiqua" w:hAnsi="Book Antiqua" w:cs="宋体"/>
          <w:i/>
          <w:iCs/>
          <w:sz w:val="24"/>
          <w:szCs w:val="24"/>
        </w:rPr>
        <w:t>Gut</w:t>
      </w:r>
      <w:r w:rsidRPr="008E00FE">
        <w:rPr>
          <w:rFonts w:ascii="Book Antiqua" w:hAnsi="Book Antiqua" w:cs="宋体"/>
          <w:sz w:val="24"/>
          <w:szCs w:val="24"/>
        </w:rPr>
        <w:t> 1990; </w:t>
      </w:r>
      <w:r w:rsidRPr="008E00FE">
        <w:rPr>
          <w:rFonts w:ascii="Book Antiqua" w:hAnsi="Book Antiqua" w:cs="宋体"/>
          <w:b/>
          <w:bCs/>
          <w:sz w:val="24"/>
          <w:szCs w:val="24"/>
        </w:rPr>
        <w:t>31</w:t>
      </w:r>
      <w:r w:rsidRPr="008E00FE">
        <w:rPr>
          <w:rFonts w:ascii="Book Antiqua" w:hAnsi="Book Antiqua" w:cs="宋体"/>
          <w:sz w:val="24"/>
          <w:szCs w:val="24"/>
        </w:rPr>
        <w:t>: 1105-1109 [PMID: 2083855 DOI: 10.1136/gut.31.10.1105]</w:t>
      </w:r>
    </w:p>
    <w:p w:rsidR="00CE40A9" w:rsidRPr="0027683C" w:rsidRDefault="00CE40A9" w:rsidP="00197E9C">
      <w:pPr>
        <w:spacing w:after="0" w:line="360" w:lineRule="auto"/>
        <w:jc w:val="both"/>
        <w:rPr>
          <w:rFonts w:ascii="Book Antiqua" w:hAnsi="Book Antiqua"/>
          <w:sz w:val="24"/>
          <w:szCs w:val="24"/>
          <w:lang w:val="en-US"/>
        </w:rPr>
      </w:pPr>
    </w:p>
    <w:p w:rsidR="00CE40A9" w:rsidRDefault="00CE40A9" w:rsidP="00197E9C">
      <w:pPr>
        <w:pStyle w:val="ab"/>
        <w:wordWrap w:val="0"/>
        <w:spacing w:line="360" w:lineRule="auto"/>
        <w:ind w:firstLineChars="0" w:firstLine="0"/>
        <w:jc w:val="right"/>
        <w:rPr>
          <w:rFonts w:ascii="Book Antiqua" w:hAnsi="Book Antiqua"/>
          <w:b/>
          <w:bCs/>
          <w:color w:val="000000"/>
          <w:szCs w:val="24"/>
          <w:lang w:eastAsia="zh-CN"/>
        </w:rPr>
      </w:pPr>
      <w:bookmarkStart w:id="23" w:name="OLE_LINK277"/>
      <w:bookmarkStart w:id="24" w:name="OLE_LINK278"/>
      <w:bookmarkStart w:id="25" w:name="OLE_LINK279"/>
      <w:bookmarkStart w:id="26" w:name="OLE_LINK290"/>
      <w:bookmarkStart w:id="27" w:name="OLE_LINK301"/>
      <w:bookmarkStart w:id="28" w:name="OLE_LINK312"/>
      <w:bookmarkStart w:id="29" w:name="OLE_LINK315"/>
      <w:bookmarkStart w:id="30" w:name="OLE_LINK316"/>
      <w:bookmarkStart w:id="31" w:name="OLE_LINK317"/>
      <w:bookmarkStart w:id="32" w:name="OLE_LINK318"/>
      <w:bookmarkStart w:id="33" w:name="OLE_LINK326"/>
      <w:bookmarkStart w:id="34" w:name="OLE_LINK335"/>
      <w:bookmarkStart w:id="35" w:name="OLE_LINK339"/>
      <w:bookmarkStart w:id="36" w:name="OLE_LINK348"/>
      <w:bookmarkStart w:id="37" w:name="OLE_LINK329"/>
      <w:r w:rsidRPr="0027683C">
        <w:rPr>
          <w:rStyle w:val="aa"/>
          <w:rFonts w:ascii="Book Antiqua" w:hAnsi="Book Antiqua" w:cs="Arial"/>
          <w:noProof/>
          <w:color w:val="000000"/>
          <w:szCs w:val="24"/>
        </w:rPr>
        <w:t>P-Reviewers</w:t>
      </w:r>
      <w:r w:rsidRPr="0027683C">
        <w:rPr>
          <w:rStyle w:val="aa"/>
          <w:rFonts w:ascii="Book Antiqua" w:hAnsi="Book Antiqua" w:cs="Arial"/>
          <w:noProof/>
          <w:color w:val="000000"/>
          <w:szCs w:val="24"/>
          <w:lang w:eastAsia="zh-CN"/>
        </w:rPr>
        <w:t>:</w:t>
      </w:r>
      <w:r w:rsidRPr="0027683C">
        <w:rPr>
          <w:rFonts w:ascii="Book Antiqua" w:hAnsi="Book Antiqua"/>
          <w:bCs/>
          <w:color w:val="000000"/>
          <w:szCs w:val="24"/>
        </w:rPr>
        <w:t xml:space="preserve"> </w:t>
      </w:r>
      <w:r w:rsidRPr="00197E9C">
        <w:rPr>
          <w:rFonts w:ascii="Book Antiqua" w:hAnsi="Book Antiqua"/>
          <w:bCs/>
          <w:color w:val="000000"/>
          <w:szCs w:val="24"/>
        </w:rPr>
        <w:t>Lee</w:t>
      </w:r>
      <w:r>
        <w:rPr>
          <w:rFonts w:ascii="Book Antiqua" w:hAnsi="Book Antiqua"/>
          <w:bCs/>
          <w:color w:val="000000"/>
          <w:szCs w:val="24"/>
          <w:lang w:eastAsia="zh-CN"/>
        </w:rPr>
        <w:t xml:space="preserve"> JC, </w:t>
      </w:r>
      <w:r w:rsidRPr="0027683C">
        <w:rPr>
          <w:rFonts w:ascii="Book Antiqua" w:hAnsi="Book Antiqua"/>
          <w:bCs/>
          <w:color w:val="000000"/>
          <w:szCs w:val="24"/>
        </w:rPr>
        <w:t xml:space="preserve"> </w:t>
      </w:r>
      <w:r w:rsidRPr="00197E9C">
        <w:rPr>
          <w:rFonts w:ascii="Book Antiqua" w:hAnsi="Book Antiqua"/>
          <w:bCs/>
          <w:color w:val="000000"/>
          <w:szCs w:val="24"/>
        </w:rPr>
        <w:t>Saniabadi</w:t>
      </w:r>
      <w:r>
        <w:rPr>
          <w:rFonts w:ascii="Book Antiqua" w:hAnsi="Book Antiqua"/>
          <w:bCs/>
          <w:color w:val="000000"/>
          <w:szCs w:val="24"/>
          <w:lang w:eastAsia="zh-CN"/>
        </w:rPr>
        <w:t xml:space="preserve"> AR, </w:t>
      </w:r>
      <w:r>
        <w:rPr>
          <w:rFonts w:ascii="Book Antiqua" w:hAnsi="Book Antiqua"/>
          <w:bCs/>
          <w:color w:val="000000"/>
          <w:szCs w:val="24"/>
        </w:rPr>
        <w:t>Toh</w:t>
      </w:r>
      <w:r w:rsidRPr="00197E9C">
        <w:rPr>
          <w:rFonts w:ascii="Book Antiqua" w:hAnsi="Book Antiqua"/>
          <w:bCs/>
          <w:color w:val="000000"/>
          <w:szCs w:val="24"/>
        </w:rPr>
        <w:t xml:space="preserve"> BH</w:t>
      </w:r>
      <w:r w:rsidRPr="0027683C">
        <w:rPr>
          <w:rFonts w:ascii="Book Antiqua" w:hAnsi="Book Antiqua"/>
          <w:bCs/>
          <w:color w:val="000000"/>
          <w:szCs w:val="24"/>
        </w:rPr>
        <w:t xml:space="preserve"> </w:t>
      </w:r>
      <w:r w:rsidRPr="0027683C">
        <w:rPr>
          <w:rFonts w:ascii="Book Antiqua" w:hAnsi="Book Antiqua"/>
          <w:b/>
          <w:bCs/>
          <w:color w:val="000000"/>
          <w:szCs w:val="24"/>
        </w:rPr>
        <w:t>S-Editor</w:t>
      </w:r>
      <w:r w:rsidRPr="0027683C">
        <w:rPr>
          <w:rFonts w:ascii="Book Antiqua" w:hAnsi="Book Antiqua"/>
          <w:b/>
          <w:bCs/>
          <w:color w:val="000000"/>
          <w:szCs w:val="24"/>
          <w:lang w:eastAsia="zh-CN"/>
        </w:rPr>
        <w:t>:</w:t>
      </w:r>
      <w:r w:rsidRPr="0027683C">
        <w:rPr>
          <w:rFonts w:ascii="Book Antiqua" w:hAnsi="Book Antiqua"/>
          <w:bCs/>
          <w:color w:val="000000"/>
          <w:szCs w:val="24"/>
        </w:rPr>
        <w:t xml:space="preserve"> </w:t>
      </w:r>
      <w:r w:rsidRPr="0027683C">
        <w:rPr>
          <w:rFonts w:ascii="Book Antiqua" w:hAnsi="Book Antiqua"/>
          <w:bCs/>
          <w:color w:val="000000"/>
          <w:szCs w:val="24"/>
          <w:lang w:eastAsia="zh-CN"/>
        </w:rPr>
        <w:t>Qi Y</w:t>
      </w:r>
    </w:p>
    <w:p w:rsidR="00CE40A9" w:rsidRPr="0027683C" w:rsidRDefault="00CE40A9" w:rsidP="00197E9C">
      <w:pPr>
        <w:pStyle w:val="ab"/>
        <w:spacing w:line="360" w:lineRule="auto"/>
        <w:ind w:firstLineChars="0" w:firstLine="0"/>
        <w:jc w:val="right"/>
        <w:rPr>
          <w:rFonts w:ascii="Book Antiqua" w:hAnsi="Book Antiqua"/>
          <w:b/>
          <w:bCs/>
          <w:color w:val="000000"/>
          <w:szCs w:val="24"/>
          <w:lang w:eastAsia="zh-CN"/>
        </w:rPr>
      </w:pPr>
      <w:r w:rsidRPr="0027683C">
        <w:rPr>
          <w:rFonts w:ascii="Book Antiqua" w:hAnsi="Book Antiqua"/>
          <w:b/>
          <w:bCs/>
          <w:color w:val="000000"/>
          <w:szCs w:val="24"/>
        </w:rPr>
        <w:t>L-Editor</w:t>
      </w:r>
      <w:r w:rsidRPr="0027683C">
        <w:rPr>
          <w:rFonts w:ascii="Book Antiqua" w:hAnsi="Book Antiqua"/>
          <w:b/>
          <w:bCs/>
          <w:color w:val="000000"/>
          <w:szCs w:val="24"/>
          <w:lang w:eastAsia="zh-CN"/>
        </w:rPr>
        <w:t>:</w:t>
      </w:r>
      <w:r w:rsidRPr="0027683C">
        <w:rPr>
          <w:rFonts w:ascii="Book Antiqua" w:hAnsi="Book Antiqua"/>
          <w:b/>
          <w:bCs/>
          <w:color w:val="000000"/>
          <w:szCs w:val="24"/>
        </w:rPr>
        <w:t xml:space="preserve">   E-Editor</w:t>
      </w:r>
      <w:r w:rsidRPr="0027683C">
        <w:rPr>
          <w:rFonts w:ascii="Book Antiqua" w:hAnsi="Book Antiqua"/>
          <w:b/>
          <w:bCs/>
          <w:color w:val="000000"/>
          <w:szCs w:val="24"/>
          <w:lang w:eastAsia="zh-CN"/>
        </w:rPr>
        <w:t>:</w:t>
      </w: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rsidR="00CE40A9" w:rsidRPr="0027683C" w:rsidRDefault="00CE40A9" w:rsidP="00197E9C">
      <w:pPr>
        <w:spacing w:after="0" w:line="360" w:lineRule="auto"/>
        <w:jc w:val="both"/>
        <w:rPr>
          <w:rFonts w:ascii="Book Antiqua" w:hAnsi="Book Antiqua"/>
          <w:sz w:val="24"/>
          <w:szCs w:val="24"/>
          <w:lang w:val="it-IT"/>
        </w:rPr>
      </w:pPr>
    </w:p>
    <w:p w:rsidR="00CE40A9" w:rsidRDefault="00CE40A9" w:rsidP="00197E9C">
      <w:pPr>
        <w:spacing w:after="0" w:line="240" w:lineRule="auto"/>
        <w:rPr>
          <w:rFonts w:ascii="Book Antiqua" w:hAnsi="Book Antiqua"/>
          <w:b/>
          <w:bCs/>
          <w:sz w:val="24"/>
          <w:szCs w:val="24"/>
          <w:lang w:val="en-US"/>
        </w:rPr>
      </w:pPr>
      <w:r>
        <w:rPr>
          <w:rFonts w:ascii="Book Antiqua" w:hAnsi="Book Antiqua"/>
          <w:b/>
          <w:bCs/>
          <w:sz w:val="24"/>
          <w:szCs w:val="24"/>
          <w:lang w:val="en-US"/>
        </w:rPr>
        <w:br w:type="page"/>
      </w:r>
    </w:p>
    <w:p w:rsidR="00CE40A9" w:rsidRPr="00197E9C" w:rsidRDefault="00CE40A9" w:rsidP="00197E9C">
      <w:pPr>
        <w:autoSpaceDE w:val="0"/>
        <w:autoSpaceDN w:val="0"/>
        <w:adjustRightInd w:val="0"/>
        <w:spacing w:after="0" w:line="360" w:lineRule="auto"/>
        <w:jc w:val="both"/>
        <w:rPr>
          <w:rFonts w:ascii="Book Antiqua" w:hAnsi="Book Antiqua"/>
          <w:b/>
          <w:sz w:val="24"/>
          <w:szCs w:val="24"/>
          <w:lang w:val="en-US" w:eastAsia="zh-CN"/>
        </w:rPr>
      </w:pPr>
      <w:r w:rsidRPr="00197E9C">
        <w:rPr>
          <w:rFonts w:ascii="Book Antiqua" w:hAnsi="Book Antiqua"/>
          <w:b/>
          <w:sz w:val="24"/>
          <w:szCs w:val="24"/>
          <w:lang w:val="en-US"/>
        </w:rPr>
        <w:t>Figure 1</w:t>
      </w:r>
      <w:r w:rsidRPr="00197E9C">
        <w:rPr>
          <w:rFonts w:ascii="Book Antiqua" w:hAnsi="Book Antiqua"/>
          <w:b/>
          <w:sz w:val="24"/>
          <w:szCs w:val="24"/>
          <w:lang w:val="en-US" w:eastAsia="zh-CN"/>
        </w:rPr>
        <w:t xml:space="preserve"> </w:t>
      </w:r>
      <w:r w:rsidRPr="00197E9C">
        <w:rPr>
          <w:rFonts w:ascii="Book Antiqua" w:hAnsi="Book Antiqua"/>
          <w:b/>
          <w:sz w:val="24"/>
          <w:szCs w:val="24"/>
          <w:lang w:val="en-US"/>
        </w:rPr>
        <w:t xml:space="preserve">Gastric </w:t>
      </w:r>
      <w:r w:rsidRPr="00197E9C">
        <w:rPr>
          <w:rFonts w:ascii="Book Antiqua" w:hAnsi="Book Antiqua"/>
          <w:b/>
          <w:i/>
          <w:iCs/>
          <w:sz w:val="24"/>
          <w:szCs w:val="24"/>
          <w:lang w:val="en-US"/>
        </w:rPr>
        <w:t xml:space="preserve">antrum </w:t>
      </w:r>
      <w:r w:rsidRPr="00197E9C">
        <w:rPr>
          <w:rFonts w:ascii="Book Antiqua" w:hAnsi="Book Antiqua"/>
          <w:b/>
          <w:sz w:val="24"/>
          <w:szCs w:val="24"/>
          <w:lang w:val="en-US"/>
        </w:rPr>
        <w:t>mucosa (Hematoxilin-eosin staining) with chronic atrophic gastritis and moderate to intense inflammatory infiltrate</w:t>
      </w:r>
      <w:r w:rsidRPr="00197E9C">
        <w:rPr>
          <w:rFonts w:ascii="Book Antiqua" w:hAnsi="Book Antiqua"/>
          <w:b/>
          <w:sz w:val="24"/>
          <w:szCs w:val="24"/>
          <w:lang w:val="en-US" w:eastAsia="zh-CN"/>
        </w:rPr>
        <w:t>.</w:t>
      </w:r>
    </w:p>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eastAsia="zh-CN"/>
        </w:rPr>
      </w:pPr>
    </w:p>
    <w:p w:rsidR="00CE40A9" w:rsidRDefault="00CE40A9" w:rsidP="00197E9C">
      <w:pPr>
        <w:autoSpaceDE w:val="0"/>
        <w:autoSpaceDN w:val="0"/>
        <w:adjustRightInd w:val="0"/>
        <w:spacing w:after="0" w:line="360" w:lineRule="auto"/>
        <w:jc w:val="both"/>
        <w:rPr>
          <w:rFonts w:ascii="Book Antiqua" w:hAnsi="Book Antiqua"/>
          <w:b/>
          <w:sz w:val="24"/>
          <w:szCs w:val="24"/>
          <w:lang w:val="en-US" w:eastAsia="zh-CN"/>
        </w:rPr>
      </w:pPr>
      <w:r w:rsidRPr="00197E9C">
        <w:rPr>
          <w:rFonts w:ascii="Book Antiqua" w:hAnsi="Book Antiqua"/>
          <w:b/>
          <w:sz w:val="24"/>
          <w:szCs w:val="24"/>
          <w:lang w:val="en-US"/>
        </w:rPr>
        <w:t xml:space="preserve">Figure 2 Gastric </w:t>
      </w:r>
      <w:r w:rsidRPr="00197E9C">
        <w:rPr>
          <w:rFonts w:ascii="Book Antiqua" w:hAnsi="Book Antiqua"/>
          <w:b/>
          <w:i/>
          <w:iCs/>
          <w:sz w:val="24"/>
          <w:szCs w:val="24"/>
          <w:lang w:val="en-US"/>
        </w:rPr>
        <w:t xml:space="preserve">corpus </w:t>
      </w:r>
      <w:r w:rsidRPr="00197E9C">
        <w:rPr>
          <w:rFonts w:ascii="Book Antiqua" w:hAnsi="Book Antiqua"/>
          <w:b/>
          <w:sz w:val="24"/>
          <w:szCs w:val="24"/>
          <w:lang w:val="en-US"/>
        </w:rPr>
        <w:t>mucosa: Loss of oxyntic cell and presence of pseudo-pyloric metaplasia</w:t>
      </w:r>
      <w:r w:rsidRPr="00197E9C">
        <w:rPr>
          <w:rFonts w:ascii="Book Antiqua" w:hAnsi="Book Antiqua"/>
          <w:b/>
          <w:sz w:val="24"/>
          <w:szCs w:val="24"/>
          <w:lang w:val="en-US" w:eastAsia="zh-CN"/>
        </w:rPr>
        <w:t>.</w:t>
      </w:r>
    </w:p>
    <w:p w:rsidR="00CE40A9" w:rsidRPr="00197E9C" w:rsidRDefault="00CE40A9" w:rsidP="00197E9C">
      <w:pPr>
        <w:autoSpaceDE w:val="0"/>
        <w:autoSpaceDN w:val="0"/>
        <w:adjustRightInd w:val="0"/>
        <w:spacing w:after="0" w:line="360" w:lineRule="auto"/>
        <w:jc w:val="both"/>
        <w:rPr>
          <w:rFonts w:ascii="Book Antiqua" w:hAnsi="Book Antiqua"/>
          <w:b/>
          <w:sz w:val="24"/>
          <w:szCs w:val="24"/>
          <w:lang w:val="en-US" w:eastAsia="zh-CN"/>
        </w:rPr>
      </w:pPr>
    </w:p>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eastAsia="zh-CN"/>
        </w:rPr>
      </w:pPr>
      <w:r w:rsidRPr="00197E9C">
        <w:rPr>
          <w:rFonts w:ascii="Book Antiqua" w:hAnsi="Book Antiqua"/>
          <w:b/>
          <w:sz w:val="24"/>
          <w:szCs w:val="24"/>
          <w:lang w:val="en-US"/>
        </w:rPr>
        <w:t xml:space="preserve">Figure 3 Cromogranin a staining of gastric </w:t>
      </w:r>
      <w:r w:rsidRPr="00197E9C">
        <w:rPr>
          <w:rFonts w:ascii="Book Antiqua" w:hAnsi="Book Antiqua"/>
          <w:b/>
          <w:i/>
          <w:iCs/>
          <w:sz w:val="24"/>
          <w:szCs w:val="24"/>
          <w:lang w:val="en-US"/>
        </w:rPr>
        <w:t xml:space="preserve">corpus </w:t>
      </w:r>
      <w:r w:rsidRPr="00197E9C">
        <w:rPr>
          <w:rFonts w:ascii="Book Antiqua" w:hAnsi="Book Antiqua"/>
          <w:b/>
          <w:sz w:val="24"/>
          <w:szCs w:val="24"/>
          <w:lang w:val="en-US"/>
        </w:rPr>
        <w:t xml:space="preserve">mucosa from patient with autoimmune gastritis. </w:t>
      </w:r>
      <w:r w:rsidRPr="0027683C">
        <w:rPr>
          <w:rFonts w:ascii="Book Antiqua" w:hAnsi="Book Antiqua"/>
          <w:sz w:val="24"/>
          <w:szCs w:val="24"/>
          <w:lang w:val="en-US"/>
        </w:rPr>
        <w:t xml:space="preserve">There is linear and nodular (arrows) </w:t>
      </w:r>
      <w:r>
        <w:rPr>
          <w:rFonts w:ascii="Book Antiqua" w:hAnsi="Book Antiqua"/>
          <w:sz w:val="24"/>
          <w:szCs w:val="24"/>
          <w:lang w:val="en-US"/>
        </w:rPr>
        <w:t>hyperplasia of endocrine cells</w:t>
      </w:r>
      <w:r>
        <w:rPr>
          <w:rFonts w:ascii="Book Antiqua" w:hAnsi="Book Antiqua"/>
          <w:sz w:val="24"/>
          <w:szCs w:val="24"/>
          <w:lang w:val="en-US" w:eastAsia="zh-CN"/>
        </w:rPr>
        <w:t>.</w:t>
      </w:r>
    </w:p>
    <w:p w:rsidR="00CE40A9" w:rsidRPr="0027683C" w:rsidRDefault="00CE40A9" w:rsidP="00197E9C">
      <w:pPr>
        <w:tabs>
          <w:tab w:val="left" w:pos="6120"/>
        </w:tabs>
        <w:spacing w:after="0" w:line="360" w:lineRule="auto"/>
        <w:jc w:val="both"/>
        <w:rPr>
          <w:rFonts w:ascii="Book Antiqua" w:hAnsi="Book Antiqua"/>
          <w:b/>
          <w:sz w:val="24"/>
          <w:szCs w:val="24"/>
          <w:lang w:val="en-US"/>
        </w:rPr>
      </w:pPr>
    </w:p>
    <w:p w:rsidR="00CE40A9" w:rsidRDefault="00CE40A9" w:rsidP="00197E9C">
      <w:pPr>
        <w:spacing w:after="0" w:line="240" w:lineRule="auto"/>
        <w:rPr>
          <w:rFonts w:ascii="Book Antiqua" w:hAnsi="Book Antiqua"/>
          <w:b/>
          <w:sz w:val="24"/>
          <w:szCs w:val="24"/>
          <w:lang w:val="en-US"/>
        </w:rPr>
      </w:pPr>
      <w:r>
        <w:rPr>
          <w:rFonts w:ascii="Book Antiqua" w:hAnsi="Book Antiqua"/>
          <w:b/>
          <w:sz w:val="24"/>
          <w:szCs w:val="24"/>
          <w:lang w:val="en-US"/>
        </w:rPr>
        <w:br w:type="page"/>
      </w:r>
    </w:p>
    <w:p w:rsidR="00CE40A9" w:rsidRPr="001E30BC" w:rsidRDefault="00CE40A9" w:rsidP="00197E9C">
      <w:pPr>
        <w:autoSpaceDE w:val="0"/>
        <w:autoSpaceDN w:val="0"/>
        <w:adjustRightInd w:val="0"/>
        <w:spacing w:after="0" w:line="360" w:lineRule="auto"/>
        <w:jc w:val="both"/>
        <w:rPr>
          <w:rFonts w:ascii="Book Antiqua" w:hAnsi="Book Antiqua"/>
          <w:b/>
          <w:sz w:val="24"/>
          <w:szCs w:val="24"/>
          <w:lang w:val="en-US"/>
        </w:rPr>
      </w:pPr>
      <w:r w:rsidRPr="001E30BC">
        <w:rPr>
          <w:rFonts w:ascii="Book Antiqua" w:hAnsi="Book Antiqua"/>
          <w:b/>
          <w:sz w:val="24"/>
          <w:szCs w:val="24"/>
          <w:lang w:val="en-US"/>
        </w:rPr>
        <w:t xml:space="preserve">Table </w:t>
      </w:r>
      <w:r w:rsidRPr="001E30BC">
        <w:rPr>
          <w:rFonts w:ascii="Book Antiqua" w:hAnsi="Book Antiqua"/>
          <w:b/>
          <w:sz w:val="24"/>
          <w:szCs w:val="24"/>
          <w:lang w:val="en-US" w:eastAsia="zh-CN"/>
        </w:rPr>
        <w:t>1</w:t>
      </w:r>
      <w:r w:rsidRPr="001E30BC">
        <w:rPr>
          <w:rFonts w:ascii="Book Antiqua" w:hAnsi="Book Antiqua"/>
          <w:b/>
          <w:sz w:val="24"/>
          <w:szCs w:val="24"/>
          <w:lang w:val="en-US"/>
        </w:rPr>
        <w:t xml:space="preserve"> Demographic, clinical and laboratorial characterization of autoimmune gastritis patients</w:t>
      </w:r>
    </w:p>
    <w:tbl>
      <w:tblPr>
        <w:tblW w:w="10065" w:type="dxa"/>
        <w:tblInd w:w="-743" w:type="dxa"/>
        <w:tblBorders>
          <w:top w:val="single" w:sz="4" w:space="0" w:color="000000"/>
          <w:bottom w:val="single" w:sz="4" w:space="0" w:color="000000"/>
        </w:tblBorders>
        <w:tblLayout w:type="fixed"/>
        <w:tblLook w:val="00A0" w:firstRow="1" w:lastRow="0" w:firstColumn="1" w:lastColumn="0" w:noHBand="0" w:noVBand="0"/>
      </w:tblPr>
      <w:tblGrid>
        <w:gridCol w:w="1916"/>
        <w:gridCol w:w="1770"/>
        <w:gridCol w:w="88"/>
        <w:gridCol w:w="1024"/>
        <w:gridCol w:w="1156"/>
        <w:gridCol w:w="1161"/>
        <w:gridCol w:w="1304"/>
        <w:gridCol w:w="1646"/>
      </w:tblGrid>
      <w:tr w:rsidR="00CE40A9" w:rsidRPr="0027683C" w:rsidTr="001E30BC">
        <w:tc>
          <w:tcPr>
            <w:tcW w:w="1916" w:type="dxa"/>
            <w:tcBorders>
              <w:top w:val="single" w:sz="4" w:space="0" w:color="000000"/>
              <w:bottom w:val="single" w:sz="4" w:space="0" w:color="000000"/>
            </w:tcBorders>
          </w:tcPr>
          <w:p w:rsidR="00CE40A9" w:rsidRPr="001E30BC" w:rsidRDefault="00CE40A9" w:rsidP="00197E9C">
            <w:pPr>
              <w:autoSpaceDE w:val="0"/>
              <w:autoSpaceDN w:val="0"/>
              <w:adjustRightInd w:val="0"/>
              <w:spacing w:after="0" w:line="360" w:lineRule="auto"/>
              <w:jc w:val="both"/>
              <w:rPr>
                <w:rFonts w:ascii="Book Antiqua" w:hAnsi="Book Antiqua"/>
                <w:b/>
                <w:sz w:val="24"/>
                <w:szCs w:val="24"/>
                <w:lang w:val="en-US"/>
              </w:rPr>
            </w:pPr>
          </w:p>
        </w:tc>
        <w:tc>
          <w:tcPr>
            <w:tcW w:w="1858" w:type="dxa"/>
            <w:gridSpan w:val="2"/>
            <w:tcBorders>
              <w:top w:val="single" w:sz="4" w:space="0" w:color="000000"/>
              <w:bottom w:val="single" w:sz="4" w:space="0" w:color="000000"/>
            </w:tcBorders>
          </w:tcPr>
          <w:p w:rsidR="00CE40A9" w:rsidRPr="001E30BC" w:rsidRDefault="00CE40A9" w:rsidP="00197E9C">
            <w:pPr>
              <w:autoSpaceDE w:val="0"/>
              <w:autoSpaceDN w:val="0"/>
              <w:adjustRightInd w:val="0"/>
              <w:spacing w:after="0" w:line="360" w:lineRule="auto"/>
              <w:jc w:val="both"/>
              <w:rPr>
                <w:rFonts w:ascii="Book Antiqua" w:hAnsi="Book Antiqua"/>
                <w:b/>
                <w:sz w:val="24"/>
                <w:szCs w:val="24"/>
                <w:lang w:val="en-US"/>
              </w:rPr>
            </w:pPr>
            <w:r w:rsidRPr="001E30BC">
              <w:rPr>
                <w:rFonts w:ascii="Book Antiqua" w:hAnsi="Book Antiqua"/>
                <w:b/>
                <w:sz w:val="24"/>
                <w:szCs w:val="24"/>
                <w:lang w:val="en-US"/>
              </w:rPr>
              <w:t>Patient 1</w:t>
            </w:r>
          </w:p>
        </w:tc>
        <w:tc>
          <w:tcPr>
            <w:tcW w:w="1024" w:type="dxa"/>
            <w:tcBorders>
              <w:top w:val="single" w:sz="4" w:space="0" w:color="000000"/>
              <w:bottom w:val="single" w:sz="4" w:space="0" w:color="000000"/>
            </w:tcBorders>
          </w:tcPr>
          <w:p w:rsidR="00CE40A9" w:rsidRPr="001E30BC" w:rsidRDefault="00CE40A9" w:rsidP="00197E9C">
            <w:pPr>
              <w:autoSpaceDE w:val="0"/>
              <w:autoSpaceDN w:val="0"/>
              <w:adjustRightInd w:val="0"/>
              <w:spacing w:after="0" w:line="360" w:lineRule="auto"/>
              <w:jc w:val="both"/>
              <w:rPr>
                <w:rFonts w:ascii="Book Antiqua" w:hAnsi="Book Antiqua"/>
                <w:b/>
                <w:sz w:val="24"/>
                <w:szCs w:val="24"/>
                <w:lang w:val="en-US"/>
              </w:rPr>
            </w:pPr>
            <w:r w:rsidRPr="001E30BC">
              <w:rPr>
                <w:rFonts w:ascii="Book Antiqua" w:hAnsi="Book Antiqua"/>
                <w:b/>
                <w:sz w:val="24"/>
                <w:szCs w:val="24"/>
                <w:lang w:val="en-US"/>
              </w:rPr>
              <w:t>Patient 2</w:t>
            </w:r>
          </w:p>
        </w:tc>
        <w:tc>
          <w:tcPr>
            <w:tcW w:w="1156" w:type="dxa"/>
            <w:tcBorders>
              <w:top w:val="single" w:sz="4" w:space="0" w:color="000000"/>
              <w:bottom w:val="single" w:sz="4" w:space="0" w:color="000000"/>
            </w:tcBorders>
          </w:tcPr>
          <w:p w:rsidR="00CE40A9" w:rsidRPr="001E30BC" w:rsidRDefault="00CE40A9" w:rsidP="00197E9C">
            <w:pPr>
              <w:autoSpaceDE w:val="0"/>
              <w:autoSpaceDN w:val="0"/>
              <w:adjustRightInd w:val="0"/>
              <w:spacing w:after="0" w:line="360" w:lineRule="auto"/>
              <w:jc w:val="both"/>
              <w:rPr>
                <w:rFonts w:ascii="Book Antiqua" w:hAnsi="Book Antiqua"/>
                <w:b/>
                <w:sz w:val="24"/>
                <w:szCs w:val="24"/>
                <w:lang w:val="en-US"/>
              </w:rPr>
            </w:pPr>
            <w:r w:rsidRPr="001E30BC">
              <w:rPr>
                <w:rFonts w:ascii="Book Antiqua" w:hAnsi="Book Antiqua"/>
                <w:b/>
                <w:sz w:val="24"/>
                <w:szCs w:val="24"/>
                <w:lang w:val="en-US"/>
              </w:rPr>
              <w:t>Patient 3</w:t>
            </w:r>
          </w:p>
        </w:tc>
        <w:tc>
          <w:tcPr>
            <w:tcW w:w="1161" w:type="dxa"/>
            <w:tcBorders>
              <w:top w:val="single" w:sz="4" w:space="0" w:color="000000"/>
              <w:bottom w:val="single" w:sz="4" w:space="0" w:color="000000"/>
            </w:tcBorders>
          </w:tcPr>
          <w:p w:rsidR="00CE40A9" w:rsidRPr="001E30BC" w:rsidRDefault="00CE40A9" w:rsidP="00197E9C">
            <w:pPr>
              <w:autoSpaceDE w:val="0"/>
              <w:autoSpaceDN w:val="0"/>
              <w:adjustRightInd w:val="0"/>
              <w:spacing w:after="0" w:line="360" w:lineRule="auto"/>
              <w:jc w:val="both"/>
              <w:rPr>
                <w:rFonts w:ascii="Book Antiqua" w:hAnsi="Book Antiqua"/>
                <w:b/>
                <w:sz w:val="24"/>
                <w:szCs w:val="24"/>
                <w:lang w:val="en-US"/>
              </w:rPr>
            </w:pPr>
            <w:r w:rsidRPr="001E30BC">
              <w:rPr>
                <w:rFonts w:ascii="Book Antiqua" w:hAnsi="Book Antiqua"/>
                <w:b/>
                <w:sz w:val="24"/>
                <w:szCs w:val="24"/>
                <w:lang w:val="en-US"/>
              </w:rPr>
              <w:t>Patient 4</w:t>
            </w:r>
          </w:p>
        </w:tc>
        <w:tc>
          <w:tcPr>
            <w:tcW w:w="1304" w:type="dxa"/>
            <w:tcBorders>
              <w:top w:val="single" w:sz="4" w:space="0" w:color="000000"/>
              <w:bottom w:val="single" w:sz="4" w:space="0" w:color="000000"/>
            </w:tcBorders>
          </w:tcPr>
          <w:p w:rsidR="00CE40A9" w:rsidRPr="001E30BC" w:rsidRDefault="00CE40A9" w:rsidP="00197E9C">
            <w:pPr>
              <w:autoSpaceDE w:val="0"/>
              <w:autoSpaceDN w:val="0"/>
              <w:adjustRightInd w:val="0"/>
              <w:spacing w:after="0" w:line="360" w:lineRule="auto"/>
              <w:jc w:val="both"/>
              <w:rPr>
                <w:rFonts w:ascii="Book Antiqua" w:hAnsi="Book Antiqua"/>
                <w:b/>
                <w:sz w:val="24"/>
                <w:szCs w:val="24"/>
                <w:lang w:val="en-US"/>
              </w:rPr>
            </w:pPr>
            <w:r w:rsidRPr="001E30BC">
              <w:rPr>
                <w:rFonts w:ascii="Book Antiqua" w:hAnsi="Book Antiqua"/>
                <w:b/>
                <w:sz w:val="24"/>
                <w:szCs w:val="24"/>
                <w:lang w:val="en-US"/>
              </w:rPr>
              <w:t>Patient 5</w:t>
            </w:r>
          </w:p>
        </w:tc>
        <w:tc>
          <w:tcPr>
            <w:tcW w:w="1646" w:type="dxa"/>
            <w:tcBorders>
              <w:top w:val="single" w:sz="4" w:space="0" w:color="000000"/>
              <w:bottom w:val="single" w:sz="4" w:space="0" w:color="000000"/>
            </w:tcBorders>
          </w:tcPr>
          <w:p w:rsidR="00CE40A9" w:rsidRPr="001E30BC" w:rsidRDefault="00CE40A9" w:rsidP="00197E9C">
            <w:pPr>
              <w:spacing w:after="0" w:line="360" w:lineRule="auto"/>
              <w:jc w:val="both"/>
              <w:rPr>
                <w:rFonts w:ascii="Book Antiqua" w:hAnsi="Book Antiqua"/>
                <w:b/>
                <w:bCs/>
                <w:color w:val="000000"/>
                <w:sz w:val="24"/>
                <w:szCs w:val="24"/>
              </w:rPr>
            </w:pPr>
          </w:p>
        </w:tc>
      </w:tr>
      <w:tr w:rsidR="00CE40A9" w:rsidRPr="0027683C" w:rsidTr="001E30BC">
        <w:tc>
          <w:tcPr>
            <w:tcW w:w="10065" w:type="dxa"/>
            <w:gridSpan w:val="8"/>
            <w:tcBorders>
              <w:top w:val="single" w:sz="4" w:space="0" w:color="000000"/>
            </w:tcBorders>
          </w:tcPr>
          <w:p w:rsidR="00CE40A9" w:rsidRPr="0027683C" w:rsidRDefault="00CE40A9" w:rsidP="00197E9C">
            <w:pPr>
              <w:spacing w:after="0" w:line="360" w:lineRule="auto"/>
              <w:jc w:val="both"/>
              <w:rPr>
                <w:rFonts w:ascii="Book Antiqua" w:hAnsi="Book Antiqua"/>
                <w:bCs/>
                <w:color w:val="000000"/>
                <w:sz w:val="24"/>
                <w:szCs w:val="24"/>
              </w:rPr>
            </w:pPr>
            <w:r w:rsidRPr="0027683C">
              <w:rPr>
                <w:rFonts w:ascii="Book Antiqua" w:hAnsi="Book Antiqua"/>
                <w:bCs/>
                <w:color w:val="000000"/>
                <w:sz w:val="24"/>
                <w:szCs w:val="24"/>
              </w:rPr>
              <w:t>Patient Data</w:t>
            </w:r>
          </w:p>
        </w:tc>
      </w:tr>
      <w:tr w:rsidR="00CE40A9" w:rsidRPr="0027683C" w:rsidTr="001E30BC">
        <w:tc>
          <w:tcPr>
            <w:tcW w:w="1916" w:type="dxa"/>
          </w:tcPr>
          <w:p w:rsidR="00CE40A9" w:rsidRPr="001E30BC" w:rsidRDefault="00CE40A9" w:rsidP="00197E9C">
            <w:pPr>
              <w:spacing w:after="0" w:line="360" w:lineRule="auto"/>
              <w:jc w:val="both"/>
              <w:rPr>
                <w:rFonts w:ascii="Book Antiqua" w:hAnsi="Book Antiqua"/>
                <w:bCs/>
                <w:color w:val="000000"/>
                <w:sz w:val="24"/>
                <w:szCs w:val="24"/>
              </w:rPr>
            </w:pPr>
            <w:r w:rsidRPr="001E30BC">
              <w:rPr>
                <w:rFonts w:ascii="Book Antiqua" w:hAnsi="Book Antiqua"/>
                <w:bCs/>
                <w:color w:val="000000"/>
                <w:sz w:val="24"/>
                <w:szCs w:val="24"/>
              </w:rPr>
              <w:t>Age</w:t>
            </w:r>
          </w:p>
          <w:p w:rsidR="00CE40A9" w:rsidRPr="001E30BC" w:rsidRDefault="00CE40A9" w:rsidP="00197E9C">
            <w:pPr>
              <w:autoSpaceDE w:val="0"/>
              <w:autoSpaceDN w:val="0"/>
              <w:adjustRightInd w:val="0"/>
              <w:spacing w:after="0" w:line="360" w:lineRule="auto"/>
              <w:jc w:val="both"/>
              <w:rPr>
                <w:rFonts w:ascii="Book Antiqua" w:hAnsi="Book Antiqua"/>
                <w:sz w:val="24"/>
                <w:szCs w:val="24"/>
                <w:lang w:val="en-US"/>
              </w:rPr>
            </w:pPr>
            <w:r w:rsidRPr="001E30BC">
              <w:rPr>
                <w:rFonts w:ascii="Book Antiqua" w:hAnsi="Book Antiqua"/>
                <w:bCs/>
                <w:color w:val="000000"/>
                <w:sz w:val="24"/>
                <w:szCs w:val="24"/>
              </w:rPr>
              <w:t>(yr)</w:t>
            </w:r>
          </w:p>
        </w:tc>
        <w:tc>
          <w:tcPr>
            <w:tcW w:w="1770"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color w:val="000000"/>
                <w:sz w:val="24"/>
                <w:szCs w:val="24"/>
              </w:rPr>
              <w:t>14</w:t>
            </w:r>
            <w:r>
              <w:rPr>
                <w:rFonts w:ascii="Book Antiqua" w:hAnsi="Book Antiqua"/>
                <w:color w:val="000000"/>
                <w:sz w:val="24"/>
                <w:szCs w:val="24"/>
                <w:lang w:eastAsia="zh-CN"/>
              </w:rPr>
              <w:t>.</w:t>
            </w:r>
            <w:r w:rsidRPr="0027683C">
              <w:rPr>
                <w:rFonts w:ascii="Book Antiqua" w:hAnsi="Book Antiqua"/>
                <w:color w:val="000000"/>
                <w:sz w:val="24"/>
                <w:szCs w:val="24"/>
              </w:rPr>
              <w:t>75</w:t>
            </w:r>
          </w:p>
        </w:tc>
        <w:tc>
          <w:tcPr>
            <w:tcW w:w="1112" w:type="dxa"/>
            <w:gridSpan w:val="2"/>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color w:val="000000"/>
                <w:sz w:val="24"/>
                <w:szCs w:val="24"/>
              </w:rPr>
              <w:t>16</w:t>
            </w:r>
          </w:p>
        </w:tc>
        <w:tc>
          <w:tcPr>
            <w:tcW w:w="1156" w:type="dxa"/>
          </w:tcPr>
          <w:p w:rsidR="00CE40A9" w:rsidRPr="0027683C" w:rsidRDefault="00CE40A9" w:rsidP="00197E9C">
            <w:pPr>
              <w:spacing w:after="0" w:line="360" w:lineRule="auto"/>
              <w:jc w:val="both"/>
              <w:rPr>
                <w:rFonts w:ascii="Book Antiqua" w:hAnsi="Book Antiqua"/>
                <w:color w:val="000000"/>
                <w:sz w:val="24"/>
                <w:szCs w:val="24"/>
              </w:rPr>
            </w:pPr>
            <w:r w:rsidRPr="0027683C">
              <w:rPr>
                <w:rFonts w:ascii="Book Antiqua" w:hAnsi="Book Antiqua"/>
                <w:color w:val="000000"/>
                <w:sz w:val="24"/>
                <w:szCs w:val="24"/>
              </w:rPr>
              <w:t>14</w:t>
            </w:r>
            <w:r>
              <w:rPr>
                <w:rFonts w:ascii="Book Antiqua" w:hAnsi="Book Antiqua"/>
                <w:color w:val="000000"/>
                <w:sz w:val="24"/>
                <w:szCs w:val="24"/>
                <w:lang w:eastAsia="zh-CN"/>
              </w:rPr>
              <w:t>.</w:t>
            </w:r>
            <w:r w:rsidRPr="0027683C">
              <w:rPr>
                <w:rFonts w:ascii="Book Antiqua" w:hAnsi="Book Antiqua"/>
                <w:color w:val="000000"/>
                <w:sz w:val="24"/>
                <w:szCs w:val="24"/>
              </w:rPr>
              <w:t>1</w:t>
            </w:r>
          </w:p>
        </w:tc>
        <w:tc>
          <w:tcPr>
            <w:tcW w:w="1161"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color w:val="000000"/>
                <w:sz w:val="24"/>
                <w:szCs w:val="24"/>
              </w:rPr>
              <w:t>16</w:t>
            </w:r>
            <w:r>
              <w:rPr>
                <w:rFonts w:ascii="Book Antiqua" w:hAnsi="Book Antiqua"/>
                <w:color w:val="000000"/>
                <w:sz w:val="24"/>
                <w:szCs w:val="24"/>
                <w:lang w:eastAsia="zh-CN"/>
              </w:rPr>
              <w:t>.</w:t>
            </w:r>
            <w:r w:rsidRPr="0027683C">
              <w:rPr>
                <w:rFonts w:ascii="Book Antiqua" w:hAnsi="Book Antiqua"/>
                <w:color w:val="000000"/>
                <w:sz w:val="24"/>
                <w:szCs w:val="24"/>
              </w:rPr>
              <w:t>1</w:t>
            </w:r>
          </w:p>
        </w:tc>
        <w:tc>
          <w:tcPr>
            <w:tcW w:w="1304" w:type="dxa"/>
          </w:tcPr>
          <w:p w:rsidR="00CE40A9" w:rsidRPr="0027683C" w:rsidRDefault="00CE40A9" w:rsidP="00197E9C">
            <w:pPr>
              <w:spacing w:after="0" w:line="360" w:lineRule="auto"/>
              <w:jc w:val="both"/>
              <w:rPr>
                <w:rFonts w:ascii="Book Antiqua" w:hAnsi="Book Antiqua"/>
                <w:color w:val="000000"/>
                <w:sz w:val="24"/>
                <w:szCs w:val="24"/>
              </w:rPr>
            </w:pPr>
            <w:r w:rsidRPr="0027683C">
              <w:rPr>
                <w:rFonts w:ascii="Book Antiqua" w:hAnsi="Book Antiqua"/>
                <w:color w:val="000000"/>
                <w:sz w:val="24"/>
                <w:szCs w:val="24"/>
              </w:rPr>
              <w:t>7</w:t>
            </w:r>
            <w:r>
              <w:rPr>
                <w:rFonts w:ascii="Book Antiqua" w:hAnsi="Book Antiqua"/>
                <w:color w:val="000000"/>
                <w:sz w:val="24"/>
                <w:szCs w:val="24"/>
                <w:lang w:eastAsia="zh-CN"/>
              </w:rPr>
              <w:t>.</w:t>
            </w:r>
            <w:r w:rsidRPr="0027683C">
              <w:rPr>
                <w:rFonts w:ascii="Book Antiqua" w:hAnsi="Book Antiqua"/>
                <w:color w:val="000000"/>
                <w:sz w:val="24"/>
                <w:szCs w:val="24"/>
              </w:rPr>
              <w:t>25</w:t>
            </w:r>
          </w:p>
        </w:tc>
        <w:tc>
          <w:tcPr>
            <w:tcW w:w="1646" w:type="dxa"/>
          </w:tcPr>
          <w:p w:rsidR="00CE40A9" w:rsidRPr="0027683C" w:rsidRDefault="00CE40A9" w:rsidP="00197E9C">
            <w:pPr>
              <w:spacing w:after="0" w:line="360" w:lineRule="auto"/>
              <w:jc w:val="both"/>
              <w:rPr>
                <w:rFonts w:ascii="Book Antiqua" w:hAnsi="Book Antiqua"/>
                <w:color w:val="000000"/>
                <w:sz w:val="24"/>
                <w:szCs w:val="24"/>
              </w:rPr>
            </w:pPr>
            <w:r w:rsidRPr="0027683C">
              <w:rPr>
                <w:rFonts w:ascii="Book Antiqua" w:hAnsi="Book Antiqua"/>
                <w:color w:val="000000"/>
                <w:sz w:val="24"/>
                <w:szCs w:val="24"/>
              </w:rPr>
              <w:t>Mean ± SD 13</w:t>
            </w:r>
            <w:r>
              <w:rPr>
                <w:rFonts w:ascii="Book Antiqua" w:hAnsi="Book Antiqua"/>
                <w:color w:val="000000"/>
                <w:sz w:val="24"/>
                <w:szCs w:val="24"/>
                <w:lang w:eastAsia="zh-CN"/>
              </w:rPr>
              <w:t>.</w:t>
            </w:r>
            <w:r w:rsidRPr="0027683C">
              <w:rPr>
                <w:rFonts w:ascii="Book Antiqua" w:hAnsi="Book Antiqua"/>
                <w:color w:val="000000"/>
                <w:sz w:val="24"/>
                <w:szCs w:val="24"/>
              </w:rPr>
              <w:t>6</w:t>
            </w:r>
            <w:r>
              <w:rPr>
                <w:rFonts w:ascii="Book Antiqua" w:hAnsi="Book Antiqua"/>
                <w:color w:val="000000"/>
                <w:sz w:val="24"/>
                <w:szCs w:val="24"/>
                <w:lang w:eastAsia="zh-CN"/>
              </w:rPr>
              <w:t xml:space="preserve"> </w:t>
            </w:r>
            <w:r w:rsidRPr="0027683C">
              <w:rPr>
                <w:rFonts w:ascii="Book Antiqua" w:hAnsi="Book Antiqua"/>
                <w:color w:val="000000"/>
                <w:sz w:val="24"/>
                <w:szCs w:val="24"/>
              </w:rPr>
              <w:t>±</w:t>
            </w:r>
            <w:r>
              <w:rPr>
                <w:rFonts w:ascii="Book Antiqua" w:hAnsi="Book Antiqua"/>
                <w:color w:val="000000"/>
                <w:sz w:val="24"/>
                <w:szCs w:val="24"/>
                <w:lang w:eastAsia="zh-CN"/>
              </w:rPr>
              <w:t xml:space="preserve"> </w:t>
            </w:r>
            <w:r w:rsidRPr="0027683C">
              <w:rPr>
                <w:rFonts w:ascii="Book Antiqua" w:hAnsi="Book Antiqua"/>
                <w:color w:val="000000"/>
                <w:sz w:val="24"/>
                <w:szCs w:val="24"/>
              </w:rPr>
              <w:t>2</w:t>
            </w:r>
            <w:r>
              <w:rPr>
                <w:rFonts w:ascii="Book Antiqua" w:hAnsi="Book Antiqua"/>
                <w:color w:val="000000"/>
                <w:sz w:val="24"/>
                <w:szCs w:val="24"/>
                <w:lang w:eastAsia="zh-CN"/>
              </w:rPr>
              <w:t>.</w:t>
            </w:r>
            <w:r w:rsidRPr="0027683C">
              <w:rPr>
                <w:rFonts w:ascii="Book Antiqua" w:hAnsi="Book Antiqua"/>
                <w:color w:val="000000"/>
                <w:sz w:val="24"/>
                <w:szCs w:val="24"/>
              </w:rPr>
              <w:t>87</w:t>
            </w:r>
          </w:p>
        </w:tc>
      </w:tr>
      <w:tr w:rsidR="00CE40A9" w:rsidRPr="0027683C" w:rsidTr="001E30BC">
        <w:tc>
          <w:tcPr>
            <w:tcW w:w="1916" w:type="dxa"/>
          </w:tcPr>
          <w:p w:rsidR="00CE40A9" w:rsidRPr="001E30BC" w:rsidRDefault="00CE40A9" w:rsidP="00197E9C">
            <w:pPr>
              <w:spacing w:after="0" w:line="360" w:lineRule="auto"/>
              <w:jc w:val="both"/>
              <w:rPr>
                <w:rFonts w:ascii="Book Antiqua" w:hAnsi="Book Antiqua"/>
                <w:bCs/>
                <w:color w:val="000000"/>
                <w:sz w:val="24"/>
                <w:szCs w:val="24"/>
              </w:rPr>
            </w:pPr>
            <w:r w:rsidRPr="001E30BC">
              <w:rPr>
                <w:rFonts w:ascii="Book Antiqua" w:hAnsi="Book Antiqua"/>
                <w:bCs/>
                <w:color w:val="000000"/>
                <w:sz w:val="24"/>
                <w:szCs w:val="24"/>
              </w:rPr>
              <w:t>Gender</w:t>
            </w:r>
          </w:p>
        </w:tc>
        <w:tc>
          <w:tcPr>
            <w:tcW w:w="1770"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M</w:t>
            </w:r>
          </w:p>
        </w:tc>
        <w:tc>
          <w:tcPr>
            <w:tcW w:w="1112" w:type="dxa"/>
            <w:gridSpan w:val="2"/>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F</w:t>
            </w:r>
          </w:p>
        </w:tc>
        <w:tc>
          <w:tcPr>
            <w:tcW w:w="1156"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M</w:t>
            </w:r>
          </w:p>
        </w:tc>
        <w:tc>
          <w:tcPr>
            <w:tcW w:w="1161"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F</w:t>
            </w:r>
          </w:p>
        </w:tc>
        <w:tc>
          <w:tcPr>
            <w:tcW w:w="1304"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F</w:t>
            </w:r>
          </w:p>
        </w:tc>
        <w:tc>
          <w:tcPr>
            <w:tcW w:w="1646"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r>
      <w:tr w:rsidR="00CE40A9" w:rsidRPr="0027683C" w:rsidTr="001E30BC">
        <w:tc>
          <w:tcPr>
            <w:tcW w:w="1916" w:type="dxa"/>
          </w:tcPr>
          <w:p w:rsidR="00CE40A9" w:rsidRPr="001E30BC" w:rsidRDefault="00CE40A9" w:rsidP="00197E9C">
            <w:pPr>
              <w:autoSpaceDE w:val="0"/>
              <w:autoSpaceDN w:val="0"/>
              <w:adjustRightInd w:val="0"/>
              <w:spacing w:after="0" w:line="360" w:lineRule="auto"/>
              <w:jc w:val="both"/>
              <w:rPr>
                <w:rFonts w:ascii="Book Antiqua" w:hAnsi="Book Antiqua"/>
                <w:sz w:val="24"/>
                <w:szCs w:val="24"/>
                <w:lang w:val="en-US"/>
              </w:rPr>
            </w:pPr>
            <w:r w:rsidRPr="001E30BC">
              <w:rPr>
                <w:rFonts w:ascii="Book Antiqua" w:hAnsi="Book Antiqua"/>
                <w:bCs/>
                <w:color w:val="000000"/>
                <w:sz w:val="24"/>
                <w:szCs w:val="24"/>
              </w:rPr>
              <w:t>Ethnicity</w:t>
            </w:r>
          </w:p>
        </w:tc>
        <w:tc>
          <w:tcPr>
            <w:tcW w:w="1770"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African</w:t>
            </w:r>
          </w:p>
        </w:tc>
        <w:tc>
          <w:tcPr>
            <w:tcW w:w="1112" w:type="dxa"/>
            <w:gridSpan w:val="2"/>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African</w:t>
            </w:r>
          </w:p>
        </w:tc>
        <w:tc>
          <w:tcPr>
            <w:tcW w:w="1156"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Caucasian</w:t>
            </w:r>
          </w:p>
        </w:tc>
        <w:tc>
          <w:tcPr>
            <w:tcW w:w="1161"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Caucasian</w:t>
            </w:r>
          </w:p>
        </w:tc>
        <w:tc>
          <w:tcPr>
            <w:tcW w:w="1304"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Caucasian</w:t>
            </w:r>
          </w:p>
        </w:tc>
        <w:tc>
          <w:tcPr>
            <w:tcW w:w="1646"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r>
      <w:tr w:rsidR="00CE40A9" w:rsidRPr="0027683C" w:rsidTr="001E30BC">
        <w:tc>
          <w:tcPr>
            <w:tcW w:w="1916" w:type="dxa"/>
          </w:tcPr>
          <w:p w:rsidR="00CE40A9" w:rsidRPr="001E30BC" w:rsidRDefault="00CE40A9" w:rsidP="00197E9C">
            <w:pPr>
              <w:autoSpaceDE w:val="0"/>
              <w:autoSpaceDN w:val="0"/>
              <w:adjustRightInd w:val="0"/>
              <w:spacing w:after="0" w:line="360" w:lineRule="auto"/>
              <w:jc w:val="both"/>
              <w:rPr>
                <w:rFonts w:ascii="Book Antiqua" w:hAnsi="Book Antiqua"/>
                <w:sz w:val="24"/>
                <w:szCs w:val="24"/>
                <w:lang w:val="en-US"/>
              </w:rPr>
            </w:pPr>
            <w:r w:rsidRPr="001E30BC">
              <w:rPr>
                <w:rFonts w:ascii="Book Antiqua" w:hAnsi="Book Antiqua"/>
                <w:bCs/>
                <w:color w:val="000000"/>
                <w:sz w:val="24"/>
                <w:szCs w:val="24"/>
              </w:rPr>
              <w:t>Personal History</w:t>
            </w:r>
          </w:p>
        </w:tc>
        <w:tc>
          <w:tcPr>
            <w:tcW w:w="1770"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c>
          <w:tcPr>
            <w:tcW w:w="1112" w:type="dxa"/>
            <w:gridSpan w:val="2"/>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c>
          <w:tcPr>
            <w:tcW w:w="1156"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Type I Diabetes</w:t>
            </w:r>
          </w:p>
        </w:tc>
        <w:tc>
          <w:tcPr>
            <w:tcW w:w="1161"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c>
          <w:tcPr>
            <w:tcW w:w="1304"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c>
          <w:tcPr>
            <w:tcW w:w="1646"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r>
      <w:tr w:rsidR="00CE40A9" w:rsidRPr="0027683C" w:rsidTr="001E30BC">
        <w:tc>
          <w:tcPr>
            <w:tcW w:w="1916" w:type="dxa"/>
          </w:tcPr>
          <w:p w:rsidR="00CE40A9" w:rsidRPr="001E30BC" w:rsidRDefault="00CE40A9" w:rsidP="00197E9C">
            <w:pPr>
              <w:autoSpaceDE w:val="0"/>
              <w:autoSpaceDN w:val="0"/>
              <w:adjustRightInd w:val="0"/>
              <w:spacing w:after="0" w:line="360" w:lineRule="auto"/>
              <w:jc w:val="both"/>
              <w:rPr>
                <w:rFonts w:ascii="Book Antiqua" w:hAnsi="Book Antiqua"/>
                <w:sz w:val="24"/>
                <w:szCs w:val="24"/>
                <w:lang w:val="en-US"/>
              </w:rPr>
            </w:pPr>
            <w:r w:rsidRPr="001E30BC">
              <w:rPr>
                <w:rFonts w:ascii="Book Antiqua" w:hAnsi="Book Antiqua"/>
                <w:sz w:val="24"/>
                <w:szCs w:val="24"/>
                <w:lang w:val="en-US"/>
              </w:rPr>
              <w:t>Familial History</w:t>
            </w:r>
          </w:p>
        </w:tc>
        <w:tc>
          <w:tcPr>
            <w:tcW w:w="1770"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bCs/>
                <w:color w:val="000000"/>
                <w:sz w:val="24"/>
                <w:szCs w:val="24"/>
              </w:rPr>
              <w:t>Mother (sarcoidosis, Multiple Mieloma)</w:t>
            </w:r>
          </w:p>
        </w:tc>
        <w:tc>
          <w:tcPr>
            <w:tcW w:w="1112" w:type="dxa"/>
            <w:gridSpan w:val="2"/>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bCs/>
                <w:color w:val="000000"/>
                <w:sz w:val="24"/>
                <w:szCs w:val="24"/>
                <w:lang w:val="en-US"/>
              </w:rPr>
              <w:t>Mother (Breast Cancer), Uncles (Type I Diabetes)</w:t>
            </w:r>
          </w:p>
        </w:tc>
        <w:tc>
          <w:tcPr>
            <w:tcW w:w="1156"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bCs/>
                <w:color w:val="000000"/>
                <w:sz w:val="24"/>
                <w:szCs w:val="24"/>
              </w:rPr>
              <w:t>Mother (Breat Cancer)</w:t>
            </w:r>
          </w:p>
        </w:tc>
        <w:tc>
          <w:tcPr>
            <w:tcW w:w="1161"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bCs/>
                <w:color w:val="000000"/>
                <w:sz w:val="24"/>
                <w:szCs w:val="24"/>
              </w:rPr>
              <w:t>Mother (Autoimmune Thiroyditis)</w:t>
            </w:r>
          </w:p>
        </w:tc>
        <w:tc>
          <w:tcPr>
            <w:tcW w:w="1304" w:type="dxa"/>
          </w:tcPr>
          <w:p w:rsidR="00CE40A9" w:rsidRPr="0027683C" w:rsidRDefault="00CE40A9" w:rsidP="00197E9C">
            <w:pPr>
              <w:spacing w:after="0" w:line="360" w:lineRule="auto"/>
              <w:jc w:val="both"/>
              <w:rPr>
                <w:rFonts w:ascii="Book Antiqua" w:hAnsi="Book Antiqua"/>
                <w:color w:val="000000"/>
                <w:sz w:val="24"/>
                <w:szCs w:val="24"/>
              </w:rPr>
            </w:pPr>
            <w:r w:rsidRPr="0027683C">
              <w:rPr>
                <w:rFonts w:ascii="Book Antiqua" w:hAnsi="Book Antiqua"/>
                <w:bCs/>
                <w:color w:val="000000"/>
                <w:sz w:val="24"/>
                <w:szCs w:val="24"/>
              </w:rPr>
              <w:t>Mother (Autoimmune Thiroyditis)</w:t>
            </w:r>
          </w:p>
        </w:tc>
        <w:tc>
          <w:tcPr>
            <w:tcW w:w="1646" w:type="dxa"/>
          </w:tcPr>
          <w:p w:rsidR="00CE40A9" w:rsidRPr="0027683C" w:rsidRDefault="00CE40A9" w:rsidP="00197E9C">
            <w:pPr>
              <w:spacing w:after="0" w:line="360" w:lineRule="auto"/>
              <w:jc w:val="both"/>
              <w:rPr>
                <w:rFonts w:ascii="Book Antiqua" w:hAnsi="Book Antiqua"/>
                <w:bCs/>
                <w:color w:val="000000"/>
                <w:sz w:val="24"/>
                <w:szCs w:val="24"/>
              </w:rPr>
            </w:pPr>
            <w:r w:rsidRPr="0027683C">
              <w:rPr>
                <w:rFonts w:ascii="Book Antiqua" w:hAnsi="Book Antiqua"/>
                <w:bCs/>
                <w:color w:val="000000"/>
                <w:sz w:val="24"/>
                <w:szCs w:val="24"/>
              </w:rPr>
              <w:t>--</w:t>
            </w:r>
          </w:p>
        </w:tc>
      </w:tr>
      <w:tr w:rsidR="00CE40A9" w:rsidRPr="0027683C" w:rsidTr="001E30BC">
        <w:tc>
          <w:tcPr>
            <w:tcW w:w="1916" w:type="dxa"/>
          </w:tcPr>
          <w:p w:rsidR="00CE40A9" w:rsidRPr="001E30BC" w:rsidRDefault="00CE40A9" w:rsidP="00197E9C">
            <w:pPr>
              <w:autoSpaceDE w:val="0"/>
              <w:autoSpaceDN w:val="0"/>
              <w:adjustRightInd w:val="0"/>
              <w:spacing w:after="0" w:line="360" w:lineRule="auto"/>
              <w:jc w:val="both"/>
              <w:rPr>
                <w:rFonts w:ascii="Book Antiqua" w:hAnsi="Book Antiqua"/>
                <w:sz w:val="24"/>
                <w:szCs w:val="24"/>
                <w:lang w:val="en-US"/>
              </w:rPr>
            </w:pPr>
            <w:r w:rsidRPr="001E30BC">
              <w:rPr>
                <w:rFonts w:ascii="Book Antiqua" w:hAnsi="Book Antiqua"/>
                <w:bCs/>
                <w:color w:val="000000"/>
                <w:sz w:val="24"/>
                <w:szCs w:val="24"/>
              </w:rPr>
              <w:t>Symptoms</w:t>
            </w:r>
          </w:p>
        </w:tc>
        <w:tc>
          <w:tcPr>
            <w:tcW w:w="1770"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Dyspepsia</w:t>
            </w:r>
          </w:p>
        </w:tc>
        <w:tc>
          <w:tcPr>
            <w:tcW w:w="1112" w:type="dxa"/>
            <w:gridSpan w:val="2"/>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Dyspepsia</w:t>
            </w:r>
          </w:p>
        </w:tc>
        <w:tc>
          <w:tcPr>
            <w:tcW w:w="1156"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c>
          <w:tcPr>
            <w:tcW w:w="1161"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c>
          <w:tcPr>
            <w:tcW w:w="1304"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c>
          <w:tcPr>
            <w:tcW w:w="1646"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r>
      <w:tr w:rsidR="00CE40A9" w:rsidRPr="0027683C" w:rsidTr="001E30BC">
        <w:tc>
          <w:tcPr>
            <w:tcW w:w="8419" w:type="dxa"/>
            <w:gridSpan w:val="7"/>
          </w:tcPr>
          <w:p w:rsidR="00CE40A9" w:rsidRPr="001E30BC" w:rsidRDefault="00CE40A9" w:rsidP="00197E9C">
            <w:pPr>
              <w:autoSpaceDE w:val="0"/>
              <w:autoSpaceDN w:val="0"/>
              <w:adjustRightInd w:val="0"/>
              <w:spacing w:after="0" w:line="360" w:lineRule="auto"/>
              <w:jc w:val="both"/>
              <w:rPr>
                <w:rFonts w:ascii="Book Antiqua" w:hAnsi="Book Antiqua"/>
                <w:sz w:val="24"/>
                <w:szCs w:val="24"/>
                <w:lang w:val="en-US"/>
              </w:rPr>
            </w:pPr>
            <w:r w:rsidRPr="001E30BC">
              <w:rPr>
                <w:rFonts w:ascii="Book Antiqua" w:hAnsi="Book Antiqua"/>
                <w:bCs/>
                <w:color w:val="000000"/>
                <w:sz w:val="24"/>
                <w:szCs w:val="24"/>
              </w:rPr>
              <w:t>Laboratorial  Data</w:t>
            </w:r>
          </w:p>
        </w:tc>
        <w:tc>
          <w:tcPr>
            <w:tcW w:w="1646"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color w:val="000000"/>
                <w:sz w:val="24"/>
                <w:szCs w:val="24"/>
              </w:rPr>
              <w:t>Mean ± SD</w:t>
            </w:r>
          </w:p>
        </w:tc>
      </w:tr>
      <w:tr w:rsidR="00CE40A9" w:rsidRPr="0027683C" w:rsidTr="001E30BC">
        <w:tc>
          <w:tcPr>
            <w:tcW w:w="1916" w:type="dxa"/>
          </w:tcPr>
          <w:p w:rsidR="00CE40A9" w:rsidRPr="001E30BC" w:rsidRDefault="00CE40A9" w:rsidP="00197E9C">
            <w:pPr>
              <w:autoSpaceDE w:val="0"/>
              <w:autoSpaceDN w:val="0"/>
              <w:adjustRightInd w:val="0"/>
              <w:spacing w:after="0" w:line="360" w:lineRule="auto"/>
              <w:jc w:val="both"/>
              <w:rPr>
                <w:rFonts w:ascii="Book Antiqua" w:hAnsi="Book Antiqua"/>
                <w:sz w:val="24"/>
                <w:szCs w:val="24"/>
                <w:lang w:val="en-US"/>
              </w:rPr>
            </w:pPr>
            <w:r w:rsidRPr="001E30BC">
              <w:rPr>
                <w:rFonts w:ascii="Book Antiqua" w:hAnsi="Book Antiqua"/>
                <w:bCs/>
                <w:color w:val="000000"/>
                <w:sz w:val="24"/>
                <w:szCs w:val="24"/>
              </w:rPr>
              <w:t xml:space="preserve">Hemoglobin </w:t>
            </w:r>
            <w:r w:rsidRPr="001E30BC">
              <w:rPr>
                <w:rFonts w:ascii="Book Antiqua" w:hAnsi="Book Antiqua"/>
                <w:bCs/>
                <w:color w:val="000000"/>
                <w:sz w:val="24"/>
                <w:szCs w:val="24"/>
                <w:lang w:val="en-US"/>
              </w:rPr>
              <w:t>(g/dL)</w:t>
            </w:r>
          </w:p>
        </w:tc>
        <w:tc>
          <w:tcPr>
            <w:tcW w:w="1858" w:type="dxa"/>
            <w:gridSpan w:val="2"/>
          </w:tcPr>
          <w:p w:rsidR="00CE40A9" w:rsidRPr="0027683C" w:rsidRDefault="00CE40A9" w:rsidP="00197E9C">
            <w:pPr>
              <w:spacing w:after="0" w:line="360" w:lineRule="auto"/>
              <w:jc w:val="both"/>
              <w:rPr>
                <w:rFonts w:ascii="Book Antiqua" w:hAnsi="Book Antiqua"/>
                <w:bCs/>
                <w:color w:val="000000"/>
                <w:sz w:val="24"/>
                <w:szCs w:val="24"/>
              </w:rPr>
            </w:pPr>
            <w:r w:rsidRPr="0027683C">
              <w:rPr>
                <w:rFonts w:ascii="Book Antiqua" w:hAnsi="Book Antiqua"/>
                <w:bCs/>
                <w:color w:val="000000"/>
                <w:sz w:val="24"/>
                <w:szCs w:val="24"/>
              </w:rPr>
              <w:t>9</w:t>
            </w:r>
            <w:r>
              <w:rPr>
                <w:rFonts w:ascii="Book Antiqua" w:hAnsi="Book Antiqua"/>
                <w:bCs/>
                <w:color w:val="000000"/>
                <w:sz w:val="24"/>
                <w:szCs w:val="24"/>
                <w:lang w:eastAsia="zh-CN"/>
              </w:rPr>
              <w:t>.</w:t>
            </w:r>
            <w:r w:rsidRPr="0027683C">
              <w:rPr>
                <w:rFonts w:ascii="Book Antiqua" w:hAnsi="Book Antiqua"/>
                <w:bCs/>
                <w:color w:val="000000"/>
                <w:sz w:val="24"/>
                <w:szCs w:val="24"/>
              </w:rPr>
              <w:t>1</w:t>
            </w:r>
          </w:p>
        </w:tc>
        <w:tc>
          <w:tcPr>
            <w:tcW w:w="1024"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10</w:t>
            </w:r>
            <w:r>
              <w:rPr>
                <w:rFonts w:ascii="Book Antiqua" w:hAnsi="Book Antiqua"/>
                <w:sz w:val="24"/>
                <w:szCs w:val="24"/>
                <w:lang w:val="en-US" w:eastAsia="zh-CN"/>
              </w:rPr>
              <w:t>.</w:t>
            </w:r>
            <w:r w:rsidRPr="0027683C">
              <w:rPr>
                <w:rFonts w:ascii="Book Antiqua" w:hAnsi="Book Antiqua"/>
                <w:sz w:val="24"/>
                <w:szCs w:val="24"/>
                <w:lang w:val="en-US"/>
              </w:rPr>
              <w:t>7</w:t>
            </w:r>
          </w:p>
        </w:tc>
        <w:tc>
          <w:tcPr>
            <w:tcW w:w="1156"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9</w:t>
            </w:r>
            <w:r>
              <w:rPr>
                <w:rFonts w:ascii="Book Antiqua" w:hAnsi="Book Antiqua"/>
                <w:sz w:val="24"/>
                <w:szCs w:val="24"/>
                <w:lang w:val="en-US" w:eastAsia="zh-CN"/>
              </w:rPr>
              <w:t>.</w:t>
            </w:r>
            <w:r w:rsidRPr="0027683C">
              <w:rPr>
                <w:rFonts w:ascii="Book Antiqua" w:hAnsi="Book Antiqua"/>
                <w:sz w:val="24"/>
                <w:szCs w:val="24"/>
                <w:lang w:val="en-US"/>
              </w:rPr>
              <w:t>7</w:t>
            </w:r>
          </w:p>
        </w:tc>
        <w:tc>
          <w:tcPr>
            <w:tcW w:w="1161"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9</w:t>
            </w:r>
            <w:r>
              <w:rPr>
                <w:rFonts w:ascii="Book Antiqua" w:hAnsi="Book Antiqua"/>
                <w:sz w:val="24"/>
                <w:szCs w:val="24"/>
                <w:lang w:val="en-US" w:eastAsia="zh-CN"/>
              </w:rPr>
              <w:t>.</w:t>
            </w:r>
            <w:r w:rsidRPr="0027683C">
              <w:rPr>
                <w:rFonts w:ascii="Book Antiqua" w:hAnsi="Book Antiqua"/>
                <w:sz w:val="24"/>
                <w:szCs w:val="24"/>
                <w:lang w:val="en-US"/>
              </w:rPr>
              <w:t>9</w:t>
            </w:r>
          </w:p>
        </w:tc>
        <w:tc>
          <w:tcPr>
            <w:tcW w:w="1304"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8</w:t>
            </w:r>
            <w:r>
              <w:rPr>
                <w:rFonts w:ascii="Book Antiqua" w:hAnsi="Book Antiqua"/>
                <w:sz w:val="24"/>
                <w:szCs w:val="24"/>
                <w:lang w:val="en-US" w:eastAsia="zh-CN"/>
              </w:rPr>
              <w:t>.</w:t>
            </w:r>
            <w:r w:rsidRPr="0027683C">
              <w:rPr>
                <w:rFonts w:ascii="Book Antiqua" w:hAnsi="Book Antiqua"/>
                <w:sz w:val="24"/>
                <w:szCs w:val="24"/>
                <w:lang w:val="en-US"/>
              </w:rPr>
              <w:t>5</w:t>
            </w:r>
          </w:p>
        </w:tc>
        <w:tc>
          <w:tcPr>
            <w:tcW w:w="1646" w:type="dxa"/>
          </w:tcPr>
          <w:p w:rsidR="00CE40A9" w:rsidRPr="001E30BC" w:rsidRDefault="00CE40A9" w:rsidP="00197E9C">
            <w:pPr>
              <w:autoSpaceDE w:val="0"/>
              <w:autoSpaceDN w:val="0"/>
              <w:adjustRightInd w:val="0"/>
              <w:spacing w:after="0" w:line="360" w:lineRule="auto"/>
              <w:jc w:val="both"/>
              <w:rPr>
                <w:rFonts w:ascii="Book Antiqua" w:hAnsi="Book Antiqua"/>
                <w:sz w:val="24"/>
                <w:szCs w:val="24"/>
                <w:lang w:val="en-US"/>
              </w:rPr>
            </w:pPr>
            <w:r w:rsidRPr="001E30BC">
              <w:rPr>
                <w:rFonts w:ascii="Book Antiqua" w:hAnsi="Book Antiqua"/>
                <w:bCs/>
                <w:color w:val="000000"/>
                <w:sz w:val="24"/>
                <w:szCs w:val="24"/>
                <w:lang w:val="en-US"/>
              </w:rPr>
              <w:t>9</w:t>
            </w:r>
            <w:r w:rsidRPr="001E30BC">
              <w:rPr>
                <w:rFonts w:ascii="Book Antiqua" w:hAnsi="Book Antiqua"/>
                <w:bCs/>
                <w:color w:val="000000"/>
                <w:sz w:val="24"/>
                <w:szCs w:val="24"/>
                <w:lang w:val="en-US" w:eastAsia="zh-CN"/>
              </w:rPr>
              <w:t>.</w:t>
            </w:r>
            <w:r w:rsidRPr="001E30BC">
              <w:rPr>
                <w:rFonts w:ascii="Book Antiqua" w:hAnsi="Book Antiqua"/>
                <w:bCs/>
                <w:color w:val="000000"/>
                <w:sz w:val="24"/>
                <w:szCs w:val="24"/>
                <w:lang w:val="en-US"/>
              </w:rPr>
              <w:t>56</w:t>
            </w:r>
            <w:r w:rsidRPr="001E30BC">
              <w:rPr>
                <w:rFonts w:ascii="Book Antiqua" w:hAnsi="Book Antiqua"/>
                <w:bCs/>
                <w:color w:val="000000"/>
                <w:sz w:val="24"/>
                <w:szCs w:val="24"/>
                <w:lang w:val="en-US" w:eastAsia="zh-CN"/>
              </w:rPr>
              <w:t xml:space="preserve"> </w:t>
            </w:r>
            <w:r w:rsidRPr="001E30BC">
              <w:rPr>
                <w:rFonts w:ascii="Book Antiqua" w:hAnsi="Book Antiqua"/>
                <w:bCs/>
                <w:color w:val="000000"/>
                <w:sz w:val="24"/>
                <w:szCs w:val="24"/>
                <w:lang w:val="en-US"/>
              </w:rPr>
              <w:t>±</w:t>
            </w:r>
            <w:r w:rsidRPr="001E30BC">
              <w:rPr>
                <w:rFonts w:ascii="Book Antiqua" w:hAnsi="Book Antiqua"/>
                <w:bCs/>
                <w:color w:val="000000"/>
                <w:sz w:val="24"/>
                <w:szCs w:val="24"/>
                <w:lang w:val="en-US" w:eastAsia="zh-CN"/>
              </w:rPr>
              <w:t xml:space="preserve"> </w:t>
            </w:r>
            <w:r w:rsidRPr="001E30BC">
              <w:rPr>
                <w:rFonts w:ascii="Book Antiqua" w:hAnsi="Book Antiqua"/>
                <w:bCs/>
                <w:color w:val="000000"/>
                <w:sz w:val="24"/>
                <w:szCs w:val="24"/>
                <w:lang w:val="en-US"/>
              </w:rPr>
              <w:t>0</w:t>
            </w:r>
            <w:r w:rsidRPr="001E30BC">
              <w:rPr>
                <w:rFonts w:ascii="Book Antiqua" w:hAnsi="Book Antiqua"/>
                <w:bCs/>
                <w:color w:val="000000"/>
                <w:sz w:val="24"/>
                <w:szCs w:val="24"/>
                <w:lang w:val="en-US" w:eastAsia="zh-CN"/>
              </w:rPr>
              <w:t>.</w:t>
            </w:r>
            <w:r w:rsidRPr="001E30BC">
              <w:rPr>
                <w:rFonts w:ascii="Book Antiqua" w:hAnsi="Book Antiqua"/>
                <w:bCs/>
                <w:color w:val="000000"/>
                <w:sz w:val="24"/>
                <w:szCs w:val="24"/>
                <w:lang w:val="en-US"/>
              </w:rPr>
              <w:t>71</w:t>
            </w:r>
          </w:p>
        </w:tc>
      </w:tr>
      <w:tr w:rsidR="00CE40A9" w:rsidRPr="0027683C" w:rsidTr="001E30BC">
        <w:tc>
          <w:tcPr>
            <w:tcW w:w="1916" w:type="dxa"/>
          </w:tcPr>
          <w:p w:rsidR="00CE40A9" w:rsidRPr="001E30BC" w:rsidRDefault="00CE40A9" w:rsidP="00197E9C">
            <w:pPr>
              <w:autoSpaceDE w:val="0"/>
              <w:autoSpaceDN w:val="0"/>
              <w:adjustRightInd w:val="0"/>
              <w:spacing w:after="0" w:line="360" w:lineRule="auto"/>
              <w:jc w:val="both"/>
              <w:rPr>
                <w:rFonts w:ascii="Book Antiqua" w:hAnsi="Book Antiqua"/>
                <w:bCs/>
                <w:color w:val="000000"/>
                <w:sz w:val="24"/>
                <w:szCs w:val="24"/>
              </w:rPr>
            </w:pPr>
            <w:r w:rsidRPr="001E30BC">
              <w:rPr>
                <w:rFonts w:ascii="Book Antiqua" w:hAnsi="Book Antiqua"/>
                <w:bCs/>
                <w:color w:val="000000"/>
                <w:sz w:val="24"/>
                <w:szCs w:val="24"/>
              </w:rPr>
              <w:t>Serrum Ferritin (ng/mL)</w:t>
            </w:r>
          </w:p>
          <w:p w:rsidR="00CE40A9" w:rsidRPr="001E30BC" w:rsidRDefault="00CE40A9" w:rsidP="00197E9C">
            <w:pPr>
              <w:autoSpaceDE w:val="0"/>
              <w:autoSpaceDN w:val="0"/>
              <w:adjustRightInd w:val="0"/>
              <w:spacing w:after="0" w:line="360" w:lineRule="auto"/>
              <w:jc w:val="both"/>
              <w:rPr>
                <w:rFonts w:ascii="Book Antiqua" w:hAnsi="Book Antiqua"/>
                <w:bCs/>
                <w:color w:val="000000"/>
                <w:sz w:val="24"/>
                <w:szCs w:val="24"/>
              </w:rPr>
            </w:pPr>
            <w:r w:rsidRPr="001E30BC">
              <w:rPr>
                <w:rFonts w:ascii="Book Antiqua" w:hAnsi="Book Antiqua"/>
                <w:bCs/>
                <w:sz w:val="24"/>
                <w:szCs w:val="24"/>
              </w:rPr>
              <w:t>(Ref:7-140)</w:t>
            </w:r>
          </w:p>
        </w:tc>
        <w:tc>
          <w:tcPr>
            <w:tcW w:w="1858" w:type="dxa"/>
            <w:gridSpan w:val="2"/>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4</w:t>
            </w:r>
            <w:r>
              <w:rPr>
                <w:rFonts w:ascii="Book Antiqua" w:hAnsi="Book Antiqua"/>
                <w:sz w:val="24"/>
                <w:szCs w:val="24"/>
                <w:lang w:val="en-US" w:eastAsia="zh-CN"/>
              </w:rPr>
              <w:t>.</w:t>
            </w:r>
            <w:r w:rsidRPr="0027683C">
              <w:rPr>
                <w:rFonts w:ascii="Book Antiqua" w:hAnsi="Book Antiqua"/>
                <w:sz w:val="24"/>
                <w:szCs w:val="24"/>
                <w:lang w:val="en-US"/>
              </w:rPr>
              <w:t>5</w:t>
            </w:r>
          </w:p>
        </w:tc>
        <w:tc>
          <w:tcPr>
            <w:tcW w:w="1024"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5</w:t>
            </w:r>
            <w:r>
              <w:rPr>
                <w:rFonts w:ascii="Book Antiqua" w:hAnsi="Book Antiqua"/>
                <w:sz w:val="24"/>
                <w:szCs w:val="24"/>
                <w:lang w:val="en-US" w:eastAsia="zh-CN"/>
              </w:rPr>
              <w:t>.</w:t>
            </w:r>
            <w:r w:rsidRPr="0027683C">
              <w:rPr>
                <w:rFonts w:ascii="Book Antiqua" w:hAnsi="Book Antiqua"/>
                <w:sz w:val="24"/>
                <w:szCs w:val="24"/>
                <w:lang w:val="en-US"/>
              </w:rPr>
              <w:t>6</w:t>
            </w:r>
          </w:p>
        </w:tc>
        <w:tc>
          <w:tcPr>
            <w:tcW w:w="1156"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4</w:t>
            </w:r>
            <w:r>
              <w:rPr>
                <w:rFonts w:ascii="Book Antiqua" w:hAnsi="Book Antiqua"/>
                <w:sz w:val="24"/>
                <w:szCs w:val="24"/>
                <w:lang w:val="en-US" w:eastAsia="zh-CN"/>
              </w:rPr>
              <w:t>.</w:t>
            </w:r>
            <w:r w:rsidRPr="0027683C">
              <w:rPr>
                <w:rFonts w:ascii="Book Antiqua" w:hAnsi="Book Antiqua"/>
                <w:sz w:val="24"/>
                <w:szCs w:val="24"/>
                <w:lang w:val="en-US"/>
              </w:rPr>
              <w:t>1</w:t>
            </w:r>
          </w:p>
        </w:tc>
        <w:tc>
          <w:tcPr>
            <w:tcW w:w="1161"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2</w:t>
            </w:r>
            <w:r>
              <w:rPr>
                <w:rFonts w:ascii="Book Antiqua" w:hAnsi="Book Antiqua"/>
                <w:sz w:val="24"/>
                <w:szCs w:val="24"/>
                <w:lang w:val="en-US" w:eastAsia="zh-CN"/>
              </w:rPr>
              <w:t>.</w:t>
            </w:r>
            <w:r w:rsidRPr="0027683C">
              <w:rPr>
                <w:rFonts w:ascii="Book Antiqua" w:hAnsi="Book Antiqua"/>
                <w:sz w:val="24"/>
                <w:szCs w:val="24"/>
                <w:lang w:val="en-US"/>
              </w:rPr>
              <w:t>9</w:t>
            </w:r>
          </w:p>
        </w:tc>
        <w:tc>
          <w:tcPr>
            <w:tcW w:w="1304"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3</w:t>
            </w:r>
            <w:r>
              <w:rPr>
                <w:rFonts w:ascii="Book Antiqua" w:hAnsi="Book Antiqua"/>
                <w:sz w:val="24"/>
                <w:szCs w:val="24"/>
                <w:lang w:val="en-US" w:eastAsia="zh-CN"/>
              </w:rPr>
              <w:t>.</w:t>
            </w:r>
            <w:r w:rsidRPr="0027683C">
              <w:rPr>
                <w:rFonts w:ascii="Book Antiqua" w:hAnsi="Book Antiqua"/>
                <w:sz w:val="24"/>
                <w:szCs w:val="24"/>
                <w:lang w:val="en-US"/>
              </w:rPr>
              <w:t>,2</w:t>
            </w:r>
          </w:p>
        </w:tc>
        <w:tc>
          <w:tcPr>
            <w:tcW w:w="1646" w:type="dxa"/>
          </w:tcPr>
          <w:p w:rsidR="00CE40A9" w:rsidRPr="001E30BC" w:rsidRDefault="00CE40A9" w:rsidP="00197E9C">
            <w:pPr>
              <w:autoSpaceDE w:val="0"/>
              <w:autoSpaceDN w:val="0"/>
              <w:adjustRightInd w:val="0"/>
              <w:spacing w:after="0" w:line="360" w:lineRule="auto"/>
              <w:jc w:val="both"/>
              <w:rPr>
                <w:rFonts w:ascii="Book Antiqua" w:hAnsi="Book Antiqua"/>
                <w:sz w:val="24"/>
                <w:szCs w:val="24"/>
                <w:lang w:val="en-US"/>
              </w:rPr>
            </w:pPr>
            <w:r w:rsidRPr="001E30BC">
              <w:rPr>
                <w:rFonts w:ascii="Book Antiqua" w:hAnsi="Book Antiqua"/>
                <w:bCs/>
                <w:color w:val="000000"/>
                <w:sz w:val="24"/>
                <w:szCs w:val="24"/>
                <w:lang w:val="en-US"/>
              </w:rPr>
              <w:t>4</w:t>
            </w:r>
            <w:r w:rsidRPr="001E30BC">
              <w:rPr>
                <w:rFonts w:ascii="Book Antiqua" w:hAnsi="Book Antiqua"/>
                <w:bCs/>
                <w:color w:val="000000"/>
                <w:sz w:val="24"/>
                <w:szCs w:val="24"/>
                <w:lang w:val="en-US" w:eastAsia="zh-CN"/>
              </w:rPr>
              <w:t>.</w:t>
            </w:r>
            <w:r w:rsidRPr="001E30BC">
              <w:rPr>
                <w:rFonts w:ascii="Book Antiqua" w:hAnsi="Book Antiqua"/>
                <w:bCs/>
                <w:color w:val="000000"/>
                <w:sz w:val="24"/>
                <w:szCs w:val="24"/>
                <w:lang w:val="en-US"/>
              </w:rPr>
              <w:t>06</w:t>
            </w:r>
            <w:r w:rsidRPr="001E30BC">
              <w:rPr>
                <w:rFonts w:ascii="Book Antiqua" w:hAnsi="Book Antiqua"/>
                <w:bCs/>
                <w:color w:val="000000"/>
                <w:sz w:val="24"/>
                <w:szCs w:val="24"/>
                <w:lang w:val="en-US" w:eastAsia="zh-CN"/>
              </w:rPr>
              <w:t xml:space="preserve"> </w:t>
            </w:r>
            <w:r w:rsidRPr="001E30BC">
              <w:rPr>
                <w:rFonts w:ascii="Book Antiqua" w:hAnsi="Book Antiqua"/>
                <w:bCs/>
                <w:color w:val="000000"/>
                <w:sz w:val="24"/>
                <w:szCs w:val="24"/>
                <w:lang w:val="en-US"/>
              </w:rPr>
              <w:t>±</w:t>
            </w:r>
            <w:r w:rsidRPr="001E30BC">
              <w:rPr>
                <w:rFonts w:ascii="Book Antiqua" w:hAnsi="Book Antiqua"/>
                <w:bCs/>
                <w:color w:val="000000"/>
                <w:sz w:val="24"/>
                <w:szCs w:val="24"/>
                <w:lang w:val="en-US" w:eastAsia="zh-CN"/>
              </w:rPr>
              <w:t xml:space="preserve"> </w:t>
            </w:r>
            <w:r w:rsidRPr="001E30BC">
              <w:rPr>
                <w:rFonts w:ascii="Book Antiqua" w:hAnsi="Book Antiqua"/>
                <w:bCs/>
                <w:color w:val="000000"/>
                <w:sz w:val="24"/>
                <w:szCs w:val="24"/>
                <w:lang w:val="en-US"/>
              </w:rPr>
              <w:t>0</w:t>
            </w:r>
            <w:r w:rsidRPr="001E30BC">
              <w:rPr>
                <w:rFonts w:ascii="Book Antiqua" w:hAnsi="Book Antiqua"/>
                <w:bCs/>
                <w:color w:val="000000"/>
                <w:sz w:val="24"/>
                <w:szCs w:val="24"/>
                <w:lang w:val="en-US" w:eastAsia="zh-CN"/>
              </w:rPr>
              <w:t>.</w:t>
            </w:r>
            <w:r w:rsidRPr="001E30BC">
              <w:rPr>
                <w:rFonts w:ascii="Book Antiqua" w:hAnsi="Book Antiqua"/>
                <w:bCs/>
                <w:color w:val="000000"/>
                <w:sz w:val="24"/>
                <w:szCs w:val="24"/>
                <w:lang w:val="en-US"/>
              </w:rPr>
              <w:t>96</w:t>
            </w:r>
          </w:p>
        </w:tc>
      </w:tr>
      <w:tr w:rsidR="00CE40A9" w:rsidRPr="0027683C" w:rsidTr="001E30BC">
        <w:tc>
          <w:tcPr>
            <w:tcW w:w="1916" w:type="dxa"/>
          </w:tcPr>
          <w:p w:rsidR="00CE40A9" w:rsidRPr="001E30BC" w:rsidRDefault="00CE40A9" w:rsidP="00197E9C">
            <w:pPr>
              <w:spacing w:after="0" w:line="360" w:lineRule="auto"/>
              <w:jc w:val="both"/>
              <w:rPr>
                <w:rFonts w:ascii="Book Antiqua" w:hAnsi="Book Antiqua"/>
                <w:bCs/>
                <w:color w:val="000000"/>
                <w:sz w:val="24"/>
                <w:szCs w:val="24"/>
              </w:rPr>
            </w:pPr>
            <w:r w:rsidRPr="001E30BC">
              <w:rPr>
                <w:rFonts w:ascii="Book Antiqua" w:hAnsi="Book Antiqua"/>
                <w:bCs/>
                <w:color w:val="000000"/>
                <w:sz w:val="24"/>
                <w:szCs w:val="24"/>
              </w:rPr>
              <w:t>B12vitamin</w:t>
            </w:r>
          </w:p>
          <w:p w:rsidR="00CE40A9" w:rsidRPr="001E30BC" w:rsidRDefault="00CE40A9" w:rsidP="00197E9C">
            <w:pPr>
              <w:spacing w:after="0" w:line="360" w:lineRule="auto"/>
              <w:jc w:val="both"/>
              <w:rPr>
                <w:rFonts w:ascii="Book Antiqua" w:hAnsi="Book Antiqua"/>
                <w:bCs/>
                <w:color w:val="000000"/>
                <w:sz w:val="24"/>
                <w:szCs w:val="24"/>
              </w:rPr>
            </w:pPr>
            <w:r w:rsidRPr="001E30BC">
              <w:rPr>
                <w:rFonts w:ascii="Book Antiqua" w:hAnsi="Book Antiqua"/>
                <w:bCs/>
                <w:color w:val="000000"/>
                <w:sz w:val="24"/>
                <w:szCs w:val="24"/>
              </w:rPr>
              <w:t>(pg/mL)</w:t>
            </w:r>
          </w:p>
          <w:p w:rsidR="00CE40A9" w:rsidRPr="001E30BC" w:rsidRDefault="00CE40A9" w:rsidP="00197E9C">
            <w:pPr>
              <w:spacing w:after="0" w:line="360" w:lineRule="auto"/>
              <w:jc w:val="both"/>
              <w:rPr>
                <w:rFonts w:ascii="Book Antiqua" w:hAnsi="Book Antiqua"/>
                <w:bCs/>
                <w:color w:val="000000"/>
                <w:sz w:val="24"/>
                <w:szCs w:val="24"/>
              </w:rPr>
            </w:pPr>
            <w:r w:rsidRPr="001E30BC">
              <w:rPr>
                <w:rFonts w:ascii="Book Antiqua" w:hAnsi="Book Antiqua"/>
                <w:bCs/>
                <w:sz w:val="24"/>
                <w:szCs w:val="24"/>
              </w:rPr>
              <w:t>Ref (200-835)</w:t>
            </w:r>
          </w:p>
        </w:tc>
        <w:tc>
          <w:tcPr>
            <w:tcW w:w="1858" w:type="dxa"/>
            <w:gridSpan w:val="2"/>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c>
          <w:tcPr>
            <w:tcW w:w="1024"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509</w:t>
            </w:r>
          </w:p>
        </w:tc>
        <w:tc>
          <w:tcPr>
            <w:tcW w:w="1156"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236</w:t>
            </w:r>
          </w:p>
        </w:tc>
        <w:tc>
          <w:tcPr>
            <w:tcW w:w="1161"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618</w:t>
            </w:r>
          </w:p>
        </w:tc>
        <w:tc>
          <w:tcPr>
            <w:tcW w:w="1304"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c>
          <w:tcPr>
            <w:tcW w:w="1646" w:type="dxa"/>
          </w:tcPr>
          <w:p w:rsidR="00CE40A9" w:rsidRPr="001E30BC" w:rsidRDefault="00CE40A9" w:rsidP="00197E9C">
            <w:pPr>
              <w:autoSpaceDE w:val="0"/>
              <w:autoSpaceDN w:val="0"/>
              <w:adjustRightInd w:val="0"/>
              <w:spacing w:after="0" w:line="360" w:lineRule="auto"/>
              <w:jc w:val="both"/>
              <w:rPr>
                <w:rFonts w:ascii="Book Antiqua" w:hAnsi="Book Antiqua"/>
                <w:sz w:val="24"/>
                <w:szCs w:val="24"/>
                <w:lang w:val="en-US"/>
              </w:rPr>
            </w:pPr>
            <w:r w:rsidRPr="001E30BC">
              <w:rPr>
                <w:rFonts w:ascii="Book Antiqua" w:hAnsi="Book Antiqua"/>
                <w:bCs/>
                <w:color w:val="000000"/>
                <w:sz w:val="24"/>
                <w:szCs w:val="24"/>
                <w:lang w:val="en-US"/>
              </w:rPr>
              <w:t>454</w:t>
            </w:r>
            <w:r w:rsidRPr="001E30BC">
              <w:rPr>
                <w:rFonts w:ascii="Book Antiqua" w:hAnsi="Book Antiqua"/>
                <w:bCs/>
                <w:color w:val="000000"/>
                <w:sz w:val="24"/>
                <w:szCs w:val="24"/>
                <w:lang w:val="en-US" w:eastAsia="zh-CN"/>
              </w:rPr>
              <w:t xml:space="preserve"> </w:t>
            </w:r>
            <w:r w:rsidRPr="001E30BC">
              <w:rPr>
                <w:rFonts w:ascii="Book Antiqua" w:hAnsi="Book Antiqua"/>
                <w:bCs/>
                <w:color w:val="000000"/>
                <w:sz w:val="24"/>
                <w:szCs w:val="24"/>
                <w:lang w:val="en-US"/>
              </w:rPr>
              <w:t>±</w:t>
            </w:r>
            <w:r w:rsidRPr="001E30BC">
              <w:rPr>
                <w:rFonts w:ascii="Book Antiqua" w:hAnsi="Book Antiqua"/>
                <w:bCs/>
                <w:color w:val="000000"/>
                <w:sz w:val="24"/>
                <w:szCs w:val="24"/>
                <w:lang w:val="en-US" w:eastAsia="zh-CN"/>
              </w:rPr>
              <w:t xml:space="preserve"> </w:t>
            </w:r>
            <w:r w:rsidRPr="001E30BC">
              <w:rPr>
                <w:rFonts w:ascii="Book Antiqua" w:hAnsi="Book Antiqua"/>
                <w:bCs/>
                <w:color w:val="000000"/>
                <w:sz w:val="24"/>
                <w:szCs w:val="24"/>
                <w:lang w:val="en-US"/>
              </w:rPr>
              <w:t>160</w:t>
            </w:r>
          </w:p>
        </w:tc>
      </w:tr>
      <w:tr w:rsidR="00CE40A9" w:rsidRPr="0027683C" w:rsidTr="001E30BC">
        <w:tc>
          <w:tcPr>
            <w:tcW w:w="1916" w:type="dxa"/>
          </w:tcPr>
          <w:p w:rsidR="00CE40A9" w:rsidRPr="001E30BC" w:rsidRDefault="00CE40A9" w:rsidP="00197E9C">
            <w:pPr>
              <w:spacing w:after="0" w:line="360" w:lineRule="auto"/>
              <w:jc w:val="both"/>
              <w:rPr>
                <w:rFonts w:ascii="Book Antiqua" w:hAnsi="Book Antiqua"/>
                <w:bCs/>
                <w:color w:val="000000"/>
                <w:sz w:val="24"/>
                <w:szCs w:val="24"/>
                <w:lang w:val="en-US"/>
              </w:rPr>
            </w:pPr>
            <w:r w:rsidRPr="001E30BC">
              <w:rPr>
                <w:rFonts w:ascii="Book Antiqua" w:hAnsi="Book Antiqua"/>
                <w:bCs/>
                <w:color w:val="000000"/>
                <w:sz w:val="24"/>
                <w:szCs w:val="24"/>
              </w:rPr>
              <w:lastRenderedPageBreak/>
              <w:t>Gastrin</w:t>
            </w:r>
          </w:p>
          <w:p w:rsidR="00CE40A9" w:rsidRPr="001E30BC" w:rsidRDefault="00CE40A9" w:rsidP="00197E9C">
            <w:pPr>
              <w:autoSpaceDE w:val="0"/>
              <w:autoSpaceDN w:val="0"/>
              <w:adjustRightInd w:val="0"/>
              <w:spacing w:after="0" w:line="360" w:lineRule="auto"/>
              <w:jc w:val="both"/>
              <w:rPr>
                <w:rFonts w:ascii="Book Antiqua" w:hAnsi="Book Antiqua"/>
                <w:bCs/>
                <w:color w:val="000000"/>
                <w:sz w:val="24"/>
                <w:szCs w:val="24"/>
                <w:lang w:val="en-US"/>
              </w:rPr>
            </w:pPr>
            <w:r w:rsidRPr="001E30BC">
              <w:rPr>
                <w:rFonts w:ascii="Book Antiqua" w:hAnsi="Book Antiqua"/>
                <w:bCs/>
                <w:color w:val="000000"/>
                <w:sz w:val="24"/>
                <w:szCs w:val="24"/>
                <w:lang w:val="en-US"/>
              </w:rPr>
              <w:t>(pg/mL)</w:t>
            </w:r>
          </w:p>
          <w:p w:rsidR="00CE40A9" w:rsidRPr="001E30BC" w:rsidRDefault="00CE40A9" w:rsidP="00197E9C">
            <w:pPr>
              <w:autoSpaceDE w:val="0"/>
              <w:autoSpaceDN w:val="0"/>
              <w:adjustRightInd w:val="0"/>
              <w:spacing w:after="0" w:line="360" w:lineRule="auto"/>
              <w:jc w:val="both"/>
              <w:rPr>
                <w:rFonts w:ascii="Book Antiqua" w:hAnsi="Book Antiqua"/>
                <w:bCs/>
                <w:color w:val="000000"/>
                <w:sz w:val="24"/>
                <w:szCs w:val="24"/>
              </w:rPr>
            </w:pPr>
            <w:r w:rsidRPr="001E30BC">
              <w:rPr>
                <w:rFonts w:ascii="Book Antiqua" w:hAnsi="Book Antiqua"/>
                <w:bCs/>
                <w:sz w:val="24"/>
                <w:szCs w:val="24"/>
              </w:rPr>
              <w:t>Ref (&lt;</w:t>
            </w:r>
            <w:r w:rsidRPr="001E30BC">
              <w:rPr>
                <w:rFonts w:ascii="Book Antiqua" w:hAnsi="Book Antiqua"/>
                <w:bCs/>
                <w:sz w:val="24"/>
                <w:szCs w:val="24"/>
                <w:lang w:eastAsia="zh-CN"/>
              </w:rPr>
              <w:t xml:space="preserve"> </w:t>
            </w:r>
            <w:r w:rsidRPr="001E30BC">
              <w:rPr>
                <w:rFonts w:ascii="Book Antiqua" w:hAnsi="Book Antiqua"/>
                <w:bCs/>
                <w:sz w:val="24"/>
                <w:szCs w:val="24"/>
              </w:rPr>
              <w:t>100)</w:t>
            </w:r>
          </w:p>
        </w:tc>
        <w:tc>
          <w:tcPr>
            <w:tcW w:w="1858" w:type="dxa"/>
            <w:gridSpan w:val="2"/>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106</w:t>
            </w:r>
          </w:p>
        </w:tc>
        <w:tc>
          <w:tcPr>
            <w:tcW w:w="1024"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479</w:t>
            </w:r>
          </w:p>
        </w:tc>
        <w:tc>
          <w:tcPr>
            <w:tcW w:w="1156"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548</w:t>
            </w:r>
          </w:p>
        </w:tc>
        <w:tc>
          <w:tcPr>
            <w:tcW w:w="1161"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32</w:t>
            </w:r>
          </w:p>
        </w:tc>
        <w:tc>
          <w:tcPr>
            <w:tcW w:w="1304"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800</w:t>
            </w:r>
          </w:p>
        </w:tc>
        <w:tc>
          <w:tcPr>
            <w:tcW w:w="1646" w:type="dxa"/>
          </w:tcPr>
          <w:p w:rsidR="00CE40A9" w:rsidRPr="001E30BC" w:rsidRDefault="00CE40A9" w:rsidP="00197E9C">
            <w:pPr>
              <w:autoSpaceDE w:val="0"/>
              <w:autoSpaceDN w:val="0"/>
              <w:adjustRightInd w:val="0"/>
              <w:spacing w:after="0" w:line="360" w:lineRule="auto"/>
              <w:jc w:val="both"/>
              <w:rPr>
                <w:rFonts w:ascii="Book Antiqua" w:hAnsi="Book Antiqua"/>
                <w:sz w:val="24"/>
                <w:szCs w:val="24"/>
                <w:lang w:val="en-US"/>
              </w:rPr>
            </w:pPr>
            <w:r w:rsidRPr="001E30BC">
              <w:rPr>
                <w:rFonts w:ascii="Book Antiqua" w:hAnsi="Book Antiqua"/>
                <w:bCs/>
                <w:color w:val="000000"/>
                <w:sz w:val="24"/>
                <w:szCs w:val="24"/>
                <w:lang w:val="en-US"/>
              </w:rPr>
              <w:t>393</w:t>
            </w:r>
            <w:r w:rsidRPr="001E30BC">
              <w:rPr>
                <w:rFonts w:ascii="Book Antiqua" w:hAnsi="Book Antiqua"/>
                <w:bCs/>
                <w:color w:val="000000"/>
                <w:sz w:val="24"/>
                <w:szCs w:val="24"/>
                <w:lang w:val="en-US" w:eastAsia="zh-CN"/>
              </w:rPr>
              <w:t xml:space="preserve"> </w:t>
            </w:r>
            <w:r w:rsidRPr="001E30BC">
              <w:rPr>
                <w:rFonts w:ascii="Book Antiqua" w:hAnsi="Book Antiqua"/>
                <w:bCs/>
                <w:color w:val="000000"/>
                <w:sz w:val="24"/>
                <w:szCs w:val="24"/>
                <w:lang w:val="en-US"/>
              </w:rPr>
              <w:t>±</w:t>
            </w:r>
            <w:r w:rsidRPr="001E30BC">
              <w:rPr>
                <w:rFonts w:ascii="Book Antiqua" w:hAnsi="Book Antiqua"/>
                <w:bCs/>
                <w:color w:val="000000"/>
                <w:sz w:val="24"/>
                <w:szCs w:val="24"/>
                <w:lang w:val="en-US" w:eastAsia="zh-CN"/>
              </w:rPr>
              <w:t xml:space="preserve"> </w:t>
            </w:r>
            <w:r w:rsidRPr="001E30BC">
              <w:rPr>
                <w:rFonts w:ascii="Book Antiqua" w:hAnsi="Book Antiqua"/>
                <w:bCs/>
                <w:color w:val="000000"/>
                <w:sz w:val="24"/>
                <w:szCs w:val="24"/>
                <w:lang w:val="en-US"/>
              </w:rPr>
              <w:t>286</w:t>
            </w:r>
          </w:p>
        </w:tc>
      </w:tr>
      <w:tr w:rsidR="00CE40A9" w:rsidRPr="0027683C" w:rsidTr="001E30BC">
        <w:tc>
          <w:tcPr>
            <w:tcW w:w="1916" w:type="dxa"/>
          </w:tcPr>
          <w:p w:rsidR="00CE40A9" w:rsidRPr="001E30BC" w:rsidRDefault="00CE40A9" w:rsidP="00197E9C">
            <w:pPr>
              <w:spacing w:after="0" w:line="360" w:lineRule="auto"/>
              <w:jc w:val="both"/>
              <w:rPr>
                <w:rFonts w:ascii="Book Antiqua" w:hAnsi="Book Antiqua"/>
                <w:bCs/>
                <w:color w:val="000000"/>
                <w:sz w:val="24"/>
                <w:szCs w:val="24"/>
              </w:rPr>
            </w:pPr>
            <w:r w:rsidRPr="001E30BC">
              <w:rPr>
                <w:rFonts w:ascii="Book Antiqua" w:hAnsi="Book Antiqua"/>
                <w:bCs/>
                <w:color w:val="000000"/>
                <w:sz w:val="24"/>
                <w:szCs w:val="24"/>
              </w:rPr>
              <w:t>PGI/ PGII</w:t>
            </w:r>
          </w:p>
          <w:p w:rsidR="00CE40A9" w:rsidRPr="001E30BC" w:rsidRDefault="00CE40A9" w:rsidP="00197E9C">
            <w:pPr>
              <w:spacing w:after="0" w:line="360" w:lineRule="auto"/>
              <w:jc w:val="both"/>
              <w:rPr>
                <w:rFonts w:ascii="Book Antiqua" w:hAnsi="Book Antiqua"/>
                <w:bCs/>
                <w:color w:val="000000"/>
                <w:sz w:val="24"/>
                <w:szCs w:val="24"/>
              </w:rPr>
            </w:pPr>
            <w:r w:rsidRPr="001E30BC">
              <w:rPr>
                <w:rFonts w:ascii="Book Antiqua" w:hAnsi="Book Antiqua"/>
                <w:bCs/>
                <w:sz w:val="24"/>
                <w:szCs w:val="24"/>
              </w:rPr>
              <w:t>Ref (&gt;</w:t>
            </w:r>
            <w:r w:rsidRPr="001E30BC">
              <w:rPr>
                <w:rFonts w:ascii="Book Antiqua" w:hAnsi="Book Antiqua"/>
                <w:bCs/>
                <w:sz w:val="24"/>
                <w:szCs w:val="24"/>
                <w:lang w:eastAsia="zh-CN"/>
              </w:rPr>
              <w:t xml:space="preserve"> </w:t>
            </w:r>
            <w:r w:rsidRPr="001E30BC">
              <w:rPr>
                <w:rFonts w:ascii="Book Antiqua" w:hAnsi="Book Antiqua"/>
                <w:bCs/>
                <w:sz w:val="24"/>
                <w:szCs w:val="24"/>
              </w:rPr>
              <w:t>1</w:t>
            </w:r>
            <w:r w:rsidRPr="001E30BC">
              <w:rPr>
                <w:rFonts w:ascii="Book Antiqua" w:hAnsi="Book Antiqua"/>
                <w:bCs/>
                <w:sz w:val="24"/>
                <w:szCs w:val="24"/>
                <w:lang w:eastAsia="zh-CN"/>
              </w:rPr>
              <w:t>.</w:t>
            </w:r>
            <w:r w:rsidRPr="001E30BC">
              <w:rPr>
                <w:rFonts w:ascii="Book Antiqua" w:hAnsi="Book Antiqua"/>
                <w:bCs/>
                <w:sz w:val="24"/>
                <w:szCs w:val="24"/>
              </w:rPr>
              <w:t>0)</w:t>
            </w:r>
          </w:p>
        </w:tc>
        <w:tc>
          <w:tcPr>
            <w:tcW w:w="1858" w:type="dxa"/>
            <w:gridSpan w:val="2"/>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1</w:t>
            </w:r>
            <w:r>
              <w:rPr>
                <w:rFonts w:ascii="Book Antiqua" w:hAnsi="Book Antiqua"/>
                <w:sz w:val="24"/>
                <w:szCs w:val="24"/>
                <w:lang w:val="en-US" w:eastAsia="zh-CN"/>
              </w:rPr>
              <w:t>.</w:t>
            </w:r>
            <w:r w:rsidRPr="0027683C">
              <w:rPr>
                <w:rFonts w:ascii="Book Antiqua" w:hAnsi="Book Antiqua"/>
                <w:sz w:val="24"/>
                <w:szCs w:val="24"/>
                <w:lang w:val="en-US"/>
              </w:rPr>
              <w:t>68</w:t>
            </w:r>
          </w:p>
        </w:tc>
        <w:tc>
          <w:tcPr>
            <w:tcW w:w="1024"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0</w:t>
            </w:r>
            <w:r>
              <w:rPr>
                <w:rFonts w:ascii="Book Antiqua" w:hAnsi="Book Antiqua"/>
                <w:sz w:val="24"/>
                <w:szCs w:val="24"/>
                <w:lang w:val="en-US" w:eastAsia="zh-CN"/>
              </w:rPr>
              <w:t>.</w:t>
            </w:r>
            <w:r w:rsidRPr="0027683C">
              <w:rPr>
                <w:rFonts w:ascii="Book Antiqua" w:hAnsi="Book Antiqua"/>
                <w:sz w:val="24"/>
                <w:szCs w:val="24"/>
                <w:lang w:val="en-US"/>
              </w:rPr>
              <w:t>90</w:t>
            </w:r>
          </w:p>
        </w:tc>
        <w:tc>
          <w:tcPr>
            <w:tcW w:w="1156"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2</w:t>
            </w:r>
            <w:r>
              <w:rPr>
                <w:rFonts w:ascii="Book Antiqua" w:hAnsi="Book Antiqua"/>
                <w:sz w:val="24"/>
                <w:szCs w:val="24"/>
                <w:lang w:val="en-US" w:eastAsia="zh-CN"/>
              </w:rPr>
              <w:t>.</w:t>
            </w:r>
            <w:r w:rsidRPr="0027683C">
              <w:rPr>
                <w:rFonts w:ascii="Book Antiqua" w:hAnsi="Book Antiqua"/>
                <w:sz w:val="24"/>
                <w:szCs w:val="24"/>
                <w:lang w:val="en-US"/>
              </w:rPr>
              <w:t>07</w:t>
            </w:r>
          </w:p>
        </w:tc>
        <w:tc>
          <w:tcPr>
            <w:tcW w:w="1161"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1</w:t>
            </w:r>
            <w:r>
              <w:rPr>
                <w:rFonts w:ascii="Book Antiqua" w:hAnsi="Book Antiqua"/>
                <w:sz w:val="24"/>
                <w:szCs w:val="24"/>
                <w:lang w:val="en-US" w:eastAsia="zh-CN"/>
              </w:rPr>
              <w:t>.</w:t>
            </w:r>
            <w:r w:rsidRPr="0027683C">
              <w:rPr>
                <w:rFonts w:ascii="Book Antiqua" w:hAnsi="Book Antiqua"/>
                <w:sz w:val="24"/>
                <w:szCs w:val="24"/>
                <w:lang w:val="en-US"/>
              </w:rPr>
              <w:t>09</w:t>
            </w:r>
          </w:p>
        </w:tc>
        <w:tc>
          <w:tcPr>
            <w:tcW w:w="1304"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1</w:t>
            </w:r>
            <w:r>
              <w:rPr>
                <w:rFonts w:ascii="Book Antiqua" w:hAnsi="Book Antiqua"/>
                <w:sz w:val="24"/>
                <w:szCs w:val="24"/>
                <w:lang w:val="en-US" w:eastAsia="zh-CN"/>
              </w:rPr>
              <w:t>.</w:t>
            </w:r>
            <w:r w:rsidRPr="0027683C">
              <w:rPr>
                <w:rFonts w:ascii="Book Antiqua" w:hAnsi="Book Antiqua"/>
                <w:sz w:val="24"/>
                <w:szCs w:val="24"/>
                <w:lang w:val="en-US"/>
              </w:rPr>
              <w:t>04</w:t>
            </w:r>
          </w:p>
        </w:tc>
        <w:tc>
          <w:tcPr>
            <w:tcW w:w="1646" w:type="dxa"/>
          </w:tcPr>
          <w:p w:rsidR="00CE40A9" w:rsidRPr="001E30BC" w:rsidRDefault="00CE40A9" w:rsidP="00197E9C">
            <w:pPr>
              <w:spacing w:after="0" w:line="360" w:lineRule="auto"/>
              <w:jc w:val="both"/>
              <w:rPr>
                <w:rFonts w:ascii="Book Antiqua" w:hAnsi="Book Antiqua"/>
                <w:bCs/>
                <w:color w:val="000000"/>
                <w:sz w:val="24"/>
                <w:szCs w:val="24"/>
              </w:rPr>
            </w:pPr>
            <w:r w:rsidRPr="001E30BC">
              <w:rPr>
                <w:rFonts w:ascii="Book Antiqua" w:hAnsi="Book Antiqua"/>
                <w:bCs/>
                <w:color w:val="000000"/>
                <w:sz w:val="24"/>
                <w:szCs w:val="24"/>
              </w:rPr>
              <w:t>1</w:t>
            </w:r>
            <w:r w:rsidRPr="001E30BC">
              <w:rPr>
                <w:rFonts w:ascii="Book Antiqua" w:hAnsi="Book Antiqua"/>
                <w:bCs/>
                <w:color w:val="000000"/>
                <w:sz w:val="24"/>
                <w:szCs w:val="24"/>
                <w:lang w:eastAsia="zh-CN"/>
              </w:rPr>
              <w:t>.</w:t>
            </w:r>
            <w:r w:rsidRPr="001E30BC">
              <w:rPr>
                <w:rFonts w:ascii="Book Antiqua" w:hAnsi="Book Antiqua"/>
                <w:bCs/>
                <w:color w:val="000000"/>
                <w:sz w:val="24"/>
                <w:szCs w:val="24"/>
              </w:rPr>
              <w:t>36</w:t>
            </w:r>
            <w:r w:rsidRPr="001E30BC">
              <w:rPr>
                <w:rFonts w:ascii="Book Antiqua" w:hAnsi="Book Antiqua"/>
                <w:bCs/>
                <w:color w:val="000000"/>
                <w:sz w:val="24"/>
                <w:szCs w:val="24"/>
                <w:lang w:eastAsia="zh-CN"/>
              </w:rPr>
              <w:t xml:space="preserve"> </w:t>
            </w:r>
            <w:r w:rsidRPr="001E30BC">
              <w:rPr>
                <w:rFonts w:ascii="Book Antiqua" w:hAnsi="Book Antiqua"/>
                <w:bCs/>
                <w:color w:val="000000"/>
                <w:sz w:val="24"/>
                <w:szCs w:val="24"/>
              </w:rPr>
              <w:t>±</w:t>
            </w:r>
            <w:r w:rsidRPr="001E30BC">
              <w:rPr>
                <w:rFonts w:ascii="Book Antiqua" w:hAnsi="Book Antiqua"/>
                <w:bCs/>
                <w:color w:val="000000"/>
                <w:sz w:val="24"/>
                <w:szCs w:val="24"/>
                <w:lang w:eastAsia="zh-CN"/>
              </w:rPr>
              <w:t xml:space="preserve"> </w:t>
            </w:r>
            <w:r w:rsidRPr="001E30BC">
              <w:rPr>
                <w:rFonts w:ascii="Book Antiqua" w:hAnsi="Book Antiqua"/>
                <w:bCs/>
                <w:color w:val="000000"/>
                <w:sz w:val="24"/>
                <w:szCs w:val="24"/>
              </w:rPr>
              <w:t>0</w:t>
            </w:r>
            <w:r w:rsidRPr="001E30BC">
              <w:rPr>
                <w:rFonts w:ascii="Book Antiqua" w:hAnsi="Book Antiqua"/>
                <w:bCs/>
                <w:color w:val="000000"/>
                <w:sz w:val="24"/>
                <w:szCs w:val="24"/>
                <w:lang w:eastAsia="zh-CN"/>
              </w:rPr>
              <w:t>.</w:t>
            </w:r>
            <w:r w:rsidRPr="001E30BC">
              <w:rPr>
                <w:rFonts w:ascii="Book Antiqua" w:hAnsi="Book Antiqua"/>
                <w:bCs/>
                <w:color w:val="000000"/>
                <w:sz w:val="24"/>
                <w:szCs w:val="24"/>
              </w:rPr>
              <w:t xml:space="preserve">46 </w:t>
            </w:r>
          </w:p>
        </w:tc>
      </w:tr>
      <w:tr w:rsidR="00CE40A9" w:rsidRPr="0027683C" w:rsidTr="001E30BC">
        <w:tc>
          <w:tcPr>
            <w:tcW w:w="1916" w:type="dxa"/>
          </w:tcPr>
          <w:p w:rsidR="00CE40A9" w:rsidRPr="001E30BC" w:rsidRDefault="00CE40A9" w:rsidP="00197E9C">
            <w:pPr>
              <w:spacing w:after="0" w:line="360" w:lineRule="auto"/>
              <w:jc w:val="both"/>
              <w:rPr>
                <w:rFonts w:ascii="Book Antiqua" w:hAnsi="Book Antiqua"/>
                <w:bCs/>
                <w:color w:val="000000"/>
                <w:sz w:val="24"/>
                <w:szCs w:val="24"/>
              </w:rPr>
            </w:pPr>
            <w:r w:rsidRPr="001E30BC">
              <w:rPr>
                <w:rFonts w:ascii="Book Antiqua" w:hAnsi="Book Antiqua"/>
                <w:bCs/>
                <w:color w:val="000000"/>
                <w:sz w:val="24"/>
                <w:szCs w:val="24"/>
              </w:rPr>
              <w:t>PCA</w:t>
            </w:r>
          </w:p>
        </w:tc>
        <w:tc>
          <w:tcPr>
            <w:tcW w:w="1858" w:type="dxa"/>
            <w:gridSpan w:val="2"/>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c>
          <w:tcPr>
            <w:tcW w:w="1024"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c>
          <w:tcPr>
            <w:tcW w:w="1156"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c>
          <w:tcPr>
            <w:tcW w:w="1161"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c>
          <w:tcPr>
            <w:tcW w:w="1304"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c>
          <w:tcPr>
            <w:tcW w:w="1646" w:type="dxa"/>
          </w:tcPr>
          <w:p w:rsidR="00CE40A9" w:rsidRPr="001E30BC" w:rsidRDefault="00CE40A9" w:rsidP="00197E9C">
            <w:pPr>
              <w:autoSpaceDE w:val="0"/>
              <w:autoSpaceDN w:val="0"/>
              <w:adjustRightInd w:val="0"/>
              <w:spacing w:after="0" w:line="360" w:lineRule="auto"/>
              <w:jc w:val="both"/>
              <w:rPr>
                <w:rFonts w:ascii="Book Antiqua" w:hAnsi="Book Antiqua"/>
                <w:sz w:val="24"/>
                <w:szCs w:val="24"/>
                <w:lang w:val="en-US"/>
              </w:rPr>
            </w:pPr>
            <w:r w:rsidRPr="001E30BC">
              <w:rPr>
                <w:rFonts w:ascii="Book Antiqua" w:hAnsi="Book Antiqua"/>
                <w:sz w:val="24"/>
                <w:szCs w:val="24"/>
                <w:lang w:val="en-US"/>
              </w:rPr>
              <w:t>--</w:t>
            </w:r>
          </w:p>
        </w:tc>
      </w:tr>
      <w:tr w:rsidR="00CE40A9" w:rsidRPr="0027683C" w:rsidTr="001E30BC">
        <w:tc>
          <w:tcPr>
            <w:tcW w:w="1916" w:type="dxa"/>
          </w:tcPr>
          <w:p w:rsidR="00CE40A9" w:rsidRPr="001E30BC" w:rsidRDefault="00CE40A9" w:rsidP="00197E9C">
            <w:pPr>
              <w:spacing w:after="0" w:line="360" w:lineRule="auto"/>
              <w:jc w:val="both"/>
              <w:rPr>
                <w:rFonts w:ascii="Book Antiqua" w:hAnsi="Book Antiqua"/>
                <w:bCs/>
                <w:color w:val="000000"/>
                <w:sz w:val="24"/>
                <w:szCs w:val="24"/>
              </w:rPr>
            </w:pPr>
            <w:r w:rsidRPr="001E30BC">
              <w:rPr>
                <w:rFonts w:ascii="Book Antiqua" w:hAnsi="Book Antiqua"/>
                <w:bCs/>
                <w:color w:val="000000"/>
                <w:sz w:val="24"/>
                <w:szCs w:val="24"/>
              </w:rPr>
              <w:t>IFA</w:t>
            </w:r>
          </w:p>
        </w:tc>
        <w:tc>
          <w:tcPr>
            <w:tcW w:w="1858" w:type="dxa"/>
            <w:gridSpan w:val="2"/>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c>
          <w:tcPr>
            <w:tcW w:w="1024"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c>
          <w:tcPr>
            <w:tcW w:w="1156"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c>
          <w:tcPr>
            <w:tcW w:w="1161"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c>
          <w:tcPr>
            <w:tcW w:w="1304"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c>
          <w:tcPr>
            <w:tcW w:w="1646" w:type="dxa"/>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r>
      <w:tr w:rsidR="00CE40A9" w:rsidRPr="0027683C" w:rsidTr="001E30BC">
        <w:tc>
          <w:tcPr>
            <w:tcW w:w="1916" w:type="dxa"/>
            <w:tcBorders>
              <w:bottom w:val="single" w:sz="4" w:space="0" w:color="000000"/>
            </w:tcBorders>
          </w:tcPr>
          <w:p w:rsidR="00CE40A9" w:rsidRPr="001E30BC" w:rsidRDefault="00CE40A9" w:rsidP="00197E9C">
            <w:pPr>
              <w:spacing w:after="0" w:line="360" w:lineRule="auto"/>
              <w:jc w:val="both"/>
              <w:rPr>
                <w:rFonts w:ascii="Book Antiqua" w:hAnsi="Book Antiqua"/>
                <w:bCs/>
                <w:color w:val="000000"/>
                <w:sz w:val="24"/>
                <w:szCs w:val="24"/>
              </w:rPr>
            </w:pPr>
            <w:r w:rsidRPr="001E30BC">
              <w:rPr>
                <w:rFonts w:ascii="Book Antiqua" w:hAnsi="Book Antiqua"/>
                <w:bCs/>
                <w:sz w:val="24"/>
                <w:szCs w:val="24"/>
              </w:rPr>
              <w:t>TPO/Tg-Ab</w:t>
            </w:r>
          </w:p>
        </w:tc>
        <w:tc>
          <w:tcPr>
            <w:tcW w:w="1858" w:type="dxa"/>
            <w:gridSpan w:val="2"/>
            <w:tcBorders>
              <w:bottom w:val="single" w:sz="4" w:space="0" w:color="000000"/>
            </w:tcBorders>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c>
          <w:tcPr>
            <w:tcW w:w="1024" w:type="dxa"/>
            <w:tcBorders>
              <w:bottom w:val="single" w:sz="4" w:space="0" w:color="000000"/>
            </w:tcBorders>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c>
          <w:tcPr>
            <w:tcW w:w="1156" w:type="dxa"/>
            <w:tcBorders>
              <w:bottom w:val="single" w:sz="4" w:space="0" w:color="000000"/>
            </w:tcBorders>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c>
          <w:tcPr>
            <w:tcW w:w="1161" w:type="dxa"/>
            <w:tcBorders>
              <w:bottom w:val="single" w:sz="4" w:space="0" w:color="000000"/>
            </w:tcBorders>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c>
          <w:tcPr>
            <w:tcW w:w="1304" w:type="dxa"/>
            <w:tcBorders>
              <w:bottom w:val="single" w:sz="4" w:space="0" w:color="000000"/>
            </w:tcBorders>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c>
          <w:tcPr>
            <w:tcW w:w="1646" w:type="dxa"/>
            <w:tcBorders>
              <w:bottom w:val="single" w:sz="4" w:space="0" w:color="000000"/>
            </w:tcBorders>
          </w:tcPr>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r w:rsidRPr="0027683C">
              <w:rPr>
                <w:rFonts w:ascii="Book Antiqua" w:hAnsi="Book Antiqua"/>
                <w:sz w:val="24"/>
                <w:szCs w:val="24"/>
                <w:lang w:val="en-US"/>
              </w:rPr>
              <w:t>--</w:t>
            </w:r>
          </w:p>
        </w:tc>
      </w:tr>
    </w:tbl>
    <w:p w:rsidR="00CE40A9" w:rsidRDefault="00CE40A9" w:rsidP="00197E9C">
      <w:pPr>
        <w:autoSpaceDE w:val="0"/>
        <w:autoSpaceDN w:val="0"/>
        <w:adjustRightInd w:val="0"/>
        <w:spacing w:after="0" w:line="360" w:lineRule="auto"/>
        <w:jc w:val="both"/>
        <w:rPr>
          <w:rFonts w:ascii="Book Antiqua" w:hAnsi="Book Antiqua"/>
          <w:sz w:val="24"/>
          <w:szCs w:val="24"/>
          <w:lang w:val="en-US" w:eastAsia="zh-CN"/>
        </w:rPr>
      </w:pPr>
      <w:r w:rsidRPr="0027683C">
        <w:rPr>
          <w:rFonts w:ascii="Book Antiqua" w:hAnsi="Book Antiqua"/>
          <w:sz w:val="24"/>
          <w:szCs w:val="24"/>
          <w:lang w:val="en-US"/>
        </w:rPr>
        <w:t>PCA</w:t>
      </w:r>
      <w:r>
        <w:rPr>
          <w:rFonts w:ascii="Book Antiqua" w:hAnsi="Book Antiqua"/>
          <w:sz w:val="24"/>
          <w:szCs w:val="24"/>
          <w:lang w:val="en-US" w:eastAsia="zh-CN"/>
        </w:rPr>
        <w:t>:</w:t>
      </w:r>
      <w:r w:rsidRPr="0027683C">
        <w:rPr>
          <w:rFonts w:ascii="Book Antiqua" w:hAnsi="Book Antiqua"/>
          <w:sz w:val="24"/>
          <w:szCs w:val="24"/>
          <w:lang w:val="en-US"/>
        </w:rPr>
        <w:t xml:space="preserve"> Parietal-Cell Antibody; IFA</w:t>
      </w:r>
      <w:r>
        <w:rPr>
          <w:rFonts w:ascii="Book Antiqua" w:hAnsi="Book Antiqua"/>
          <w:sz w:val="24"/>
          <w:szCs w:val="24"/>
          <w:lang w:val="en-US" w:eastAsia="zh-CN"/>
        </w:rPr>
        <w:t>:</w:t>
      </w:r>
      <w:r w:rsidRPr="0027683C">
        <w:rPr>
          <w:rFonts w:ascii="Book Antiqua" w:hAnsi="Book Antiqua"/>
          <w:sz w:val="24"/>
          <w:szCs w:val="24"/>
          <w:lang w:val="en-US"/>
        </w:rPr>
        <w:t xml:space="preserve"> Intrinsic Factor Antibody; TPO/Tg-Ab</w:t>
      </w:r>
      <w:r>
        <w:rPr>
          <w:rFonts w:ascii="Book Antiqua" w:hAnsi="Book Antiqua"/>
          <w:sz w:val="24"/>
          <w:szCs w:val="24"/>
          <w:lang w:val="en-US" w:eastAsia="zh-CN"/>
        </w:rPr>
        <w:t xml:space="preserve">: </w:t>
      </w:r>
      <w:r w:rsidRPr="0027683C">
        <w:rPr>
          <w:rFonts w:ascii="Book Antiqua" w:hAnsi="Book Antiqua"/>
          <w:sz w:val="24"/>
          <w:szCs w:val="24"/>
          <w:lang w:val="en-US"/>
        </w:rPr>
        <w:t>Anti-thyroid Antibodies</w:t>
      </w:r>
      <w:r>
        <w:rPr>
          <w:rFonts w:ascii="Book Antiqua" w:hAnsi="Book Antiqua"/>
          <w:sz w:val="24"/>
          <w:szCs w:val="24"/>
          <w:lang w:val="en-US" w:eastAsia="zh-CN"/>
        </w:rPr>
        <w:t>.</w:t>
      </w:r>
    </w:p>
    <w:p w:rsidR="00CE40A9" w:rsidRDefault="00CE40A9" w:rsidP="00197E9C">
      <w:pPr>
        <w:autoSpaceDE w:val="0"/>
        <w:autoSpaceDN w:val="0"/>
        <w:adjustRightInd w:val="0"/>
        <w:spacing w:after="0" w:line="360" w:lineRule="auto"/>
        <w:jc w:val="both"/>
        <w:rPr>
          <w:rFonts w:ascii="Book Antiqua" w:hAnsi="Book Antiqua"/>
          <w:sz w:val="24"/>
          <w:szCs w:val="24"/>
          <w:lang w:val="en-US" w:eastAsia="zh-CN"/>
        </w:rPr>
      </w:pPr>
    </w:p>
    <w:p w:rsidR="00CE40A9" w:rsidRDefault="00CE40A9" w:rsidP="00197E9C">
      <w:pPr>
        <w:spacing w:after="0" w:line="240" w:lineRule="auto"/>
        <w:rPr>
          <w:rFonts w:ascii="Book Antiqua" w:hAnsi="Book Antiqua"/>
          <w:b/>
          <w:sz w:val="24"/>
          <w:szCs w:val="24"/>
          <w:lang w:val="en-US"/>
        </w:rPr>
      </w:pPr>
      <w:r>
        <w:rPr>
          <w:rFonts w:ascii="Book Antiqua" w:hAnsi="Book Antiqua"/>
          <w:b/>
          <w:sz w:val="24"/>
          <w:szCs w:val="24"/>
          <w:lang w:val="en-US"/>
        </w:rPr>
        <w:br w:type="page"/>
      </w:r>
    </w:p>
    <w:p w:rsidR="00CE40A9" w:rsidRDefault="00CE40A9" w:rsidP="00197E9C">
      <w:pPr>
        <w:autoSpaceDE w:val="0"/>
        <w:autoSpaceDN w:val="0"/>
        <w:adjustRightInd w:val="0"/>
        <w:spacing w:after="0" w:line="360" w:lineRule="auto"/>
        <w:jc w:val="both"/>
        <w:rPr>
          <w:rFonts w:ascii="Book Antiqua" w:hAnsi="Book Antiqua"/>
          <w:b/>
          <w:sz w:val="24"/>
          <w:szCs w:val="24"/>
          <w:lang w:val="en-US" w:eastAsia="zh-CN"/>
        </w:rPr>
      </w:pPr>
      <w:r w:rsidRPr="001E30BC">
        <w:rPr>
          <w:rFonts w:ascii="Book Antiqua" w:hAnsi="Book Antiqua"/>
          <w:b/>
          <w:sz w:val="24"/>
          <w:szCs w:val="24"/>
          <w:lang w:val="en-US"/>
        </w:rPr>
        <w:t xml:space="preserve">Table </w:t>
      </w:r>
      <w:r w:rsidRPr="001E30BC">
        <w:rPr>
          <w:rFonts w:ascii="Book Antiqua" w:hAnsi="Book Antiqua"/>
          <w:b/>
          <w:sz w:val="24"/>
          <w:szCs w:val="24"/>
          <w:lang w:val="en-US" w:eastAsia="zh-CN"/>
        </w:rPr>
        <w:t xml:space="preserve">2 </w:t>
      </w:r>
      <w:r w:rsidRPr="001E30BC">
        <w:rPr>
          <w:rFonts w:ascii="Book Antiqua" w:hAnsi="Book Antiqua"/>
          <w:b/>
          <w:sz w:val="24"/>
          <w:szCs w:val="24"/>
          <w:lang w:val="en-US"/>
        </w:rPr>
        <w:t>Gastric biopsies immunostaining counts for T lymphocytes, B lymphocytes and macrophages</w:t>
      </w:r>
    </w:p>
    <w:p w:rsidR="00CE40A9" w:rsidRPr="0027683C" w:rsidRDefault="00CE40A9" w:rsidP="00197E9C">
      <w:pPr>
        <w:tabs>
          <w:tab w:val="left" w:pos="6120"/>
        </w:tabs>
        <w:spacing w:after="0" w:line="360" w:lineRule="auto"/>
        <w:jc w:val="both"/>
        <w:rPr>
          <w:rFonts w:ascii="Book Antiqua" w:hAnsi="Book Antiqua"/>
          <w:sz w:val="24"/>
          <w:szCs w:val="24"/>
          <w:lang w:val="en-US"/>
        </w:rPr>
      </w:pPr>
      <w:r w:rsidRPr="0027683C">
        <w:rPr>
          <w:rFonts w:ascii="Book Antiqua" w:hAnsi="Book Antiqua"/>
          <w:sz w:val="24"/>
          <w:szCs w:val="24"/>
          <w:lang w:val="en-US"/>
        </w:rPr>
        <w:t xml:space="preserve">  </w:t>
      </w:r>
    </w:p>
    <w:tbl>
      <w:tblPr>
        <w:tblW w:w="8095" w:type="dxa"/>
        <w:tblInd w:w="93" w:type="dxa"/>
        <w:tblBorders>
          <w:top w:val="single" w:sz="4" w:space="0" w:color="000000"/>
          <w:bottom w:val="single" w:sz="4" w:space="0" w:color="000000"/>
        </w:tblBorders>
        <w:tblLook w:val="00A0" w:firstRow="1" w:lastRow="0" w:firstColumn="1" w:lastColumn="0" w:noHBand="0" w:noVBand="0"/>
      </w:tblPr>
      <w:tblGrid>
        <w:gridCol w:w="1375"/>
        <w:gridCol w:w="2184"/>
        <w:gridCol w:w="2268"/>
        <w:gridCol w:w="2268"/>
      </w:tblGrid>
      <w:tr w:rsidR="00CE40A9" w:rsidRPr="001E30BC" w:rsidTr="001E30BC">
        <w:trPr>
          <w:trHeight w:val="345"/>
        </w:trPr>
        <w:tc>
          <w:tcPr>
            <w:tcW w:w="1375" w:type="dxa"/>
            <w:tcBorders>
              <w:top w:val="single" w:sz="4" w:space="0" w:color="000000"/>
              <w:bottom w:val="nil"/>
            </w:tcBorders>
            <w:noWrap/>
            <w:vAlign w:val="center"/>
          </w:tcPr>
          <w:p w:rsidR="00CE40A9" w:rsidRPr="001E30BC" w:rsidRDefault="00CE40A9" w:rsidP="00197E9C">
            <w:pPr>
              <w:spacing w:after="0" w:line="240" w:lineRule="auto"/>
              <w:rPr>
                <w:rFonts w:ascii="Book Antiqua" w:hAnsi="Book Antiqua" w:cs="宋体"/>
                <w:b/>
                <w:color w:val="000000"/>
                <w:sz w:val="24"/>
                <w:szCs w:val="24"/>
                <w:lang w:val="en-US" w:eastAsia="zh-CN"/>
              </w:rPr>
            </w:pPr>
          </w:p>
        </w:tc>
        <w:tc>
          <w:tcPr>
            <w:tcW w:w="2184" w:type="dxa"/>
            <w:tcBorders>
              <w:top w:val="single" w:sz="4" w:space="0" w:color="000000"/>
              <w:bottom w:val="nil"/>
            </w:tcBorders>
            <w:noWrap/>
            <w:vAlign w:val="center"/>
          </w:tcPr>
          <w:p w:rsidR="00CE40A9" w:rsidRPr="001E30BC" w:rsidRDefault="00CE40A9" w:rsidP="00197E9C">
            <w:pPr>
              <w:spacing w:after="0" w:line="240" w:lineRule="auto"/>
              <w:rPr>
                <w:rFonts w:ascii="Book Antiqua" w:hAnsi="Book Antiqua" w:cs="宋体"/>
                <w:b/>
                <w:color w:val="000000"/>
                <w:sz w:val="24"/>
                <w:szCs w:val="24"/>
                <w:lang w:val="en-US" w:eastAsia="zh-CN"/>
              </w:rPr>
            </w:pPr>
            <w:r w:rsidRPr="001E30BC">
              <w:rPr>
                <w:rFonts w:ascii="Book Antiqua" w:hAnsi="Book Antiqua" w:cs="宋体"/>
                <w:b/>
                <w:color w:val="000000"/>
                <w:sz w:val="24"/>
                <w:szCs w:val="24"/>
                <w:lang w:val="en-US" w:eastAsia="zh-CN"/>
              </w:rPr>
              <w:t xml:space="preserve"> </w:t>
            </w:r>
            <w:r w:rsidRPr="001E30BC">
              <w:rPr>
                <w:rFonts w:ascii="Book Antiqua" w:hAnsi="Book Antiqua" w:cs="宋体"/>
                <w:b/>
                <w:bCs/>
                <w:color w:val="000000"/>
                <w:sz w:val="24"/>
                <w:szCs w:val="24"/>
                <w:lang w:val="en-US" w:eastAsia="zh-CN"/>
              </w:rPr>
              <w:t xml:space="preserve">CD3    </w:t>
            </w:r>
          </w:p>
        </w:tc>
        <w:tc>
          <w:tcPr>
            <w:tcW w:w="2268" w:type="dxa"/>
            <w:tcBorders>
              <w:top w:val="single" w:sz="4" w:space="0" w:color="000000"/>
              <w:bottom w:val="nil"/>
            </w:tcBorders>
            <w:noWrap/>
            <w:vAlign w:val="center"/>
          </w:tcPr>
          <w:p w:rsidR="00CE40A9" w:rsidRPr="001E30BC" w:rsidRDefault="00CE40A9" w:rsidP="00197E9C">
            <w:pPr>
              <w:spacing w:after="0" w:line="240" w:lineRule="auto"/>
              <w:rPr>
                <w:rFonts w:ascii="Book Antiqua" w:hAnsi="Book Antiqua" w:cs="宋体"/>
                <w:b/>
                <w:bCs/>
                <w:color w:val="000000"/>
                <w:sz w:val="24"/>
                <w:szCs w:val="24"/>
                <w:lang w:val="en-US" w:eastAsia="zh-CN"/>
              </w:rPr>
            </w:pPr>
            <w:r w:rsidRPr="001E30BC">
              <w:rPr>
                <w:rFonts w:ascii="Book Antiqua" w:hAnsi="Book Antiqua" w:cs="宋体"/>
                <w:b/>
                <w:bCs/>
                <w:color w:val="000000"/>
                <w:sz w:val="24"/>
                <w:szCs w:val="24"/>
                <w:lang w:val="en-US" w:eastAsia="zh-CN"/>
              </w:rPr>
              <w:t>CD20</w:t>
            </w:r>
          </w:p>
        </w:tc>
        <w:tc>
          <w:tcPr>
            <w:tcW w:w="2268" w:type="dxa"/>
            <w:tcBorders>
              <w:top w:val="single" w:sz="4" w:space="0" w:color="000000"/>
              <w:bottom w:val="nil"/>
            </w:tcBorders>
            <w:noWrap/>
            <w:vAlign w:val="center"/>
          </w:tcPr>
          <w:p w:rsidR="00CE40A9" w:rsidRPr="001E30BC" w:rsidRDefault="00CE40A9" w:rsidP="00197E9C">
            <w:pPr>
              <w:spacing w:after="0" w:line="240" w:lineRule="auto"/>
              <w:rPr>
                <w:rFonts w:ascii="Book Antiqua" w:hAnsi="Book Antiqua" w:cs="宋体"/>
                <w:b/>
                <w:bCs/>
                <w:color w:val="000000"/>
                <w:sz w:val="24"/>
                <w:szCs w:val="24"/>
                <w:lang w:val="en-US" w:eastAsia="zh-CN"/>
              </w:rPr>
            </w:pPr>
            <w:r w:rsidRPr="001E30BC">
              <w:rPr>
                <w:rFonts w:ascii="Book Antiqua" w:hAnsi="Book Antiqua" w:cs="宋体"/>
                <w:b/>
                <w:bCs/>
                <w:color w:val="000000"/>
                <w:sz w:val="24"/>
                <w:szCs w:val="24"/>
                <w:lang w:val="en-US" w:eastAsia="zh-CN"/>
              </w:rPr>
              <w:t>CD68</w:t>
            </w:r>
          </w:p>
        </w:tc>
      </w:tr>
      <w:tr w:rsidR="00CE40A9" w:rsidRPr="001E30BC" w:rsidTr="001E30BC">
        <w:trPr>
          <w:trHeight w:val="630"/>
        </w:trPr>
        <w:tc>
          <w:tcPr>
            <w:tcW w:w="1375" w:type="dxa"/>
            <w:vMerge w:val="restart"/>
            <w:tcBorders>
              <w:top w:val="nil"/>
              <w:bottom w:val="nil"/>
            </w:tcBorders>
            <w:vAlign w:val="center"/>
          </w:tcPr>
          <w:p w:rsidR="00CE40A9" w:rsidRPr="001E30BC" w:rsidRDefault="00CE40A9" w:rsidP="00197E9C">
            <w:pPr>
              <w:spacing w:after="0" w:line="240" w:lineRule="auto"/>
              <w:jc w:val="both"/>
              <w:rPr>
                <w:rFonts w:ascii="Book Antiqua" w:hAnsi="Book Antiqua" w:cs="宋体"/>
                <w:b/>
                <w:color w:val="000000"/>
                <w:sz w:val="24"/>
                <w:szCs w:val="24"/>
                <w:lang w:val="en-US" w:eastAsia="zh-CN"/>
              </w:rPr>
            </w:pPr>
            <w:r w:rsidRPr="001E30BC">
              <w:rPr>
                <w:rFonts w:ascii="Book Antiqua" w:hAnsi="Book Antiqua" w:cs="宋体" w:hint="eastAsia"/>
                <w:b/>
                <w:color w:val="000000"/>
                <w:sz w:val="24"/>
                <w:szCs w:val="24"/>
                <w:lang w:val="en-US" w:eastAsia="zh-CN"/>
              </w:rPr>
              <w:t xml:space="preserve">　</w:t>
            </w:r>
          </w:p>
        </w:tc>
        <w:tc>
          <w:tcPr>
            <w:tcW w:w="2184" w:type="dxa"/>
            <w:tcBorders>
              <w:top w:val="nil"/>
              <w:bottom w:val="nil"/>
            </w:tcBorders>
            <w:vAlign w:val="center"/>
          </w:tcPr>
          <w:p w:rsidR="00CE40A9" w:rsidRPr="001E30BC" w:rsidRDefault="00CE40A9" w:rsidP="00197E9C">
            <w:pPr>
              <w:spacing w:after="0" w:line="240" w:lineRule="auto"/>
              <w:jc w:val="both"/>
              <w:rPr>
                <w:rFonts w:ascii="Book Antiqua" w:hAnsi="Book Antiqua" w:cs="宋体"/>
                <w:b/>
                <w:color w:val="000000"/>
                <w:sz w:val="24"/>
                <w:szCs w:val="24"/>
                <w:lang w:val="en-US" w:eastAsia="zh-CN"/>
              </w:rPr>
            </w:pPr>
            <w:r w:rsidRPr="001E30BC">
              <w:rPr>
                <w:rFonts w:ascii="Book Antiqua" w:hAnsi="Book Antiqua" w:cs="宋体"/>
                <w:b/>
                <w:color w:val="000000"/>
                <w:sz w:val="24"/>
                <w:szCs w:val="24"/>
                <w:lang w:val="en-US" w:eastAsia="zh-CN"/>
              </w:rPr>
              <w:t>Patients</w:t>
            </w:r>
            <w:r w:rsidRPr="00197E9C">
              <w:rPr>
                <w:rFonts w:ascii="Book Antiqua" w:hAnsi="Book Antiqua" w:cs="宋体"/>
                <w:b/>
                <w:color w:val="000000"/>
                <w:sz w:val="24"/>
                <w:szCs w:val="24"/>
                <w:vertAlign w:val="superscript"/>
                <w:lang w:val="en-US" w:eastAsia="zh-CN"/>
              </w:rPr>
              <w:t>1</w:t>
            </w:r>
            <w:r w:rsidRPr="001E30BC">
              <w:rPr>
                <w:rFonts w:ascii="Book Antiqua" w:hAnsi="Book Antiqua" w:cs="宋体"/>
                <w:b/>
                <w:color w:val="000000"/>
                <w:sz w:val="24"/>
                <w:szCs w:val="24"/>
                <w:lang w:val="en-US" w:eastAsia="zh-CN"/>
              </w:rPr>
              <w:t xml:space="preserve">   Control</w:t>
            </w:r>
            <w:r>
              <w:rPr>
                <w:rFonts w:ascii="Book Antiqua" w:hAnsi="Book Antiqua" w:cs="宋体"/>
                <w:b/>
                <w:color w:val="000000"/>
                <w:sz w:val="24"/>
                <w:szCs w:val="24"/>
                <w:vertAlign w:val="superscript"/>
                <w:lang w:val="en-US" w:eastAsia="zh-CN"/>
              </w:rPr>
              <w:t>2</w:t>
            </w:r>
          </w:p>
        </w:tc>
        <w:tc>
          <w:tcPr>
            <w:tcW w:w="2268" w:type="dxa"/>
            <w:tcBorders>
              <w:top w:val="nil"/>
              <w:bottom w:val="nil"/>
            </w:tcBorders>
            <w:vAlign w:val="center"/>
          </w:tcPr>
          <w:p w:rsidR="00CE40A9" w:rsidRPr="001E30BC" w:rsidRDefault="00CE40A9" w:rsidP="00197E9C">
            <w:pPr>
              <w:spacing w:after="0" w:line="240" w:lineRule="auto"/>
              <w:jc w:val="both"/>
              <w:rPr>
                <w:rFonts w:ascii="Book Antiqua" w:hAnsi="Book Antiqua" w:cs="宋体"/>
                <w:b/>
                <w:color w:val="000000"/>
                <w:sz w:val="24"/>
                <w:szCs w:val="24"/>
                <w:lang w:val="en-US" w:eastAsia="zh-CN"/>
              </w:rPr>
            </w:pPr>
            <w:r w:rsidRPr="001E30BC">
              <w:rPr>
                <w:rFonts w:ascii="Book Antiqua" w:hAnsi="Book Antiqua" w:cs="宋体"/>
                <w:b/>
                <w:color w:val="000000"/>
                <w:sz w:val="24"/>
                <w:szCs w:val="24"/>
                <w:lang w:val="en-US" w:eastAsia="zh-CN"/>
              </w:rPr>
              <w:t xml:space="preserve">Patients   Control </w:t>
            </w:r>
          </w:p>
        </w:tc>
        <w:tc>
          <w:tcPr>
            <w:tcW w:w="2268" w:type="dxa"/>
            <w:tcBorders>
              <w:top w:val="nil"/>
              <w:bottom w:val="nil"/>
            </w:tcBorders>
            <w:vAlign w:val="center"/>
          </w:tcPr>
          <w:p w:rsidR="00CE40A9" w:rsidRPr="001E30BC" w:rsidRDefault="00CE40A9" w:rsidP="00197E9C">
            <w:pPr>
              <w:spacing w:after="0" w:line="240" w:lineRule="auto"/>
              <w:jc w:val="both"/>
              <w:rPr>
                <w:rFonts w:ascii="Book Antiqua" w:hAnsi="Book Antiqua" w:cs="宋体"/>
                <w:b/>
                <w:color w:val="000000"/>
                <w:sz w:val="24"/>
                <w:szCs w:val="24"/>
                <w:lang w:val="en-US" w:eastAsia="zh-CN"/>
              </w:rPr>
            </w:pPr>
            <w:r w:rsidRPr="001E30BC">
              <w:rPr>
                <w:rFonts w:ascii="Book Antiqua" w:hAnsi="Book Antiqua" w:cs="宋体"/>
                <w:b/>
                <w:color w:val="000000"/>
                <w:sz w:val="24"/>
                <w:szCs w:val="24"/>
                <w:lang w:val="en-US" w:eastAsia="zh-CN"/>
              </w:rPr>
              <w:t xml:space="preserve">Patients      Control </w:t>
            </w:r>
          </w:p>
        </w:tc>
      </w:tr>
      <w:tr w:rsidR="00CE40A9" w:rsidRPr="001E30BC" w:rsidTr="001E30BC">
        <w:trPr>
          <w:trHeight w:val="50"/>
        </w:trPr>
        <w:tc>
          <w:tcPr>
            <w:tcW w:w="1375" w:type="dxa"/>
            <w:vMerge/>
            <w:tcBorders>
              <w:top w:val="nil"/>
              <w:bottom w:val="single" w:sz="4" w:space="0" w:color="000000"/>
            </w:tcBorders>
            <w:vAlign w:val="center"/>
          </w:tcPr>
          <w:p w:rsidR="00CE40A9" w:rsidRPr="001E30BC" w:rsidRDefault="00CE40A9" w:rsidP="00197E9C">
            <w:pPr>
              <w:spacing w:after="0" w:line="240" w:lineRule="auto"/>
              <w:rPr>
                <w:rFonts w:ascii="Book Antiqua" w:hAnsi="Book Antiqua" w:cs="宋体"/>
                <w:b/>
                <w:color w:val="000000"/>
                <w:sz w:val="24"/>
                <w:szCs w:val="24"/>
                <w:lang w:val="en-US" w:eastAsia="zh-CN"/>
              </w:rPr>
            </w:pPr>
          </w:p>
        </w:tc>
        <w:tc>
          <w:tcPr>
            <w:tcW w:w="2184" w:type="dxa"/>
            <w:tcBorders>
              <w:top w:val="nil"/>
              <w:bottom w:val="single" w:sz="4" w:space="0" w:color="000000"/>
            </w:tcBorders>
            <w:vAlign w:val="center"/>
          </w:tcPr>
          <w:p w:rsidR="00CE40A9" w:rsidRPr="001E30BC" w:rsidRDefault="00CE40A9" w:rsidP="00197E9C">
            <w:pPr>
              <w:spacing w:after="0" w:line="240" w:lineRule="auto"/>
              <w:jc w:val="both"/>
              <w:rPr>
                <w:rFonts w:ascii="Book Antiqua" w:hAnsi="Book Antiqua" w:cs="宋体"/>
                <w:b/>
                <w:color w:val="000000"/>
                <w:sz w:val="24"/>
                <w:szCs w:val="24"/>
                <w:lang w:val="en-US" w:eastAsia="zh-CN"/>
              </w:rPr>
            </w:pPr>
            <w:r w:rsidRPr="001E30BC">
              <w:rPr>
                <w:rFonts w:ascii="Book Antiqua" w:hAnsi="Book Antiqua" w:cs="宋体"/>
                <w:b/>
                <w:color w:val="000000"/>
                <w:sz w:val="24"/>
                <w:szCs w:val="24"/>
                <w:lang w:val="en-US" w:eastAsia="zh-CN"/>
              </w:rPr>
              <w:t xml:space="preserve">(range) </w:t>
            </w:r>
          </w:p>
        </w:tc>
        <w:tc>
          <w:tcPr>
            <w:tcW w:w="2268" w:type="dxa"/>
            <w:tcBorders>
              <w:top w:val="nil"/>
              <w:bottom w:val="single" w:sz="4" w:space="0" w:color="000000"/>
            </w:tcBorders>
            <w:vAlign w:val="center"/>
          </w:tcPr>
          <w:p w:rsidR="00CE40A9" w:rsidRPr="001E30BC" w:rsidRDefault="00CE40A9" w:rsidP="00197E9C">
            <w:pPr>
              <w:spacing w:after="0" w:line="240" w:lineRule="auto"/>
              <w:jc w:val="both"/>
              <w:rPr>
                <w:rFonts w:ascii="Book Antiqua" w:hAnsi="Book Antiqua" w:cs="宋体"/>
                <w:b/>
                <w:color w:val="000000"/>
                <w:sz w:val="24"/>
                <w:szCs w:val="24"/>
                <w:lang w:val="en-US" w:eastAsia="zh-CN"/>
              </w:rPr>
            </w:pPr>
            <w:r w:rsidRPr="001E30BC">
              <w:rPr>
                <w:rFonts w:ascii="Book Antiqua" w:hAnsi="Book Antiqua" w:cs="宋体"/>
                <w:b/>
                <w:color w:val="000000"/>
                <w:sz w:val="24"/>
                <w:szCs w:val="24"/>
                <w:lang w:val="en-US" w:eastAsia="zh-CN"/>
              </w:rPr>
              <w:t>(range)</w:t>
            </w:r>
          </w:p>
        </w:tc>
        <w:tc>
          <w:tcPr>
            <w:tcW w:w="2268" w:type="dxa"/>
            <w:tcBorders>
              <w:top w:val="nil"/>
              <w:bottom w:val="single" w:sz="4" w:space="0" w:color="000000"/>
            </w:tcBorders>
            <w:vAlign w:val="center"/>
          </w:tcPr>
          <w:p w:rsidR="00CE40A9" w:rsidRPr="001E30BC" w:rsidRDefault="00CE40A9" w:rsidP="00197E9C">
            <w:pPr>
              <w:spacing w:after="0" w:line="240" w:lineRule="auto"/>
              <w:jc w:val="both"/>
              <w:rPr>
                <w:rFonts w:ascii="Book Antiqua" w:hAnsi="Book Antiqua" w:cs="宋体"/>
                <w:b/>
                <w:color w:val="000000"/>
                <w:sz w:val="24"/>
                <w:szCs w:val="24"/>
                <w:lang w:val="en-US" w:eastAsia="zh-CN"/>
              </w:rPr>
            </w:pPr>
            <w:r w:rsidRPr="001E30BC">
              <w:rPr>
                <w:rFonts w:ascii="Book Antiqua" w:hAnsi="Book Antiqua" w:cs="宋体"/>
                <w:b/>
                <w:color w:val="000000"/>
                <w:sz w:val="24"/>
                <w:szCs w:val="24"/>
                <w:lang w:val="en-US" w:eastAsia="zh-CN"/>
              </w:rPr>
              <w:t>(range)</w:t>
            </w:r>
          </w:p>
        </w:tc>
      </w:tr>
      <w:tr w:rsidR="00CE40A9" w:rsidRPr="001E30BC" w:rsidTr="001E30BC">
        <w:trPr>
          <w:trHeight w:val="630"/>
        </w:trPr>
        <w:tc>
          <w:tcPr>
            <w:tcW w:w="1375" w:type="dxa"/>
            <w:vMerge w:val="restart"/>
            <w:tcBorders>
              <w:top w:val="single" w:sz="4" w:space="0" w:color="000000"/>
            </w:tcBorders>
            <w:vAlign w:val="center"/>
          </w:tcPr>
          <w:p w:rsidR="00CE40A9" w:rsidRPr="001E30BC" w:rsidRDefault="00CE40A9" w:rsidP="00197E9C">
            <w:pPr>
              <w:spacing w:after="0" w:line="240" w:lineRule="auto"/>
              <w:jc w:val="both"/>
              <w:rPr>
                <w:rFonts w:ascii="Book Antiqua" w:hAnsi="Book Antiqua" w:cs="宋体"/>
                <w:color w:val="000000"/>
                <w:sz w:val="24"/>
                <w:szCs w:val="24"/>
                <w:lang w:val="en-US" w:eastAsia="zh-CN"/>
              </w:rPr>
            </w:pPr>
            <w:r w:rsidRPr="001E30BC">
              <w:rPr>
                <w:rFonts w:ascii="Book Antiqua" w:hAnsi="Book Antiqua" w:cs="宋体"/>
                <w:color w:val="000000"/>
                <w:sz w:val="24"/>
                <w:szCs w:val="24"/>
                <w:lang w:val="en-US" w:eastAsia="zh-CN"/>
              </w:rPr>
              <w:t>L. propria</w:t>
            </w:r>
          </w:p>
        </w:tc>
        <w:tc>
          <w:tcPr>
            <w:tcW w:w="2184" w:type="dxa"/>
            <w:tcBorders>
              <w:top w:val="single" w:sz="4" w:space="0" w:color="000000"/>
            </w:tcBorders>
            <w:vAlign w:val="center"/>
          </w:tcPr>
          <w:p w:rsidR="00CE40A9" w:rsidRPr="001E30BC" w:rsidRDefault="00CE40A9" w:rsidP="00197E9C">
            <w:pPr>
              <w:spacing w:after="0" w:line="240" w:lineRule="auto"/>
              <w:jc w:val="both"/>
              <w:rPr>
                <w:rFonts w:ascii="Book Antiqua" w:hAnsi="Book Antiqua" w:cs="宋体"/>
                <w:color w:val="000000"/>
                <w:sz w:val="24"/>
                <w:szCs w:val="24"/>
                <w:lang w:val="en-US" w:eastAsia="zh-CN"/>
              </w:rPr>
            </w:pPr>
            <w:r w:rsidRPr="001E30BC">
              <w:rPr>
                <w:rFonts w:ascii="Book Antiqua" w:hAnsi="Book Antiqua" w:cs="宋体"/>
                <w:color w:val="000000"/>
                <w:sz w:val="24"/>
                <w:szCs w:val="24"/>
                <w:lang w:val="en-US" w:eastAsia="zh-CN"/>
              </w:rPr>
              <w:t>204.4</w:t>
            </w:r>
            <w:r>
              <w:rPr>
                <w:rFonts w:ascii="Book Antiqua" w:hAnsi="Book Antiqua" w:cs="宋体"/>
                <w:color w:val="000000"/>
                <w:sz w:val="24"/>
                <w:szCs w:val="24"/>
                <w:lang w:val="en-US" w:eastAsia="zh-CN"/>
              </w:rPr>
              <w:t>-</w:t>
            </w:r>
            <w:r w:rsidRPr="001E30BC">
              <w:rPr>
                <w:rFonts w:ascii="Book Antiqua" w:hAnsi="Book Antiqua" w:cs="宋体"/>
                <w:color w:val="000000"/>
                <w:sz w:val="24"/>
                <w:szCs w:val="24"/>
                <w:lang w:val="en-US" w:eastAsia="zh-CN"/>
              </w:rPr>
              <w:t>66</w:t>
            </w:r>
          </w:p>
        </w:tc>
        <w:tc>
          <w:tcPr>
            <w:tcW w:w="2268" w:type="dxa"/>
            <w:tcBorders>
              <w:top w:val="single" w:sz="4" w:space="0" w:color="000000"/>
            </w:tcBorders>
            <w:vAlign w:val="center"/>
          </w:tcPr>
          <w:p w:rsidR="00CE40A9" w:rsidRPr="001E30BC" w:rsidRDefault="00CE40A9" w:rsidP="00197E9C">
            <w:pPr>
              <w:spacing w:after="0" w:line="240" w:lineRule="auto"/>
              <w:jc w:val="both"/>
              <w:rPr>
                <w:rFonts w:ascii="Book Antiqua" w:hAnsi="Book Antiqua" w:cs="宋体"/>
                <w:color w:val="000000"/>
                <w:sz w:val="24"/>
                <w:szCs w:val="24"/>
                <w:lang w:val="en-US" w:eastAsia="zh-CN"/>
              </w:rPr>
            </w:pPr>
            <w:r w:rsidRPr="001E30BC">
              <w:rPr>
                <w:rFonts w:ascii="Book Antiqua" w:hAnsi="Book Antiqua" w:cs="宋体"/>
                <w:color w:val="000000"/>
                <w:sz w:val="24"/>
                <w:szCs w:val="24"/>
                <w:lang w:val="en-US" w:eastAsia="zh-CN"/>
              </w:rPr>
              <w:t xml:space="preserve">40.6 </w:t>
            </w:r>
            <w:r>
              <w:rPr>
                <w:rFonts w:ascii="Book Antiqua" w:hAnsi="Book Antiqua" w:cs="宋体"/>
                <w:color w:val="000000"/>
                <w:sz w:val="24"/>
                <w:szCs w:val="24"/>
                <w:lang w:val="en-US" w:eastAsia="zh-CN"/>
              </w:rPr>
              <w:t>-</w:t>
            </w:r>
            <w:r w:rsidRPr="001E30BC">
              <w:rPr>
                <w:rFonts w:ascii="Book Antiqua" w:hAnsi="Book Antiqua" w:cs="宋体"/>
                <w:color w:val="000000"/>
                <w:sz w:val="24"/>
                <w:szCs w:val="24"/>
                <w:lang w:val="en-US" w:eastAsia="zh-CN"/>
              </w:rPr>
              <w:t>8</w:t>
            </w:r>
          </w:p>
        </w:tc>
        <w:tc>
          <w:tcPr>
            <w:tcW w:w="2268" w:type="dxa"/>
            <w:vMerge w:val="restart"/>
            <w:tcBorders>
              <w:top w:val="single" w:sz="4" w:space="0" w:color="000000"/>
            </w:tcBorders>
            <w:vAlign w:val="center"/>
          </w:tcPr>
          <w:p w:rsidR="00CE40A9" w:rsidRPr="001E30BC" w:rsidRDefault="00CE40A9" w:rsidP="00197E9C">
            <w:pPr>
              <w:spacing w:after="0" w:line="240" w:lineRule="auto"/>
              <w:jc w:val="both"/>
              <w:rPr>
                <w:rFonts w:ascii="Book Antiqua" w:hAnsi="Book Antiqua" w:cs="宋体"/>
                <w:color w:val="000000"/>
                <w:sz w:val="24"/>
                <w:szCs w:val="24"/>
                <w:lang w:val="en-US" w:eastAsia="zh-CN"/>
              </w:rPr>
            </w:pPr>
            <w:r w:rsidRPr="001E30BC">
              <w:rPr>
                <w:rFonts w:ascii="Book Antiqua" w:hAnsi="Book Antiqua" w:cs="宋体"/>
                <w:color w:val="000000"/>
                <w:sz w:val="24"/>
                <w:szCs w:val="24"/>
                <w:lang w:val="en-US" w:eastAsia="zh-CN"/>
              </w:rPr>
              <w:t xml:space="preserve">                    </w:t>
            </w:r>
          </w:p>
        </w:tc>
      </w:tr>
      <w:tr w:rsidR="00CE40A9" w:rsidRPr="001E30BC" w:rsidTr="001E30BC">
        <w:trPr>
          <w:trHeight w:val="330"/>
        </w:trPr>
        <w:tc>
          <w:tcPr>
            <w:tcW w:w="1375" w:type="dxa"/>
            <w:vMerge/>
            <w:vAlign w:val="center"/>
          </w:tcPr>
          <w:p w:rsidR="00CE40A9" w:rsidRPr="001E30BC" w:rsidRDefault="00CE40A9" w:rsidP="00197E9C">
            <w:pPr>
              <w:spacing w:after="0" w:line="240" w:lineRule="auto"/>
              <w:rPr>
                <w:rFonts w:ascii="Book Antiqua" w:hAnsi="Book Antiqua" w:cs="宋体"/>
                <w:color w:val="000000"/>
                <w:sz w:val="24"/>
                <w:szCs w:val="24"/>
                <w:lang w:val="en-US" w:eastAsia="zh-CN"/>
              </w:rPr>
            </w:pPr>
          </w:p>
        </w:tc>
        <w:tc>
          <w:tcPr>
            <w:tcW w:w="2184" w:type="dxa"/>
            <w:vAlign w:val="center"/>
          </w:tcPr>
          <w:p w:rsidR="00CE40A9" w:rsidRPr="001E30BC" w:rsidRDefault="00CE40A9" w:rsidP="00197E9C">
            <w:pPr>
              <w:spacing w:after="0" w:line="240" w:lineRule="auto"/>
              <w:jc w:val="both"/>
              <w:rPr>
                <w:rFonts w:ascii="Book Antiqua" w:hAnsi="Book Antiqua" w:cs="宋体"/>
                <w:color w:val="000000"/>
                <w:sz w:val="24"/>
                <w:szCs w:val="24"/>
                <w:lang w:val="en-US" w:eastAsia="zh-CN"/>
              </w:rPr>
            </w:pPr>
            <w:r w:rsidRPr="001E30BC">
              <w:rPr>
                <w:rFonts w:ascii="Book Antiqua" w:hAnsi="Book Antiqua" w:cs="宋体"/>
                <w:color w:val="000000"/>
                <w:sz w:val="24"/>
                <w:szCs w:val="24"/>
                <w:lang w:val="en-US" w:eastAsia="zh-CN"/>
              </w:rPr>
              <w:t xml:space="preserve">(108-284)  </w:t>
            </w:r>
          </w:p>
        </w:tc>
        <w:tc>
          <w:tcPr>
            <w:tcW w:w="2268" w:type="dxa"/>
            <w:vAlign w:val="center"/>
          </w:tcPr>
          <w:p w:rsidR="00CE40A9" w:rsidRPr="001E30BC" w:rsidRDefault="00CE40A9" w:rsidP="00197E9C">
            <w:pPr>
              <w:spacing w:after="0" w:line="240" w:lineRule="auto"/>
              <w:jc w:val="both"/>
              <w:rPr>
                <w:rFonts w:ascii="Book Antiqua" w:hAnsi="Book Antiqua" w:cs="宋体"/>
                <w:color w:val="000000"/>
                <w:sz w:val="24"/>
                <w:szCs w:val="24"/>
                <w:lang w:val="en-US" w:eastAsia="zh-CN"/>
              </w:rPr>
            </w:pPr>
            <w:r w:rsidRPr="001E30BC">
              <w:rPr>
                <w:rFonts w:ascii="Book Antiqua" w:hAnsi="Book Antiqua" w:cs="宋体"/>
                <w:color w:val="000000"/>
                <w:sz w:val="24"/>
                <w:szCs w:val="24"/>
                <w:lang w:val="en-US" w:eastAsia="zh-CN"/>
              </w:rPr>
              <w:t>(16-73)</w:t>
            </w:r>
            <w:r>
              <w:rPr>
                <w:rFonts w:ascii="Book Antiqua" w:hAnsi="Book Antiqua" w:cs="宋体"/>
                <w:color w:val="000000"/>
                <w:sz w:val="24"/>
                <w:szCs w:val="24"/>
                <w:lang w:val="en-US" w:eastAsia="zh-CN"/>
              </w:rPr>
              <w:t>-</w:t>
            </w:r>
          </w:p>
        </w:tc>
        <w:tc>
          <w:tcPr>
            <w:tcW w:w="2268" w:type="dxa"/>
            <w:vMerge/>
            <w:vAlign w:val="center"/>
          </w:tcPr>
          <w:p w:rsidR="00CE40A9" w:rsidRPr="001E30BC" w:rsidRDefault="00CE40A9" w:rsidP="00197E9C">
            <w:pPr>
              <w:spacing w:after="0" w:line="240" w:lineRule="auto"/>
              <w:rPr>
                <w:rFonts w:ascii="Book Antiqua" w:hAnsi="Book Antiqua" w:cs="宋体"/>
                <w:color w:val="000000"/>
                <w:sz w:val="24"/>
                <w:szCs w:val="24"/>
                <w:lang w:val="en-US" w:eastAsia="zh-CN"/>
              </w:rPr>
            </w:pPr>
          </w:p>
        </w:tc>
      </w:tr>
      <w:tr w:rsidR="00CE40A9" w:rsidRPr="001E30BC" w:rsidTr="001E30BC">
        <w:trPr>
          <w:trHeight w:val="345"/>
        </w:trPr>
        <w:tc>
          <w:tcPr>
            <w:tcW w:w="1375" w:type="dxa"/>
            <w:vMerge w:val="restart"/>
            <w:vAlign w:val="center"/>
          </w:tcPr>
          <w:p w:rsidR="00CE40A9" w:rsidRPr="001E30BC" w:rsidRDefault="00CE40A9" w:rsidP="00197E9C">
            <w:pPr>
              <w:spacing w:after="0" w:line="240" w:lineRule="auto"/>
              <w:jc w:val="both"/>
              <w:rPr>
                <w:rFonts w:ascii="Book Antiqua" w:hAnsi="Book Antiqua" w:cs="宋体"/>
                <w:color w:val="000000"/>
                <w:sz w:val="24"/>
                <w:szCs w:val="24"/>
                <w:lang w:val="en-US" w:eastAsia="zh-CN"/>
              </w:rPr>
            </w:pPr>
            <w:r w:rsidRPr="001E30BC">
              <w:rPr>
                <w:rFonts w:ascii="Book Antiqua" w:hAnsi="Book Antiqua" w:cs="宋体"/>
                <w:color w:val="000000"/>
                <w:sz w:val="24"/>
                <w:szCs w:val="24"/>
                <w:lang w:val="en-US" w:eastAsia="zh-CN"/>
              </w:rPr>
              <w:t>epithelium</w:t>
            </w:r>
          </w:p>
        </w:tc>
        <w:tc>
          <w:tcPr>
            <w:tcW w:w="2184" w:type="dxa"/>
            <w:vMerge w:val="restart"/>
            <w:vAlign w:val="center"/>
          </w:tcPr>
          <w:p w:rsidR="00CE40A9" w:rsidRPr="001E30BC" w:rsidRDefault="00CE40A9" w:rsidP="00197E9C">
            <w:pPr>
              <w:spacing w:after="0" w:line="24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77.6-6  </w:t>
            </w:r>
            <w:r w:rsidRPr="001E30BC">
              <w:rPr>
                <w:rFonts w:ascii="Book Antiqua" w:hAnsi="Book Antiqua" w:cs="宋体"/>
                <w:color w:val="000000"/>
                <w:sz w:val="24"/>
                <w:szCs w:val="24"/>
                <w:lang w:val="en-US" w:eastAsia="zh-CN"/>
              </w:rPr>
              <w:t xml:space="preserve">(16-143) </w:t>
            </w:r>
          </w:p>
        </w:tc>
        <w:tc>
          <w:tcPr>
            <w:tcW w:w="2268" w:type="dxa"/>
            <w:vMerge w:val="restart"/>
            <w:vAlign w:val="center"/>
          </w:tcPr>
          <w:p w:rsidR="00CE40A9" w:rsidRPr="001E30BC" w:rsidRDefault="00CE40A9" w:rsidP="00197E9C">
            <w:pPr>
              <w:spacing w:after="0" w:line="240" w:lineRule="auto"/>
              <w:jc w:val="both"/>
              <w:rPr>
                <w:rFonts w:ascii="Book Antiqua" w:hAnsi="Book Antiqua" w:cs="宋体"/>
                <w:color w:val="000000"/>
                <w:sz w:val="24"/>
                <w:szCs w:val="24"/>
                <w:lang w:val="en-US" w:eastAsia="zh-CN"/>
              </w:rPr>
            </w:pPr>
            <w:r w:rsidRPr="001E30BC">
              <w:rPr>
                <w:rFonts w:ascii="Book Antiqua" w:hAnsi="Book Antiqua" w:cs="宋体"/>
                <w:color w:val="000000"/>
                <w:sz w:val="24"/>
                <w:szCs w:val="24"/>
                <w:lang w:val="en-US" w:eastAsia="zh-CN"/>
              </w:rPr>
              <w:t xml:space="preserve">0 </w:t>
            </w:r>
            <w:r>
              <w:rPr>
                <w:rFonts w:ascii="Book Antiqua" w:hAnsi="Book Antiqua" w:cs="宋体"/>
                <w:color w:val="000000"/>
                <w:sz w:val="24"/>
                <w:szCs w:val="24"/>
                <w:lang w:val="en-US" w:eastAsia="zh-CN"/>
              </w:rPr>
              <w:t>-</w:t>
            </w:r>
            <w:r w:rsidRPr="001E30BC">
              <w:rPr>
                <w:rFonts w:ascii="Book Antiqua" w:hAnsi="Book Antiqua" w:cs="宋体"/>
                <w:color w:val="000000"/>
                <w:sz w:val="24"/>
                <w:szCs w:val="24"/>
                <w:lang w:val="en-US" w:eastAsia="zh-CN"/>
              </w:rPr>
              <w:t>0</w:t>
            </w:r>
          </w:p>
        </w:tc>
        <w:tc>
          <w:tcPr>
            <w:tcW w:w="2268" w:type="dxa"/>
            <w:vMerge w:val="restart"/>
            <w:vAlign w:val="center"/>
          </w:tcPr>
          <w:p w:rsidR="00CE40A9" w:rsidRPr="001E30BC" w:rsidRDefault="00CE40A9" w:rsidP="00197E9C">
            <w:pPr>
              <w:spacing w:after="0" w:line="240" w:lineRule="auto"/>
              <w:jc w:val="both"/>
              <w:rPr>
                <w:rFonts w:ascii="Book Antiqua" w:hAnsi="Book Antiqua" w:cs="宋体"/>
                <w:color w:val="000000"/>
                <w:sz w:val="24"/>
                <w:szCs w:val="24"/>
                <w:lang w:val="en-US" w:eastAsia="zh-CN"/>
              </w:rPr>
            </w:pPr>
            <w:r w:rsidRPr="001E30BC">
              <w:rPr>
                <w:rFonts w:ascii="Book Antiqua" w:hAnsi="Book Antiqua" w:cs="宋体"/>
                <w:color w:val="000000"/>
                <w:sz w:val="24"/>
                <w:szCs w:val="24"/>
                <w:lang w:val="en-US" w:eastAsia="zh-CN"/>
              </w:rPr>
              <w:t xml:space="preserve">                          </w:t>
            </w:r>
          </w:p>
        </w:tc>
      </w:tr>
      <w:tr w:rsidR="00CE40A9" w:rsidRPr="001E30BC" w:rsidTr="001E30BC">
        <w:trPr>
          <w:trHeight w:val="298"/>
        </w:trPr>
        <w:tc>
          <w:tcPr>
            <w:tcW w:w="1375" w:type="dxa"/>
            <w:vMerge/>
            <w:vAlign w:val="center"/>
          </w:tcPr>
          <w:p w:rsidR="00CE40A9" w:rsidRPr="001E30BC" w:rsidRDefault="00CE40A9" w:rsidP="00197E9C">
            <w:pPr>
              <w:spacing w:after="0" w:line="240" w:lineRule="auto"/>
              <w:rPr>
                <w:rFonts w:ascii="Book Antiqua" w:hAnsi="Book Antiqua" w:cs="宋体"/>
                <w:color w:val="000000"/>
                <w:sz w:val="24"/>
                <w:szCs w:val="24"/>
                <w:lang w:val="en-US" w:eastAsia="zh-CN"/>
              </w:rPr>
            </w:pPr>
          </w:p>
        </w:tc>
        <w:tc>
          <w:tcPr>
            <w:tcW w:w="2184" w:type="dxa"/>
            <w:vMerge/>
            <w:vAlign w:val="center"/>
          </w:tcPr>
          <w:p w:rsidR="00CE40A9" w:rsidRPr="001E30BC" w:rsidRDefault="00CE40A9" w:rsidP="00197E9C">
            <w:pPr>
              <w:spacing w:after="0" w:line="240" w:lineRule="auto"/>
              <w:rPr>
                <w:rFonts w:ascii="Book Antiqua" w:hAnsi="Book Antiqua" w:cs="宋体"/>
                <w:color w:val="000000"/>
                <w:sz w:val="24"/>
                <w:szCs w:val="24"/>
                <w:lang w:val="en-US" w:eastAsia="zh-CN"/>
              </w:rPr>
            </w:pPr>
          </w:p>
        </w:tc>
        <w:tc>
          <w:tcPr>
            <w:tcW w:w="2268" w:type="dxa"/>
            <w:vMerge/>
            <w:vAlign w:val="center"/>
          </w:tcPr>
          <w:p w:rsidR="00CE40A9" w:rsidRPr="001E30BC" w:rsidRDefault="00CE40A9" w:rsidP="00197E9C">
            <w:pPr>
              <w:spacing w:after="0" w:line="240" w:lineRule="auto"/>
              <w:rPr>
                <w:rFonts w:ascii="Book Antiqua" w:hAnsi="Book Antiqua" w:cs="宋体"/>
                <w:color w:val="000000"/>
                <w:sz w:val="24"/>
                <w:szCs w:val="24"/>
                <w:lang w:val="en-US" w:eastAsia="zh-CN"/>
              </w:rPr>
            </w:pPr>
          </w:p>
        </w:tc>
        <w:tc>
          <w:tcPr>
            <w:tcW w:w="2268" w:type="dxa"/>
            <w:vMerge/>
            <w:vAlign w:val="center"/>
          </w:tcPr>
          <w:p w:rsidR="00CE40A9" w:rsidRPr="001E30BC" w:rsidRDefault="00CE40A9" w:rsidP="00197E9C">
            <w:pPr>
              <w:spacing w:after="0" w:line="240" w:lineRule="auto"/>
              <w:rPr>
                <w:rFonts w:ascii="Book Antiqua" w:hAnsi="Book Antiqua" w:cs="宋体"/>
                <w:color w:val="000000"/>
                <w:sz w:val="24"/>
                <w:szCs w:val="24"/>
                <w:lang w:val="en-US" w:eastAsia="zh-CN"/>
              </w:rPr>
            </w:pPr>
          </w:p>
        </w:tc>
      </w:tr>
      <w:tr w:rsidR="00CE40A9" w:rsidRPr="001E30BC" w:rsidTr="001E30BC">
        <w:trPr>
          <w:trHeight w:val="630"/>
        </w:trPr>
        <w:tc>
          <w:tcPr>
            <w:tcW w:w="1375" w:type="dxa"/>
            <w:vMerge w:val="restart"/>
            <w:vAlign w:val="center"/>
          </w:tcPr>
          <w:p w:rsidR="00CE40A9" w:rsidRPr="001E30BC" w:rsidRDefault="00CE40A9" w:rsidP="00197E9C">
            <w:pPr>
              <w:spacing w:after="0" w:line="240" w:lineRule="auto"/>
              <w:jc w:val="both"/>
              <w:rPr>
                <w:rFonts w:ascii="Book Antiqua" w:hAnsi="Book Antiqua" w:cs="宋体"/>
                <w:color w:val="000000"/>
                <w:sz w:val="24"/>
                <w:szCs w:val="24"/>
                <w:lang w:val="en-US" w:eastAsia="zh-CN"/>
              </w:rPr>
            </w:pPr>
            <w:r w:rsidRPr="001E30BC">
              <w:rPr>
                <w:rFonts w:ascii="Book Antiqua" w:hAnsi="Book Antiqua" w:cs="宋体"/>
                <w:color w:val="000000"/>
                <w:sz w:val="24"/>
                <w:szCs w:val="24"/>
                <w:lang w:val="en-US" w:eastAsia="zh-CN"/>
              </w:rPr>
              <w:t>crypts</w:t>
            </w:r>
          </w:p>
        </w:tc>
        <w:tc>
          <w:tcPr>
            <w:tcW w:w="2184" w:type="dxa"/>
            <w:vAlign w:val="center"/>
          </w:tcPr>
          <w:p w:rsidR="00CE40A9" w:rsidRPr="001E30BC" w:rsidRDefault="00CE40A9" w:rsidP="00197E9C">
            <w:pPr>
              <w:spacing w:after="0" w:line="240" w:lineRule="auto"/>
              <w:jc w:val="both"/>
              <w:rPr>
                <w:rFonts w:ascii="Book Antiqua" w:hAnsi="Book Antiqua" w:cs="宋体"/>
                <w:color w:val="000000"/>
                <w:sz w:val="24"/>
                <w:szCs w:val="24"/>
                <w:lang w:val="en-US" w:eastAsia="zh-CN"/>
              </w:rPr>
            </w:pPr>
            <w:r w:rsidRPr="001E30BC">
              <w:rPr>
                <w:rFonts w:ascii="Book Antiqua" w:hAnsi="Book Antiqua" w:cs="宋体"/>
                <w:color w:val="000000"/>
                <w:sz w:val="24"/>
                <w:szCs w:val="24"/>
                <w:lang w:val="en-US" w:eastAsia="zh-CN"/>
              </w:rPr>
              <w:t xml:space="preserve">170.2 </w:t>
            </w:r>
            <w:r>
              <w:rPr>
                <w:rFonts w:ascii="Book Antiqua" w:hAnsi="Book Antiqua" w:cs="宋体"/>
                <w:color w:val="000000"/>
                <w:sz w:val="24"/>
                <w:szCs w:val="24"/>
                <w:lang w:val="en-US" w:eastAsia="zh-CN"/>
              </w:rPr>
              <w:t>-</w:t>
            </w:r>
            <w:r w:rsidRPr="001E30BC">
              <w:rPr>
                <w:rFonts w:ascii="Book Antiqua" w:hAnsi="Book Antiqua" w:cs="宋体"/>
                <w:color w:val="000000"/>
                <w:sz w:val="24"/>
                <w:szCs w:val="24"/>
                <w:lang w:val="en-US" w:eastAsia="zh-CN"/>
              </w:rPr>
              <w:t>17</w:t>
            </w:r>
          </w:p>
        </w:tc>
        <w:tc>
          <w:tcPr>
            <w:tcW w:w="2268" w:type="dxa"/>
            <w:vMerge w:val="restart"/>
            <w:vAlign w:val="center"/>
          </w:tcPr>
          <w:p w:rsidR="00CE40A9" w:rsidRPr="001E30BC" w:rsidRDefault="00CE40A9" w:rsidP="00197E9C">
            <w:pPr>
              <w:spacing w:after="0" w:line="240" w:lineRule="auto"/>
              <w:jc w:val="both"/>
              <w:rPr>
                <w:rFonts w:ascii="Book Antiqua" w:hAnsi="Book Antiqua" w:cs="宋体"/>
                <w:color w:val="000000"/>
                <w:sz w:val="24"/>
                <w:szCs w:val="24"/>
                <w:lang w:val="en-US" w:eastAsia="zh-CN"/>
              </w:rPr>
            </w:pPr>
            <w:r w:rsidRPr="001E30BC">
              <w:rPr>
                <w:rFonts w:ascii="Book Antiqua" w:hAnsi="Book Antiqua" w:cs="宋体"/>
                <w:color w:val="000000"/>
                <w:sz w:val="24"/>
                <w:szCs w:val="24"/>
                <w:lang w:val="en-US" w:eastAsia="zh-CN"/>
              </w:rPr>
              <w:t xml:space="preserve">0 </w:t>
            </w:r>
            <w:r>
              <w:rPr>
                <w:rFonts w:ascii="Book Antiqua" w:hAnsi="Book Antiqua" w:cs="宋体"/>
                <w:color w:val="000000"/>
                <w:sz w:val="24"/>
                <w:szCs w:val="24"/>
                <w:lang w:val="en-US" w:eastAsia="zh-CN"/>
              </w:rPr>
              <w:t>-</w:t>
            </w:r>
            <w:r w:rsidRPr="001E30BC">
              <w:rPr>
                <w:rFonts w:ascii="Book Antiqua" w:hAnsi="Book Antiqua" w:cs="宋体"/>
                <w:color w:val="000000"/>
                <w:sz w:val="24"/>
                <w:szCs w:val="24"/>
                <w:lang w:val="en-US" w:eastAsia="zh-CN"/>
              </w:rPr>
              <w:t>0</w:t>
            </w:r>
          </w:p>
        </w:tc>
        <w:tc>
          <w:tcPr>
            <w:tcW w:w="2268" w:type="dxa"/>
            <w:vMerge w:val="restart"/>
            <w:vAlign w:val="center"/>
          </w:tcPr>
          <w:p w:rsidR="00CE40A9" w:rsidRPr="001E30BC" w:rsidRDefault="00CE40A9" w:rsidP="00197E9C">
            <w:pPr>
              <w:spacing w:after="0" w:line="240" w:lineRule="auto"/>
              <w:jc w:val="both"/>
              <w:rPr>
                <w:rFonts w:ascii="Book Antiqua" w:hAnsi="Book Antiqua" w:cs="宋体"/>
                <w:color w:val="000000"/>
                <w:sz w:val="24"/>
                <w:szCs w:val="24"/>
                <w:lang w:val="en-US" w:eastAsia="zh-CN"/>
              </w:rPr>
            </w:pPr>
            <w:r w:rsidRPr="001E30BC">
              <w:rPr>
                <w:rFonts w:ascii="Book Antiqua" w:hAnsi="Book Antiqua" w:cs="宋体"/>
                <w:color w:val="000000"/>
                <w:sz w:val="24"/>
                <w:szCs w:val="24"/>
                <w:lang w:val="en-US" w:eastAsia="zh-CN"/>
              </w:rPr>
              <w:t xml:space="preserve">                          </w:t>
            </w:r>
          </w:p>
        </w:tc>
      </w:tr>
      <w:tr w:rsidR="00CE40A9" w:rsidRPr="001E30BC" w:rsidTr="001E30BC">
        <w:trPr>
          <w:trHeight w:val="330"/>
        </w:trPr>
        <w:tc>
          <w:tcPr>
            <w:tcW w:w="1375" w:type="dxa"/>
            <w:vMerge/>
            <w:vAlign w:val="center"/>
          </w:tcPr>
          <w:p w:rsidR="00CE40A9" w:rsidRPr="001E30BC" w:rsidRDefault="00CE40A9" w:rsidP="00197E9C">
            <w:pPr>
              <w:spacing w:after="0" w:line="240" w:lineRule="auto"/>
              <w:rPr>
                <w:rFonts w:ascii="Book Antiqua" w:hAnsi="Book Antiqua" w:cs="宋体"/>
                <w:color w:val="000000"/>
                <w:sz w:val="24"/>
                <w:szCs w:val="24"/>
                <w:lang w:val="en-US" w:eastAsia="zh-CN"/>
              </w:rPr>
            </w:pPr>
          </w:p>
        </w:tc>
        <w:tc>
          <w:tcPr>
            <w:tcW w:w="2184" w:type="dxa"/>
            <w:vAlign w:val="center"/>
          </w:tcPr>
          <w:p w:rsidR="00CE40A9" w:rsidRPr="001E30BC" w:rsidRDefault="00CE40A9" w:rsidP="00197E9C">
            <w:pPr>
              <w:spacing w:after="0" w:line="24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(77-355)  </w:t>
            </w:r>
          </w:p>
        </w:tc>
        <w:tc>
          <w:tcPr>
            <w:tcW w:w="2268" w:type="dxa"/>
            <w:vMerge/>
            <w:vAlign w:val="center"/>
          </w:tcPr>
          <w:p w:rsidR="00CE40A9" w:rsidRPr="001E30BC" w:rsidRDefault="00CE40A9" w:rsidP="00197E9C">
            <w:pPr>
              <w:spacing w:after="0" w:line="240" w:lineRule="auto"/>
              <w:rPr>
                <w:rFonts w:ascii="Book Antiqua" w:hAnsi="Book Antiqua" w:cs="宋体"/>
                <w:color w:val="000000"/>
                <w:sz w:val="24"/>
                <w:szCs w:val="24"/>
                <w:lang w:val="en-US" w:eastAsia="zh-CN"/>
              </w:rPr>
            </w:pPr>
          </w:p>
        </w:tc>
        <w:tc>
          <w:tcPr>
            <w:tcW w:w="2268" w:type="dxa"/>
            <w:vMerge/>
            <w:vAlign w:val="center"/>
          </w:tcPr>
          <w:p w:rsidR="00CE40A9" w:rsidRPr="001E30BC" w:rsidRDefault="00CE40A9" w:rsidP="00197E9C">
            <w:pPr>
              <w:spacing w:after="0" w:line="240" w:lineRule="auto"/>
              <w:rPr>
                <w:rFonts w:ascii="Book Antiqua" w:hAnsi="Book Antiqua" w:cs="宋体"/>
                <w:color w:val="000000"/>
                <w:sz w:val="24"/>
                <w:szCs w:val="24"/>
                <w:lang w:val="en-US" w:eastAsia="zh-CN"/>
              </w:rPr>
            </w:pPr>
          </w:p>
        </w:tc>
      </w:tr>
      <w:tr w:rsidR="00CE40A9" w:rsidRPr="001E30BC" w:rsidTr="001E30BC">
        <w:trPr>
          <w:trHeight w:val="630"/>
        </w:trPr>
        <w:tc>
          <w:tcPr>
            <w:tcW w:w="1375" w:type="dxa"/>
            <w:vMerge w:val="restart"/>
            <w:vAlign w:val="center"/>
          </w:tcPr>
          <w:p w:rsidR="00CE40A9" w:rsidRPr="001E30BC" w:rsidRDefault="00CE40A9" w:rsidP="00197E9C">
            <w:pPr>
              <w:spacing w:after="0" w:line="240" w:lineRule="auto"/>
              <w:jc w:val="both"/>
              <w:rPr>
                <w:rFonts w:ascii="Book Antiqua" w:hAnsi="Book Antiqua" w:cs="宋体"/>
                <w:color w:val="000000"/>
                <w:sz w:val="24"/>
                <w:szCs w:val="24"/>
                <w:lang w:val="en-US" w:eastAsia="zh-CN"/>
              </w:rPr>
            </w:pPr>
            <w:r w:rsidRPr="001E30BC">
              <w:rPr>
                <w:rFonts w:ascii="Book Antiqua" w:hAnsi="Book Antiqua" w:cs="宋体"/>
                <w:color w:val="000000"/>
                <w:sz w:val="24"/>
                <w:szCs w:val="24"/>
                <w:lang w:val="en-US" w:eastAsia="zh-CN"/>
              </w:rPr>
              <w:t>overall</w:t>
            </w:r>
          </w:p>
        </w:tc>
        <w:tc>
          <w:tcPr>
            <w:tcW w:w="2184" w:type="dxa"/>
            <w:vMerge w:val="restart"/>
            <w:vAlign w:val="center"/>
          </w:tcPr>
          <w:p w:rsidR="00CE40A9" w:rsidRPr="001E30BC" w:rsidRDefault="00CE40A9" w:rsidP="00197E9C">
            <w:pPr>
              <w:spacing w:after="0" w:line="24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w:t>
            </w:r>
          </w:p>
        </w:tc>
        <w:tc>
          <w:tcPr>
            <w:tcW w:w="2268" w:type="dxa"/>
            <w:vMerge w:val="restart"/>
            <w:vAlign w:val="center"/>
          </w:tcPr>
          <w:p w:rsidR="00CE40A9" w:rsidRPr="001E30BC" w:rsidRDefault="00CE40A9" w:rsidP="00197E9C">
            <w:pPr>
              <w:spacing w:after="0" w:line="24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w:t>
            </w:r>
          </w:p>
        </w:tc>
        <w:tc>
          <w:tcPr>
            <w:tcW w:w="2268" w:type="dxa"/>
            <w:vAlign w:val="center"/>
          </w:tcPr>
          <w:p w:rsidR="00CE40A9" w:rsidRPr="001E30BC" w:rsidRDefault="00CE40A9" w:rsidP="00197E9C">
            <w:pPr>
              <w:spacing w:after="0" w:line="24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   </w:t>
            </w:r>
            <w:r w:rsidRPr="001E30BC">
              <w:rPr>
                <w:rFonts w:ascii="Book Antiqua" w:hAnsi="Book Antiqua" w:cs="宋体"/>
                <w:color w:val="000000"/>
                <w:sz w:val="24"/>
                <w:szCs w:val="24"/>
                <w:lang w:val="en-US" w:eastAsia="zh-CN"/>
              </w:rPr>
              <w:t>50.8</w:t>
            </w:r>
            <w:r>
              <w:rPr>
                <w:rFonts w:ascii="Book Antiqua" w:hAnsi="Book Antiqua" w:cs="宋体"/>
                <w:color w:val="000000"/>
                <w:sz w:val="24"/>
                <w:szCs w:val="24"/>
                <w:lang w:val="en-US" w:eastAsia="zh-CN"/>
              </w:rPr>
              <w:t>-</w:t>
            </w:r>
            <w:r w:rsidRPr="001E30BC">
              <w:rPr>
                <w:rFonts w:ascii="Book Antiqua" w:hAnsi="Book Antiqua" w:cs="宋体"/>
                <w:color w:val="000000"/>
                <w:sz w:val="24"/>
                <w:szCs w:val="24"/>
                <w:lang w:val="en-US" w:eastAsia="zh-CN"/>
              </w:rPr>
              <w:t>9</w:t>
            </w:r>
          </w:p>
        </w:tc>
      </w:tr>
      <w:tr w:rsidR="00CE40A9" w:rsidRPr="001E30BC" w:rsidTr="001E30BC">
        <w:trPr>
          <w:trHeight w:val="330"/>
        </w:trPr>
        <w:tc>
          <w:tcPr>
            <w:tcW w:w="1375" w:type="dxa"/>
            <w:vMerge/>
            <w:tcBorders>
              <w:bottom w:val="single" w:sz="4" w:space="0" w:color="000000"/>
            </w:tcBorders>
            <w:vAlign w:val="center"/>
          </w:tcPr>
          <w:p w:rsidR="00CE40A9" w:rsidRPr="001E30BC" w:rsidRDefault="00CE40A9" w:rsidP="00197E9C">
            <w:pPr>
              <w:spacing w:after="0" w:line="240" w:lineRule="auto"/>
              <w:rPr>
                <w:rFonts w:ascii="Book Antiqua" w:hAnsi="Book Antiqua" w:cs="宋体"/>
                <w:color w:val="000000"/>
                <w:sz w:val="24"/>
                <w:szCs w:val="24"/>
                <w:lang w:val="en-US" w:eastAsia="zh-CN"/>
              </w:rPr>
            </w:pPr>
          </w:p>
        </w:tc>
        <w:tc>
          <w:tcPr>
            <w:tcW w:w="2184" w:type="dxa"/>
            <w:vMerge/>
            <w:tcBorders>
              <w:bottom w:val="single" w:sz="4" w:space="0" w:color="000000"/>
            </w:tcBorders>
            <w:vAlign w:val="center"/>
          </w:tcPr>
          <w:p w:rsidR="00CE40A9" w:rsidRPr="001E30BC" w:rsidRDefault="00CE40A9" w:rsidP="00197E9C">
            <w:pPr>
              <w:spacing w:after="0" w:line="240" w:lineRule="auto"/>
              <w:rPr>
                <w:rFonts w:ascii="Book Antiqua" w:hAnsi="Book Antiqua" w:cs="宋体"/>
                <w:color w:val="000000"/>
                <w:sz w:val="24"/>
                <w:szCs w:val="24"/>
                <w:lang w:val="en-US" w:eastAsia="zh-CN"/>
              </w:rPr>
            </w:pPr>
          </w:p>
        </w:tc>
        <w:tc>
          <w:tcPr>
            <w:tcW w:w="2268" w:type="dxa"/>
            <w:vMerge/>
            <w:tcBorders>
              <w:bottom w:val="single" w:sz="4" w:space="0" w:color="000000"/>
            </w:tcBorders>
            <w:vAlign w:val="center"/>
          </w:tcPr>
          <w:p w:rsidR="00CE40A9" w:rsidRPr="001E30BC" w:rsidRDefault="00CE40A9" w:rsidP="00197E9C">
            <w:pPr>
              <w:spacing w:after="0" w:line="240" w:lineRule="auto"/>
              <w:rPr>
                <w:rFonts w:ascii="Book Antiqua" w:hAnsi="Book Antiqua" w:cs="宋体"/>
                <w:color w:val="000000"/>
                <w:sz w:val="24"/>
                <w:szCs w:val="24"/>
                <w:lang w:val="en-US" w:eastAsia="zh-CN"/>
              </w:rPr>
            </w:pPr>
          </w:p>
        </w:tc>
        <w:tc>
          <w:tcPr>
            <w:tcW w:w="2268" w:type="dxa"/>
            <w:tcBorders>
              <w:bottom w:val="single" w:sz="4" w:space="0" w:color="000000"/>
            </w:tcBorders>
            <w:vAlign w:val="center"/>
          </w:tcPr>
          <w:p w:rsidR="00CE40A9" w:rsidRPr="001E30BC" w:rsidRDefault="00CE40A9" w:rsidP="00197E9C">
            <w:pPr>
              <w:spacing w:after="0" w:line="240" w:lineRule="auto"/>
              <w:jc w:val="both"/>
              <w:rPr>
                <w:rFonts w:ascii="Book Antiqua" w:hAnsi="Book Antiqua" w:cs="宋体"/>
                <w:color w:val="000000"/>
                <w:sz w:val="24"/>
                <w:szCs w:val="24"/>
                <w:lang w:val="en-US" w:eastAsia="zh-CN"/>
              </w:rPr>
            </w:pPr>
            <w:r w:rsidRPr="001E30BC">
              <w:rPr>
                <w:rFonts w:ascii="Book Antiqua" w:hAnsi="Book Antiqua" w:cs="宋体"/>
                <w:color w:val="000000"/>
                <w:sz w:val="24"/>
                <w:szCs w:val="24"/>
                <w:lang w:val="en-US" w:eastAsia="zh-CN"/>
              </w:rPr>
              <w:t>(16-119)</w:t>
            </w:r>
          </w:p>
        </w:tc>
      </w:tr>
    </w:tbl>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eastAsia="zh-CN"/>
        </w:rPr>
      </w:pPr>
      <w:r>
        <w:rPr>
          <w:rFonts w:ascii="Book Antiqua" w:hAnsi="Book Antiqua"/>
          <w:sz w:val="24"/>
          <w:szCs w:val="24"/>
          <w:vertAlign w:val="superscript"/>
          <w:lang w:val="en-US" w:eastAsia="zh-CN"/>
        </w:rPr>
        <w:t>1</w:t>
      </w:r>
      <w:r w:rsidRPr="0027683C">
        <w:rPr>
          <w:rFonts w:ascii="Book Antiqua" w:hAnsi="Book Antiqua"/>
          <w:sz w:val="24"/>
          <w:szCs w:val="24"/>
          <w:lang w:val="en-US"/>
        </w:rPr>
        <w:t>Patients: Results expressed as mean number (and range) of stained cells per power field (</w:t>
      </w:r>
      <w:r>
        <w:rPr>
          <w:rFonts w:ascii="Book Antiqua" w:hAnsi="Book Antiqua"/>
          <w:sz w:val="24"/>
          <w:szCs w:val="24"/>
          <w:lang w:val="en-US"/>
        </w:rPr>
        <w:sym w:font="Symbol" w:char="F0B4"/>
      </w:r>
      <w:r>
        <w:rPr>
          <w:rFonts w:ascii="Book Antiqua" w:hAnsi="Book Antiqua"/>
          <w:sz w:val="24"/>
          <w:szCs w:val="24"/>
          <w:lang w:val="en-US" w:eastAsia="zh-CN"/>
        </w:rPr>
        <w:t xml:space="preserve"> </w:t>
      </w:r>
      <w:r w:rsidRPr="0027683C">
        <w:rPr>
          <w:rFonts w:ascii="Book Antiqua" w:hAnsi="Book Antiqua"/>
          <w:sz w:val="24"/>
          <w:szCs w:val="24"/>
          <w:lang w:val="en-US"/>
        </w:rPr>
        <w:t>40)</w:t>
      </w:r>
      <w:r>
        <w:rPr>
          <w:rFonts w:ascii="Book Antiqua" w:hAnsi="Book Antiqua"/>
          <w:sz w:val="24"/>
          <w:szCs w:val="24"/>
          <w:lang w:val="en-US" w:eastAsia="zh-CN"/>
        </w:rPr>
        <w:t xml:space="preserve">; </w:t>
      </w:r>
      <w:r>
        <w:rPr>
          <w:rFonts w:ascii="Book Antiqua" w:hAnsi="Book Antiqua"/>
          <w:sz w:val="24"/>
          <w:szCs w:val="24"/>
          <w:vertAlign w:val="superscript"/>
          <w:lang w:val="en-US" w:eastAsia="zh-CN"/>
        </w:rPr>
        <w:t>2</w:t>
      </w:r>
      <w:r w:rsidRPr="0027683C">
        <w:rPr>
          <w:rFonts w:ascii="Book Antiqua" w:hAnsi="Book Antiqua"/>
          <w:sz w:val="24"/>
          <w:szCs w:val="24"/>
          <w:lang w:val="en-US"/>
        </w:rPr>
        <w:t xml:space="preserve">Control: Histologically normal </w:t>
      </w:r>
      <w:r w:rsidRPr="0027683C">
        <w:rPr>
          <w:rFonts w:ascii="Book Antiqua" w:hAnsi="Book Antiqua"/>
          <w:i/>
          <w:sz w:val="24"/>
          <w:szCs w:val="24"/>
          <w:lang w:val="en-US"/>
        </w:rPr>
        <w:t>corpus</w:t>
      </w:r>
      <w:r>
        <w:rPr>
          <w:rFonts w:ascii="Book Antiqua" w:hAnsi="Book Antiqua"/>
          <w:sz w:val="24"/>
          <w:szCs w:val="24"/>
          <w:lang w:val="en-US"/>
        </w:rPr>
        <w:t xml:space="preserve"> biopsy</w:t>
      </w:r>
      <w:r>
        <w:rPr>
          <w:rFonts w:ascii="Book Antiqua" w:hAnsi="Book Antiqua"/>
          <w:sz w:val="24"/>
          <w:szCs w:val="24"/>
          <w:lang w:val="en-US" w:eastAsia="zh-CN"/>
        </w:rPr>
        <w:t>.</w:t>
      </w:r>
    </w:p>
    <w:p w:rsidR="00CE40A9" w:rsidRPr="0027683C" w:rsidRDefault="00CE40A9" w:rsidP="00197E9C">
      <w:pPr>
        <w:autoSpaceDE w:val="0"/>
        <w:autoSpaceDN w:val="0"/>
        <w:adjustRightInd w:val="0"/>
        <w:spacing w:after="0" w:line="360" w:lineRule="auto"/>
        <w:jc w:val="both"/>
        <w:rPr>
          <w:rFonts w:ascii="Book Antiqua" w:hAnsi="Book Antiqua"/>
          <w:sz w:val="24"/>
          <w:szCs w:val="24"/>
          <w:lang w:val="en-US"/>
        </w:rPr>
      </w:pPr>
    </w:p>
    <w:p w:rsidR="00CE40A9" w:rsidRPr="0027683C" w:rsidRDefault="00CE40A9" w:rsidP="00B553EB">
      <w:pPr>
        <w:spacing w:after="0" w:line="240" w:lineRule="auto"/>
        <w:rPr>
          <w:rFonts w:ascii="Book Antiqua" w:hAnsi="Book Antiqua"/>
          <w:sz w:val="24"/>
          <w:szCs w:val="24"/>
          <w:lang w:val="en-US" w:eastAsia="zh-CN"/>
        </w:rPr>
      </w:pPr>
    </w:p>
    <w:p w:rsidR="00CE40A9" w:rsidRPr="0027683C" w:rsidRDefault="00CE40A9" w:rsidP="00197E9C">
      <w:pPr>
        <w:spacing w:after="0" w:line="360" w:lineRule="auto"/>
        <w:jc w:val="both"/>
        <w:rPr>
          <w:rFonts w:ascii="Book Antiqua" w:hAnsi="Book Antiqua"/>
          <w:sz w:val="24"/>
          <w:szCs w:val="24"/>
          <w:lang w:val="en-US"/>
        </w:rPr>
      </w:pPr>
    </w:p>
    <w:sectPr w:rsidR="00CE40A9" w:rsidRPr="0027683C" w:rsidSect="00743EF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5E9" w:rsidRDefault="00BA45E9" w:rsidP="0081076B">
      <w:pPr>
        <w:spacing w:after="0" w:line="240" w:lineRule="auto"/>
      </w:pPr>
      <w:r>
        <w:separator/>
      </w:r>
    </w:p>
  </w:endnote>
  <w:endnote w:type="continuationSeparator" w:id="0">
    <w:p w:rsidR="00BA45E9" w:rsidRDefault="00BA45E9" w:rsidP="00810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5E9" w:rsidRDefault="00BA45E9" w:rsidP="0081076B">
      <w:pPr>
        <w:spacing w:after="0" w:line="240" w:lineRule="auto"/>
      </w:pPr>
      <w:r>
        <w:separator/>
      </w:r>
    </w:p>
  </w:footnote>
  <w:footnote w:type="continuationSeparator" w:id="0">
    <w:p w:rsidR="00BA45E9" w:rsidRDefault="00BA45E9" w:rsidP="008107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C00E0"/>
    <w:multiLevelType w:val="hybridMultilevel"/>
    <w:tmpl w:val="89E48FF8"/>
    <w:lvl w:ilvl="0" w:tplc="559E10BE">
      <w:start w:val="12"/>
      <w:numFmt w:val="bullet"/>
      <w:lvlText w:val=""/>
      <w:lvlJc w:val="left"/>
      <w:pPr>
        <w:ind w:left="720" w:hanging="360"/>
      </w:pPr>
      <w:rPr>
        <w:rFonts w:ascii="Symbol" w:eastAsia="宋体"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D6"/>
    <w:rsid w:val="00026E56"/>
    <w:rsid w:val="00035C73"/>
    <w:rsid w:val="00064D68"/>
    <w:rsid w:val="0007445E"/>
    <w:rsid w:val="0007473E"/>
    <w:rsid w:val="000904A7"/>
    <w:rsid w:val="000E56B9"/>
    <w:rsid w:val="000E5778"/>
    <w:rsid w:val="00122B1A"/>
    <w:rsid w:val="00125B44"/>
    <w:rsid w:val="001316D6"/>
    <w:rsid w:val="00133849"/>
    <w:rsid w:val="00147C2E"/>
    <w:rsid w:val="001827C1"/>
    <w:rsid w:val="00182F90"/>
    <w:rsid w:val="001902D4"/>
    <w:rsid w:val="00196C0A"/>
    <w:rsid w:val="00197E9C"/>
    <w:rsid w:val="001E30BC"/>
    <w:rsid w:val="001E47D3"/>
    <w:rsid w:val="001F78D3"/>
    <w:rsid w:val="00222E13"/>
    <w:rsid w:val="00265438"/>
    <w:rsid w:val="0027683C"/>
    <w:rsid w:val="00286D3E"/>
    <w:rsid w:val="002B12C8"/>
    <w:rsid w:val="002D2803"/>
    <w:rsid w:val="00300608"/>
    <w:rsid w:val="003332AD"/>
    <w:rsid w:val="00353930"/>
    <w:rsid w:val="00355364"/>
    <w:rsid w:val="00363A85"/>
    <w:rsid w:val="0036464E"/>
    <w:rsid w:val="00375003"/>
    <w:rsid w:val="0038295E"/>
    <w:rsid w:val="003F5E9E"/>
    <w:rsid w:val="00404457"/>
    <w:rsid w:val="00415053"/>
    <w:rsid w:val="004312C6"/>
    <w:rsid w:val="004512FA"/>
    <w:rsid w:val="00471867"/>
    <w:rsid w:val="00472287"/>
    <w:rsid w:val="004907AF"/>
    <w:rsid w:val="004A7815"/>
    <w:rsid w:val="004B02BD"/>
    <w:rsid w:val="004B2BE4"/>
    <w:rsid w:val="004C77C0"/>
    <w:rsid w:val="004E39F5"/>
    <w:rsid w:val="004E5284"/>
    <w:rsid w:val="004F36DC"/>
    <w:rsid w:val="00525EB7"/>
    <w:rsid w:val="00557642"/>
    <w:rsid w:val="005702A2"/>
    <w:rsid w:val="005707A5"/>
    <w:rsid w:val="005B306C"/>
    <w:rsid w:val="005C2BFE"/>
    <w:rsid w:val="005F20FA"/>
    <w:rsid w:val="00605F66"/>
    <w:rsid w:val="0064035E"/>
    <w:rsid w:val="00643F47"/>
    <w:rsid w:val="006473E8"/>
    <w:rsid w:val="00656FEF"/>
    <w:rsid w:val="0066286C"/>
    <w:rsid w:val="0066458E"/>
    <w:rsid w:val="00666284"/>
    <w:rsid w:val="00667956"/>
    <w:rsid w:val="006A6574"/>
    <w:rsid w:val="006B67EE"/>
    <w:rsid w:val="00723233"/>
    <w:rsid w:val="007410E4"/>
    <w:rsid w:val="00743EF5"/>
    <w:rsid w:val="007532E6"/>
    <w:rsid w:val="00770110"/>
    <w:rsid w:val="007A5C96"/>
    <w:rsid w:val="007C4006"/>
    <w:rsid w:val="007E7107"/>
    <w:rsid w:val="007E7525"/>
    <w:rsid w:val="007F61E1"/>
    <w:rsid w:val="0081076B"/>
    <w:rsid w:val="008179FD"/>
    <w:rsid w:val="00817E25"/>
    <w:rsid w:val="0083322A"/>
    <w:rsid w:val="00836F13"/>
    <w:rsid w:val="008502CD"/>
    <w:rsid w:val="008849F3"/>
    <w:rsid w:val="008C2C4D"/>
    <w:rsid w:val="008D0348"/>
    <w:rsid w:val="008D3B6E"/>
    <w:rsid w:val="008D56D6"/>
    <w:rsid w:val="008E00FE"/>
    <w:rsid w:val="00913029"/>
    <w:rsid w:val="00927257"/>
    <w:rsid w:val="0094132B"/>
    <w:rsid w:val="00944E04"/>
    <w:rsid w:val="009713C3"/>
    <w:rsid w:val="00981385"/>
    <w:rsid w:val="0098178B"/>
    <w:rsid w:val="009C1185"/>
    <w:rsid w:val="009E45BF"/>
    <w:rsid w:val="00A37ADF"/>
    <w:rsid w:val="00A77467"/>
    <w:rsid w:val="00AB785E"/>
    <w:rsid w:val="00AC3570"/>
    <w:rsid w:val="00B26CC2"/>
    <w:rsid w:val="00B30330"/>
    <w:rsid w:val="00B31C24"/>
    <w:rsid w:val="00B43734"/>
    <w:rsid w:val="00B47C02"/>
    <w:rsid w:val="00B5149C"/>
    <w:rsid w:val="00B51FDE"/>
    <w:rsid w:val="00B553EB"/>
    <w:rsid w:val="00B62D84"/>
    <w:rsid w:val="00B80972"/>
    <w:rsid w:val="00BA45E9"/>
    <w:rsid w:val="00BA5265"/>
    <w:rsid w:val="00BB5596"/>
    <w:rsid w:val="00BC3D45"/>
    <w:rsid w:val="00BD3649"/>
    <w:rsid w:val="00BE4FFB"/>
    <w:rsid w:val="00BF473B"/>
    <w:rsid w:val="00C15DDA"/>
    <w:rsid w:val="00C15ECA"/>
    <w:rsid w:val="00C27B3C"/>
    <w:rsid w:val="00C31680"/>
    <w:rsid w:val="00C33C05"/>
    <w:rsid w:val="00C358C2"/>
    <w:rsid w:val="00C404A4"/>
    <w:rsid w:val="00C7696F"/>
    <w:rsid w:val="00C8781D"/>
    <w:rsid w:val="00CA7154"/>
    <w:rsid w:val="00CB64EA"/>
    <w:rsid w:val="00CD049F"/>
    <w:rsid w:val="00CE40A9"/>
    <w:rsid w:val="00CF0D85"/>
    <w:rsid w:val="00D56AC7"/>
    <w:rsid w:val="00D60E44"/>
    <w:rsid w:val="00D72BFA"/>
    <w:rsid w:val="00D95FD0"/>
    <w:rsid w:val="00DB5F78"/>
    <w:rsid w:val="00DD4B55"/>
    <w:rsid w:val="00E05F13"/>
    <w:rsid w:val="00E11BAE"/>
    <w:rsid w:val="00E314B2"/>
    <w:rsid w:val="00E404BB"/>
    <w:rsid w:val="00E546BF"/>
    <w:rsid w:val="00E54F84"/>
    <w:rsid w:val="00E642F6"/>
    <w:rsid w:val="00ED34A5"/>
    <w:rsid w:val="00EE5FAE"/>
    <w:rsid w:val="00EF2716"/>
    <w:rsid w:val="00EF370E"/>
    <w:rsid w:val="00F15AD4"/>
    <w:rsid w:val="00F162F3"/>
    <w:rsid w:val="00F35088"/>
    <w:rsid w:val="00F552BF"/>
    <w:rsid w:val="00FC1983"/>
    <w:rsid w:val="00FD3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EF5"/>
    <w:pPr>
      <w:spacing w:after="200" w:line="276" w:lineRule="auto"/>
    </w:pPr>
    <w:rPr>
      <w:kern w:val="0"/>
      <w:sz w:val="22"/>
      <w:lang w:val="pt-P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EE5FAE"/>
    <w:pPr>
      <w:spacing w:after="0" w:line="240" w:lineRule="auto"/>
    </w:pPr>
    <w:rPr>
      <w:rFonts w:ascii="Tahoma" w:hAnsi="Tahoma"/>
      <w:sz w:val="16"/>
      <w:szCs w:val="16"/>
      <w:lang w:val="en-US" w:eastAsia="zh-CN"/>
    </w:rPr>
  </w:style>
  <w:style w:type="character" w:customStyle="1" w:styleId="Char">
    <w:name w:val="批注框文本 Char"/>
    <w:basedOn w:val="a0"/>
    <w:link w:val="a3"/>
    <w:uiPriority w:val="99"/>
    <w:semiHidden/>
    <w:locked/>
    <w:rsid w:val="00EE5FAE"/>
    <w:rPr>
      <w:rFonts w:ascii="Tahoma" w:hAnsi="Tahoma"/>
      <w:sz w:val="16"/>
    </w:rPr>
  </w:style>
  <w:style w:type="paragraph" w:styleId="a4">
    <w:name w:val="header"/>
    <w:basedOn w:val="a"/>
    <w:link w:val="Char0"/>
    <w:uiPriority w:val="99"/>
    <w:rsid w:val="0081076B"/>
    <w:pPr>
      <w:pBdr>
        <w:bottom w:val="single" w:sz="6" w:space="1" w:color="auto"/>
      </w:pBdr>
      <w:tabs>
        <w:tab w:val="center" w:pos="4153"/>
        <w:tab w:val="right" w:pos="8306"/>
      </w:tabs>
      <w:snapToGrid w:val="0"/>
      <w:spacing w:line="240" w:lineRule="auto"/>
      <w:jc w:val="center"/>
    </w:pPr>
    <w:rPr>
      <w:sz w:val="18"/>
      <w:szCs w:val="18"/>
      <w:lang w:val="en-US"/>
    </w:rPr>
  </w:style>
  <w:style w:type="character" w:customStyle="1" w:styleId="Char0">
    <w:name w:val="页眉 Char"/>
    <w:basedOn w:val="a0"/>
    <w:link w:val="a4"/>
    <w:uiPriority w:val="99"/>
    <w:locked/>
    <w:rsid w:val="0081076B"/>
    <w:rPr>
      <w:sz w:val="18"/>
      <w:lang w:eastAsia="en-US"/>
    </w:rPr>
  </w:style>
  <w:style w:type="paragraph" w:styleId="a5">
    <w:name w:val="footer"/>
    <w:basedOn w:val="a"/>
    <w:link w:val="Char1"/>
    <w:uiPriority w:val="99"/>
    <w:rsid w:val="0081076B"/>
    <w:pPr>
      <w:tabs>
        <w:tab w:val="center" w:pos="4153"/>
        <w:tab w:val="right" w:pos="8306"/>
      </w:tabs>
      <w:snapToGrid w:val="0"/>
      <w:spacing w:line="240" w:lineRule="auto"/>
    </w:pPr>
    <w:rPr>
      <w:sz w:val="18"/>
      <w:szCs w:val="18"/>
      <w:lang w:val="en-US"/>
    </w:rPr>
  </w:style>
  <w:style w:type="character" w:customStyle="1" w:styleId="Char1">
    <w:name w:val="页脚 Char"/>
    <w:basedOn w:val="a0"/>
    <w:link w:val="a5"/>
    <w:uiPriority w:val="99"/>
    <w:locked/>
    <w:rsid w:val="0081076B"/>
    <w:rPr>
      <w:sz w:val="18"/>
      <w:lang w:eastAsia="en-US"/>
    </w:rPr>
  </w:style>
  <w:style w:type="character" w:styleId="a6">
    <w:name w:val="annotation reference"/>
    <w:basedOn w:val="a0"/>
    <w:uiPriority w:val="99"/>
    <w:rsid w:val="00BC3D45"/>
    <w:rPr>
      <w:rFonts w:cs="Times New Roman"/>
      <w:sz w:val="21"/>
    </w:rPr>
  </w:style>
  <w:style w:type="paragraph" w:styleId="a7">
    <w:name w:val="annotation text"/>
    <w:basedOn w:val="a"/>
    <w:link w:val="Char2"/>
    <w:uiPriority w:val="99"/>
    <w:rsid w:val="00BC3D45"/>
    <w:pPr>
      <w:spacing w:after="0" w:line="240" w:lineRule="auto"/>
    </w:pPr>
    <w:rPr>
      <w:rFonts w:ascii="Times New Roman" w:hAnsi="Times New Roman"/>
      <w:sz w:val="24"/>
      <w:szCs w:val="24"/>
      <w:lang w:val="en-US"/>
    </w:rPr>
  </w:style>
  <w:style w:type="character" w:customStyle="1" w:styleId="Char2">
    <w:name w:val="批注文字 Char"/>
    <w:basedOn w:val="a0"/>
    <w:link w:val="a7"/>
    <w:uiPriority w:val="99"/>
    <w:locked/>
    <w:rsid w:val="00BC3D45"/>
    <w:rPr>
      <w:rFonts w:ascii="Times New Roman" w:hAnsi="Times New Roman"/>
      <w:sz w:val="24"/>
      <w:lang w:eastAsia="en-US"/>
    </w:rPr>
  </w:style>
  <w:style w:type="paragraph" w:styleId="a8">
    <w:name w:val="annotation subject"/>
    <w:basedOn w:val="a7"/>
    <w:next w:val="a7"/>
    <w:link w:val="Char3"/>
    <w:uiPriority w:val="99"/>
    <w:semiHidden/>
    <w:rsid w:val="00BC3D45"/>
    <w:pPr>
      <w:spacing w:after="200" w:line="276" w:lineRule="auto"/>
    </w:pPr>
    <w:rPr>
      <w:b/>
      <w:bCs/>
      <w:sz w:val="22"/>
      <w:szCs w:val="22"/>
    </w:rPr>
  </w:style>
  <w:style w:type="character" w:customStyle="1" w:styleId="Char3">
    <w:name w:val="批注主题 Char"/>
    <w:basedOn w:val="Char2"/>
    <w:link w:val="a8"/>
    <w:uiPriority w:val="99"/>
    <w:semiHidden/>
    <w:locked/>
    <w:rsid w:val="00BC3D45"/>
    <w:rPr>
      <w:rFonts w:ascii="Times New Roman" w:hAnsi="Times New Roman"/>
      <w:b/>
      <w:sz w:val="22"/>
      <w:lang w:val="pt-PT" w:eastAsia="en-US"/>
    </w:rPr>
  </w:style>
  <w:style w:type="paragraph" w:customStyle="1" w:styleId="p0">
    <w:name w:val="p0"/>
    <w:basedOn w:val="a"/>
    <w:uiPriority w:val="99"/>
    <w:rsid w:val="00BC3D45"/>
    <w:pPr>
      <w:spacing w:after="0" w:line="240" w:lineRule="atLeast"/>
    </w:pPr>
    <w:rPr>
      <w:rFonts w:ascii="Century" w:hAnsi="Century" w:cs="宋体"/>
      <w:sz w:val="21"/>
      <w:szCs w:val="21"/>
      <w:lang w:val="en-US" w:eastAsia="zh-CN"/>
    </w:rPr>
  </w:style>
  <w:style w:type="character" w:styleId="a9">
    <w:name w:val="Hyperlink"/>
    <w:basedOn w:val="a0"/>
    <w:uiPriority w:val="99"/>
    <w:rsid w:val="00BC3D45"/>
    <w:rPr>
      <w:rFonts w:cs="Times New Roman"/>
      <w:color w:val="0000FF"/>
      <w:u w:val="single"/>
    </w:rPr>
  </w:style>
  <w:style w:type="character" w:styleId="aa">
    <w:name w:val="Strong"/>
    <w:basedOn w:val="a0"/>
    <w:uiPriority w:val="99"/>
    <w:qFormat/>
    <w:rsid w:val="00BC3D45"/>
    <w:rPr>
      <w:rFonts w:cs="Times New Roman"/>
      <w:b/>
    </w:rPr>
  </w:style>
  <w:style w:type="paragraph" w:styleId="ab">
    <w:name w:val="List Paragraph"/>
    <w:basedOn w:val="a"/>
    <w:uiPriority w:val="99"/>
    <w:qFormat/>
    <w:rsid w:val="00BC3D45"/>
    <w:pPr>
      <w:suppressAutoHyphens/>
      <w:spacing w:after="0" w:line="240" w:lineRule="auto"/>
      <w:ind w:firstLineChars="200" w:firstLine="420"/>
    </w:pPr>
    <w:rPr>
      <w:rFonts w:ascii="Times New Roman" w:hAnsi="Times New Roman" w:cs="Mangal"/>
      <w:kern w:val="1"/>
      <w:sz w:val="24"/>
      <w:szCs w:val="21"/>
      <w:lang w:val="it-IT" w:eastAsia="hi-IN" w:bidi="hi-IN"/>
    </w:rPr>
  </w:style>
  <w:style w:type="character" w:customStyle="1" w:styleId="highlight1">
    <w:name w:val="highlight1"/>
    <w:basedOn w:val="a0"/>
    <w:uiPriority w:val="99"/>
    <w:rsid w:val="005702A2"/>
    <w:rPr>
      <w:rFonts w:cs="Times New Roman"/>
      <w:shd w:val="clear" w:color="auto" w:fill="F2F5F8"/>
    </w:rPr>
  </w:style>
  <w:style w:type="paragraph" w:customStyle="1" w:styleId="citationline">
    <w:name w:val="citationline"/>
    <w:basedOn w:val="a"/>
    <w:uiPriority w:val="99"/>
    <w:rsid w:val="0083322A"/>
    <w:pPr>
      <w:spacing w:before="100" w:beforeAutospacing="1" w:after="100" w:afterAutospacing="1" w:line="336" w:lineRule="atLeast"/>
    </w:pPr>
    <w:rPr>
      <w:rFonts w:ascii="Times New Roman" w:hAnsi="Times New Roman"/>
      <w:sz w:val="17"/>
      <w:szCs w:val="17"/>
      <w:lang w:eastAsia="pt-PT"/>
    </w:rPr>
  </w:style>
  <w:style w:type="character" w:customStyle="1" w:styleId="doi1">
    <w:name w:val="doi1"/>
    <w:basedOn w:val="a0"/>
    <w:uiPriority w:val="99"/>
    <w:rsid w:val="0083322A"/>
    <w:rPr>
      <w:rFonts w:cs="Times New Roman"/>
      <w:color w:val="666666"/>
    </w:rPr>
  </w:style>
  <w:style w:type="character" w:customStyle="1" w:styleId="slug-doi">
    <w:name w:val="slug-doi"/>
    <w:basedOn w:val="a0"/>
    <w:uiPriority w:val="99"/>
    <w:rsid w:val="007A5C96"/>
    <w:rPr>
      <w:rFonts w:cs="Times New Roman"/>
    </w:rPr>
  </w:style>
  <w:style w:type="table" w:styleId="ac">
    <w:name w:val="Table Grid"/>
    <w:basedOn w:val="a1"/>
    <w:uiPriority w:val="99"/>
    <w:rsid w:val="008849F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E05F13"/>
    <w:rPr>
      <w:rFonts w:cs="Times New Roman"/>
    </w:rPr>
  </w:style>
  <w:style w:type="character" w:customStyle="1" w:styleId="highlight">
    <w:name w:val="highlight"/>
    <w:basedOn w:val="a0"/>
    <w:uiPriority w:val="99"/>
    <w:rsid w:val="00E05F1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EF5"/>
    <w:pPr>
      <w:spacing w:after="200" w:line="276" w:lineRule="auto"/>
    </w:pPr>
    <w:rPr>
      <w:kern w:val="0"/>
      <w:sz w:val="22"/>
      <w:lang w:val="pt-P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EE5FAE"/>
    <w:pPr>
      <w:spacing w:after="0" w:line="240" w:lineRule="auto"/>
    </w:pPr>
    <w:rPr>
      <w:rFonts w:ascii="Tahoma" w:hAnsi="Tahoma"/>
      <w:sz w:val="16"/>
      <w:szCs w:val="16"/>
      <w:lang w:val="en-US" w:eastAsia="zh-CN"/>
    </w:rPr>
  </w:style>
  <w:style w:type="character" w:customStyle="1" w:styleId="Char">
    <w:name w:val="批注框文本 Char"/>
    <w:basedOn w:val="a0"/>
    <w:link w:val="a3"/>
    <w:uiPriority w:val="99"/>
    <w:semiHidden/>
    <w:locked/>
    <w:rsid w:val="00EE5FAE"/>
    <w:rPr>
      <w:rFonts w:ascii="Tahoma" w:hAnsi="Tahoma"/>
      <w:sz w:val="16"/>
    </w:rPr>
  </w:style>
  <w:style w:type="paragraph" w:styleId="a4">
    <w:name w:val="header"/>
    <w:basedOn w:val="a"/>
    <w:link w:val="Char0"/>
    <w:uiPriority w:val="99"/>
    <w:rsid w:val="0081076B"/>
    <w:pPr>
      <w:pBdr>
        <w:bottom w:val="single" w:sz="6" w:space="1" w:color="auto"/>
      </w:pBdr>
      <w:tabs>
        <w:tab w:val="center" w:pos="4153"/>
        <w:tab w:val="right" w:pos="8306"/>
      </w:tabs>
      <w:snapToGrid w:val="0"/>
      <w:spacing w:line="240" w:lineRule="auto"/>
      <w:jc w:val="center"/>
    </w:pPr>
    <w:rPr>
      <w:sz w:val="18"/>
      <w:szCs w:val="18"/>
      <w:lang w:val="en-US"/>
    </w:rPr>
  </w:style>
  <w:style w:type="character" w:customStyle="1" w:styleId="Char0">
    <w:name w:val="页眉 Char"/>
    <w:basedOn w:val="a0"/>
    <w:link w:val="a4"/>
    <w:uiPriority w:val="99"/>
    <w:locked/>
    <w:rsid w:val="0081076B"/>
    <w:rPr>
      <w:sz w:val="18"/>
      <w:lang w:eastAsia="en-US"/>
    </w:rPr>
  </w:style>
  <w:style w:type="paragraph" w:styleId="a5">
    <w:name w:val="footer"/>
    <w:basedOn w:val="a"/>
    <w:link w:val="Char1"/>
    <w:uiPriority w:val="99"/>
    <w:rsid w:val="0081076B"/>
    <w:pPr>
      <w:tabs>
        <w:tab w:val="center" w:pos="4153"/>
        <w:tab w:val="right" w:pos="8306"/>
      </w:tabs>
      <w:snapToGrid w:val="0"/>
      <w:spacing w:line="240" w:lineRule="auto"/>
    </w:pPr>
    <w:rPr>
      <w:sz w:val="18"/>
      <w:szCs w:val="18"/>
      <w:lang w:val="en-US"/>
    </w:rPr>
  </w:style>
  <w:style w:type="character" w:customStyle="1" w:styleId="Char1">
    <w:name w:val="页脚 Char"/>
    <w:basedOn w:val="a0"/>
    <w:link w:val="a5"/>
    <w:uiPriority w:val="99"/>
    <w:locked/>
    <w:rsid w:val="0081076B"/>
    <w:rPr>
      <w:sz w:val="18"/>
      <w:lang w:eastAsia="en-US"/>
    </w:rPr>
  </w:style>
  <w:style w:type="character" w:styleId="a6">
    <w:name w:val="annotation reference"/>
    <w:basedOn w:val="a0"/>
    <w:uiPriority w:val="99"/>
    <w:rsid w:val="00BC3D45"/>
    <w:rPr>
      <w:rFonts w:cs="Times New Roman"/>
      <w:sz w:val="21"/>
    </w:rPr>
  </w:style>
  <w:style w:type="paragraph" w:styleId="a7">
    <w:name w:val="annotation text"/>
    <w:basedOn w:val="a"/>
    <w:link w:val="Char2"/>
    <w:uiPriority w:val="99"/>
    <w:rsid w:val="00BC3D45"/>
    <w:pPr>
      <w:spacing w:after="0" w:line="240" w:lineRule="auto"/>
    </w:pPr>
    <w:rPr>
      <w:rFonts w:ascii="Times New Roman" w:hAnsi="Times New Roman"/>
      <w:sz w:val="24"/>
      <w:szCs w:val="24"/>
      <w:lang w:val="en-US"/>
    </w:rPr>
  </w:style>
  <w:style w:type="character" w:customStyle="1" w:styleId="Char2">
    <w:name w:val="批注文字 Char"/>
    <w:basedOn w:val="a0"/>
    <w:link w:val="a7"/>
    <w:uiPriority w:val="99"/>
    <w:locked/>
    <w:rsid w:val="00BC3D45"/>
    <w:rPr>
      <w:rFonts w:ascii="Times New Roman" w:hAnsi="Times New Roman"/>
      <w:sz w:val="24"/>
      <w:lang w:eastAsia="en-US"/>
    </w:rPr>
  </w:style>
  <w:style w:type="paragraph" w:styleId="a8">
    <w:name w:val="annotation subject"/>
    <w:basedOn w:val="a7"/>
    <w:next w:val="a7"/>
    <w:link w:val="Char3"/>
    <w:uiPriority w:val="99"/>
    <w:semiHidden/>
    <w:rsid w:val="00BC3D45"/>
    <w:pPr>
      <w:spacing w:after="200" w:line="276" w:lineRule="auto"/>
    </w:pPr>
    <w:rPr>
      <w:b/>
      <w:bCs/>
      <w:sz w:val="22"/>
      <w:szCs w:val="22"/>
    </w:rPr>
  </w:style>
  <w:style w:type="character" w:customStyle="1" w:styleId="Char3">
    <w:name w:val="批注主题 Char"/>
    <w:basedOn w:val="Char2"/>
    <w:link w:val="a8"/>
    <w:uiPriority w:val="99"/>
    <w:semiHidden/>
    <w:locked/>
    <w:rsid w:val="00BC3D45"/>
    <w:rPr>
      <w:rFonts w:ascii="Times New Roman" w:hAnsi="Times New Roman"/>
      <w:b/>
      <w:sz w:val="22"/>
      <w:lang w:val="pt-PT" w:eastAsia="en-US"/>
    </w:rPr>
  </w:style>
  <w:style w:type="paragraph" w:customStyle="1" w:styleId="p0">
    <w:name w:val="p0"/>
    <w:basedOn w:val="a"/>
    <w:uiPriority w:val="99"/>
    <w:rsid w:val="00BC3D45"/>
    <w:pPr>
      <w:spacing w:after="0" w:line="240" w:lineRule="atLeast"/>
    </w:pPr>
    <w:rPr>
      <w:rFonts w:ascii="Century" w:hAnsi="Century" w:cs="宋体"/>
      <w:sz w:val="21"/>
      <w:szCs w:val="21"/>
      <w:lang w:val="en-US" w:eastAsia="zh-CN"/>
    </w:rPr>
  </w:style>
  <w:style w:type="character" w:styleId="a9">
    <w:name w:val="Hyperlink"/>
    <w:basedOn w:val="a0"/>
    <w:uiPriority w:val="99"/>
    <w:rsid w:val="00BC3D45"/>
    <w:rPr>
      <w:rFonts w:cs="Times New Roman"/>
      <w:color w:val="0000FF"/>
      <w:u w:val="single"/>
    </w:rPr>
  </w:style>
  <w:style w:type="character" w:styleId="aa">
    <w:name w:val="Strong"/>
    <w:basedOn w:val="a0"/>
    <w:uiPriority w:val="99"/>
    <w:qFormat/>
    <w:rsid w:val="00BC3D45"/>
    <w:rPr>
      <w:rFonts w:cs="Times New Roman"/>
      <w:b/>
    </w:rPr>
  </w:style>
  <w:style w:type="paragraph" w:styleId="ab">
    <w:name w:val="List Paragraph"/>
    <w:basedOn w:val="a"/>
    <w:uiPriority w:val="99"/>
    <w:qFormat/>
    <w:rsid w:val="00BC3D45"/>
    <w:pPr>
      <w:suppressAutoHyphens/>
      <w:spacing w:after="0" w:line="240" w:lineRule="auto"/>
      <w:ind w:firstLineChars="200" w:firstLine="420"/>
    </w:pPr>
    <w:rPr>
      <w:rFonts w:ascii="Times New Roman" w:hAnsi="Times New Roman" w:cs="Mangal"/>
      <w:kern w:val="1"/>
      <w:sz w:val="24"/>
      <w:szCs w:val="21"/>
      <w:lang w:val="it-IT" w:eastAsia="hi-IN" w:bidi="hi-IN"/>
    </w:rPr>
  </w:style>
  <w:style w:type="character" w:customStyle="1" w:styleId="highlight1">
    <w:name w:val="highlight1"/>
    <w:basedOn w:val="a0"/>
    <w:uiPriority w:val="99"/>
    <w:rsid w:val="005702A2"/>
    <w:rPr>
      <w:rFonts w:cs="Times New Roman"/>
      <w:shd w:val="clear" w:color="auto" w:fill="F2F5F8"/>
    </w:rPr>
  </w:style>
  <w:style w:type="paragraph" w:customStyle="1" w:styleId="citationline">
    <w:name w:val="citationline"/>
    <w:basedOn w:val="a"/>
    <w:uiPriority w:val="99"/>
    <w:rsid w:val="0083322A"/>
    <w:pPr>
      <w:spacing w:before="100" w:beforeAutospacing="1" w:after="100" w:afterAutospacing="1" w:line="336" w:lineRule="atLeast"/>
    </w:pPr>
    <w:rPr>
      <w:rFonts w:ascii="Times New Roman" w:hAnsi="Times New Roman"/>
      <w:sz w:val="17"/>
      <w:szCs w:val="17"/>
      <w:lang w:eastAsia="pt-PT"/>
    </w:rPr>
  </w:style>
  <w:style w:type="character" w:customStyle="1" w:styleId="doi1">
    <w:name w:val="doi1"/>
    <w:basedOn w:val="a0"/>
    <w:uiPriority w:val="99"/>
    <w:rsid w:val="0083322A"/>
    <w:rPr>
      <w:rFonts w:cs="Times New Roman"/>
      <w:color w:val="666666"/>
    </w:rPr>
  </w:style>
  <w:style w:type="character" w:customStyle="1" w:styleId="slug-doi">
    <w:name w:val="slug-doi"/>
    <w:basedOn w:val="a0"/>
    <w:uiPriority w:val="99"/>
    <w:rsid w:val="007A5C96"/>
    <w:rPr>
      <w:rFonts w:cs="Times New Roman"/>
    </w:rPr>
  </w:style>
  <w:style w:type="table" w:styleId="ac">
    <w:name w:val="Table Grid"/>
    <w:basedOn w:val="a1"/>
    <w:uiPriority w:val="99"/>
    <w:rsid w:val="008849F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E05F13"/>
    <w:rPr>
      <w:rFonts w:cs="Times New Roman"/>
    </w:rPr>
  </w:style>
  <w:style w:type="character" w:customStyle="1" w:styleId="highlight">
    <w:name w:val="highlight"/>
    <w:basedOn w:val="a0"/>
    <w:uiPriority w:val="99"/>
    <w:rsid w:val="00E05F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07919">
      <w:marLeft w:val="0"/>
      <w:marRight w:val="0"/>
      <w:marTop w:val="0"/>
      <w:marBottom w:val="0"/>
      <w:divBdr>
        <w:top w:val="none" w:sz="0" w:space="0" w:color="auto"/>
        <w:left w:val="none" w:sz="0" w:space="0" w:color="auto"/>
        <w:bottom w:val="none" w:sz="0" w:space="0" w:color="auto"/>
        <w:right w:val="none" w:sz="0" w:space="0" w:color="auto"/>
      </w:divBdr>
      <w:divsChild>
        <w:div w:id="1941907954">
          <w:marLeft w:val="0"/>
          <w:marRight w:val="1"/>
          <w:marTop w:val="0"/>
          <w:marBottom w:val="0"/>
          <w:divBdr>
            <w:top w:val="none" w:sz="0" w:space="0" w:color="auto"/>
            <w:left w:val="none" w:sz="0" w:space="0" w:color="auto"/>
            <w:bottom w:val="none" w:sz="0" w:space="0" w:color="auto"/>
            <w:right w:val="none" w:sz="0" w:space="0" w:color="auto"/>
          </w:divBdr>
          <w:divsChild>
            <w:div w:id="1941908024">
              <w:marLeft w:val="0"/>
              <w:marRight w:val="0"/>
              <w:marTop w:val="0"/>
              <w:marBottom w:val="0"/>
              <w:divBdr>
                <w:top w:val="none" w:sz="0" w:space="0" w:color="auto"/>
                <w:left w:val="none" w:sz="0" w:space="0" w:color="auto"/>
                <w:bottom w:val="none" w:sz="0" w:space="0" w:color="auto"/>
                <w:right w:val="none" w:sz="0" w:space="0" w:color="auto"/>
              </w:divBdr>
              <w:divsChild>
                <w:div w:id="1941907939">
                  <w:marLeft w:val="0"/>
                  <w:marRight w:val="1"/>
                  <w:marTop w:val="0"/>
                  <w:marBottom w:val="0"/>
                  <w:divBdr>
                    <w:top w:val="none" w:sz="0" w:space="0" w:color="auto"/>
                    <w:left w:val="none" w:sz="0" w:space="0" w:color="auto"/>
                    <w:bottom w:val="none" w:sz="0" w:space="0" w:color="auto"/>
                    <w:right w:val="none" w:sz="0" w:space="0" w:color="auto"/>
                  </w:divBdr>
                  <w:divsChild>
                    <w:div w:id="1941908045">
                      <w:marLeft w:val="0"/>
                      <w:marRight w:val="0"/>
                      <w:marTop w:val="0"/>
                      <w:marBottom w:val="0"/>
                      <w:divBdr>
                        <w:top w:val="none" w:sz="0" w:space="0" w:color="auto"/>
                        <w:left w:val="none" w:sz="0" w:space="0" w:color="auto"/>
                        <w:bottom w:val="none" w:sz="0" w:space="0" w:color="auto"/>
                        <w:right w:val="none" w:sz="0" w:space="0" w:color="auto"/>
                      </w:divBdr>
                      <w:divsChild>
                        <w:div w:id="1941907929">
                          <w:marLeft w:val="0"/>
                          <w:marRight w:val="0"/>
                          <w:marTop w:val="0"/>
                          <w:marBottom w:val="0"/>
                          <w:divBdr>
                            <w:top w:val="none" w:sz="0" w:space="0" w:color="auto"/>
                            <w:left w:val="none" w:sz="0" w:space="0" w:color="auto"/>
                            <w:bottom w:val="none" w:sz="0" w:space="0" w:color="auto"/>
                            <w:right w:val="none" w:sz="0" w:space="0" w:color="auto"/>
                          </w:divBdr>
                          <w:divsChild>
                            <w:div w:id="1941907915">
                              <w:marLeft w:val="0"/>
                              <w:marRight w:val="0"/>
                              <w:marTop w:val="120"/>
                              <w:marBottom w:val="360"/>
                              <w:divBdr>
                                <w:top w:val="none" w:sz="0" w:space="0" w:color="auto"/>
                                <w:left w:val="none" w:sz="0" w:space="0" w:color="auto"/>
                                <w:bottom w:val="none" w:sz="0" w:space="0" w:color="auto"/>
                                <w:right w:val="none" w:sz="0" w:space="0" w:color="auto"/>
                              </w:divBdr>
                              <w:divsChild>
                                <w:div w:id="19419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907928">
      <w:marLeft w:val="0"/>
      <w:marRight w:val="0"/>
      <w:marTop w:val="0"/>
      <w:marBottom w:val="0"/>
      <w:divBdr>
        <w:top w:val="none" w:sz="0" w:space="0" w:color="auto"/>
        <w:left w:val="none" w:sz="0" w:space="0" w:color="auto"/>
        <w:bottom w:val="none" w:sz="0" w:space="0" w:color="auto"/>
        <w:right w:val="none" w:sz="0" w:space="0" w:color="auto"/>
      </w:divBdr>
      <w:divsChild>
        <w:div w:id="1941907991">
          <w:marLeft w:val="0"/>
          <w:marRight w:val="1"/>
          <w:marTop w:val="0"/>
          <w:marBottom w:val="0"/>
          <w:divBdr>
            <w:top w:val="none" w:sz="0" w:space="0" w:color="auto"/>
            <w:left w:val="none" w:sz="0" w:space="0" w:color="auto"/>
            <w:bottom w:val="none" w:sz="0" w:space="0" w:color="auto"/>
            <w:right w:val="none" w:sz="0" w:space="0" w:color="auto"/>
          </w:divBdr>
          <w:divsChild>
            <w:div w:id="1941907907">
              <w:marLeft w:val="0"/>
              <w:marRight w:val="0"/>
              <w:marTop w:val="0"/>
              <w:marBottom w:val="0"/>
              <w:divBdr>
                <w:top w:val="none" w:sz="0" w:space="0" w:color="auto"/>
                <w:left w:val="none" w:sz="0" w:space="0" w:color="auto"/>
                <w:bottom w:val="none" w:sz="0" w:space="0" w:color="auto"/>
                <w:right w:val="none" w:sz="0" w:space="0" w:color="auto"/>
              </w:divBdr>
              <w:divsChild>
                <w:div w:id="1941908048">
                  <w:marLeft w:val="0"/>
                  <w:marRight w:val="1"/>
                  <w:marTop w:val="0"/>
                  <w:marBottom w:val="0"/>
                  <w:divBdr>
                    <w:top w:val="none" w:sz="0" w:space="0" w:color="auto"/>
                    <w:left w:val="none" w:sz="0" w:space="0" w:color="auto"/>
                    <w:bottom w:val="none" w:sz="0" w:space="0" w:color="auto"/>
                    <w:right w:val="none" w:sz="0" w:space="0" w:color="auto"/>
                  </w:divBdr>
                  <w:divsChild>
                    <w:div w:id="1941907961">
                      <w:marLeft w:val="0"/>
                      <w:marRight w:val="0"/>
                      <w:marTop w:val="0"/>
                      <w:marBottom w:val="0"/>
                      <w:divBdr>
                        <w:top w:val="none" w:sz="0" w:space="0" w:color="auto"/>
                        <w:left w:val="none" w:sz="0" w:space="0" w:color="auto"/>
                        <w:bottom w:val="none" w:sz="0" w:space="0" w:color="auto"/>
                        <w:right w:val="none" w:sz="0" w:space="0" w:color="auto"/>
                      </w:divBdr>
                      <w:divsChild>
                        <w:div w:id="1941907968">
                          <w:marLeft w:val="0"/>
                          <w:marRight w:val="0"/>
                          <w:marTop w:val="0"/>
                          <w:marBottom w:val="0"/>
                          <w:divBdr>
                            <w:top w:val="none" w:sz="0" w:space="0" w:color="auto"/>
                            <w:left w:val="none" w:sz="0" w:space="0" w:color="auto"/>
                            <w:bottom w:val="none" w:sz="0" w:space="0" w:color="auto"/>
                            <w:right w:val="none" w:sz="0" w:space="0" w:color="auto"/>
                          </w:divBdr>
                          <w:divsChild>
                            <w:div w:id="1941907979">
                              <w:marLeft w:val="0"/>
                              <w:marRight w:val="0"/>
                              <w:marTop w:val="120"/>
                              <w:marBottom w:val="360"/>
                              <w:divBdr>
                                <w:top w:val="none" w:sz="0" w:space="0" w:color="auto"/>
                                <w:left w:val="none" w:sz="0" w:space="0" w:color="auto"/>
                                <w:bottom w:val="none" w:sz="0" w:space="0" w:color="auto"/>
                                <w:right w:val="none" w:sz="0" w:space="0" w:color="auto"/>
                              </w:divBdr>
                              <w:divsChild>
                                <w:div w:id="1941907962">
                                  <w:marLeft w:val="0"/>
                                  <w:marRight w:val="0"/>
                                  <w:marTop w:val="0"/>
                                  <w:marBottom w:val="0"/>
                                  <w:divBdr>
                                    <w:top w:val="none" w:sz="0" w:space="0" w:color="auto"/>
                                    <w:left w:val="none" w:sz="0" w:space="0" w:color="auto"/>
                                    <w:bottom w:val="none" w:sz="0" w:space="0" w:color="auto"/>
                                    <w:right w:val="none" w:sz="0" w:space="0" w:color="auto"/>
                                  </w:divBdr>
                                  <w:divsChild>
                                    <w:div w:id="194190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907934">
      <w:marLeft w:val="0"/>
      <w:marRight w:val="0"/>
      <w:marTop w:val="0"/>
      <w:marBottom w:val="0"/>
      <w:divBdr>
        <w:top w:val="none" w:sz="0" w:space="0" w:color="auto"/>
        <w:left w:val="none" w:sz="0" w:space="0" w:color="auto"/>
        <w:bottom w:val="none" w:sz="0" w:space="0" w:color="auto"/>
        <w:right w:val="none" w:sz="0" w:space="0" w:color="auto"/>
      </w:divBdr>
      <w:divsChild>
        <w:div w:id="1941907970">
          <w:marLeft w:val="0"/>
          <w:marRight w:val="1"/>
          <w:marTop w:val="0"/>
          <w:marBottom w:val="0"/>
          <w:divBdr>
            <w:top w:val="none" w:sz="0" w:space="0" w:color="auto"/>
            <w:left w:val="none" w:sz="0" w:space="0" w:color="auto"/>
            <w:bottom w:val="none" w:sz="0" w:space="0" w:color="auto"/>
            <w:right w:val="none" w:sz="0" w:space="0" w:color="auto"/>
          </w:divBdr>
          <w:divsChild>
            <w:div w:id="1941907974">
              <w:marLeft w:val="0"/>
              <w:marRight w:val="0"/>
              <w:marTop w:val="0"/>
              <w:marBottom w:val="0"/>
              <w:divBdr>
                <w:top w:val="none" w:sz="0" w:space="0" w:color="auto"/>
                <w:left w:val="none" w:sz="0" w:space="0" w:color="auto"/>
                <w:bottom w:val="none" w:sz="0" w:space="0" w:color="auto"/>
                <w:right w:val="none" w:sz="0" w:space="0" w:color="auto"/>
              </w:divBdr>
              <w:divsChild>
                <w:div w:id="1941907940">
                  <w:marLeft w:val="0"/>
                  <w:marRight w:val="1"/>
                  <w:marTop w:val="0"/>
                  <w:marBottom w:val="0"/>
                  <w:divBdr>
                    <w:top w:val="none" w:sz="0" w:space="0" w:color="auto"/>
                    <w:left w:val="none" w:sz="0" w:space="0" w:color="auto"/>
                    <w:bottom w:val="none" w:sz="0" w:space="0" w:color="auto"/>
                    <w:right w:val="none" w:sz="0" w:space="0" w:color="auto"/>
                  </w:divBdr>
                  <w:divsChild>
                    <w:div w:id="1941908034">
                      <w:marLeft w:val="0"/>
                      <w:marRight w:val="0"/>
                      <w:marTop w:val="0"/>
                      <w:marBottom w:val="0"/>
                      <w:divBdr>
                        <w:top w:val="none" w:sz="0" w:space="0" w:color="auto"/>
                        <w:left w:val="none" w:sz="0" w:space="0" w:color="auto"/>
                        <w:bottom w:val="none" w:sz="0" w:space="0" w:color="auto"/>
                        <w:right w:val="none" w:sz="0" w:space="0" w:color="auto"/>
                      </w:divBdr>
                      <w:divsChild>
                        <w:div w:id="1941908049">
                          <w:marLeft w:val="0"/>
                          <w:marRight w:val="0"/>
                          <w:marTop w:val="0"/>
                          <w:marBottom w:val="0"/>
                          <w:divBdr>
                            <w:top w:val="none" w:sz="0" w:space="0" w:color="auto"/>
                            <w:left w:val="none" w:sz="0" w:space="0" w:color="auto"/>
                            <w:bottom w:val="none" w:sz="0" w:space="0" w:color="auto"/>
                            <w:right w:val="none" w:sz="0" w:space="0" w:color="auto"/>
                          </w:divBdr>
                          <w:divsChild>
                            <w:div w:id="1941908033">
                              <w:marLeft w:val="0"/>
                              <w:marRight w:val="0"/>
                              <w:marTop w:val="120"/>
                              <w:marBottom w:val="360"/>
                              <w:divBdr>
                                <w:top w:val="none" w:sz="0" w:space="0" w:color="auto"/>
                                <w:left w:val="none" w:sz="0" w:space="0" w:color="auto"/>
                                <w:bottom w:val="none" w:sz="0" w:space="0" w:color="auto"/>
                                <w:right w:val="none" w:sz="0" w:space="0" w:color="auto"/>
                              </w:divBdr>
                              <w:divsChild>
                                <w:div w:id="1941908012">
                                  <w:marLeft w:val="0"/>
                                  <w:marRight w:val="0"/>
                                  <w:marTop w:val="0"/>
                                  <w:marBottom w:val="0"/>
                                  <w:divBdr>
                                    <w:top w:val="none" w:sz="0" w:space="0" w:color="auto"/>
                                    <w:left w:val="none" w:sz="0" w:space="0" w:color="auto"/>
                                    <w:bottom w:val="none" w:sz="0" w:space="0" w:color="auto"/>
                                    <w:right w:val="none" w:sz="0" w:space="0" w:color="auto"/>
                                  </w:divBdr>
                                  <w:divsChild>
                                    <w:div w:id="19419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907936">
      <w:marLeft w:val="0"/>
      <w:marRight w:val="0"/>
      <w:marTop w:val="0"/>
      <w:marBottom w:val="0"/>
      <w:divBdr>
        <w:top w:val="none" w:sz="0" w:space="0" w:color="auto"/>
        <w:left w:val="none" w:sz="0" w:space="0" w:color="auto"/>
        <w:bottom w:val="none" w:sz="0" w:space="0" w:color="auto"/>
        <w:right w:val="none" w:sz="0" w:space="0" w:color="auto"/>
      </w:divBdr>
      <w:divsChild>
        <w:div w:id="1941907972">
          <w:marLeft w:val="0"/>
          <w:marRight w:val="1"/>
          <w:marTop w:val="0"/>
          <w:marBottom w:val="0"/>
          <w:divBdr>
            <w:top w:val="none" w:sz="0" w:space="0" w:color="auto"/>
            <w:left w:val="none" w:sz="0" w:space="0" w:color="auto"/>
            <w:bottom w:val="none" w:sz="0" w:space="0" w:color="auto"/>
            <w:right w:val="none" w:sz="0" w:space="0" w:color="auto"/>
          </w:divBdr>
          <w:divsChild>
            <w:div w:id="1941907998">
              <w:marLeft w:val="0"/>
              <w:marRight w:val="0"/>
              <w:marTop w:val="0"/>
              <w:marBottom w:val="0"/>
              <w:divBdr>
                <w:top w:val="none" w:sz="0" w:space="0" w:color="auto"/>
                <w:left w:val="none" w:sz="0" w:space="0" w:color="auto"/>
                <w:bottom w:val="none" w:sz="0" w:space="0" w:color="auto"/>
                <w:right w:val="none" w:sz="0" w:space="0" w:color="auto"/>
              </w:divBdr>
              <w:divsChild>
                <w:div w:id="1941907923">
                  <w:marLeft w:val="0"/>
                  <w:marRight w:val="1"/>
                  <w:marTop w:val="0"/>
                  <w:marBottom w:val="0"/>
                  <w:divBdr>
                    <w:top w:val="none" w:sz="0" w:space="0" w:color="auto"/>
                    <w:left w:val="none" w:sz="0" w:space="0" w:color="auto"/>
                    <w:bottom w:val="none" w:sz="0" w:space="0" w:color="auto"/>
                    <w:right w:val="none" w:sz="0" w:space="0" w:color="auto"/>
                  </w:divBdr>
                  <w:divsChild>
                    <w:div w:id="1941908031">
                      <w:marLeft w:val="0"/>
                      <w:marRight w:val="0"/>
                      <w:marTop w:val="0"/>
                      <w:marBottom w:val="0"/>
                      <w:divBdr>
                        <w:top w:val="none" w:sz="0" w:space="0" w:color="auto"/>
                        <w:left w:val="none" w:sz="0" w:space="0" w:color="auto"/>
                        <w:bottom w:val="none" w:sz="0" w:space="0" w:color="auto"/>
                        <w:right w:val="none" w:sz="0" w:space="0" w:color="auto"/>
                      </w:divBdr>
                      <w:divsChild>
                        <w:div w:id="1941907949">
                          <w:marLeft w:val="0"/>
                          <w:marRight w:val="0"/>
                          <w:marTop w:val="0"/>
                          <w:marBottom w:val="0"/>
                          <w:divBdr>
                            <w:top w:val="none" w:sz="0" w:space="0" w:color="auto"/>
                            <w:left w:val="none" w:sz="0" w:space="0" w:color="auto"/>
                            <w:bottom w:val="none" w:sz="0" w:space="0" w:color="auto"/>
                            <w:right w:val="none" w:sz="0" w:space="0" w:color="auto"/>
                          </w:divBdr>
                          <w:divsChild>
                            <w:div w:id="1941907933">
                              <w:marLeft w:val="0"/>
                              <w:marRight w:val="0"/>
                              <w:marTop w:val="120"/>
                              <w:marBottom w:val="360"/>
                              <w:divBdr>
                                <w:top w:val="none" w:sz="0" w:space="0" w:color="auto"/>
                                <w:left w:val="none" w:sz="0" w:space="0" w:color="auto"/>
                                <w:bottom w:val="none" w:sz="0" w:space="0" w:color="auto"/>
                                <w:right w:val="none" w:sz="0" w:space="0" w:color="auto"/>
                              </w:divBdr>
                              <w:divsChild>
                                <w:div w:id="1941907951">
                                  <w:marLeft w:val="420"/>
                                  <w:marRight w:val="0"/>
                                  <w:marTop w:val="0"/>
                                  <w:marBottom w:val="0"/>
                                  <w:divBdr>
                                    <w:top w:val="none" w:sz="0" w:space="0" w:color="auto"/>
                                    <w:left w:val="none" w:sz="0" w:space="0" w:color="auto"/>
                                    <w:bottom w:val="none" w:sz="0" w:space="0" w:color="auto"/>
                                    <w:right w:val="none" w:sz="0" w:space="0" w:color="auto"/>
                                  </w:divBdr>
                                  <w:divsChild>
                                    <w:div w:id="1941908016">
                                      <w:marLeft w:val="0"/>
                                      <w:marRight w:val="0"/>
                                      <w:marTop w:val="0"/>
                                      <w:marBottom w:val="0"/>
                                      <w:divBdr>
                                        <w:top w:val="none" w:sz="0" w:space="0" w:color="auto"/>
                                        <w:left w:val="none" w:sz="0" w:space="0" w:color="auto"/>
                                        <w:bottom w:val="none" w:sz="0" w:space="0" w:color="auto"/>
                                        <w:right w:val="none" w:sz="0" w:space="0" w:color="auto"/>
                                      </w:divBdr>
                                      <w:divsChild>
                                        <w:div w:id="19419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07950">
      <w:marLeft w:val="0"/>
      <w:marRight w:val="0"/>
      <w:marTop w:val="0"/>
      <w:marBottom w:val="0"/>
      <w:divBdr>
        <w:top w:val="none" w:sz="0" w:space="0" w:color="auto"/>
        <w:left w:val="none" w:sz="0" w:space="0" w:color="auto"/>
        <w:bottom w:val="none" w:sz="0" w:space="0" w:color="auto"/>
        <w:right w:val="none" w:sz="0" w:space="0" w:color="auto"/>
      </w:divBdr>
      <w:divsChild>
        <w:div w:id="1941908007">
          <w:marLeft w:val="0"/>
          <w:marRight w:val="1"/>
          <w:marTop w:val="0"/>
          <w:marBottom w:val="0"/>
          <w:divBdr>
            <w:top w:val="none" w:sz="0" w:space="0" w:color="auto"/>
            <w:left w:val="none" w:sz="0" w:space="0" w:color="auto"/>
            <w:bottom w:val="none" w:sz="0" w:space="0" w:color="auto"/>
            <w:right w:val="none" w:sz="0" w:space="0" w:color="auto"/>
          </w:divBdr>
          <w:divsChild>
            <w:div w:id="1941907908">
              <w:marLeft w:val="0"/>
              <w:marRight w:val="0"/>
              <w:marTop w:val="0"/>
              <w:marBottom w:val="0"/>
              <w:divBdr>
                <w:top w:val="none" w:sz="0" w:space="0" w:color="auto"/>
                <w:left w:val="none" w:sz="0" w:space="0" w:color="auto"/>
                <w:bottom w:val="none" w:sz="0" w:space="0" w:color="auto"/>
                <w:right w:val="none" w:sz="0" w:space="0" w:color="auto"/>
              </w:divBdr>
              <w:divsChild>
                <w:div w:id="1941907914">
                  <w:marLeft w:val="0"/>
                  <w:marRight w:val="1"/>
                  <w:marTop w:val="0"/>
                  <w:marBottom w:val="0"/>
                  <w:divBdr>
                    <w:top w:val="none" w:sz="0" w:space="0" w:color="auto"/>
                    <w:left w:val="none" w:sz="0" w:space="0" w:color="auto"/>
                    <w:bottom w:val="none" w:sz="0" w:space="0" w:color="auto"/>
                    <w:right w:val="none" w:sz="0" w:space="0" w:color="auto"/>
                  </w:divBdr>
                  <w:divsChild>
                    <w:div w:id="1941907952">
                      <w:marLeft w:val="0"/>
                      <w:marRight w:val="0"/>
                      <w:marTop w:val="0"/>
                      <w:marBottom w:val="0"/>
                      <w:divBdr>
                        <w:top w:val="none" w:sz="0" w:space="0" w:color="auto"/>
                        <w:left w:val="none" w:sz="0" w:space="0" w:color="auto"/>
                        <w:bottom w:val="none" w:sz="0" w:space="0" w:color="auto"/>
                        <w:right w:val="none" w:sz="0" w:space="0" w:color="auto"/>
                      </w:divBdr>
                      <w:divsChild>
                        <w:div w:id="1941908040">
                          <w:marLeft w:val="0"/>
                          <w:marRight w:val="0"/>
                          <w:marTop w:val="0"/>
                          <w:marBottom w:val="0"/>
                          <w:divBdr>
                            <w:top w:val="none" w:sz="0" w:space="0" w:color="auto"/>
                            <w:left w:val="none" w:sz="0" w:space="0" w:color="auto"/>
                            <w:bottom w:val="none" w:sz="0" w:space="0" w:color="auto"/>
                            <w:right w:val="none" w:sz="0" w:space="0" w:color="auto"/>
                          </w:divBdr>
                          <w:divsChild>
                            <w:div w:id="1941907937">
                              <w:marLeft w:val="0"/>
                              <w:marRight w:val="0"/>
                              <w:marTop w:val="120"/>
                              <w:marBottom w:val="360"/>
                              <w:divBdr>
                                <w:top w:val="none" w:sz="0" w:space="0" w:color="auto"/>
                                <w:left w:val="none" w:sz="0" w:space="0" w:color="auto"/>
                                <w:bottom w:val="none" w:sz="0" w:space="0" w:color="auto"/>
                                <w:right w:val="none" w:sz="0" w:space="0" w:color="auto"/>
                              </w:divBdr>
                              <w:divsChild>
                                <w:div w:id="1941907960">
                                  <w:marLeft w:val="0"/>
                                  <w:marRight w:val="0"/>
                                  <w:marTop w:val="0"/>
                                  <w:marBottom w:val="0"/>
                                  <w:divBdr>
                                    <w:top w:val="none" w:sz="0" w:space="0" w:color="auto"/>
                                    <w:left w:val="none" w:sz="0" w:space="0" w:color="auto"/>
                                    <w:bottom w:val="none" w:sz="0" w:space="0" w:color="auto"/>
                                    <w:right w:val="none" w:sz="0" w:space="0" w:color="auto"/>
                                  </w:divBdr>
                                  <w:divsChild>
                                    <w:div w:id="19419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907973">
      <w:marLeft w:val="0"/>
      <w:marRight w:val="0"/>
      <w:marTop w:val="0"/>
      <w:marBottom w:val="0"/>
      <w:divBdr>
        <w:top w:val="none" w:sz="0" w:space="0" w:color="auto"/>
        <w:left w:val="none" w:sz="0" w:space="0" w:color="auto"/>
        <w:bottom w:val="none" w:sz="0" w:space="0" w:color="auto"/>
        <w:right w:val="none" w:sz="0" w:space="0" w:color="auto"/>
      </w:divBdr>
      <w:divsChild>
        <w:div w:id="1941907994">
          <w:marLeft w:val="0"/>
          <w:marRight w:val="1"/>
          <w:marTop w:val="0"/>
          <w:marBottom w:val="0"/>
          <w:divBdr>
            <w:top w:val="none" w:sz="0" w:space="0" w:color="auto"/>
            <w:left w:val="none" w:sz="0" w:space="0" w:color="auto"/>
            <w:bottom w:val="none" w:sz="0" w:space="0" w:color="auto"/>
            <w:right w:val="none" w:sz="0" w:space="0" w:color="auto"/>
          </w:divBdr>
          <w:divsChild>
            <w:div w:id="1941907946">
              <w:marLeft w:val="0"/>
              <w:marRight w:val="0"/>
              <w:marTop w:val="0"/>
              <w:marBottom w:val="0"/>
              <w:divBdr>
                <w:top w:val="none" w:sz="0" w:space="0" w:color="auto"/>
                <w:left w:val="none" w:sz="0" w:space="0" w:color="auto"/>
                <w:bottom w:val="none" w:sz="0" w:space="0" w:color="auto"/>
                <w:right w:val="none" w:sz="0" w:space="0" w:color="auto"/>
              </w:divBdr>
              <w:divsChild>
                <w:div w:id="1941907935">
                  <w:marLeft w:val="0"/>
                  <w:marRight w:val="1"/>
                  <w:marTop w:val="0"/>
                  <w:marBottom w:val="0"/>
                  <w:divBdr>
                    <w:top w:val="none" w:sz="0" w:space="0" w:color="auto"/>
                    <w:left w:val="none" w:sz="0" w:space="0" w:color="auto"/>
                    <w:bottom w:val="none" w:sz="0" w:space="0" w:color="auto"/>
                    <w:right w:val="none" w:sz="0" w:space="0" w:color="auto"/>
                  </w:divBdr>
                  <w:divsChild>
                    <w:div w:id="1941907945">
                      <w:marLeft w:val="0"/>
                      <w:marRight w:val="0"/>
                      <w:marTop w:val="0"/>
                      <w:marBottom w:val="0"/>
                      <w:divBdr>
                        <w:top w:val="none" w:sz="0" w:space="0" w:color="auto"/>
                        <w:left w:val="none" w:sz="0" w:space="0" w:color="auto"/>
                        <w:bottom w:val="none" w:sz="0" w:space="0" w:color="auto"/>
                        <w:right w:val="none" w:sz="0" w:space="0" w:color="auto"/>
                      </w:divBdr>
                      <w:divsChild>
                        <w:div w:id="1941907938">
                          <w:marLeft w:val="0"/>
                          <w:marRight w:val="0"/>
                          <w:marTop w:val="0"/>
                          <w:marBottom w:val="0"/>
                          <w:divBdr>
                            <w:top w:val="none" w:sz="0" w:space="0" w:color="auto"/>
                            <w:left w:val="none" w:sz="0" w:space="0" w:color="auto"/>
                            <w:bottom w:val="none" w:sz="0" w:space="0" w:color="auto"/>
                            <w:right w:val="none" w:sz="0" w:space="0" w:color="auto"/>
                          </w:divBdr>
                          <w:divsChild>
                            <w:div w:id="1941907957">
                              <w:marLeft w:val="0"/>
                              <w:marRight w:val="0"/>
                              <w:marTop w:val="120"/>
                              <w:marBottom w:val="360"/>
                              <w:divBdr>
                                <w:top w:val="none" w:sz="0" w:space="0" w:color="auto"/>
                                <w:left w:val="none" w:sz="0" w:space="0" w:color="auto"/>
                                <w:bottom w:val="none" w:sz="0" w:space="0" w:color="auto"/>
                                <w:right w:val="none" w:sz="0" w:space="0" w:color="auto"/>
                              </w:divBdr>
                              <w:divsChild>
                                <w:div w:id="19419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907975">
      <w:marLeft w:val="0"/>
      <w:marRight w:val="0"/>
      <w:marTop w:val="0"/>
      <w:marBottom w:val="0"/>
      <w:divBdr>
        <w:top w:val="none" w:sz="0" w:space="0" w:color="auto"/>
        <w:left w:val="none" w:sz="0" w:space="0" w:color="auto"/>
        <w:bottom w:val="none" w:sz="0" w:space="0" w:color="auto"/>
        <w:right w:val="none" w:sz="0" w:space="0" w:color="auto"/>
      </w:divBdr>
      <w:divsChild>
        <w:div w:id="1941907948">
          <w:marLeft w:val="0"/>
          <w:marRight w:val="1"/>
          <w:marTop w:val="0"/>
          <w:marBottom w:val="0"/>
          <w:divBdr>
            <w:top w:val="none" w:sz="0" w:space="0" w:color="auto"/>
            <w:left w:val="none" w:sz="0" w:space="0" w:color="auto"/>
            <w:bottom w:val="none" w:sz="0" w:space="0" w:color="auto"/>
            <w:right w:val="none" w:sz="0" w:space="0" w:color="auto"/>
          </w:divBdr>
          <w:divsChild>
            <w:div w:id="1941907983">
              <w:marLeft w:val="0"/>
              <w:marRight w:val="0"/>
              <w:marTop w:val="0"/>
              <w:marBottom w:val="0"/>
              <w:divBdr>
                <w:top w:val="none" w:sz="0" w:space="0" w:color="auto"/>
                <w:left w:val="none" w:sz="0" w:space="0" w:color="auto"/>
                <w:bottom w:val="none" w:sz="0" w:space="0" w:color="auto"/>
                <w:right w:val="none" w:sz="0" w:space="0" w:color="auto"/>
              </w:divBdr>
              <w:divsChild>
                <w:div w:id="1941907932">
                  <w:marLeft w:val="0"/>
                  <w:marRight w:val="1"/>
                  <w:marTop w:val="0"/>
                  <w:marBottom w:val="0"/>
                  <w:divBdr>
                    <w:top w:val="none" w:sz="0" w:space="0" w:color="auto"/>
                    <w:left w:val="none" w:sz="0" w:space="0" w:color="auto"/>
                    <w:bottom w:val="none" w:sz="0" w:space="0" w:color="auto"/>
                    <w:right w:val="none" w:sz="0" w:space="0" w:color="auto"/>
                  </w:divBdr>
                  <w:divsChild>
                    <w:div w:id="1941908000">
                      <w:marLeft w:val="0"/>
                      <w:marRight w:val="0"/>
                      <w:marTop w:val="0"/>
                      <w:marBottom w:val="0"/>
                      <w:divBdr>
                        <w:top w:val="none" w:sz="0" w:space="0" w:color="auto"/>
                        <w:left w:val="none" w:sz="0" w:space="0" w:color="auto"/>
                        <w:bottom w:val="none" w:sz="0" w:space="0" w:color="auto"/>
                        <w:right w:val="none" w:sz="0" w:space="0" w:color="auto"/>
                      </w:divBdr>
                      <w:divsChild>
                        <w:div w:id="1941907942">
                          <w:marLeft w:val="0"/>
                          <w:marRight w:val="0"/>
                          <w:marTop w:val="0"/>
                          <w:marBottom w:val="0"/>
                          <w:divBdr>
                            <w:top w:val="none" w:sz="0" w:space="0" w:color="auto"/>
                            <w:left w:val="none" w:sz="0" w:space="0" w:color="auto"/>
                            <w:bottom w:val="none" w:sz="0" w:space="0" w:color="auto"/>
                            <w:right w:val="none" w:sz="0" w:space="0" w:color="auto"/>
                          </w:divBdr>
                          <w:divsChild>
                            <w:div w:id="1941907921">
                              <w:marLeft w:val="0"/>
                              <w:marRight w:val="0"/>
                              <w:marTop w:val="120"/>
                              <w:marBottom w:val="360"/>
                              <w:divBdr>
                                <w:top w:val="none" w:sz="0" w:space="0" w:color="auto"/>
                                <w:left w:val="none" w:sz="0" w:space="0" w:color="auto"/>
                                <w:bottom w:val="none" w:sz="0" w:space="0" w:color="auto"/>
                                <w:right w:val="none" w:sz="0" w:space="0" w:color="auto"/>
                              </w:divBdr>
                              <w:divsChild>
                                <w:div w:id="1941907987">
                                  <w:marLeft w:val="0"/>
                                  <w:marRight w:val="0"/>
                                  <w:marTop w:val="0"/>
                                  <w:marBottom w:val="0"/>
                                  <w:divBdr>
                                    <w:top w:val="none" w:sz="0" w:space="0" w:color="auto"/>
                                    <w:left w:val="none" w:sz="0" w:space="0" w:color="auto"/>
                                    <w:bottom w:val="none" w:sz="0" w:space="0" w:color="auto"/>
                                    <w:right w:val="none" w:sz="0" w:space="0" w:color="auto"/>
                                  </w:divBdr>
                                  <w:divsChild>
                                    <w:div w:id="19419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907985">
      <w:marLeft w:val="0"/>
      <w:marRight w:val="0"/>
      <w:marTop w:val="0"/>
      <w:marBottom w:val="0"/>
      <w:divBdr>
        <w:top w:val="none" w:sz="0" w:space="0" w:color="auto"/>
        <w:left w:val="none" w:sz="0" w:space="0" w:color="auto"/>
        <w:bottom w:val="none" w:sz="0" w:space="0" w:color="auto"/>
        <w:right w:val="none" w:sz="0" w:space="0" w:color="auto"/>
      </w:divBdr>
      <w:divsChild>
        <w:div w:id="1941907956">
          <w:marLeft w:val="0"/>
          <w:marRight w:val="1"/>
          <w:marTop w:val="0"/>
          <w:marBottom w:val="0"/>
          <w:divBdr>
            <w:top w:val="none" w:sz="0" w:space="0" w:color="auto"/>
            <w:left w:val="none" w:sz="0" w:space="0" w:color="auto"/>
            <w:bottom w:val="none" w:sz="0" w:space="0" w:color="auto"/>
            <w:right w:val="none" w:sz="0" w:space="0" w:color="auto"/>
          </w:divBdr>
          <w:divsChild>
            <w:div w:id="1941907967">
              <w:marLeft w:val="0"/>
              <w:marRight w:val="0"/>
              <w:marTop w:val="0"/>
              <w:marBottom w:val="0"/>
              <w:divBdr>
                <w:top w:val="none" w:sz="0" w:space="0" w:color="auto"/>
                <w:left w:val="none" w:sz="0" w:space="0" w:color="auto"/>
                <w:bottom w:val="none" w:sz="0" w:space="0" w:color="auto"/>
                <w:right w:val="none" w:sz="0" w:space="0" w:color="auto"/>
              </w:divBdr>
              <w:divsChild>
                <w:div w:id="1941908011">
                  <w:marLeft w:val="0"/>
                  <w:marRight w:val="1"/>
                  <w:marTop w:val="0"/>
                  <w:marBottom w:val="0"/>
                  <w:divBdr>
                    <w:top w:val="none" w:sz="0" w:space="0" w:color="auto"/>
                    <w:left w:val="none" w:sz="0" w:space="0" w:color="auto"/>
                    <w:bottom w:val="none" w:sz="0" w:space="0" w:color="auto"/>
                    <w:right w:val="none" w:sz="0" w:space="0" w:color="auto"/>
                  </w:divBdr>
                  <w:divsChild>
                    <w:div w:id="1941908046">
                      <w:marLeft w:val="0"/>
                      <w:marRight w:val="0"/>
                      <w:marTop w:val="0"/>
                      <w:marBottom w:val="0"/>
                      <w:divBdr>
                        <w:top w:val="none" w:sz="0" w:space="0" w:color="auto"/>
                        <w:left w:val="none" w:sz="0" w:space="0" w:color="auto"/>
                        <w:bottom w:val="none" w:sz="0" w:space="0" w:color="auto"/>
                        <w:right w:val="none" w:sz="0" w:space="0" w:color="auto"/>
                      </w:divBdr>
                      <w:divsChild>
                        <w:div w:id="1941908032">
                          <w:marLeft w:val="0"/>
                          <w:marRight w:val="0"/>
                          <w:marTop w:val="0"/>
                          <w:marBottom w:val="0"/>
                          <w:divBdr>
                            <w:top w:val="none" w:sz="0" w:space="0" w:color="auto"/>
                            <w:left w:val="none" w:sz="0" w:space="0" w:color="auto"/>
                            <w:bottom w:val="none" w:sz="0" w:space="0" w:color="auto"/>
                            <w:right w:val="none" w:sz="0" w:space="0" w:color="auto"/>
                          </w:divBdr>
                          <w:divsChild>
                            <w:div w:id="1941907959">
                              <w:marLeft w:val="0"/>
                              <w:marRight w:val="0"/>
                              <w:marTop w:val="120"/>
                              <w:marBottom w:val="360"/>
                              <w:divBdr>
                                <w:top w:val="none" w:sz="0" w:space="0" w:color="auto"/>
                                <w:left w:val="none" w:sz="0" w:space="0" w:color="auto"/>
                                <w:bottom w:val="none" w:sz="0" w:space="0" w:color="auto"/>
                                <w:right w:val="none" w:sz="0" w:space="0" w:color="auto"/>
                              </w:divBdr>
                              <w:divsChild>
                                <w:div w:id="1941907963">
                                  <w:marLeft w:val="0"/>
                                  <w:marRight w:val="0"/>
                                  <w:marTop w:val="0"/>
                                  <w:marBottom w:val="0"/>
                                  <w:divBdr>
                                    <w:top w:val="none" w:sz="0" w:space="0" w:color="auto"/>
                                    <w:left w:val="none" w:sz="0" w:space="0" w:color="auto"/>
                                    <w:bottom w:val="none" w:sz="0" w:space="0" w:color="auto"/>
                                    <w:right w:val="none" w:sz="0" w:space="0" w:color="auto"/>
                                  </w:divBdr>
                                  <w:divsChild>
                                    <w:div w:id="19419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907988">
      <w:marLeft w:val="0"/>
      <w:marRight w:val="0"/>
      <w:marTop w:val="0"/>
      <w:marBottom w:val="0"/>
      <w:divBdr>
        <w:top w:val="none" w:sz="0" w:space="0" w:color="auto"/>
        <w:left w:val="none" w:sz="0" w:space="0" w:color="auto"/>
        <w:bottom w:val="none" w:sz="0" w:space="0" w:color="auto"/>
        <w:right w:val="none" w:sz="0" w:space="0" w:color="auto"/>
      </w:divBdr>
    </w:div>
    <w:div w:id="1941907989">
      <w:marLeft w:val="0"/>
      <w:marRight w:val="0"/>
      <w:marTop w:val="0"/>
      <w:marBottom w:val="0"/>
      <w:divBdr>
        <w:top w:val="none" w:sz="0" w:space="0" w:color="auto"/>
        <w:left w:val="none" w:sz="0" w:space="0" w:color="auto"/>
        <w:bottom w:val="none" w:sz="0" w:space="0" w:color="auto"/>
        <w:right w:val="none" w:sz="0" w:space="0" w:color="auto"/>
      </w:divBdr>
      <w:divsChild>
        <w:div w:id="1941907917">
          <w:marLeft w:val="0"/>
          <w:marRight w:val="1"/>
          <w:marTop w:val="0"/>
          <w:marBottom w:val="0"/>
          <w:divBdr>
            <w:top w:val="none" w:sz="0" w:space="0" w:color="auto"/>
            <w:left w:val="none" w:sz="0" w:space="0" w:color="auto"/>
            <w:bottom w:val="none" w:sz="0" w:space="0" w:color="auto"/>
            <w:right w:val="none" w:sz="0" w:space="0" w:color="auto"/>
          </w:divBdr>
          <w:divsChild>
            <w:div w:id="1941907977">
              <w:marLeft w:val="0"/>
              <w:marRight w:val="0"/>
              <w:marTop w:val="0"/>
              <w:marBottom w:val="0"/>
              <w:divBdr>
                <w:top w:val="none" w:sz="0" w:space="0" w:color="auto"/>
                <w:left w:val="none" w:sz="0" w:space="0" w:color="auto"/>
                <w:bottom w:val="none" w:sz="0" w:space="0" w:color="auto"/>
                <w:right w:val="none" w:sz="0" w:space="0" w:color="auto"/>
              </w:divBdr>
              <w:divsChild>
                <w:div w:id="1941907922">
                  <w:marLeft w:val="0"/>
                  <w:marRight w:val="1"/>
                  <w:marTop w:val="0"/>
                  <w:marBottom w:val="0"/>
                  <w:divBdr>
                    <w:top w:val="none" w:sz="0" w:space="0" w:color="auto"/>
                    <w:left w:val="none" w:sz="0" w:space="0" w:color="auto"/>
                    <w:bottom w:val="none" w:sz="0" w:space="0" w:color="auto"/>
                    <w:right w:val="none" w:sz="0" w:space="0" w:color="auto"/>
                  </w:divBdr>
                  <w:divsChild>
                    <w:div w:id="1941908020">
                      <w:marLeft w:val="0"/>
                      <w:marRight w:val="0"/>
                      <w:marTop w:val="0"/>
                      <w:marBottom w:val="0"/>
                      <w:divBdr>
                        <w:top w:val="none" w:sz="0" w:space="0" w:color="auto"/>
                        <w:left w:val="none" w:sz="0" w:space="0" w:color="auto"/>
                        <w:bottom w:val="none" w:sz="0" w:space="0" w:color="auto"/>
                        <w:right w:val="none" w:sz="0" w:space="0" w:color="auto"/>
                      </w:divBdr>
                      <w:divsChild>
                        <w:div w:id="1941907982">
                          <w:marLeft w:val="0"/>
                          <w:marRight w:val="0"/>
                          <w:marTop w:val="0"/>
                          <w:marBottom w:val="0"/>
                          <w:divBdr>
                            <w:top w:val="none" w:sz="0" w:space="0" w:color="auto"/>
                            <w:left w:val="none" w:sz="0" w:space="0" w:color="auto"/>
                            <w:bottom w:val="none" w:sz="0" w:space="0" w:color="auto"/>
                            <w:right w:val="none" w:sz="0" w:space="0" w:color="auto"/>
                          </w:divBdr>
                          <w:divsChild>
                            <w:div w:id="1941907997">
                              <w:marLeft w:val="0"/>
                              <w:marRight w:val="0"/>
                              <w:marTop w:val="120"/>
                              <w:marBottom w:val="360"/>
                              <w:divBdr>
                                <w:top w:val="none" w:sz="0" w:space="0" w:color="auto"/>
                                <w:left w:val="none" w:sz="0" w:space="0" w:color="auto"/>
                                <w:bottom w:val="none" w:sz="0" w:space="0" w:color="auto"/>
                                <w:right w:val="none" w:sz="0" w:space="0" w:color="auto"/>
                              </w:divBdr>
                              <w:divsChild>
                                <w:div w:id="1941908041">
                                  <w:marLeft w:val="0"/>
                                  <w:marRight w:val="0"/>
                                  <w:marTop w:val="0"/>
                                  <w:marBottom w:val="0"/>
                                  <w:divBdr>
                                    <w:top w:val="none" w:sz="0" w:space="0" w:color="auto"/>
                                    <w:left w:val="none" w:sz="0" w:space="0" w:color="auto"/>
                                    <w:bottom w:val="none" w:sz="0" w:space="0" w:color="auto"/>
                                    <w:right w:val="none" w:sz="0" w:space="0" w:color="auto"/>
                                  </w:divBdr>
                                  <w:divsChild>
                                    <w:div w:id="19419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907993">
      <w:marLeft w:val="0"/>
      <w:marRight w:val="0"/>
      <w:marTop w:val="0"/>
      <w:marBottom w:val="0"/>
      <w:divBdr>
        <w:top w:val="none" w:sz="0" w:space="0" w:color="auto"/>
        <w:left w:val="none" w:sz="0" w:space="0" w:color="auto"/>
        <w:bottom w:val="none" w:sz="0" w:space="0" w:color="auto"/>
        <w:right w:val="none" w:sz="0" w:space="0" w:color="auto"/>
      </w:divBdr>
      <w:divsChild>
        <w:div w:id="1941908022">
          <w:marLeft w:val="0"/>
          <w:marRight w:val="1"/>
          <w:marTop w:val="0"/>
          <w:marBottom w:val="0"/>
          <w:divBdr>
            <w:top w:val="none" w:sz="0" w:space="0" w:color="auto"/>
            <w:left w:val="none" w:sz="0" w:space="0" w:color="auto"/>
            <w:bottom w:val="none" w:sz="0" w:space="0" w:color="auto"/>
            <w:right w:val="none" w:sz="0" w:space="0" w:color="auto"/>
          </w:divBdr>
          <w:divsChild>
            <w:div w:id="1941907964">
              <w:marLeft w:val="0"/>
              <w:marRight w:val="0"/>
              <w:marTop w:val="0"/>
              <w:marBottom w:val="0"/>
              <w:divBdr>
                <w:top w:val="none" w:sz="0" w:space="0" w:color="auto"/>
                <w:left w:val="none" w:sz="0" w:space="0" w:color="auto"/>
                <w:bottom w:val="none" w:sz="0" w:space="0" w:color="auto"/>
                <w:right w:val="none" w:sz="0" w:space="0" w:color="auto"/>
              </w:divBdr>
              <w:divsChild>
                <w:div w:id="1941907941">
                  <w:marLeft w:val="0"/>
                  <w:marRight w:val="1"/>
                  <w:marTop w:val="0"/>
                  <w:marBottom w:val="0"/>
                  <w:divBdr>
                    <w:top w:val="none" w:sz="0" w:space="0" w:color="auto"/>
                    <w:left w:val="none" w:sz="0" w:space="0" w:color="auto"/>
                    <w:bottom w:val="none" w:sz="0" w:space="0" w:color="auto"/>
                    <w:right w:val="none" w:sz="0" w:space="0" w:color="auto"/>
                  </w:divBdr>
                  <w:divsChild>
                    <w:div w:id="1941907990">
                      <w:marLeft w:val="0"/>
                      <w:marRight w:val="0"/>
                      <w:marTop w:val="0"/>
                      <w:marBottom w:val="0"/>
                      <w:divBdr>
                        <w:top w:val="none" w:sz="0" w:space="0" w:color="auto"/>
                        <w:left w:val="none" w:sz="0" w:space="0" w:color="auto"/>
                        <w:bottom w:val="none" w:sz="0" w:space="0" w:color="auto"/>
                        <w:right w:val="none" w:sz="0" w:space="0" w:color="auto"/>
                      </w:divBdr>
                      <w:divsChild>
                        <w:div w:id="1941907966">
                          <w:marLeft w:val="0"/>
                          <w:marRight w:val="0"/>
                          <w:marTop w:val="0"/>
                          <w:marBottom w:val="0"/>
                          <w:divBdr>
                            <w:top w:val="none" w:sz="0" w:space="0" w:color="auto"/>
                            <w:left w:val="none" w:sz="0" w:space="0" w:color="auto"/>
                            <w:bottom w:val="none" w:sz="0" w:space="0" w:color="auto"/>
                            <w:right w:val="none" w:sz="0" w:space="0" w:color="auto"/>
                          </w:divBdr>
                          <w:divsChild>
                            <w:div w:id="1941907916">
                              <w:marLeft w:val="0"/>
                              <w:marRight w:val="0"/>
                              <w:marTop w:val="120"/>
                              <w:marBottom w:val="360"/>
                              <w:divBdr>
                                <w:top w:val="none" w:sz="0" w:space="0" w:color="auto"/>
                                <w:left w:val="none" w:sz="0" w:space="0" w:color="auto"/>
                                <w:bottom w:val="none" w:sz="0" w:space="0" w:color="auto"/>
                                <w:right w:val="none" w:sz="0" w:space="0" w:color="auto"/>
                              </w:divBdr>
                              <w:divsChild>
                                <w:div w:id="1941907999">
                                  <w:marLeft w:val="0"/>
                                  <w:marRight w:val="0"/>
                                  <w:marTop w:val="0"/>
                                  <w:marBottom w:val="0"/>
                                  <w:divBdr>
                                    <w:top w:val="none" w:sz="0" w:space="0" w:color="auto"/>
                                    <w:left w:val="none" w:sz="0" w:space="0" w:color="auto"/>
                                    <w:bottom w:val="none" w:sz="0" w:space="0" w:color="auto"/>
                                    <w:right w:val="none" w:sz="0" w:space="0" w:color="auto"/>
                                  </w:divBdr>
                                  <w:divsChild>
                                    <w:div w:id="19419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908003">
      <w:marLeft w:val="0"/>
      <w:marRight w:val="0"/>
      <w:marTop w:val="0"/>
      <w:marBottom w:val="0"/>
      <w:divBdr>
        <w:top w:val="none" w:sz="0" w:space="0" w:color="auto"/>
        <w:left w:val="none" w:sz="0" w:space="0" w:color="auto"/>
        <w:bottom w:val="none" w:sz="0" w:space="0" w:color="auto"/>
        <w:right w:val="none" w:sz="0" w:space="0" w:color="auto"/>
      </w:divBdr>
      <w:divsChild>
        <w:div w:id="1941907930">
          <w:marLeft w:val="0"/>
          <w:marRight w:val="1"/>
          <w:marTop w:val="0"/>
          <w:marBottom w:val="0"/>
          <w:divBdr>
            <w:top w:val="none" w:sz="0" w:space="0" w:color="auto"/>
            <w:left w:val="none" w:sz="0" w:space="0" w:color="auto"/>
            <w:bottom w:val="none" w:sz="0" w:space="0" w:color="auto"/>
            <w:right w:val="none" w:sz="0" w:space="0" w:color="auto"/>
          </w:divBdr>
          <w:divsChild>
            <w:div w:id="1941908044">
              <w:marLeft w:val="0"/>
              <w:marRight w:val="0"/>
              <w:marTop w:val="0"/>
              <w:marBottom w:val="0"/>
              <w:divBdr>
                <w:top w:val="none" w:sz="0" w:space="0" w:color="auto"/>
                <w:left w:val="none" w:sz="0" w:space="0" w:color="auto"/>
                <w:bottom w:val="none" w:sz="0" w:space="0" w:color="auto"/>
                <w:right w:val="none" w:sz="0" w:space="0" w:color="auto"/>
              </w:divBdr>
              <w:divsChild>
                <w:div w:id="1941908018">
                  <w:marLeft w:val="0"/>
                  <w:marRight w:val="1"/>
                  <w:marTop w:val="0"/>
                  <w:marBottom w:val="0"/>
                  <w:divBdr>
                    <w:top w:val="none" w:sz="0" w:space="0" w:color="auto"/>
                    <w:left w:val="none" w:sz="0" w:space="0" w:color="auto"/>
                    <w:bottom w:val="none" w:sz="0" w:space="0" w:color="auto"/>
                    <w:right w:val="none" w:sz="0" w:space="0" w:color="auto"/>
                  </w:divBdr>
                  <w:divsChild>
                    <w:div w:id="1941908023">
                      <w:marLeft w:val="0"/>
                      <w:marRight w:val="0"/>
                      <w:marTop w:val="0"/>
                      <w:marBottom w:val="0"/>
                      <w:divBdr>
                        <w:top w:val="none" w:sz="0" w:space="0" w:color="auto"/>
                        <w:left w:val="none" w:sz="0" w:space="0" w:color="auto"/>
                        <w:bottom w:val="none" w:sz="0" w:space="0" w:color="auto"/>
                        <w:right w:val="none" w:sz="0" w:space="0" w:color="auto"/>
                      </w:divBdr>
                      <w:divsChild>
                        <w:div w:id="1941908013">
                          <w:marLeft w:val="0"/>
                          <w:marRight w:val="0"/>
                          <w:marTop w:val="0"/>
                          <w:marBottom w:val="0"/>
                          <w:divBdr>
                            <w:top w:val="none" w:sz="0" w:space="0" w:color="auto"/>
                            <w:left w:val="none" w:sz="0" w:space="0" w:color="auto"/>
                            <w:bottom w:val="none" w:sz="0" w:space="0" w:color="auto"/>
                            <w:right w:val="none" w:sz="0" w:space="0" w:color="auto"/>
                          </w:divBdr>
                          <w:divsChild>
                            <w:div w:id="1941908005">
                              <w:marLeft w:val="0"/>
                              <w:marRight w:val="0"/>
                              <w:marTop w:val="120"/>
                              <w:marBottom w:val="360"/>
                              <w:divBdr>
                                <w:top w:val="none" w:sz="0" w:space="0" w:color="auto"/>
                                <w:left w:val="none" w:sz="0" w:space="0" w:color="auto"/>
                                <w:bottom w:val="none" w:sz="0" w:space="0" w:color="auto"/>
                                <w:right w:val="none" w:sz="0" w:space="0" w:color="auto"/>
                              </w:divBdr>
                              <w:divsChild>
                                <w:div w:id="1941908010">
                                  <w:marLeft w:val="0"/>
                                  <w:marRight w:val="0"/>
                                  <w:marTop w:val="0"/>
                                  <w:marBottom w:val="0"/>
                                  <w:divBdr>
                                    <w:top w:val="none" w:sz="0" w:space="0" w:color="auto"/>
                                    <w:left w:val="none" w:sz="0" w:space="0" w:color="auto"/>
                                    <w:bottom w:val="none" w:sz="0" w:space="0" w:color="auto"/>
                                    <w:right w:val="none" w:sz="0" w:space="0" w:color="auto"/>
                                  </w:divBdr>
                                  <w:divsChild>
                                    <w:div w:id="19419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908008">
      <w:marLeft w:val="0"/>
      <w:marRight w:val="0"/>
      <w:marTop w:val="0"/>
      <w:marBottom w:val="0"/>
      <w:divBdr>
        <w:top w:val="none" w:sz="0" w:space="0" w:color="auto"/>
        <w:left w:val="none" w:sz="0" w:space="0" w:color="auto"/>
        <w:bottom w:val="none" w:sz="0" w:space="0" w:color="auto"/>
        <w:right w:val="none" w:sz="0" w:space="0" w:color="auto"/>
      </w:divBdr>
      <w:divsChild>
        <w:div w:id="1941908006">
          <w:marLeft w:val="0"/>
          <w:marRight w:val="1"/>
          <w:marTop w:val="0"/>
          <w:marBottom w:val="0"/>
          <w:divBdr>
            <w:top w:val="none" w:sz="0" w:space="0" w:color="auto"/>
            <w:left w:val="none" w:sz="0" w:space="0" w:color="auto"/>
            <w:bottom w:val="none" w:sz="0" w:space="0" w:color="auto"/>
            <w:right w:val="none" w:sz="0" w:space="0" w:color="auto"/>
          </w:divBdr>
          <w:divsChild>
            <w:div w:id="1941907918">
              <w:marLeft w:val="0"/>
              <w:marRight w:val="0"/>
              <w:marTop w:val="0"/>
              <w:marBottom w:val="0"/>
              <w:divBdr>
                <w:top w:val="none" w:sz="0" w:space="0" w:color="auto"/>
                <w:left w:val="none" w:sz="0" w:space="0" w:color="auto"/>
                <w:bottom w:val="none" w:sz="0" w:space="0" w:color="auto"/>
                <w:right w:val="none" w:sz="0" w:space="0" w:color="auto"/>
              </w:divBdr>
              <w:divsChild>
                <w:div w:id="1941907944">
                  <w:marLeft w:val="0"/>
                  <w:marRight w:val="1"/>
                  <w:marTop w:val="0"/>
                  <w:marBottom w:val="0"/>
                  <w:divBdr>
                    <w:top w:val="none" w:sz="0" w:space="0" w:color="auto"/>
                    <w:left w:val="none" w:sz="0" w:space="0" w:color="auto"/>
                    <w:bottom w:val="none" w:sz="0" w:space="0" w:color="auto"/>
                    <w:right w:val="none" w:sz="0" w:space="0" w:color="auto"/>
                  </w:divBdr>
                  <w:divsChild>
                    <w:div w:id="1941908043">
                      <w:marLeft w:val="0"/>
                      <w:marRight w:val="0"/>
                      <w:marTop w:val="0"/>
                      <w:marBottom w:val="0"/>
                      <w:divBdr>
                        <w:top w:val="none" w:sz="0" w:space="0" w:color="auto"/>
                        <w:left w:val="none" w:sz="0" w:space="0" w:color="auto"/>
                        <w:bottom w:val="none" w:sz="0" w:space="0" w:color="auto"/>
                        <w:right w:val="none" w:sz="0" w:space="0" w:color="auto"/>
                      </w:divBdr>
                      <w:divsChild>
                        <w:div w:id="1941907955">
                          <w:marLeft w:val="0"/>
                          <w:marRight w:val="0"/>
                          <w:marTop w:val="0"/>
                          <w:marBottom w:val="0"/>
                          <w:divBdr>
                            <w:top w:val="none" w:sz="0" w:space="0" w:color="auto"/>
                            <w:left w:val="none" w:sz="0" w:space="0" w:color="auto"/>
                            <w:bottom w:val="none" w:sz="0" w:space="0" w:color="auto"/>
                            <w:right w:val="none" w:sz="0" w:space="0" w:color="auto"/>
                          </w:divBdr>
                          <w:divsChild>
                            <w:div w:id="1941908038">
                              <w:marLeft w:val="0"/>
                              <w:marRight w:val="0"/>
                              <w:marTop w:val="120"/>
                              <w:marBottom w:val="360"/>
                              <w:divBdr>
                                <w:top w:val="none" w:sz="0" w:space="0" w:color="auto"/>
                                <w:left w:val="none" w:sz="0" w:space="0" w:color="auto"/>
                                <w:bottom w:val="none" w:sz="0" w:space="0" w:color="auto"/>
                                <w:right w:val="none" w:sz="0" w:space="0" w:color="auto"/>
                              </w:divBdr>
                              <w:divsChild>
                                <w:div w:id="1941908030">
                                  <w:marLeft w:val="0"/>
                                  <w:marRight w:val="0"/>
                                  <w:marTop w:val="0"/>
                                  <w:marBottom w:val="0"/>
                                  <w:divBdr>
                                    <w:top w:val="none" w:sz="0" w:space="0" w:color="auto"/>
                                    <w:left w:val="none" w:sz="0" w:space="0" w:color="auto"/>
                                    <w:bottom w:val="none" w:sz="0" w:space="0" w:color="auto"/>
                                    <w:right w:val="none" w:sz="0" w:space="0" w:color="auto"/>
                                  </w:divBdr>
                                  <w:divsChild>
                                    <w:div w:id="19419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908009">
      <w:marLeft w:val="0"/>
      <w:marRight w:val="0"/>
      <w:marTop w:val="0"/>
      <w:marBottom w:val="0"/>
      <w:divBdr>
        <w:top w:val="none" w:sz="0" w:space="0" w:color="auto"/>
        <w:left w:val="none" w:sz="0" w:space="0" w:color="auto"/>
        <w:bottom w:val="none" w:sz="0" w:space="0" w:color="auto"/>
        <w:right w:val="none" w:sz="0" w:space="0" w:color="auto"/>
      </w:divBdr>
      <w:divsChild>
        <w:div w:id="1941907943">
          <w:marLeft w:val="0"/>
          <w:marRight w:val="1"/>
          <w:marTop w:val="0"/>
          <w:marBottom w:val="0"/>
          <w:divBdr>
            <w:top w:val="none" w:sz="0" w:space="0" w:color="auto"/>
            <w:left w:val="none" w:sz="0" w:space="0" w:color="auto"/>
            <w:bottom w:val="none" w:sz="0" w:space="0" w:color="auto"/>
            <w:right w:val="none" w:sz="0" w:space="0" w:color="auto"/>
          </w:divBdr>
          <w:divsChild>
            <w:div w:id="1941907978">
              <w:marLeft w:val="0"/>
              <w:marRight w:val="0"/>
              <w:marTop w:val="0"/>
              <w:marBottom w:val="0"/>
              <w:divBdr>
                <w:top w:val="none" w:sz="0" w:space="0" w:color="auto"/>
                <w:left w:val="none" w:sz="0" w:space="0" w:color="auto"/>
                <w:bottom w:val="none" w:sz="0" w:space="0" w:color="auto"/>
                <w:right w:val="none" w:sz="0" w:space="0" w:color="auto"/>
              </w:divBdr>
              <w:divsChild>
                <w:div w:id="1941907996">
                  <w:marLeft w:val="0"/>
                  <w:marRight w:val="1"/>
                  <w:marTop w:val="0"/>
                  <w:marBottom w:val="0"/>
                  <w:divBdr>
                    <w:top w:val="none" w:sz="0" w:space="0" w:color="auto"/>
                    <w:left w:val="none" w:sz="0" w:space="0" w:color="auto"/>
                    <w:bottom w:val="none" w:sz="0" w:space="0" w:color="auto"/>
                    <w:right w:val="none" w:sz="0" w:space="0" w:color="auto"/>
                  </w:divBdr>
                  <w:divsChild>
                    <w:div w:id="1941908021">
                      <w:marLeft w:val="0"/>
                      <w:marRight w:val="0"/>
                      <w:marTop w:val="0"/>
                      <w:marBottom w:val="0"/>
                      <w:divBdr>
                        <w:top w:val="none" w:sz="0" w:space="0" w:color="auto"/>
                        <w:left w:val="none" w:sz="0" w:space="0" w:color="auto"/>
                        <w:bottom w:val="none" w:sz="0" w:space="0" w:color="auto"/>
                        <w:right w:val="none" w:sz="0" w:space="0" w:color="auto"/>
                      </w:divBdr>
                      <w:divsChild>
                        <w:div w:id="1941907927">
                          <w:marLeft w:val="0"/>
                          <w:marRight w:val="0"/>
                          <w:marTop w:val="0"/>
                          <w:marBottom w:val="0"/>
                          <w:divBdr>
                            <w:top w:val="none" w:sz="0" w:space="0" w:color="auto"/>
                            <w:left w:val="none" w:sz="0" w:space="0" w:color="auto"/>
                            <w:bottom w:val="none" w:sz="0" w:space="0" w:color="auto"/>
                            <w:right w:val="none" w:sz="0" w:space="0" w:color="auto"/>
                          </w:divBdr>
                          <w:divsChild>
                            <w:div w:id="1941908029">
                              <w:marLeft w:val="0"/>
                              <w:marRight w:val="0"/>
                              <w:marTop w:val="120"/>
                              <w:marBottom w:val="360"/>
                              <w:divBdr>
                                <w:top w:val="none" w:sz="0" w:space="0" w:color="auto"/>
                                <w:left w:val="none" w:sz="0" w:space="0" w:color="auto"/>
                                <w:bottom w:val="none" w:sz="0" w:space="0" w:color="auto"/>
                                <w:right w:val="none" w:sz="0" w:space="0" w:color="auto"/>
                              </w:divBdr>
                              <w:divsChild>
                                <w:div w:id="1941908015">
                                  <w:marLeft w:val="420"/>
                                  <w:marRight w:val="0"/>
                                  <w:marTop w:val="0"/>
                                  <w:marBottom w:val="0"/>
                                  <w:divBdr>
                                    <w:top w:val="none" w:sz="0" w:space="0" w:color="auto"/>
                                    <w:left w:val="none" w:sz="0" w:space="0" w:color="auto"/>
                                    <w:bottom w:val="none" w:sz="0" w:space="0" w:color="auto"/>
                                    <w:right w:val="none" w:sz="0" w:space="0" w:color="auto"/>
                                  </w:divBdr>
                                  <w:divsChild>
                                    <w:div w:id="1941907947">
                                      <w:marLeft w:val="0"/>
                                      <w:marRight w:val="0"/>
                                      <w:marTop w:val="0"/>
                                      <w:marBottom w:val="0"/>
                                      <w:divBdr>
                                        <w:top w:val="none" w:sz="0" w:space="0" w:color="auto"/>
                                        <w:left w:val="none" w:sz="0" w:space="0" w:color="auto"/>
                                        <w:bottom w:val="none" w:sz="0" w:space="0" w:color="auto"/>
                                        <w:right w:val="none" w:sz="0" w:space="0" w:color="auto"/>
                                      </w:divBdr>
                                      <w:divsChild>
                                        <w:div w:id="19419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08028">
      <w:marLeft w:val="0"/>
      <w:marRight w:val="0"/>
      <w:marTop w:val="0"/>
      <w:marBottom w:val="0"/>
      <w:divBdr>
        <w:top w:val="none" w:sz="0" w:space="0" w:color="auto"/>
        <w:left w:val="none" w:sz="0" w:space="0" w:color="auto"/>
        <w:bottom w:val="none" w:sz="0" w:space="0" w:color="auto"/>
        <w:right w:val="none" w:sz="0" w:space="0" w:color="auto"/>
      </w:divBdr>
      <w:divsChild>
        <w:div w:id="1941908037">
          <w:marLeft w:val="0"/>
          <w:marRight w:val="1"/>
          <w:marTop w:val="0"/>
          <w:marBottom w:val="0"/>
          <w:divBdr>
            <w:top w:val="none" w:sz="0" w:space="0" w:color="auto"/>
            <w:left w:val="none" w:sz="0" w:space="0" w:color="auto"/>
            <w:bottom w:val="none" w:sz="0" w:space="0" w:color="auto"/>
            <w:right w:val="none" w:sz="0" w:space="0" w:color="auto"/>
          </w:divBdr>
          <w:divsChild>
            <w:div w:id="1941907971">
              <w:marLeft w:val="0"/>
              <w:marRight w:val="0"/>
              <w:marTop w:val="0"/>
              <w:marBottom w:val="0"/>
              <w:divBdr>
                <w:top w:val="none" w:sz="0" w:space="0" w:color="auto"/>
                <w:left w:val="none" w:sz="0" w:space="0" w:color="auto"/>
                <w:bottom w:val="none" w:sz="0" w:space="0" w:color="auto"/>
                <w:right w:val="none" w:sz="0" w:space="0" w:color="auto"/>
              </w:divBdr>
              <w:divsChild>
                <w:div w:id="1941907926">
                  <w:marLeft w:val="0"/>
                  <w:marRight w:val="1"/>
                  <w:marTop w:val="0"/>
                  <w:marBottom w:val="0"/>
                  <w:divBdr>
                    <w:top w:val="none" w:sz="0" w:space="0" w:color="auto"/>
                    <w:left w:val="none" w:sz="0" w:space="0" w:color="auto"/>
                    <w:bottom w:val="none" w:sz="0" w:space="0" w:color="auto"/>
                    <w:right w:val="none" w:sz="0" w:space="0" w:color="auto"/>
                  </w:divBdr>
                  <w:divsChild>
                    <w:div w:id="1941907986">
                      <w:marLeft w:val="0"/>
                      <w:marRight w:val="0"/>
                      <w:marTop w:val="0"/>
                      <w:marBottom w:val="0"/>
                      <w:divBdr>
                        <w:top w:val="none" w:sz="0" w:space="0" w:color="auto"/>
                        <w:left w:val="none" w:sz="0" w:space="0" w:color="auto"/>
                        <w:bottom w:val="none" w:sz="0" w:space="0" w:color="auto"/>
                        <w:right w:val="none" w:sz="0" w:space="0" w:color="auto"/>
                      </w:divBdr>
                      <w:divsChild>
                        <w:div w:id="1941907931">
                          <w:marLeft w:val="0"/>
                          <w:marRight w:val="0"/>
                          <w:marTop w:val="0"/>
                          <w:marBottom w:val="0"/>
                          <w:divBdr>
                            <w:top w:val="none" w:sz="0" w:space="0" w:color="auto"/>
                            <w:left w:val="none" w:sz="0" w:space="0" w:color="auto"/>
                            <w:bottom w:val="none" w:sz="0" w:space="0" w:color="auto"/>
                            <w:right w:val="none" w:sz="0" w:space="0" w:color="auto"/>
                          </w:divBdr>
                          <w:divsChild>
                            <w:div w:id="1941908004">
                              <w:marLeft w:val="0"/>
                              <w:marRight w:val="0"/>
                              <w:marTop w:val="120"/>
                              <w:marBottom w:val="360"/>
                              <w:divBdr>
                                <w:top w:val="none" w:sz="0" w:space="0" w:color="auto"/>
                                <w:left w:val="none" w:sz="0" w:space="0" w:color="auto"/>
                                <w:bottom w:val="none" w:sz="0" w:space="0" w:color="auto"/>
                                <w:right w:val="none" w:sz="0" w:space="0" w:color="auto"/>
                              </w:divBdr>
                              <w:divsChild>
                                <w:div w:id="1941908001">
                                  <w:marLeft w:val="0"/>
                                  <w:marRight w:val="0"/>
                                  <w:marTop w:val="0"/>
                                  <w:marBottom w:val="0"/>
                                  <w:divBdr>
                                    <w:top w:val="none" w:sz="0" w:space="0" w:color="auto"/>
                                    <w:left w:val="none" w:sz="0" w:space="0" w:color="auto"/>
                                    <w:bottom w:val="none" w:sz="0" w:space="0" w:color="auto"/>
                                    <w:right w:val="none" w:sz="0" w:space="0" w:color="auto"/>
                                  </w:divBdr>
                                  <w:divsChild>
                                    <w:div w:id="1941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908035">
      <w:marLeft w:val="0"/>
      <w:marRight w:val="0"/>
      <w:marTop w:val="0"/>
      <w:marBottom w:val="0"/>
      <w:divBdr>
        <w:top w:val="none" w:sz="0" w:space="0" w:color="auto"/>
        <w:left w:val="none" w:sz="0" w:space="0" w:color="auto"/>
        <w:bottom w:val="none" w:sz="0" w:space="0" w:color="auto"/>
        <w:right w:val="none" w:sz="0" w:space="0" w:color="auto"/>
      </w:divBdr>
      <w:divsChild>
        <w:div w:id="1941907953">
          <w:marLeft w:val="0"/>
          <w:marRight w:val="0"/>
          <w:marTop w:val="0"/>
          <w:marBottom w:val="0"/>
          <w:divBdr>
            <w:top w:val="none" w:sz="0" w:space="0" w:color="auto"/>
            <w:left w:val="none" w:sz="0" w:space="0" w:color="auto"/>
            <w:bottom w:val="none" w:sz="0" w:space="0" w:color="auto"/>
            <w:right w:val="none" w:sz="0" w:space="0" w:color="auto"/>
          </w:divBdr>
          <w:divsChild>
            <w:div w:id="1941908036">
              <w:marLeft w:val="0"/>
              <w:marRight w:val="0"/>
              <w:marTop w:val="0"/>
              <w:marBottom w:val="0"/>
              <w:divBdr>
                <w:top w:val="single" w:sz="2" w:space="0" w:color="CCCCCC"/>
                <w:left w:val="single" w:sz="6" w:space="10" w:color="CCCCCC"/>
                <w:bottom w:val="single" w:sz="6" w:space="0" w:color="CCCCCC"/>
                <w:right w:val="single" w:sz="6" w:space="10" w:color="CCCCCC"/>
              </w:divBdr>
              <w:divsChild>
                <w:div w:id="1941907911">
                  <w:marLeft w:val="0"/>
                  <w:marRight w:val="0"/>
                  <w:marTop w:val="0"/>
                  <w:marBottom w:val="0"/>
                  <w:divBdr>
                    <w:top w:val="none" w:sz="0" w:space="0" w:color="auto"/>
                    <w:left w:val="none" w:sz="0" w:space="0" w:color="auto"/>
                    <w:bottom w:val="none" w:sz="0" w:space="0" w:color="auto"/>
                    <w:right w:val="single" w:sz="6" w:space="0" w:color="CCCCCC"/>
                  </w:divBdr>
                  <w:divsChild>
                    <w:div w:id="1941907912">
                      <w:marLeft w:val="0"/>
                      <w:marRight w:val="0"/>
                      <w:marTop w:val="0"/>
                      <w:marBottom w:val="0"/>
                      <w:divBdr>
                        <w:top w:val="none" w:sz="0" w:space="0" w:color="auto"/>
                        <w:left w:val="none" w:sz="0" w:space="0" w:color="auto"/>
                        <w:bottom w:val="none" w:sz="0" w:space="0" w:color="auto"/>
                        <w:right w:val="none" w:sz="0" w:space="0" w:color="auto"/>
                      </w:divBdr>
                      <w:divsChild>
                        <w:div w:id="1941908017">
                          <w:marLeft w:val="0"/>
                          <w:marRight w:val="0"/>
                          <w:marTop w:val="0"/>
                          <w:marBottom w:val="0"/>
                          <w:divBdr>
                            <w:top w:val="none" w:sz="0" w:space="0" w:color="auto"/>
                            <w:left w:val="none" w:sz="0" w:space="0" w:color="auto"/>
                            <w:bottom w:val="none" w:sz="0" w:space="0" w:color="auto"/>
                            <w:right w:val="none" w:sz="0" w:space="0" w:color="auto"/>
                          </w:divBdr>
                          <w:divsChild>
                            <w:div w:id="19419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908047">
      <w:marLeft w:val="0"/>
      <w:marRight w:val="0"/>
      <w:marTop w:val="0"/>
      <w:marBottom w:val="0"/>
      <w:divBdr>
        <w:top w:val="none" w:sz="0" w:space="0" w:color="auto"/>
        <w:left w:val="none" w:sz="0" w:space="0" w:color="auto"/>
        <w:bottom w:val="none" w:sz="0" w:space="0" w:color="auto"/>
        <w:right w:val="none" w:sz="0" w:space="0" w:color="auto"/>
      </w:divBdr>
      <w:divsChild>
        <w:div w:id="1941908039">
          <w:marLeft w:val="0"/>
          <w:marRight w:val="1"/>
          <w:marTop w:val="0"/>
          <w:marBottom w:val="0"/>
          <w:divBdr>
            <w:top w:val="none" w:sz="0" w:space="0" w:color="auto"/>
            <w:left w:val="none" w:sz="0" w:space="0" w:color="auto"/>
            <w:bottom w:val="none" w:sz="0" w:space="0" w:color="auto"/>
            <w:right w:val="none" w:sz="0" w:space="0" w:color="auto"/>
          </w:divBdr>
          <w:divsChild>
            <w:div w:id="1941907924">
              <w:marLeft w:val="0"/>
              <w:marRight w:val="0"/>
              <w:marTop w:val="0"/>
              <w:marBottom w:val="0"/>
              <w:divBdr>
                <w:top w:val="none" w:sz="0" w:space="0" w:color="auto"/>
                <w:left w:val="none" w:sz="0" w:space="0" w:color="auto"/>
                <w:bottom w:val="none" w:sz="0" w:space="0" w:color="auto"/>
                <w:right w:val="none" w:sz="0" w:space="0" w:color="auto"/>
              </w:divBdr>
              <w:divsChild>
                <w:div w:id="1941908042">
                  <w:marLeft w:val="0"/>
                  <w:marRight w:val="1"/>
                  <w:marTop w:val="0"/>
                  <w:marBottom w:val="0"/>
                  <w:divBdr>
                    <w:top w:val="none" w:sz="0" w:space="0" w:color="auto"/>
                    <w:left w:val="none" w:sz="0" w:space="0" w:color="auto"/>
                    <w:bottom w:val="none" w:sz="0" w:space="0" w:color="auto"/>
                    <w:right w:val="none" w:sz="0" w:space="0" w:color="auto"/>
                  </w:divBdr>
                  <w:divsChild>
                    <w:div w:id="1941907984">
                      <w:marLeft w:val="0"/>
                      <w:marRight w:val="0"/>
                      <w:marTop w:val="0"/>
                      <w:marBottom w:val="0"/>
                      <w:divBdr>
                        <w:top w:val="none" w:sz="0" w:space="0" w:color="auto"/>
                        <w:left w:val="none" w:sz="0" w:space="0" w:color="auto"/>
                        <w:bottom w:val="none" w:sz="0" w:space="0" w:color="auto"/>
                        <w:right w:val="none" w:sz="0" w:space="0" w:color="auto"/>
                      </w:divBdr>
                      <w:divsChild>
                        <w:div w:id="1941907910">
                          <w:marLeft w:val="0"/>
                          <w:marRight w:val="0"/>
                          <w:marTop w:val="0"/>
                          <w:marBottom w:val="0"/>
                          <w:divBdr>
                            <w:top w:val="none" w:sz="0" w:space="0" w:color="auto"/>
                            <w:left w:val="none" w:sz="0" w:space="0" w:color="auto"/>
                            <w:bottom w:val="none" w:sz="0" w:space="0" w:color="auto"/>
                            <w:right w:val="none" w:sz="0" w:space="0" w:color="auto"/>
                          </w:divBdr>
                          <w:divsChild>
                            <w:div w:id="1941907976">
                              <w:marLeft w:val="0"/>
                              <w:marRight w:val="0"/>
                              <w:marTop w:val="120"/>
                              <w:marBottom w:val="360"/>
                              <w:divBdr>
                                <w:top w:val="none" w:sz="0" w:space="0" w:color="auto"/>
                                <w:left w:val="none" w:sz="0" w:space="0" w:color="auto"/>
                                <w:bottom w:val="none" w:sz="0" w:space="0" w:color="auto"/>
                                <w:right w:val="none" w:sz="0" w:space="0" w:color="auto"/>
                              </w:divBdr>
                              <w:divsChild>
                                <w:div w:id="1941907965">
                                  <w:marLeft w:val="0"/>
                                  <w:marRight w:val="0"/>
                                  <w:marTop w:val="0"/>
                                  <w:marBottom w:val="0"/>
                                  <w:divBdr>
                                    <w:top w:val="none" w:sz="0" w:space="0" w:color="auto"/>
                                    <w:left w:val="none" w:sz="0" w:space="0" w:color="auto"/>
                                    <w:bottom w:val="none" w:sz="0" w:space="0" w:color="auto"/>
                                    <w:right w:val="none" w:sz="0" w:space="0" w:color="auto"/>
                                  </w:divBdr>
                                  <w:divsChild>
                                    <w:div w:id="19419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5058</Words>
  <Characters>28832</Characters>
  <Application>Microsoft Office Word</Application>
  <DocSecurity>0</DocSecurity>
  <Lines>240</Lines>
  <Paragraphs>67</Paragraphs>
  <ScaleCrop>false</ScaleCrop>
  <Company>Espirito Santo Saude</Company>
  <LinksUpToDate>false</LinksUpToDate>
  <CharactersWithSpaces>33823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Gonçalves</dc:creator>
  <cp:lastModifiedBy>LS Ma</cp:lastModifiedBy>
  <cp:revision>2</cp:revision>
  <dcterms:created xsi:type="dcterms:W3CDTF">2014-04-28T03:38:00Z</dcterms:created>
  <dcterms:modified xsi:type="dcterms:W3CDTF">2014-04-28T03:38:00Z</dcterms:modified>
</cp:coreProperties>
</file>