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D7AFE" w:rsidRDefault="00C3575B">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3D7AFE" w:rsidRDefault="00C3575B">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86439</w:t>
      </w:r>
    </w:p>
    <w:p w:rsidR="003D7AFE" w:rsidRDefault="00C3575B">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t>Primary cutaneous anaplastic large cell lymphoma with over-expressed Ki-67 transitioning into systemic anaplastic large cell lymphoma: A case report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color w:val="000000"/>
        </w:rPr>
        <w:t>Mu HX</w:t>
      </w:r>
      <w:r>
        <w:rPr>
          <w:rFonts w:ascii="Book Antiqua" w:eastAsia="Book Antiqua" w:hAnsi="Book Antiqua" w:cs="Book Antiqua"/>
          <w:i/>
          <w:color w:val="000000"/>
        </w:rPr>
        <w:t xml:space="preserve"> et al</w:t>
      </w:r>
      <w:r>
        <w:rPr>
          <w:rFonts w:ascii="Book Antiqua" w:eastAsia="Book Antiqua" w:hAnsi="Book Antiqua" w:cs="Book Antiqua"/>
          <w:color w:val="000000"/>
        </w:rPr>
        <w:t>. Anaplastic large cell lymphoma</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color w:val="000000"/>
        </w:rPr>
        <w:t>Hai-Xi Mu, Xiao-Qiong Tang</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Hai-Xi Mu, Xiao-Qiong Tang,</w:t>
      </w:r>
      <w:r>
        <w:rPr>
          <w:rFonts w:ascii="Book Antiqua" w:eastAsia="Book Antiqua" w:hAnsi="Book Antiqua" w:cs="Book Antiqua"/>
          <w:bCs/>
          <w:color w:val="000000"/>
        </w:rPr>
        <w:t xml:space="preserve"> Department of </w:t>
      </w:r>
      <w:r>
        <w:rPr>
          <w:rFonts w:ascii="Book Antiqua" w:eastAsia="Book Antiqua" w:hAnsi="Book Antiqua" w:cs="Book Antiqua"/>
          <w:color w:val="000000"/>
        </w:rPr>
        <w:t>Hematology, The First Affiliated Hospital of Chongqing Medical University, Chongqing 400010, China</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Mu HX contributed to manuscript writing and editing and data collection; Tang XQ contributed to conceptualization and supervision; all authors have read and approved the final manuscript.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Corresponding author: Xiao-Qiong Tang, MD, Chief Physician,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Hematology, The First Affiliated Hospital of Chongqing Medical University, No. 1 </w:t>
      </w:r>
      <w:proofErr w:type="spellStart"/>
      <w:r>
        <w:rPr>
          <w:rFonts w:ascii="Book Antiqua" w:eastAsia="Book Antiqua" w:hAnsi="Book Antiqua" w:cs="Book Antiqua"/>
          <w:color w:val="000000"/>
        </w:rPr>
        <w:t>Yixueyuan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Chongqing 400010, China. tangxiaoqiong@126.com</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19, 2023</w:t>
      </w: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August 30, 2023</w:t>
      </w: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9-06T15:45:00Z">
        <w:r w:rsidR="00BC3B33" w:rsidRPr="00BC3B33">
          <w:rPr>
            <w:rFonts w:ascii="Book Antiqua" w:eastAsia="Book Antiqua" w:hAnsi="Book Antiqua" w:cs="Book Antiqua"/>
          </w:rPr>
          <w:t>September 6, 2023</w:t>
        </w:r>
      </w:ins>
    </w:p>
    <w:p w:rsidR="003D7AFE" w:rsidRDefault="00C3575B">
      <w:pPr>
        <w:spacing w:line="360" w:lineRule="auto"/>
        <w:jc w:val="both"/>
        <w:rPr>
          <w:rFonts w:ascii="Book Antiqua" w:hAnsi="Book Antiqua"/>
        </w:rPr>
      </w:pPr>
      <w:r>
        <w:rPr>
          <w:rFonts w:ascii="Book Antiqua" w:eastAsia="Book Antiqua" w:hAnsi="Book Antiqua" w:cs="Book Antiqua"/>
          <w:b/>
          <w:bCs/>
        </w:rPr>
        <w:t xml:space="preserve">Published online: </w:t>
      </w:r>
    </w:p>
    <w:p w:rsidR="003D7AFE" w:rsidRDefault="003D7AFE">
      <w:pPr>
        <w:spacing w:line="360" w:lineRule="auto"/>
        <w:jc w:val="both"/>
        <w:rPr>
          <w:rFonts w:ascii="Book Antiqua" w:hAnsi="Book Antiqua"/>
        </w:rPr>
        <w:sectPr w:rsidR="003D7AFE">
          <w:footerReference w:type="default" r:id="rId6"/>
          <w:pgSz w:w="12240" w:h="15840"/>
          <w:pgMar w:top="1440" w:right="1440" w:bottom="1440" w:left="1440" w:header="720" w:footer="720" w:gutter="0"/>
          <w:cols w:space="720"/>
          <w:docGrid w:linePitch="360"/>
        </w:sect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3D7AFE" w:rsidRDefault="00C3575B">
      <w:pPr>
        <w:spacing w:line="360" w:lineRule="auto"/>
        <w:jc w:val="both"/>
        <w:rPr>
          <w:rFonts w:ascii="Book Antiqua" w:hAnsi="Book Antiqua"/>
        </w:rPr>
      </w:pPr>
      <w:r>
        <w:rPr>
          <w:rFonts w:ascii="Book Antiqua" w:eastAsia="Book Antiqua" w:hAnsi="Book Antiqua" w:cs="Book Antiqua"/>
          <w:color w:val="000000"/>
        </w:rPr>
        <w:t>BACKGROUND</w:t>
      </w:r>
    </w:p>
    <w:p w:rsidR="003D7AFE" w:rsidRDefault="00C3575B">
      <w:pPr>
        <w:spacing w:line="360" w:lineRule="auto"/>
        <w:jc w:val="both"/>
        <w:rPr>
          <w:rFonts w:ascii="Book Antiqua" w:hAnsi="Book Antiqua"/>
        </w:rPr>
      </w:pPr>
      <w:r>
        <w:rPr>
          <w:rFonts w:ascii="Book Antiqua" w:eastAsia="Book Antiqua" w:hAnsi="Book Antiqua" w:cs="Book Antiqua"/>
          <w:color w:val="000000"/>
        </w:rPr>
        <w:t>Primary cutaneous anaplastic large cell lymphoma (PC-ALCL) differs from systemic anaplastic large cell lymphoma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in cell biological behavior, clinical features, treatment, and outcome. PC-ALCL has been reported to rarely transition into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but the underlying mechanism is not clear. Here we report such a case with certain characteristics that shed light on this.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color w:val="000000"/>
        </w:rPr>
        <w:t>CASE SUMMARY</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Herein, we report a 43-year-old male with symptoms of a skin nodule and histologically confirmed PC-ALCL with high expression of Ki-67. After three months of observation, two skin nodules re-appeared with muscle layer involvement and was histologically confirmed as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Seventeen months after receiving six cycles of CHOP regimen, the patient had pain in the chest and back, cough, shortness of breath, and night sweats. This was confirmed as relapse of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by immunohistochemistry and several organs, such as the lung were involved as shown by positron emission tomography/computed tomography. After four cycles of DICE plus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regimens followed by auto-hematopoietic stem cell transplantation (ASCT), complete remission (CR) duration was achieved for twelve months while the patient was on maintenance with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(20 mg) pills.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color w:val="000000"/>
        </w:rPr>
        <w:t>CONCLUSION</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This case had significantly high expression of Ki-67 when diagnosed as PC-ALCL initially and then transitioned into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which is rare. Auto-ASCT combined with demethylation drugs effectively maintained CR and prolonged progression free survival.</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Cutaneous lymphoma; Anaplastic large cell lymphoma; Ki-67; Auto hematopoietic stem cell transplantation; Case report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rPr>
        <w:t xml:space="preserve">Mu H, Tang XQ. Primary cutaneous anaplastic large cell lymphoma with over-expressed Ki-67 transitioning into systemic anaplastic large cell lymphoma: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Primary cutaneous anaplastic large cell lymphoma (PC-ALCL)</w:t>
      </w:r>
      <w:r>
        <w:rPr>
          <w:rFonts w:ascii="Book Antiqua" w:eastAsia="Book Antiqua" w:hAnsi="Book Antiqua" w:cs="Book Antiqua"/>
        </w:rPr>
        <w:t xml:space="preserve"> is a primary cutaneous lymphoma and differs from </w:t>
      </w:r>
      <w:r>
        <w:rPr>
          <w:rFonts w:ascii="Book Antiqua" w:eastAsia="Book Antiqua" w:hAnsi="Book Antiqua" w:cs="Book Antiqua"/>
          <w:color w:val="000000"/>
        </w:rPr>
        <w:t>systemic anaplastic large cell lymphoma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w:t>
      </w:r>
      <w:r>
        <w:rPr>
          <w:rFonts w:ascii="Book Antiqua" w:eastAsia="Book Antiqua" w:hAnsi="Book Antiqua" w:cs="Book Antiqua"/>
        </w:rPr>
        <w:t xml:space="preserve">, which is a peripheral T cell lymphoma. There is no direct connection between them. This is the first report of the medical management, including </w:t>
      </w:r>
      <w:r>
        <w:rPr>
          <w:rFonts w:ascii="Book Antiqua" w:eastAsia="Book Antiqua" w:hAnsi="Book Antiqua" w:cs="Book Antiqua"/>
          <w:color w:val="000000"/>
        </w:rPr>
        <w:t>auto-hematopoietic stem cell transplantation (ASCT)</w:t>
      </w:r>
      <w:r>
        <w:rPr>
          <w:rFonts w:ascii="Book Antiqua" w:eastAsia="Book Antiqua" w:hAnsi="Book Antiqua" w:cs="Book Antiqua"/>
        </w:rPr>
        <w:t xml:space="preserve"> of a 43-year-old male patient who transitioned from the cutaneous to the systemic form of ALCL in Asia, and the second to be reported in world (the first being a Bulgarian treated with Brentuximab </w:t>
      </w:r>
      <w:proofErr w:type="spellStart"/>
      <w:r>
        <w:rPr>
          <w:rFonts w:ascii="Book Antiqua" w:eastAsia="Book Antiqua" w:hAnsi="Book Antiqua" w:cs="Book Antiqua"/>
        </w:rPr>
        <w:t>vedontin</w:t>
      </w:r>
      <w:proofErr w:type="spellEnd"/>
      <w:r>
        <w:rPr>
          <w:rFonts w:ascii="Book Antiqua" w:eastAsia="Book Antiqua" w:hAnsi="Book Antiqua" w:cs="Book Antiqua"/>
        </w:rPr>
        <w:t xml:space="preserve">). We found high expression of Ki-67 in this case, for the first time, which may have played a role in the transition. This is also the first instance of application of auto-ASCT followed by maintenance with oral </w:t>
      </w:r>
      <w:proofErr w:type="spellStart"/>
      <w:r>
        <w:rPr>
          <w:rFonts w:ascii="Book Antiqua" w:eastAsia="Book Antiqua" w:hAnsi="Book Antiqua" w:cs="Book Antiqua"/>
        </w:rPr>
        <w:t>chidamide</w:t>
      </w:r>
      <w:proofErr w:type="spellEnd"/>
      <w:r>
        <w:rPr>
          <w:rFonts w:ascii="Book Antiqua" w:eastAsia="Book Antiqua" w:hAnsi="Book Antiqua" w:cs="Book Antiqua"/>
        </w:rPr>
        <w:t>. In the future, an increasing number of patients will probably receive this therapy, and therein lies the significance of this case report.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Primary cutaneous anaplastic large cell lymphoma (PC-ALCL) accounts for about 8% of all cutaneous T-cell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the 2022 revision of the World Health Organization classification of lymphoid neoplasms, PC-ALCL is categorized under primary cutaneous T-cell lymphoid proliferations and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PC-ALCL exhibits an indolent clinical course with a highly favorable outcome; 5-year survival ranges between 85% and 100%, although cutaneous relapses are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median age at diagnosis is six decades for anaplastic lymphoma kinase (ALK) negative PC-ALCL. Clinical features typically include solitary, grouped skin lesions and uncommonly localized nodules or tumors. Extracutaneous disease occurs in about 10% of cases, usually involving regional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rsidR="003D7AFE" w:rsidRDefault="00C3575B">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Peripheral T cell lymphoma (PTCL), an aggressive disease that belongs to a heterogeneous group of mature T-cell lymphomas, develops rapidly and has a poor prognosis. ALK-negative ALCL, as one kind of PTCL, has been acknowledged as a heterogeneous entity. Only one case of transition from PC-ALCL to systemic ALCL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has been reported so far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little is known about the underlying mechanism. Here, we report a 43-year-old male patient diagnosed as PC-ALCL who then transitioned into ALK-negative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We analyzed molecular markers, including Ki-67 and DUSP22 rearrangement to provide additional information.</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3D7AFE" w:rsidRDefault="00C3575B">
      <w:pPr>
        <w:spacing w:line="360" w:lineRule="auto"/>
        <w:jc w:val="both"/>
        <w:rPr>
          <w:rFonts w:ascii="Book Antiqua" w:hAnsi="Book Antiqua"/>
        </w:rPr>
      </w:pPr>
      <w:r>
        <w:rPr>
          <w:rFonts w:ascii="Book Antiqua" w:eastAsia="Book Antiqua" w:hAnsi="Book Antiqua" w:cs="Book Antiqua"/>
          <w:b/>
          <w:i/>
          <w:color w:val="000000"/>
        </w:rPr>
        <w:t>Chief complaints</w:t>
      </w:r>
    </w:p>
    <w:p w:rsidR="003D7AFE" w:rsidRDefault="00C3575B">
      <w:pPr>
        <w:spacing w:line="360" w:lineRule="auto"/>
        <w:jc w:val="both"/>
        <w:rPr>
          <w:rFonts w:ascii="Book Antiqua" w:hAnsi="Book Antiqua"/>
        </w:rPr>
      </w:pPr>
      <w:r>
        <w:rPr>
          <w:rFonts w:ascii="Book Antiqua" w:eastAsia="Book Antiqua" w:hAnsi="Book Antiqua" w:cs="Book Antiqua"/>
          <w:color w:val="000000"/>
        </w:rPr>
        <w:t>Awareness of skin nodules for 4 years; thoracalgia and shortness of breath for 2 years.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A 43-year-old male presented with a left sided 2 cm × 2 cm, hard arm swelling without itching or pain (Figure 1A). There were no other skin lesions or lymphadenopathy or significant organomegaly. The local lesion was excised. On histopathology, a diagnosis of ALK-negative PC-ALCL was made (Figure 1B–H). This patient then underwent observation for recurrence. </w:t>
      </w:r>
    </w:p>
    <w:p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Three months later, two subcutaneous hard nodules recurred at the same spot on the left arm. They were 1 cm × 2 cm and 0.5 cm × 1 cm in dimensions. The skin lesions were confirmed as relapsed lymphoma with muscle layer infiltration on histopathology (Figure 1I–M). We diagnosed this new disease entity as systemic ALK-negative ALCL since the muscle was involved, although bone marrow biopsy and aspirate and whole-body CT scan were normal. The patient underwent treatment with six cycles of multiagent chemotherapy, CHOP (cyclophosphamide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theprubicin</w:t>
      </w:r>
      <w:proofErr w:type="spellEnd"/>
      <w:r>
        <w:rPr>
          <w:rFonts w:ascii="Book Antiqua" w:eastAsia="Book Antiqua" w:hAnsi="Book Antiqua" w:cs="Book Antiqua"/>
          <w:color w:val="000000"/>
        </w:rPr>
        <w:t xml:space="preserve"> 30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vindesine</w:t>
      </w:r>
      <w:proofErr w:type="spellEnd"/>
      <w:r>
        <w:rPr>
          <w:rFonts w:ascii="Book Antiqua" w:eastAsia="Book Antiqua" w:hAnsi="Book Antiqua" w:cs="Book Antiqua"/>
          <w:color w:val="000000"/>
        </w:rPr>
        <w:t xml:space="preserve"> 3 mg/m</w:t>
      </w:r>
      <w:r>
        <w:rPr>
          <w:rFonts w:ascii="Book Antiqua" w:eastAsia="Book Antiqua" w:hAnsi="Book Antiqua" w:cs="Book Antiqua"/>
          <w:color w:val="000000"/>
          <w:vertAlign w:val="superscript"/>
        </w:rPr>
        <w:t>2</w:t>
      </w:r>
      <w:r>
        <w:rPr>
          <w:rFonts w:ascii="Book Antiqua" w:eastAsia="Book Antiqua" w:hAnsi="Book Antiqua" w:cs="Book Antiqua"/>
          <w:color w:val="000000"/>
        </w:rPr>
        <w:t>, prednisone 100 mg). He refused treatment with brentuximab and auto-ASCT, and instead chose follow-up.</w:t>
      </w:r>
    </w:p>
    <w:p w:rsidR="003D7AFE" w:rsidRDefault="00C3575B">
      <w:pPr>
        <w:spacing w:line="360" w:lineRule="auto"/>
        <w:jc w:val="both"/>
        <w:rPr>
          <w:rFonts w:ascii="Book Antiqua" w:hAnsi="Book Antiqua"/>
        </w:rPr>
      </w:pPr>
      <w:r>
        <w:rPr>
          <w:rFonts w:ascii="Book Antiqua" w:eastAsia="Book Antiqua" w:hAnsi="Book Antiqua" w:cs="Book Antiqua"/>
          <w:color w:val="000000"/>
        </w:rPr>
        <w:lastRenderedPageBreak/>
        <w:t xml:space="preserve">Two years later, this patient suffered from chest pain, shortness of breath, cough, and night sweats. </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History of past illness</w:t>
      </w:r>
    </w:p>
    <w:p w:rsidR="003D7AFE" w:rsidRDefault="00C3575B">
      <w:pPr>
        <w:spacing w:line="360" w:lineRule="auto"/>
        <w:jc w:val="both"/>
        <w:rPr>
          <w:rFonts w:ascii="Book Antiqua" w:hAnsi="Book Antiqua"/>
        </w:rPr>
      </w:pPr>
      <w:r>
        <w:rPr>
          <w:rFonts w:ascii="Book Antiqua" w:eastAsia="Book Antiqua" w:hAnsi="Book Antiqua" w:cs="Book Antiqua"/>
          <w:color w:val="000000"/>
        </w:rPr>
        <w:t>The patient reported no other medical history, such as hypertension and diabetes.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3D7AFE" w:rsidRDefault="00C3575B">
      <w:pPr>
        <w:spacing w:line="360" w:lineRule="auto"/>
        <w:jc w:val="both"/>
        <w:rPr>
          <w:rFonts w:ascii="Book Antiqua" w:hAnsi="Book Antiqua"/>
        </w:rPr>
      </w:pPr>
      <w:r>
        <w:rPr>
          <w:rFonts w:ascii="Book Antiqua" w:eastAsia="Book Antiqua" w:hAnsi="Book Antiqua" w:cs="Book Antiqua"/>
          <w:color w:val="000000"/>
        </w:rPr>
        <w:t>The patient denied any personal and family history of illness.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Physical examination</w:t>
      </w:r>
    </w:p>
    <w:p w:rsidR="003D7AFE" w:rsidRDefault="00C3575B">
      <w:pPr>
        <w:spacing w:line="360" w:lineRule="auto"/>
        <w:jc w:val="both"/>
        <w:rPr>
          <w:rFonts w:ascii="Book Antiqua" w:hAnsi="Book Antiqua"/>
        </w:rPr>
      </w:pPr>
      <w:r>
        <w:rPr>
          <w:rFonts w:ascii="Book Antiqua" w:eastAsia="Book Antiqua" w:hAnsi="Book Antiqua" w:cs="Book Antiqua"/>
          <w:color w:val="000000"/>
        </w:rPr>
        <w:t>The patient’s height was 189 cm and his weight was 103 kg. He was clear-headed and energetic, and had no swelling of superficial lymph nodes. He had a 1 cm × 1 cm subcutaneous nodule on his back with clear border. He had tenderness in the mid-sternum and bilateral anterior chest wall, clear breath sounds in both lungs, uniform cardiac rhythm, and no obvious murmurs in the apical area. The abdomen was flat and soft, without tenderness and rebound pain, and the liver and spleen were not palpable below the costal margin. Murphy’s sign was negative. There was no percussion pain in bilateral kidney area and no tenderness in bilateral ureter running area. There was no edema in both lower limbs. Neurological tests were negative.</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Laboratory examinations</w:t>
      </w:r>
    </w:p>
    <w:p w:rsidR="003D7AFE" w:rsidRDefault="00C3575B">
      <w:pPr>
        <w:spacing w:line="360" w:lineRule="auto"/>
        <w:jc w:val="both"/>
        <w:rPr>
          <w:rFonts w:ascii="Book Antiqua" w:hAnsi="Book Antiqua"/>
        </w:rPr>
      </w:pPr>
      <w:r>
        <w:rPr>
          <w:rFonts w:ascii="Book Antiqua" w:eastAsia="Book Antiqua" w:hAnsi="Book Antiqua" w:cs="Book Antiqua"/>
          <w:color w:val="000000"/>
        </w:rPr>
        <w:t>The patient had an increased lactic dehydrogenase of 255 U/L (upper limit: 250 U/L). Blood tests, hepatic function tests, and other biochemical tests were within normal limits.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i/>
          <w:color w:val="000000"/>
        </w:rPr>
        <w:t>Imaging examinations</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Positron emission tomography/computed tomography scan revealed the subcutaneous nodule on the back as tumor invasion since there was higher 18F-flurodeoxyglucose </w:t>
      </w:r>
      <w:r>
        <w:rPr>
          <w:rFonts w:ascii="Book Antiqua" w:eastAsia="Book Antiqua" w:hAnsi="Book Antiqua" w:cs="Book Antiqua"/>
          <w:color w:val="000000"/>
        </w:rPr>
        <w:lastRenderedPageBreak/>
        <w:t>(18F-FDG) uptake activity, and also involvement of liver, bone, right lung, and widespread lymph nodes (Figure 2A–D).</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3D7AFE" w:rsidRDefault="00C3575B">
      <w:pPr>
        <w:spacing w:line="360" w:lineRule="auto"/>
        <w:jc w:val="both"/>
        <w:rPr>
          <w:rFonts w:ascii="Book Antiqua" w:hAnsi="Book Antiqua"/>
        </w:rPr>
      </w:pPr>
      <w:r>
        <w:rPr>
          <w:rFonts w:ascii="Book Antiqua" w:eastAsia="Book Antiqua" w:hAnsi="Book Antiqua" w:cs="Book Antiqua"/>
          <w:color w:val="000000"/>
        </w:rPr>
        <w:t>Systemic ALK-negative ALCL, Stage IV group B</w:t>
      </w:r>
      <w:r w:rsidR="00046DA0">
        <w:rPr>
          <w:rFonts w:ascii="Book Antiqua" w:eastAsia="Book Antiqua" w:hAnsi="Book Antiqua" w:cs="Book Antiqua"/>
          <w:color w:val="000000"/>
        </w:rPr>
        <w: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3D7AFE" w:rsidRDefault="00C3575B">
      <w:pPr>
        <w:spacing w:line="360" w:lineRule="auto"/>
        <w:jc w:val="both"/>
        <w:rPr>
          <w:rFonts w:ascii="Book Antiqua" w:hAnsi="Book Antiqua"/>
        </w:rPr>
      </w:pPr>
      <w:r>
        <w:rPr>
          <w:rFonts w:ascii="Book Antiqua" w:eastAsia="Book Antiqua" w:hAnsi="Book Antiqua" w:cs="Book Antiqua"/>
          <w:color w:val="000000"/>
        </w:rPr>
        <w:t>DICE chemotherapeutic regimen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1000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cisplatin 25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etoposide 60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dexamethasone 9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combined with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(30 mg, 2 d a week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instead of brentuximab was administered, due to the patient’s economic conditions. Complete response was achieved after four cycles of this regimen (Figure 2E–H). Then, he underwent ASCT. Cyclophosphamide 2 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granulocyte-colony stimulating factor 8 µg/kg/d were given to promote hematopoietic stem cell (HSC) mobilization from the bone marrow to the peripheral blood. HSCs were collected in a dose of mononuclear cells 9.46 × 10</w:t>
      </w:r>
      <w:r>
        <w:rPr>
          <w:rFonts w:ascii="Book Antiqua" w:eastAsia="Book Antiqua" w:hAnsi="Book Antiqua" w:cs="Book Antiqua"/>
          <w:color w:val="000000"/>
          <w:vertAlign w:val="superscript"/>
        </w:rPr>
        <w:t>8</w:t>
      </w:r>
      <w:r>
        <w:rPr>
          <w:rFonts w:ascii="Book Antiqua" w:eastAsia="Book Antiqua" w:hAnsi="Book Antiqua" w:cs="Book Antiqua"/>
          <w:color w:val="000000"/>
        </w:rPr>
        <w:t>/kg, CD34+ 1.86 × 10</w:t>
      </w:r>
      <w:r>
        <w:rPr>
          <w:rFonts w:ascii="Book Antiqua" w:eastAsia="Book Antiqua" w:hAnsi="Book Antiqua" w:cs="Book Antiqua"/>
          <w:color w:val="000000"/>
          <w:vertAlign w:val="superscript"/>
        </w:rPr>
        <w:t>6</w:t>
      </w:r>
      <w:r>
        <w:rPr>
          <w:rFonts w:ascii="Book Antiqua" w:eastAsia="Book Antiqua" w:hAnsi="Book Antiqua" w:cs="Book Antiqua"/>
          <w:color w:val="000000"/>
        </w:rPr>
        <w:t>/kg. Then BEAM preparative regimen (</w:t>
      </w:r>
      <w:proofErr w:type="spellStart"/>
      <w:r>
        <w:rPr>
          <w:rFonts w:ascii="Book Antiqua" w:eastAsia="Book Antiqua" w:hAnsi="Book Antiqua" w:cs="Book Antiqua"/>
          <w:color w:val="000000"/>
        </w:rPr>
        <w:t>carmustine</w:t>
      </w:r>
      <w:proofErr w:type="spellEnd"/>
      <w:r>
        <w:rPr>
          <w:rFonts w:ascii="Book Antiqua" w:eastAsia="Book Antiqua" w:hAnsi="Book Antiqua" w:cs="Book Antiqua"/>
          <w:color w:val="000000"/>
        </w:rPr>
        <w:t xml:space="preserve"> 300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cytarabine 150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etoposide 100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melphalan 140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administered. Neutrophil engraftment occurred on Day +11 and platelet engraftment occurred on Day +14. As maintenance therapy, </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 xml:space="preserve"> (20 mg, two days a week) was administered, without occurrence of adverse events.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The patient has been in complete remission for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the last follow up in November 2021. This is similar to the progression-free survival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as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3D7AFE" w:rsidRDefault="00C3575B">
      <w:pPr>
        <w:spacing w:line="360" w:lineRule="auto"/>
        <w:jc w:val="both"/>
        <w:rPr>
          <w:rFonts w:ascii="Book Antiqua" w:hAnsi="Book Antiqua"/>
        </w:rPr>
      </w:pPr>
      <w:r>
        <w:rPr>
          <w:rFonts w:ascii="Book Antiqua" w:eastAsia="Book Antiqua" w:hAnsi="Book Antiqua" w:cs="Book Antiqua"/>
          <w:color w:val="000000"/>
        </w:rPr>
        <w:t>PC-ALCL is sensitive to drugs; however, it has a high relapse rate with some studies reporting a rate of 42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Patients with early cutaneous relapse have a poorer 5-year specific survival (64%) than those with late or no relapse (96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Pr="00852CDB">
        <w:rPr>
          <w:rFonts w:ascii="Book Antiqua" w:eastAsia="Book Antiqua" w:hAnsi="Book Antiqua" w:cs="Book Antiqua"/>
          <w:color w:val="000000"/>
        </w:rPr>
        <w:t xml:space="preserve"> </w:t>
      </w:r>
      <w:r>
        <w:rPr>
          <w:rFonts w:ascii="Book Antiqua" w:eastAsia="Book Antiqua" w:hAnsi="Book Antiqua" w:cs="Book Antiqua"/>
          <w:color w:val="000000"/>
        </w:rPr>
        <w:t xml:space="preserve">Multiple skin tumors </w:t>
      </w:r>
      <w:r>
        <w:rPr>
          <w:rFonts w:ascii="Book Antiqua" w:eastAsia="Book Antiqua" w:hAnsi="Book Antiqua" w:cs="Book Antiqua"/>
          <w:color w:val="000000"/>
        </w:rPr>
        <w:lastRenderedPageBreak/>
        <w:t xml:space="preserve">in one limb and extracutaneous disease when this disease has progressed, are individual factors associated with poorer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This case had both these two poor prognostic factors.</w:t>
      </w:r>
    </w:p>
    <w:p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 xml:space="preserve">We used immunohistochemistry (IHC) and fluorescence in situ hybridization (FISH) to further study the molecular mechanism of transition of this cutaneous ALCL to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We found the proliferation index Ki-67 was significantly high (80%) when the primary cutaneous disease occurred (Figure 1F). Furthermore, Ki67 was subsequently upregulated when this disease progressed into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xml:space="preserve"> (95% on first relapse, Figure 1M; 90% on second relapse</w:t>
      </w:r>
      <w:r w:rsidR="0001564C" w:rsidRPr="0001564C">
        <w:rPr>
          <w:rFonts w:ascii="Book Antiqua" w:eastAsia="Book Antiqua" w:hAnsi="Book Antiqua" w:cs="Book Antiqua"/>
          <w:color w:val="000000"/>
        </w:rPr>
        <w:t>, Figure 1O</w:t>
      </w:r>
      <w:r>
        <w:rPr>
          <w:rFonts w:ascii="Book Antiqua" w:eastAsia="Book Antiqua" w:hAnsi="Book Antiqua" w:cs="Book Antiqua"/>
          <w:color w:val="000000"/>
        </w:rPr>
        <w:t>). It is abnormal to find this indicator in indolent lymphomas, especially in a disease with a good prognosis, such as primary cutaneous T-cell lymphoma. The Ki-67 index was less than 45% in 82.8% of indolent lymphomas, and we can differentiate indolent lymphomas from aggressive ones with the cut-off value of 45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Pr="006506DE">
        <w:rPr>
          <w:rFonts w:ascii="Book Antiqua" w:eastAsia="Book Antiqua" w:hAnsi="Book Antiqua" w:cs="Book Antiqua"/>
          <w:color w:val="000000"/>
        </w:rPr>
        <w:t xml:space="preserve"> </w:t>
      </w:r>
      <w:r>
        <w:rPr>
          <w:rFonts w:ascii="Book Antiqua" w:eastAsia="Book Antiqua" w:hAnsi="Book Antiqua" w:cs="Book Antiqua"/>
          <w:color w:val="000000"/>
        </w:rPr>
        <w:t>Ki-</w:t>
      </w:r>
      <w:bookmarkStart w:id="1" w:name="OLE_LINK1"/>
      <w:bookmarkStart w:id="2" w:name="OLE_LINK2"/>
      <w:r>
        <w:rPr>
          <w:rFonts w:ascii="Book Antiqua" w:eastAsia="Book Antiqua" w:hAnsi="Book Antiqua" w:cs="Book Antiqua"/>
          <w:color w:val="000000"/>
        </w:rPr>
        <w:t>67 is also an independent adverse prognostic factor in cutaneo</w:t>
      </w:r>
      <w:bookmarkEnd w:id="1"/>
      <w:bookmarkEnd w:id="2"/>
      <w:r>
        <w:rPr>
          <w:rFonts w:ascii="Book Antiqua" w:eastAsia="Book Antiqua" w:hAnsi="Book Antiqua" w:cs="Book Antiqua"/>
          <w:color w:val="000000"/>
        </w:rPr>
        <w:t xml:space="preserve">us T-cell </w:t>
      </w:r>
      <w:proofErr w:type="gramStart"/>
      <w:r>
        <w:rPr>
          <w:rFonts w:ascii="Book Antiqua" w:eastAsia="Book Antiqua" w:hAnsi="Book Antiqua" w:cs="Book Antiqua"/>
          <w:color w:val="000000"/>
        </w:rPr>
        <w:t>lymphomas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rsidR="003D7AFE" w:rsidRDefault="00C3575B">
      <w:pPr>
        <w:spacing w:line="360" w:lineRule="auto"/>
        <w:ind w:firstLine="420"/>
        <w:jc w:val="both"/>
        <w:rPr>
          <w:rFonts w:ascii="Book Antiqua" w:hAnsi="Book Antiqua"/>
        </w:rPr>
      </w:pPr>
      <w:r>
        <w:rPr>
          <w:rFonts w:ascii="Book Antiqua" w:eastAsia="Book Antiqua" w:hAnsi="Book Antiqua" w:cs="Book Antiqua"/>
          <w:color w:val="000000"/>
        </w:rPr>
        <w:t xml:space="preserve">For this case, we found that </w:t>
      </w:r>
      <w:r w:rsidRPr="00852CDB">
        <w:rPr>
          <w:rFonts w:ascii="Book Antiqua" w:eastAsia="Book Antiqua" w:hAnsi="Book Antiqua" w:cs="Book Antiqua"/>
          <w:color w:val="000000"/>
        </w:rPr>
        <w:t>interferon regulatory factor 4 (IRF4)</w:t>
      </w:r>
      <w:r>
        <w:rPr>
          <w:rFonts w:ascii="Book Antiqua" w:eastAsia="Book Antiqua" w:hAnsi="Book Antiqua" w:cs="Book Antiqua"/>
          <w:color w:val="000000"/>
        </w:rPr>
        <w:t xml:space="preserve"> break was obvious and was consistently associated with the disease process on FISH (80% on first relapse, Figure 1N; 70% on second relapse</w:t>
      </w:r>
      <w:r w:rsidR="0001564C" w:rsidRPr="0001564C">
        <w:rPr>
          <w:rFonts w:ascii="Book Antiqua" w:eastAsia="Book Antiqua" w:hAnsi="Book Antiqua" w:cs="Book Antiqua"/>
          <w:color w:val="000000"/>
        </w:rPr>
        <w:t>, Figure 1P</w:t>
      </w:r>
      <w:r>
        <w:rPr>
          <w:rFonts w:ascii="Book Antiqua" w:eastAsia="Book Antiqua" w:hAnsi="Book Antiqua" w:cs="Book Antiqua"/>
          <w:color w:val="000000"/>
        </w:rPr>
        <w:t xml:space="preserve">), which represented the DUSP22-IRF4 rearrangement. Recurrent rearrangement of the DUSP22-IRF4 locus on chromosome 6p25.3 is related to a favorable prognosis in systemic ALK-negative ALCL, with a 5-year OS rate of 80%–90%, similar to that of ALK-positive </w:t>
      </w:r>
      <w:proofErr w:type="gramStart"/>
      <w:r>
        <w:rPr>
          <w:rFonts w:ascii="Book Antiqua" w:eastAsia="Book Antiqua" w:hAnsi="Book Antiqua" w:cs="Book Antiqua"/>
          <w:color w:val="000000"/>
        </w:rPr>
        <w:t>ALCL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This is much better than that of the other two subtypes of ALK-negative ALCL; 42% for triple negative (ALK, DUSP22, and TP63 rearrangements), 17% for TP63-</w:t>
      </w:r>
      <w:proofErr w:type="gramStart"/>
      <w:r>
        <w:rPr>
          <w:rFonts w:ascii="Book Antiqua" w:eastAsia="Book Antiqua" w:hAnsi="Book Antiqua" w:cs="Book Antiqua"/>
          <w:color w:val="000000"/>
        </w:rPr>
        <w:t>rearranged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DUSP22 rearrangement results in decreased expression of dual-specificity phosphatase-22, decreased STAT3 activation, and decreased activity of immune and autoimmune-mediated mechanisms regulated by T-</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DUSP22-IRF4 translocation was identified in 20%–57% of the cases of PC-</w:t>
      </w:r>
      <w:proofErr w:type="gramStart"/>
      <w:r>
        <w:rPr>
          <w:rFonts w:ascii="Book Antiqua" w:eastAsia="Book Antiqua" w:hAnsi="Book Antiqua" w:cs="Book Antiqua"/>
          <w:color w:val="000000"/>
        </w:rPr>
        <w:t>ALCL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 panel of cases of PC-ALCL with DUSP22–IRF4 Locus translocations had features with a distinctive biphasic histopathological pattern, with small cerebriform lymphocytes in the epidermis, and </w:t>
      </w:r>
      <w:r>
        <w:rPr>
          <w:rFonts w:ascii="Book Antiqua" w:eastAsia="Book Antiqua" w:hAnsi="Book Antiqua" w:cs="Book Antiqua"/>
          <w:color w:val="000000"/>
        </w:rPr>
        <w:lastRenderedPageBreak/>
        <w:t xml:space="preserve">larger transformed lymphocytes in the </w:t>
      </w:r>
      <w:proofErr w:type="gramStart"/>
      <w:r>
        <w:rPr>
          <w:rFonts w:ascii="Book Antiqua" w:eastAsia="Book Antiqua" w:hAnsi="Book Antiqua" w:cs="Book Antiqua"/>
          <w:color w:val="000000"/>
        </w:rPr>
        <w:t>dermis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However, we know little about the independent influence of DUSP22–IRF4 rearrangement on prognosis in PC-ALCL.</w:t>
      </w:r>
    </w:p>
    <w:p w:rsidR="003D7AFE" w:rsidRDefault="003D7AFE">
      <w:pPr>
        <w:spacing w:line="360" w:lineRule="auto"/>
        <w:ind w:firstLine="420"/>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3D7AFE" w:rsidRDefault="00C3575B">
      <w:pPr>
        <w:spacing w:line="360" w:lineRule="auto"/>
        <w:jc w:val="both"/>
        <w:rPr>
          <w:rFonts w:ascii="Book Antiqua" w:hAnsi="Book Antiqua"/>
        </w:rPr>
      </w:pPr>
      <w:r>
        <w:rPr>
          <w:rFonts w:ascii="Book Antiqua" w:eastAsia="Book Antiqua" w:hAnsi="Book Antiqua" w:cs="Book Antiqua"/>
          <w:color w:val="000000"/>
        </w:rPr>
        <w:t xml:space="preserve">This case was initially diagnosed as primary cutaneous anaplastic large cell lymphoma through histopathological features and IHC parameters, including CD30, ALK, CD3, CD4, CD8, GRB, TIA-1, EMA, CD20, PAX5, CD10, and BCL6. The patient progressed to </w:t>
      </w:r>
      <w:proofErr w:type="spellStart"/>
      <w:r>
        <w:rPr>
          <w:rFonts w:ascii="Book Antiqua" w:eastAsia="Book Antiqua" w:hAnsi="Book Antiqua" w:cs="Book Antiqua"/>
          <w:color w:val="000000"/>
        </w:rPr>
        <w:t>sALCL</w:t>
      </w:r>
      <w:proofErr w:type="spellEnd"/>
      <w:r>
        <w:rPr>
          <w:rFonts w:ascii="Book Antiqua" w:eastAsia="Book Antiqua" w:hAnsi="Book Antiqua" w:cs="Book Antiqua"/>
          <w:color w:val="000000"/>
        </w:rPr>
        <w:t>, which has rarely been reported. Three clinical features in this patient, including cutaneous relapse, multiple skin tumors in one limb, and extracutaneous disease are poor prognosis factors, according to the literature. High Ki-67 expression in this case is a potential poor prognosis marker, indicating need for more aggressive therapy when present in PC-ALCL. There is a need for more retrospective case control studies for further evaluation.</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t>REFERENCES</w:t>
      </w:r>
    </w:p>
    <w:p w:rsidR="003D7AFE" w:rsidRDefault="00C3575B">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Willemze</w:t>
      </w:r>
      <w:proofErr w:type="spellEnd"/>
      <w:r>
        <w:rPr>
          <w:rFonts w:ascii="Book Antiqua" w:eastAsia="Book Antiqua" w:hAnsi="Book Antiqua" w:cs="Book Antiqua"/>
          <w:b/>
          <w:bCs/>
        </w:rPr>
        <w:t xml:space="preserve"> R</w:t>
      </w:r>
      <w:r>
        <w:rPr>
          <w:rFonts w:ascii="Book Antiqua" w:eastAsia="Book Antiqua" w:hAnsi="Book Antiqua" w:cs="Book Antiqua"/>
        </w:rPr>
        <w:t xml:space="preserve">, Cerroni L, Kempf W, Berti E, </w:t>
      </w:r>
      <w:proofErr w:type="spellStart"/>
      <w:r>
        <w:rPr>
          <w:rFonts w:ascii="Book Antiqua" w:eastAsia="Book Antiqua" w:hAnsi="Book Antiqua" w:cs="Book Antiqua"/>
        </w:rPr>
        <w:t>Facchetti</w:t>
      </w:r>
      <w:proofErr w:type="spellEnd"/>
      <w:r>
        <w:rPr>
          <w:rFonts w:ascii="Book Antiqua" w:eastAsia="Book Antiqua" w:hAnsi="Book Antiqua" w:cs="Book Antiqua"/>
        </w:rPr>
        <w:t xml:space="preserve"> F, Swerdlow SH, Jaffe ES. The 2018 update of the WHO-EORTC classification for primary cutaneous lymphomas. </w:t>
      </w:r>
      <w:r>
        <w:rPr>
          <w:rFonts w:ascii="Book Antiqua" w:eastAsia="Book Antiqua" w:hAnsi="Book Antiqua" w:cs="Book Antiqua"/>
          <w:i/>
          <w:iCs/>
        </w:rPr>
        <w:t>Blood</w:t>
      </w:r>
      <w:r>
        <w:rPr>
          <w:rFonts w:ascii="Book Antiqua" w:eastAsia="Book Antiqua" w:hAnsi="Book Antiqua" w:cs="Book Antiqua"/>
        </w:rPr>
        <w:t xml:space="preserve"> 2019; </w:t>
      </w:r>
      <w:r>
        <w:rPr>
          <w:rFonts w:ascii="Book Antiqua" w:eastAsia="Book Antiqua" w:hAnsi="Book Antiqua" w:cs="Book Antiqua"/>
          <w:b/>
          <w:bCs/>
        </w:rPr>
        <w:t>133</w:t>
      </w:r>
      <w:r>
        <w:rPr>
          <w:rFonts w:ascii="Book Antiqua" w:eastAsia="Book Antiqua" w:hAnsi="Book Antiqua" w:cs="Book Antiqua"/>
        </w:rPr>
        <w:t>: 1703-1714 [PMID: 30635287 DOI: 10.1182/blood-2018-11-881268]</w:t>
      </w:r>
    </w:p>
    <w:p w:rsidR="003D7AFE" w:rsidRDefault="00C3575B">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Alaggio</w:t>
      </w:r>
      <w:proofErr w:type="spellEnd"/>
      <w:r>
        <w:rPr>
          <w:rFonts w:ascii="Book Antiqua" w:eastAsia="Book Antiqua" w:hAnsi="Book Antiqua" w:cs="Book Antiqua"/>
          <w:b/>
          <w:bCs/>
        </w:rPr>
        <w:t xml:space="preserve"> R</w:t>
      </w:r>
      <w:r>
        <w:rPr>
          <w:rFonts w:ascii="Book Antiqua" w:eastAsia="Book Antiqua" w:hAnsi="Book Antiqua" w:cs="Book Antiqua"/>
        </w:rPr>
        <w:t xml:space="preserve">, Amador C, Anagnostopoulos I, Attygalle AD, Araujo IBO, Berti E, Bhagat G, Borges AM, Boyer D, </w:t>
      </w:r>
      <w:proofErr w:type="spellStart"/>
      <w:r>
        <w:rPr>
          <w:rFonts w:ascii="Book Antiqua" w:eastAsia="Book Antiqua" w:hAnsi="Book Antiqua" w:cs="Book Antiqua"/>
        </w:rPr>
        <w:t>Calaminici</w:t>
      </w:r>
      <w:proofErr w:type="spellEnd"/>
      <w:r>
        <w:rPr>
          <w:rFonts w:ascii="Book Antiqua" w:eastAsia="Book Antiqua" w:hAnsi="Book Antiqua" w:cs="Book Antiqua"/>
        </w:rPr>
        <w:t xml:space="preserve"> M, Chadburn A, Chan JKC, Cheuk W, Chng WJ, Choi JK, Chuang SS, Coupland SE, </w:t>
      </w:r>
      <w:proofErr w:type="spellStart"/>
      <w:r>
        <w:rPr>
          <w:rFonts w:ascii="Book Antiqua" w:eastAsia="Book Antiqua" w:hAnsi="Book Antiqua" w:cs="Book Antiqua"/>
        </w:rPr>
        <w:t>Czader</w:t>
      </w:r>
      <w:proofErr w:type="spellEnd"/>
      <w:r>
        <w:rPr>
          <w:rFonts w:ascii="Book Antiqua" w:eastAsia="Book Antiqua" w:hAnsi="Book Antiqua" w:cs="Book Antiqua"/>
        </w:rPr>
        <w:t xml:space="preserve"> M, Dave SS, de Jong D, Du MQ, </w:t>
      </w:r>
      <w:proofErr w:type="spellStart"/>
      <w:r>
        <w:rPr>
          <w:rFonts w:ascii="Book Antiqua" w:eastAsia="Book Antiqua" w:hAnsi="Book Antiqua" w:cs="Book Antiqua"/>
        </w:rPr>
        <w:t>Elenitoba</w:t>
      </w:r>
      <w:proofErr w:type="spellEnd"/>
      <w:r>
        <w:rPr>
          <w:rFonts w:ascii="Book Antiqua" w:eastAsia="Book Antiqua" w:hAnsi="Book Antiqua" w:cs="Book Antiqua"/>
        </w:rPr>
        <w:t xml:space="preserve">-Johnson KS, Ferry J, Geyer J, </w:t>
      </w:r>
      <w:proofErr w:type="spellStart"/>
      <w:r>
        <w:rPr>
          <w:rFonts w:ascii="Book Antiqua" w:eastAsia="Book Antiqua" w:hAnsi="Book Antiqua" w:cs="Book Antiqua"/>
        </w:rPr>
        <w:t>Gratzinger</w:t>
      </w:r>
      <w:proofErr w:type="spellEnd"/>
      <w:r>
        <w:rPr>
          <w:rFonts w:ascii="Book Antiqua" w:eastAsia="Book Antiqua" w:hAnsi="Book Antiqua" w:cs="Book Antiqua"/>
        </w:rPr>
        <w:t xml:space="preserve"> D, Guitart J, Gujral S, Harris M, Harrison CJ, Hartmann S, </w:t>
      </w:r>
      <w:proofErr w:type="spellStart"/>
      <w:r>
        <w:rPr>
          <w:rFonts w:ascii="Book Antiqua" w:eastAsia="Book Antiqua" w:hAnsi="Book Antiqua" w:cs="Book Antiqua"/>
        </w:rPr>
        <w:t>Hochhaus</w:t>
      </w:r>
      <w:proofErr w:type="spellEnd"/>
      <w:r>
        <w:rPr>
          <w:rFonts w:ascii="Book Antiqua" w:eastAsia="Book Antiqua" w:hAnsi="Book Antiqua" w:cs="Book Antiqua"/>
        </w:rPr>
        <w:t xml:space="preserve"> A, Jansen PM, </w:t>
      </w:r>
      <w:proofErr w:type="spellStart"/>
      <w:r>
        <w:rPr>
          <w:rFonts w:ascii="Book Antiqua" w:eastAsia="Book Antiqua" w:hAnsi="Book Antiqua" w:cs="Book Antiqua"/>
        </w:rPr>
        <w:t>Karube</w:t>
      </w:r>
      <w:proofErr w:type="spellEnd"/>
      <w:r>
        <w:rPr>
          <w:rFonts w:ascii="Book Antiqua" w:eastAsia="Book Antiqua" w:hAnsi="Book Antiqua" w:cs="Book Antiqua"/>
        </w:rPr>
        <w:t xml:space="preserve"> K, Kempf W, Khoury J, Kimura H, Klapper W, Kovach AE, Kumar S, Lazar AJ, Lazzi S, Leoncini L, Leung N, </w:t>
      </w:r>
      <w:proofErr w:type="spellStart"/>
      <w:r>
        <w:rPr>
          <w:rFonts w:ascii="Book Antiqua" w:eastAsia="Book Antiqua" w:hAnsi="Book Antiqua" w:cs="Book Antiqua"/>
        </w:rPr>
        <w:t>Leventaki</w:t>
      </w:r>
      <w:proofErr w:type="spellEnd"/>
      <w:r>
        <w:rPr>
          <w:rFonts w:ascii="Book Antiqua" w:eastAsia="Book Antiqua" w:hAnsi="Book Antiqua" w:cs="Book Antiqua"/>
        </w:rPr>
        <w:t xml:space="preserve"> V, Li XQ, Lim MS, Liu WP, Louissaint A Jr, </w:t>
      </w:r>
      <w:proofErr w:type="spellStart"/>
      <w:r>
        <w:rPr>
          <w:rFonts w:ascii="Book Antiqua" w:eastAsia="Book Antiqua" w:hAnsi="Book Antiqua" w:cs="Book Antiqua"/>
        </w:rPr>
        <w:t>Marcogliese</w:t>
      </w:r>
      <w:proofErr w:type="spellEnd"/>
      <w:r>
        <w:rPr>
          <w:rFonts w:ascii="Book Antiqua" w:eastAsia="Book Antiqua" w:hAnsi="Book Antiqua" w:cs="Book Antiqua"/>
        </w:rPr>
        <w:t xml:space="preserve"> A, Medeiros LJ, Michal M, Miranda RN, </w:t>
      </w:r>
      <w:proofErr w:type="spellStart"/>
      <w:r>
        <w:rPr>
          <w:rFonts w:ascii="Book Antiqua" w:eastAsia="Book Antiqua" w:hAnsi="Book Antiqua" w:cs="Book Antiqua"/>
        </w:rPr>
        <w:t>Mitteldorf</w:t>
      </w:r>
      <w:proofErr w:type="spellEnd"/>
      <w:r>
        <w:rPr>
          <w:rFonts w:ascii="Book Antiqua" w:eastAsia="Book Antiqua" w:hAnsi="Book Antiqua" w:cs="Book Antiqua"/>
        </w:rPr>
        <w:t xml:space="preserve"> C, Montes-Moreno S, Morice W, Nardi V, Naresh KN, Natkunam Y, Ng SB, </w:t>
      </w:r>
      <w:proofErr w:type="spellStart"/>
      <w:r>
        <w:rPr>
          <w:rFonts w:ascii="Book Antiqua" w:eastAsia="Book Antiqua" w:hAnsi="Book Antiqua" w:cs="Book Antiqua"/>
        </w:rPr>
        <w:t>Oschlies</w:t>
      </w:r>
      <w:proofErr w:type="spellEnd"/>
      <w:r>
        <w:rPr>
          <w:rFonts w:ascii="Book Antiqua" w:eastAsia="Book Antiqua" w:hAnsi="Book Antiqua" w:cs="Book Antiqua"/>
        </w:rPr>
        <w:t xml:space="preserve"> I, Ott G, </w:t>
      </w:r>
      <w:proofErr w:type="spellStart"/>
      <w:r>
        <w:rPr>
          <w:rFonts w:ascii="Book Antiqua" w:eastAsia="Book Antiqua" w:hAnsi="Book Antiqua" w:cs="Book Antiqua"/>
        </w:rPr>
        <w:t>Parrens</w:t>
      </w:r>
      <w:proofErr w:type="spellEnd"/>
      <w:r>
        <w:rPr>
          <w:rFonts w:ascii="Book Antiqua" w:eastAsia="Book Antiqua" w:hAnsi="Book Antiqua" w:cs="Book Antiqua"/>
        </w:rPr>
        <w:t xml:space="preserve"> M, Pulitzer M, Rajkumar SV, </w:t>
      </w:r>
      <w:proofErr w:type="spellStart"/>
      <w:r>
        <w:rPr>
          <w:rFonts w:ascii="Book Antiqua" w:eastAsia="Book Antiqua" w:hAnsi="Book Antiqua" w:cs="Book Antiqua"/>
        </w:rPr>
        <w:t>Rawstron</w:t>
      </w:r>
      <w:proofErr w:type="spellEnd"/>
      <w:r>
        <w:rPr>
          <w:rFonts w:ascii="Book Antiqua" w:eastAsia="Book Antiqua" w:hAnsi="Book Antiqua" w:cs="Book Antiqua"/>
        </w:rPr>
        <w:t xml:space="preserve"> AC, Rech K, Rosenwald A, Said J, Sarkozy C, Sayed S, </w:t>
      </w:r>
      <w:proofErr w:type="spellStart"/>
      <w:r>
        <w:rPr>
          <w:rFonts w:ascii="Book Antiqua" w:eastAsia="Book Antiqua" w:hAnsi="Book Antiqua" w:cs="Book Antiqua"/>
        </w:rPr>
        <w:t>Saygin</w:t>
      </w:r>
      <w:proofErr w:type="spellEnd"/>
      <w:r>
        <w:rPr>
          <w:rFonts w:ascii="Book Antiqua" w:eastAsia="Book Antiqua" w:hAnsi="Book Antiqua" w:cs="Book Antiqua"/>
        </w:rPr>
        <w:t xml:space="preserve"> C, Schuh A, Sewell W, Siebert R, Sohani AR, Tooze R, Traverse-Glehen A, Vega F, </w:t>
      </w:r>
      <w:proofErr w:type="spellStart"/>
      <w:r>
        <w:rPr>
          <w:rFonts w:ascii="Book Antiqua" w:eastAsia="Book Antiqua" w:hAnsi="Book Antiqua" w:cs="Book Antiqua"/>
        </w:rPr>
        <w:t>Vergier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Wechalekar</w:t>
      </w:r>
      <w:proofErr w:type="spellEnd"/>
      <w:r>
        <w:rPr>
          <w:rFonts w:ascii="Book Antiqua" w:eastAsia="Book Antiqua" w:hAnsi="Book Antiqua" w:cs="Book Antiqua"/>
        </w:rPr>
        <w:t xml:space="preserve"> AD, </w:t>
      </w:r>
      <w:r>
        <w:rPr>
          <w:rFonts w:ascii="Book Antiqua" w:eastAsia="Book Antiqua" w:hAnsi="Book Antiqua" w:cs="Book Antiqua"/>
        </w:rPr>
        <w:lastRenderedPageBreak/>
        <w:t xml:space="preserve">Wood B, Xerri L, Xiao W. The 5th edition of the World Health Organization Classification of </w:t>
      </w:r>
      <w:proofErr w:type="spellStart"/>
      <w:r>
        <w:rPr>
          <w:rFonts w:ascii="Book Antiqua" w:eastAsia="Book Antiqua" w:hAnsi="Book Antiqua" w:cs="Book Antiqua"/>
        </w:rPr>
        <w:t>Haematolymphoid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Lymphoid Neoplasms. </w:t>
      </w:r>
      <w:r>
        <w:rPr>
          <w:rFonts w:ascii="Book Antiqua" w:eastAsia="Book Antiqua" w:hAnsi="Book Antiqua" w:cs="Book Antiqua"/>
          <w:i/>
          <w:iCs/>
        </w:rPr>
        <w:t>Leukemia</w:t>
      </w:r>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1720-1748 [PMID: 35732829 DOI: 10.1038/s41375-022-01620-2]</w:t>
      </w:r>
    </w:p>
    <w:p w:rsidR="003D7AFE" w:rsidRDefault="00C3575B">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Bekkenk</w:t>
      </w:r>
      <w:proofErr w:type="spellEnd"/>
      <w:r>
        <w:rPr>
          <w:rFonts w:ascii="Book Antiqua" w:eastAsia="Book Antiqua" w:hAnsi="Book Antiqua" w:cs="Book Antiqua"/>
          <w:b/>
          <w:bCs/>
        </w:rPr>
        <w:t xml:space="preserve"> MW</w:t>
      </w:r>
      <w:r>
        <w:rPr>
          <w:rFonts w:ascii="Book Antiqua" w:eastAsia="Book Antiqua" w:hAnsi="Book Antiqua" w:cs="Book Antiqua"/>
        </w:rPr>
        <w:t xml:space="preserve">, Geelen FA, van Voorst Vader PC, Heule F, Geerts ML, van Vloten WA, Meijer CJ, </w:t>
      </w:r>
      <w:proofErr w:type="spellStart"/>
      <w:r>
        <w:rPr>
          <w:rFonts w:ascii="Book Antiqua" w:eastAsia="Book Antiqua" w:hAnsi="Book Antiqua" w:cs="Book Antiqua"/>
        </w:rPr>
        <w:t>Willemze</w:t>
      </w:r>
      <w:proofErr w:type="spellEnd"/>
      <w:r>
        <w:rPr>
          <w:rFonts w:ascii="Book Antiqua" w:eastAsia="Book Antiqua" w:hAnsi="Book Antiqua" w:cs="Book Antiqua"/>
        </w:rPr>
        <w:t xml:space="preserve"> R. Primary and secondary cutaneous CD30(+) lymphoproliferative disorders: a report from the Dutch Cutaneous Lymphoma Group on the long-term follow-up data of 219 patients and guidelines for diagnosis and treatment. </w:t>
      </w:r>
      <w:r>
        <w:rPr>
          <w:rFonts w:ascii="Book Antiqua" w:eastAsia="Book Antiqua" w:hAnsi="Book Antiqua" w:cs="Book Antiqua"/>
          <w:i/>
          <w:iCs/>
        </w:rPr>
        <w:t>Blood</w:t>
      </w:r>
      <w:r>
        <w:rPr>
          <w:rFonts w:ascii="Book Antiqua" w:eastAsia="Book Antiqua" w:hAnsi="Book Antiqua" w:cs="Book Antiqua"/>
        </w:rPr>
        <w:t xml:space="preserve"> 2000; </w:t>
      </w:r>
      <w:r>
        <w:rPr>
          <w:rFonts w:ascii="Book Antiqua" w:eastAsia="Book Antiqua" w:hAnsi="Book Antiqua" w:cs="Book Antiqua"/>
          <w:b/>
          <w:bCs/>
        </w:rPr>
        <w:t>95</w:t>
      </w:r>
      <w:r>
        <w:rPr>
          <w:rFonts w:ascii="Book Antiqua" w:eastAsia="Book Antiqua" w:hAnsi="Book Antiqua" w:cs="Book Antiqua"/>
        </w:rPr>
        <w:t>: 3653-3661 [PMID: 10845893 DOI: 10.1182/</w:t>
      </w:r>
      <w:proofErr w:type="gramStart"/>
      <w:r>
        <w:rPr>
          <w:rFonts w:ascii="Book Antiqua" w:eastAsia="Book Antiqua" w:hAnsi="Book Antiqua" w:cs="Book Antiqua"/>
        </w:rPr>
        <w:t>blood.V</w:t>
      </w:r>
      <w:proofErr w:type="gramEnd"/>
      <w:r>
        <w:rPr>
          <w:rFonts w:ascii="Book Antiqua" w:eastAsia="Book Antiqua" w:hAnsi="Book Antiqua" w:cs="Book Antiqua"/>
        </w:rPr>
        <w:t>95.12.3653]</w:t>
      </w:r>
    </w:p>
    <w:p w:rsidR="003D7AFE" w:rsidRDefault="00C3575B">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Liu HL</w:t>
      </w:r>
      <w:r>
        <w:rPr>
          <w:rFonts w:ascii="Book Antiqua" w:eastAsia="Book Antiqua" w:hAnsi="Book Antiqua" w:cs="Book Antiqua"/>
        </w:rPr>
        <w:t xml:space="preserve">, Hoppe RT, Kohler S, Harvell JD, Reddy S, Kim YH. CD30+ cutaneous lymphoproliferative disorders: the Stanford experience in </w:t>
      </w:r>
      <w:proofErr w:type="spellStart"/>
      <w:r>
        <w:rPr>
          <w:rFonts w:ascii="Book Antiqua" w:eastAsia="Book Antiqua" w:hAnsi="Book Antiqua" w:cs="Book Antiqua"/>
        </w:rPr>
        <w:t>lymphomatoid</w:t>
      </w:r>
      <w:proofErr w:type="spellEnd"/>
      <w:r>
        <w:rPr>
          <w:rFonts w:ascii="Book Antiqua" w:eastAsia="Book Antiqua" w:hAnsi="Book Antiqua" w:cs="Book Antiqua"/>
        </w:rPr>
        <w:t xml:space="preserve"> papulosis and primary cutaneous anaplastic large cell lymphoma.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2003; </w:t>
      </w:r>
      <w:r>
        <w:rPr>
          <w:rFonts w:ascii="Book Antiqua" w:eastAsia="Book Antiqua" w:hAnsi="Book Antiqua" w:cs="Book Antiqua"/>
          <w:b/>
          <w:bCs/>
        </w:rPr>
        <w:t>49</w:t>
      </w:r>
      <w:r>
        <w:rPr>
          <w:rFonts w:ascii="Book Antiqua" w:eastAsia="Book Antiqua" w:hAnsi="Book Antiqua" w:cs="Book Antiqua"/>
        </w:rPr>
        <w:t>: 1049-1058 [PMID: 14639383 DOI: 10.1016/s0190-9622(03)02484-8]</w:t>
      </w:r>
    </w:p>
    <w:p w:rsidR="003D7AFE" w:rsidRDefault="00C3575B">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Popova TN</w:t>
      </w:r>
      <w:r>
        <w:rPr>
          <w:rFonts w:ascii="Book Antiqua" w:eastAsia="Book Antiqua" w:hAnsi="Book Antiqua" w:cs="Book Antiqua"/>
        </w:rPr>
        <w:t xml:space="preserve">, Radinov A, </w:t>
      </w:r>
      <w:proofErr w:type="spellStart"/>
      <w:r>
        <w:rPr>
          <w:rFonts w:ascii="Book Antiqua" w:eastAsia="Book Antiqua" w:hAnsi="Book Antiqua" w:cs="Book Antiqua"/>
        </w:rPr>
        <w:t>Stavrov</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Temelkova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Terziev</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Lozev</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Lukanova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Mangarov</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Wollina</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Tchernev</w:t>
      </w:r>
      <w:proofErr w:type="spellEnd"/>
      <w:r>
        <w:rPr>
          <w:rFonts w:ascii="Book Antiqua" w:eastAsia="Book Antiqua" w:hAnsi="Book Antiqua" w:cs="Book Antiqua"/>
        </w:rPr>
        <w:t xml:space="preserve"> G. Primary Cutaneous CD30+/ALK- ALCL with Transition into </w:t>
      </w:r>
      <w:proofErr w:type="spellStart"/>
      <w:r>
        <w:rPr>
          <w:rFonts w:ascii="Book Antiqua" w:eastAsia="Book Antiqua" w:hAnsi="Book Antiqua" w:cs="Book Antiqua"/>
        </w:rPr>
        <w:t>sALCL</w:t>
      </w:r>
      <w:proofErr w:type="spellEnd"/>
      <w:r>
        <w:rPr>
          <w:rFonts w:ascii="Book Antiqua" w:eastAsia="Book Antiqua" w:hAnsi="Book Antiqua" w:cs="Book Antiqua"/>
        </w:rPr>
        <w:t xml:space="preserve">: </w:t>
      </w:r>
      <w:proofErr w:type="spellStart"/>
      <w:r>
        <w:rPr>
          <w:rFonts w:ascii="Book Antiqua" w:eastAsia="Book Antiqua" w:hAnsi="Book Antiqua" w:cs="Book Antiqua"/>
        </w:rPr>
        <w:t>Favourable</w:t>
      </w:r>
      <w:proofErr w:type="spellEnd"/>
      <w:r>
        <w:rPr>
          <w:rFonts w:ascii="Book Antiqua" w:eastAsia="Book Antiqua" w:hAnsi="Book Antiqua" w:cs="Book Antiqua"/>
        </w:rPr>
        <w:t xml:space="preserve"> Response after Systemic Administration with Brentuximab </w:t>
      </w:r>
      <w:proofErr w:type="spellStart"/>
      <w:r>
        <w:rPr>
          <w:rFonts w:ascii="Book Antiqua" w:eastAsia="Book Antiqua" w:hAnsi="Book Antiqua" w:cs="Book Antiqua"/>
        </w:rPr>
        <w:t>Vedotin</w:t>
      </w:r>
      <w:proofErr w:type="spellEnd"/>
      <w:r>
        <w:rPr>
          <w:rFonts w:ascii="Book Antiqua" w:eastAsia="Book Antiqua" w:hAnsi="Book Antiqua" w:cs="Book Antiqua"/>
        </w:rPr>
        <w:t xml:space="preserve">! Unique Presentation in a Bulgarian </w:t>
      </w:r>
      <w:proofErr w:type="gramStart"/>
      <w:r>
        <w:rPr>
          <w:rFonts w:ascii="Book Antiqua" w:eastAsia="Book Antiqua" w:hAnsi="Book Antiqua" w:cs="Book Antiqua"/>
        </w:rPr>
        <w:t>Patient!.</w:t>
      </w:r>
      <w:proofErr w:type="gramEnd"/>
      <w:r>
        <w:rPr>
          <w:rFonts w:ascii="Book Antiqua" w:eastAsia="Book Antiqua" w:hAnsi="Book Antiqua" w:cs="Book Antiqua"/>
        </w:rPr>
        <w:t xml:space="preserve"> </w:t>
      </w:r>
      <w:r>
        <w:rPr>
          <w:rFonts w:ascii="Book Antiqua" w:eastAsia="Book Antiqua" w:hAnsi="Book Antiqua" w:cs="Book Antiqua"/>
          <w:i/>
          <w:iCs/>
        </w:rPr>
        <w:t>Open Access Maced J Med Sci</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1275-1277 [PMID: 30087736 DOI: 10.3889/oamjms.2018.289]</w:t>
      </w:r>
    </w:p>
    <w:p w:rsidR="003D7AFE" w:rsidRDefault="00C3575B">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Fu C</w:t>
      </w:r>
      <w:r>
        <w:rPr>
          <w:rFonts w:ascii="Book Antiqua" w:eastAsia="Book Antiqua" w:hAnsi="Book Antiqua" w:cs="Book Antiqua"/>
        </w:rPr>
        <w:t xml:space="preserve">, Yang C, Li Q, Wang L, Zou L. Glans metastatic extra-nodal natural killer/T-cell lymphoma, nasal-type with HDAC inhibitor as maintenance therapy: a rare case report with literature review. </w:t>
      </w:r>
      <w:r>
        <w:rPr>
          <w:rFonts w:ascii="Book Antiqua" w:eastAsia="Book Antiqua" w:hAnsi="Book Antiqua" w:cs="Book Antiqua"/>
          <w:i/>
          <w:iCs/>
        </w:rPr>
        <w:t xml:space="preserve">Ann </w:t>
      </w:r>
      <w:proofErr w:type="spellStart"/>
      <w:r>
        <w:rPr>
          <w:rFonts w:ascii="Book Antiqua" w:eastAsia="Book Antiqua" w:hAnsi="Book Antiqua" w:cs="Book Antiqua"/>
          <w:i/>
          <w:iCs/>
        </w:rPr>
        <w:t>Palliat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3602-3608 [PMID: 32527129 DOI: 10.21037/apm-19-430b]</w:t>
      </w:r>
    </w:p>
    <w:p w:rsidR="003D7AFE" w:rsidRDefault="00C3575B">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Fernández-de-Misa R</w:t>
      </w:r>
      <w:r>
        <w:rPr>
          <w:rFonts w:ascii="Book Antiqua" w:eastAsia="Book Antiqua" w:hAnsi="Book Antiqua" w:cs="Book Antiqua"/>
        </w:rPr>
        <w:t>, Hernández-</w:t>
      </w:r>
      <w:proofErr w:type="spellStart"/>
      <w:r>
        <w:rPr>
          <w:rFonts w:ascii="Book Antiqua" w:eastAsia="Book Antiqua" w:hAnsi="Book Antiqua" w:cs="Book Antiqua"/>
        </w:rPr>
        <w:t>Machín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Combalía</w:t>
      </w:r>
      <w:proofErr w:type="spellEnd"/>
      <w:r>
        <w:rPr>
          <w:rFonts w:ascii="Book Antiqua" w:eastAsia="Book Antiqua" w:hAnsi="Book Antiqua" w:cs="Book Antiqua"/>
        </w:rPr>
        <w:t xml:space="preserve"> A, García Muret MP, </w:t>
      </w:r>
      <w:proofErr w:type="spellStart"/>
      <w:r>
        <w:rPr>
          <w:rFonts w:ascii="Book Antiqua" w:eastAsia="Book Antiqua" w:hAnsi="Book Antiqua" w:cs="Book Antiqua"/>
        </w:rPr>
        <w:t>Servitje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Muniesa</w:t>
      </w:r>
      <w:proofErr w:type="spellEnd"/>
      <w:r>
        <w:rPr>
          <w:rFonts w:ascii="Book Antiqua" w:eastAsia="Book Antiqua" w:hAnsi="Book Antiqua" w:cs="Book Antiqua"/>
        </w:rPr>
        <w:t xml:space="preserve"> C, Gallardo F, Pujol RM, Martí RM, Ortiz-</w:t>
      </w:r>
      <w:proofErr w:type="spellStart"/>
      <w:r>
        <w:rPr>
          <w:rFonts w:ascii="Book Antiqua" w:eastAsia="Book Antiqua" w:hAnsi="Book Antiqua" w:cs="Book Antiqua"/>
        </w:rPr>
        <w:t>Brugués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Maroñas</w:t>
      </w:r>
      <w:proofErr w:type="spellEnd"/>
      <w:r>
        <w:rPr>
          <w:rFonts w:ascii="Book Antiqua" w:eastAsia="Book Antiqua" w:hAnsi="Book Antiqua" w:cs="Book Antiqua"/>
        </w:rPr>
        <w:t xml:space="preserve">-Jiménez L, Ortiz-Romero PL, Blanch Rius L, Izu R, Román C, </w:t>
      </w:r>
      <w:proofErr w:type="spellStart"/>
      <w:r>
        <w:rPr>
          <w:rFonts w:ascii="Book Antiqua" w:eastAsia="Book Antiqua" w:hAnsi="Book Antiqua" w:cs="Book Antiqua"/>
        </w:rPr>
        <w:t>Cañueto</w:t>
      </w:r>
      <w:proofErr w:type="spellEnd"/>
      <w:r>
        <w:rPr>
          <w:rFonts w:ascii="Book Antiqua" w:eastAsia="Book Antiqua" w:hAnsi="Book Antiqua" w:cs="Book Antiqua"/>
        </w:rPr>
        <w:t xml:space="preserve"> J, Blanes M, Morillo M, Bastida J, Peñate Y, Pérez Gala S, Espinosa Lara P, Pérez Gil A, </w:t>
      </w:r>
      <w:proofErr w:type="spellStart"/>
      <w:r>
        <w:rPr>
          <w:rFonts w:ascii="Book Antiqua" w:eastAsia="Book Antiqua" w:hAnsi="Book Antiqua" w:cs="Book Antiqua"/>
        </w:rPr>
        <w:t>Estrach</w:t>
      </w:r>
      <w:proofErr w:type="spellEnd"/>
      <w:r>
        <w:rPr>
          <w:rFonts w:ascii="Book Antiqua" w:eastAsia="Book Antiqua" w:hAnsi="Book Antiqua" w:cs="Book Antiqua"/>
        </w:rPr>
        <w:t xml:space="preserve"> T. Prognostic factors in patients with primary cutaneous anaplastic large cell lymphoma: a multicentric, retrospective analysis of the Spanish Group of Cutaneous Lymphoma. </w:t>
      </w:r>
      <w:r>
        <w:rPr>
          <w:rFonts w:ascii="Book Antiqua" w:eastAsia="Book Antiqua" w:hAnsi="Book Antiqua" w:cs="Book Antiqua"/>
          <w:i/>
          <w:iCs/>
        </w:rPr>
        <w:t xml:space="preserve">J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 </w:t>
      </w:r>
      <w:proofErr w:type="spellStart"/>
      <w:r>
        <w:rPr>
          <w:rFonts w:ascii="Book Antiqua" w:eastAsia="Book Antiqua" w:hAnsi="Book Antiqua" w:cs="Book Antiqua"/>
          <w:i/>
          <w:iCs/>
        </w:rPr>
        <w:t>Venereol</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762-768 [PMID: 31591786 DOI: 10.1111/jdv.16006]</w:t>
      </w:r>
    </w:p>
    <w:p w:rsidR="003D7AFE" w:rsidRDefault="00C3575B">
      <w:pPr>
        <w:spacing w:line="360" w:lineRule="auto"/>
        <w:jc w:val="both"/>
        <w:rPr>
          <w:rFonts w:ascii="Book Antiqua" w:hAnsi="Book Antiqua"/>
        </w:rPr>
      </w:pPr>
      <w:r>
        <w:rPr>
          <w:rFonts w:ascii="Book Antiqua" w:eastAsia="Book Antiqua" w:hAnsi="Book Antiqua" w:cs="Book Antiqua"/>
        </w:rPr>
        <w:lastRenderedPageBreak/>
        <w:t xml:space="preserve">8 </w:t>
      </w:r>
      <w:r>
        <w:rPr>
          <w:rFonts w:ascii="Book Antiqua" w:eastAsia="Book Antiqua" w:hAnsi="Book Antiqua" w:cs="Book Antiqua"/>
          <w:b/>
          <w:bCs/>
        </w:rPr>
        <w:t>Benner MF</w:t>
      </w:r>
      <w:r>
        <w:rPr>
          <w:rFonts w:ascii="Book Antiqua" w:eastAsia="Book Antiqua" w:hAnsi="Book Antiqua" w:cs="Book Antiqua"/>
        </w:rPr>
        <w:t xml:space="preserve">, </w:t>
      </w:r>
      <w:proofErr w:type="spellStart"/>
      <w:r>
        <w:rPr>
          <w:rFonts w:ascii="Book Antiqua" w:eastAsia="Book Antiqua" w:hAnsi="Book Antiqua" w:cs="Book Antiqua"/>
        </w:rPr>
        <w:t>Willemze</w:t>
      </w:r>
      <w:proofErr w:type="spellEnd"/>
      <w:r>
        <w:rPr>
          <w:rFonts w:ascii="Book Antiqua" w:eastAsia="Book Antiqua" w:hAnsi="Book Antiqua" w:cs="Book Antiqua"/>
        </w:rPr>
        <w:t xml:space="preserve"> R. Applicability and prognostic value of the new TNM classification system in 135 patients with primary cutaneous anaplastic large cell lymphoma. </w:t>
      </w:r>
      <w:r>
        <w:rPr>
          <w:rFonts w:ascii="Book Antiqua" w:eastAsia="Book Antiqua" w:hAnsi="Book Antiqua" w:cs="Book Antiqua"/>
          <w:i/>
          <w:iCs/>
        </w:rPr>
        <w:t>Arch Dermatol</w:t>
      </w:r>
      <w:r>
        <w:rPr>
          <w:rFonts w:ascii="Book Antiqua" w:eastAsia="Book Antiqua" w:hAnsi="Book Antiqua" w:cs="Book Antiqua"/>
        </w:rPr>
        <w:t xml:space="preserve"> 2009; </w:t>
      </w:r>
      <w:r>
        <w:rPr>
          <w:rFonts w:ascii="Book Antiqua" w:eastAsia="Book Antiqua" w:hAnsi="Book Antiqua" w:cs="Book Antiqua"/>
          <w:b/>
          <w:bCs/>
        </w:rPr>
        <w:t>145</w:t>
      </w:r>
      <w:r>
        <w:rPr>
          <w:rFonts w:ascii="Book Antiqua" w:eastAsia="Book Antiqua" w:hAnsi="Book Antiqua" w:cs="Book Antiqua"/>
        </w:rPr>
        <w:t>: 1399-1404 [PMID: 20026848 DOI: 10.1001/archdermatol.2009.280]</w:t>
      </w:r>
    </w:p>
    <w:p w:rsidR="003D7AFE" w:rsidRDefault="00C3575B">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Broyde A</w:t>
      </w:r>
      <w:r>
        <w:rPr>
          <w:rFonts w:ascii="Book Antiqua" w:eastAsia="Book Antiqua" w:hAnsi="Book Antiqua" w:cs="Book Antiqua"/>
        </w:rPr>
        <w:t xml:space="preserve">, </w:t>
      </w:r>
      <w:proofErr w:type="spellStart"/>
      <w:r>
        <w:rPr>
          <w:rFonts w:ascii="Book Antiqua" w:eastAsia="Book Antiqua" w:hAnsi="Book Antiqua" w:cs="Book Antiqua"/>
        </w:rPr>
        <w:t>Boycov</w:t>
      </w:r>
      <w:proofErr w:type="spellEnd"/>
      <w:r>
        <w:rPr>
          <w:rFonts w:ascii="Book Antiqua" w:eastAsia="Book Antiqua" w:hAnsi="Book Antiqua" w:cs="Book Antiqua"/>
        </w:rPr>
        <w:t xml:space="preserve"> O, Strenov Y, Okon E, </w:t>
      </w:r>
      <w:proofErr w:type="spellStart"/>
      <w:r>
        <w:rPr>
          <w:rFonts w:ascii="Book Antiqua" w:eastAsia="Book Antiqua" w:hAnsi="Book Antiqua" w:cs="Book Antiqua"/>
        </w:rPr>
        <w:t>Shpilberg</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Bairey</w:t>
      </w:r>
      <w:proofErr w:type="spellEnd"/>
      <w:r>
        <w:rPr>
          <w:rFonts w:ascii="Book Antiqua" w:eastAsia="Book Antiqua" w:hAnsi="Book Antiqua" w:cs="Book Antiqua"/>
        </w:rPr>
        <w:t xml:space="preserve"> O. Role and prognostic significance of the Ki-67 index in non-Hodgkin's lymphoma. </w:t>
      </w:r>
      <w:r>
        <w:rPr>
          <w:rFonts w:ascii="Book Antiqua" w:eastAsia="Book Antiqua" w:hAnsi="Book Antiqua" w:cs="Book Antiqua"/>
          <w:i/>
          <w:iCs/>
        </w:rPr>
        <w:t xml:space="preserve">Am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2009; </w:t>
      </w:r>
      <w:r>
        <w:rPr>
          <w:rFonts w:ascii="Book Antiqua" w:eastAsia="Book Antiqua" w:hAnsi="Book Antiqua" w:cs="Book Antiqua"/>
          <w:b/>
          <w:bCs/>
        </w:rPr>
        <w:t>84</w:t>
      </w:r>
      <w:r>
        <w:rPr>
          <w:rFonts w:ascii="Book Antiqua" w:eastAsia="Book Antiqua" w:hAnsi="Book Antiqua" w:cs="Book Antiqua"/>
        </w:rPr>
        <w:t>: 338-343 [PMID: 19384938 DOI: 10.1002/ajh.21406]</w:t>
      </w:r>
    </w:p>
    <w:p w:rsidR="003D7AFE" w:rsidRDefault="00C3575B">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Mitani S</w:t>
      </w:r>
      <w:r>
        <w:rPr>
          <w:rFonts w:ascii="Book Antiqua" w:eastAsia="Book Antiqua" w:hAnsi="Book Antiqua" w:cs="Book Antiqua"/>
        </w:rPr>
        <w:t xml:space="preserve">, Tango T, </w:t>
      </w:r>
      <w:proofErr w:type="spellStart"/>
      <w:r>
        <w:rPr>
          <w:rFonts w:ascii="Book Antiqua" w:eastAsia="Book Antiqua" w:hAnsi="Book Antiqua" w:cs="Book Antiqua"/>
        </w:rPr>
        <w:t>Sonobe</w:t>
      </w:r>
      <w:proofErr w:type="spellEnd"/>
      <w:r>
        <w:rPr>
          <w:rFonts w:ascii="Book Antiqua" w:eastAsia="Book Antiqua" w:hAnsi="Book Antiqua" w:cs="Book Antiqua"/>
        </w:rPr>
        <w:t xml:space="preserve"> Y, Baba N, Nagatani T, Nomoto S, Mori S. Expression of three cell proliferation-associated antigens, DNA polymerase alpha, Ki-67 antigen and transferrin receptor in nodal and cutaneous T-cell lymphomas. </w:t>
      </w:r>
      <w:r>
        <w:rPr>
          <w:rFonts w:ascii="Book Antiqua" w:eastAsia="Book Antiqua" w:hAnsi="Book Antiqua" w:cs="Book Antiqua"/>
          <w:i/>
          <w:iCs/>
        </w:rPr>
        <w:t xml:space="preserve">Int J </w:t>
      </w:r>
      <w:proofErr w:type="spellStart"/>
      <w:r>
        <w:rPr>
          <w:rFonts w:ascii="Book Antiqua" w:eastAsia="Book Antiqua" w:hAnsi="Book Antiqua" w:cs="Book Antiqua"/>
          <w:i/>
          <w:iCs/>
        </w:rPr>
        <w:t>Hematol</w:t>
      </w:r>
      <w:proofErr w:type="spellEnd"/>
      <w:r>
        <w:rPr>
          <w:rFonts w:ascii="Book Antiqua" w:eastAsia="Book Antiqua" w:hAnsi="Book Antiqua" w:cs="Book Antiqua"/>
        </w:rPr>
        <w:t xml:space="preserve"> 1991; </w:t>
      </w:r>
      <w:r>
        <w:rPr>
          <w:rFonts w:ascii="Book Antiqua" w:eastAsia="Book Antiqua" w:hAnsi="Book Antiqua" w:cs="Book Antiqua"/>
          <w:b/>
          <w:bCs/>
        </w:rPr>
        <w:t>54</w:t>
      </w:r>
      <w:r>
        <w:rPr>
          <w:rFonts w:ascii="Book Antiqua" w:eastAsia="Book Antiqua" w:hAnsi="Book Antiqua" w:cs="Book Antiqua"/>
        </w:rPr>
        <w:t>: 385-393 [PMID: 1756249]</w:t>
      </w:r>
    </w:p>
    <w:p w:rsidR="003D7AFE" w:rsidRDefault="00C3575B">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Pedersen MB</w:t>
      </w:r>
      <w:r>
        <w:rPr>
          <w:rFonts w:ascii="Book Antiqua" w:eastAsia="Book Antiqua" w:hAnsi="Book Antiqua" w:cs="Book Antiqua"/>
        </w:rPr>
        <w:t xml:space="preserve">, Hamilton-Dutoit SJ, Bendix K, Ketterling RP, </w:t>
      </w:r>
      <w:proofErr w:type="spellStart"/>
      <w:r>
        <w:rPr>
          <w:rFonts w:ascii="Book Antiqua" w:eastAsia="Book Antiqua" w:hAnsi="Book Antiqua" w:cs="Book Antiqua"/>
        </w:rPr>
        <w:t>Bedroske</w:t>
      </w:r>
      <w:proofErr w:type="spellEnd"/>
      <w:r>
        <w:rPr>
          <w:rFonts w:ascii="Book Antiqua" w:eastAsia="Book Antiqua" w:hAnsi="Book Antiqua" w:cs="Book Antiqua"/>
        </w:rPr>
        <w:t xml:space="preserve"> PP, Luoma IM, Sattler CA, Boddicker RL, Bennani NN, Nørgaard P, Møller MB, Steiniche T, </w:t>
      </w:r>
      <w:proofErr w:type="spellStart"/>
      <w:r>
        <w:rPr>
          <w:rFonts w:ascii="Book Antiqua" w:eastAsia="Book Antiqua" w:hAnsi="Book Antiqua" w:cs="Book Antiqua"/>
        </w:rPr>
        <w:t>d'Amore</w:t>
      </w:r>
      <w:proofErr w:type="spellEnd"/>
      <w:r>
        <w:rPr>
          <w:rFonts w:ascii="Book Antiqua" w:eastAsia="Book Antiqua" w:hAnsi="Book Antiqua" w:cs="Book Antiqua"/>
        </w:rPr>
        <w:t xml:space="preserve"> F, Feldman AL. DUSP22 and TP63 rearrangements predict outcome of ALK-negative anaplastic large cell lymphoma: a Danish cohort study. </w:t>
      </w:r>
      <w:r>
        <w:rPr>
          <w:rFonts w:ascii="Book Antiqua" w:eastAsia="Book Antiqua" w:hAnsi="Book Antiqua" w:cs="Book Antiqua"/>
          <w:i/>
          <w:iCs/>
        </w:rPr>
        <w:t>Blood</w:t>
      </w:r>
      <w:r>
        <w:rPr>
          <w:rFonts w:ascii="Book Antiqua" w:eastAsia="Book Antiqua" w:hAnsi="Book Antiqua" w:cs="Book Antiqua"/>
        </w:rPr>
        <w:t xml:space="preserve"> 2017; </w:t>
      </w:r>
      <w:r>
        <w:rPr>
          <w:rFonts w:ascii="Book Antiqua" w:eastAsia="Book Antiqua" w:hAnsi="Book Antiqua" w:cs="Book Antiqua"/>
          <w:b/>
          <w:bCs/>
        </w:rPr>
        <w:t>130</w:t>
      </w:r>
      <w:r>
        <w:rPr>
          <w:rFonts w:ascii="Book Antiqua" w:eastAsia="Book Antiqua" w:hAnsi="Book Antiqua" w:cs="Book Antiqua"/>
        </w:rPr>
        <w:t>: 554-557 [PMID: 28522440 DOI: 10.1182/blood-2016-12-755496]</w:t>
      </w:r>
    </w:p>
    <w:p w:rsidR="003D7AFE" w:rsidRDefault="00C3575B">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Savage KJ</w:t>
      </w:r>
      <w:r>
        <w:rPr>
          <w:rFonts w:ascii="Book Antiqua" w:eastAsia="Book Antiqua" w:hAnsi="Book Antiqua" w:cs="Book Antiqua"/>
        </w:rPr>
        <w:t xml:space="preserve">, Slack GW. DUSP22-rearranged ALK-negative anaplastic large cell lymphoma is a pathogenetically distinct disease but can have variable clinical outcome. </w:t>
      </w:r>
      <w:proofErr w:type="spellStart"/>
      <w:r>
        <w:rPr>
          <w:rFonts w:ascii="Book Antiqua" w:eastAsia="Book Antiqua" w:hAnsi="Book Antiqua" w:cs="Book Antiqua"/>
          <w:i/>
          <w:iCs/>
        </w:rPr>
        <w:t>Haematologica</w:t>
      </w:r>
      <w:proofErr w:type="spellEnd"/>
      <w:r>
        <w:rPr>
          <w:rFonts w:ascii="Book Antiqua" w:eastAsia="Book Antiqua" w:hAnsi="Book Antiqua" w:cs="Book Antiqua"/>
        </w:rPr>
        <w:t xml:space="preserve"> 2023; </w:t>
      </w:r>
      <w:r>
        <w:rPr>
          <w:rFonts w:ascii="Book Antiqua" w:eastAsia="Book Antiqua" w:hAnsi="Book Antiqua" w:cs="Book Antiqua"/>
          <w:b/>
          <w:bCs/>
        </w:rPr>
        <w:t>108</w:t>
      </w:r>
      <w:r>
        <w:rPr>
          <w:rFonts w:ascii="Book Antiqua" w:eastAsia="Book Antiqua" w:hAnsi="Book Antiqua" w:cs="Book Antiqua"/>
        </w:rPr>
        <w:t>: 1463-1467 [PMID: 36453106 DOI: 10.3324/haematol.2022.282025]</w:t>
      </w:r>
    </w:p>
    <w:p w:rsidR="003D7AFE" w:rsidRDefault="00C3575B">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Parrilla Castellar ER</w:t>
      </w:r>
      <w:r>
        <w:rPr>
          <w:rFonts w:ascii="Book Antiqua" w:eastAsia="Book Antiqua" w:hAnsi="Book Antiqua" w:cs="Book Antiqua"/>
        </w:rPr>
        <w:t xml:space="preserve">, Jaffe ES, Said JW, Swerdlow SH, Ketterling RP, Knudson RA, Sidhu JS, Hsi ED, </w:t>
      </w:r>
      <w:proofErr w:type="spellStart"/>
      <w:r>
        <w:rPr>
          <w:rFonts w:ascii="Book Antiqua" w:eastAsia="Book Antiqua" w:hAnsi="Book Antiqua" w:cs="Book Antiqua"/>
        </w:rPr>
        <w:t>Karikehalli</w:t>
      </w:r>
      <w:proofErr w:type="spellEnd"/>
      <w:r>
        <w:rPr>
          <w:rFonts w:ascii="Book Antiqua" w:eastAsia="Book Antiqua" w:hAnsi="Book Antiqua" w:cs="Book Antiqua"/>
        </w:rPr>
        <w:t xml:space="preserve"> S, Jiang L, </w:t>
      </w:r>
      <w:proofErr w:type="spellStart"/>
      <w:r>
        <w:rPr>
          <w:rFonts w:ascii="Book Antiqua" w:eastAsia="Book Antiqua" w:hAnsi="Book Antiqua" w:cs="Book Antiqua"/>
        </w:rPr>
        <w:t>Vasmatzis</w:t>
      </w:r>
      <w:proofErr w:type="spellEnd"/>
      <w:r>
        <w:rPr>
          <w:rFonts w:ascii="Book Antiqua" w:eastAsia="Book Antiqua" w:hAnsi="Book Antiqua" w:cs="Book Antiqua"/>
        </w:rPr>
        <w:t xml:space="preserve"> G, Gibson SE, Ondrejka S, Nicolae A, Grogg KL, Allmer C, Ristow KM, Wilson WH, Macon WR, Law ME, </w:t>
      </w:r>
      <w:proofErr w:type="spellStart"/>
      <w:r>
        <w:rPr>
          <w:rFonts w:ascii="Book Antiqua" w:eastAsia="Book Antiqua" w:hAnsi="Book Antiqua" w:cs="Book Antiqua"/>
        </w:rPr>
        <w:t>Cerhan</w:t>
      </w:r>
      <w:proofErr w:type="spellEnd"/>
      <w:r>
        <w:rPr>
          <w:rFonts w:ascii="Book Antiqua" w:eastAsia="Book Antiqua" w:hAnsi="Book Antiqua" w:cs="Book Antiqua"/>
        </w:rPr>
        <w:t xml:space="preserve"> JR, Habermann TM, Ansell SM, Dogan A, Maurer MJ, Feldman AL. ALK-negative anaplastic large cell lymphoma is a genetically heterogeneous disease with widely disparate clinical outcomes. </w:t>
      </w:r>
      <w:r>
        <w:rPr>
          <w:rFonts w:ascii="Book Antiqua" w:eastAsia="Book Antiqua" w:hAnsi="Book Antiqua" w:cs="Book Antiqua"/>
          <w:i/>
          <w:iCs/>
        </w:rPr>
        <w:t>Blood</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1473-1480 [PMID: 24894770 DOI: 10.1182/blood-2014-04-571091]</w:t>
      </w:r>
    </w:p>
    <w:p w:rsidR="003D7AFE" w:rsidRDefault="00C3575B">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Ortiz-Hidalgo C</w:t>
      </w:r>
      <w:r>
        <w:rPr>
          <w:rFonts w:ascii="Book Antiqua" w:eastAsia="Book Antiqua" w:hAnsi="Book Antiqua" w:cs="Book Antiqua"/>
        </w:rPr>
        <w:t xml:space="preserve">, Pina-Oviedo S. Primary Cutaneous Anaplastic Large Cell Lymphoma-A Review of Clinical, Morphological, Immunohistochemical, and </w:t>
      </w:r>
      <w:r>
        <w:rPr>
          <w:rFonts w:ascii="Book Antiqua" w:eastAsia="Book Antiqua" w:hAnsi="Book Antiqua" w:cs="Book Antiqua"/>
        </w:rPr>
        <w:lastRenderedPageBreak/>
        <w:t xml:space="preserve">Molecular Features.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37627126 DOI: 10.3390/cancers15164098]</w:t>
      </w:r>
    </w:p>
    <w:p w:rsidR="003D7AFE" w:rsidRDefault="00C3575B">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Wada DA</w:t>
      </w:r>
      <w:r>
        <w:rPr>
          <w:rFonts w:ascii="Book Antiqua" w:eastAsia="Book Antiqua" w:hAnsi="Book Antiqua" w:cs="Book Antiqua"/>
        </w:rPr>
        <w:t xml:space="preserve">, Law ME, Hsi ED, </w:t>
      </w:r>
      <w:proofErr w:type="spellStart"/>
      <w:r>
        <w:rPr>
          <w:rFonts w:ascii="Book Antiqua" w:eastAsia="Book Antiqua" w:hAnsi="Book Antiqua" w:cs="Book Antiqua"/>
        </w:rPr>
        <w:t>Dicaudo</w:t>
      </w:r>
      <w:proofErr w:type="spellEnd"/>
      <w:r>
        <w:rPr>
          <w:rFonts w:ascii="Book Antiqua" w:eastAsia="Book Antiqua" w:hAnsi="Book Antiqua" w:cs="Book Antiqua"/>
        </w:rPr>
        <w:t xml:space="preserve"> DJ, Ma L, Lim MS, Souza Ad, </w:t>
      </w:r>
      <w:proofErr w:type="spellStart"/>
      <w:r>
        <w:rPr>
          <w:rFonts w:ascii="Book Antiqua" w:eastAsia="Book Antiqua" w:hAnsi="Book Antiqua" w:cs="Book Antiqua"/>
        </w:rPr>
        <w:t>Comfere</w:t>
      </w:r>
      <w:proofErr w:type="spellEnd"/>
      <w:r>
        <w:rPr>
          <w:rFonts w:ascii="Book Antiqua" w:eastAsia="Book Antiqua" w:hAnsi="Book Antiqua" w:cs="Book Antiqua"/>
        </w:rPr>
        <w:t xml:space="preserve"> NI, </w:t>
      </w:r>
      <w:proofErr w:type="spellStart"/>
      <w:r>
        <w:rPr>
          <w:rFonts w:ascii="Book Antiqua" w:eastAsia="Book Antiqua" w:hAnsi="Book Antiqua" w:cs="Book Antiqua"/>
        </w:rPr>
        <w:t>Weenig</w:t>
      </w:r>
      <w:proofErr w:type="spellEnd"/>
      <w:r>
        <w:rPr>
          <w:rFonts w:ascii="Book Antiqua" w:eastAsia="Book Antiqua" w:hAnsi="Book Antiqua" w:cs="Book Antiqua"/>
        </w:rPr>
        <w:t xml:space="preserve"> RH, Macon WR, Erickson LA, </w:t>
      </w:r>
      <w:proofErr w:type="spellStart"/>
      <w:r>
        <w:rPr>
          <w:rFonts w:ascii="Book Antiqua" w:eastAsia="Book Antiqua" w:hAnsi="Book Antiqua" w:cs="Book Antiqua"/>
        </w:rPr>
        <w:t>Ozsan</w:t>
      </w:r>
      <w:proofErr w:type="spellEnd"/>
      <w:r>
        <w:rPr>
          <w:rFonts w:ascii="Book Antiqua" w:eastAsia="Book Antiqua" w:hAnsi="Book Antiqua" w:cs="Book Antiqua"/>
        </w:rPr>
        <w:t xml:space="preserve"> N, Ansell SM, Dogan A, Feldman AL. Specificity of IRF4 translocations for primary cutaneous anaplastic large cell lymphoma: a multicenter study of 204 skin biopsies. </w:t>
      </w:r>
      <w:r>
        <w:rPr>
          <w:rFonts w:ascii="Book Antiqua" w:eastAsia="Book Antiqua" w:hAnsi="Book Antiqua" w:cs="Book Antiqua"/>
          <w:i/>
          <w:iCs/>
        </w:rPr>
        <w:t xml:space="preserve">Mod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2011; </w:t>
      </w:r>
      <w:r>
        <w:rPr>
          <w:rFonts w:ascii="Book Antiqua" w:eastAsia="Book Antiqua" w:hAnsi="Book Antiqua" w:cs="Book Antiqua"/>
          <w:b/>
          <w:bCs/>
        </w:rPr>
        <w:t>24</w:t>
      </w:r>
      <w:r>
        <w:rPr>
          <w:rFonts w:ascii="Book Antiqua" w:eastAsia="Book Antiqua" w:hAnsi="Book Antiqua" w:cs="Book Antiqua"/>
        </w:rPr>
        <w:t>: 596-605 [PMID: 21169992 DOI: 10.1038/modpathol.2010.225]</w:t>
      </w:r>
    </w:p>
    <w:p w:rsidR="003D7AFE" w:rsidRDefault="00C3575B">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Onaindia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Montes-Moreno S, Rodríguez-Pinilla SM, Batlle A, González de </w:t>
      </w:r>
      <w:proofErr w:type="spellStart"/>
      <w:r>
        <w:rPr>
          <w:rFonts w:ascii="Book Antiqua" w:eastAsia="Book Antiqua" w:hAnsi="Book Antiqua" w:cs="Book Antiqua"/>
        </w:rPr>
        <w:t>Villambrosía</w:t>
      </w:r>
      <w:proofErr w:type="spellEnd"/>
      <w:r>
        <w:rPr>
          <w:rFonts w:ascii="Book Antiqua" w:eastAsia="Book Antiqua" w:hAnsi="Book Antiqua" w:cs="Book Antiqua"/>
        </w:rPr>
        <w:t xml:space="preserve"> S, Rodríguez AM, Alegre V, Bermúdez GM, González-Vela C, Piris MA. Primary cutaneous anaplastic large cell lymphomas with 6p25.3 rearrangement exhibit particular histological features. </w:t>
      </w:r>
      <w:r>
        <w:rPr>
          <w:rFonts w:ascii="Book Antiqua" w:eastAsia="Book Antiqua" w:hAnsi="Book Antiqua" w:cs="Book Antiqua"/>
          <w:i/>
          <w:iCs/>
        </w:rPr>
        <w:t>Histopathology</w:t>
      </w:r>
      <w:r>
        <w:rPr>
          <w:rFonts w:ascii="Book Antiqua" w:eastAsia="Book Antiqua" w:hAnsi="Book Antiqua" w:cs="Book Antiqua"/>
        </w:rPr>
        <w:t xml:space="preserve"> 2015; </w:t>
      </w:r>
      <w:r>
        <w:rPr>
          <w:rFonts w:ascii="Book Antiqua" w:eastAsia="Book Antiqua" w:hAnsi="Book Antiqua" w:cs="Book Antiqua"/>
          <w:b/>
          <w:bCs/>
        </w:rPr>
        <w:t>66</w:t>
      </w:r>
      <w:r>
        <w:rPr>
          <w:rFonts w:ascii="Book Antiqua" w:eastAsia="Book Antiqua" w:hAnsi="Book Antiqua" w:cs="Book Antiqua"/>
        </w:rPr>
        <w:t>: 846-855 [PMID: 25131361 DOI: 10.1111/his.12529]</w:t>
      </w:r>
    </w:p>
    <w:p w:rsidR="003D7AFE" w:rsidRDefault="003D7AFE">
      <w:pPr>
        <w:spacing w:line="360" w:lineRule="auto"/>
        <w:jc w:val="both"/>
        <w:rPr>
          <w:rFonts w:ascii="Book Antiqua" w:hAnsi="Book Antiqua"/>
        </w:rPr>
        <w:sectPr w:rsidR="003D7AFE">
          <w:pgSz w:w="12240" w:h="15840"/>
          <w:pgMar w:top="1440" w:right="1440" w:bottom="1440" w:left="1440" w:header="720" w:footer="720" w:gutter="0"/>
          <w:cols w:space="720"/>
          <w:docGrid w:linePitch="360"/>
        </w:sect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 xml:space="preserve">the authors declare that they have no conflict of interest to disclose. </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19, 2023</w:t>
      </w: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rsidR="003D7AFE" w:rsidRDefault="00C3575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3D7AFE" w:rsidRDefault="00C3575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3D7AFE" w:rsidRDefault="00C3575B">
      <w:pPr>
        <w:spacing w:line="360" w:lineRule="auto"/>
        <w:jc w:val="both"/>
        <w:rPr>
          <w:rFonts w:ascii="Book Antiqua" w:hAnsi="Book Antiqua"/>
        </w:rPr>
      </w:pPr>
      <w:r>
        <w:rPr>
          <w:rFonts w:ascii="Book Antiqua" w:eastAsia="Book Antiqua" w:hAnsi="Book Antiqua" w:cs="Book Antiqua"/>
        </w:rPr>
        <w:t>Grade A (Excellent): 0</w:t>
      </w:r>
    </w:p>
    <w:p w:rsidR="003D7AFE" w:rsidRDefault="00C3575B">
      <w:pPr>
        <w:spacing w:line="360" w:lineRule="auto"/>
        <w:jc w:val="both"/>
        <w:rPr>
          <w:rFonts w:ascii="Book Antiqua" w:hAnsi="Book Antiqua"/>
        </w:rPr>
      </w:pPr>
      <w:r>
        <w:rPr>
          <w:rFonts w:ascii="Book Antiqua" w:eastAsia="Book Antiqua" w:hAnsi="Book Antiqua" w:cs="Book Antiqua"/>
        </w:rPr>
        <w:lastRenderedPageBreak/>
        <w:t>Grade B (Very good): B, B</w:t>
      </w:r>
    </w:p>
    <w:p w:rsidR="003D7AFE" w:rsidRDefault="00C3575B">
      <w:pPr>
        <w:spacing w:line="360" w:lineRule="auto"/>
        <w:jc w:val="both"/>
        <w:rPr>
          <w:rFonts w:ascii="Book Antiqua" w:hAnsi="Book Antiqua"/>
        </w:rPr>
      </w:pPr>
      <w:r>
        <w:rPr>
          <w:rFonts w:ascii="Book Antiqua" w:eastAsia="Book Antiqua" w:hAnsi="Book Antiqua" w:cs="Book Antiqua"/>
        </w:rPr>
        <w:t>Grade C (Good): C</w:t>
      </w:r>
    </w:p>
    <w:p w:rsidR="003D7AFE" w:rsidRDefault="00C3575B">
      <w:pPr>
        <w:spacing w:line="360" w:lineRule="auto"/>
        <w:jc w:val="both"/>
        <w:rPr>
          <w:rFonts w:ascii="Book Antiqua" w:hAnsi="Book Antiqua"/>
        </w:rPr>
      </w:pPr>
      <w:r>
        <w:rPr>
          <w:rFonts w:ascii="Book Antiqua" w:eastAsia="Book Antiqua" w:hAnsi="Book Antiqua" w:cs="Book Antiqua"/>
        </w:rPr>
        <w:t>Grade D (Fair): 0</w:t>
      </w:r>
    </w:p>
    <w:p w:rsidR="003D7AFE" w:rsidRDefault="00C3575B">
      <w:pPr>
        <w:spacing w:line="360" w:lineRule="auto"/>
        <w:jc w:val="both"/>
        <w:rPr>
          <w:rFonts w:ascii="Book Antiqua" w:hAnsi="Book Antiqua"/>
        </w:rPr>
      </w:pPr>
      <w:r>
        <w:rPr>
          <w:rFonts w:ascii="Book Antiqua" w:eastAsia="Book Antiqua" w:hAnsi="Book Antiqua" w:cs="Book Antiqua"/>
        </w:rPr>
        <w:t>Grade E (Poor): 0</w:t>
      </w:r>
    </w:p>
    <w:p w:rsidR="003D7AFE" w:rsidRDefault="003D7AFE">
      <w:pPr>
        <w:spacing w:line="360" w:lineRule="auto"/>
        <w:jc w:val="both"/>
        <w:rPr>
          <w:rFonts w:ascii="Book Antiqua" w:hAnsi="Book Antiqua"/>
        </w:rPr>
      </w:pPr>
    </w:p>
    <w:p w:rsidR="003D7AFE" w:rsidRDefault="00C3575B">
      <w:pPr>
        <w:spacing w:line="360" w:lineRule="auto"/>
        <w:jc w:val="both"/>
        <w:rPr>
          <w:rFonts w:ascii="Book Antiqua" w:hAnsi="Book Antiqua"/>
        </w:rPr>
        <w:sectPr w:rsidR="003D7AF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Alkhatib AJ, Jordan; Goebel WS, United States; Shahriari M, Iran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7A78F2" w:rsidRPr="007A78F2">
        <w:rPr>
          <w:rFonts w:ascii="Book Antiqua" w:eastAsia="Book Antiqua" w:hAnsi="Book Antiqua" w:cs="Book Antiqua"/>
          <w:color w:val="000000"/>
        </w:rPr>
        <w:t xml:space="preserve"> </w:t>
      </w:r>
      <w:r w:rsidR="007A78F2">
        <w:rPr>
          <w:rFonts w:ascii="Book Antiqua" w:eastAsia="Book Antiqua" w:hAnsi="Book Antiqua" w:cs="Book Antiqua"/>
          <w:color w:val="000000"/>
        </w:rPr>
        <w:t>Liu JH</w:t>
      </w:r>
      <w:r>
        <w:rPr>
          <w:rFonts w:ascii="Book Antiqua" w:eastAsia="Book Antiqua" w:hAnsi="Book Antiqua" w:cs="Book Antiqua"/>
          <w:b/>
          <w:color w:val="000000"/>
        </w:rPr>
        <w:t xml:space="preserve"> </w:t>
      </w:r>
    </w:p>
    <w:p w:rsidR="003D7AFE" w:rsidRDefault="00C3575B">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3D7AFE" w:rsidRDefault="00F52503">
      <w:pPr>
        <w:spacing w:line="360" w:lineRule="auto"/>
        <w:jc w:val="both"/>
        <w:rPr>
          <w:rFonts w:ascii="Book Antiqua" w:eastAsia="Book Antiqua" w:hAnsi="Book Antiqua" w:cs="Book Antiqua"/>
          <w:b/>
          <w:bCs/>
        </w:rPr>
      </w:pPr>
      <w:r w:rsidRPr="00F52503">
        <w:rPr>
          <w:rFonts w:ascii="Book Antiqua" w:eastAsia="Book Antiqua" w:hAnsi="Book Antiqua" w:cs="Book Antiqua"/>
          <w:b/>
          <w:bCs/>
          <w:noProof/>
          <w:lang w:eastAsia="zh-CN"/>
        </w:rPr>
        <w:drawing>
          <wp:inline distT="0" distB="0" distL="0" distR="0">
            <wp:extent cx="5943600" cy="4612610"/>
            <wp:effectExtent l="0" t="0" r="0" b="0"/>
            <wp:docPr id="3" name="图片 3" descr="D:\英文编稿\编辑稿件\2021\2023-09\86439\86439-PDF\8643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439\86439-PDF\8643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612610"/>
                    </a:xfrm>
                    <a:prstGeom prst="rect">
                      <a:avLst/>
                    </a:prstGeom>
                    <a:noFill/>
                    <a:ln>
                      <a:noFill/>
                    </a:ln>
                  </pic:spPr>
                </pic:pic>
              </a:graphicData>
            </a:graphic>
          </wp:inline>
        </w:drawing>
      </w:r>
    </w:p>
    <w:p w:rsidR="003D7AFE" w:rsidRDefault="00C3575B">
      <w:pPr>
        <w:spacing w:line="360" w:lineRule="auto"/>
        <w:jc w:val="both"/>
        <w:rPr>
          <w:rFonts w:ascii="Book Antiqua" w:hAnsi="Book Antiqua"/>
        </w:rPr>
      </w:pPr>
      <w:r>
        <w:rPr>
          <w:rFonts w:ascii="Book Antiqua" w:eastAsia="Book Antiqua" w:hAnsi="Book Antiqua" w:cs="Book Antiqua"/>
          <w:b/>
          <w:bCs/>
        </w:rPr>
        <w:t xml:space="preserve">Figure 1 Morphologic and immunohistochemical characterization of this patient’s primary cutaneous anaplastic large cell lymphoma (A-H) and the markers at two times of his relapses (I-N for first relapse, O-P for second relapse). </w:t>
      </w:r>
      <w:r>
        <w:rPr>
          <w:rFonts w:ascii="Book Antiqua" w:eastAsia="Book Antiqua" w:hAnsi="Book Antiqua" w:cs="Book Antiqua"/>
          <w:bCs/>
        </w:rPr>
        <w:t>Unless otherwise indicated, the images are taken using 400×</w:t>
      </w:r>
      <w:r>
        <w:rPr>
          <w:rFonts w:ascii="Book Antiqua" w:hAnsi="Book Antiqua" w:cs="Book Antiqua"/>
          <w:bCs/>
          <w:lang w:eastAsia="zh-CN"/>
        </w:rPr>
        <w:t xml:space="preserve"> </w:t>
      </w:r>
      <w:r>
        <w:rPr>
          <w:rFonts w:ascii="Book Antiqua" w:eastAsia="Book Antiqua" w:hAnsi="Book Antiqua" w:cs="Book Antiqua"/>
          <w:bCs/>
        </w:rPr>
        <w:t xml:space="preserve">magnification. </w:t>
      </w:r>
      <w:r>
        <w:rPr>
          <w:rFonts w:ascii="Book Antiqua" w:eastAsia="Book Antiqua" w:hAnsi="Book Antiqua" w:cs="Book Antiqua"/>
        </w:rPr>
        <w:t xml:space="preserve">A: </w:t>
      </w:r>
      <w:r w:rsidR="000F2466">
        <w:rPr>
          <w:rFonts w:ascii="Book Antiqua" w:eastAsia="Book Antiqua" w:hAnsi="Book Antiqua" w:cs="Book Antiqua"/>
        </w:rPr>
        <w:t>A</w:t>
      </w:r>
      <w:r>
        <w:rPr>
          <w:rFonts w:ascii="Book Antiqua" w:eastAsia="Book Antiqua" w:hAnsi="Book Antiqua" w:cs="Book Antiqua"/>
        </w:rPr>
        <w:t xml:space="preserve"> 2 cm × 2 cm cutaneous swelling at left upper arm with many capillaries on the surface</w:t>
      </w:r>
      <w:r w:rsidR="0002487D">
        <w:rPr>
          <w:rFonts w:ascii="Book Antiqua" w:eastAsia="Book Antiqua" w:hAnsi="Book Antiqua" w:cs="Book Antiqua"/>
        </w:rPr>
        <w:t xml:space="preserve"> (arrow)</w:t>
      </w:r>
      <w:r>
        <w:rPr>
          <w:rFonts w:ascii="Book Antiqua" w:eastAsia="Book Antiqua" w:hAnsi="Book Antiqua" w:cs="Book Antiqua"/>
        </w:rPr>
        <w:t>; B: Anaplastic large cell lymphoma with diffuse, cohesive sheets of enlarged cells with anaplastic morphology by hematoxylin and eosin (HE)</w:t>
      </w:r>
      <w:r w:rsidR="00572FCF">
        <w:rPr>
          <w:rFonts w:ascii="Book Antiqua" w:eastAsia="Book Antiqua" w:hAnsi="Book Antiqua" w:cs="Book Antiqua"/>
        </w:rPr>
        <w:t xml:space="preserve"> (arrow)</w:t>
      </w:r>
      <w:r>
        <w:rPr>
          <w:rFonts w:ascii="Book Antiqua" w:eastAsia="Book Antiqua" w:hAnsi="Book Antiqua" w:cs="Book Antiqua"/>
        </w:rPr>
        <w:t>; C: CD30 was strong, diffusely positive (80%) on the membrane of tumor cells</w:t>
      </w:r>
      <w:r w:rsidR="00572FCF">
        <w:rPr>
          <w:rFonts w:ascii="Book Antiqua" w:eastAsia="Book Antiqua" w:hAnsi="Book Antiqua" w:cs="Book Antiqua"/>
        </w:rPr>
        <w:t xml:space="preserve"> (arrow)</w:t>
      </w:r>
      <w:r>
        <w:rPr>
          <w:rFonts w:ascii="Book Antiqua" w:eastAsia="Book Antiqua" w:hAnsi="Book Antiqua" w:cs="Book Antiqua"/>
        </w:rPr>
        <w:t xml:space="preserve">, ×200; D: ALK was </w:t>
      </w:r>
      <w:proofErr w:type="spellStart"/>
      <w:r>
        <w:rPr>
          <w:rFonts w:ascii="Book Antiqua" w:eastAsia="Book Antiqua" w:hAnsi="Book Antiqua" w:cs="Book Antiqua"/>
        </w:rPr>
        <w:t>nagative</w:t>
      </w:r>
      <w:proofErr w:type="spellEnd"/>
      <w:r>
        <w:rPr>
          <w:rFonts w:ascii="Book Antiqua" w:eastAsia="Book Antiqua" w:hAnsi="Book Antiqua" w:cs="Book Antiqua"/>
        </w:rPr>
        <w:t xml:space="preserve"> in both cell nucleus and </w:t>
      </w:r>
      <w:proofErr w:type="spellStart"/>
      <w:r>
        <w:rPr>
          <w:rFonts w:ascii="Book Antiqua" w:eastAsia="Book Antiqua" w:hAnsi="Book Antiqua" w:cs="Book Antiqua"/>
        </w:rPr>
        <w:t>cytoplasma</w:t>
      </w:r>
      <w:proofErr w:type="spellEnd"/>
      <w:r>
        <w:rPr>
          <w:rFonts w:ascii="Book Antiqua" w:eastAsia="Book Antiqua" w:hAnsi="Book Antiqua" w:cs="Book Antiqua"/>
        </w:rPr>
        <w:t xml:space="preserve">, ×200; E: EMA was cytoplasmic and </w:t>
      </w:r>
      <w:proofErr w:type="spellStart"/>
      <w:r>
        <w:rPr>
          <w:rFonts w:ascii="Book Antiqua" w:eastAsia="Book Antiqua" w:hAnsi="Book Antiqua" w:cs="Book Antiqua"/>
        </w:rPr>
        <w:t>membranaous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nagative</w:t>
      </w:r>
      <w:proofErr w:type="spellEnd"/>
      <w:r>
        <w:rPr>
          <w:rFonts w:ascii="Book Antiqua" w:eastAsia="Book Antiqua" w:hAnsi="Book Antiqua" w:cs="Book Antiqua"/>
        </w:rPr>
        <w:t>; F: Ki-67 was positive in 80% nucleoplasm and nucleoli rim</w:t>
      </w:r>
      <w:r w:rsidR="00572FCF">
        <w:rPr>
          <w:rFonts w:ascii="Book Antiqua" w:eastAsia="Book Antiqua" w:hAnsi="Book Antiqua" w:cs="Book Antiqua"/>
        </w:rPr>
        <w:t xml:space="preserve"> (arrow)</w:t>
      </w:r>
      <w:r>
        <w:rPr>
          <w:rFonts w:ascii="Book Antiqua" w:eastAsia="Book Antiqua" w:hAnsi="Book Antiqua" w:cs="Book Antiqua"/>
        </w:rPr>
        <w:t xml:space="preserve">. G: CD20 was negative. H: PAX5 was negative. I: Diffuse, cohesive lymphoma cells with </w:t>
      </w:r>
      <w:r>
        <w:rPr>
          <w:rFonts w:ascii="Book Antiqua" w:eastAsia="Book Antiqua" w:hAnsi="Book Antiqua" w:cs="Book Antiqua"/>
        </w:rPr>
        <w:lastRenderedPageBreak/>
        <w:t xml:space="preserve">anaplastic, pleomorphic appearance when the patient first relapsed </w:t>
      </w:r>
      <w:proofErr w:type="gramStart"/>
      <w:r>
        <w:rPr>
          <w:rFonts w:ascii="Book Antiqua" w:eastAsia="Book Antiqua" w:hAnsi="Book Antiqua" w:cs="Book Antiqua"/>
        </w:rPr>
        <w:t>by</w:t>
      </w:r>
      <w:proofErr w:type="gramEnd"/>
      <w:r>
        <w:rPr>
          <w:rFonts w:ascii="Book Antiqua" w:eastAsia="Book Antiqua" w:hAnsi="Book Antiqua" w:cs="Book Antiqua"/>
        </w:rPr>
        <w:t xml:space="preserve"> HE; J: </w:t>
      </w:r>
      <w:r>
        <w:rPr>
          <w:rFonts w:ascii="Book Antiqua" w:eastAsia="Book Antiqua" w:hAnsi="Book Antiqua" w:cs="Book Antiqua"/>
          <w:color w:val="000000"/>
        </w:rPr>
        <w:t>Anaplastic large cell lymphoma</w:t>
      </w:r>
      <w:r>
        <w:rPr>
          <w:rFonts w:ascii="Book Antiqua" w:eastAsia="Book Antiqua" w:hAnsi="Book Antiqua" w:cs="Book Antiqua"/>
        </w:rPr>
        <w:t xml:space="preserve"> tumor cells infiltrating in muscle layer; K: CD30 was </w:t>
      </w:r>
      <w:proofErr w:type="spellStart"/>
      <w:r>
        <w:rPr>
          <w:rFonts w:ascii="Book Antiqua" w:eastAsia="Book Antiqua" w:hAnsi="Book Antiqua" w:cs="Book Antiqua"/>
        </w:rPr>
        <w:t>difuse</w:t>
      </w:r>
      <w:proofErr w:type="spellEnd"/>
      <w:r>
        <w:rPr>
          <w:rFonts w:ascii="Book Antiqua" w:eastAsia="Book Antiqua" w:hAnsi="Book Antiqua" w:cs="Book Antiqua"/>
        </w:rPr>
        <w:t xml:space="preserve"> membranous positive</w:t>
      </w:r>
      <w:r w:rsidR="00EF0C25">
        <w:rPr>
          <w:rFonts w:ascii="Book Antiqua" w:eastAsia="Book Antiqua" w:hAnsi="Book Antiqua" w:cs="Book Antiqua"/>
        </w:rPr>
        <w:t xml:space="preserve"> (arrow)</w:t>
      </w:r>
      <w:r>
        <w:rPr>
          <w:rFonts w:ascii="Book Antiqua" w:eastAsia="Book Antiqua" w:hAnsi="Book Antiqua" w:cs="Book Antiqua"/>
        </w:rPr>
        <w:t xml:space="preserve">; L: </w:t>
      </w:r>
      <w:r>
        <w:rPr>
          <w:rFonts w:ascii="Book Antiqua" w:eastAsia="Book Antiqua" w:hAnsi="Book Antiqua" w:cs="Book Antiqua"/>
          <w:color w:val="000000"/>
        </w:rPr>
        <w:t>Anaplastic lymphoma kinase</w:t>
      </w:r>
      <w:r>
        <w:rPr>
          <w:rFonts w:ascii="Book Antiqua" w:eastAsia="Book Antiqua" w:hAnsi="Book Antiqua" w:cs="Book Antiqua"/>
        </w:rPr>
        <w:t xml:space="preserve"> staining was negative; M: Ki67 was 95% in nucleus positive; N: </w:t>
      </w:r>
      <w:r w:rsidRPr="00852CDB">
        <w:rPr>
          <w:rFonts w:ascii="Book Antiqua" w:eastAsia="Book Antiqua" w:hAnsi="Book Antiqua" w:cs="Book Antiqua"/>
        </w:rPr>
        <w:t>Interferon regulatory factor 4 (IRF4)</w:t>
      </w:r>
      <w:r>
        <w:rPr>
          <w:rFonts w:ascii="Book Antiqua" w:eastAsia="Book Antiqua" w:hAnsi="Book Antiqua" w:cs="Book Antiqua"/>
        </w:rPr>
        <w:t xml:space="preserve"> breakage was detected in 80% tumor cells by immunofluorescence hybridization</w:t>
      </w:r>
      <w:r w:rsidR="006044A9">
        <w:rPr>
          <w:rFonts w:ascii="Book Antiqua" w:eastAsia="Book Antiqua" w:hAnsi="Book Antiqua" w:cs="Book Antiqua"/>
        </w:rPr>
        <w:t xml:space="preserve"> (arrow)</w:t>
      </w:r>
      <w:r>
        <w:rPr>
          <w:rFonts w:ascii="Book Antiqua" w:eastAsia="Book Antiqua" w:hAnsi="Book Antiqua" w:cs="Book Antiqua"/>
        </w:rPr>
        <w:t>. Spectrum Red stands for 5’ IRF4, Spectrum Green stands for 3’ IRF4</w:t>
      </w:r>
      <w:r w:rsidR="006044A9">
        <w:rPr>
          <w:rFonts w:ascii="Book Antiqua" w:eastAsia="Book Antiqua" w:hAnsi="Book Antiqua" w:cs="Book Antiqua"/>
        </w:rPr>
        <w:t xml:space="preserve">; </w:t>
      </w:r>
      <w:r>
        <w:rPr>
          <w:rFonts w:ascii="Book Antiqua" w:eastAsia="Book Antiqua" w:hAnsi="Book Antiqua" w:cs="Book Antiqua"/>
        </w:rPr>
        <w:t>O: Ki67 was 90% positive when this patient relapsed secondly</w:t>
      </w:r>
      <w:r w:rsidR="00C75A0B">
        <w:rPr>
          <w:rFonts w:ascii="Book Antiqua" w:eastAsia="Book Antiqua" w:hAnsi="Book Antiqua" w:cs="Book Antiqua"/>
        </w:rPr>
        <w:t xml:space="preserve">; </w:t>
      </w:r>
      <w:r>
        <w:rPr>
          <w:rFonts w:ascii="Book Antiqua" w:eastAsia="Book Antiqua" w:hAnsi="Book Antiqua" w:cs="Book Antiqua"/>
        </w:rPr>
        <w:t xml:space="preserve">P: IRF4 breakage was positive in 70% tumor cells. </w:t>
      </w:r>
    </w:p>
    <w:p w:rsidR="003D7AFE" w:rsidRDefault="00CB72ED">
      <w:pPr>
        <w:spacing w:line="360" w:lineRule="auto"/>
        <w:jc w:val="both"/>
        <w:rPr>
          <w:rFonts w:ascii="Book Antiqua" w:eastAsia="Book Antiqua" w:hAnsi="Book Antiqua" w:cs="Book Antiqua"/>
          <w:b/>
          <w:bCs/>
          <w:color w:val="000000"/>
        </w:rPr>
      </w:pPr>
      <w:r w:rsidRPr="00CB72ED">
        <w:rPr>
          <w:rFonts w:ascii="Book Antiqua" w:eastAsia="Book Antiqua" w:hAnsi="Book Antiqua" w:cs="Book Antiqua"/>
          <w:b/>
          <w:bCs/>
          <w:noProof/>
          <w:color w:val="000000"/>
          <w:lang w:eastAsia="zh-CN"/>
        </w:rPr>
        <w:drawing>
          <wp:inline distT="0" distB="0" distL="0" distR="0">
            <wp:extent cx="5943600" cy="2367650"/>
            <wp:effectExtent l="0" t="0" r="0" b="0"/>
            <wp:docPr id="4" name="图片 4" descr="D:\英文编稿\编辑稿件\2021\2023-09\86439\86439-PDF\8643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439\86439-PDF\8643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67650"/>
                    </a:xfrm>
                    <a:prstGeom prst="rect">
                      <a:avLst/>
                    </a:prstGeom>
                    <a:noFill/>
                    <a:ln>
                      <a:noFill/>
                    </a:ln>
                  </pic:spPr>
                </pic:pic>
              </a:graphicData>
            </a:graphic>
          </wp:inline>
        </w:drawing>
      </w:r>
    </w:p>
    <w:p w:rsidR="003D7AFE" w:rsidRDefault="00C3575B">
      <w:pPr>
        <w:spacing w:line="360" w:lineRule="auto"/>
        <w:jc w:val="both"/>
        <w:rPr>
          <w:rFonts w:ascii="Book Antiqua" w:hAnsi="Book Antiqua"/>
        </w:rPr>
      </w:pPr>
      <w:r>
        <w:rPr>
          <w:rFonts w:ascii="Book Antiqua" w:eastAsia="Book Antiqua" w:hAnsi="Book Antiqua" w:cs="Book Antiqua"/>
          <w:b/>
          <w:bCs/>
          <w:color w:val="000000"/>
        </w:rPr>
        <w:t xml:space="preserve">Figure 2 The results of positron emission tomography/computed tomography when the patient relapsed secondly. </w:t>
      </w:r>
      <w:r>
        <w:rPr>
          <w:rFonts w:ascii="Book Antiqua" w:eastAsia="Book Antiqua" w:hAnsi="Book Antiqua" w:cs="Book Antiqua"/>
          <w:color w:val="000000"/>
        </w:rPr>
        <w:t>A: Lymphoma cells were widespread in this patient before the chemical treatment; B: Para-aortic node involved as the arrow showed</w:t>
      </w:r>
      <w:r w:rsidR="00C97FDD">
        <w:rPr>
          <w:rFonts w:ascii="Book Antiqua" w:eastAsia="Book Antiqua" w:hAnsi="Book Antiqua" w:cs="Book Antiqua"/>
        </w:rPr>
        <w:t xml:space="preserve"> (arrow)</w:t>
      </w:r>
      <w:r>
        <w:rPr>
          <w:rFonts w:ascii="Book Antiqua" w:eastAsia="Book Antiqua" w:hAnsi="Book Antiqua" w:cs="Book Antiqua"/>
          <w:color w:val="000000"/>
        </w:rPr>
        <w:t>; C: Liver involved as the arrow showed</w:t>
      </w:r>
      <w:r w:rsidR="00C97FDD">
        <w:rPr>
          <w:rFonts w:ascii="Book Antiqua" w:eastAsia="Book Antiqua" w:hAnsi="Book Antiqua" w:cs="Book Antiqua"/>
        </w:rPr>
        <w:t xml:space="preserve"> (arrow)</w:t>
      </w:r>
      <w:r>
        <w:rPr>
          <w:rFonts w:ascii="Book Antiqua" w:eastAsia="Book Antiqua" w:hAnsi="Book Antiqua" w:cs="Book Antiqua"/>
          <w:color w:val="000000"/>
        </w:rPr>
        <w:t>; D: Cervical vertebra was involved</w:t>
      </w:r>
      <w:r w:rsidR="00C97FDD">
        <w:rPr>
          <w:rFonts w:ascii="Book Antiqua" w:eastAsia="Book Antiqua" w:hAnsi="Book Antiqua" w:cs="Book Antiqua"/>
        </w:rPr>
        <w:t xml:space="preserve"> (arrow)</w:t>
      </w:r>
      <w:r>
        <w:rPr>
          <w:rFonts w:ascii="Book Antiqua" w:eastAsia="Book Antiqua" w:hAnsi="Book Antiqua" w:cs="Book Antiqua"/>
          <w:color w:val="000000"/>
        </w:rPr>
        <w:t xml:space="preserve">; E: No tumor found after the chemotherapy treatment; F-H: No 18F-flurodeoxyglucose </w:t>
      </w:r>
      <w:proofErr w:type="spellStart"/>
      <w:r>
        <w:rPr>
          <w:rFonts w:ascii="Book Antiqua" w:eastAsia="Book Antiqua" w:hAnsi="Book Antiqua" w:cs="Book Antiqua"/>
          <w:color w:val="000000"/>
        </w:rPr>
        <w:t>uptakings</w:t>
      </w:r>
      <w:proofErr w:type="spellEnd"/>
      <w:r>
        <w:rPr>
          <w:rFonts w:ascii="Book Antiqua" w:eastAsia="Book Antiqua" w:hAnsi="Book Antiqua" w:cs="Book Antiqua"/>
          <w:color w:val="000000"/>
        </w:rPr>
        <w:t xml:space="preserve"> were found in the organs mentioned above.</w:t>
      </w:r>
    </w:p>
    <w:sectPr w:rsidR="003D7A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C84" w:rsidRDefault="006C0C84">
      <w:r>
        <w:separator/>
      </w:r>
    </w:p>
  </w:endnote>
  <w:endnote w:type="continuationSeparator" w:id="0">
    <w:p w:rsidR="006C0C84" w:rsidRDefault="006C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341145"/>
      <w:docPartObj>
        <w:docPartGallery w:val="AutoText"/>
      </w:docPartObj>
    </w:sdtPr>
    <w:sdtEndPr>
      <w:rPr>
        <w:rFonts w:ascii="Book Antiqua" w:hAnsi="Book Antiqua"/>
        <w:sz w:val="24"/>
        <w:szCs w:val="24"/>
      </w:rPr>
    </w:sdtEndPr>
    <w:sdtContent>
      <w:sdt>
        <w:sdtPr>
          <w:id w:val="-1"/>
          <w:docPartObj>
            <w:docPartGallery w:val="AutoText"/>
          </w:docPartObj>
        </w:sdtPr>
        <w:sdtEndPr>
          <w:rPr>
            <w:rFonts w:ascii="Book Antiqua" w:hAnsi="Book Antiqua"/>
            <w:sz w:val="24"/>
            <w:szCs w:val="24"/>
          </w:rPr>
        </w:sdtEndPr>
        <w:sdtContent>
          <w:p w:rsidR="003D7AFE" w:rsidRDefault="00C3575B">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15A18">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15A18">
              <w:rPr>
                <w:rFonts w:ascii="Book Antiqua" w:hAnsi="Book Antiqua"/>
                <w:b/>
                <w:bCs/>
                <w:noProof/>
                <w:sz w:val="24"/>
                <w:szCs w:val="24"/>
              </w:rPr>
              <w:t>15</w:t>
            </w:r>
            <w:r>
              <w:rPr>
                <w:rFonts w:ascii="Book Antiqua" w:hAnsi="Book Antiqua"/>
                <w:b/>
                <w:bCs/>
                <w:sz w:val="24"/>
                <w:szCs w:val="24"/>
              </w:rPr>
              <w:fldChar w:fldCharType="end"/>
            </w:r>
          </w:p>
        </w:sdtContent>
      </w:sdt>
    </w:sdtContent>
  </w:sdt>
  <w:p w:rsidR="003D7AFE" w:rsidRDefault="003D7AF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C84" w:rsidRDefault="006C0C84">
      <w:r>
        <w:separator/>
      </w:r>
    </w:p>
  </w:footnote>
  <w:footnote w:type="continuationSeparator" w:id="0">
    <w:p w:rsidR="006C0C84" w:rsidRDefault="006C0C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FFF94317"/>
    <w:rsid w:val="000102CD"/>
    <w:rsid w:val="0001564C"/>
    <w:rsid w:val="0002487D"/>
    <w:rsid w:val="000467D3"/>
    <w:rsid w:val="00046DA0"/>
    <w:rsid w:val="000A252E"/>
    <w:rsid w:val="000A28BC"/>
    <w:rsid w:val="000B07BA"/>
    <w:rsid w:val="000D5A28"/>
    <w:rsid w:val="000E0CE1"/>
    <w:rsid w:val="000F2466"/>
    <w:rsid w:val="00112C23"/>
    <w:rsid w:val="001238E1"/>
    <w:rsid w:val="00165683"/>
    <w:rsid w:val="001E1744"/>
    <w:rsid w:val="001E475E"/>
    <w:rsid w:val="0023440E"/>
    <w:rsid w:val="002348FA"/>
    <w:rsid w:val="00242425"/>
    <w:rsid w:val="00257FCF"/>
    <w:rsid w:val="002838F2"/>
    <w:rsid w:val="002B7BE3"/>
    <w:rsid w:val="003041F2"/>
    <w:rsid w:val="003335B7"/>
    <w:rsid w:val="003865EC"/>
    <w:rsid w:val="003A2C44"/>
    <w:rsid w:val="003D7AFE"/>
    <w:rsid w:val="003E15D2"/>
    <w:rsid w:val="003E7C64"/>
    <w:rsid w:val="00402286"/>
    <w:rsid w:val="00415335"/>
    <w:rsid w:val="0041636E"/>
    <w:rsid w:val="004428E9"/>
    <w:rsid w:val="004479A2"/>
    <w:rsid w:val="00467E99"/>
    <w:rsid w:val="004A3AED"/>
    <w:rsid w:val="004D4EDF"/>
    <w:rsid w:val="005000B0"/>
    <w:rsid w:val="00531D7D"/>
    <w:rsid w:val="00551953"/>
    <w:rsid w:val="00572FCF"/>
    <w:rsid w:val="00592311"/>
    <w:rsid w:val="005A5E5E"/>
    <w:rsid w:val="005B289A"/>
    <w:rsid w:val="005B5076"/>
    <w:rsid w:val="005B663D"/>
    <w:rsid w:val="005F35BC"/>
    <w:rsid w:val="006044A9"/>
    <w:rsid w:val="006217B1"/>
    <w:rsid w:val="00627C8F"/>
    <w:rsid w:val="00645BB5"/>
    <w:rsid w:val="00645CB7"/>
    <w:rsid w:val="006506DE"/>
    <w:rsid w:val="00651817"/>
    <w:rsid w:val="00664603"/>
    <w:rsid w:val="00666554"/>
    <w:rsid w:val="006A09A1"/>
    <w:rsid w:val="006A4E3D"/>
    <w:rsid w:val="006C0C84"/>
    <w:rsid w:val="006D4934"/>
    <w:rsid w:val="006D4EB7"/>
    <w:rsid w:val="006D5F05"/>
    <w:rsid w:val="00715A18"/>
    <w:rsid w:val="007561D8"/>
    <w:rsid w:val="00770E88"/>
    <w:rsid w:val="00785210"/>
    <w:rsid w:val="007A5026"/>
    <w:rsid w:val="007A78F2"/>
    <w:rsid w:val="007C2416"/>
    <w:rsid w:val="007D4202"/>
    <w:rsid w:val="007E34D0"/>
    <w:rsid w:val="0085077A"/>
    <w:rsid w:val="00852CDB"/>
    <w:rsid w:val="008A142E"/>
    <w:rsid w:val="008B6C49"/>
    <w:rsid w:val="008F4757"/>
    <w:rsid w:val="0093783B"/>
    <w:rsid w:val="009B0D21"/>
    <w:rsid w:val="009B64DE"/>
    <w:rsid w:val="00A26F46"/>
    <w:rsid w:val="00A5646C"/>
    <w:rsid w:val="00A71250"/>
    <w:rsid w:val="00A77B3E"/>
    <w:rsid w:val="00AE55EF"/>
    <w:rsid w:val="00AF612E"/>
    <w:rsid w:val="00B2682E"/>
    <w:rsid w:val="00B43E8B"/>
    <w:rsid w:val="00B6424A"/>
    <w:rsid w:val="00B74971"/>
    <w:rsid w:val="00BA1C42"/>
    <w:rsid w:val="00BA5B95"/>
    <w:rsid w:val="00BC3B33"/>
    <w:rsid w:val="00BE66D2"/>
    <w:rsid w:val="00C050E4"/>
    <w:rsid w:val="00C3575B"/>
    <w:rsid w:val="00C52CC6"/>
    <w:rsid w:val="00C7028E"/>
    <w:rsid w:val="00C75A0B"/>
    <w:rsid w:val="00C90B00"/>
    <w:rsid w:val="00C97FDD"/>
    <w:rsid w:val="00CA2A55"/>
    <w:rsid w:val="00CB72ED"/>
    <w:rsid w:val="00CD5788"/>
    <w:rsid w:val="00CE5560"/>
    <w:rsid w:val="00CF5BAE"/>
    <w:rsid w:val="00D349EC"/>
    <w:rsid w:val="00D34A6B"/>
    <w:rsid w:val="00D42942"/>
    <w:rsid w:val="00D43446"/>
    <w:rsid w:val="00D46F07"/>
    <w:rsid w:val="00D574A9"/>
    <w:rsid w:val="00D91E3B"/>
    <w:rsid w:val="00D97EA6"/>
    <w:rsid w:val="00DA67BC"/>
    <w:rsid w:val="00E03026"/>
    <w:rsid w:val="00E12AFA"/>
    <w:rsid w:val="00E15457"/>
    <w:rsid w:val="00E557E5"/>
    <w:rsid w:val="00E6072A"/>
    <w:rsid w:val="00E638CA"/>
    <w:rsid w:val="00E96A97"/>
    <w:rsid w:val="00EC4B0C"/>
    <w:rsid w:val="00EE7928"/>
    <w:rsid w:val="00EF0C25"/>
    <w:rsid w:val="00EF3AF3"/>
    <w:rsid w:val="00F268AF"/>
    <w:rsid w:val="00F27409"/>
    <w:rsid w:val="00F3765C"/>
    <w:rsid w:val="00F3780E"/>
    <w:rsid w:val="00F52503"/>
    <w:rsid w:val="00F63074"/>
    <w:rsid w:val="00FD212B"/>
    <w:rsid w:val="00FD409B"/>
    <w:rsid w:val="00FE1AC4"/>
    <w:rsid w:val="00FE7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C2DF5BF-4D49-4D9C-B020-CF53A7AA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semiHidden/>
    <w:unhideWhenUsed/>
    <w:rsid w:val="004479A2"/>
    <w:rPr>
      <w:sz w:val="18"/>
      <w:szCs w:val="18"/>
    </w:rPr>
  </w:style>
  <w:style w:type="character" w:customStyle="1" w:styleId="a8">
    <w:name w:val="批注框文本 字符"/>
    <w:basedOn w:val="a0"/>
    <w:link w:val="a7"/>
    <w:semiHidden/>
    <w:rsid w:val="004479A2"/>
    <w:rPr>
      <w:sz w:val="18"/>
      <w:szCs w:val="18"/>
      <w:lang w:eastAsia="en-US"/>
    </w:rPr>
  </w:style>
  <w:style w:type="paragraph" w:styleId="a9">
    <w:name w:val="Revision"/>
    <w:hidden/>
    <w:uiPriority w:val="99"/>
    <w:semiHidden/>
    <w:rsid w:val="00BC3B3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3307</Words>
  <Characters>18853</Characters>
  <Application>Microsoft Office Word</Application>
  <DocSecurity>0</DocSecurity>
  <Lines>157</Lines>
  <Paragraphs>44</Paragraphs>
  <ScaleCrop>false</ScaleCrop>
  <Company>HP</Company>
  <LinksUpToDate>false</LinksUpToDate>
  <CharactersWithSpaces>22116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Wang Jin-Lei</cp:lastModifiedBy>
  <cp:revision>138</cp:revision>
  <dcterms:created xsi:type="dcterms:W3CDTF">2023-09-01T15:10:00Z</dcterms:created>
  <dcterms:modified xsi:type="dcterms:W3CDTF">2023-09-06T07:45:00Z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975FB57C3FE91F6647E3F564F1434F0D_42</vt:lpwstr>
  </property>
</Properties>
</file>