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86613</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MINIREVIEWS</w:t>
      </w:r>
    </w:p>
    <w:p>
      <w:pPr>
        <w:spacing w:line="360" w:lineRule="auto"/>
        <w:jc w:val="both"/>
      </w:pPr>
    </w:p>
    <w:p>
      <w:pPr>
        <w:spacing w:line="360" w:lineRule="auto"/>
        <w:jc w:val="both"/>
      </w:pPr>
      <w:r>
        <w:rPr>
          <w:rFonts w:ascii="Book Antiqua" w:hAnsi="Book Antiqua" w:eastAsia="Book Antiqua" w:cs="Book Antiqua"/>
          <w:b/>
          <w:bCs/>
          <w:color w:val="000000"/>
        </w:rPr>
        <w:t>Magnetic resonance imaging for acute pancreatitis in type 2 diabetes patients</w:t>
      </w:r>
    </w:p>
    <w:p>
      <w:pPr>
        <w:spacing w:line="360" w:lineRule="auto"/>
        <w:jc w:val="both"/>
      </w:pPr>
    </w:p>
    <w:p>
      <w:pPr>
        <w:spacing w:line="360" w:lineRule="auto"/>
        <w:jc w:val="both"/>
      </w:pPr>
      <w:r>
        <w:rPr>
          <w:rFonts w:ascii="Book Antiqua" w:hAnsi="Book Antiqua" w:eastAsia="Book Antiqua" w:cs="Book Antiqua"/>
          <w:color w:val="000000"/>
          <w:shd w:val="clear" w:color="auto" w:fill="FFFFFF"/>
        </w:rPr>
        <w:t>Ni YH</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rPr>
        <w:t>. MRI for AP in T2DM</w:t>
      </w:r>
    </w:p>
    <w:p>
      <w:pPr>
        <w:spacing w:line="360" w:lineRule="auto"/>
        <w:jc w:val="both"/>
      </w:pPr>
    </w:p>
    <w:p>
      <w:pPr>
        <w:spacing w:line="360" w:lineRule="auto"/>
        <w:jc w:val="both"/>
      </w:pPr>
      <w:r>
        <w:rPr>
          <w:rFonts w:ascii="Book Antiqua" w:hAnsi="Book Antiqua" w:eastAsia="Book Antiqua" w:cs="Book Antiqua"/>
          <w:color w:val="000000"/>
        </w:rPr>
        <w:t>Yan-Hui Ni, Ling-Ji Song, Bo Xiao</w:t>
      </w:r>
    </w:p>
    <w:p>
      <w:pPr>
        <w:spacing w:line="360" w:lineRule="auto"/>
        <w:jc w:val="both"/>
      </w:pPr>
    </w:p>
    <w:p>
      <w:pPr>
        <w:spacing w:line="360" w:lineRule="auto"/>
        <w:jc w:val="both"/>
      </w:pPr>
      <w:r>
        <w:rPr>
          <w:rFonts w:ascii="Book Antiqua" w:hAnsi="Book Antiqua" w:eastAsia="Book Antiqua" w:cs="Book Antiqua"/>
          <w:b/>
          <w:bCs/>
          <w:color w:val="000000"/>
        </w:rPr>
        <w:t xml:space="preserve">Yan-Hui Ni, Ling-Ji Song, Bo Xiao, </w:t>
      </w:r>
      <w:r>
        <w:rPr>
          <w:rFonts w:ascii="Book Antiqua" w:hAnsi="Book Antiqua" w:eastAsia="Book Antiqua" w:cs="Book Antiqua"/>
          <w:color w:val="000000"/>
        </w:rPr>
        <w:t>Department of Radiology, The Affiliated Hospital of North Sichuan Medical College, Nanchong 637000, Sichuan Province, China</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Bo Xiao, </w:t>
      </w:r>
      <w:r>
        <w:rPr>
          <w:rFonts w:ascii="Book Antiqua" w:hAnsi="Book Antiqua" w:eastAsia="Book Antiqua" w:cs="Book Antiqua"/>
          <w:color w:val="000000"/>
        </w:rPr>
        <w:t>Department of Radiology, Bishan Hospital</w:t>
      </w:r>
      <w:r>
        <w:rPr>
          <w:rFonts w:hint="eastAsia" w:ascii="Book Antiqua" w:hAnsi="Book Antiqua" w:cs="Book Antiqua"/>
          <w:color w:val="000000"/>
          <w:lang w:eastAsia="zh-CN"/>
        </w:rPr>
        <w:t xml:space="preserve"> of Chongqing</w:t>
      </w:r>
      <w:r>
        <w:rPr>
          <w:rFonts w:ascii="Book Antiqua" w:hAnsi="Book Antiqua" w:eastAsia="Book Antiqua" w:cs="Book Antiqua"/>
          <w:color w:val="000000"/>
        </w:rPr>
        <w:t xml:space="preserve">, </w:t>
      </w:r>
      <w:r>
        <w:rPr>
          <w:rFonts w:hint="eastAsia" w:ascii="Book Antiqua" w:hAnsi="Book Antiqua" w:cs="Book Antiqua"/>
          <w:color w:val="000000"/>
          <w:lang w:eastAsia="zh-CN"/>
        </w:rPr>
        <w:t>Bishan</w:t>
      </w:r>
      <w:r>
        <w:rPr>
          <w:rFonts w:ascii="Book Antiqua" w:hAnsi="Book Antiqua" w:eastAsia="Book Antiqua" w:cs="Book Antiqua"/>
          <w:color w:val="000000"/>
        </w:rPr>
        <w:t xml:space="preserve"> Hospital of Chongqing Medical University, Chongqing 402760, China</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Ni YH, Song LJ, and Xiao B designed the research study, performed the research, analyzed the data and wrote the manuscript; All authors have read and approve the final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Bo Xiao, MD, PhD, Associate Professor, Doctor, </w:t>
      </w:r>
      <w:r>
        <w:rPr>
          <w:rFonts w:ascii="Book Antiqua" w:hAnsi="Book Antiqua" w:eastAsia="Book Antiqua" w:cs="Book Antiqua"/>
          <w:color w:val="000000"/>
        </w:rPr>
        <w:t>Department of Radiology, Bishan Hospital of Chongqing, Bishan Hospital of Chongqing Medical University, Chongqing 402760, China.</w:t>
      </w:r>
      <w:r>
        <w:rPr>
          <w:rFonts w:hint="eastAsia" w:ascii="Book Antiqua" w:hAnsi="Book Antiqua" w:cs="Book Antiqua"/>
          <w:color w:val="000000"/>
          <w:lang w:eastAsia="zh-CN"/>
        </w:rPr>
        <w:t xml:space="preserve"> </w:t>
      </w:r>
      <w:r>
        <w:rPr>
          <w:rFonts w:ascii="Book Antiqua" w:hAnsi="Book Antiqua" w:eastAsia="Book Antiqua" w:cs="Book Antiqua"/>
          <w:color w:val="000000"/>
        </w:rPr>
        <w:t>xiaoboimaging@163.com</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June 27, 2023</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July 13, 2023</w:t>
      </w:r>
    </w:p>
    <w:p>
      <w:pPr>
        <w:spacing w:line="360" w:lineRule="auto"/>
        <w:jc w:val="both"/>
      </w:pPr>
      <w:r>
        <w:rPr>
          <w:rFonts w:ascii="Book Antiqua" w:hAnsi="Book Antiqua" w:eastAsia="Book Antiqua" w:cs="Book Antiqua"/>
          <w:b/>
          <w:bCs/>
        </w:rPr>
        <w:t xml:space="preserve">Accepted: </w:t>
      </w:r>
      <w:r>
        <w:rPr>
          <w:rFonts w:ascii="Book Antiqua" w:hAnsi="Book Antiqua" w:eastAsia="Book Antiqua" w:cs="Book Antiqua"/>
        </w:rPr>
        <w:t>September 19, 2023</w:t>
      </w:r>
    </w:p>
    <w:p>
      <w:pPr>
        <w:spacing w:line="360" w:lineRule="auto"/>
        <w:jc w:val="both"/>
      </w:pPr>
      <w:r>
        <w:rPr>
          <w:rFonts w:ascii="Book Antiqua" w:hAnsi="Book Antiqua" w:eastAsia="Book Antiqua" w:cs="Book Antiqua"/>
          <w:b/>
          <w:bCs/>
        </w:rPr>
        <w:t xml:space="preserve">Published online: </w:t>
      </w:r>
      <w:r>
        <w:rPr>
          <w:rFonts w:ascii="Book Antiqua" w:hAnsi="Book Antiqua"/>
          <w:color w:val="000000"/>
          <w:shd w:val="clear" w:color="auto" w:fill="FFFFFF"/>
        </w:rPr>
        <w:t xml:space="preserve">October </w:t>
      </w:r>
      <w:r>
        <w:rPr>
          <w:rFonts w:hint="eastAsia" w:ascii="Book Antiqua" w:hAnsi="Book Antiqua"/>
          <w:color w:val="000000"/>
          <w:shd w:val="clear" w:color="auto" w:fill="FFFFFF"/>
          <w:lang w:val="en-US" w:eastAsia="zh-CN"/>
        </w:rPr>
        <w:t>2</w:t>
      </w:r>
      <w:r>
        <w:rPr>
          <w:rFonts w:ascii="Book Antiqua" w:hAnsi="Book Antiqua"/>
          <w:color w:val="000000"/>
          <w:shd w:val="clear" w:color="auto" w:fill="FFFFFF"/>
        </w:rPr>
        <w:t>6, 2023</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szCs w:val="18"/>
        </w:rPr>
        <w:t xml:space="preserve">Type 2 diabetes mellitus (T2DM) and its complications have significantly increased the burden of mortality and disability globally, making diabetes one of the most dangerous and prevalent chronic diseases. Acute pancreatitis (AP) is one of the most frequent gastrointestinal causes for hospital admission, which is a common exocrine pancreatic inflammatory disease that can cause severe abdominal pain and multiple organ dysfunction. There is an inseparable relationship between AP and diabetes. Diabetes is a high risk factor of AP, and patients with AP can develop pancreatogenic diabetes. In T2DM patients, the incidence rate of AP is significantly higher than that of the general population, and the clinical symptoms are more severe, with the majority of cases being moderate to severe AP. This review briefly introduces the pathogenesis and clinical features of AP in T2DM patients, focusing on the </w:t>
      </w:r>
      <w:r>
        <w:rPr>
          <w:rFonts w:ascii="Book Antiqua" w:hAnsi="Book Antiqua" w:eastAsia="Book Antiqua" w:cs="Book Antiqua"/>
          <w:color w:val="000000"/>
        </w:rPr>
        <w:t>magnetic resonance imaging (MRI)</w:t>
      </w:r>
      <w:r>
        <w:rPr>
          <w:rFonts w:ascii="Book Antiqua" w:hAnsi="Book Antiqua" w:eastAsia="Book Antiqua" w:cs="Book Antiqua"/>
          <w:szCs w:val="18"/>
        </w:rPr>
        <w:t xml:space="preserve"> manifestations of AP in T2DM patients. Our aim is to evaluate the severity of AP in patients with T2DM by MRI, so as to help clinicians assess the patient's condition and prognosis.</w:t>
      </w:r>
    </w:p>
    <w:p>
      <w:pPr>
        <w:spacing w:line="360" w:lineRule="auto"/>
        <w:jc w:val="both"/>
      </w:pPr>
    </w:p>
    <w:p>
      <w:pPr>
        <w:spacing w:line="360" w:lineRule="auto"/>
        <w:jc w:val="both"/>
        <w:rPr>
          <w:lang w:eastAsia="zh-CN"/>
        </w:rPr>
      </w:pPr>
      <w:r>
        <w:rPr>
          <w:rFonts w:ascii="Book Antiqua" w:hAnsi="Book Antiqua" w:eastAsia="Book Antiqua" w:cs="Book Antiqua"/>
          <w:b/>
          <w:bCs/>
        </w:rPr>
        <w:t xml:space="preserve">Key Words: </w:t>
      </w:r>
      <w:r>
        <w:rPr>
          <w:rFonts w:ascii="Book Antiqua" w:hAnsi="Book Antiqua" w:eastAsia="Book Antiqua" w:cs="Book Antiqua"/>
        </w:rPr>
        <w:t>Acute pancreatitis; Type 2 diabetes mellitus; Magnetic resonance imaging;</w:t>
      </w:r>
      <w:r>
        <w:rPr>
          <w:rFonts w:hint="eastAsia" w:ascii="Book Antiqua" w:hAnsi="Book Antiqua" w:cs="Book Antiqua"/>
          <w:lang w:eastAsia="zh-CN"/>
        </w:rPr>
        <w:t xml:space="preserve"> </w:t>
      </w:r>
      <w:r>
        <w:rPr>
          <w:rFonts w:ascii="Book Antiqua" w:hAnsi="Book Antiqua" w:cs="Book Antiqua"/>
          <w:lang w:eastAsia="zh-CN"/>
        </w:rPr>
        <w:t>Pancreatitis</w:t>
      </w:r>
      <w:r>
        <w:rPr>
          <w:rFonts w:ascii="Book Antiqua" w:hAnsi="Book Antiqua" w:eastAsia="Book Antiqua" w:cs="Book Antiqua"/>
        </w:rPr>
        <w:t xml:space="preserve">; </w:t>
      </w:r>
      <w:r>
        <w:rPr>
          <w:rFonts w:ascii="Book Antiqua" w:hAnsi="Book Antiqua" w:cs="Book Antiqua"/>
          <w:lang w:eastAsia="zh-CN"/>
        </w:rPr>
        <w:t>Severity</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ascii="Book Antiqua" w:hAnsi="Book Antiqua" w:eastAsia="Book Antiqua" w:cs="Book Antiqua"/>
        </w:rPr>
      </w:pPr>
      <w:r>
        <w:rPr>
          <w:rFonts w:hint="eastAsia" w:ascii="Book Antiqua" w:hAnsi="Book Antiqua" w:eastAsia="宋体" w:cs="Book Antiqua"/>
          <w:b/>
          <w:bCs/>
          <w:color w:val="000000" w:themeColor="text1"/>
          <w:lang w:val="en-US" w:eastAsia="zh-CN"/>
          <w14:textFill>
            <w14:solidFill>
              <w14:schemeClr w14:val="tx1"/>
            </w14:solidFill>
          </w14:textFill>
        </w:rPr>
        <w:t>Citation</w:t>
      </w:r>
      <w:r>
        <w:rPr>
          <w:rFonts w:hint="eastAsia" w:ascii="Book Antiqua" w:hAnsi="Book Antiqua" w:eastAsia="宋体" w:cs="Book Antiqua"/>
          <w:color w:val="000000" w:themeColor="text1"/>
          <w:lang w:val="en-US" w:eastAsia="zh-CN"/>
          <w14:textFill>
            <w14:solidFill>
              <w14:schemeClr w14:val="tx1"/>
            </w14:solidFill>
          </w14:textFill>
        </w:rPr>
        <w:t xml:space="preserve">: </w:t>
      </w:r>
      <w:r>
        <w:rPr>
          <w:rFonts w:ascii="Book Antiqua" w:hAnsi="Book Antiqua" w:eastAsia="Book Antiqua" w:cs="Book Antiqua"/>
        </w:rPr>
        <w:t xml:space="preserve">Ni YH, Song LJ, Xiao B. Magnetic resonance imaging for acute pancreatitis in type 2 diabetes patients. </w:t>
      </w:r>
      <w:r>
        <w:rPr>
          <w:rFonts w:ascii="Book Antiqua" w:hAnsi="Book Antiqua" w:eastAsia="Book Antiqua" w:cs="Book Antiqua"/>
          <w:i/>
          <w:iCs/>
        </w:rPr>
        <w:t>World J Clin Cases</w:t>
      </w:r>
      <w:r>
        <w:rPr>
          <w:rFonts w:ascii="Book Antiqua" w:hAnsi="Book Antiqua" w:eastAsia="Book Antiqua" w:cs="Book Antiqua"/>
        </w:rPr>
        <w:t xml:space="preserve"> 2023; 11(30): </w:t>
      </w:r>
      <w:r>
        <w:rPr>
          <w:rStyle w:val="19"/>
          <w:rFonts w:hint="default" w:ascii="Book Antiqua" w:hAnsi="Book Antiqua" w:eastAsia="宋体" w:cs="Book Antiqua"/>
          <w:sz w:val="24"/>
          <w:szCs w:val="24"/>
          <w:lang w:val="en-US" w:eastAsia="zh-CN" w:bidi="ar"/>
        </w:rPr>
        <w:t>7268-7276</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https://www.wjgnet.com/2307-8960/full/v11/i30/</w:t>
      </w:r>
      <w:r>
        <w:rPr>
          <w:rStyle w:val="19"/>
          <w:rFonts w:hint="default" w:ascii="Book Antiqua" w:hAnsi="Book Antiqua" w:eastAsia="宋体" w:cs="Book Antiqua"/>
          <w:sz w:val="24"/>
          <w:szCs w:val="24"/>
          <w:lang w:val="en-US" w:eastAsia="zh-CN" w:bidi="ar"/>
        </w:rPr>
        <w:t>7268</w:t>
      </w:r>
      <w:r>
        <w:rPr>
          <w:rFonts w:ascii="Book Antiqua" w:hAnsi="Book Antiqua" w:eastAsia="Book Antiqua" w:cs="Book Antiqua"/>
        </w:rPr>
        <w:t xml:space="preserve">.htm </w:t>
      </w:r>
    </w:p>
    <w:p>
      <w:pPr>
        <w:spacing w:line="360" w:lineRule="auto"/>
        <w:jc w:val="both"/>
      </w:pPr>
      <w:r>
        <w:rPr>
          <w:rFonts w:ascii="Book Antiqua" w:hAnsi="Book Antiqua" w:eastAsia="Book Antiqua" w:cs="Book Antiqua"/>
          <w:b/>
          <w:bCs/>
        </w:rPr>
        <w:t>DOI</w:t>
      </w:r>
      <w:r>
        <w:rPr>
          <w:rFonts w:ascii="Book Antiqua" w:hAnsi="Book Antiqua" w:eastAsia="Book Antiqua" w:cs="Book Antiqua"/>
        </w:rPr>
        <w:t>: https://dx.doi.org/10.12998/wjcc.v11.i30.</w:t>
      </w:r>
      <w:r>
        <w:rPr>
          <w:rStyle w:val="19"/>
          <w:rFonts w:hint="default" w:ascii="Book Antiqua" w:hAnsi="Book Antiqua" w:eastAsia="宋体" w:cs="Book Antiqua"/>
          <w:sz w:val="24"/>
          <w:szCs w:val="24"/>
          <w:lang w:val="en-US" w:eastAsia="zh-CN" w:bidi="ar"/>
        </w:rPr>
        <w:t>7268</w:t>
      </w:r>
    </w:p>
    <w:p>
      <w:pPr>
        <w:spacing w:line="360" w:lineRule="auto"/>
        <w:jc w:val="both"/>
      </w:pPr>
    </w:p>
    <w:p>
      <w:pPr>
        <w:spacing w:line="360" w:lineRule="auto"/>
        <w:jc w:val="both"/>
      </w:pPr>
      <w:r>
        <w:rPr>
          <w:rFonts w:ascii="Book Antiqua" w:hAnsi="Book Antiqua" w:eastAsia="Book Antiqua" w:cs="Book Antiqua"/>
          <w:b/>
          <w:bCs/>
        </w:rPr>
        <w:t xml:space="preserve">Core Tip: </w:t>
      </w:r>
      <w:r>
        <w:rPr>
          <w:rFonts w:ascii="Book Antiqua" w:hAnsi="Book Antiqua" w:eastAsia="Book Antiqua" w:cs="Book Antiqua"/>
        </w:rPr>
        <w:t xml:space="preserve">Up to the present time, a host of researchers have focused on the </w:t>
      </w:r>
      <w:r>
        <w:rPr>
          <w:rFonts w:ascii="Book Antiqua" w:hAnsi="Book Antiqua" w:eastAsia="Book Antiqua" w:cs="Book Antiqua"/>
          <w:szCs w:val="18"/>
        </w:rPr>
        <w:t xml:space="preserve">type 2 diabetes mellitus (T2DM) </w:t>
      </w:r>
      <w:r>
        <w:rPr>
          <w:rFonts w:ascii="Book Antiqua" w:hAnsi="Book Antiqua" w:eastAsia="Book Antiqua" w:cs="Book Antiqua"/>
        </w:rPr>
        <w:t xml:space="preserve">clinical manifestations. However, there are currently few investigations on the imaging features of </w:t>
      </w:r>
      <w:r>
        <w:rPr>
          <w:rFonts w:ascii="Book Antiqua" w:hAnsi="Book Antiqua" w:eastAsia="Book Antiqua" w:cs="Book Antiqua"/>
          <w:szCs w:val="18"/>
        </w:rPr>
        <w:t xml:space="preserve">acute pancreatitis (AP) </w:t>
      </w:r>
      <w:r>
        <w:rPr>
          <w:rFonts w:ascii="Book Antiqua" w:hAnsi="Book Antiqua" w:eastAsia="Book Antiqua" w:cs="Book Antiqua"/>
        </w:rPr>
        <w:t xml:space="preserve">in patients with T2DM. This paper demonstrates that the patients with T2DM have a higher prevalence of AP and more severe clinical manifestations, showing the </w:t>
      </w:r>
      <w:r>
        <w:rPr>
          <w:rFonts w:ascii="Book Antiqua" w:hAnsi="Book Antiqua" w:eastAsia="Book Antiqua" w:cs="Book Antiqua"/>
          <w:color w:val="000000"/>
        </w:rPr>
        <w:t xml:space="preserve">magnetic resonance imaging </w:t>
      </w:r>
      <w:r>
        <w:rPr>
          <w:rFonts w:ascii="Book Antiqua" w:hAnsi="Book Antiqua" w:eastAsia="Book Antiqua" w:cs="Book Antiqua"/>
        </w:rPr>
        <w:t>findings of AP in T2DM.</w:t>
      </w:r>
    </w:p>
    <w:p>
      <w:pPr>
        <w:spacing w:line="360" w:lineRule="auto"/>
        <w:jc w:val="both"/>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Acute pancreatitis (AP) is one of the most frequent gastrointestinal causes for hospital admission</w:t>
      </w:r>
      <w:r>
        <w:rPr>
          <w:rFonts w:ascii="Book Antiqua" w:hAnsi="Book Antiqua" w:eastAsia="Book Antiqua" w:cs="Book Antiqua"/>
          <w:color w:val="000000"/>
          <w:vertAlign w:val="superscript"/>
        </w:rPr>
        <w:t>[1]</w:t>
      </w:r>
      <w:r>
        <w:rPr>
          <w:rFonts w:ascii="Book Antiqua" w:hAnsi="Book Antiqua" w:eastAsia="Book Antiqua" w:cs="Book Antiqua"/>
          <w:color w:val="000000"/>
        </w:rPr>
        <w:t>. AP is a common exocrine pancreatic inflammatory disease that can cause severe abdominal pain and multiple organ dysfunction, with a mortality rate of 1% to 5%</w:t>
      </w:r>
      <w:r>
        <w:rPr>
          <w:rFonts w:ascii="Book Antiqua" w:hAnsi="Book Antiqua" w:eastAsia="Book Antiqua" w:cs="Book Antiqua"/>
          <w:color w:val="000000"/>
          <w:vertAlign w:val="superscript"/>
        </w:rPr>
        <w:t>[2]</w:t>
      </w:r>
      <w:r>
        <w:rPr>
          <w:rFonts w:ascii="Book Antiqua" w:hAnsi="Book Antiqua" w:eastAsia="Book Antiqua" w:cs="Book Antiqua"/>
          <w:color w:val="000000"/>
        </w:rPr>
        <w:t>. Overall, it has a global incidence of 30-40 cases per 100000 people per year, including children, pregnant women and the elderly. Moderate to severe AP with effusions and/or necrotizing effusions can lead to serious complications, and severe AP with persistent organ failure can lead to significant mortality</w:t>
      </w:r>
      <w:r>
        <w:rPr>
          <w:rFonts w:ascii="Book Antiqua" w:hAnsi="Book Antiqua" w:eastAsia="Book Antiqua" w:cs="Book Antiqua"/>
          <w:color w:val="000000"/>
          <w:vertAlign w:val="superscript"/>
        </w:rPr>
        <w:t>[2,3]</w:t>
      </w:r>
      <w:r>
        <w:rPr>
          <w:rFonts w:ascii="Book Antiqua" w:hAnsi="Book Antiqua" w:eastAsia="Book Antiqua" w:cs="Book Antiqua"/>
          <w:color w:val="000000"/>
        </w:rPr>
        <w:t>.</w:t>
      </w:r>
    </w:p>
    <w:p>
      <w:pPr>
        <w:spacing w:line="360" w:lineRule="auto"/>
        <w:ind w:firstLine="480" w:firstLineChars="200"/>
        <w:jc w:val="both"/>
      </w:pPr>
      <w:r>
        <w:rPr>
          <w:rFonts w:ascii="Book Antiqua" w:hAnsi="Book Antiqua" w:eastAsia="Book Antiqua" w:cs="Book Antiqua"/>
          <w:color w:val="000000"/>
        </w:rPr>
        <w:t>Type 2 diabetes mellitus (T2DM) is a chronic, heterogeneous, systemic disease accompanied by varying degrees of insulin deficiency and/or insulin resistance</w:t>
      </w:r>
      <w:r>
        <w:rPr>
          <w:rFonts w:ascii="Book Antiqua" w:hAnsi="Book Antiqua" w:eastAsia="Book Antiqua" w:cs="Book Antiqua"/>
          <w:color w:val="000000"/>
          <w:vertAlign w:val="superscript"/>
        </w:rPr>
        <w:t>[4]</w:t>
      </w:r>
      <w:r>
        <w:rPr>
          <w:rFonts w:ascii="Book Antiqua" w:hAnsi="Book Antiqua" w:eastAsia="Book Antiqua" w:cs="Book Antiqua"/>
          <w:color w:val="000000"/>
        </w:rPr>
        <w:t>. The epidemic condition of diabetes mellitus and its complications poses a major global health threat. The global prevalence of diabetes had reached pandemic proportions with reporting a prevalence of 9% (463 million adults) in 2019. This estimated number will rise to 642 million by 2040</w:t>
      </w:r>
      <w:r>
        <w:rPr>
          <w:rFonts w:ascii="Book Antiqua" w:hAnsi="Book Antiqua" w:eastAsia="Book Antiqua" w:cs="Book Antiqua"/>
          <w:color w:val="000000"/>
          <w:vertAlign w:val="superscript"/>
        </w:rPr>
        <w:t>[5-7]</w:t>
      </w:r>
      <w:r>
        <w:rPr>
          <w:rFonts w:ascii="Book Antiqua" w:hAnsi="Book Antiqua" w:eastAsia="Book Antiqua" w:cs="Book Antiqua"/>
          <w:color w:val="000000"/>
        </w:rPr>
        <w:t>. These studies</w:t>
      </w:r>
      <w:r>
        <w:rPr>
          <w:rFonts w:ascii="Book Antiqua" w:hAnsi="Book Antiqua" w:eastAsia="Book Antiqua" w:cs="Book Antiqua"/>
          <w:color w:val="000000"/>
          <w:vertAlign w:val="superscript"/>
        </w:rPr>
        <w:t>[8,9]</w:t>
      </w:r>
      <w:r>
        <w:rPr>
          <w:rFonts w:ascii="Book Antiqua" w:hAnsi="Book Antiqua" w:eastAsia="Book Antiqua" w:cs="Book Antiqua"/>
          <w:color w:val="000000"/>
        </w:rPr>
        <w:t xml:space="preserve"> have demonstrated that patients with T2DM have a greater prevalence of AP compared with the general population, and the clinical manifestations of AP secondary to T2DM are more serious (mostly moderate to severe AP). On magnetic resonance imaging (MRI), the incidences of pancreatic or peripancreatic hemorrhage and necrosis, pancreatic duct interruption, and peripancreatic infection are higher than those of non-diabetic individuals. In the present, there has been little discussion about MRI for AP in T2DM patients. This review briefly introduces the pathogenesis and clinical features of AP in T2DM patients, focusing on the MRI manifestations of AP in T2DM patients.</w:t>
      </w:r>
    </w:p>
    <w:p>
      <w:pPr>
        <w:spacing w:line="360" w:lineRule="auto"/>
        <w:jc w:val="both"/>
      </w:pPr>
    </w:p>
    <w:p>
      <w:pPr>
        <w:spacing w:line="360" w:lineRule="auto"/>
        <w:jc w:val="both"/>
      </w:pPr>
      <w:r>
        <w:rPr>
          <w:rFonts w:ascii="Book Antiqua" w:hAnsi="Book Antiqua" w:eastAsia="Book Antiqua" w:cs="Book Antiqua"/>
          <w:b/>
          <w:bCs/>
          <w:caps/>
          <w:color w:val="000000"/>
          <w:szCs w:val="18"/>
          <w:u w:val="single"/>
        </w:rPr>
        <w:t>Pathogenesis and clinical characteristics of AP in patients with T2DM</w:t>
      </w:r>
    </w:p>
    <w:p>
      <w:pPr>
        <w:spacing w:line="360" w:lineRule="auto"/>
        <w:jc w:val="both"/>
      </w:pPr>
      <w:r>
        <w:rPr>
          <w:rFonts w:ascii="Book Antiqua" w:hAnsi="Book Antiqua" w:eastAsia="Book Antiqua" w:cs="Book Antiqua"/>
          <w:color w:val="000000"/>
          <w:szCs w:val="18"/>
        </w:rPr>
        <w:t xml:space="preserve">To our knowledge, the common causes of AP are gallstones, alcoholism, and hyperlipidemia. Previous studies show that T2DM may increase AP risk </w:t>
      </w:r>
      <w:r>
        <w:rPr>
          <w:rFonts w:ascii="Book Antiqua" w:hAnsi="Book Antiqua" w:eastAsia="Book Antiqua" w:cs="Book Antiqua"/>
          <w:i/>
          <w:iCs/>
          <w:color w:val="000000"/>
          <w:szCs w:val="18"/>
        </w:rPr>
        <w:t>via</w:t>
      </w:r>
      <w:r>
        <w:rPr>
          <w:rFonts w:ascii="Book Antiqua" w:hAnsi="Book Antiqua" w:eastAsia="Book Antiqua" w:cs="Book Antiqua"/>
          <w:color w:val="000000"/>
        </w:rPr>
        <w:t xml:space="preserve"> hypertriglyceridemia</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and cholelithiasis</w:t>
      </w:r>
      <w:r>
        <w:rPr>
          <w:rFonts w:ascii="Book Antiqua" w:hAnsi="Book Antiqua" w:eastAsia="Book Antiqua" w:cs="Book Antiqua"/>
          <w:color w:val="000000"/>
          <w:vertAlign w:val="superscript"/>
        </w:rPr>
        <w:t>[11]</w:t>
      </w:r>
      <w:r>
        <w:rPr>
          <w:rFonts w:ascii="Book Antiqua" w:hAnsi="Book Antiqua" w:eastAsia="Book Antiqua" w:cs="Book Antiqua"/>
          <w:color w:val="000000"/>
        </w:rPr>
        <w:t>. Dyslipidemia is frequently encountered in diabetic patients. The characteristics of dyslipidemia in diabetic patients are hypertriglyceridemia. T2DM increases low density lipoprotein cholesterol levels, and decreases apo-B, high-density lipoprotein cholesterol, and apo-A</w:t>
      </w:r>
      <w:r>
        <w:rPr>
          <w:rFonts w:ascii="Book Antiqua" w:hAnsi="Book Antiqua" w:eastAsia="Book Antiqua" w:cs="Book Antiqua"/>
          <w:color w:val="000000"/>
          <w:vertAlign w:val="superscript"/>
        </w:rPr>
        <w:t>[10,12]</w:t>
      </w:r>
      <w:r>
        <w:rPr>
          <w:rFonts w:ascii="Book Antiqua" w:hAnsi="Book Antiqua" w:eastAsia="Book Antiqua" w:cs="Book Antiqua"/>
          <w:color w:val="000000"/>
        </w:rPr>
        <w:t>. Due to the hydrolysis of excess triglyceride by pancreatic lipase, a large amount of free fatty acids and free radicals are produced, resulting in acinar cell and pancreatic capillary damage and ischemia</w:t>
      </w:r>
      <w:r>
        <w:rPr>
          <w:rFonts w:ascii="Book Antiqua" w:hAnsi="Book Antiqua" w:eastAsia="Book Antiqua" w:cs="Book Antiqua"/>
          <w:color w:val="000000"/>
          <w:vertAlign w:val="superscript"/>
        </w:rPr>
        <w:t>[13,14]</w:t>
      </w:r>
      <w:r>
        <w:rPr>
          <w:rFonts w:ascii="Book Antiqua" w:hAnsi="Book Antiqua" w:eastAsia="Book Antiqua" w:cs="Book Antiqua"/>
          <w:color w:val="000000"/>
        </w:rPr>
        <w:t>. Several other studies show that the potential mechanisms of hypertriglyceridemia pancreatitis are the insolubility of the lipid triglycerides in the aqueous environment of blood resulting in microthrombi in the pancreatic vasculature and ischemia and pancreatic infarction</w:t>
      </w:r>
      <w:r>
        <w:rPr>
          <w:rFonts w:ascii="Book Antiqua" w:hAnsi="Book Antiqua" w:eastAsia="Book Antiqua" w:cs="Book Antiqua"/>
          <w:color w:val="000000"/>
          <w:vertAlign w:val="superscript"/>
        </w:rPr>
        <w:t>[15]</w:t>
      </w:r>
      <w:r>
        <w:rPr>
          <w:rFonts w:ascii="Book Antiqua" w:hAnsi="Book Antiqua" w:eastAsia="Book Antiqua" w:cs="Book Antiqua"/>
          <w:color w:val="000000"/>
        </w:rPr>
        <w:t>. On the other hand, a previous study has found that diabetes is consistently associated with a higher risk of gallstones</w:t>
      </w:r>
      <w:r>
        <w:rPr>
          <w:rFonts w:ascii="Book Antiqua" w:hAnsi="Book Antiqua" w:eastAsia="Book Antiqua" w:cs="Book Antiqua"/>
          <w:color w:val="000000"/>
          <w:vertAlign w:val="superscript"/>
        </w:rPr>
        <w:t>[16]</w:t>
      </w:r>
      <w:r>
        <w:rPr>
          <w:rFonts w:ascii="Book Antiqua" w:hAnsi="Book Antiqua" w:eastAsia="Book Antiqua" w:cs="Book Antiqua"/>
          <w:color w:val="000000"/>
        </w:rPr>
        <w:t>. Obesity is common in diabetics due to insulin resistance-related metabolic syndrome, which may impact gallstone formation by multiple mechanisms</w:t>
      </w:r>
      <w:r>
        <w:rPr>
          <w:rFonts w:ascii="Book Antiqua" w:hAnsi="Book Antiqua" w:eastAsia="Book Antiqua" w:cs="Book Antiqua"/>
          <w:color w:val="000000"/>
          <w:vertAlign w:val="superscript"/>
        </w:rPr>
        <w:t>[15]</w:t>
      </w:r>
      <w:r>
        <w:rPr>
          <w:rFonts w:ascii="Book Antiqua" w:hAnsi="Book Antiqua" w:eastAsia="Book Antiqua" w:cs="Book Antiqua"/>
          <w:color w:val="000000"/>
        </w:rPr>
        <w:t>. This clinical study investigated people with T2DM that have almost three times the risk of gallstone formation, compared with people without diabetes</w:t>
      </w:r>
      <w:r>
        <w:rPr>
          <w:rFonts w:ascii="Book Antiqua" w:hAnsi="Book Antiqua" w:eastAsia="Book Antiqua" w:cs="Book Antiqua"/>
          <w:color w:val="000000"/>
          <w:vertAlign w:val="superscript"/>
        </w:rPr>
        <w:t>[17]</w:t>
      </w:r>
      <w:r>
        <w:rPr>
          <w:rFonts w:ascii="Book Antiqua" w:hAnsi="Book Antiqua" w:eastAsia="Book Antiqua" w:cs="Book Antiqua"/>
          <w:color w:val="000000"/>
        </w:rPr>
        <w:t>. In addition, four large epidemiological studies suggest an etiological role for diabetes in AP. Hyperglycemia and insulin resistance are major important factors leading to increased production of reactive oxygen species in acinar cells. Moreover, infectious diseases are more frequent and severe in diabetics</w:t>
      </w:r>
      <w:r>
        <w:rPr>
          <w:rFonts w:ascii="Book Antiqua" w:hAnsi="Book Antiqua" w:eastAsia="Book Antiqua" w:cs="Book Antiqua"/>
          <w:color w:val="000000"/>
          <w:vertAlign w:val="superscript"/>
        </w:rPr>
        <w:t>[18,19]</w:t>
      </w:r>
      <w:r>
        <w:rPr>
          <w:rFonts w:ascii="Book Antiqua" w:hAnsi="Book Antiqua" w:eastAsia="Book Antiqua" w:cs="Book Antiqua"/>
          <w:color w:val="000000"/>
        </w:rPr>
        <w:t>. In clinical settings, T2DM patients with AP are often complicated with hyperlipidemia, gallstones, obesity and long average hospital stays. The prevalence of ICU admission and mortality is higher in patients with T2DM with AP</w:t>
      </w:r>
      <w:r>
        <w:rPr>
          <w:rFonts w:ascii="Book Antiqua" w:hAnsi="Book Antiqua" w:eastAsia="Book Antiqua" w:cs="Book Antiqua"/>
          <w:color w:val="000000"/>
          <w:vertAlign w:val="superscript"/>
        </w:rPr>
        <w:t>[20]</w:t>
      </w:r>
      <w:r>
        <w:rPr>
          <w:rFonts w:ascii="Book Antiqua" w:hAnsi="Book Antiqua" w:eastAsia="Book Antiqua" w:cs="Book Antiqua"/>
          <w:color w:val="000000"/>
        </w:rPr>
        <w:t>.</w:t>
      </w:r>
    </w:p>
    <w:p>
      <w:pPr>
        <w:spacing w:line="360" w:lineRule="auto"/>
        <w:ind w:firstLine="360"/>
        <w:jc w:val="both"/>
      </w:pPr>
    </w:p>
    <w:p>
      <w:pPr>
        <w:spacing w:line="360" w:lineRule="auto"/>
        <w:jc w:val="both"/>
      </w:pPr>
      <w:r>
        <w:rPr>
          <w:rFonts w:ascii="Book Antiqua" w:hAnsi="Book Antiqua" w:eastAsia="Book Antiqua" w:cs="Book Antiqua"/>
          <w:b/>
          <w:bCs/>
          <w:caps/>
          <w:color w:val="000000"/>
          <w:szCs w:val="18"/>
          <w:u w:val="single"/>
        </w:rPr>
        <w:t xml:space="preserve">Imaging evaluation of the severity of AP in patients with T2DM </w:t>
      </w:r>
    </w:p>
    <w:p>
      <w:pPr>
        <w:spacing w:line="360" w:lineRule="auto"/>
        <w:jc w:val="both"/>
      </w:pPr>
      <w:r>
        <w:rPr>
          <w:rFonts w:ascii="Book Antiqua" w:hAnsi="Book Antiqua" w:eastAsia="Book Antiqua" w:cs="Book Antiqua"/>
          <w:color w:val="000000"/>
        </w:rPr>
        <w:t>Computed tomography (CT) or MRI with contrast medium is usually the first-line imaging examination for patients with AP. MRI and CT scan specifically demonstrate the overall changes of the pancreas and the degree of necrosis of the pancreas. Also, imaging can indicate the etiology and pathological findings, which has certain guiding significance for clinical guidance of medication and patient prognosis. Although contrast-enhanced CT (CECT) is considered the gold standard for evaluating AP, there are certain limitations in clinical application, such as repeated irradiation and injection of iodine contrast agents. CECT is also avoided in patients with AP-associated acute kidney injury. Moreover, scholars have found that contrast agents can exacerbate AP by damaging pancreatic microcirculation</w:t>
      </w:r>
      <w:r>
        <w:rPr>
          <w:rFonts w:ascii="Book Antiqua" w:hAnsi="Book Antiqua" w:eastAsia="Book Antiqua" w:cs="Book Antiqua"/>
          <w:color w:val="000000"/>
          <w:vertAlign w:val="superscript"/>
        </w:rPr>
        <w:t>[21]</w:t>
      </w:r>
      <w:r>
        <w:rPr>
          <w:rFonts w:ascii="Book Antiqua" w:hAnsi="Book Antiqua" w:eastAsia="Book Antiqua" w:cs="Book Antiqua"/>
          <w:color w:val="000000"/>
        </w:rPr>
        <w:t>. However, MRI is a non-invasive and radiation free examination that can better display the morphology of the pancreatic parenchyma and pancreatic duct, evaluate the degree of pancreatic and peripancreatic exudation, necrosis, bleeding, and detect early pancreatic duct rupture</w:t>
      </w:r>
      <w:r>
        <w:rPr>
          <w:rFonts w:ascii="Book Antiqua" w:hAnsi="Book Antiqua" w:eastAsia="Book Antiqua" w:cs="Book Antiqua"/>
          <w:color w:val="000000"/>
          <w:vertAlign w:val="superscript"/>
        </w:rPr>
        <w:t>[21]</w:t>
      </w:r>
      <w:r>
        <w:rPr>
          <w:rFonts w:ascii="Book Antiqua" w:hAnsi="Book Antiqua" w:eastAsia="Book Antiqua" w:cs="Book Antiqua"/>
          <w:color w:val="000000"/>
        </w:rPr>
        <w:t>. And it can display the morphology of bile ducts, which is also helpful for evaluating the etiology of AP, such as cholelithiasis and tumors. Gadolinium in MRI contrast agents has fewer side effects, especially less nephrotoxicity</w:t>
      </w:r>
      <w:r>
        <w:rPr>
          <w:rFonts w:ascii="Book Antiqua" w:hAnsi="Book Antiqua" w:eastAsia="Book Antiqua" w:cs="Book Antiqua"/>
          <w:color w:val="000000"/>
          <w:vertAlign w:val="superscript"/>
        </w:rPr>
        <w:t>[22,23]</w:t>
      </w:r>
      <w:r>
        <w:rPr>
          <w:rFonts w:ascii="Book Antiqua" w:hAnsi="Book Antiqua" w:eastAsia="Book Antiqua" w:cs="Book Antiqua"/>
          <w:color w:val="000000"/>
        </w:rPr>
        <w:t>. Besides, due to better soft tissue resolution and interreader agreement for the detection of debris within the collections compared with CECT, MRI may also have a prognostic implication in terms of risk stratification when diagnosing extrapancreatic necrosis without pancreatic parenchymal necrosis</w:t>
      </w:r>
      <w:r>
        <w:rPr>
          <w:rFonts w:ascii="Book Antiqua" w:hAnsi="Book Antiqua" w:eastAsia="Book Antiqua" w:cs="Book Antiqua"/>
          <w:color w:val="000000"/>
          <w:vertAlign w:val="superscript"/>
        </w:rPr>
        <w:t>[24]</w:t>
      </w:r>
      <w:r>
        <w:rPr>
          <w:rFonts w:ascii="Book Antiqua" w:hAnsi="Book Antiqua" w:eastAsia="Book Antiqua" w:cs="Book Antiqua"/>
          <w:color w:val="000000"/>
        </w:rPr>
        <w:t>. Moreover, MRI has better sensitivity for detection of mild parenchymal and early inflammatory changes, better detection of pancreatic glandular necrosis on unenhanced examinations, improved identification of solid components in complex necrotizing collections before drainage</w:t>
      </w:r>
      <w:r>
        <w:rPr>
          <w:rFonts w:ascii="Book Antiqua" w:hAnsi="Book Antiqua" w:eastAsia="Book Antiqua" w:cs="Book Antiqua"/>
          <w:color w:val="000000"/>
          <w:vertAlign w:val="superscript"/>
        </w:rPr>
        <w:t>[23]</w:t>
      </w:r>
      <w:r>
        <w:rPr>
          <w:rFonts w:ascii="Book Antiqua" w:hAnsi="Book Antiqua" w:eastAsia="Book Antiqua" w:cs="Book Antiqua"/>
          <w:color w:val="000000"/>
        </w:rPr>
        <w:t>. In a prospective study, scholars investigated the correlation between CT and MRI at similar time points of particular importance, namely immediately after admission, when it is most useful for predicting outcome, and 7 d later, MRI is helpful in confirming the presence of necrosis and excluding cases with reversible hypoperfusion of the pancreatic parenchyma. Lastly, another important time point is 30 d after admission, when therapeutic decisions have to be made for the management of complications in the most severe cases</w:t>
      </w:r>
      <w:r>
        <w:rPr>
          <w:rFonts w:ascii="Book Antiqua" w:hAnsi="Book Antiqua" w:eastAsia="Book Antiqua" w:cs="Book Antiqua"/>
          <w:color w:val="000000"/>
          <w:vertAlign w:val="superscript"/>
        </w:rPr>
        <w:t>[21]</w:t>
      </w:r>
      <w:r>
        <w:rPr>
          <w:rFonts w:ascii="Book Antiqua" w:hAnsi="Book Antiqua" w:eastAsia="Book Antiqua" w:cs="Book Antiqua"/>
          <w:color w:val="000000"/>
        </w:rPr>
        <w:t>. On MRI, AP is classified as interstitial edematous pancreatitis or necrotizing pancreatitis. Pancreatic necrosis is often defined as an area of low signal on T1-weighted images and absence of enhancement after administration of gadolinium. The severity of AP is assessed and graded according to the MR severity index (MRSI) (Table 1), which is derived from the CT severity index</w:t>
      </w:r>
      <w:r>
        <w:rPr>
          <w:rFonts w:ascii="Book Antiqua" w:hAnsi="Book Antiqua" w:eastAsia="Book Antiqua" w:cs="Book Antiqua"/>
          <w:color w:val="000000"/>
          <w:vertAlign w:val="superscript"/>
        </w:rPr>
        <w:t>[25]</w:t>
      </w:r>
      <w:r>
        <w:rPr>
          <w:rFonts w:ascii="Book Antiqua" w:hAnsi="Book Antiqua" w:eastAsia="Book Antiqua" w:cs="Book Antiqua"/>
          <w:color w:val="000000"/>
        </w:rPr>
        <w:t>. Depending on MRSI scores, the severity of AP on MRI is subdivided into mild pancreatitis (0–3 points), moderate pancreatitis (4–6 points), and severe pancreatitis (7–10 points). In addition, MRI can evaluate for vascular injury such as pseudoaneurysm and venous thrombosis</w:t>
      </w:r>
      <w:r>
        <w:rPr>
          <w:rFonts w:ascii="Book Antiqua" w:hAnsi="Book Antiqua" w:eastAsia="Book Antiqua" w:cs="Book Antiqua"/>
          <w:color w:val="000000"/>
          <w:vertAlign w:val="superscript"/>
        </w:rPr>
        <w:t>[26]</w:t>
      </w:r>
      <w:r>
        <w:rPr>
          <w:rFonts w:ascii="Book Antiqua" w:hAnsi="Book Antiqua" w:eastAsia="Book Antiqua" w:cs="Book Antiqua"/>
          <w:color w:val="000000"/>
        </w:rPr>
        <w:t>.</w:t>
      </w:r>
    </w:p>
    <w:p>
      <w:pPr>
        <w:spacing w:line="360" w:lineRule="auto"/>
        <w:ind w:firstLine="360"/>
        <w:jc w:val="both"/>
      </w:pPr>
    </w:p>
    <w:p>
      <w:pPr>
        <w:spacing w:line="360" w:lineRule="auto"/>
        <w:jc w:val="both"/>
      </w:pPr>
      <w:r>
        <w:rPr>
          <w:rFonts w:ascii="Book Antiqua" w:hAnsi="Book Antiqua" w:eastAsia="Book Antiqua" w:cs="Book Antiqua"/>
          <w:b/>
          <w:bCs/>
          <w:caps/>
          <w:color w:val="000000"/>
          <w:szCs w:val="18"/>
          <w:u w:val="single"/>
        </w:rPr>
        <w:t>MRI manifestations of pancreatic changes in patients with AP in patients with T2DM</w:t>
      </w:r>
    </w:p>
    <w:p>
      <w:pPr>
        <w:spacing w:line="360" w:lineRule="auto"/>
        <w:jc w:val="both"/>
        <w:rPr>
          <w:i/>
          <w:iCs/>
        </w:rPr>
      </w:pPr>
      <w:r>
        <w:rPr>
          <w:rFonts w:ascii="Book Antiqua" w:hAnsi="Book Antiqua" w:eastAsia="Book Antiqua" w:cs="Book Antiqua"/>
          <w:b/>
          <w:bCs/>
          <w:i/>
          <w:iCs/>
          <w:color w:val="000000"/>
          <w:szCs w:val="18"/>
        </w:rPr>
        <w:t>Pancreatic necrosis and/or hemorrhage</w:t>
      </w:r>
    </w:p>
    <w:p>
      <w:pPr>
        <w:spacing w:line="360" w:lineRule="auto"/>
        <w:jc w:val="both"/>
      </w:pPr>
      <w:r>
        <w:rPr>
          <w:rFonts w:ascii="Book Antiqua" w:hAnsi="Book Antiqua" w:eastAsia="Book Antiqua" w:cs="Book Antiqua"/>
          <w:color w:val="000000"/>
        </w:rPr>
        <w:t>MRI can better display the morphology of the pancreas and signal changes in pancreatic parenchyma. Edematous pancreatitis is characterized by an enlarged pancreas and T2-weighted hyperintense changes of pancreatic parenchyma (Figure 1). AP onset of T2DM presented more frequency of moderate-to-severe AP on MRI</w:t>
      </w:r>
      <w:r>
        <w:rPr>
          <w:rFonts w:ascii="Book Antiqua" w:hAnsi="Book Antiqua" w:eastAsia="Book Antiqua" w:cs="Book Antiqua"/>
          <w:color w:val="000000"/>
          <w:vertAlign w:val="superscript"/>
        </w:rPr>
        <w:t>[4]</w:t>
      </w:r>
      <w:r>
        <w:rPr>
          <w:rFonts w:ascii="Book Antiqua" w:hAnsi="Book Antiqua" w:eastAsia="Book Antiqua" w:cs="Book Antiqua"/>
          <w:color w:val="000000"/>
        </w:rPr>
        <w:t>. Moderate-to-severe AP manifests as pancreatic enlargement, hemorrhage and necrosis of the pancreatic parenchyma. Hemorrhage is defined as hyperintense areas within the pancreatic parenchyma or outside the pancreas on T1-weighted images. Pancreatic necrosis is determined as a low-intensity area on T1-weighted images and parenchymal nonenhancement after injection of contrast media (Figure 2, Figure 3 and Figure 4)</w:t>
      </w:r>
      <w:r>
        <w:rPr>
          <w:rFonts w:ascii="Book Antiqua" w:hAnsi="Book Antiqua" w:eastAsia="Book Antiqua" w:cs="Book Antiqua"/>
          <w:color w:val="000000"/>
          <w:vertAlign w:val="superscript"/>
        </w:rPr>
        <w:t>[27]</w:t>
      </w:r>
      <w:r>
        <w:rPr>
          <w:rFonts w:ascii="Book Antiqua" w:hAnsi="Book Antiqua" w:eastAsia="Book Antiqua" w:cs="Book Antiqua"/>
          <w:color w:val="000000"/>
        </w:rPr>
        <w:t>. Our previous research</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has proved that the prevalence of pancreatic/peripancreatic hemorrhage was higher in AP patients with diabetes than in those without diabetes. In addition, we found that the incidence of necrotizing pancreatitis was higher in patients who presented with AP with diabetes, and there was greater parenchymal necrosis volume (greater than 30% of pancreatic necrosis) in AP patients with T2DM than in those without diabetes.</w:t>
      </w:r>
    </w:p>
    <w:p>
      <w:pPr>
        <w:spacing w:line="360" w:lineRule="auto"/>
        <w:jc w:val="both"/>
        <w:rPr>
          <w:rFonts w:ascii="Book Antiqua" w:hAnsi="Book Antiqua" w:eastAsia="Book Antiqua" w:cs="Book Antiqua"/>
          <w:b/>
          <w:bCs/>
          <w:color w:val="000000"/>
          <w:szCs w:val="18"/>
        </w:rPr>
      </w:pPr>
    </w:p>
    <w:p>
      <w:pPr>
        <w:spacing w:line="360" w:lineRule="auto"/>
        <w:jc w:val="both"/>
        <w:rPr>
          <w:i/>
          <w:iCs/>
        </w:rPr>
      </w:pPr>
      <w:r>
        <w:rPr>
          <w:rFonts w:ascii="Book Antiqua" w:hAnsi="Book Antiqua" w:eastAsia="Book Antiqua" w:cs="Book Antiqua"/>
          <w:b/>
          <w:bCs/>
          <w:i/>
          <w:iCs/>
          <w:color w:val="000000"/>
          <w:szCs w:val="18"/>
        </w:rPr>
        <w:t>Disconnected pancreatic duct syndrome</w:t>
      </w:r>
    </w:p>
    <w:p>
      <w:pPr>
        <w:spacing w:line="360" w:lineRule="auto"/>
        <w:jc w:val="both"/>
      </w:pPr>
      <w:r>
        <w:rPr>
          <w:rFonts w:ascii="Book Antiqua" w:hAnsi="Book Antiqua" w:eastAsia="Book Antiqua" w:cs="Book Antiqua"/>
          <w:color w:val="000000"/>
        </w:rPr>
        <w:t>Magnetic resonance cholangiopancreatography, a noninvasive modality, clearly demonstrates dilatation, stricture, and irregularity of the main pancreatic duct</w:t>
      </w:r>
      <w:r>
        <w:rPr>
          <w:rFonts w:ascii="Book Antiqua" w:hAnsi="Book Antiqua" w:eastAsia="Book Antiqua" w:cs="Book Antiqua"/>
          <w:color w:val="000000"/>
          <w:vertAlign w:val="superscript"/>
        </w:rPr>
        <w:t>[28-30]</w:t>
      </w:r>
      <w:r>
        <w:rPr>
          <w:rFonts w:ascii="Book Antiqua" w:hAnsi="Book Antiqua" w:eastAsia="Book Antiqua" w:cs="Book Antiqua"/>
          <w:color w:val="000000"/>
        </w:rPr>
        <w:t>. Due to the higher incidence of acute necrotizing pancreatitis in T2DM, when a large area of pancreatic parenchyma necrosis in necrotizing pancreatitis involves the main pancreatic duct (leading to pancreatic duct necrosis), the pancreatic and peripancreatic ANC is often accompanied by rupture and interruption of the main pancreatic duct. This is so-called "disconnected pancreatic duct syndrome"</w:t>
      </w:r>
      <w:r>
        <w:rPr>
          <w:rFonts w:ascii="Book Antiqua" w:hAnsi="Book Antiqua" w:eastAsia="Book Antiqua" w:cs="Book Antiqua"/>
          <w:color w:val="000000"/>
          <w:vertAlign w:val="superscript"/>
        </w:rPr>
        <w:t>[31]</w:t>
      </w:r>
      <w:r>
        <w:rPr>
          <w:rFonts w:ascii="Book Antiqua" w:hAnsi="Book Antiqua" w:eastAsia="Book Antiqua" w:cs="Book Antiqua"/>
          <w:color w:val="000000"/>
        </w:rPr>
        <w:t xml:space="preserve"> (Figure 5).</w:t>
      </w:r>
    </w:p>
    <w:p>
      <w:pPr>
        <w:spacing w:line="360" w:lineRule="auto"/>
        <w:jc w:val="both"/>
      </w:pPr>
    </w:p>
    <w:p>
      <w:pPr>
        <w:spacing w:line="360" w:lineRule="auto"/>
        <w:jc w:val="both"/>
      </w:pPr>
      <w:r>
        <w:rPr>
          <w:rFonts w:ascii="Book Antiqua" w:hAnsi="Book Antiqua" w:eastAsia="Book Antiqua" w:cs="Book Antiqua"/>
          <w:b/>
          <w:bCs/>
          <w:caps/>
          <w:color w:val="000000"/>
          <w:szCs w:val="18"/>
          <w:u w:val="single"/>
        </w:rPr>
        <w:t>MRI manifestations of peripancreatic changes in patients with AP in patients with T2DM</w:t>
      </w:r>
    </w:p>
    <w:p>
      <w:pPr>
        <w:spacing w:line="360" w:lineRule="auto"/>
        <w:jc w:val="both"/>
      </w:pPr>
      <w:r>
        <w:rPr>
          <w:rFonts w:ascii="Book Antiqua" w:hAnsi="Book Antiqua" w:eastAsia="Book Antiqua" w:cs="Book Antiqua"/>
          <w:color w:val="000000"/>
          <w:szCs w:val="18"/>
        </w:rPr>
        <w:t xml:space="preserve">The spread of AP inflammation most often involves the retroperitoneal space, and can also spread to the subperitoneal space (omentum, mesentery, </w:t>
      </w:r>
      <w:r>
        <w:rPr>
          <w:rFonts w:ascii="Book Antiqua" w:hAnsi="Book Antiqua" w:eastAsia="Book Antiqua" w:cs="Book Antiqua"/>
          <w:i/>
          <w:iCs/>
          <w:color w:val="000000"/>
          <w:szCs w:val="18"/>
        </w:rPr>
        <w:t>etc</w:t>
      </w:r>
      <w:r>
        <w:rPr>
          <w:rFonts w:ascii="Book Antiqua" w:hAnsi="Book Antiqua" w:eastAsia="Book Antiqua" w:cs="Book Antiqua"/>
          <w:color w:val="000000"/>
        </w:rPr>
        <w:t>)</w:t>
      </w:r>
      <w:r>
        <w:rPr>
          <w:rFonts w:ascii="Book Antiqua" w:hAnsi="Book Antiqua" w:eastAsia="Book Antiqua" w:cs="Book Antiqua"/>
          <w:color w:val="000000"/>
          <w:vertAlign w:val="superscript"/>
        </w:rPr>
        <w:t>[32]</w:t>
      </w:r>
      <w:r>
        <w:rPr>
          <w:rFonts w:ascii="Book Antiqua" w:hAnsi="Book Antiqua" w:eastAsia="Book Antiqua" w:cs="Book Antiqua"/>
          <w:color w:val="000000"/>
        </w:rPr>
        <w:t>. Peripancreatic changes of AP in patients with T2DM mainly include local complications of AP</w:t>
      </w:r>
      <w:r>
        <w:rPr>
          <w:rFonts w:ascii="Book Antiqua" w:hAnsi="Book Antiqua" w:eastAsia="Book Antiqua" w:cs="Book Antiqua"/>
          <w:color w:val="000000"/>
          <w:vertAlign w:val="superscript"/>
        </w:rPr>
        <w:t>[33]</w:t>
      </w:r>
      <w:r>
        <w:rPr>
          <w:rFonts w:ascii="Book Antiqua" w:hAnsi="Book Antiqua" w:eastAsia="Book Antiqua" w:cs="Book Antiqua"/>
          <w:color w:val="000000"/>
        </w:rPr>
        <w:t>. According to the Revised Atlanta Classification, local complications are acute peripancreatic fluid collection (APFC), pancreatic pseudocyst, acute necrotic collection (ANC) and walled-off necrosis (WON). APFC (Figure 6) occurs in interstitial edematous pancreatitis; and pancreatic pseudocyst forms as a delayed (usually &gt; 4 wk) complication of interstitial edematous pancreatitis. In contrast, necrosis may be an ANC (Figure 7) or WON (Figure 4). WON is a mature, encapsulated collection of pancreatic and/or peripancreatic necrosis and has a well-defined inflammatory wall. Usually, this maturation occurs ≥ 4 wk after onset of necrotizing pancreatitis</w:t>
      </w:r>
      <w:r>
        <w:rPr>
          <w:rFonts w:ascii="Book Antiqua" w:hAnsi="Book Antiqua" w:eastAsia="Book Antiqua" w:cs="Book Antiqua"/>
          <w:color w:val="000000"/>
          <w:vertAlign w:val="superscript"/>
        </w:rPr>
        <w:t>[3]</w:t>
      </w:r>
      <w:r>
        <w:rPr>
          <w:rFonts w:ascii="Book Antiqua" w:hAnsi="Book Antiqua" w:eastAsia="Book Antiqua" w:cs="Book Antiqua"/>
          <w:color w:val="000000"/>
        </w:rPr>
        <w:t>. Patients with AP with diabetes were at higher frequency of the development of fluid collections (especially walled-off necrosis) and infected collections compared with nondiabetic AP. These recognitions among physicians are of importance for appropriate clinical treatment strategies of T2DM-associated AP</w:t>
      </w:r>
      <w:r>
        <w:rPr>
          <w:rFonts w:ascii="Book Antiqua" w:hAnsi="Book Antiqua" w:eastAsia="Book Antiqua" w:cs="Book Antiqua"/>
          <w:color w:val="000000"/>
          <w:vertAlign w:val="superscript"/>
        </w:rPr>
        <w:t>[4]</w:t>
      </w:r>
      <w:r>
        <w:rPr>
          <w:rFonts w:ascii="Book Antiqua" w:hAnsi="Book Antiqua" w:eastAsia="Book Antiqua" w:cs="Book Antiqua"/>
          <w:color w:val="000000"/>
        </w:rPr>
        <w:t>.</w:t>
      </w:r>
    </w:p>
    <w:p>
      <w:pPr>
        <w:spacing w:line="360" w:lineRule="auto"/>
        <w:ind w:firstLine="360"/>
        <w:jc w:val="both"/>
      </w:pPr>
    </w:p>
    <w:p>
      <w:pPr>
        <w:spacing w:line="360" w:lineRule="auto"/>
        <w:jc w:val="both"/>
      </w:pPr>
      <w:r>
        <w:rPr>
          <w:rFonts w:ascii="Book Antiqua" w:hAnsi="Book Antiqua" w:eastAsia="Book Antiqua" w:cs="Book Antiqua"/>
          <w:b/>
          <w:bCs/>
          <w:caps/>
          <w:color w:val="000000"/>
          <w:szCs w:val="18"/>
          <w:u w:val="single"/>
        </w:rPr>
        <w:t>MRI manifestations of adjacent or distant organ changes in T2DM with AP</w:t>
      </w:r>
    </w:p>
    <w:p>
      <w:pPr>
        <w:spacing w:line="360" w:lineRule="auto"/>
        <w:jc w:val="both"/>
        <w:rPr>
          <w:i/>
          <w:iCs/>
        </w:rPr>
      </w:pPr>
      <w:r>
        <w:rPr>
          <w:rFonts w:ascii="Book Antiqua" w:hAnsi="Book Antiqua" w:eastAsia="Book Antiqua" w:cs="Book Antiqua"/>
          <w:b/>
          <w:bCs/>
          <w:i/>
          <w:iCs/>
          <w:color w:val="000000"/>
          <w:szCs w:val="18"/>
        </w:rPr>
        <w:t>Liver injury</w:t>
      </w:r>
    </w:p>
    <w:p>
      <w:pPr>
        <w:spacing w:line="360" w:lineRule="auto"/>
        <w:jc w:val="both"/>
      </w:pPr>
      <w:r>
        <w:rPr>
          <w:rFonts w:ascii="Book Antiqua" w:hAnsi="Book Antiqua" w:eastAsia="Book Antiqua" w:cs="Book Antiqua"/>
          <w:color w:val="000000"/>
        </w:rPr>
        <w:t>We found that liver injury could occur in patients with AP, including local liver inflammation, apoptosis, hepatocyte necrosis, and metabolic disorders</w:t>
      </w:r>
      <w:r>
        <w:rPr>
          <w:rFonts w:ascii="Book Antiqua" w:hAnsi="Book Antiqua" w:eastAsia="Book Antiqua" w:cs="Book Antiqua"/>
          <w:color w:val="000000"/>
          <w:vertAlign w:val="superscript"/>
        </w:rPr>
        <w:t>[34]</w:t>
      </w:r>
      <w:r>
        <w:rPr>
          <w:rFonts w:ascii="Book Antiqua" w:hAnsi="Book Antiqua" w:eastAsia="Book Antiqua" w:cs="Book Antiqua"/>
          <w:color w:val="000000"/>
        </w:rPr>
        <w:t>. It may manifest as fatty liver (FL) on MRI (Figure 8). In a prior study, we found that FL on MRI occurred in a majority of patients with AP. The severity of the FL in MRI was related to the severity of the AP and to the serum triglyceride levels. Following the patient’s recovery, the FL on MRI could subside for both mild and severe AP patients</w:t>
      </w:r>
      <w:r>
        <w:rPr>
          <w:rFonts w:ascii="Book Antiqua" w:hAnsi="Book Antiqua" w:eastAsia="Book Antiqua" w:cs="Book Antiqua"/>
          <w:color w:val="000000"/>
          <w:vertAlign w:val="superscript"/>
        </w:rPr>
        <w:t>[35]</w:t>
      </w:r>
      <w:r>
        <w:rPr>
          <w:rFonts w:ascii="Book Antiqua" w:hAnsi="Book Antiqua" w:eastAsia="Book Antiqua" w:cs="Book Antiqua"/>
          <w:color w:val="000000"/>
        </w:rPr>
        <w:t>.</w:t>
      </w:r>
    </w:p>
    <w:p>
      <w:pPr>
        <w:spacing w:line="360" w:lineRule="auto"/>
        <w:jc w:val="both"/>
        <w:rPr>
          <w:rFonts w:ascii="Book Antiqua" w:hAnsi="Book Antiqua" w:eastAsia="Book Antiqua" w:cs="Book Antiqua"/>
          <w:b/>
          <w:bCs/>
          <w:color w:val="000000"/>
          <w:szCs w:val="18"/>
        </w:rPr>
      </w:pPr>
    </w:p>
    <w:p>
      <w:pPr>
        <w:spacing w:line="360" w:lineRule="auto"/>
        <w:jc w:val="both"/>
        <w:rPr>
          <w:i/>
          <w:iCs/>
        </w:rPr>
      </w:pPr>
      <w:r>
        <w:rPr>
          <w:rFonts w:ascii="Book Antiqua" w:hAnsi="Book Antiqua" w:eastAsia="Book Antiqua" w:cs="Book Antiqua"/>
          <w:b/>
          <w:bCs/>
          <w:i/>
          <w:iCs/>
          <w:color w:val="000000"/>
          <w:szCs w:val="18"/>
        </w:rPr>
        <w:t>Changes of renal and perirenal space</w:t>
      </w:r>
    </w:p>
    <w:p>
      <w:pPr>
        <w:spacing w:line="360" w:lineRule="auto"/>
        <w:jc w:val="both"/>
      </w:pPr>
      <w:r>
        <w:rPr>
          <w:rFonts w:ascii="Book Antiqua" w:hAnsi="Book Antiqua" w:eastAsia="Book Antiqua" w:cs="Book Antiqua"/>
          <w:color w:val="000000"/>
        </w:rPr>
        <w:t>Previous studies have found that renal dysfunction caused by AP rarely exhibits renal parenchymal abnormalities on MRI (including asymmetrical renal enhancement, abnormalities of the renal collecting system and renal vascular abnormalities). However, perirenal space involvement is much more common and includes renal fascia thickening, perirenal space stranding and patchy fluid collections in the perirenal space (Figure 9). The prevalence of perirenal space involvement in AP patients on MRI has a positive correlation with the severity of AP based on the MRSI</w:t>
      </w:r>
      <w:r>
        <w:rPr>
          <w:rFonts w:ascii="Book Antiqua" w:hAnsi="Book Antiqua" w:eastAsia="Book Antiqua" w:cs="Book Antiqua"/>
          <w:color w:val="000000"/>
          <w:vertAlign w:val="superscript"/>
        </w:rPr>
        <w:t>[36]</w:t>
      </w:r>
      <w:r>
        <w:rPr>
          <w:rFonts w:ascii="Book Antiqua" w:hAnsi="Book Antiqua" w:eastAsia="Book Antiqua" w:cs="Book Antiqua"/>
          <w:color w:val="000000"/>
        </w:rPr>
        <w:t>.</w:t>
      </w:r>
    </w:p>
    <w:p>
      <w:pPr>
        <w:spacing w:line="360" w:lineRule="auto"/>
        <w:ind w:firstLine="360"/>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szCs w:val="18"/>
        </w:rPr>
        <w:t>Overall, this paper demonstrates that the patients with T2DM have a higher prevalence of AP and more severe clinical manifestations, showing the MRI findings of AP in T2DM. Up to the present time, a host of researchers focused on the clinical manifestations of AP in patients with T2DM. However, there are currently few investigations on the imaging features. Further research can be done on the imaging characteristics of AP exacerbated by diabetes, as well as whether diabetic medical histories and their blood sugar levels linked to the AP severity or not. In the future, it is expected that artificial intelligence methods, such as radiomics and deep learning, may be added to this field to detect pancreatic complications, severity prediction, and prognosis evaluation in patients with T2DM.</w:t>
      </w:r>
    </w:p>
    <w:p>
      <w:pPr>
        <w:spacing w:line="360" w:lineRule="auto"/>
        <w:ind w:firstLine="360"/>
        <w:jc w:val="both"/>
      </w:pPr>
    </w:p>
    <w:p>
      <w:pPr>
        <w:spacing w:line="360" w:lineRule="auto"/>
        <w:jc w:val="both"/>
      </w:pPr>
      <w:r>
        <w:rPr>
          <w:rFonts w:ascii="Book Antiqua" w:hAnsi="Book Antiqua" w:eastAsia="Book Antiqua" w:cs="Book Antiqua"/>
          <w:b/>
          <w:color w:val="000000"/>
        </w:rPr>
        <w:t>REFERENCES</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Style w:val="12"/>
          <w:rFonts w:ascii="Book Antiqua" w:hAnsi="Book Antiqua"/>
        </w:rPr>
        <w:t xml:space="preserve"> </w:t>
      </w:r>
      <w:r>
        <w:rPr>
          <w:rFonts w:ascii="Book Antiqua" w:hAnsi="Book Antiqua"/>
          <w:b/>
          <w:bCs/>
        </w:rPr>
        <w:t>Yadav D</w:t>
      </w:r>
      <w:r>
        <w:rPr>
          <w:rFonts w:ascii="Book Antiqua" w:hAnsi="Book Antiqua"/>
        </w:rPr>
        <w:t>, Lowenfels AB. The epidemiology of pancreatitis and pancreatic cancer.</w:t>
      </w:r>
      <w:r>
        <w:rPr>
          <w:rStyle w:val="12"/>
          <w:rFonts w:ascii="Book Antiqua" w:hAnsi="Book Antiqua"/>
        </w:rPr>
        <w:t xml:space="preserve"> </w:t>
      </w:r>
      <w:r>
        <w:rPr>
          <w:rFonts w:ascii="Book Antiqua" w:hAnsi="Book Antiqua"/>
          <w:i/>
          <w:iCs/>
        </w:rPr>
        <w:t>Gastroenterology</w:t>
      </w:r>
      <w:r>
        <w:rPr>
          <w:rStyle w:val="12"/>
          <w:rFonts w:ascii="Book Antiqua" w:hAnsi="Book Antiqua"/>
        </w:rPr>
        <w:t xml:space="preserve"> </w:t>
      </w:r>
      <w:r>
        <w:rPr>
          <w:rFonts w:ascii="Book Antiqua" w:hAnsi="Book Antiqua"/>
        </w:rPr>
        <w:t>2013;</w:t>
      </w:r>
      <w:r>
        <w:rPr>
          <w:rStyle w:val="12"/>
          <w:rFonts w:ascii="Book Antiqua" w:hAnsi="Book Antiqua"/>
        </w:rPr>
        <w:t xml:space="preserve"> </w:t>
      </w:r>
      <w:r>
        <w:rPr>
          <w:rFonts w:ascii="Book Antiqua" w:hAnsi="Book Antiqua"/>
          <w:b/>
          <w:bCs/>
        </w:rPr>
        <w:t>144</w:t>
      </w:r>
      <w:r>
        <w:rPr>
          <w:rFonts w:ascii="Book Antiqua" w:hAnsi="Book Antiqua"/>
        </w:rPr>
        <w:t>: 1252-1261 [PMID: 23622135 DOI: 10.1053/j.gastro.2013.01.068]</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Style w:val="12"/>
          <w:rFonts w:ascii="Book Antiqua" w:hAnsi="Book Antiqua"/>
        </w:rPr>
        <w:t xml:space="preserve"> </w:t>
      </w:r>
      <w:r>
        <w:rPr>
          <w:rFonts w:ascii="Book Antiqua" w:hAnsi="Book Antiqua"/>
          <w:b/>
          <w:bCs/>
        </w:rPr>
        <w:t>Petrov MS</w:t>
      </w:r>
      <w:r>
        <w:rPr>
          <w:rFonts w:ascii="Book Antiqua" w:hAnsi="Book Antiqua"/>
        </w:rPr>
        <w:t>, Yadav D. Global epidemiology and holistic prevention of pancreatitis.</w:t>
      </w:r>
      <w:r>
        <w:rPr>
          <w:rStyle w:val="12"/>
          <w:rFonts w:ascii="Book Antiqua" w:hAnsi="Book Antiqua"/>
        </w:rPr>
        <w:t xml:space="preserve"> </w:t>
      </w:r>
      <w:r>
        <w:rPr>
          <w:rFonts w:ascii="Book Antiqua" w:hAnsi="Book Antiqua"/>
          <w:i/>
          <w:iCs/>
        </w:rPr>
        <w:t>Nat Rev Gastroenterol Hepatol</w:t>
      </w:r>
      <w:r>
        <w:rPr>
          <w:rStyle w:val="12"/>
          <w:rFonts w:ascii="Book Antiqua" w:hAnsi="Book Antiqua"/>
        </w:rPr>
        <w:t xml:space="preserve"> </w:t>
      </w:r>
      <w:r>
        <w:rPr>
          <w:rFonts w:ascii="Book Antiqua" w:hAnsi="Book Antiqua"/>
        </w:rPr>
        <w:t>2019;</w:t>
      </w:r>
      <w:r>
        <w:rPr>
          <w:rStyle w:val="12"/>
          <w:rFonts w:ascii="Book Antiqua" w:hAnsi="Book Antiqua"/>
        </w:rPr>
        <w:t xml:space="preserve"> </w:t>
      </w:r>
      <w:r>
        <w:rPr>
          <w:rFonts w:ascii="Book Antiqua" w:hAnsi="Book Antiqua"/>
          <w:b/>
          <w:bCs/>
        </w:rPr>
        <w:t>16</w:t>
      </w:r>
      <w:r>
        <w:rPr>
          <w:rFonts w:ascii="Book Antiqua" w:hAnsi="Book Antiqua"/>
        </w:rPr>
        <w:t>: 175-184 [PMID: 30482911 DOI: 10.1038/s41575-018-0087-5]</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Style w:val="12"/>
          <w:rFonts w:ascii="Book Antiqua" w:hAnsi="Book Antiqua"/>
        </w:rPr>
        <w:t xml:space="preserve"> </w:t>
      </w:r>
      <w:r>
        <w:rPr>
          <w:rFonts w:ascii="Book Antiqua" w:hAnsi="Book Antiqua"/>
          <w:b/>
          <w:bCs/>
        </w:rPr>
        <w:t>Banks PA</w:t>
      </w:r>
      <w:r>
        <w:rPr>
          <w:rFonts w:ascii="Book Antiqua" w:hAnsi="Book Antiqua"/>
        </w:rPr>
        <w:t>, Bollen TL, Dervenis C, Gooszen HG, Johnson CD, Sarr MG, Tsiotos GG, Vege SS; Acute Pancreatitis Classification Working Group. Classification of acute pancreatitis--2012: revision of the Atlanta classification and definitions by international consensus.</w:t>
      </w:r>
      <w:r>
        <w:rPr>
          <w:rStyle w:val="12"/>
          <w:rFonts w:ascii="Book Antiqua" w:hAnsi="Book Antiqua"/>
        </w:rPr>
        <w:t xml:space="preserve"> </w:t>
      </w:r>
      <w:r>
        <w:rPr>
          <w:rFonts w:ascii="Book Antiqua" w:hAnsi="Book Antiqua"/>
          <w:i/>
          <w:iCs/>
        </w:rPr>
        <w:t>Gut</w:t>
      </w:r>
      <w:r>
        <w:rPr>
          <w:rStyle w:val="12"/>
          <w:rFonts w:ascii="Book Antiqua" w:hAnsi="Book Antiqua"/>
        </w:rPr>
        <w:t xml:space="preserve"> </w:t>
      </w:r>
      <w:r>
        <w:rPr>
          <w:rFonts w:ascii="Book Antiqua" w:hAnsi="Book Antiqua"/>
        </w:rPr>
        <w:t>2013;</w:t>
      </w:r>
      <w:r>
        <w:rPr>
          <w:rStyle w:val="12"/>
          <w:rFonts w:ascii="Book Antiqua" w:hAnsi="Book Antiqua"/>
        </w:rPr>
        <w:t xml:space="preserve"> </w:t>
      </w:r>
      <w:r>
        <w:rPr>
          <w:rFonts w:ascii="Book Antiqua" w:hAnsi="Book Antiqua"/>
          <w:b/>
          <w:bCs/>
        </w:rPr>
        <w:t>62</w:t>
      </w:r>
      <w:r>
        <w:rPr>
          <w:rFonts w:ascii="Book Antiqua" w:hAnsi="Book Antiqua"/>
        </w:rPr>
        <w:t>: 102-111 [PMID: 23100216 DOI: 10.1136/gutjnl-2012-302779]</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Style w:val="12"/>
          <w:rFonts w:ascii="Book Antiqua" w:hAnsi="Book Antiqua"/>
        </w:rPr>
        <w:t xml:space="preserve"> </w:t>
      </w:r>
      <w:r>
        <w:rPr>
          <w:rFonts w:ascii="Book Antiqua" w:hAnsi="Book Antiqua"/>
          <w:b/>
          <w:bCs/>
        </w:rPr>
        <w:t>Xiao B</w:t>
      </w:r>
      <w:r>
        <w:rPr>
          <w:rFonts w:ascii="Book Antiqua" w:hAnsi="Book Antiqua"/>
        </w:rPr>
        <w:t>, Xu HB, Jiang ZQ, Hu JX, Yang GD. Acute Pancreatitis in Patients With a Medical History of Type 2 Diabetes Mellitus: Clinical Findings and Magnetic Resonance Imaging Characteristics.</w:t>
      </w:r>
      <w:r>
        <w:rPr>
          <w:rStyle w:val="12"/>
          <w:rFonts w:ascii="Book Antiqua" w:hAnsi="Book Antiqua"/>
        </w:rPr>
        <w:t xml:space="preserve"> </w:t>
      </w:r>
      <w:r>
        <w:rPr>
          <w:rFonts w:ascii="Book Antiqua" w:hAnsi="Book Antiqua"/>
          <w:i/>
          <w:iCs/>
        </w:rPr>
        <w:t>Pancreas</w:t>
      </w:r>
      <w:r>
        <w:rPr>
          <w:rStyle w:val="12"/>
          <w:rFonts w:ascii="Book Antiqua" w:hAnsi="Book Antiqua"/>
        </w:rPr>
        <w:t xml:space="preserve"> </w:t>
      </w:r>
      <w:r>
        <w:rPr>
          <w:rFonts w:ascii="Book Antiqua" w:hAnsi="Book Antiqua"/>
        </w:rPr>
        <w:t>2020;</w:t>
      </w:r>
      <w:r>
        <w:rPr>
          <w:rStyle w:val="12"/>
          <w:rFonts w:ascii="Book Antiqua" w:hAnsi="Book Antiqua"/>
        </w:rPr>
        <w:t xml:space="preserve"> </w:t>
      </w:r>
      <w:r>
        <w:rPr>
          <w:rFonts w:ascii="Book Antiqua" w:hAnsi="Book Antiqua"/>
          <w:b/>
          <w:bCs/>
        </w:rPr>
        <w:t>49</w:t>
      </w:r>
      <w:r>
        <w:rPr>
          <w:rFonts w:ascii="Book Antiqua" w:hAnsi="Book Antiqua"/>
        </w:rPr>
        <w:t>: 591-597 [PMID: 32282775 DOI: 10.1097/MPA.0000000000001530]</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Style w:val="12"/>
          <w:rFonts w:ascii="Book Antiqua" w:hAnsi="Book Antiqua"/>
        </w:rPr>
        <w:t xml:space="preserve"> </w:t>
      </w:r>
      <w:r>
        <w:rPr>
          <w:rFonts w:ascii="Book Antiqua" w:hAnsi="Book Antiqua"/>
          <w:b/>
          <w:bCs/>
        </w:rPr>
        <w:t>Zheng Y</w:t>
      </w:r>
      <w:r>
        <w:rPr>
          <w:rFonts w:ascii="Book Antiqua" w:hAnsi="Book Antiqua"/>
        </w:rPr>
        <w:t>, Ley SH, Hu FB. Global aetiology and epidemiology of type 2 diabetes mellitus and its complications.</w:t>
      </w:r>
      <w:r>
        <w:rPr>
          <w:rStyle w:val="12"/>
          <w:rFonts w:ascii="Book Antiqua" w:hAnsi="Book Antiqua"/>
        </w:rPr>
        <w:t xml:space="preserve"> </w:t>
      </w:r>
      <w:r>
        <w:rPr>
          <w:rFonts w:ascii="Book Antiqua" w:hAnsi="Book Antiqua"/>
          <w:i/>
          <w:iCs/>
        </w:rPr>
        <w:t>Nat Rev Endocrinol</w:t>
      </w:r>
      <w:r>
        <w:rPr>
          <w:rStyle w:val="12"/>
          <w:rFonts w:ascii="Book Antiqua" w:hAnsi="Book Antiqua"/>
        </w:rPr>
        <w:t xml:space="preserve"> </w:t>
      </w:r>
      <w:r>
        <w:rPr>
          <w:rFonts w:ascii="Book Antiqua" w:hAnsi="Book Antiqua"/>
        </w:rPr>
        <w:t>2018;</w:t>
      </w:r>
      <w:r>
        <w:rPr>
          <w:rStyle w:val="12"/>
          <w:rFonts w:ascii="Book Antiqua" w:hAnsi="Book Antiqua"/>
        </w:rPr>
        <w:t xml:space="preserve"> </w:t>
      </w:r>
      <w:r>
        <w:rPr>
          <w:rFonts w:ascii="Book Antiqua" w:hAnsi="Book Antiqua"/>
          <w:b/>
          <w:bCs/>
        </w:rPr>
        <w:t>14</w:t>
      </w:r>
      <w:r>
        <w:rPr>
          <w:rFonts w:ascii="Book Antiqua" w:hAnsi="Book Antiqua"/>
        </w:rPr>
        <w:t>: 88-98 [PMID: 29219149 DOI: 10.1038/nrendo.2017.151]</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Style w:val="12"/>
          <w:rFonts w:ascii="Book Antiqua" w:hAnsi="Book Antiqua"/>
        </w:rPr>
        <w:t xml:space="preserve"> </w:t>
      </w:r>
      <w:r>
        <w:rPr>
          <w:rFonts w:ascii="Book Antiqua" w:hAnsi="Book Antiqua"/>
          <w:b/>
          <w:bCs/>
        </w:rPr>
        <w:t>Heald AH</w:t>
      </w:r>
      <w:r>
        <w:rPr>
          <w:rFonts w:ascii="Book Antiqua" w:hAnsi="Book Antiqua"/>
        </w:rPr>
        <w:t>, Stedman M, Davies M, Livingston M, Alshames R, Lunt M, Rayman G, Gadsby R. Estimating life years lost to diabetes: outcomes from analysis of National Diabetes Audit and Office of National Statistics data.</w:t>
      </w:r>
      <w:r>
        <w:rPr>
          <w:rStyle w:val="12"/>
          <w:rFonts w:ascii="Book Antiqua" w:hAnsi="Book Antiqua"/>
        </w:rPr>
        <w:t xml:space="preserve"> </w:t>
      </w:r>
      <w:r>
        <w:rPr>
          <w:rFonts w:ascii="Book Antiqua" w:hAnsi="Book Antiqua"/>
          <w:i/>
          <w:iCs/>
        </w:rPr>
        <w:t>Cardiovasc Endocrinol Metab</w:t>
      </w:r>
      <w:r>
        <w:rPr>
          <w:rStyle w:val="12"/>
          <w:rFonts w:ascii="Book Antiqua" w:hAnsi="Book Antiqua"/>
        </w:rPr>
        <w:t xml:space="preserve"> </w:t>
      </w:r>
      <w:r>
        <w:rPr>
          <w:rFonts w:ascii="Book Antiqua" w:hAnsi="Book Antiqua"/>
        </w:rPr>
        <w:t>2020;</w:t>
      </w:r>
      <w:r>
        <w:rPr>
          <w:rStyle w:val="12"/>
          <w:rFonts w:ascii="Book Antiqua" w:hAnsi="Book Antiqua"/>
        </w:rPr>
        <w:t xml:space="preserve"> </w:t>
      </w:r>
      <w:r>
        <w:rPr>
          <w:rFonts w:ascii="Book Antiqua" w:hAnsi="Book Antiqua"/>
          <w:b/>
          <w:bCs/>
        </w:rPr>
        <w:t>9</w:t>
      </w:r>
      <w:r>
        <w:rPr>
          <w:rFonts w:ascii="Book Antiqua" w:hAnsi="Book Antiqua"/>
        </w:rPr>
        <w:t>: 183-185 [PMID: 33225235 DOI: 10.1097/XCE.0000000000000210]</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Style w:val="12"/>
          <w:rFonts w:ascii="Book Antiqua" w:hAnsi="Book Antiqua"/>
        </w:rPr>
        <w:t xml:space="preserve"> </w:t>
      </w:r>
      <w:r>
        <w:rPr>
          <w:rFonts w:ascii="Book Antiqua" w:hAnsi="Book Antiqua"/>
          <w:b/>
          <w:bCs/>
        </w:rPr>
        <w:t>Sun H</w:t>
      </w:r>
      <w:r>
        <w:rPr>
          <w:rFonts w:ascii="Book Antiqua" w:hAnsi="Book Antiqua"/>
        </w:rPr>
        <w:t>, Saeedi P, Karuranga S, Pinkepank M, Ogurtsova K, Duncan BB, Stein C, Basit A, Chan JCN, Mbanya JC, Pavkov ME, Ramachandaran A, Wild SH, James S, Herman WH, Zhang P, Bommer C, Kuo S, Boyko EJ, Magliano DJ. IDF Diabetes Atlas: Global, regional and country-level diabetes prevalence estimates for 2021 and projections for 2045.</w:t>
      </w:r>
      <w:r>
        <w:rPr>
          <w:rStyle w:val="12"/>
          <w:rFonts w:ascii="Book Antiqua" w:hAnsi="Book Antiqua"/>
        </w:rPr>
        <w:t xml:space="preserve"> </w:t>
      </w:r>
      <w:r>
        <w:rPr>
          <w:rFonts w:ascii="Book Antiqua" w:hAnsi="Book Antiqua"/>
          <w:i/>
          <w:iCs/>
        </w:rPr>
        <w:t>Diabetes Res Clin Pract</w:t>
      </w:r>
      <w:r>
        <w:rPr>
          <w:rStyle w:val="12"/>
          <w:rFonts w:ascii="Book Antiqua" w:hAnsi="Book Antiqua"/>
        </w:rPr>
        <w:t xml:space="preserve"> </w:t>
      </w:r>
      <w:r>
        <w:rPr>
          <w:rFonts w:ascii="Book Antiqua" w:hAnsi="Book Antiqua"/>
        </w:rPr>
        <w:t>2022;</w:t>
      </w:r>
      <w:r>
        <w:rPr>
          <w:rStyle w:val="12"/>
          <w:rFonts w:ascii="Book Antiqua" w:hAnsi="Book Antiqua"/>
        </w:rPr>
        <w:t xml:space="preserve"> </w:t>
      </w:r>
      <w:r>
        <w:rPr>
          <w:rFonts w:ascii="Book Antiqua" w:hAnsi="Book Antiqua"/>
          <w:b/>
          <w:bCs/>
        </w:rPr>
        <w:t>183</w:t>
      </w:r>
      <w:r>
        <w:rPr>
          <w:rFonts w:ascii="Book Antiqua" w:hAnsi="Book Antiqua"/>
        </w:rPr>
        <w:t>: 109119 [PMID: 34879977 DOI: 10.1016/j.diabres.2021.109119]</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Style w:val="12"/>
          <w:rFonts w:ascii="Book Antiqua" w:hAnsi="Book Antiqua"/>
        </w:rPr>
        <w:t xml:space="preserve"> </w:t>
      </w:r>
      <w:r>
        <w:rPr>
          <w:rFonts w:ascii="Book Antiqua" w:hAnsi="Book Antiqua"/>
          <w:b/>
          <w:bCs/>
        </w:rPr>
        <w:t>Urushihara H</w:t>
      </w:r>
      <w:r>
        <w:rPr>
          <w:rFonts w:ascii="Book Antiqua" w:hAnsi="Book Antiqua"/>
        </w:rPr>
        <w:t>, Taketsuna M, Liu Y, Oda E, Nakamura M, Nishiuma S, Maeda R. Increased risk of acute pancreatitis in patients with type 2 diabetes: an observational study using a Japanese hospital database.</w:t>
      </w:r>
      <w:r>
        <w:rPr>
          <w:rStyle w:val="12"/>
          <w:rFonts w:ascii="Book Antiqua" w:hAnsi="Book Antiqua"/>
        </w:rPr>
        <w:t xml:space="preserve"> </w:t>
      </w:r>
      <w:r>
        <w:rPr>
          <w:rFonts w:ascii="Book Antiqua" w:hAnsi="Book Antiqua"/>
          <w:i/>
          <w:iCs/>
        </w:rPr>
        <w:t>PLoS One</w:t>
      </w:r>
      <w:r>
        <w:rPr>
          <w:rStyle w:val="12"/>
          <w:rFonts w:ascii="Book Antiqua" w:hAnsi="Book Antiqua"/>
        </w:rPr>
        <w:t xml:space="preserve"> </w:t>
      </w:r>
      <w:r>
        <w:rPr>
          <w:rFonts w:ascii="Book Antiqua" w:hAnsi="Book Antiqua"/>
        </w:rPr>
        <w:t>2012;</w:t>
      </w:r>
      <w:r>
        <w:rPr>
          <w:rStyle w:val="12"/>
          <w:rFonts w:ascii="Book Antiqua" w:hAnsi="Book Antiqua"/>
        </w:rPr>
        <w:t xml:space="preserve"> </w:t>
      </w:r>
      <w:r>
        <w:rPr>
          <w:rFonts w:ascii="Book Antiqua" w:hAnsi="Book Antiqua"/>
          <w:b/>
          <w:bCs/>
        </w:rPr>
        <w:t>7</w:t>
      </w:r>
      <w:r>
        <w:rPr>
          <w:rFonts w:ascii="Book Antiqua" w:hAnsi="Book Antiqua"/>
        </w:rPr>
        <w:t>: e53224 [PMID: 23300896 DOI: 10.1371/journal.pone.0053224]</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Style w:val="12"/>
          <w:rFonts w:ascii="Book Antiqua" w:hAnsi="Book Antiqua"/>
        </w:rPr>
        <w:t xml:space="preserve"> </w:t>
      </w:r>
      <w:r>
        <w:rPr>
          <w:rFonts w:ascii="Book Antiqua" w:hAnsi="Book Antiqua"/>
          <w:b/>
          <w:bCs/>
        </w:rPr>
        <w:t>Yang L</w:t>
      </w:r>
      <w:r>
        <w:rPr>
          <w:rFonts w:ascii="Book Antiqua" w:hAnsi="Book Antiqua"/>
        </w:rPr>
        <w:t>, He Z, Tang X, Liu J. Type 2 diabetes mellitus and the risk of acute pancreatitis: a meta-analysis.</w:t>
      </w:r>
      <w:r>
        <w:rPr>
          <w:rStyle w:val="12"/>
          <w:rFonts w:ascii="Book Antiqua" w:hAnsi="Book Antiqua"/>
        </w:rPr>
        <w:t xml:space="preserve"> </w:t>
      </w:r>
      <w:r>
        <w:rPr>
          <w:rFonts w:ascii="Book Antiqua" w:hAnsi="Book Antiqua"/>
          <w:i/>
          <w:iCs/>
        </w:rPr>
        <w:t>Eur J Gastroenterol Hepatol</w:t>
      </w:r>
      <w:r>
        <w:rPr>
          <w:rStyle w:val="12"/>
          <w:rFonts w:ascii="Book Antiqua" w:hAnsi="Book Antiqua"/>
        </w:rPr>
        <w:t xml:space="preserve"> </w:t>
      </w:r>
      <w:r>
        <w:rPr>
          <w:rFonts w:ascii="Book Antiqua" w:hAnsi="Book Antiqua"/>
        </w:rPr>
        <w:t>2013;</w:t>
      </w:r>
      <w:r>
        <w:rPr>
          <w:rStyle w:val="12"/>
          <w:rFonts w:ascii="Book Antiqua" w:hAnsi="Book Antiqua"/>
        </w:rPr>
        <w:t xml:space="preserve"> </w:t>
      </w:r>
      <w:r>
        <w:rPr>
          <w:rFonts w:ascii="Book Antiqua" w:hAnsi="Book Antiqua"/>
          <w:b/>
          <w:bCs/>
        </w:rPr>
        <w:t>25</w:t>
      </w:r>
      <w:r>
        <w:rPr>
          <w:rFonts w:ascii="Book Antiqua" w:hAnsi="Book Antiqua"/>
        </w:rPr>
        <w:t>: 225-231 [PMID: 23269036 DOI: 10.1097/MEG.0b013e32835af154]</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Style w:val="12"/>
          <w:rFonts w:ascii="Book Antiqua" w:hAnsi="Book Antiqua"/>
        </w:rPr>
        <w:t xml:space="preserve"> </w:t>
      </w:r>
      <w:r>
        <w:rPr>
          <w:rFonts w:ascii="Book Antiqua" w:hAnsi="Book Antiqua"/>
          <w:b/>
          <w:bCs/>
        </w:rPr>
        <w:t>Albai O</w:t>
      </w:r>
      <w:r>
        <w:rPr>
          <w:rFonts w:ascii="Book Antiqua" w:hAnsi="Book Antiqua"/>
        </w:rPr>
        <w:t>, Roman D, Frandes M. Hypertriglyceridemia, an important and independent risk factor for acute pancreatitis in patients with type 2 diabetes mellitus.</w:t>
      </w:r>
      <w:r>
        <w:rPr>
          <w:rStyle w:val="12"/>
          <w:rFonts w:ascii="Book Antiqua" w:hAnsi="Book Antiqua"/>
        </w:rPr>
        <w:t xml:space="preserve"> </w:t>
      </w:r>
      <w:r>
        <w:rPr>
          <w:rFonts w:ascii="Book Antiqua" w:hAnsi="Book Antiqua"/>
          <w:i/>
          <w:iCs/>
        </w:rPr>
        <w:t>Ther Clin Risk Manag</w:t>
      </w:r>
      <w:r>
        <w:rPr>
          <w:rStyle w:val="12"/>
          <w:rFonts w:ascii="Book Antiqua" w:hAnsi="Book Antiqua"/>
        </w:rPr>
        <w:t xml:space="preserve"> </w:t>
      </w:r>
      <w:r>
        <w:rPr>
          <w:rFonts w:ascii="Book Antiqua" w:hAnsi="Book Antiqua"/>
        </w:rPr>
        <w:t>2017;</w:t>
      </w:r>
      <w:r>
        <w:rPr>
          <w:rStyle w:val="12"/>
          <w:rFonts w:ascii="Book Antiqua" w:hAnsi="Book Antiqua"/>
        </w:rPr>
        <w:t xml:space="preserve"> </w:t>
      </w:r>
      <w:r>
        <w:rPr>
          <w:rFonts w:ascii="Book Antiqua" w:hAnsi="Book Antiqua"/>
          <w:b/>
          <w:bCs/>
        </w:rPr>
        <w:t>13</w:t>
      </w:r>
      <w:r>
        <w:rPr>
          <w:rFonts w:ascii="Book Antiqua" w:hAnsi="Book Antiqua"/>
        </w:rPr>
        <w:t>: 515-522 [PMID: 28450786 DOI: 10.2147/TCRM.S134560]</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Style w:val="12"/>
          <w:rFonts w:ascii="Book Antiqua" w:hAnsi="Book Antiqua"/>
        </w:rPr>
        <w:t xml:space="preserve"> </w:t>
      </w:r>
      <w:r>
        <w:rPr>
          <w:rFonts w:ascii="Book Antiqua" w:hAnsi="Book Antiqua"/>
          <w:b/>
          <w:bCs/>
        </w:rPr>
        <w:t>Monami M</w:t>
      </w:r>
      <w:r>
        <w:rPr>
          <w:rFonts w:ascii="Book Antiqua" w:hAnsi="Book Antiqua"/>
        </w:rPr>
        <w:t>, Nreu B, Scatena A, Cresci B, Andreozzi F, Sesti G, Mannucci E. Safety issues with glucagon-like peptide-1 receptor agonists (pancreatitis, pancreatic cancer and cholelithiasis): Data from randomized controlled trials.</w:t>
      </w:r>
      <w:r>
        <w:rPr>
          <w:rStyle w:val="12"/>
          <w:rFonts w:ascii="Book Antiqua" w:hAnsi="Book Antiqua"/>
        </w:rPr>
        <w:t xml:space="preserve"> </w:t>
      </w:r>
      <w:r>
        <w:rPr>
          <w:rFonts w:ascii="Book Antiqua" w:hAnsi="Book Antiqua"/>
          <w:i/>
          <w:iCs/>
        </w:rPr>
        <w:t>Diabetes Obes Metab</w:t>
      </w:r>
      <w:r>
        <w:rPr>
          <w:rStyle w:val="12"/>
          <w:rFonts w:ascii="Book Antiqua" w:hAnsi="Book Antiqua"/>
        </w:rPr>
        <w:t xml:space="preserve"> </w:t>
      </w:r>
      <w:r>
        <w:rPr>
          <w:rFonts w:ascii="Book Antiqua" w:hAnsi="Book Antiqua"/>
        </w:rPr>
        <w:t>2017;</w:t>
      </w:r>
      <w:r>
        <w:rPr>
          <w:rStyle w:val="12"/>
          <w:rFonts w:ascii="Book Antiqua" w:hAnsi="Book Antiqua"/>
        </w:rPr>
        <w:t xml:space="preserve"> </w:t>
      </w:r>
      <w:r>
        <w:rPr>
          <w:rFonts w:ascii="Book Antiqua" w:hAnsi="Book Antiqua"/>
          <w:b/>
          <w:bCs/>
        </w:rPr>
        <w:t>19</w:t>
      </w:r>
      <w:r>
        <w:rPr>
          <w:rFonts w:ascii="Book Antiqua" w:hAnsi="Book Antiqua"/>
        </w:rPr>
        <w:t>: 1233-1241 [PMID: 28244632 DOI: 10.1111/dom.12926]</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12</w:t>
      </w:r>
      <w:r>
        <w:rPr>
          <w:rStyle w:val="12"/>
          <w:rFonts w:ascii="Book Antiqua" w:hAnsi="Book Antiqua"/>
        </w:rPr>
        <w:t xml:space="preserve"> </w:t>
      </w:r>
      <w:r>
        <w:rPr>
          <w:rFonts w:ascii="Book Antiqua" w:hAnsi="Book Antiqua"/>
          <w:b/>
          <w:bCs/>
        </w:rPr>
        <w:t>Taskinen MR</w:t>
      </w:r>
      <w:r>
        <w:rPr>
          <w:rFonts w:ascii="Book Antiqua" w:hAnsi="Book Antiqua"/>
        </w:rPr>
        <w:t>. Diabetic dyslipidaemia: from basic research to clinical practice.</w:t>
      </w:r>
      <w:r>
        <w:rPr>
          <w:rStyle w:val="12"/>
          <w:rFonts w:ascii="Book Antiqua" w:hAnsi="Book Antiqua"/>
        </w:rPr>
        <w:t xml:space="preserve"> </w:t>
      </w:r>
      <w:r>
        <w:rPr>
          <w:rFonts w:ascii="Book Antiqua" w:hAnsi="Book Antiqua"/>
          <w:i/>
          <w:iCs/>
        </w:rPr>
        <w:t>Diabetologia</w:t>
      </w:r>
      <w:r>
        <w:rPr>
          <w:rStyle w:val="12"/>
          <w:rFonts w:ascii="Book Antiqua" w:hAnsi="Book Antiqua"/>
        </w:rPr>
        <w:t xml:space="preserve"> </w:t>
      </w:r>
      <w:r>
        <w:rPr>
          <w:rFonts w:ascii="Book Antiqua" w:hAnsi="Book Antiqua"/>
        </w:rPr>
        <w:t>2003;</w:t>
      </w:r>
      <w:r>
        <w:rPr>
          <w:rStyle w:val="12"/>
          <w:rFonts w:ascii="Book Antiqua" w:hAnsi="Book Antiqua"/>
        </w:rPr>
        <w:t xml:space="preserve"> </w:t>
      </w:r>
      <w:r>
        <w:rPr>
          <w:rFonts w:ascii="Book Antiqua" w:hAnsi="Book Antiqua"/>
          <w:b/>
          <w:bCs/>
        </w:rPr>
        <w:t>46</w:t>
      </w:r>
      <w:r>
        <w:rPr>
          <w:rFonts w:ascii="Book Antiqua" w:hAnsi="Book Antiqua"/>
        </w:rPr>
        <w:t>: 733-749 [PMID: 12774165 DOI: 10.1007/s00125-003-1111-y]</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13</w:t>
      </w:r>
      <w:r>
        <w:rPr>
          <w:rStyle w:val="12"/>
          <w:rFonts w:ascii="Book Antiqua" w:hAnsi="Book Antiqua"/>
        </w:rPr>
        <w:t xml:space="preserve"> </w:t>
      </w:r>
      <w:r>
        <w:rPr>
          <w:rFonts w:ascii="Book Antiqua" w:hAnsi="Book Antiqua"/>
          <w:b/>
          <w:bCs/>
        </w:rPr>
        <w:t>Huang DB</w:t>
      </w:r>
      <w:r>
        <w:rPr>
          <w:rFonts w:ascii="Book Antiqua" w:hAnsi="Book Antiqua"/>
        </w:rPr>
        <w:t>, Raskin P. Diabetic hypertriglyceridemia-induced acute pancreatitis masquerading as biliary pancreatitis.</w:t>
      </w:r>
      <w:r>
        <w:rPr>
          <w:rStyle w:val="12"/>
          <w:rFonts w:ascii="Book Antiqua" w:hAnsi="Book Antiqua"/>
        </w:rPr>
        <w:t xml:space="preserve"> </w:t>
      </w:r>
      <w:r>
        <w:rPr>
          <w:rFonts w:ascii="Book Antiqua" w:hAnsi="Book Antiqua"/>
          <w:i/>
          <w:iCs/>
        </w:rPr>
        <w:t>J Diabetes Complications</w:t>
      </w:r>
      <w:r>
        <w:rPr>
          <w:rStyle w:val="12"/>
          <w:rFonts w:ascii="Book Antiqua" w:hAnsi="Book Antiqua"/>
        </w:rPr>
        <w:t xml:space="preserve"> </w:t>
      </w:r>
      <w:r>
        <w:rPr>
          <w:rFonts w:ascii="Book Antiqua" w:hAnsi="Book Antiqua"/>
        </w:rPr>
        <w:t>2002;</w:t>
      </w:r>
      <w:r>
        <w:rPr>
          <w:rStyle w:val="12"/>
          <w:rFonts w:ascii="Book Antiqua" w:hAnsi="Book Antiqua"/>
        </w:rPr>
        <w:t xml:space="preserve"> </w:t>
      </w:r>
      <w:r>
        <w:rPr>
          <w:rFonts w:ascii="Book Antiqua" w:hAnsi="Book Antiqua"/>
          <w:b/>
          <w:bCs/>
        </w:rPr>
        <w:t>16</w:t>
      </w:r>
      <w:r>
        <w:rPr>
          <w:rFonts w:ascii="Book Antiqua" w:hAnsi="Book Antiqua"/>
        </w:rPr>
        <w:t>: 180-182 [PMID: 12039403 DOI: 10.1016/s1056-8727(01)00183-0]</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14</w:t>
      </w:r>
      <w:r>
        <w:rPr>
          <w:rStyle w:val="12"/>
          <w:rFonts w:ascii="Book Antiqua" w:hAnsi="Book Antiqua"/>
        </w:rPr>
        <w:t xml:space="preserve"> </w:t>
      </w:r>
      <w:r>
        <w:rPr>
          <w:rFonts w:ascii="Book Antiqua" w:hAnsi="Book Antiqua"/>
          <w:b/>
          <w:bCs/>
        </w:rPr>
        <w:t>Tsuang W</w:t>
      </w:r>
      <w:r>
        <w:rPr>
          <w:rFonts w:ascii="Book Antiqua" w:hAnsi="Book Antiqua"/>
        </w:rPr>
        <w:t>, Navaneethan U, Ruiz L, Palascak JB, Gelrud A. Hypertriglyceridemic pancreatitis: presentation and management.</w:t>
      </w:r>
      <w:r>
        <w:rPr>
          <w:rStyle w:val="12"/>
          <w:rFonts w:ascii="Book Antiqua" w:hAnsi="Book Antiqua"/>
        </w:rPr>
        <w:t xml:space="preserve"> </w:t>
      </w:r>
      <w:r>
        <w:rPr>
          <w:rFonts w:ascii="Book Antiqua" w:hAnsi="Book Antiqua"/>
          <w:i/>
          <w:iCs/>
        </w:rPr>
        <w:t>Am J Gastroenterol</w:t>
      </w:r>
      <w:r>
        <w:rPr>
          <w:rStyle w:val="12"/>
          <w:rFonts w:ascii="Book Antiqua" w:hAnsi="Book Antiqua"/>
        </w:rPr>
        <w:t xml:space="preserve"> </w:t>
      </w:r>
      <w:r>
        <w:rPr>
          <w:rFonts w:ascii="Book Antiqua" w:hAnsi="Book Antiqua"/>
        </w:rPr>
        <w:t>2009;</w:t>
      </w:r>
      <w:r>
        <w:rPr>
          <w:rStyle w:val="12"/>
          <w:rFonts w:ascii="Book Antiqua" w:hAnsi="Book Antiqua"/>
        </w:rPr>
        <w:t xml:space="preserve"> </w:t>
      </w:r>
      <w:r>
        <w:rPr>
          <w:rFonts w:ascii="Book Antiqua" w:hAnsi="Book Antiqua"/>
          <w:b/>
          <w:bCs/>
        </w:rPr>
        <w:t>104</w:t>
      </w:r>
      <w:r>
        <w:rPr>
          <w:rFonts w:ascii="Book Antiqua" w:hAnsi="Book Antiqua"/>
        </w:rPr>
        <w:t>: 984-991 [PMID: 19293788 DOI: 10.1038/ajg.2009.27]</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15</w:t>
      </w:r>
      <w:r>
        <w:rPr>
          <w:rStyle w:val="12"/>
          <w:rFonts w:ascii="Book Antiqua" w:hAnsi="Book Antiqua"/>
        </w:rPr>
        <w:t xml:space="preserve"> </w:t>
      </w:r>
      <w:r>
        <w:rPr>
          <w:rFonts w:ascii="Book Antiqua" w:hAnsi="Book Antiqua"/>
          <w:b/>
          <w:bCs/>
        </w:rPr>
        <w:t>Khatua B</w:t>
      </w:r>
      <w:r>
        <w:rPr>
          <w:rFonts w:ascii="Book Antiqua" w:hAnsi="Book Antiqua"/>
        </w:rPr>
        <w:t>, El-Kurdi B, Singh VP. Obesity and pancreatitis.</w:t>
      </w:r>
      <w:r>
        <w:rPr>
          <w:rStyle w:val="12"/>
          <w:rFonts w:ascii="Book Antiqua" w:hAnsi="Book Antiqua"/>
        </w:rPr>
        <w:t xml:space="preserve"> </w:t>
      </w:r>
      <w:r>
        <w:rPr>
          <w:rFonts w:ascii="Book Antiqua" w:hAnsi="Book Antiqua"/>
          <w:i/>
          <w:iCs/>
        </w:rPr>
        <w:t>Curr Opin Gastroenterol</w:t>
      </w:r>
      <w:r>
        <w:rPr>
          <w:rStyle w:val="12"/>
          <w:rFonts w:ascii="Book Antiqua" w:hAnsi="Book Antiqua"/>
        </w:rPr>
        <w:t xml:space="preserve"> </w:t>
      </w:r>
      <w:r>
        <w:rPr>
          <w:rFonts w:ascii="Book Antiqua" w:hAnsi="Book Antiqua"/>
        </w:rPr>
        <w:t>2017;</w:t>
      </w:r>
      <w:r>
        <w:rPr>
          <w:rStyle w:val="12"/>
          <w:rFonts w:ascii="Book Antiqua" w:hAnsi="Book Antiqua"/>
        </w:rPr>
        <w:t xml:space="preserve"> </w:t>
      </w:r>
      <w:r>
        <w:rPr>
          <w:rFonts w:ascii="Book Antiqua" w:hAnsi="Book Antiqua"/>
          <w:b/>
          <w:bCs/>
        </w:rPr>
        <w:t>33</w:t>
      </w:r>
      <w:r>
        <w:rPr>
          <w:rFonts w:ascii="Book Antiqua" w:hAnsi="Book Antiqua"/>
        </w:rPr>
        <w:t>: 374-382 [PMID: 28719397 DOI: 10.1097/MOG.0000000000000386]</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16</w:t>
      </w:r>
      <w:r>
        <w:rPr>
          <w:rStyle w:val="12"/>
          <w:rFonts w:ascii="Book Antiqua" w:hAnsi="Book Antiqua"/>
        </w:rPr>
        <w:t xml:space="preserve"> </w:t>
      </w:r>
      <w:r>
        <w:rPr>
          <w:rFonts w:ascii="Book Antiqua" w:hAnsi="Book Antiqua"/>
          <w:b/>
          <w:bCs/>
        </w:rPr>
        <w:t>Figueiredo JC</w:t>
      </w:r>
      <w:r>
        <w:rPr>
          <w:rFonts w:ascii="Book Antiqua" w:hAnsi="Book Antiqua"/>
        </w:rPr>
        <w:t>, Haiman C, Porcel J, Buxbaum J, Stram D, Tambe N, Cozen W, Wilkens L, Le Marchand L, Setiawan VW. Sex and ethnic/racial-specific risk factors for gallbladder disease.</w:t>
      </w:r>
      <w:r>
        <w:rPr>
          <w:rStyle w:val="12"/>
          <w:rFonts w:ascii="Book Antiqua" w:hAnsi="Book Antiqua"/>
        </w:rPr>
        <w:t xml:space="preserve"> </w:t>
      </w:r>
      <w:r>
        <w:rPr>
          <w:rFonts w:ascii="Book Antiqua" w:hAnsi="Book Antiqua"/>
          <w:i/>
          <w:iCs/>
        </w:rPr>
        <w:t>BMC Gastroenterol</w:t>
      </w:r>
      <w:r>
        <w:rPr>
          <w:rStyle w:val="12"/>
          <w:rFonts w:ascii="Book Antiqua" w:hAnsi="Book Antiqua"/>
        </w:rPr>
        <w:t xml:space="preserve"> </w:t>
      </w:r>
      <w:r>
        <w:rPr>
          <w:rFonts w:ascii="Book Antiqua" w:hAnsi="Book Antiqua"/>
        </w:rPr>
        <w:t>2017;</w:t>
      </w:r>
      <w:r>
        <w:rPr>
          <w:rStyle w:val="12"/>
          <w:rFonts w:ascii="Book Antiqua" w:hAnsi="Book Antiqua"/>
        </w:rPr>
        <w:t xml:space="preserve"> </w:t>
      </w:r>
      <w:r>
        <w:rPr>
          <w:rFonts w:ascii="Book Antiqua" w:hAnsi="Book Antiqua"/>
          <w:b/>
          <w:bCs/>
        </w:rPr>
        <w:t>17</w:t>
      </w:r>
      <w:r>
        <w:rPr>
          <w:rFonts w:ascii="Book Antiqua" w:hAnsi="Book Antiqua"/>
        </w:rPr>
        <w:t>: 153 [PMID: 29221432 DOI: 10.1186/s12876-017-0678-6]</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17</w:t>
      </w:r>
      <w:r>
        <w:rPr>
          <w:rStyle w:val="12"/>
          <w:rFonts w:ascii="Book Antiqua" w:hAnsi="Book Antiqua"/>
        </w:rPr>
        <w:t xml:space="preserve"> </w:t>
      </w:r>
      <w:r>
        <w:rPr>
          <w:rFonts w:ascii="Book Antiqua" w:hAnsi="Book Antiqua"/>
          <w:b/>
          <w:bCs/>
        </w:rPr>
        <w:t>Sodhi JS</w:t>
      </w:r>
      <w:r>
        <w:rPr>
          <w:rFonts w:ascii="Book Antiqua" w:hAnsi="Book Antiqua"/>
        </w:rPr>
        <w:t>, Zargar SA, Khateeb S, Showkat A, Javid G, Laway BA, Parveen S, Khan BA, Yattoo GN, Shah A, Gulzar GM, Khan MA. Prevalence of gallstone disease in patients with type 2 diabetes and the risk factors in North Indian population: a case control study.</w:t>
      </w:r>
      <w:r>
        <w:rPr>
          <w:rStyle w:val="12"/>
          <w:rFonts w:ascii="Book Antiqua" w:hAnsi="Book Antiqua"/>
        </w:rPr>
        <w:t xml:space="preserve"> </w:t>
      </w:r>
      <w:r>
        <w:rPr>
          <w:rFonts w:ascii="Book Antiqua" w:hAnsi="Book Antiqua"/>
          <w:i/>
          <w:iCs/>
        </w:rPr>
        <w:t>Indian J Gastroenterol</w:t>
      </w:r>
      <w:r>
        <w:rPr>
          <w:rStyle w:val="12"/>
          <w:rFonts w:ascii="Book Antiqua" w:hAnsi="Book Antiqua"/>
        </w:rPr>
        <w:t xml:space="preserve"> </w:t>
      </w:r>
      <w:r>
        <w:rPr>
          <w:rFonts w:ascii="Book Antiqua" w:hAnsi="Book Antiqua"/>
        </w:rPr>
        <w:t>2014;</w:t>
      </w:r>
      <w:r>
        <w:rPr>
          <w:rStyle w:val="12"/>
          <w:rFonts w:ascii="Book Antiqua" w:hAnsi="Book Antiqua"/>
        </w:rPr>
        <w:t xml:space="preserve"> </w:t>
      </w:r>
      <w:r>
        <w:rPr>
          <w:rFonts w:ascii="Book Antiqua" w:hAnsi="Book Antiqua"/>
          <w:b/>
          <w:bCs/>
        </w:rPr>
        <w:t>33</w:t>
      </w:r>
      <w:r>
        <w:rPr>
          <w:rFonts w:ascii="Book Antiqua" w:hAnsi="Book Antiqua"/>
        </w:rPr>
        <w:t>: 507-511 [PMID: 25283265 DOI: 10.1007/s12664-014-0502-y]</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18</w:t>
      </w:r>
      <w:r>
        <w:rPr>
          <w:rStyle w:val="12"/>
          <w:rFonts w:ascii="Book Antiqua" w:hAnsi="Book Antiqua"/>
        </w:rPr>
        <w:t xml:space="preserve"> </w:t>
      </w:r>
      <w:r>
        <w:rPr>
          <w:rFonts w:ascii="Book Antiqua" w:hAnsi="Book Antiqua"/>
          <w:b/>
          <w:bCs/>
        </w:rPr>
        <w:t>Kim YJ</w:t>
      </w:r>
      <w:r>
        <w:rPr>
          <w:rFonts w:ascii="Book Antiqua" w:hAnsi="Book Antiqua"/>
        </w:rPr>
        <w:t>, Kim DB, Chung WC, Lee JM, Youn GJ, Jung YD, Choi S, Oh JH. Analysis of factors influencing survival in patients with severe acute pancreatitis.</w:t>
      </w:r>
      <w:r>
        <w:rPr>
          <w:rStyle w:val="12"/>
          <w:rFonts w:ascii="Book Antiqua" w:hAnsi="Book Antiqua"/>
        </w:rPr>
        <w:t xml:space="preserve"> </w:t>
      </w:r>
      <w:r>
        <w:rPr>
          <w:rFonts w:ascii="Book Antiqua" w:hAnsi="Book Antiqua"/>
          <w:i/>
          <w:iCs/>
        </w:rPr>
        <w:t>Scand J Gastroenterol</w:t>
      </w:r>
      <w:r>
        <w:rPr>
          <w:rStyle w:val="12"/>
          <w:rFonts w:ascii="Book Antiqua" w:hAnsi="Book Antiqua"/>
        </w:rPr>
        <w:t xml:space="preserve"> </w:t>
      </w:r>
      <w:r>
        <w:rPr>
          <w:rFonts w:ascii="Book Antiqua" w:hAnsi="Book Antiqua"/>
        </w:rPr>
        <w:t>2017;</w:t>
      </w:r>
      <w:r>
        <w:rPr>
          <w:rStyle w:val="12"/>
          <w:rFonts w:ascii="Book Antiqua" w:hAnsi="Book Antiqua"/>
        </w:rPr>
        <w:t xml:space="preserve"> </w:t>
      </w:r>
      <w:r>
        <w:rPr>
          <w:rFonts w:ascii="Book Antiqua" w:hAnsi="Book Antiqua"/>
          <w:b/>
          <w:bCs/>
        </w:rPr>
        <w:t>52</w:t>
      </w:r>
      <w:r>
        <w:rPr>
          <w:rFonts w:ascii="Book Antiqua" w:hAnsi="Book Antiqua"/>
        </w:rPr>
        <w:t>: 904-908 [PMID: 28388866 DOI: 10.1080/00365521.2017.1310291]</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19</w:t>
      </w:r>
      <w:r>
        <w:rPr>
          <w:rStyle w:val="12"/>
          <w:rFonts w:ascii="Book Antiqua" w:hAnsi="Book Antiqua"/>
        </w:rPr>
        <w:t xml:space="preserve"> </w:t>
      </w:r>
      <w:r>
        <w:rPr>
          <w:rFonts w:ascii="Book Antiqua" w:hAnsi="Book Antiqua"/>
          <w:b/>
          <w:bCs/>
        </w:rPr>
        <w:t>Solanki NS</w:t>
      </w:r>
      <w:r>
        <w:rPr>
          <w:rFonts w:ascii="Book Antiqua" w:hAnsi="Book Antiqua"/>
        </w:rPr>
        <w:t>, Barreto SG, Saccone GT. Acute pancreatitis due to diabetes: the role of hyperglycaemia and insulin resistance.</w:t>
      </w:r>
      <w:r>
        <w:rPr>
          <w:rStyle w:val="12"/>
          <w:rFonts w:ascii="Book Antiqua" w:hAnsi="Book Antiqua"/>
        </w:rPr>
        <w:t xml:space="preserve"> </w:t>
      </w:r>
      <w:r>
        <w:rPr>
          <w:rFonts w:ascii="Book Antiqua" w:hAnsi="Book Antiqua"/>
          <w:i/>
          <w:iCs/>
        </w:rPr>
        <w:t>Pancreatology</w:t>
      </w:r>
      <w:r>
        <w:rPr>
          <w:rStyle w:val="12"/>
          <w:rFonts w:ascii="Book Antiqua" w:hAnsi="Book Antiqua"/>
        </w:rPr>
        <w:t xml:space="preserve"> </w:t>
      </w:r>
      <w:r>
        <w:rPr>
          <w:rFonts w:ascii="Book Antiqua" w:hAnsi="Book Antiqua"/>
        </w:rPr>
        <w:t>2012;</w:t>
      </w:r>
      <w:r>
        <w:rPr>
          <w:rStyle w:val="12"/>
          <w:rFonts w:ascii="Book Antiqua" w:hAnsi="Book Antiqua"/>
        </w:rPr>
        <w:t xml:space="preserve"> </w:t>
      </w:r>
      <w:r>
        <w:rPr>
          <w:rFonts w:ascii="Book Antiqua" w:hAnsi="Book Antiqua"/>
          <w:b/>
          <w:bCs/>
        </w:rPr>
        <w:t>12</w:t>
      </w:r>
      <w:r>
        <w:rPr>
          <w:rFonts w:ascii="Book Antiqua" w:hAnsi="Book Antiqua"/>
        </w:rPr>
        <w:t>: 234-239 [PMID: 22687379 DOI: 10.1016/j.pan.2012.01.003]</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20</w:t>
      </w:r>
      <w:r>
        <w:rPr>
          <w:rStyle w:val="12"/>
          <w:rFonts w:ascii="Book Antiqua" w:hAnsi="Book Antiqua"/>
        </w:rPr>
        <w:t xml:space="preserve"> </w:t>
      </w:r>
      <w:r>
        <w:rPr>
          <w:rFonts w:ascii="Book Antiqua" w:hAnsi="Book Antiqua"/>
          <w:b/>
          <w:bCs/>
        </w:rPr>
        <w:t>Huh JH</w:t>
      </w:r>
      <w:r>
        <w:rPr>
          <w:rFonts w:ascii="Book Antiqua" w:hAnsi="Book Antiqua"/>
        </w:rPr>
        <w:t>, Jeon H, Park SM, Choi E, Lee GS, Kim JW, Lee KJ. Diabetes Mellitus is Associated With Mortality in Acute Pancreatitis.</w:t>
      </w:r>
      <w:r>
        <w:rPr>
          <w:rStyle w:val="12"/>
          <w:rFonts w:ascii="Book Antiqua" w:hAnsi="Book Antiqua"/>
        </w:rPr>
        <w:t xml:space="preserve"> </w:t>
      </w:r>
      <w:r>
        <w:rPr>
          <w:rFonts w:ascii="Book Antiqua" w:hAnsi="Book Antiqua"/>
          <w:i/>
          <w:iCs/>
        </w:rPr>
        <w:t>J Clin Gastroenterol</w:t>
      </w:r>
      <w:r>
        <w:rPr>
          <w:rStyle w:val="12"/>
          <w:rFonts w:ascii="Book Antiqua" w:hAnsi="Book Antiqua"/>
        </w:rPr>
        <w:t xml:space="preserve"> </w:t>
      </w:r>
      <w:r>
        <w:rPr>
          <w:rFonts w:ascii="Book Antiqua" w:hAnsi="Book Antiqua"/>
        </w:rPr>
        <w:t>2018;</w:t>
      </w:r>
      <w:r>
        <w:rPr>
          <w:rStyle w:val="12"/>
          <w:rFonts w:ascii="Book Antiqua" w:hAnsi="Book Antiqua"/>
        </w:rPr>
        <w:t xml:space="preserve"> </w:t>
      </w:r>
      <w:r>
        <w:rPr>
          <w:rFonts w:ascii="Book Antiqua" w:hAnsi="Book Antiqua"/>
          <w:b/>
          <w:bCs/>
        </w:rPr>
        <w:t>52</w:t>
      </w:r>
      <w:r>
        <w:rPr>
          <w:rFonts w:ascii="Book Antiqua" w:hAnsi="Book Antiqua"/>
        </w:rPr>
        <w:t>: 178-183 [PMID: 28009683 DOI: 10.1097/MCG.0000000000000783]</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21</w:t>
      </w:r>
      <w:r>
        <w:rPr>
          <w:rStyle w:val="12"/>
          <w:rFonts w:ascii="Book Antiqua" w:hAnsi="Book Antiqua"/>
        </w:rPr>
        <w:t xml:space="preserve"> </w:t>
      </w:r>
      <w:r>
        <w:rPr>
          <w:rFonts w:ascii="Book Antiqua" w:hAnsi="Book Antiqua"/>
          <w:b/>
          <w:bCs/>
        </w:rPr>
        <w:t>Arvanitakis M</w:t>
      </w:r>
      <w:r>
        <w:rPr>
          <w:rFonts w:ascii="Book Antiqua" w:hAnsi="Book Antiqua"/>
        </w:rPr>
        <w:t>, Delhaye M, De Maertelaere V, Bali M, Winant C, Coppens E, Jeanmart J, Zalcman M, Van Gansbeke D, Devière J, Matos C. Computed tomography and magnetic resonance imaging in the assessment of acute pancreatitis.</w:t>
      </w:r>
      <w:r>
        <w:rPr>
          <w:rStyle w:val="12"/>
          <w:rFonts w:ascii="Book Antiqua" w:hAnsi="Book Antiqua"/>
        </w:rPr>
        <w:t xml:space="preserve"> </w:t>
      </w:r>
      <w:r>
        <w:rPr>
          <w:rFonts w:ascii="Book Antiqua" w:hAnsi="Book Antiqua"/>
          <w:i/>
          <w:iCs/>
        </w:rPr>
        <w:t>Gastroenterology</w:t>
      </w:r>
      <w:r>
        <w:rPr>
          <w:rStyle w:val="12"/>
          <w:rFonts w:ascii="Book Antiqua" w:hAnsi="Book Antiqua"/>
        </w:rPr>
        <w:t xml:space="preserve"> </w:t>
      </w:r>
      <w:r>
        <w:rPr>
          <w:rFonts w:ascii="Book Antiqua" w:hAnsi="Book Antiqua"/>
        </w:rPr>
        <w:t>2004;</w:t>
      </w:r>
      <w:r>
        <w:rPr>
          <w:rStyle w:val="12"/>
          <w:rFonts w:ascii="Book Antiqua" w:hAnsi="Book Antiqua"/>
        </w:rPr>
        <w:t xml:space="preserve"> </w:t>
      </w:r>
      <w:r>
        <w:rPr>
          <w:rFonts w:ascii="Book Antiqua" w:hAnsi="Book Antiqua"/>
          <w:b/>
          <w:bCs/>
        </w:rPr>
        <w:t>126</w:t>
      </w:r>
      <w:r>
        <w:rPr>
          <w:rFonts w:ascii="Book Antiqua" w:hAnsi="Book Antiqua"/>
        </w:rPr>
        <w:t>: 715-723 [PMID: 14988825 DOI: 10.1053/j.gastro.2003.12.006]</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22</w:t>
      </w:r>
      <w:r>
        <w:rPr>
          <w:rStyle w:val="12"/>
          <w:rFonts w:ascii="Book Antiqua" w:hAnsi="Book Antiqua"/>
        </w:rPr>
        <w:t xml:space="preserve"> </w:t>
      </w:r>
      <w:r>
        <w:rPr>
          <w:rFonts w:ascii="Book Antiqua" w:hAnsi="Book Antiqua"/>
          <w:b/>
          <w:bCs/>
        </w:rPr>
        <w:t>Haustein J</w:t>
      </w:r>
      <w:r>
        <w:rPr>
          <w:rFonts w:ascii="Book Antiqua" w:hAnsi="Book Antiqua"/>
        </w:rPr>
        <w:t>, Niendorf HP, Krestin G, Louton T, Schuhmann-Giampieri G, Clauss W, Junge W. Renal tolerance of gadolinium-DTPA/dimeglumine in patients with chronic renal failure.</w:t>
      </w:r>
      <w:r>
        <w:rPr>
          <w:rStyle w:val="12"/>
          <w:rFonts w:ascii="Book Antiqua" w:hAnsi="Book Antiqua"/>
        </w:rPr>
        <w:t xml:space="preserve"> </w:t>
      </w:r>
      <w:r>
        <w:rPr>
          <w:rFonts w:ascii="Book Antiqua" w:hAnsi="Book Antiqua"/>
          <w:i/>
          <w:iCs/>
        </w:rPr>
        <w:t>Invest Radiol</w:t>
      </w:r>
      <w:r>
        <w:rPr>
          <w:rStyle w:val="12"/>
          <w:rFonts w:ascii="Book Antiqua" w:hAnsi="Book Antiqua"/>
        </w:rPr>
        <w:t xml:space="preserve"> </w:t>
      </w:r>
      <w:r>
        <w:rPr>
          <w:rFonts w:ascii="Book Antiqua" w:hAnsi="Book Antiqua"/>
        </w:rPr>
        <w:t>1992;</w:t>
      </w:r>
      <w:r>
        <w:rPr>
          <w:rStyle w:val="12"/>
          <w:rFonts w:ascii="Book Antiqua" w:hAnsi="Book Antiqua"/>
        </w:rPr>
        <w:t xml:space="preserve"> </w:t>
      </w:r>
      <w:r>
        <w:rPr>
          <w:rFonts w:ascii="Book Antiqua" w:hAnsi="Book Antiqua"/>
          <w:b/>
          <w:bCs/>
        </w:rPr>
        <w:t>27</w:t>
      </w:r>
      <w:r>
        <w:rPr>
          <w:rFonts w:ascii="Book Antiqua" w:hAnsi="Book Antiqua"/>
        </w:rPr>
        <w:t>: 153-156 [PMID: 1601607 DOI: 10.1097/00004424-199202000-00012]</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23</w:t>
      </w:r>
      <w:r>
        <w:rPr>
          <w:rStyle w:val="12"/>
          <w:rFonts w:ascii="Book Antiqua" w:hAnsi="Book Antiqua"/>
        </w:rPr>
        <w:t xml:space="preserve"> </w:t>
      </w:r>
      <w:r>
        <w:rPr>
          <w:rFonts w:ascii="Book Antiqua" w:hAnsi="Book Antiqua"/>
          <w:b/>
          <w:bCs/>
        </w:rPr>
        <w:t>Sandrasegaran K</w:t>
      </w:r>
      <w:r>
        <w:rPr>
          <w:rFonts w:ascii="Book Antiqua" w:hAnsi="Book Antiqua"/>
        </w:rPr>
        <w:t>, Heller MT, Panda A, Shetty A, Menias CO. MRI in acute pancreatitis.</w:t>
      </w:r>
      <w:r>
        <w:rPr>
          <w:rStyle w:val="12"/>
          <w:rFonts w:ascii="Book Antiqua" w:hAnsi="Book Antiqua"/>
        </w:rPr>
        <w:t xml:space="preserve"> </w:t>
      </w:r>
      <w:r>
        <w:rPr>
          <w:rFonts w:ascii="Book Antiqua" w:hAnsi="Book Antiqua"/>
          <w:i/>
          <w:iCs/>
        </w:rPr>
        <w:t>Abdom Radiol (NY)</w:t>
      </w:r>
      <w:r>
        <w:rPr>
          <w:rStyle w:val="12"/>
          <w:rFonts w:ascii="Book Antiqua" w:hAnsi="Book Antiqua"/>
        </w:rPr>
        <w:t xml:space="preserve"> </w:t>
      </w:r>
      <w:r>
        <w:rPr>
          <w:rFonts w:ascii="Book Antiqua" w:hAnsi="Book Antiqua"/>
        </w:rPr>
        <w:t>2020;</w:t>
      </w:r>
      <w:r>
        <w:rPr>
          <w:rStyle w:val="12"/>
          <w:rFonts w:ascii="Book Antiqua" w:hAnsi="Book Antiqua"/>
        </w:rPr>
        <w:t xml:space="preserve"> </w:t>
      </w:r>
      <w:r>
        <w:rPr>
          <w:rFonts w:ascii="Book Antiqua" w:hAnsi="Book Antiqua"/>
          <w:b/>
          <w:bCs/>
        </w:rPr>
        <w:t>45</w:t>
      </w:r>
      <w:r>
        <w:rPr>
          <w:rFonts w:ascii="Book Antiqua" w:hAnsi="Book Antiqua"/>
        </w:rPr>
        <w:t>: 1232-1242 [PMID: 31346742 DOI: 10.1007/s00261-019-02141-w]</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24</w:t>
      </w:r>
      <w:r>
        <w:rPr>
          <w:rStyle w:val="12"/>
          <w:rFonts w:ascii="Book Antiqua" w:hAnsi="Book Antiqua"/>
        </w:rPr>
        <w:t xml:space="preserve"> </w:t>
      </w:r>
      <w:r>
        <w:rPr>
          <w:rFonts w:ascii="Book Antiqua" w:hAnsi="Book Antiqua"/>
          <w:b/>
          <w:bCs/>
        </w:rPr>
        <w:t>Kamal A</w:t>
      </w:r>
      <w:r>
        <w:rPr>
          <w:rFonts w:ascii="Book Antiqua" w:hAnsi="Book Antiqua"/>
        </w:rPr>
        <w:t>, Singh VK, Akshintala VS, Kawamoto S, Tsai S, Haider M, Fishman EK, Kamel IR, Zaheer A. CT and MRI assessment of symptomatic organized pancreatic fluid collections and pancreatic duct disruption: an interreader variability study using the revised Atlanta classification 2012.</w:t>
      </w:r>
      <w:r>
        <w:rPr>
          <w:rStyle w:val="12"/>
          <w:rFonts w:ascii="Book Antiqua" w:hAnsi="Book Antiqua"/>
        </w:rPr>
        <w:t xml:space="preserve"> </w:t>
      </w:r>
      <w:r>
        <w:rPr>
          <w:rFonts w:ascii="Book Antiqua" w:hAnsi="Book Antiqua"/>
          <w:i/>
          <w:iCs/>
        </w:rPr>
        <w:t>Abdom Imaging</w:t>
      </w:r>
      <w:r>
        <w:rPr>
          <w:rStyle w:val="12"/>
          <w:rFonts w:ascii="Book Antiqua" w:hAnsi="Book Antiqua"/>
        </w:rPr>
        <w:t xml:space="preserve"> </w:t>
      </w:r>
      <w:r>
        <w:rPr>
          <w:rFonts w:ascii="Book Antiqua" w:hAnsi="Book Antiqua"/>
        </w:rPr>
        <w:t>2015;</w:t>
      </w:r>
      <w:r>
        <w:rPr>
          <w:rStyle w:val="12"/>
          <w:rFonts w:ascii="Book Antiqua" w:hAnsi="Book Antiqua"/>
        </w:rPr>
        <w:t xml:space="preserve"> </w:t>
      </w:r>
      <w:r>
        <w:rPr>
          <w:rFonts w:ascii="Book Antiqua" w:hAnsi="Book Antiqua"/>
          <w:b/>
          <w:bCs/>
        </w:rPr>
        <w:t>40</w:t>
      </w:r>
      <w:r>
        <w:rPr>
          <w:rFonts w:ascii="Book Antiqua" w:hAnsi="Book Antiqua"/>
        </w:rPr>
        <w:t>: 1608-1616 [PMID: 25425489 DOI: 10.1007/s00261-014-0303-x]</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25</w:t>
      </w:r>
      <w:r>
        <w:rPr>
          <w:rStyle w:val="12"/>
          <w:rFonts w:ascii="Book Antiqua" w:hAnsi="Book Antiqua"/>
        </w:rPr>
        <w:t xml:space="preserve"> </w:t>
      </w:r>
      <w:r>
        <w:rPr>
          <w:rFonts w:ascii="Book Antiqua" w:hAnsi="Book Antiqua"/>
          <w:b/>
          <w:bCs/>
        </w:rPr>
        <w:t>Balthazar EJ</w:t>
      </w:r>
      <w:r>
        <w:rPr>
          <w:rFonts w:ascii="Book Antiqua" w:hAnsi="Book Antiqua"/>
        </w:rPr>
        <w:t>, Robinson DL, Megibow AJ, Ranson JH. Acute pancreatitis: value of CT in establishing prognosis.</w:t>
      </w:r>
      <w:r>
        <w:rPr>
          <w:rStyle w:val="12"/>
          <w:rFonts w:ascii="Book Antiqua" w:hAnsi="Book Antiqua"/>
        </w:rPr>
        <w:t xml:space="preserve"> </w:t>
      </w:r>
      <w:r>
        <w:rPr>
          <w:rFonts w:ascii="Book Antiqua" w:hAnsi="Book Antiqua"/>
          <w:i/>
          <w:iCs/>
        </w:rPr>
        <w:t>Radiology</w:t>
      </w:r>
      <w:r>
        <w:rPr>
          <w:rStyle w:val="12"/>
          <w:rFonts w:ascii="Book Antiqua" w:hAnsi="Book Antiqua"/>
        </w:rPr>
        <w:t xml:space="preserve"> </w:t>
      </w:r>
      <w:r>
        <w:rPr>
          <w:rFonts w:ascii="Book Antiqua" w:hAnsi="Book Antiqua"/>
        </w:rPr>
        <w:t>1990;</w:t>
      </w:r>
      <w:r>
        <w:rPr>
          <w:rStyle w:val="12"/>
          <w:rFonts w:ascii="Book Antiqua" w:hAnsi="Book Antiqua"/>
        </w:rPr>
        <w:t xml:space="preserve"> </w:t>
      </w:r>
      <w:r>
        <w:rPr>
          <w:rFonts w:ascii="Book Antiqua" w:hAnsi="Book Antiqua"/>
          <w:b/>
          <w:bCs/>
        </w:rPr>
        <w:t>174</w:t>
      </w:r>
      <w:r>
        <w:rPr>
          <w:rFonts w:ascii="Book Antiqua" w:hAnsi="Book Antiqua"/>
        </w:rPr>
        <w:t>: 331-336 [PMID: 2296641 DOI: 10.1148/radiology.174.2.2296641]</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26</w:t>
      </w:r>
      <w:r>
        <w:rPr>
          <w:rStyle w:val="12"/>
          <w:rFonts w:ascii="Book Antiqua" w:hAnsi="Book Antiqua"/>
        </w:rPr>
        <w:t xml:space="preserve"> </w:t>
      </w:r>
      <w:r>
        <w:rPr>
          <w:rFonts w:ascii="Book Antiqua" w:hAnsi="Book Antiqua"/>
          <w:b/>
          <w:bCs/>
        </w:rPr>
        <w:t>Xiao B</w:t>
      </w:r>
      <w:r>
        <w:rPr>
          <w:rFonts w:ascii="Book Antiqua" w:hAnsi="Book Antiqua"/>
        </w:rPr>
        <w:t>, Zhang XM, Tang W, Zeng NL, Zhai ZH. Magnetic resonance imaging for local complications of acute pancreatitis: a pictorial review.</w:t>
      </w:r>
      <w:r>
        <w:rPr>
          <w:rStyle w:val="12"/>
          <w:rFonts w:ascii="Book Antiqua" w:hAnsi="Book Antiqua"/>
        </w:rPr>
        <w:t xml:space="preserve"> </w:t>
      </w:r>
      <w:r>
        <w:rPr>
          <w:rFonts w:ascii="Book Antiqua" w:hAnsi="Book Antiqua"/>
          <w:i/>
          <w:iCs/>
        </w:rPr>
        <w:t>World J Gastroenterol</w:t>
      </w:r>
      <w:r>
        <w:rPr>
          <w:rFonts w:ascii="Book Antiqua" w:hAnsi="Book Antiqua"/>
        </w:rPr>
        <w:t>2010;</w:t>
      </w:r>
      <w:r>
        <w:rPr>
          <w:rStyle w:val="12"/>
          <w:rFonts w:ascii="Book Antiqua" w:hAnsi="Book Antiqua"/>
        </w:rPr>
        <w:t xml:space="preserve"> </w:t>
      </w:r>
      <w:r>
        <w:rPr>
          <w:rFonts w:ascii="Book Antiqua" w:hAnsi="Book Antiqua"/>
          <w:b/>
          <w:bCs/>
        </w:rPr>
        <w:t>16</w:t>
      </w:r>
      <w:r>
        <w:rPr>
          <w:rFonts w:ascii="Book Antiqua" w:hAnsi="Book Antiqua"/>
        </w:rPr>
        <w:t>: 2735-2742 [PMID: 20533593 DOI: 10.3748/wjg.v16.i22.2735]</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27</w:t>
      </w:r>
      <w:r>
        <w:rPr>
          <w:rStyle w:val="12"/>
          <w:rFonts w:ascii="Book Antiqua" w:hAnsi="Book Antiqua"/>
        </w:rPr>
        <w:t xml:space="preserve"> </w:t>
      </w:r>
      <w:r>
        <w:rPr>
          <w:rFonts w:ascii="Book Antiqua" w:hAnsi="Book Antiqua"/>
          <w:b/>
          <w:bCs/>
        </w:rPr>
        <w:t>Zhou T</w:t>
      </w:r>
      <w:r>
        <w:rPr>
          <w:rFonts w:ascii="Book Antiqua" w:hAnsi="Book Antiqua"/>
        </w:rPr>
        <w:t>, Chen Y, Wu JL, Deng Y, Zhang J, Sun H, Lan C, Zhang XM. Extrapancreatic Inflammation on Magnetic Resonance Imaging for the Early Prediction of Acute Pancreatitis Severity.</w:t>
      </w:r>
      <w:r>
        <w:rPr>
          <w:rStyle w:val="12"/>
          <w:rFonts w:ascii="Book Antiqua" w:hAnsi="Book Antiqua"/>
        </w:rPr>
        <w:t xml:space="preserve"> </w:t>
      </w:r>
      <w:r>
        <w:rPr>
          <w:rFonts w:ascii="Book Antiqua" w:hAnsi="Book Antiqua"/>
          <w:i/>
          <w:iCs/>
        </w:rPr>
        <w:t>Pancreas</w:t>
      </w:r>
      <w:r>
        <w:rPr>
          <w:rStyle w:val="12"/>
          <w:rFonts w:ascii="Book Antiqua" w:hAnsi="Book Antiqua"/>
        </w:rPr>
        <w:t xml:space="preserve"> </w:t>
      </w:r>
      <w:r>
        <w:rPr>
          <w:rFonts w:ascii="Book Antiqua" w:hAnsi="Book Antiqua"/>
        </w:rPr>
        <w:t>2020;</w:t>
      </w:r>
      <w:r>
        <w:rPr>
          <w:rStyle w:val="12"/>
          <w:rFonts w:ascii="Book Antiqua" w:hAnsi="Book Antiqua"/>
        </w:rPr>
        <w:t xml:space="preserve"> </w:t>
      </w:r>
      <w:r>
        <w:rPr>
          <w:rFonts w:ascii="Book Antiqua" w:hAnsi="Book Antiqua"/>
          <w:b/>
          <w:bCs/>
        </w:rPr>
        <w:t>49</w:t>
      </w:r>
      <w:r>
        <w:rPr>
          <w:rFonts w:ascii="Book Antiqua" w:hAnsi="Book Antiqua"/>
        </w:rPr>
        <w:t>: 46-52 [PMID: 31856079 DOI: 10.1097/MPA.0000000000001425]</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28</w:t>
      </w:r>
      <w:r>
        <w:rPr>
          <w:rStyle w:val="12"/>
          <w:rFonts w:ascii="Book Antiqua" w:hAnsi="Book Antiqua"/>
        </w:rPr>
        <w:t xml:space="preserve"> </w:t>
      </w:r>
      <w:r>
        <w:rPr>
          <w:rFonts w:ascii="Book Antiqua" w:hAnsi="Book Antiqua"/>
          <w:b/>
          <w:bCs/>
        </w:rPr>
        <w:t>Sugiyama M</w:t>
      </w:r>
      <w:r>
        <w:rPr>
          <w:rFonts w:ascii="Book Antiqua" w:hAnsi="Book Antiqua"/>
        </w:rPr>
        <w:t>, Haradome H, Atomi Y. Magnetic resonance imaging for diagnosing chronic pancreatitis.</w:t>
      </w:r>
      <w:r>
        <w:rPr>
          <w:rStyle w:val="12"/>
          <w:rFonts w:ascii="Book Antiqua" w:hAnsi="Book Antiqua"/>
        </w:rPr>
        <w:t xml:space="preserve"> </w:t>
      </w:r>
      <w:r>
        <w:rPr>
          <w:rFonts w:ascii="Book Antiqua" w:hAnsi="Book Antiqua"/>
          <w:i/>
          <w:iCs/>
        </w:rPr>
        <w:t>J Gastroenterol</w:t>
      </w:r>
      <w:r>
        <w:rPr>
          <w:rStyle w:val="12"/>
          <w:rFonts w:ascii="Book Antiqua" w:hAnsi="Book Antiqua"/>
        </w:rPr>
        <w:t xml:space="preserve"> </w:t>
      </w:r>
      <w:r>
        <w:rPr>
          <w:rFonts w:ascii="Book Antiqua" w:hAnsi="Book Antiqua"/>
        </w:rPr>
        <w:t>2007;</w:t>
      </w:r>
      <w:r>
        <w:rPr>
          <w:rStyle w:val="12"/>
          <w:rFonts w:ascii="Book Antiqua" w:hAnsi="Book Antiqua"/>
        </w:rPr>
        <w:t xml:space="preserve"> </w:t>
      </w:r>
      <w:r>
        <w:rPr>
          <w:rFonts w:ascii="Book Antiqua" w:hAnsi="Book Antiqua"/>
          <w:b/>
          <w:bCs/>
        </w:rPr>
        <w:t>42 Suppl 17</w:t>
      </w:r>
      <w:r>
        <w:rPr>
          <w:rFonts w:ascii="Book Antiqua" w:hAnsi="Book Antiqua"/>
        </w:rPr>
        <w:t>: 108-112 [PMID: 17238038 DOI: 10.1007/s00535-006-1923-x]</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29</w:t>
      </w:r>
      <w:r>
        <w:rPr>
          <w:rStyle w:val="12"/>
          <w:rFonts w:ascii="Book Antiqua" w:hAnsi="Book Antiqua"/>
        </w:rPr>
        <w:t xml:space="preserve"> </w:t>
      </w:r>
      <w:r>
        <w:rPr>
          <w:rFonts w:ascii="Book Antiqua" w:hAnsi="Book Antiqua"/>
          <w:b/>
          <w:bCs/>
        </w:rPr>
        <w:t>Bhatia H</w:t>
      </w:r>
      <w:r>
        <w:rPr>
          <w:rFonts w:ascii="Book Antiqua" w:hAnsi="Book Antiqua"/>
        </w:rPr>
        <w:t>, Yadav N, Gupta P. Radiological criteria for disconnected pancreatic duct syndrome: a targeted literature review.</w:t>
      </w:r>
      <w:r>
        <w:rPr>
          <w:rStyle w:val="12"/>
          <w:rFonts w:ascii="Book Antiqua" w:hAnsi="Book Antiqua"/>
        </w:rPr>
        <w:t xml:space="preserve"> </w:t>
      </w:r>
      <w:r>
        <w:rPr>
          <w:rFonts w:ascii="Book Antiqua" w:hAnsi="Book Antiqua"/>
          <w:i/>
          <w:iCs/>
        </w:rPr>
        <w:t>Expert Rev Gastroenterol Hepatol</w:t>
      </w:r>
      <w:r>
        <w:rPr>
          <w:rFonts w:ascii="Book Antiqua" w:hAnsi="Book Antiqua"/>
        </w:rPr>
        <w:t>2022;</w:t>
      </w:r>
      <w:r>
        <w:rPr>
          <w:rStyle w:val="12"/>
          <w:rFonts w:ascii="Book Antiqua" w:hAnsi="Book Antiqua"/>
        </w:rPr>
        <w:t xml:space="preserve"> </w:t>
      </w:r>
      <w:r>
        <w:rPr>
          <w:rFonts w:ascii="Book Antiqua" w:hAnsi="Book Antiqua"/>
          <w:b/>
          <w:bCs/>
        </w:rPr>
        <w:t>16</w:t>
      </w:r>
      <w:r>
        <w:rPr>
          <w:rFonts w:ascii="Book Antiqua" w:hAnsi="Book Antiqua"/>
        </w:rPr>
        <w:t>: 121-127 [PMID: 35051345 DOI: 10.1080/17474124.2022.2031978]</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30</w:t>
      </w:r>
      <w:r>
        <w:rPr>
          <w:rStyle w:val="12"/>
          <w:rFonts w:ascii="Book Antiqua" w:hAnsi="Book Antiqua"/>
        </w:rPr>
        <w:t xml:space="preserve"> </w:t>
      </w:r>
      <w:r>
        <w:rPr>
          <w:rFonts w:ascii="Book Antiqua" w:hAnsi="Book Antiqua"/>
          <w:b/>
          <w:bCs/>
        </w:rPr>
        <w:t>Drake LM</w:t>
      </w:r>
      <w:r>
        <w:rPr>
          <w:rFonts w:ascii="Book Antiqua" w:hAnsi="Book Antiqua"/>
        </w:rPr>
        <w:t>, Anis M, Lawrence C. Accuracy of magnetic resonance cholangiopancreatography in identifying pancreatic duct disruption.</w:t>
      </w:r>
      <w:r>
        <w:rPr>
          <w:rStyle w:val="12"/>
          <w:rFonts w:ascii="Book Antiqua" w:hAnsi="Book Antiqua"/>
        </w:rPr>
        <w:t xml:space="preserve"> </w:t>
      </w:r>
      <w:r>
        <w:rPr>
          <w:rFonts w:ascii="Book Antiqua" w:hAnsi="Book Antiqua"/>
          <w:i/>
          <w:iCs/>
        </w:rPr>
        <w:t>J Clin Gastroenterol</w:t>
      </w:r>
      <w:r>
        <w:rPr>
          <w:rStyle w:val="12"/>
          <w:rFonts w:ascii="Book Antiqua" w:hAnsi="Book Antiqua"/>
        </w:rPr>
        <w:t xml:space="preserve"> </w:t>
      </w:r>
      <w:r>
        <w:rPr>
          <w:rFonts w:ascii="Book Antiqua" w:hAnsi="Book Antiqua"/>
        </w:rPr>
        <w:t>2012;</w:t>
      </w:r>
      <w:r>
        <w:rPr>
          <w:rStyle w:val="12"/>
          <w:rFonts w:ascii="Book Antiqua" w:hAnsi="Book Antiqua"/>
        </w:rPr>
        <w:t xml:space="preserve"> </w:t>
      </w:r>
      <w:r>
        <w:rPr>
          <w:rFonts w:ascii="Book Antiqua" w:hAnsi="Book Antiqua"/>
          <w:b/>
          <w:bCs/>
        </w:rPr>
        <w:t>46</w:t>
      </w:r>
      <w:r>
        <w:rPr>
          <w:rFonts w:ascii="Book Antiqua" w:hAnsi="Book Antiqua"/>
        </w:rPr>
        <w:t>: 696-699 [PMID: 22565603 DOI: 10.1097/MCG.0b013e31825003b3]</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31</w:t>
      </w:r>
      <w:r>
        <w:rPr>
          <w:rStyle w:val="12"/>
          <w:rFonts w:ascii="Book Antiqua" w:hAnsi="Book Antiqua"/>
        </w:rPr>
        <w:t xml:space="preserve"> </w:t>
      </w:r>
      <w:r>
        <w:rPr>
          <w:rFonts w:ascii="Book Antiqua" w:hAnsi="Book Antiqua"/>
          <w:b/>
          <w:bCs/>
        </w:rPr>
        <w:t>Vanek P</w:t>
      </w:r>
      <w:r>
        <w:rPr>
          <w:rFonts w:ascii="Book Antiqua" w:hAnsi="Book Antiqua"/>
        </w:rPr>
        <w:t>, Urban O, Trikudanathan G, Freeman ML. Disconnected pancreatic duct syndrome in patients with necrotizing pancreatitis.</w:t>
      </w:r>
      <w:r>
        <w:rPr>
          <w:rStyle w:val="12"/>
          <w:rFonts w:ascii="Book Antiqua" w:hAnsi="Book Antiqua"/>
        </w:rPr>
        <w:t xml:space="preserve"> </w:t>
      </w:r>
      <w:r>
        <w:rPr>
          <w:rFonts w:ascii="Book Antiqua" w:hAnsi="Book Antiqua"/>
          <w:i/>
          <w:iCs/>
        </w:rPr>
        <w:t>Surg Open Sci</w:t>
      </w:r>
      <w:r>
        <w:rPr>
          <w:rStyle w:val="12"/>
          <w:rFonts w:ascii="Book Antiqua" w:hAnsi="Book Antiqua"/>
        </w:rPr>
        <w:t xml:space="preserve"> </w:t>
      </w:r>
      <w:r>
        <w:rPr>
          <w:rFonts w:ascii="Book Antiqua" w:hAnsi="Book Antiqua"/>
        </w:rPr>
        <w:t>2023;</w:t>
      </w:r>
      <w:r>
        <w:rPr>
          <w:rStyle w:val="12"/>
          <w:rFonts w:ascii="Book Antiqua" w:hAnsi="Book Antiqua"/>
        </w:rPr>
        <w:t xml:space="preserve"> </w:t>
      </w:r>
      <w:r>
        <w:rPr>
          <w:rFonts w:ascii="Book Antiqua" w:hAnsi="Book Antiqua"/>
          <w:b/>
          <w:bCs/>
        </w:rPr>
        <w:t>11</w:t>
      </w:r>
      <w:r>
        <w:rPr>
          <w:rFonts w:ascii="Book Antiqua" w:hAnsi="Book Antiqua"/>
        </w:rPr>
        <w:t>: 19-25 [PMID: 36438587 DOI: 10.1016/j.sopen.2022.10.009]</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32</w:t>
      </w:r>
      <w:r>
        <w:rPr>
          <w:rStyle w:val="12"/>
          <w:rFonts w:ascii="Book Antiqua" w:hAnsi="Book Antiqua"/>
        </w:rPr>
        <w:t xml:space="preserve"> </w:t>
      </w:r>
      <w:r>
        <w:rPr>
          <w:rFonts w:ascii="Book Antiqua" w:hAnsi="Book Antiqua"/>
          <w:b/>
          <w:bCs/>
        </w:rPr>
        <w:t>Xu Y</w:t>
      </w:r>
      <w:r>
        <w:rPr>
          <w:rFonts w:ascii="Book Antiqua" w:hAnsi="Book Antiqua"/>
        </w:rPr>
        <w:t>, Ye C, Tan B. Evaluation of Inflammatory Infiltration in the Retroperitoneal Space of Acute Pancreatitis Using Computer Tomography and Its Correlation with Clinical Severity.</w:t>
      </w:r>
      <w:r>
        <w:rPr>
          <w:rStyle w:val="12"/>
          <w:rFonts w:ascii="Book Antiqua" w:hAnsi="Book Antiqua"/>
        </w:rPr>
        <w:t xml:space="preserve"> </w:t>
      </w:r>
      <w:r>
        <w:rPr>
          <w:rFonts w:ascii="Book Antiqua" w:hAnsi="Book Antiqua"/>
          <w:i/>
          <w:iCs/>
        </w:rPr>
        <w:t>Contrast Media Mol Imaging</w:t>
      </w:r>
      <w:r>
        <w:rPr>
          <w:rStyle w:val="12"/>
          <w:rFonts w:ascii="Book Antiqua" w:hAnsi="Book Antiqua"/>
        </w:rPr>
        <w:t xml:space="preserve"> </w:t>
      </w:r>
      <w:r>
        <w:rPr>
          <w:rFonts w:ascii="Book Antiqua" w:hAnsi="Book Antiqua"/>
        </w:rPr>
        <w:t>2023;</w:t>
      </w:r>
      <w:r>
        <w:rPr>
          <w:rStyle w:val="12"/>
          <w:rFonts w:ascii="Book Antiqua" w:hAnsi="Book Antiqua"/>
        </w:rPr>
        <w:t xml:space="preserve"> </w:t>
      </w:r>
      <w:r>
        <w:rPr>
          <w:rFonts w:ascii="Book Antiqua" w:hAnsi="Book Antiqua"/>
          <w:b/>
          <w:bCs/>
        </w:rPr>
        <w:t>2023</w:t>
      </w:r>
      <w:r>
        <w:rPr>
          <w:rFonts w:ascii="Book Antiqua" w:hAnsi="Book Antiqua"/>
        </w:rPr>
        <w:t>: 7492293 [PMID: 37113247 DOI: 10.1155/2023/7492293]</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33</w:t>
      </w:r>
      <w:r>
        <w:rPr>
          <w:rStyle w:val="12"/>
          <w:rFonts w:ascii="Book Antiqua" w:hAnsi="Book Antiqua"/>
        </w:rPr>
        <w:t xml:space="preserve"> </w:t>
      </w:r>
      <w:r>
        <w:rPr>
          <w:rFonts w:ascii="Book Antiqua" w:hAnsi="Book Antiqua"/>
          <w:b/>
          <w:bCs/>
        </w:rPr>
        <w:t>Grassedonio E</w:t>
      </w:r>
      <w:r>
        <w:rPr>
          <w:rFonts w:ascii="Book Antiqua" w:hAnsi="Book Antiqua"/>
        </w:rPr>
        <w:t>, Toia P, La Grutta L, Palmucci S, Smeraldi T, Cutaia G, Albano D, Midiri F, Galia M, Midiri M. Role of computed tomography and magnetic resonance imaging in local complications of acute pancreatitis.</w:t>
      </w:r>
      <w:r>
        <w:rPr>
          <w:rStyle w:val="12"/>
          <w:rFonts w:ascii="Book Antiqua" w:hAnsi="Book Antiqua"/>
        </w:rPr>
        <w:t xml:space="preserve"> </w:t>
      </w:r>
      <w:r>
        <w:rPr>
          <w:rFonts w:ascii="Book Antiqua" w:hAnsi="Book Antiqua"/>
          <w:i/>
          <w:iCs/>
        </w:rPr>
        <w:t>Gland Surg</w:t>
      </w:r>
      <w:r>
        <w:rPr>
          <w:rStyle w:val="12"/>
          <w:rFonts w:ascii="Book Antiqua" w:hAnsi="Book Antiqua"/>
        </w:rPr>
        <w:t xml:space="preserve"> </w:t>
      </w:r>
      <w:r>
        <w:rPr>
          <w:rFonts w:ascii="Book Antiqua" w:hAnsi="Book Antiqua"/>
        </w:rPr>
        <w:t>2019;</w:t>
      </w:r>
      <w:r>
        <w:rPr>
          <w:rStyle w:val="12"/>
          <w:rFonts w:ascii="Book Antiqua" w:hAnsi="Book Antiqua"/>
        </w:rPr>
        <w:t xml:space="preserve"> </w:t>
      </w:r>
      <w:r>
        <w:rPr>
          <w:rFonts w:ascii="Book Antiqua" w:hAnsi="Book Antiqua"/>
          <w:b/>
          <w:bCs/>
        </w:rPr>
        <w:t>8</w:t>
      </w:r>
      <w:r>
        <w:rPr>
          <w:rFonts w:ascii="Book Antiqua" w:hAnsi="Book Antiqua"/>
        </w:rPr>
        <w:t>: 123-132 [PMID: 31183322 DOI: 10.21037/gs.2018.12.07]</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34</w:t>
      </w:r>
      <w:r>
        <w:rPr>
          <w:rStyle w:val="12"/>
          <w:rFonts w:ascii="Book Antiqua" w:hAnsi="Book Antiqua"/>
        </w:rPr>
        <w:t xml:space="preserve"> </w:t>
      </w:r>
      <w:r>
        <w:rPr>
          <w:rFonts w:ascii="Book Antiqua" w:hAnsi="Book Antiqua"/>
          <w:b/>
          <w:bCs/>
        </w:rPr>
        <w:t>Wang X</w:t>
      </w:r>
      <w:r>
        <w:rPr>
          <w:rFonts w:ascii="Book Antiqua" w:hAnsi="Book Antiqua"/>
        </w:rPr>
        <w:t>, Zhao X, Shi C, Börjesson A, Chen Z, Axelsson J, Zhao H, Andersson R. Potential mechanisms and significance of acute pancreatitis-associated liver injury.</w:t>
      </w:r>
      <w:r>
        <w:rPr>
          <w:rStyle w:val="12"/>
          <w:rFonts w:ascii="Book Antiqua" w:hAnsi="Book Antiqua"/>
        </w:rPr>
        <w:t xml:space="preserve"> </w:t>
      </w:r>
      <w:r>
        <w:rPr>
          <w:rFonts w:ascii="Book Antiqua" w:hAnsi="Book Antiqua"/>
          <w:i/>
          <w:iCs/>
        </w:rPr>
        <w:t>Scand J Gastroenterol</w:t>
      </w:r>
      <w:r>
        <w:rPr>
          <w:rStyle w:val="12"/>
          <w:rFonts w:ascii="Book Antiqua" w:hAnsi="Book Antiqua"/>
        </w:rPr>
        <w:t xml:space="preserve"> </w:t>
      </w:r>
      <w:r>
        <w:rPr>
          <w:rFonts w:ascii="Book Antiqua" w:hAnsi="Book Antiqua"/>
        </w:rPr>
        <w:t>2006;</w:t>
      </w:r>
      <w:r>
        <w:rPr>
          <w:rStyle w:val="12"/>
          <w:rFonts w:ascii="Book Antiqua" w:hAnsi="Book Antiqua"/>
        </w:rPr>
        <w:t xml:space="preserve"> </w:t>
      </w:r>
      <w:r>
        <w:rPr>
          <w:rFonts w:ascii="Book Antiqua" w:hAnsi="Book Antiqua"/>
          <w:b/>
          <w:bCs/>
        </w:rPr>
        <w:t>41</w:t>
      </w:r>
      <w:r>
        <w:rPr>
          <w:rFonts w:ascii="Book Antiqua" w:hAnsi="Book Antiqua"/>
        </w:rPr>
        <w:t>: 604-613 [PMID: 16638705 DOI: 10.1080/00365520500347105]</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35</w:t>
      </w:r>
      <w:r>
        <w:rPr>
          <w:rStyle w:val="12"/>
          <w:rFonts w:ascii="Book Antiqua" w:hAnsi="Book Antiqua"/>
        </w:rPr>
        <w:t xml:space="preserve"> </w:t>
      </w:r>
      <w:r>
        <w:rPr>
          <w:rFonts w:ascii="Book Antiqua" w:hAnsi="Book Antiqua"/>
          <w:b/>
          <w:bCs/>
        </w:rPr>
        <w:t>Xiao B</w:t>
      </w:r>
      <w:r>
        <w:rPr>
          <w:rFonts w:ascii="Book Antiqua" w:hAnsi="Book Antiqua"/>
        </w:rPr>
        <w:t>, Zhang XM, Jiang ZQ, Tang W, Huang XH, Yang L, Feng ZS. Fatty liver in acute pancreatitis: characteristics in magnetic resonance imaging.</w:t>
      </w:r>
      <w:r>
        <w:rPr>
          <w:rStyle w:val="12"/>
          <w:rFonts w:ascii="Book Antiqua" w:hAnsi="Book Antiqua"/>
        </w:rPr>
        <w:t xml:space="preserve"> </w:t>
      </w:r>
      <w:r>
        <w:rPr>
          <w:rFonts w:ascii="Book Antiqua" w:hAnsi="Book Antiqua"/>
          <w:i/>
          <w:iCs/>
        </w:rPr>
        <w:t>J Comput Assist Tomogr</w:t>
      </w:r>
      <w:r>
        <w:rPr>
          <w:rStyle w:val="12"/>
          <w:rFonts w:ascii="Book Antiqua" w:hAnsi="Book Antiqua"/>
        </w:rPr>
        <w:t xml:space="preserve"> </w:t>
      </w:r>
      <w:r>
        <w:rPr>
          <w:rFonts w:ascii="Book Antiqua" w:hAnsi="Book Antiqua"/>
        </w:rPr>
        <w:t>2012;</w:t>
      </w:r>
      <w:r>
        <w:rPr>
          <w:rStyle w:val="12"/>
          <w:rFonts w:ascii="Book Antiqua" w:hAnsi="Book Antiqua"/>
        </w:rPr>
        <w:t xml:space="preserve"> </w:t>
      </w:r>
      <w:r>
        <w:rPr>
          <w:rFonts w:ascii="Book Antiqua" w:hAnsi="Book Antiqua"/>
          <w:b/>
          <w:bCs/>
        </w:rPr>
        <w:t>36</w:t>
      </w:r>
      <w:r>
        <w:rPr>
          <w:rFonts w:ascii="Book Antiqua" w:hAnsi="Book Antiqua"/>
        </w:rPr>
        <w:t>: 400-405 [PMID: 22805667 DOI: 10.1097/RCT.0b013e31825977c2]</w:t>
      </w:r>
    </w:p>
    <w:p>
      <w:pPr>
        <w:pStyle w:val="6"/>
        <w:adjustRightInd w:val="0"/>
        <w:snapToGrid w:val="0"/>
        <w:spacing w:before="0" w:beforeAutospacing="0" w:after="0" w:afterAutospacing="0" w:line="360" w:lineRule="auto"/>
        <w:jc w:val="both"/>
        <w:rPr>
          <w:rFonts w:ascii="Book Antiqua" w:hAnsi="Book Antiqua"/>
        </w:rPr>
      </w:pPr>
      <w:r>
        <w:rPr>
          <w:rFonts w:ascii="Book Antiqua" w:hAnsi="Book Antiqua"/>
        </w:rPr>
        <w:t>36</w:t>
      </w:r>
      <w:r>
        <w:rPr>
          <w:rStyle w:val="12"/>
          <w:rFonts w:ascii="Book Antiqua" w:hAnsi="Book Antiqua"/>
        </w:rPr>
        <w:t xml:space="preserve"> </w:t>
      </w:r>
      <w:r>
        <w:rPr>
          <w:rFonts w:ascii="Book Antiqua" w:hAnsi="Book Antiqua"/>
          <w:b/>
          <w:bCs/>
        </w:rPr>
        <w:t>Li XH</w:t>
      </w:r>
      <w:r>
        <w:rPr>
          <w:rFonts w:ascii="Book Antiqua" w:hAnsi="Book Antiqua"/>
        </w:rPr>
        <w:t>, Zhang XM, Ji YF, Jing ZL, Huang XH, Yang L, Zhai ZH. Renal and perirenal space involvement in acute pancreatitis: An MRI study.</w:t>
      </w:r>
      <w:r>
        <w:rPr>
          <w:rStyle w:val="12"/>
          <w:rFonts w:ascii="Book Antiqua" w:hAnsi="Book Antiqua"/>
        </w:rPr>
        <w:t xml:space="preserve"> </w:t>
      </w:r>
      <w:r>
        <w:rPr>
          <w:rFonts w:ascii="Book Antiqua" w:hAnsi="Book Antiqua"/>
          <w:i/>
          <w:iCs/>
        </w:rPr>
        <w:t>Eur J Radiol</w:t>
      </w:r>
      <w:r>
        <w:rPr>
          <w:rStyle w:val="12"/>
          <w:rFonts w:ascii="Book Antiqua" w:hAnsi="Book Antiqua"/>
        </w:rPr>
        <w:t xml:space="preserve"> </w:t>
      </w:r>
      <w:r>
        <w:rPr>
          <w:rFonts w:ascii="Book Antiqua" w:hAnsi="Book Antiqua"/>
        </w:rPr>
        <w:t>2012;</w:t>
      </w:r>
      <w:r>
        <w:rPr>
          <w:rStyle w:val="12"/>
          <w:rFonts w:ascii="Book Antiqua" w:hAnsi="Book Antiqua"/>
        </w:rPr>
        <w:t xml:space="preserve"> </w:t>
      </w:r>
      <w:r>
        <w:rPr>
          <w:rFonts w:ascii="Book Antiqua" w:hAnsi="Book Antiqua"/>
          <w:b/>
          <w:bCs/>
        </w:rPr>
        <w:t>81</w:t>
      </w:r>
      <w:r>
        <w:rPr>
          <w:rFonts w:ascii="Book Antiqua" w:hAnsi="Book Antiqua"/>
        </w:rPr>
        <w:t>: e880-e887 [PMID: 22613509 DOI: 10.1016/j.ejrad.2012.04.032]</w:t>
      </w:r>
    </w:p>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rPr>
        <w:t xml:space="preserve">Conflict-of-interest statement: </w:t>
      </w:r>
      <w:r>
        <w:rPr>
          <w:rFonts w:ascii="Book Antiqua" w:hAnsi="Book Antiqua" w:eastAsia="Book Antiqua" w:cs="Book Antiqua"/>
        </w:rPr>
        <w:t>The authors declare that they have no conflicts-of-interest.</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rPr>
        <w:t>Invited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June 27, 2023</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July 6, 2023</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rPr>
        <w:t>September 19, 2023</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rPr>
        <w:t>Endocrinology and metabolism</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0</w:t>
      </w:r>
    </w:p>
    <w:p>
      <w:pPr>
        <w:spacing w:line="360" w:lineRule="auto"/>
        <w:jc w:val="both"/>
      </w:pPr>
      <w:r>
        <w:rPr>
          <w:rFonts w:ascii="Book Antiqua" w:hAnsi="Book Antiqua" w:eastAsia="Book Antiqua" w:cs="Book Antiqua"/>
        </w:rPr>
        <w:t>Grade C (Good): C</w:t>
      </w:r>
    </w:p>
    <w:p>
      <w:pPr>
        <w:spacing w:line="360" w:lineRule="auto"/>
        <w:jc w:val="both"/>
      </w:pPr>
      <w:r>
        <w:rPr>
          <w:rFonts w:ascii="Book Antiqua" w:hAnsi="Book Antiqua" w:eastAsia="Book Antiqua" w:cs="Book Antiqua"/>
        </w:rPr>
        <w:t>Grade D (Fair): D</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Kitamura K, Japan; Sanyal D, India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Zhang H</w:t>
      </w:r>
      <w:r>
        <w:rPr>
          <w:rFonts w:ascii="Book Antiqua" w:hAnsi="Book Antiqua" w:eastAsia="Book Antiqua" w:cs="Book Antiqua"/>
          <w:b/>
          <w:color w:val="000000"/>
        </w:rPr>
        <w:t xml:space="preserve"> L-Editor:</w:t>
      </w:r>
      <w:r>
        <w:rPr>
          <w:rFonts w:ascii="Book Antiqua" w:hAnsi="Book Antiqua"/>
          <w:color w:val="000000"/>
        </w:rPr>
        <w:t xml:space="preserve">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Cai YX</w:t>
      </w:r>
    </w:p>
    <w:p>
      <w:pPr>
        <w:spacing w:line="360" w:lineRule="auto"/>
        <w:jc w:val="both"/>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bCs/>
          <w:szCs w:val="18"/>
        </w:rPr>
      </w:pPr>
      <w:r>
        <w:rPr>
          <w:rFonts w:ascii="Book Antiqua" w:hAnsi="Book Antiqua" w:eastAsia="Book Antiqua" w:cs="Book Antiqua"/>
          <w:b/>
          <w:bCs/>
          <w:szCs w:val="18"/>
        </w:rPr>
        <w:drawing>
          <wp:inline distT="0" distB="0" distL="114300" distR="114300">
            <wp:extent cx="3851275" cy="1459230"/>
            <wp:effectExtent l="0" t="0" r="6350" b="7620"/>
            <wp:docPr id="1" name="图片 1" descr="WJCC-11-726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1-7268-g001"/>
                    <pic:cNvPicPr>
                      <a:picLocks noChangeAspect="1"/>
                    </pic:cNvPicPr>
                  </pic:nvPicPr>
                  <pic:blipFill>
                    <a:blip r:embed="rId5"/>
                    <a:stretch>
                      <a:fillRect/>
                    </a:stretch>
                  </pic:blipFill>
                  <pic:spPr>
                    <a:xfrm>
                      <a:off x="0" y="0"/>
                      <a:ext cx="3851275" cy="1459230"/>
                    </a:xfrm>
                    <a:prstGeom prst="rect">
                      <a:avLst/>
                    </a:prstGeom>
                  </pic:spPr>
                </pic:pic>
              </a:graphicData>
            </a:graphic>
          </wp:inline>
        </w:drawing>
      </w:r>
    </w:p>
    <w:p>
      <w:pPr>
        <w:spacing w:line="360" w:lineRule="auto"/>
        <w:jc w:val="both"/>
      </w:pPr>
      <w:r>
        <w:rPr>
          <w:rFonts w:ascii="Book Antiqua" w:hAnsi="Book Antiqua" w:eastAsia="Book Antiqua" w:cs="Book Antiqua"/>
          <w:b/>
          <w:bCs/>
          <w:szCs w:val="18"/>
        </w:rPr>
        <w:t>Figure 1 A 45-year-old man with type 2 diabetes mellitus with mild acute pancreatitis whose random blood glucose level was 10.1 mmol/L.</w:t>
      </w:r>
      <w:r>
        <w:rPr>
          <w:rFonts w:ascii="Book Antiqua" w:hAnsi="Book Antiqua" w:eastAsia="Book Antiqua" w:cs="Book Antiqua"/>
          <w:szCs w:val="18"/>
        </w:rPr>
        <w:t xml:space="preserve"> A: Axial T1-weighted image shows pancreatic swelling, and the signal is reduced; B: Axial T2-weighted image with fat suppression shows diffuse hyperintensity around the pancreas. L: Liver; P: Pancreas; Sp: Spleen.</w:t>
      </w:r>
    </w:p>
    <w:p>
      <w:pPr>
        <w:spacing w:line="360" w:lineRule="auto"/>
        <w:jc w:val="both"/>
        <w:rPr>
          <w:rFonts w:ascii="Book Antiqua" w:hAnsi="Book Antiqua" w:eastAsia="Book Antiqua" w:cs="Book Antiqua"/>
          <w:b/>
          <w:bCs/>
          <w:szCs w:val="18"/>
        </w:rPr>
      </w:pPr>
      <w:r>
        <w:rPr>
          <w:rFonts w:ascii="Book Antiqua" w:hAnsi="Book Antiqua" w:eastAsia="Book Antiqua" w:cs="Book Antiqua"/>
          <w:b/>
          <w:bCs/>
          <w:szCs w:val="18"/>
        </w:rPr>
        <w:br w:type="page"/>
      </w:r>
      <w:r>
        <w:rPr>
          <w:rFonts w:ascii="Book Antiqua" w:hAnsi="Book Antiqua" w:eastAsia="Book Antiqua" w:cs="Book Antiqua"/>
          <w:b/>
          <w:bCs/>
          <w:szCs w:val="18"/>
        </w:rPr>
        <w:drawing>
          <wp:inline distT="0" distB="0" distL="114300" distR="114300">
            <wp:extent cx="3851275" cy="2684780"/>
            <wp:effectExtent l="0" t="0" r="6350" b="1270"/>
            <wp:docPr id="2" name="图片 2" descr="WJCC-11-726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1-7268-g002"/>
                    <pic:cNvPicPr>
                      <a:picLocks noChangeAspect="1"/>
                    </pic:cNvPicPr>
                  </pic:nvPicPr>
                  <pic:blipFill>
                    <a:blip r:embed="rId6"/>
                    <a:stretch>
                      <a:fillRect/>
                    </a:stretch>
                  </pic:blipFill>
                  <pic:spPr>
                    <a:xfrm>
                      <a:off x="0" y="0"/>
                      <a:ext cx="3851275" cy="2684780"/>
                    </a:xfrm>
                    <a:prstGeom prst="rect">
                      <a:avLst/>
                    </a:prstGeom>
                  </pic:spPr>
                </pic:pic>
              </a:graphicData>
            </a:graphic>
          </wp:inline>
        </w:drawing>
      </w:r>
    </w:p>
    <w:p>
      <w:pPr>
        <w:spacing w:line="360" w:lineRule="auto"/>
        <w:jc w:val="both"/>
      </w:pPr>
      <w:r>
        <w:rPr>
          <w:rFonts w:ascii="Book Antiqua" w:hAnsi="Book Antiqua" w:eastAsia="Book Antiqua" w:cs="Book Antiqua"/>
          <w:b/>
          <w:bCs/>
          <w:szCs w:val="18"/>
        </w:rPr>
        <w:t xml:space="preserve">Figure 2 A 45-year-old woman diagnosed with type 2 diabetes mellitus for 6 years with severe acute pancreatitis, whose random blood glucose level was 19.19 mmol/L. </w:t>
      </w:r>
      <w:r>
        <w:rPr>
          <w:rFonts w:ascii="Book Antiqua" w:hAnsi="Book Antiqua" w:eastAsia="Book Antiqua" w:cs="Book Antiqua"/>
          <w:szCs w:val="18"/>
        </w:rPr>
        <w:t xml:space="preserve">A: Axial T1-weighted image shows local hypointense area (arrow); B: Axial T2-weighted </w:t>
      </w:r>
      <w:r>
        <w:rPr>
          <w:rFonts w:ascii="Book Antiqua" w:hAnsi="Book Antiqua" w:eastAsia="Book Antiqua" w:cs="Book Antiqua"/>
          <w:color w:val="000000"/>
        </w:rPr>
        <w:t>magnetic resonance</w:t>
      </w:r>
      <w:r>
        <w:rPr>
          <w:rFonts w:ascii="Book Antiqua" w:hAnsi="Book Antiqua" w:eastAsia="Book Antiqua" w:cs="Book Antiqua"/>
          <w:szCs w:val="18"/>
        </w:rPr>
        <w:t xml:space="preserve"> (MR) image with fat suppression shows pancreatic swelling and patchy hyperintense area (arrow); C and D: Postcontrast venous phase images reveal nonenhancement necrotic areas (arrow) with &lt; 30% parenchyma involvement in the body of the pancreas (</w:t>
      </w:r>
      <w:r>
        <w:rPr>
          <w:rFonts w:ascii="Book Antiqua" w:hAnsi="Book Antiqua" w:eastAsia="Book Antiqua" w:cs="Book Antiqua"/>
          <w:color w:val="000000"/>
        </w:rPr>
        <w:t>MR severity index</w:t>
      </w:r>
      <w:r>
        <w:rPr>
          <w:rFonts w:ascii="Book Antiqua" w:hAnsi="Book Antiqua" w:eastAsia="Book Antiqua" w:cs="Book Antiqua"/>
          <w:szCs w:val="18"/>
        </w:rPr>
        <w:t xml:space="preserve"> score of 6 points). GB: Gall bladder; L: Liver; N: Necrotic areas; P: Pancreas; RK: Right kidney; Sp: Spleen.</w:t>
      </w:r>
    </w:p>
    <w:p>
      <w:pPr>
        <w:spacing w:line="360" w:lineRule="auto"/>
        <w:jc w:val="both"/>
        <w:rPr>
          <w:rFonts w:ascii="Book Antiqua" w:hAnsi="Book Antiqua" w:eastAsia="Book Antiqua" w:cs="Book Antiqua"/>
          <w:b/>
          <w:bCs/>
          <w:szCs w:val="18"/>
        </w:rPr>
      </w:pPr>
      <w:r>
        <w:rPr>
          <w:rFonts w:ascii="Book Antiqua" w:hAnsi="Book Antiqua" w:eastAsia="Book Antiqua" w:cs="Book Antiqua"/>
          <w:b/>
          <w:bCs/>
          <w:szCs w:val="18"/>
        </w:rPr>
        <w:br w:type="page"/>
      </w:r>
      <w:r>
        <w:rPr>
          <w:rFonts w:ascii="Book Antiqua" w:hAnsi="Book Antiqua" w:eastAsia="Book Antiqua" w:cs="Book Antiqua"/>
          <w:b/>
          <w:bCs/>
          <w:szCs w:val="18"/>
        </w:rPr>
        <w:drawing>
          <wp:inline distT="0" distB="0" distL="114300" distR="114300">
            <wp:extent cx="3851275" cy="2917190"/>
            <wp:effectExtent l="0" t="0" r="6350" b="6985"/>
            <wp:docPr id="3" name="图片 3" descr="WJCC-11-726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1-7268-g003"/>
                    <pic:cNvPicPr>
                      <a:picLocks noChangeAspect="1"/>
                    </pic:cNvPicPr>
                  </pic:nvPicPr>
                  <pic:blipFill>
                    <a:blip r:embed="rId7"/>
                    <a:stretch>
                      <a:fillRect/>
                    </a:stretch>
                  </pic:blipFill>
                  <pic:spPr>
                    <a:xfrm>
                      <a:off x="0" y="0"/>
                      <a:ext cx="3851275" cy="2917190"/>
                    </a:xfrm>
                    <a:prstGeom prst="rect">
                      <a:avLst/>
                    </a:prstGeom>
                  </pic:spPr>
                </pic:pic>
              </a:graphicData>
            </a:graphic>
          </wp:inline>
        </w:drawing>
      </w:r>
    </w:p>
    <w:p>
      <w:pPr>
        <w:widowControl w:val="0"/>
        <w:autoSpaceDE w:val="0"/>
        <w:autoSpaceDN w:val="0"/>
        <w:adjustRightInd w:val="0"/>
        <w:spacing w:line="360" w:lineRule="auto"/>
        <w:rPr>
          <w:rFonts w:ascii="Book Antiqua" w:hAnsi="Book Antiqua" w:cs="Segoe UI"/>
        </w:rPr>
      </w:pPr>
      <w:r>
        <w:rPr>
          <w:rFonts w:ascii="Book Antiqua" w:hAnsi="Book Antiqua" w:eastAsia="Book Antiqua" w:cs="Book Antiqua"/>
          <w:b/>
          <w:bCs/>
          <w:szCs w:val="18"/>
        </w:rPr>
        <w:t>Figure 3</w:t>
      </w:r>
      <w:r>
        <w:rPr>
          <w:rFonts w:ascii="Book Antiqua" w:hAnsi="Book Antiqua" w:eastAsia="Book Antiqua" w:cs="Book Antiqua"/>
          <w:b/>
          <w:bCs/>
        </w:rPr>
        <w:t xml:space="preserve"> </w:t>
      </w:r>
      <w:r>
        <w:rPr>
          <w:rFonts w:ascii="Book Antiqua" w:hAnsi="Book Antiqua" w:cs="Segoe UI"/>
          <w:b/>
          <w:bCs/>
          <w:color w:val="000000"/>
        </w:rPr>
        <w:t xml:space="preserve">A 49-year-old woman with type 2 diabetes mellitus with severe acute pancreatitis whose average blood glucose level was 7.67 mmol/L. </w:t>
      </w:r>
      <w:r>
        <w:rPr>
          <w:rFonts w:ascii="Book Antiqua" w:hAnsi="Book Antiqua" w:cs="Segoe UI"/>
          <w:color w:val="000000"/>
        </w:rPr>
        <w:t>A: Axial T1-weighted image shows local hypointensity (arrow) in the head and neck of the pancreas. Peripancreatic fluid collection (asterisk) exhibit slightly hyperintensity; B: Axial T2-weighted image with fat suppression shows local hyperintensity (arrow) in the head and neck of the pancreas. Peripancreatic fluid collection (asterisk) exhibits profound hyperintensity; C: Axial T2-weighted image with fat suppression shows pancreatic swelling and hyperintense areas (arrows), concomitant with acute necrotic collection restricted to omental bursa; D: Postcontrast arterial phase axial magnetic resonance (MR) image shows nonenhanced areas (N) compatible with parenchyma necrosis (30% to 50% parenchyma involvement) in the head and body of the pancreas (MR severity index score of 6 points). GB: Gall bladder; L: Liver; LK: Left kidney; N: Necrotic areas; P: Pancreas; RK: Right kidney; Sp: Spleen; WON: Walled-off necrosis.</w:t>
      </w:r>
    </w:p>
    <w:p>
      <w:pPr>
        <w:spacing w:line="360" w:lineRule="auto"/>
        <w:jc w:val="both"/>
        <w:rPr>
          <w:rFonts w:ascii="Book Antiqua" w:hAnsi="Book Antiqua" w:eastAsia="Book Antiqua" w:cs="Book Antiqua"/>
          <w:b/>
          <w:bCs/>
          <w:szCs w:val="18"/>
        </w:rPr>
      </w:pPr>
      <w:r>
        <w:rPr>
          <w:rFonts w:ascii="Book Antiqua" w:hAnsi="Book Antiqua" w:eastAsia="Book Antiqua" w:cs="Book Antiqua"/>
          <w:b/>
          <w:bCs/>
          <w:szCs w:val="18"/>
        </w:rPr>
        <w:br w:type="page"/>
      </w:r>
      <w:r>
        <w:rPr>
          <w:rFonts w:ascii="Book Antiqua" w:hAnsi="Book Antiqua" w:eastAsia="Book Antiqua" w:cs="Book Antiqua"/>
          <w:b/>
          <w:bCs/>
          <w:szCs w:val="18"/>
        </w:rPr>
        <w:drawing>
          <wp:inline distT="0" distB="0" distL="114300" distR="114300">
            <wp:extent cx="3851275" cy="2724785"/>
            <wp:effectExtent l="0" t="0" r="6350" b="8890"/>
            <wp:docPr id="4" name="图片 4" descr="WJCC-11-7268-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1-7268-g004"/>
                    <pic:cNvPicPr>
                      <a:picLocks noChangeAspect="1"/>
                    </pic:cNvPicPr>
                  </pic:nvPicPr>
                  <pic:blipFill>
                    <a:blip r:embed="rId8"/>
                    <a:stretch>
                      <a:fillRect/>
                    </a:stretch>
                  </pic:blipFill>
                  <pic:spPr>
                    <a:xfrm>
                      <a:off x="0" y="0"/>
                      <a:ext cx="3851275" cy="2724785"/>
                    </a:xfrm>
                    <a:prstGeom prst="rect">
                      <a:avLst/>
                    </a:prstGeom>
                  </pic:spPr>
                </pic:pic>
              </a:graphicData>
            </a:graphic>
          </wp:inline>
        </w:drawing>
      </w:r>
    </w:p>
    <w:p>
      <w:pPr>
        <w:spacing w:line="360" w:lineRule="auto"/>
        <w:jc w:val="both"/>
      </w:pPr>
      <w:r>
        <w:rPr>
          <w:rFonts w:ascii="Book Antiqua" w:hAnsi="Book Antiqua" w:eastAsia="Book Antiqua" w:cs="Book Antiqua"/>
          <w:b/>
          <w:bCs/>
          <w:szCs w:val="18"/>
        </w:rPr>
        <w:t xml:space="preserve">Figure 4 A 42-year-old man diagnosed with diabetes for 1 year with severe acute pancreatitis whose random blood glucose level was 19.19 mmol/L. </w:t>
      </w:r>
      <w:r>
        <w:rPr>
          <w:rFonts w:ascii="Book Antiqua" w:hAnsi="Book Antiqua" w:eastAsia="Book Antiqua" w:cs="Book Antiqua"/>
          <w:szCs w:val="18"/>
        </w:rPr>
        <w:t xml:space="preserve">A and B: The pancreas is poorly defined, and it shows heterogeneous hypointensity on each sequences. Peripancreatic walled-off necrosis lesions (asterisks) are both hypointensity and hyperintensity, indicating the presence of peripancreatic fat necrosis and hemorrhage; C: Postcontrast venous phase axial </w:t>
      </w:r>
      <w:r>
        <w:rPr>
          <w:rFonts w:ascii="Book Antiqua" w:hAnsi="Book Antiqua" w:eastAsia="Book Antiqua" w:cs="Book Antiqua"/>
          <w:color w:val="000000"/>
        </w:rPr>
        <w:t>magnetic resonance</w:t>
      </w:r>
      <w:r>
        <w:rPr>
          <w:rFonts w:ascii="Book Antiqua" w:hAnsi="Book Antiqua" w:eastAsia="Book Antiqua" w:cs="Book Antiqua"/>
          <w:szCs w:val="18"/>
        </w:rPr>
        <w:t xml:space="preserve"> (MR) image shows nonenhanced areas (arrows) compatible with parenchyma necrosis (&gt; 50% parenchyma involvement) in the head, body and tail of the pancreas (</w:t>
      </w:r>
      <w:r>
        <w:rPr>
          <w:rFonts w:ascii="Book Antiqua" w:hAnsi="Book Antiqua" w:eastAsia="Book Antiqua" w:cs="Book Antiqua"/>
          <w:color w:val="000000"/>
        </w:rPr>
        <w:t>MR severity index</w:t>
      </w:r>
      <w:r>
        <w:rPr>
          <w:rFonts w:ascii="Book Antiqua" w:hAnsi="Book Antiqua" w:eastAsia="Book Antiqua" w:cs="Book Antiqua"/>
          <w:szCs w:val="18"/>
        </w:rPr>
        <w:t xml:space="preserve"> score of 10 points); D: Postcontrast venous phase axial MR image shows nonenhanced areas (arrows) of spleen (splenic infarction), which indicates splenic artery invasion. GB: Gall bladder; L: Liver; N: Necrotic areas; P: Pancreas; RK: Right kidney; Sp: Spleen.</w:t>
      </w:r>
    </w:p>
    <w:p>
      <w:pPr>
        <w:spacing w:line="360" w:lineRule="auto"/>
        <w:jc w:val="both"/>
        <w:rPr>
          <w:rFonts w:ascii="Book Antiqua" w:hAnsi="Book Antiqua" w:eastAsia="Book Antiqua" w:cs="Book Antiqua"/>
          <w:b/>
          <w:bCs/>
          <w:szCs w:val="18"/>
        </w:rPr>
      </w:pPr>
      <w:r>
        <w:rPr>
          <w:rFonts w:ascii="Book Antiqua" w:hAnsi="Book Antiqua" w:eastAsia="Book Antiqua" w:cs="Book Antiqua"/>
          <w:b/>
          <w:bCs/>
          <w:szCs w:val="18"/>
        </w:rPr>
        <w:br w:type="page"/>
      </w:r>
      <w:r>
        <w:rPr>
          <w:rFonts w:ascii="Book Antiqua" w:hAnsi="Book Antiqua" w:eastAsia="Book Antiqua" w:cs="Book Antiqua"/>
          <w:b/>
          <w:bCs/>
          <w:szCs w:val="18"/>
        </w:rPr>
        <w:drawing>
          <wp:inline distT="0" distB="0" distL="114300" distR="114300">
            <wp:extent cx="3851275" cy="3001010"/>
            <wp:effectExtent l="0" t="0" r="6350" b="8890"/>
            <wp:docPr id="7" name="图片 7" descr="WJCC-11-7268-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1-7268-g005"/>
                    <pic:cNvPicPr>
                      <a:picLocks noChangeAspect="1"/>
                    </pic:cNvPicPr>
                  </pic:nvPicPr>
                  <pic:blipFill>
                    <a:blip r:embed="rId9"/>
                    <a:stretch>
                      <a:fillRect/>
                    </a:stretch>
                  </pic:blipFill>
                  <pic:spPr>
                    <a:xfrm>
                      <a:off x="0" y="0"/>
                      <a:ext cx="3851275" cy="3001010"/>
                    </a:xfrm>
                    <a:prstGeom prst="rect">
                      <a:avLst/>
                    </a:prstGeom>
                  </pic:spPr>
                </pic:pic>
              </a:graphicData>
            </a:graphic>
          </wp:inline>
        </w:drawing>
      </w:r>
    </w:p>
    <w:p>
      <w:pPr>
        <w:spacing w:line="360" w:lineRule="auto"/>
        <w:jc w:val="both"/>
      </w:pPr>
      <w:r>
        <w:rPr>
          <w:rFonts w:ascii="Book Antiqua" w:hAnsi="Book Antiqua" w:eastAsia="Book Antiqua" w:cs="Book Antiqua"/>
          <w:b/>
          <w:bCs/>
          <w:szCs w:val="18"/>
        </w:rPr>
        <w:t xml:space="preserve">Figure 5 A 67-year-old woman with type 2 diabetes mellitus with moderately severe acute pancreatitis whose fasting blood glucose level was 7.3 mmol/L. </w:t>
      </w:r>
      <w:r>
        <w:rPr>
          <w:rFonts w:ascii="Book Antiqua" w:hAnsi="Book Antiqua" w:eastAsia="Book Antiqua" w:cs="Book Antiqua"/>
          <w:szCs w:val="18"/>
        </w:rPr>
        <w:t xml:space="preserve">A: Axial T1-weighted image shows local hyperintensity (arrow) in the body of the pancreas; B: Axial T2-weighted image shows local hypointensity (arrow) in the body of the pancreas, indicating pancreatic hemorrhage; C: Postcontrast venous phase axial </w:t>
      </w:r>
      <w:r>
        <w:rPr>
          <w:rFonts w:ascii="Book Antiqua" w:hAnsi="Book Antiqua" w:eastAsia="Book Antiqua" w:cs="Book Antiqua"/>
          <w:color w:val="000000"/>
        </w:rPr>
        <w:t>magnetic resonance</w:t>
      </w:r>
      <w:r>
        <w:rPr>
          <w:rFonts w:ascii="Book Antiqua" w:hAnsi="Book Antiqua" w:eastAsia="Book Antiqua" w:cs="Book Antiqua"/>
          <w:szCs w:val="18"/>
        </w:rPr>
        <w:t xml:space="preserve"> (MR) image shows nonenhanced area (arrow) compatible with parenchyma necrosis (</w:t>
      </w:r>
      <w:r>
        <w:rPr>
          <w:rFonts w:hint="eastAsia" w:ascii="Book Antiqua" w:hAnsi="Book Antiqua" w:cs="Book Antiqua"/>
          <w:szCs w:val="18"/>
          <w:lang w:eastAsia="zh-CN"/>
        </w:rPr>
        <w:t>&lt;</w:t>
      </w:r>
      <w:r>
        <w:rPr>
          <w:rFonts w:ascii="Book Antiqua" w:hAnsi="Book Antiqua" w:cs="Book Antiqua"/>
          <w:szCs w:val="18"/>
          <w:lang w:eastAsia="zh-CN"/>
        </w:rPr>
        <w:t xml:space="preserve"> </w:t>
      </w:r>
      <w:r>
        <w:rPr>
          <w:rFonts w:ascii="Book Antiqua" w:hAnsi="Book Antiqua" w:eastAsia="Book Antiqua" w:cs="Book Antiqua"/>
          <w:szCs w:val="18"/>
        </w:rPr>
        <w:t>30% parenchyma involvement) in the body of the pancreas (</w:t>
      </w:r>
      <w:r>
        <w:rPr>
          <w:rFonts w:ascii="Book Antiqua" w:hAnsi="Book Antiqua" w:eastAsia="Book Antiqua" w:cs="Book Antiqua"/>
          <w:color w:val="000000"/>
        </w:rPr>
        <w:t>MR severity index</w:t>
      </w:r>
      <w:r>
        <w:rPr>
          <w:rFonts w:ascii="Book Antiqua" w:hAnsi="Book Antiqua" w:eastAsia="Book Antiqua" w:cs="Book Antiqua"/>
          <w:szCs w:val="18"/>
        </w:rPr>
        <w:t xml:space="preserve"> score of 6 points); D: </w:t>
      </w:r>
      <w:r>
        <w:rPr>
          <w:rFonts w:ascii="Book Antiqua" w:hAnsi="Book Antiqua" w:eastAsia="Book Antiqua" w:cs="Book Antiqua"/>
          <w:color w:val="000000"/>
        </w:rPr>
        <w:t>Magnetic resonance cholangiopancreatography</w:t>
      </w:r>
      <w:r>
        <w:rPr>
          <w:rFonts w:ascii="Book Antiqua" w:hAnsi="Book Antiqua" w:eastAsia="Book Antiqua" w:cs="Book Antiqua"/>
          <w:szCs w:val="18"/>
        </w:rPr>
        <w:t xml:space="preserve"> shows “disconnected pancreatic duct syndrome” in the body of pancreas. D: Duodenum; GB: Gall bladder; L: Liver; LK: Left kidney; P: Pancreas; RK: Right kidney; Sp: Spleen.</w:t>
      </w:r>
    </w:p>
    <w:p>
      <w:pPr>
        <w:spacing w:line="360" w:lineRule="auto"/>
        <w:jc w:val="both"/>
        <w:rPr>
          <w:rFonts w:ascii="Book Antiqua" w:hAnsi="Book Antiqua" w:eastAsia="Book Antiqua" w:cs="Book Antiqua"/>
          <w:b/>
          <w:bCs/>
          <w:szCs w:val="18"/>
        </w:rPr>
      </w:pPr>
      <w:r>
        <w:rPr>
          <w:rFonts w:ascii="Book Antiqua" w:hAnsi="Book Antiqua" w:eastAsia="Book Antiqua" w:cs="Book Antiqua"/>
          <w:b/>
          <w:bCs/>
          <w:szCs w:val="18"/>
        </w:rPr>
        <w:br w:type="page"/>
      </w:r>
      <w:r>
        <w:rPr>
          <w:rFonts w:ascii="Book Antiqua" w:hAnsi="Book Antiqua" w:eastAsia="Book Antiqua" w:cs="Book Antiqua"/>
          <w:b/>
          <w:bCs/>
          <w:szCs w:val="18"/>
        </w:rPr>
        <w:drawing>
          <wp:inline distT="0" distB="0" distL="114300" distR="114300">
            <wp:extent cx="3851275" cy="2977515"/>
            <wp:effectExtent l="0" t="0" r="6350" b="3810"/>
            <wp:docPr id="9" name="图片 9" descr="WJCC-11-7268-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1-7268-g006"/>
                    <pic:cNvPicPr>
                      <a:picLocks noChangeAspect="1"/>
                    </pic:cNvPicPr>
                  </pic:nvPicPr>
                  <pic:blipFill>
                    <a:blip r:embed="rId10"/>
                    <a:stretch>
                      <a:fillRect/>
                    </a:stretch>
                  </pic:blipFill>
                  <pic:spPr>
                    <a:xfrm>
                      <a:off x="0" y="0"/>
                      <a:ext cx="3851275" cy="2977515"/>
                    </a:xfrm>
                    <a:prstGeom prst="rect">
                      <a:avLst/>
                    </a:prstGeom>
                  </pic:spPr>
                </pic:pic>
              </a:graphicData>
            </a:graphic>
          </wp:inline>
        </w:drawing>
      </w:r>
    </w:p>
    <w:p>
      <w:pPr>
        <w:spacing w:line="360" w:lineRule="auto"/>
        <w:jc w:val="both"/>
      </w:pPr>
      <w:r>
        <w:rPr>
          <w:rFonts w:ascii="Book Antiqua" w:hAnsi="Book Antiqua" w:eastAsia="Book Antiqua" w:cs="Book Antiqua"/>
          <w:b/>
          <w:bCs/>
          <w:szCs w:val="18"/>
        </w:rPr>
        <w:t>Figure 6 A 47-year-old man with type 2 diabetes mellitus with moderately severe acute pancreatitis whose average blood glucose level was 10.05 mmol/L.</w:t>
      </w:r>
      <w:r>
        <w:rPr>
          <w:rFonts w:ascii="Book Antiqua" w:hAnsi="Book Antiqua" w:eastAsia="Book Antiqua" w:cs="Book Antiqua"/>
          <w:szCs w:val="18"/>
        </w:rPr>
        <w:t xml:space="preserve"> A and B: Compared with the in-phase T1-weighted image (A), an unequivocal signal intensity loss in liver parenchyma is demonstrated on the out of phase T1-weighted image (B). In the left perirenal space and anterior pararenal space, </w:t>
      </w:r>
      <w:r>
        <w:rPr>
          <w:rFonts w:ascii="Book Antiqua" w:hAnsi="Book Antiqua" w:eastAsia="Book Antiqua" w:cs="Book Antiqua"/>
          <w:color w:val="000000"/>
        </w:rPr>
        <w:t>acute peripancreatic fluid collection</w:t>
      </w:r>
      <w:r>
        <w:rPr>
          <w:rFonts w:ascii="Book Antiqua" w:hAnsi="Book Antiqua" w:eastAsia="Book Antiqua" w:cs="Book Antiqua"/>
          <w:szCs w:val="18"/>
        </w:rPr>
        <w:t>s (arrows) is homogeneous hypointensity on T1-weighted image (A) and hyperintensity on T2-weighted image with fat suppression (B). L: Liver; LK: Left kidney; P: Pancreas; RK: Right kidney.</w:t>
      </w:r>
    </w:p>
    <w:p>
      <w:pPr>
        <w:spacing w:line="360" w:lineRule="auto"/>
        <w:jc w:val="both"/>
        <w:rPr>
          <w:rFonts w:ascii="Book Antiqua" w:hAnsi="Book Antiqua" w:eastAsia="Book Antiqua" w:cs="Book Antiqua"/>
          <w:b/>
          <w:bCs/>
          <w:szCs w:val="18"/>
        </w:rPr>
      </w:pPr>
      <w:r>
        <w:rPr>
          <w:rFonts w:ascii="Book Antiqua" w:hAnsi="Book Antiqua" w:eastAsia="Book Antiqua" w:cs="Book Antiqua"/>
          <w:b/>
          <w:bCs/>
          <w:szCs w:val="18"/>
        </w:rPr>
        <w:br w:type="page"/>
      </w:r>
      <w:r>
        <w:rPr>
          <w:rFonts w:ascii="Book Antiqua" w:hAnsi="Book Antiqua" w:eastAsia="Book Antiqua" w:cs="Book Antiqua"/>
          <w:b/>
          <w:bCs/>
          <w:szCs w:val="18"/>
        </w:rPr>
        <w:drawing>
          <wp:inline distT="0" distB="0" distL="114300" distR="114300">
            <wp:extent cx="3851275" cy="1483360"/>
            <wp:effectExtent l="0" t="0" r="6350" b="2540"/>
            <wp:docPr id="10" name="图片 10" descr="WJCC-11-7268-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1-7268-g007"/>
                    <pic:cNvPicPr>
                      <a:picLocks noChangeAspect="1"/>
                    </pic:cNvPicPr>
                  </pic:nvPicPr>
                  <pic:blipFill>
                    <a:blip r:embed="rId11"/>
                    <a:stretch>
                      <a:fillRect/>
                    </a:stretch>
                  </pic:blipFill>
                  <pic:spPr>
                    <a:xfrm>
                      <a:off x="0" y="0"/>
                      <a:ext cx="3851275" cy="1483360"/>
                    </a:xfrm>
                    <a:prstGeom prst="rect">
                      <a:avLst/>
                    </a:prstGeom>
                  </pic:spPr>
                </pic:pic>
              </a:graphicData>
            </a:graphic>
          </wp:inline>
        </w:drawing>
      </w:r>
    </w:p>
    <w:p>
      <w:pPr>
        <w:spacing w:line="360" w:lineRule="auto"/>
        <w:jc w:val="both"/>
      </w:pPr>
      <w:r>
        <w:rPr>
          <w:rFonts w:ascii="Book Antiqua" w:hAnsi="Book Antiqua" w:eastAsia="Book Antiqua" w:cs="Book Antiqua"/>
          <w:b/>
          <w:bCs/>
          <w:szCs w:val="18"/>
        </w:rPr>
        <w:t xml:space="preserve">Figure 7 A 24-year-old man with type 2 diabetes mellitus with severe acute pancreatitis whose fasting blood glucose level was 23.3 mmol/L. </w:t>
      </w:r>
      <w:r>
        <w:rPr>
          <w:rFonts w:ascii="Book Antiqua" w:hAnsi="Book Antiqua" w:eastAsia="Book Antiqua" w:cs="Book Antiqua"/>
          <w:szCs w:val="18"/>
        </w:rPr>
        <w:t>A and B: Peripancreatic acute necrotic collection (asterisk) is demonstrated as hyperintense areas on T2-weighted images, containing hypointense solid components (arrowhead). L: Liver; LK: Left kidney; P: Pancreas; RK: Right kidney; Sp: Spleen.</w:t>
      </w:r>
    </w:p>
    <w:p>
      <w:pPr>
        <w:spacing w:line="360" w:lineRule="auto"/>
        <w:jc w:val="both"/>
        <w:rPr>
          <w:rFonts w:ascii="Book Antiqua" w:hAnsi="Book Antiqua" w:eastAsia="Book Antiqua" w:cs="Book Antiqua"/>
          <w:b/>
          <w:bCs/>
          <w:szCs w:val="18"/>
        </w:rPr>
      </w:pPr>
      <w:r>
        <w:rPr>
          <w:rFonts w:ascii="Book Antiqua" w:hAnsi="Book Antiqua" w:eastAsia="Book Antiqua" w:cs="Book Antiqua"/>
          <w:b/>
          <w:bCs/>
          <w:szCs w:val="18"/>
        </w:rPr>
        <w:br w:type="page"/>
      </w:r>
      <w:r>
        <w:rPr>
          <w:rFonts w:ascii="Book Antiqua" w:hAnsi="Book Antiqua" w:eastAsia="Book Antiqua" w:cs="Book Antiqua"/>
          <w:b/>
          <w:bCs/>
          <w:szCs w:val="18"/>
        </w:rPr>
        <w:drawing>
          <wp:inline distT="0" distB="0" distL="114300" distR="114300">
            <wp:extent cx="3816985" cy="1499870"/>
            <wp:effectExtent l="0" t="0" r="2540" b="5080"/>
            <wp:docPr id="11" name="图片 11" descr="WJCC-11-7268-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1-7268-g008"/>
                    <pic:cNvPicPr>
                      <a:picLocks noChangeAspect="1"/>
                    </pic:cNvPicPr>
                  </pic:nvPicPr>
                  <pic:blipFill>
                    <a:blip r:embed="rId12"/>
                    <a:stretch>
                      <a:fillRect/>
                    </a:stretch>
                  </pic:blipFill>
                  <pic:spPr>
                    <a:xfrm>
                      <a:off x="0" y="0"/>
                      <a:ext cx="3816985" cy="1499870"/>
                    </a:xfrm>
                    <a:prstGeom prst="rect">
                      <a:avLst/>
                    </a:prstGeom>
                  </pic:spPr>
                </pic:pic>
              </a:graphicData>
            </a:graphic>
          </wp:inline>
        </w:drawing>
      </w:r>
    </w:p>
    <w:p>
      <w:pPr>
        <w:spacing w:line="360" w:lineRule="auto"/>
        <w:jc w:val="both"/>
      </w:pPr>
      <w:r>
        <w:rPr>
          <w:rFonts w:ascii="Book Antiqua" w:hAnsi="Book Antiqua" w:eastAsia="Book Antiqua" w:cs="Book Antiqua"/>
          <w:b/>
          <w:bCs/>
          <w:szCs w:val="18"/>
        </w:rPr>
        <w:t>Figure 8 A 43-year-old woman with type 2 diabetes mellitus for 6 years with moderately severe acute pancreatitis whose average blood glucose level was 8.50 mmol/L.</w:t>
      </w:r>
      <w:r>
        <w:rPr>
          <w:rFonts w:ascii="Book Antiqua" w:hAnsi="Book Antiqua" w:eastAsia="Book Antiqua" w:cs="Book Antiqua"/>
          <w:szCs w:val="18"/>
        </w:rPr>
        <w:t xml:space="preserve"> A and B: Compared with the in-phase T1-weighted image (A), an unequivocal signal intensity loss in liver parenchyma was demonstrated on the out of phase T1-weighted image (B). L: Liver; Sp: Spleen.</w:t>
      </w:r>
    </w:p>
    <w:p>
      <w:pPr>
        <w:spacing w:line="360" w:lineRule="auto"/>
        <w:jc w:val="both"/>
        <w:rPr>
          <w:rFonts w:ascii="Book Antiqua" w:hAnsi="Book Antiqua" w:eastAsia="Book Antiqua" w:cs="Book Antiqua"/>
          <w:b/>
          <w:bCs/>
          <w:szCs w:val="18"/>
        </w:rPr>
      </w:pPr>
      <w:r>
        <w:rPr>
          <w:rFonts w:ascii="Book Antiqua" w:hAnsi="Book Antiqua" w:eastAsia="Book Antiqua" w:cs="Book Antiqua"/>
          <w:b/>
          <w:bCs/>
          <w:szCs w:val="18"/>
        </w:rPr>
        <w:br w:type="page"/>
      </w:r>
      <w:r>
        <w:rPr>
          <w:rFonts w:ascii="Book Antiqua" w:hAnsi="Book Antiqua" w:eastAsia="Book Antiqua" w:cs="Book Antiqua"/>
          <w:b/>
          <w:bCs/>
          <w:szCs w:val="18"/>
        </w:rPr>
        <w:drawing>
          <wp:inline distT="0" distB="0" distL="114300" distR="114300">
            <wp:extent cx="3851275" cy="1409700"/>
            <wp:effectExtent l="0" t="0" r="6350" b="0"/>
            <wp:docPr id="12" name="图片 12" descr="WJCC-11-7268-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1-7268-g009"/>
                    <pic:cNvPicPr>
                      <a:picLocks noChangeAspect="1"/>
                    </pic:cNvPicPr>
                  </pic:nvPicPr>
                  <pic:blipFill>
                    <a:blip r:embed="rId13"/>
                    <a:stretch>
                      <a:fillRect/>
                    </a:stretch>
                  </pic:blipFill>
                  <pic:spPr>
                    <a:xfrm>
                      <a:off x="0" y="0"/>
                      <a:ext cx="3851275" cy="1409700"/>
                    </a:xfrm>
                    <a:prstGeom prst="rect">
                      <a:avLst/>
                    </a:prstGeom>
                  </pic:spPr>
                </pic:pic>
              </a:graphicData>
            </a:graphic>
          </wp:inline>
        </w:drawing>
      </w:r>
      <w:bookmarkStart w:id="0" w:name="_GoBack"/>
      <w:bookmarkEnd w:id="0"/>
    </w:p>
    <w:p>
      <w:pPr>
        <w:spacing w:line="360" w:lineRule="auto"/>
        <w:jc w:val="both"/>
        <w:rPr>
          <w:rFonts w:ascii="Book Antiqua" w:hAnsi="Book Antiqua" w:eastAsia="Book Antiqua" w:cs="Book Antiqua"/>
          <w:szCs w:val="18"/>
        </w:rPr>
      </w:pPr>
      <w:r>
        <w:rPr>
          <w:rFonts w:ascii="Book Antiqua" w:hAnsi="Book Antiqua" w:eastAsia="Book Antiqua" w:cs="Book Antiqua"/>
          <w:b/>
          <w:bCs/>
          <w:szCs w:val="18"/>
        </w:rPr>
        <w:t>Figure 9 A 52-year-old man with type 2 diabetes mellitus over 10 years with moderately severe acute pancreatitis whose fasting blood glucose level was 15.48 mmol/L.</w:t>
      </w:r>
      <w:r>
        <w:rPr>
          <w:rFonts w:ascii="Book Antiqua" w:hAnsi="Book Antiqua" w:eastAsia="Book Antiqua" w:cs="Book Antiqua"/>
          <w:szCs w:val="18"/>
        </w:rPr>
        <w:t xml:space="preserve"> A and B: In the left perirenal space, there are strips (arrows) of hypointensity on T1-weighted image (A) and hyperintensity on T2-weighted image with fat suppression (B). T1-weighted image (A) also shows the thickened left renal fascia (arrowhead). L: Liver; LK: Left kidney; P: Pancreas; RK: Right kidney; Sp: Spleen.</w:t>
      </w:r>
    </w:p>
    <w:p>
      <w:pPr>
        <w:spacing w:line="360" w:lineRule="auto"/>
        <w:jc w:val="both"/>
        <w:rPr>
          <w:rFonts w:ascii="Book Antiqua" w:hAnsi="Book Antiqua" w:eastAsia="Book Antiqua" w:cs="Book Antiqua"/>
          <w:b/>
          <w:bCs/>
          <w:szCs w:val="18"/>
        </w:rPr>
      </w:pPr>
      <w:r>
        <w:rPr>
          <w:rFonts w:ascii="Book Antiqua" w:hAnsi="Book Antiqua" w:eastAsia="Book Antiqua" w:cs="Book Antiqua"/>
          <w:szCs w:val="18"/>
        </w:rPr>
        <w:br w:type="page"/>
      </w:r>
      <w:r>
        <w:rPr>
          <w:rFonts w:hint="eastAsia" w:ascii="Book Antiqua" w:hAnsi="Book Antiqua" w:eastAsia="Book Antiqua" w:cs="Book Antiqua"/>
          <w:b/>
          <w:bCs/>
          <w:szCs w:val="18"/>
        </w:rPr>
        <w:t xml:space="preserve">Table 1 </w:t>
      </w:r>
      <w:r>
        <w:rPr>
          <w:rFonts w:ascii="Book Antiqua" w:hAnsi="Book Antiqua" w:eastAsia="Book Antiqua" w:cs="Book Antiqua"/>
          <w:b/>
          <w:bCs/>
          <w:color w:val="000000"/>
        </w:rPr>
        <w:t>Magnetic resonance severity index</w:t>
      </w:r>
      <w:r>
        <w:rPr>
          <w:rFonts w:hint="eastAsia" w:ascii="Book Antiqua" w:hAnsi="Book Antiqua" w:eastAsia="Book Antiqua" w:cs="Book Antiqua"/>
          <w:b/>
          <w:bCs/>
          <w:szCs w:val="18"/>
        </w:rPr>
        <w:t xml:space="preserve"> scoring system</w:t>
      </w:r>
    </w:p>
    <w:tbl>
      <w:tblPr>
        <w:tblStyle w:val="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60"/>
        <w:gridCol w:w="81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bottom w:val="single" w:color="auto" w:sz="4" w:space="0"/>
            </w:tcBorders>
            <w:shd w:val="clear" w:color="auto" w:fill="auto"/>
            <w:vAlign w:val="center"/>
          </w:tcPr>
          <w:p>
            <w:pPr>
              <w:adjustRightInd w:val="0"/>
              <w:snapToGrid w:val="0"/>
              <w:spacing w:line="360" w:lineRule="auto"/>
              <w:jc w:val="both"/>
              <w:rPr>
                <w:rFonts w:ascii="Book Antiqua" w:hAnsi="Book Antiqua" w:eastAsia="等线"/>
                <w:b/>
                <w:bCs/>
                <w:color w:val="000000"/>
                <w:lang w:eastAsia="zh-CN"/>
              </w:rPr>
            </w:pPr>
            <w:r>
              <w:rPr>
                <w:rFonts w:ascii="Book Antiqua" w:hAnsi="Book Antiqua" w:eastAsia="等线"/>
                <w:b/>
                <w:bCs/>
                <w:color w:val="000000"/>
                <w:lang w:eastAsia="zh-CN"/>
              </w:rPr>
              <w:t>Characteristics</w:t>
            </w:r>
          </w:p>
        </w:tc>
        <w:tc>
          <w:tcPr>
            <w:tcW w:w="0" w:type="auto"/>
            <w:tcBorders>
              <w:top w:val="single" w:color="auto" w:sz="4" w:space="0"/>
              <w:bottom w:val="single" w:color="auto" w:sz="4" w:space="0"/>
            </w:tcBorders>
            <w:shd w:val="clear" w:color="auto" w:fill="auto"/>
            <w:vAlign w:val="center"/>
          </w:tcPr>
          <w:p>
            <w:pPr>
              <w:adjustRightInd w:val="0"/>
              <w:snapToGrid w:val="0"/>
              <w:spacing w:line="360" w:lineRule="auto"/>
              <w:jc w:val="both"/>
              <w:rPr>
                <w:rFonts w:ascii="Book Antiqua" w:hAnsi="Book Antiqua" w:eastAsia="等线"/>
                <w:b/>
                <w:bCs/>
                <w:color w:val="000000"/>
                <w:lang w:eastAsia="zh-CN"/>
              </w:rPr>
            </w:pPr>
            <w:r>
              <w:rPr>
                <w:rFonts w:ascii="Book Antiqua" w:hAnsi="Book Antiqua" w:eastAsia="等线"/>
                <w:b/>
                <w:bCs/>
                <w:color w:val="000000"/>
                <w:lang w:eastAsia="zh-CN"/>
              </w:rPr>
              <w:t>Score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4" w:space="0"/>
            </w:tcBorders>
            <w:shd w:val="clear" w:color="auto" w:fill="auto"/>
            <w:vAlign w:val="center"/>
          </w:tcPr>
          <w:p>
            <w:pPr>
              <w:adjustRightInd w:val="0"/>
              <w:snapToGrid w:val="0"/>
              <w:spacing w:line="360" w:lineRule="auto"/>
              <w:jc w:val="both"/>
              <w:rPr>
                <w:rFonts w:ascii="Book Antiqua" w:hAnsi="Book Antiqua" w:eastAsia="等线"/>
                <w:color w:val="000000"/>
                <w:lang w:eastAsia="zh-CN"/>
              </w:rPr>
            </w:pPr>
            <w:r>
              <w:rPr>
                <w:rFonts w:ascii="Book Antiqua" w:hAnsi="Book Antiqua" w:eastAsia="等线"/>
                <w:color w:val="000000"/>
                <w:lang w:eastAsia="zh-CN"/>
              </w:rPr>
              <w:t>Pancreatic inflammation</w:t>
            </w:r>
          </w:p>
        </w:tc>
        <w:tc>
          <w:tcPr>
            <w:tcW w:w="0" w:type="auto"/>
            <w:tcBorders>
              <w:top w:val="single" w:color="auto" w:sz="4" w:space="0"/>
            </w:tcBorders>
            <w:shd w:val="clear" w:color="auto" w:fill="auto"/>
          </w:tcPr>
          <w:p>
            <w:pPr>
              <w:adjustRightInd w:val="0"/>
              <w:snapToGrid w:val="0"/>
              <w:spacing w:line="360" w:lineRule="auto"/>
              <w:jc w:val="both"/>
              <w:rPr>
                <w:rFonts w:ascii="Book Antiqua" w:hAnsi="Book Antiqua" w:eastAsia="等线" w:cs="Arial"/>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adjustRightInd w:val="0"/>
              <w:snapToGrid w:val="0"/>
              <w:spacing w:line="360" w:lineRule="auto"/>
              <w:ind w:firstLine="240" w:firstLineChars="100"/>
              <w:jc w:val="both"/>
              <w:rPr>
                <w:rFonts w:ascii="Book Antiqua" w:hAnsi="Book Antiqua" w:eastAsia="等线"/>
                <w:color w:val="000000"/>
                <w:lang w:eastAsia="zh-CN"/>
              </w:rPr>
            </w:pPr>
            <w:r>
              <w:rPr>
                <w:rFonts w:ascii="Book Antiqua" w:hAnsi="Book Antiqua" w:eastAsia="等线"/>
                <w:color w:val="000000"/>
                <w:lang w:eastAsia="zh-CN"/>
              </w:rPr>
              <w:t>Normal</w:t>
            </w:r>
          </w:p>
        </w:tc>
        <w:tc>
          <w:tcPr>
            <w:tcW w:w="0" w:type="auto"/>
            <w:shd w:val="clear" w:color="auto" w:fill="auto"/>
            <w:vAlign w:val="center"/>
          </w:tcPr>
          <w:p>
            <w:pPr>
              <w:adjustRightInd w:val="0"/>
              <w:snapToGrid w:val="0"/>
              <w:spacing w:line="360" w:lineRule="auto"/>
              <w:jc w:val="both"/>
              <w:rPr>
                <w:rFonts w:ascii="Book Antiqua" w:hAnsi="Book Antiqua" w:eastAsia="等线"/>
                <w:color w:val="000000"/>
                <w:lang w:eastAsia="zh-CN"/>
              </w:rPr>
            </w:pPr>
            <w:r>
              <w:rPr>
                <w:rFonts w:ascii="Book Antiqua" w:hAnsi="Book Antiqua" w:eastAsia="等线"/>
                <w:color w:val="000000"/>
                <w:lang w:eastAsia="zh-CN"/>
              </w:rPr>
              <w:t>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adjustRightInd w:val="0"/>
              <w:snapToGrid w:val="0"/>
              <w:spacing w:line="360" w:lineRule="auto"/>
              <w:ind w:firstLine="240" w:firstLineChars="100"/>
              <w:jc w:val="both"/>
              <w:rPr>
                <w:rFonts w:ascii="Book Antiqua" w:hAnsi="Book Antiqua" w:eastAsia="等线"/>
                <w:color w:val="000000"/>
                <w:lang w:eastAsia="zh-CN"/>
              </w:rPr>
            </w:pPr>
            <w:r>
              <w:rPr>
                <w:rFonts w:ascii="Book Antiqua" w:hAnsi="Book Antiqua" w:eastAsia="等线"/>
                <w:color w:val="000000"/>
                <w:lang w:eastAsia="zh-CN"/>
              </w:rPr>
              <w:t>Focal or diffuse enlargement of the pancreas</w:t>
            </w:r>
          </w:p>
        </w:tc>
        <w:tc>
          <w:tcPr>
            <w:tcW w:w="0" w:type="auto"/>
            <w:shd w:val="clear" w:color="auto" w:fill="auto"/>
            <w:vAlign w:val="center"/>
          </w:tcPr>
          <w:p>
            <w:pPr>
              <w:adjustRightInd w:val="0"/>
              <w:snapToGrid w:val="0"/>
              <w:spacing w:line="360" w:lineRule="auto"/>
              <w:jc w:val="both"/>
              <w:rPr>
                <w:rFonts w:ascii="Book Antiqua" w:hAnsi="Book Antiqua" w:eastAsia="等线"/>
                <w:color w:val="000000"/>
                <w:lang w:eastAsia="zh-CN"/>
              </w:rPr>
            </w:pPr>
            <w:r>
              <w:rPr>
                <w:rFonts w:ascii="Book Antiqua" w:hAnsi="Book Antiqua" w:eastAsia="等线"/>
                <w:color w:val="000000"/>
                <w:lang w:eastAsia="zh-CN"/>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adjustRightInd w:val="0"/>
              <w:snapToGrid w:val="0"/>
              <w:spacing w:line="360" w:lineRule="auto"/>
              <w:jc w:val="both"/>
              <w:rPr>
                <w:rFonts w:ascii="Book Antiqua" w:hAnsi="Book Antiqua" w:eastAsia="等线"/>
                <w:color w:val="000000"/>
                <w:lang w:eastAsia="zh-CN"/>
              </w:rPr>
            </w:pPr>
            <w:r>
              <w:rPr>
                <w:rFonts w:ascii="Book Antiqua" w:hAnsi="Book Antiqua" w:eastAsia="等线"/>
                <w:color w:val="000000"/>
                <w:lang w:eastAsia="zh-CN"/>
              </w:rPr>
              <w:t>Peripancreatic inflammation</w:t>
            </w:r>
          </w:p>
        </w:tc>
        <w:tc>
          <w:tcPr>
            <w:tcW w:w="0" w:type="auto"/>
            <w:shd w:val="clear" w:color="auto" w:fill="auto"/>
            <w:vAlign w:val="center"/>
          </w:tcPr>
          <w:p>
            <w:pPr>
              <w:adjustRightInd w:val="0"/>
              <w:snapToGrid w:val="0"/>
              <w:spacing w:line="360" w:lineRule="auto"/>
              <w:jc w:val="both"/>
              <w:rPr>
                <w:rFonts w:ascii="Book Antiqua" w:hAnsi="Book Antiqua" w:eastAsia="等线"/>
                <w:color w:val="000000"/>
                <w:lang w:eastAsia="zh-CN"/>
              </w:rPr>
            </w:pPr>
            <w:r>
              <w:rPr>
                <w:rFonts w:ascii="Book Antiqua" w:hAnsi="Book Antiqua" w:eastAsia="等线"/>
                <w:color w:val="000000"/>
                <w:lang w:eastAsia="zh-CN"/>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adjustRightInd w:val="0"/>
              <w:snapToGrid w:val="0"/>
              <w:spacing w:line="360" w:lineRule="auto"/>
              <w:ind w:firstLine="240" w:firstLineChars="100"/>
              <w:jc w:val="both"/>
              <w:rPr>
                <w:rFonts w:ascii="Book Antiqua" w:hAnsi="Book Antiqua" w:eastAsia="等线"/>
                <w:color w:val="000000"/>
                <w:lang w:eastAsia="zh-CN"/>
              </w:rPr>
            </w:pPr>
            <w:r>
              <w:rPr>
                <w:rFonts w:ascii="Book Antiqua" w:hAnsi="Book Antiqua" w:eastAsia="等线"/>
                <w:color w:val="000000"/>
                <w:lang w:eastAsia="zh-CN"/>
              </w:rPr>
              <w:t>Fluid collection in a single location</w:t>
            </w:r>
          </w:p>
        </w:tc>
        <w:tc>
          <w:tcPr>
            <w:tcW w:w="0" w:type="auto"/>
            <w:shd w:val="clear" w:color="auto" w:fill="auto"/>
            <w:vAlign w:val="center"/>
          </w:tcPr>
          <w:p>
            <w:pPr>
              <w:adjustRightInd w:val="0"/>
              <w:snapToGrid w:val="0"/>
              <w:spacing w:line="360" w:lineRule="auto"/>
              <w:jc w:val="both"/>
              <w:rPr>
                <w:rFonts w:ascii="Book Antiqua" w:hAnsi="Book Antiqua" w:eastAsia="等线"/>
                <w:color w:val="000000"/>
                <w:lang w:eastAsia="zh-CN"/>
              </w:rPr>
            </w:pPr>
            <w:r>
              <w:rPr>
                <w:rFonts w:ascii="Book Antiqua" w:hAnsi="Book Antiqua" w:eastAsia="等线"/>
                <w:color w:val="000000"/>
                <w:lang w:eastAsia="zh-CN"/>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adjustRightInd w:val="0"/>
              <w:snapToGrid w:val="0"/>
              <w:spacing w:line="360" w:lineRule="auto"/>
              <w:ind w:firstLine="240" w:firstLineChars="100"/>
              <w:jc w:val="both"/>
              <w:rPr>
                <w:rFonts w:ascii="Book Antiqua" w:hAnsi="Book Antiqua" w:eastAsia="等线"/>
                <w:color w:val="000000"/>
                <w:lang w:eastAsia="zh-CN"/>
              </w:rPr>
            </w:pPr>
            <w:r>
              <w:rPr>
                <w:rFonts w:ascii="Book Antiqua" w:hAnsi="Book Antiqua" w:eastAsia="等线"/>
                <w:color w:val="000000"/>
                <w:lang w:eastAsia="zh-CN"/>
              </w:rPr>
              <w:t>Two or more fluid collections and/or the presence of gas in or adjacent to the pancreas</w:t>
            </w:r>
          </w:p>
        </w:tc>
        <w:tc>
          <w:tcPr>
            <w:tcW w:w="0" w:type="auto"/>
            <w:shd w:val="clear" w:color="auto" w:fill="auto"/>
            <w:vAlign w:val="center"/>
          </w:tcPr>
          <w:p>
            <w:pPr>
              <w:adjustRightInd w:val="0"/>
              <w:snapToGrid w:val="0"/>
              <w:spacing w:line="360" w:lineRule="auto"/>
              <w:jc w:val="both"/>
              <w:rPr>
                <w:rFonts w:ascii="Book Antiqua" w:hAnsi="Book Antiqua" w:eastAsia="等线"/>
                <w:color w:val="000000"/>
                <w:lang w:eastAsia="zh-CN"/>
              </w:rPr>
            </w:pPr>
            <w:r>
              <w:rPr>
                <w:rFonts w:ascii="Book Antiqua" w:hAnsi="Book Antiqua" w:eastAsia="等线"/>
                <w:color w:val="000000"/>
                <w:lang w:eastAsia="zh-CN"/>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adjustRightInd w:val="0"/>
              <w:snapToGrid w:val="0"/>
              <w:spacing w:line="360" w:lineRule="auto"/>
              <w:jc w:val="both"/>
              <w:rPr>
                <w:rFonts w:ascii="Book Antiqua" w:hAnsi="Book Antiqua" w:eastAsia="等线"/>
                <w:color w:val="000000"/>
                <w:lang w:eastAsia="zh-CN"/>
              </w:rPr>
            </w:pPr>
            <w:r>
              <w:rPr>
                <w:rFonts w:ascii="Book Antiqua" w:hAnsi="Book Antiqua" w:eastAsia="等线"/>
                <w:color w:val="000000"/>
                <w:lang w:eastAsia="zh-CN"/>
              </w:rPr>
              <w:t>Percent of necrosis</w:t>
            </w:r>
          </w:p>
        </w:tc>
        <w:tc>
          <w:tcPr>
            <w:tcW w:w="0" w:type="auto"/>
            <w:shd w:val="clear" w:color="auto" w:fill="auto"/>
          </w:tcPr>
          <w:p>
            <w:pPr>
              <w:adjustRightInd w:val="0"/>
              <w:snapToGrid w:val="0"/>
              <w:spacing w:line="360" w:lineRule="auto"/>
              <w:jc w:val="both"/>
              <w:rPr>
                <w:rFonts w:ascii="Book Antiqua" w:hAnsi="Book Antiqua" w:eastAsia="等线" w:cs="Arial"/>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adjustRightInd w:val="0"/>
              <w:snapToGrid w:val="0"/>
              <w:spacing w:line="360" w:lineRule="auto"/>
              <w:ind w:firstLine="240" w:firstLineChars="100"/>
              <w:jc w:val="both"/>
              <w:rPr>
                <w:rFonts w:ascii="Book Antiqua" w:hAnsi="Book Antiqua" w:eastAsia="等线"/>
                <w:color w:val="000000"/>
                <w:lang w:eastAsia="zh-CN"/>
              </w:rPr>
            </w:pPr>
            <w:r>
              <w:rPr>
                <w:rFonts w:ascii="Book Antiqua" w:hAnsi="Book Antiqua" w:eastAsia="等线"/>
                <w:color w:val="000000"/>
                <w:lang w:eastAsia="zh-CN"/>
              </w:rPr>
              <w:t>None</w:t>
            </w:r>
          </w:p>
        </w:tc>
        <w:tc>
          <w:tcPr>
            <w:tcW w:w="0" w:type="auto"/>
            <w:shd w:val="clear" w:color="auto" w:fill="auto"/>
            <w:vAlign w:val="center"/>
          </w:tcPr>
          <w:p>
            <w:pPr>
              <w:adjustRightInd w:val="0"/>
              <w:snapToGrid w:val="0"/>
              <w:spacing w:line="360" w:lineRule="auto"/>
              <w:jc w:val="both"/>
              <w:rPr>
                <w:rFonts w:ascii="Book Antiqua" w:hAnsi="Book Antiqua" w:eastAsia="等线"/>
                <w:color w:val="000000"/>
                <w:lang w:eastAsia="zh-CN"/>
              </w:rPr>
            </w:pPr>
            <w:r>
              <w:rPr>
                <w:rFonts w:ascii="Book Antiqua" w:hAnsi="Book Antiqua" w:eastAsia="等线"/>
                <w:color w:val="000000"/>
                <w:lang w:eastAsia="zh-CN"/>
              </w:rPr>
              <w:t>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adjustRightInd w:val="0"/>
              <w:snapToGrid w:val="0"/>
              <w:spacing w:line="360" w:lineRule="auto"/>
              <w:ind w:firstLine="240" w:firstLineChars="100"/>
              <w:jc w:val="both"/>
              <w:rPr>
                <w:rFonts w:ascii="Book Antiqua" w:hAnsi="Book Antiqua" w:eastAsia="等线"/>
                <w:color w:val="000000"/>
                <w:lang w:eastAsia="zh-CN"/>
              </w:rPr>
            </w:pPr>
            <w:r>
              <w:rPr>
                <w:rFonts w:ascii="Book Antiqua" w:hAnsi="Book Antiqua" w:eastAsia="等线"/>
                <w:color w:val="000000"/>
                <w:lang w:eastAsia="zh-CN"/>
              </w:rPr>
              <w:t>&lt; 30%</w:t>
            </w:r>
          </w:p>
        </w:tc>
        <w:tc>
          <w:tcPr>
            <w:tcW w:w="0" w:type="auto"/>
            <w:shd w:val="clear" w:color="auto" w:fill="auto"/>
            <w:vAlign w:val="center"/>
          </w:tcPr>
          <w:p>
            <w:pPr>
              <w:adjustRightInd w:val="0"/>
              <w:snapToGrid w:val="0"/>
              <w:spacing w:line="360" w:lineRule="auto"/>
              <w:jc w:val="both"/>
              <w:rPr>
                <w:rFonts w:ascii="Book Antiqua" w:hAnsi="Book Antiqua" w:eastAsia="等线"/>
                <w:color w:val="000000"/>
                <w:lang w:eastAsia="zh-CN"/>
              </w:rPr>
            </w:pPr>
            <w:r>
              <w:rPr>
                <w:rFonts w:ascii="Book Antiqua" w:hAnsi="Book Antiqua" w:eastAsia="等线"/>
                <w:color w:val="000000"/>
                <w:lang w:eastAsia="zh-CN"/>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adjustRightInd w:val="0"/>
              <w:snapToGrid w:val="0"/>
              <w:spacing w:line="360" w:lineRule="auto"/>
              <w:ind w:firstLine="240" w:firstLineChars="100"/>
              <w:jc w:val="both"/>
              <w:rPr>
                <w:rFonts w:ascii="Book Antiqua" w:hAnsi="Book Antiqua" w:eastAsia="等线"/>
                <w:color w:val="000000"/>
                <w:lang w:eastAsia="zh-CN"/>
              </w:rPr>
            </w:pPr>
            <w:r>
              <w:rPr>
                <w:rFonts w:ascii="Book Antiqua" w:hAnsi="Book Antiqua" w:eastAsia="等线"/>
                <w:color w:val="000000"/>
                <w:lang w:eastAsia="zh-CN"/>
              </w:rPr>
              <w:t>30%-50%</w:t>
            </w:r>
          </w:p>
        </w:tc>
        <w:tc>
          <w:tcPr>
            <w:tcW w:w="0" w:type="auto"/>
            <w:shd w:val="clear" w:color="auto" w:fill="auto"/>
            <w:vAlign w:val="center"/>
          </w:tcPr>
          <w:p>
            <w:pPr>
              <w:adjustRightInd w:val="0"/>
              <w:snapToGrid w:val="0"/>
              <w:spacing w:line="360" w:lineRule="auto"/>
              <w:jc w:val="both"/>
              <w:rPr>
                <w:rFonts w:ascii="Book Antiqua" w:hAnsi="Book Antiqua" w:eastAsia="等线"/>
                <w:color w:val="000000"/>
                <w:lang w:eastAsia="zh-CN"/>
              </w:rPr>
            </w:pPr>
            <w:r>
              <w:rPr>
                <w:rFonts w:ascii="Book Antiqua" w:hAnsi="Book Antiqua" w:eastAsia="等线"/>
                <w:color w:val="000000"/>
                <w:lang w:eastAsia="zh-CN"/>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shd w:val="clear" w:color="auto" w:fill="auto"/>
            <w:vAlign w:val="center"/>
          </w:tcPr>
          <w:p>
            <w:pPr>
              <w:adjustRightInd w:val="0"/>
              <w:snapToGrid w:val="0"/>
              <w:spacing w:line="360" w:lineRule="auto"/>
              <w:ind w:firstLine="240" w:firstLineChars="100"/>
              <w:jc w:val="both"/>
              <w:rPr>
                <w:rFonts w:ascii="Book Antiqua" w:hAnsi="Book Antiqua" w:eastAsia="等线"/>
                <w:color w:val="000000"/>
                <w:lang w:eastAsia="zh-CN"/>
              </w:rPr>
            </w:pPr>
            <w:r>
              <w:rPr>
                <w:rFonts w:ascii="Book Antiqua" w:hAnsi="Book Antiqua" w:eastAsia="等线"/>
                <w:color w:val="000000"/>
                <w:lang w:eastAsia="zh-CN"/>
              </w:rPr>
              <w:t>&gt; 50%</w:t>
            </w:r>
          </w:p>
        </w:tc>
        <w:tc>
          <w:tcPr>
            <w:tcW w:w="0" w:type="auto"/>
            <w:shd w:val="clear" w:color="auto" w:fill="auto"/>
            <w:vAlign w:val="center"/>
          </w:tcPr>
          <w:p>
            <w:pPr>
              <w:adjustRightInd w:val="0"/>
              <w:snapToGrid w:val="0"/>
              <w:spacing w:line="360" w:lineRule="auto"/>
              <w:jc w:val="both"/>
              <w:rPr>
                <w:rFonts w:ascii="Book Antiqua" w:hAnsi="Book Antiqua" w:eastAsia="等线"/>
                <w:color w:val="000000"/>
                <w:lang w:eastAsia="zh-CN"/>
              </w:rPr>
            </w:pPr>
            <w:r>
              <w:rPr>
                <w:rFonts w:ascii="Book Antiqua" w:hAnsi="Book Antiqua" w:eastAsia="等线"/>
                <w:color w:val="000000"/>
                <w:lang w:eastAsia="zh-CN"/>
              </w:rPr>
              <w:t>6</w:t>
            </w:r>
          </w:p>
        </w:tc>
      </w:tr>
    </w:tbl>
    <w:p>
      <w:pPr>
        <w:spacing w:line="360" w:lineRule="auto"/>
        <w:jc w:val="both"/>
        <w:rPr>
          <w:b/>
          <w:bCs/>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b/>
          <w:bC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Segoe UI">
    <w:panose1 w:val="020B0502040204020203"/>
    <w:charset w:val="00"/>
    <w:family w:val="swiss"/>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rPr>
      <w:id w:val="-2078812897"/>
      <w:docPartObj>
        <w:docPartGallery w:val="autotext"/>
      </w:docPartObj>
    </w:sdtPr>
    <w:sdtEndPr>
      <w:rPr>
        <w:rFonts w:ascii="Book Antiqua" w:hAnsi="Book Antiqua"/>
        <w:sz w:val="24"/>
      </w:rPr>
    </w:sdtEndPr>
    <w:sdtContent>
      <w:sdt>
        <w:sdtPr>
          <w:rPr>
            <w:rFonts w:ascii="Book Antiqua" w:hAnsi="Book Antiqua"/>
            <w:sz w:val="24"/>
          </w:rPr>
          <w:id w:val="-1769616900"/>
          <w:docPartObj>
            <w:docPartGallery w:val="autotext"/>
          </w:docPartObj>
        </w:sdtPr>
        <w:sdtEndPr>
          <w:rPr>
            <w:rFonts w:ascii="Book Antiqua" w:hAnsi="Book Antiqua"/>
            <w:sz w:val="24"/>
          </w:rPr>
        </w:sdtEndPr>
        <w:sdtContent>
          <w:p>
            <w:pPr>
              <w:pStyle w:val="4"/>
              <w:jc w:val="right"/>
              <w:rPr>
                <w:rFonts w:ascii="Book Antiqua" w:hAnsi="Book Antiqua"/>
                <w:sz w:val="24"/>
              </w:rPr>
            </w:pPr>
            <w:r>
              <w:rPr>
                <w:rFonts w:ascii="Book Antiqua" w:hAnsi="Book Antiqua"/>
                <w:sz w:val="24"/>
                <w:lang w:val="zh-CN"/>
              </w:rPr>
              <w:t xml:space="preserve"> </w:t>
            </w:r>
            <w:r>
              <w:rPr>
                <w:rFonts w:ascii="Book Antiqua" w:hAnsi="Book Antiqua"/>
                <w:sz w:val="24"/>
              </w:rPr>
              <w:fldChar w:fldCharType="begin"/>
            </w:r>
            <w:r>
              <w:rPr>
                <w:rFonts w:ascii="Book Antiqua" w:hAnsi="Book Antiqua"/>
                <w:sz w:val="24"/>
                <w:szCs w:val="24"/>
              </w:rPr>
              <w:instrText xml:space="preserve">PAGE</w:instrText>
            </w:r>
            <w:r>
              <w:rPr>
                <w:rFonts w:ascii="Book Antiqua" w:hAnsi="Book Antiqua"/>
                <w:sz w:val="24"/>
              </w:rPr>
              <w:fldChar w:fldCharType="separate"/>
            </w:r>
            <w:r>
              <w:rPr>
                <w:rFonts w:ascii="Book Antiqua" w:hAnsi="Book Antiqua"/>
                <w:sz w:val="24"/>
                <w:szCs w:val="24"/>
              </w:rPr>
              <w:t>25</w:t>
            </w:r>
            <w:r>
              <w:rPr>
                <w:rFonts w:ascii="Book Antiqua" w:hAnsi="Book Antiqua"/>
                <w:sz w:val="24"/>
              </w:rPr>
              <w:fldChar w:fldCharType="end"/>
            </w:r>
            <w:r>
              <w:rPr>
                <w:rFonts w:ascii="Book Antiqua" w:hAnsi="Book Antiqua"/>
                <w:sz w:val="24"/>
                <w:lang w:val="zh-CN"/>
              </w:rPr>
              <w:t xml:space="preserve"> / </w:t>
            </w:r>
            <w:r>
              <w:rPr>
                <w:rFonts w:ascii="Book Antiqua" w:hAnsi="Book Antiqua"/>
                <w:sz w:val="24"/>
              </w:rPr>
              <w:fldChar w:fldCharType="begin"/>
            </w:r>
            <w:r>
              <w:rPr>
                <w:rFonts w:ascii="Book Antiqua" w:hAnsi="Book Antiqua"/>
                <w:sz w:val="24"/>
                <w:szCs w:val="24"/>
              </w:rPr>
              <w:instrText xml:space="preserve">NUMPAGES</w:instrText>
            </w:r>
            <w:r>
              <w:rPr>
                <w:rFonts w:ascii="Book Antiqua" w:hAnsi="Book Antiqua"/>
                <w:sz w:val="24"/>
              </w:rPr>
              <w:fldChar w:fldCharType="separate"/>
            </w:r>
            <w:r>
              <w:rPr>
                <w:rFonts w:ascii="Book Antiqua" w:hAnsi="Book Antiqua"/>
                <w:sz w:val="24"/>
                <w:szCs w:val="24"/>
              </w:rPr>
              <w:t>25</w:t>
            </w:r>
            <w:r>
              <w:rPr>
                <w:rFonts w:ascii="Book Antiqua" w:hAnsi="Book Antiqua"/>
                <w:sz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Q1YWIyMTUwNTMzYzY5ODk4ZmYxZmUzMWNlMTBmOTEifQ=="/>
  </w:docVars>
  <w:rsids>
    <w:rsidRoot w:val="00A77B3E"/>
    <w:rsid w:val="00024E2F"/>
    <w:rsid w:val="000337F3"/>
    <w:rsid w:val="00045561"/>
    <w:rsid w:val="000A34DA"/>
    <w:rsid w:val="000B7D71"/>
    <w:rsid w:val="000F7981"/>
    <w:rsid w:val="001B257D"/>
    <w:rsid w:val="001D2845"/>
    <w:rsid w:val="001E38BB"/>
    <w:rsid w:val="00247C53"/>
    <w:rsid w:val="00282FFE"/>
    <w:rsid w:val="0029438A"/>
    <w:rsid w:val="002C3453"/>
    <w:rsid w:val="002E5982"/>
    <w:rsid w:val="002F7127"/>
    <w:rsid w:val="00305CEF"/>
    <w:rsid w:val="00316EF5"/>
    <w:rsid w:val="00333CC0"/>
    <w:rsid w:val="00344DD4"/>
    <w:rsid w:val="003D0237"/>
    <w:rsid w:val="003F4E19"/>
    <w:rsid w:val="00421483"/>
    <w:rsid w:val="0045024D"/>
    <w:rsid w:val="004A0A56"/>
    <w:rsid w:val="004A50D4"/>
    <w:rsid w:val="004C5EE7"/>
    <w:rsid w:val="004F5732"/>
    <w:rsid w:val="00533AF5"/>
    <w:rsid w:val="0057363A"/>
    <w:rsid w:val="005D7F4B"/>
    <w:rsid w:val="005E2271"/>
    <w:rsid w:val="005F4054"/>
    <w:rsid w:val="006149B1"/>
    <w:rsid w:val="00627D7B"/>
    <w:rsid w:val="00682B88"/>
    <w:rsid w:val="006C5216"/>
    <w:rsid w:val="006E22DE"/>
    <w:rsid w:val="007672FE"/>
    <w:rsid w:val="00781A22"/>
    <w:rsid w:val="00795DAC"/>
    <w:rsid w:val="007E3455"/>
    <w:rsid w:val="0081335D"/>
    <w:rsid w:val="00831A35"/>
    <w:rsid w:val="00860B84"/>
    <w:rsid w:val="00862354"/>
    <w:rsid w:val="00880AC3"/>
    <w:rsid w:val="00891F3E"/>
    <w:rsid w:val="008976DF"/>
    <w:rsid w:val="008A3790"/>
    <w:rsid w:val="008A5326"/>
    <w:rsid w:val="008B045F"/>
    <w:rsid w:val="008C7EAF"/>
    <w:rsid w:val="00913CC2"/>
    <w:rsid w:val="00922F46"/>
    <w:rsid w:val="00940C5C"/>
    <w:rsid w:val="00940DF6"/>
    <w:rsid w:val="00946774"/>
    <w:rsid w:val="009B3297"/>
    <w:rsid w:val="009C15F0"/>
    <w:rsid w:val="00A047EC"/>
    <w:rsid w:val="00A06185"/>
    <w:rsid w:val="00A20892"/>
    <w:rsid w:val="00A5502B"/>
    <w:rsid w:val="00A77B3E"/>
    <w:rsid w:val="00A838E5"/>
    <w:rsid w:val="00AC7962"/>
    <w:rsid w:val="00B14410"/>
    <w:rsid w:val="00B27F6A"/>
    <w:rsid w:val="00BA4B3C"/>
    <w:rsid w:val="00C04F89"/>
    <w:rsid w:val="00C17E8C"/>
    <w:rsid w:val="00C6024C"/>
    <w:rsid w:val="00C819B0"/>
    <w:rsid w:val="00CA2A55"/>
    <w:rsid w:val="00CE2A5B"/>
    <w:rsid w:val="00CE4529"/>
    <w:rsid w:val="00CF5549"/>
    <w:rsid w:val="00D018B5"/>
    <w:rsid w:val="00D06516"/>
    <w:rsid w:val="00D3460F"/>
    <w:rsid w:val="00D41CE8"/>
    <w:rsid w:val="00D76726"/>
    <w:rsid w:val="00D802B6"/>
    <w:rsid w:val="00D843EF"/>
    <w:rsid w:val="00E1128B"/>
    <w:rsid w:val="00E44A26"/>
    <w:rsid w:val="00F02C78"/>
    <w:rsid w:val="00F05D48"/>
    <w:rsid w:val="00F1223A"/>
    <w:rsid w:val="00F648DD"/>
    <w:rsid w:val="00F95299"/>
    <w:rsid w:val="00FD3232"/>
    <w:rsid w:val="00FE3310"/>
    <w:rsid w:val="1681379B"/>
    <w:rsid w:val="194F4D5B"/>
    <w:rsid w:val="76160A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Balloon Text"/>
    <w:basedOn w:val="1"/>
    <w:link w:val="18"/>
    <w:qFormat/>
    <w:uiPriority w:val="0"/>
    <w:rPr>
      <w:sz w:val="18"/>
      <w:szCs w:val="18"/>
    </w:rPr>
  </w:style>
  <w:style w:type="paragraph" w:styleId="4">
    <w:name w:val="footer"/>
    <w:basedOn w:val="1"/>
    <w:link w:val="16"/>
    <w:unhideWhenUsed/>
    <w:qFormat/>
    <w:uiPriority w:val="99"/>
    <w:pPr>
      <w:tabs>
        <w:tab w:val="center" w:pos="4153"/>
        <w:tab w:val="right" w:pos="8306"/>
      </w:tabs>
      <w:snapToGrid w:val="0"/>
    </w:pPr>
    <w:rPr>
      <w:sz w:val="18"/>
      <w:szCs w:val="18"/>
    </w:rPr>
  </w:style>
  <w:style w:type="paragraph" w:styleId="5">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4"/>
    <w:semiHidden/>
    <w:unhideWhenUsed/>
    <w:qFormat/>
    <w:uiPriority w:val="0"/>
    <w:rPr>
      <w:b/>
      <w:bCs/>
    </w:rPr>
  </w:style>
  <w:style w:type="character" w:styleId="10">
    <w:name w:val="annotation reference"/>
    <w:basedOn w:val="9"/>
    <w:semiHidden/>
    <w:unhideWhenUsed/>
    <w:qFormat/>
    <w:uiPriority w:val="0"/>
    <w:rPr>
      <w:sz w:val="21"/>
      <w:szCs w:val="21"/>
    </w:rPr>
  </w:style>
  <w:style w:type="character" w:customStyle="1" w:styleId="11">
    <w:name w:val="Apple-converted-space"/>
    <w:basedOn w:val="9"/>
    <w:qFormat/>
    <w:uiPriority w:val="0"/>
  </w:style>
  <w:style w:type="character" w:customStyle="1" w:styleId="12">
    <w:name w:val="apple-converted-space"/>
    <w:basedOn w:val="9"/>
    <w:qFormat/>
    <w:uiPriority w:val="0"/>
  </w:style>
  <w:style w:type="character" w:customStyle="1" w:styleId="13">
    <w:name w:val="批注文字 字符"/>
    <w:basedOn w:val="9"/>
    <w:link w:val="2"/>
    <w:semiHidden/>
    <w:qFormat/>
    <w:uiPriority w:val="0"/>
    <w:rPr>
      <w:sz w:val="24"/>
      <w:szCs w:val="24"/>
    </w:rPr>
  </w:style>
  <w:style w:type="character" w:customStyle="1" w:styleId="14">
    <w:name w:val="批注主题 字符"/>
    <w:basedOn w:val="13"/>
    <w:link w:val="7"/>
    <w:semiHidden/>
    <w:qFormat/>
    <w:uiPriority w:val="0"/>
    <w:rPr>
      <w:b/>
      <w:bCs/>
      <w:sz w:val="24"/>
      <w:szCs w:val="24"/>
    </w:rPr>
  </w:style>
  <w:style w:type="character" w:customStyle="1" w:styleId="15">
    <w:name w:val="页眉 字符"/>
    <w:basedOn w:val="9"/>
    <w:link w:val="5"/>
    <w:qFormat/>
    <w:uiPriority w:val="0"/>
    <w:rPr>
      <w:sz w:val="18"/>
      <w:szCs w:val="18"/>
    </w:rPr>
  </w:style>
  <w:style w:type="character" w:customStyle="1" w:styleId="16">
    <w:name w:val="页脚 字符"/>
    <w:basedOn w:val="9"/>
    <w:link w:val="4"/>
    <w:qFormat/>
    <w:uiPriority w:val="99"/>
    <w:rPr>
      <w:sz w:val="18"/>
      <w:szCs w:val="18"/>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8">
    <w:name w:val="批注框文本 字符"/>
    <w:basedOn w:val="9"/>
    <w:link w:val="3"/>
    <w:qFormat/>
    <w:uiPriority w:val="0"/>
    <w:rPr>
      <w:sz w:val="18"/>
      <w:szCs w:val="18"/>
    </w:rPr>
  </w:style>
  <w:style w:type="character" w:customStyle="1" w:styleId="19">
    <w:name w:val="font31"/>
    <w:basedOn w:val="9"/>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25</Pages>
  <Words>4672</Words>
  <Characters>26634</Characters>
  <Lines>221</Lines>
  <Paragraphs>62</Paragraphs>
  <TotalTime>1</TotalTime>
  <ScaleCrop>false</ScaleCrop>
  <LinksUpToDate>false</LinksUpToDate>
  <CharactersWithSpaces>31244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2023-09-12T18:11:00Z</dcterms:created>
  <dc:creator>Administrator</dc:creator>
  <cp:lastModifiedBy>xzh</cp:lastModifiedBy>
  <dcterms:modified xsi:type="dcterms:W3CDTF">2023-10-24T02:04:54Z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5A56EC79B4AA4B85B71AC44DA78C80C4_12</vt:lpwstr>
  </property>
</Properties>
</file>