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784B5" w14:textId="5B35EEF9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</w:rPr>
        <w:t>Name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of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Journal: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i/>
        </w:rPr>
        <w:t>World</w:t>
      </w:r>
      <w:r w:rsidR="008A3BB0" w:rsidRPr="00CF58AE">
        <w:rPr>
          <w:rFonts w:ascii="Book Antiqua" w:eastAsia="Book Antiqua" w:hAnsi="Book Antiqua" w:cs="Book Antiqua"/>
          <w:i/>
        </w:rPr>
        <w:t xml:space="preserve"> </w:t>
      </w:r>
      <w:r w:rsidRPr="00CF58AE">
        <w:rPr>
          <w:rFonts w:ascii="Book Antiqua" w:eastAsia="Book Antiqua" w:hAnsi="Book Antiqua" w:cs="Book Antiqua"/>
          <w:i/>
        </w:rPr>
        <w:t>Journal</w:t>
      </w:r>
      <w:r w:rsidR="008A3BB0" w:rsidRPr="00CF58AE">
        <w:rPr>
          <w:rFonts w:ascii="Book Antiqua" w:eastAsia="Book Antiqua" w:hAnsi="Book Antiqua" w:cs="Book Antiqua"/>
          <w:i/>
        </w:rPr>
        <w:t xml:space="preserve"> </w:t>
      </w:r>
      <w:r w:rsidRPr="00CF58AE">
        <w:rPr>
          <w:rFonts w:ascii="Book Antiqua" w:eastAsia="Book Antiqua" w:hAnsi="Book Antiqua" w:cs="Book Antiqua"/>
          <w:i/>
        </w:rPr>
        <w:t>of</w:t>
      </w:r>
      <w:r w:rsidR="008A3BB0" w:rsidRPr="00CF58AE">
        <w:rPr>
          <w:rFonts w:ascii="Book Antiqua" w:eastAsia="Book Antiqua" w:hAnsi="Book Antiqua" w:cs="Book Antiqua"/>
          <w:i/>
        </w:rPr>
        <w:t xml:space="preserve"> </w:t>
      </w:r>
      <w:r w:rsidRPr="00CF58AE">
        <w:rPr>
          <w:rFonts w:ascii="Book Antiqua" w:eastAsia="Book Antiqua" w:hAnsi="Book Antiqua" w:cs="Book Antiqua"/>
          <w:i/>
        </w:rPr>
        <w:t>Transplantation</w:t>
      </w:r>
    </w:p>
    <w:p w14:paraId="32FAEC05" w14:textId="0CDE0E45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</w:rPr>
        <w:t>Manuscript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NO: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</w:rPr>
        <w:t>86632</w:t>
      </w:r>
    </w:p>
    <w:p w14:paraId="5F3D549B" w14:textId="4CF4D040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</w:rPr>
        <w:t>Manuscript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Type: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</w:rPr>
        <w:t>MINIREVIEWS</w:t>
      </w:r>
    </w:p>
    <w:p w14:paraId="4EE3A183" w14:textId="77777777" w:rsidR="00A77B3E" w:rsidRPr="00CF58AE" w:rsidRDefault="00A77B3E" w:rsidP="005A21CA">
      <w:pPr>
        <w:spacing w:line="360" w:lineRule="auto"/>
        <w:jc w:val="both"/>
        <w:rPr>
          <w:rFonts w:ascii="Book Antiqua" w:hAnsi="Book Antiqua"/>
        </w:rPr>
      </w:pPr>
    </w:p>
    <w:p w14:paraId="0DB80B50" w14:textId="447C6AC7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</w:rPr>
        <w:t>Impact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of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  <w:b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intra-patient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variability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in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adverse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outcomes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after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organ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transplantation</w:t>
      </w:r>
    </w:p>
    <w:p w14:paraId="6896C50A" w14:textId="77777777" w:rsidR="00A77B3E" w:rsidRPr="00CF58AE" w:rsidRDefault="00A77B3E" w:rsidP="005A21CA">
      <w:pPr>
        <w:spacing w:line="360" w:lineRule="auto"/>
        <w:jc w:val="both"/>
        <w:rPr>
          <w:rFonts w:ascii="Book Antiqua" w:hAnsi="Book Antiqua"/>
        </w:rPr>
      </w:pPr>
    </w:p>
    <w:p w14:paraId="7B120DAF" w14:textId="798208FE" w:rsidR="00A77B3E" w:rsidRPr="00CF58AE" w:rsidRDefault="009E69EF" w:rsidP="005A21CA">
      <w:pPr>
        <w:spacing w:line="360" w:lineRule="auto"/>
        <w:jc w:val="both"/>
        <w:rPr>
          <w:rFonts w:ascii="Book Antiqua" w:hAnsi="Book Antiqua"/>
        </w:rPr>
      </w:pPr>
      <w:proofErr w:type="spellStart"/>
      <w:r w:rsidRPr="00CF58AE">
        <w:rPr>
          <w:rFonts w:ascii="Book Antiqua" w:eastAsia="Book Antiqua" w:hAnsi="Book Antiqua" w:cs="Book Antiqua"/>
        </w:rPr>
        <w:t>Morais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FA3733" w:rsidRPr="00CF58AE">
        <w:rPr>
          <w:rFonts w:ascii="Book Antiqua" w:eastAsia="Book Antiqua" w:hAnsi="Book Antiqua" w:cs="Book Antiqua"/>
          <w:i/>
          <w:iCs/>
        </w:rPr>
        <w:t>et al</w:t>
      </w:r>
      <w:r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Pr="00CF58AE">
        <w:rPr>
          <w:rFonts w:ascii="Book Antiqua" w:eastAsia="Book Antiqua" w:hAnsi="Book Antiqua" w:cs="Book Antiqua"/>
        </w:rPr>
        <w:t>-IPV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organ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transplantation</w:t>
      </w:r>
    </w:p>
    <w:p w14:paraId="7EA3F8D8" w14:textId="77777777" w:rsidR="00A77B3E" w:rsidRPr="00CF58AE" w:rsidRDefault="00A77B3E" w:rsidP="005A21CA">
      <w:pPr>
        <w:spacing w:line="360" w:lineRule="auto"/>
        <w:jc w:val="both"/>
        <w:rPr>
          <w:rFonts w:ascii="Book Antiqua" w:hAnsi="Book Antiqua"/>
        </w:rPr>
      </w:pPr>
    </w:p>
    <w:p w14:paraId="738E637D" w14:textId="5D923215" w:rsidR="00A77B3E" w:rsidRPr="003354B3" w:rsidRDefault="00C35F7B" w:rsidP="005A21CA">
      <w:pPr>
        <w:spacing w:line="360" w:lineRule="auto"/>
        <w:jc w:val="both"/>
        <w:rPr>
          <w:rFonts w:ascii="Book Antiqua" w:hAnsi="Book Antiqua"/>
          <w:lang w:val="pt-BR"/>
        </w:rPr>
      </w:pPr>
      <w:r w:rsidRPr="003354B3">
        <w:rPr>
          <w:rFonts w:ascii="Book Antiqua" w:eastAsia="Book Antiqua" w:hAnsi="Book Antiqua" w:cs="Book Antiqua"/>
          <w:lang w:val="pt-BR"/>
        </w:rPr>
        <w:t>Maria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Clara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Morais,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Maria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Eduarda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Soares,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Gabriela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Costa,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Laura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Guerra,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Nayana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Vaz,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Liana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Codes,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Paulo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Lisboa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Bittencourt</w:t>
      </w:r>
    </w:p>
    <w:p w14:paraId="388B9757" w14:textId="77777777" w:rsidR="00A77B3E" w:rsidRPr="003354B3" w:rsidRDefault="00A77B3E" w:rsidP="005A21CA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5E39B1DB" w14:textId="29FE3E4F" w:rsidR="00A77B3E" w:rsidRPr="003354B3" w:rsidRDefault="00C35F7B" w:rsidP="005A21CA">
      <w:pPr>
        <w:spacing w:line="360" w:lineRule="auto"/>
        <w:jc w:val="both"/>
        <w:rPr>
          <w:rFonts w:ascii="Book Antiqua" w:hAnsi="Book Antiqua"/>
          <w:lang w:val="pt-BR"/>
        </w:rPr>
      </w:pPr>
      <w:r w:rsidRPr="003354B3">
        <w:rPr>
          <w:rFonts w:ascii="Book Antiqua" w:eastAsia="Book Antiqua" w:hAnsi="Book Antiqua" w:cs="Book Antiqua"/>
          <w:b/>
          <w:bCs/>
          <w:lang w:val="pt-BR"/>
        </w:rPr>
        <w:t>Maria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b/>
          <w:bCs/>
          <w:lang w:val="pt-BR"/>
        </w:rPr>
        <w:t>Clara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b/>
          <w:bCs/>
          <w:lang w:val="pt-BR"/>
        </w:rPr>
        <w:t>Morais,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b/>
          <w:bCs/>
          <w:lang w:val="pt-BR"/>
        </w:rPr>
        <w:t>Gabriela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b/>
          <w:bCs/>
          <w:lang w:val="pt-BR"/>
        </w:rPr>
        <w:t>Costa,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b/>
          <w:bCs/>
          <w:lang w:val="pt-BR"/>
        </w:rPr>
        <w:t>Laura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b/>
          <w:bCs/>
          <w:lang w:val="pt-BR"/>
        </w:rPr>
        <w:t>Guerra,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b/>
          <w:bCs/>
          <w:lang w:val="pt-BR"/>
        </w:rPr>
        <w:t>Nayana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b/>
          <w:bCs/>
          <w:lang w:val="pt-BR"/>
        </w:rPr>
        <w:t>Vaz,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b/>
          <w:bCs/>
          <w:lang w:val="pt-BR"/>
        </w:rPr>
        <w:t>Liana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b/>
          <w:bCs/>
          <w:lang w:val="pt-BR"/>
        </w:rPr>
        <w:t>Codes,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b/>
          <w:bCs/>
          <w:lang w:val="pt-BR"/>
        </w:rPr>
        <w:t>Paulo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b/>
          <w:bCs/>
          <w:lang w:val="pt-BR"/>
        </w:rPr>
        <w:t>Lisboa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b/>
          <w:bCs/>
          <w:lang w:val="pt-BR"/>
        </w:rPr>
        <w:t>Bittencourt,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School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of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Medicine,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Bahiana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School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of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Medicine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and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Public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Health,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Salvador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40290-000,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Bahia,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Brazil</w:t>
      </w:r>
    </w:p>
    <w:p w14:paraId="666902D0" w14:textId="77777777" w:rsidR="00A77B3E" w:rsidRPr="003354B3" w:rsidRDefault="00A77B3E" w:rsidP="005A21CA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659DC0C0" w14:textId="2E40E168" w:rsidR="00A77B3E" w:rsidRPr="003354B3" w:rsidRDefault="00C35F7B" w:rsidP="005A21CA">
      <w:pPr>
        <w:spacing w:line="360" w:lineRule="auto"/>
        <w:jc w:val="both"/>
        <w:rPr>
          <w:rFonts w:ascii="Book Antiqua" w:hAnsi="Book Antiqua"/>
          <w:lang w:val="pt-BR"/>
        </w:rPr>
      </w:pPr>
      <w:r w:rsidRPr="003354B3">
        <w:rPr>
          <w:rFonts w:ascii="Book Antiqua" w:eastAsia="Book Antiqua" w:hAnsi="Book Antiqua" w:cs="Book Antiqua"/>
          <w:b/>
          <w:bCs/>
          <w:lang w:val="pt-BR"/>
        </w:rPr>
        <w:t>Maria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b/>
          <w:bCs/>
          <w:lang w:val="pt-BR"/>
        </w:rPr>
        <w:t>Eduarda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b/>
          <w:bCs/>
          <w:lang w:val="pt-BR"/>
        </w:rPr>
        <w:t>Soares,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School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of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Medicine,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Federal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University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of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Bahia,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Salvador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40110-100,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Bahia,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Brazil</w:t>
      </w:r>
    </w:p>
    <w:p w14:paraId="6FF861C2" w14:textId="77777777" w:rsidR="00A77B3E" w:rsidRPr="003354B3" w:rsidRDefault="00A77B3E" w:rsidP="005A21CA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26CB51C7" w14:textId="3D7A24CD" w:rsidR="00A77B3E" w:rsidRPr="003354B3" w:rsidRDefault="009E69EF" w:rsidP="005A21CA">
      <w:pPr>
        <w:spacing w:line="360" w:lineRule="auto"/>
        <w:jc w:val="both"/>
        <w:rPr>
          <w:rFonts w:ascii="Book Antiqua" w:hAnsi="Book Antiqua"/>
          <w:lang w:val="pt-BR"/>
        </w:rPr>
      </w:pPr>
      <w:r w:rsidRPr="003354B3">
        <w:rPr>
          <w:rFonts w:ascii="Book Antiqua" w:eastAsia="Book Antiqua" w:hAnsi="Book Antiqua" w:cs="Book Antiqua"/>
          <w:b/>
          <w:bCs/>
          <w:lang w:val="pt-BR"/>
        </w:rPr>
        <w:t>Nayana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b/>
          <w:bCs/>
          <w:lang w:val="pt-BR"/>
        </w:rPr>
        <w:t>Vaz,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b/>
          <w:bCs/>
          <w:lang w:val="pt-BR"/>
        </w:rPr>
        <w:t>Liana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b/>
          <w:bCs/>
          <w:lang w:val="pt-BR"/>
        </w:rPr>
        <w:t>Codes,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b/>
          <w:bCs/>
          <w:lang w:val="pt-BR"/>
        </w:rPr>
        <w:t>Paulo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b/>
          <w:bCs/>
          <w:lang w:val="pt-BR"/>
        </w:rPr>
        <w:t>Lisboa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b/>
          <w:bCs/>
          <w:lang w:val="pt-BR"/>
        </w:rPr>
        <w:t>Bittencourt,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Unit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of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Gastroenterology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and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Hepatology,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Portuguese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Hospital,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Salvador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40130-030,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Bahia,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Brazil</w:t>
      </w:r>
    </w:p>
    <w:p w14:paraId="5E2CA9D7" w14:textId="77777777" w:rsidR="00A77B3E" w:rsidRPr="003354B3" w:rsidRDefault="00A77B3E" w:rsidP="005A21CA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5F7B28D8" w14:textId="50D0F275" w:rsidR="00BB3914" w:rsidRPr="00BB3914" w:rsidRDefault="00C35F7B" w:rsidP="005A21CA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BB3914">
        <w:rPr>
          <w:rFonts w:ascii="Book Antiqua" w:eastAsia="Book Antiqua" w:hAnsi="Book Antiqua" w:cs="Book Antiqua"/>
          <w:b/>
          <w:bCs/>
        </w:rPr>
        <w:t>Author</w:t>
      </w:r>
      <w:r w:rsidR="008A3BB0" w:rsidRPr="00BB3914">
        <w:rPr>
          <w:rFonts w:ascii="Book Antiqua" w:eastAsia="Book Antiqua" w:hAnsi="Book Antiqua" w:cs="Book Antiqua"/>
          <w:b/>
          <w:bCs/>
        </w:rPr>
        <w:t xml:space="preserve"> </w:t>
      </w:r>
      <w:r w:rsidRPr="00BB3914">
        <w:rPr>
          <w:rFonts w:ascii="Book Antiqua" w:eastAsia="Book Antiqua" w:hAnsi="Book Antiqua" w:cs="Book Antiqua"/>
          <w:b/>
          <w:bCs/>
        </w:rPr>
        <w:t>contributions:</w:t>
      </w:r>
      <w:r w:rsidR="008A3BB0" w:rsidRPr="00BB3914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BB3914" w:rsidRPr="00BB3914">
        <w:rPr>
          <w:rFonts w:ascii="Book Antiqua" w:eastAsia="Book Antiqua" w:hAnsi="Book Antiqua" w:cs="Book Antiqua"/>
        </w:rPr>
        <w:t>Morais</w:t>
      </w:r>
      <w:proofErr w:type="spellEnd"/>
      <w:r w:rsidR="00BB3914" w:rsidRPr="00BB3914">
        <w:rPr>
          <w:rFonts w:ascii="Book Antiqua" w:eastAsia="Book Antiqua" w:hAnsi="Book Antiqua" w:cs="Book Antiqua"/>
        </w:rPr>
        <w:t xml:space="preserve"> MC, Codes L, and </w:t>
      </w:r>
      <w:proofErr w:type="spellStart"/>
      <w:r w:rsidR="00BB3914" w:rsidRPr="00BB3914">
        <w:rPr>
          <w:rFonts w:ascii="Book Antiqua" w:eastAsia="Book Antiqua" w:hAnsi="Book Antiqua" w:cs="Book Antiqua"/>
        </w:rPr>
        <w:t>Bittencourt</w:t>
      </w:r>
      <w:proofErr w:type="spellEnd"/>
      <w:r w:rsidR="00BB3914" w:rsidRPr="00BB3914">
        <w:rPr>
          <w:rFonts w:ascii="Book Antiqua" w:eastAsia="Book Antiqua" w:hAnsi="Book Antiqua" w:cs="Book Antiqua"/>
        </w:rPr>
        <w:t xml:space="preserve"> PL contributed to concept and design; </w:t>
      </w:r>
      <w:proofErr w:type="spellStart"/>
      <w:r w:rsidR="00BB3914" w:rsidRPr="00BB3914">
        <w:rPr>
          <w:rFonts w:ascii="Book Antiqua" w:eastAsia="Book Antiqua" w:hAnsi="Book Antiqua" w:cs="Book Antiqua"/>
        </w:rPr>
        <w:t>Morais</w:t>
      </w:r>
      <w:proofErr w:type="spellEnd"/>
      <w:r w:rsidR="00BB3914" w:rsidRPr="00BB3914">
        <w:rPr>
          <w:rFonts w:ascii="Book Antiqua" w:eastAsia="Book Antiqua" w:hAnsi="Book Antiqua" w:cs="Book Antiqua"/>
        </w:rPr>
        <w:t xml:space="preserve"> MC, Costa G, Guerra L, </w:t>
      </w:r>
      <w:proofErr w:type="spellStart"/>
      <w:r w:rsidR="00BB3914" w:rsidRPr="00BB3914">
        <w:rPr>
          <w:rFonts w:ascii="Book Antiqua" w:eastAsia="Book Antiqua" w:hAnsi="Book Antiqua" w:cs="Book Antiqua"/>
        </w:rPr>
        <w:t>Vaz</w:t>
      </w:r>
      <w:proofErr w:type="spellEnd"/>
      <w:r w:rsidR="00BB3914" w:rsidRPr="00BB3914">
        <w:rPr>
          <w:rFonts w:ascii="Book Antiqua" w:eastAsia="Book Antiqua" w:hAnsi="Book Antiqua" w:cs="Book Antiqua"/>
        </w:rPr>
        <w:t xml:space="preserve"> N, Codes L, and </w:t>
      </w:r>
      <w:proofErr w:type="spellStart"/>
      <w:r w:rsidR="00BB3914" w:rsidRPr="00BB3914">
        <w:rPr>
          <w:rFonts w:ascii="Book Antiqua" w:eastAsia="Book Antiqua" w:hAnsi="Book Antiqua" w:cs="Book Antiqua"/>
        </w:rPr>
        <w:t>Bittencourt</w:t>
      </w:r>
      <w:proofErr w:type="spellEnd"/>
      <w:r w:rsidR="00BB3914" w:rsidRPr="00BB3914">
        <w:rPr>
          <w:rFonts w:ascii="Book Antiqua" w:eastAsia="Book Antiqua" w:hAnsi="Book Antiqua" w:cs="Book Antiqua"/>
        </w:rPr>
        <w:t xml:space="preserve"> PL contributed to drafting of the manuscript; </w:t>
      </w:r>
      <w:r w:rsidR="00BB3914" w:rsidRPr="00BB3914">
        <w:rPr>
          <w:rFonts w:ascii="Book Antiqua" w:hAnsi="Book Antiqua" w:cs="Book Antiqua" w:hint="eastAsia"/>
          <w:lang w:eastAsia="zh-CN"/>
        </w:rPr>
        <w:t>a</w:t>
      </w:r>
      <w:r w:rsidR="00BB3914" w:rsidRPr="00BB3914">
        <w:rPr>
          <w:rFonts w:ascii="Book Antiqua" w:eastAsia="Book Antiqua" w:hAnsi="Book Antiqua" w:cs="Book Antiqua"/>
        </w:rPr>
        <w:t>nd all authors have read and approved the final version of the manuscript.</w:t>
      </w:r>
    </w:p>
    <w:p w14:paraId="2C02F28E" w14:textId="77777777" w:rsidR="00A77B3E" w:rsidRPr="00CF58AE" w:rsidRDefault="00A77B3E" w:rsidP="005A21CA">
      <w:pPr>
        <w:spacing w:line="360" w:lineRule="auto"/>
        <w:jc w:val="both"/>
        <w:rPr>
          <w:rFonts w:ascii="Book Antiqua" w:hAnsi="Book Antiqua"/>
        </w:rPr>
      </w:pPr>
    </w:p>
    <w:p w14:paraId="081FEA29" w14:textId="16C415DA" w:rsidR="00A77B3E" w:rsidRPr="003354B3" w:rsidRDefault="00C35F7B" w:rsidP="005A21CA">
      <w:pPr>
        <w:spacing w:line="360" w:lineRule="auto"/>
        <w:jc w:val="both"/>
        <w:rPr>
          <w:rFonts w:ascii="Book Antiqua" w:hAnsi="Book Antiqua"/>
          <w:lang w:val="pt-BR"/>
        </w:rPr>
      </w:pPr>
      <w:r w:rsidRPr="00CF58AE">
        <w:rPr>
          <w:rFonts w:ascii="Book Antiqua" w:eastAsia="Book Antiqua" w:hAnsi="Book Antiqua" w:cs="Book Antiqua"/>
          <w:b/>
          <w:bCs/>
        </w:rPr>
        <w:lastRenderedPageBreak/>
        <w:t>Corresponding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</w:rPr>
        <w:t>author: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</w:rPr>
        <w:t>Paulo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  <w:b/>
          <w:bCs/>
        </w:rPr>
        <w:t>Lisboa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  <w:b/>
          <w:bCs/>
        </w:rPr>
        <w:t>Bittencourt</w:t>
      </w:r>
      <w:proofErr w:type="spellEnd"/>
      <w:r w:rsidRPr="00CF58AE">
        <w:rPr>
          <w:rFonts w:ascii="Book Antiqua" w:eastAsia="Book Antiqua" w:hAnsi="Book Antiqua" w:cs="Book Antiqua"/>
          <w:b/>
          <w:bCs/>
        </w:rPr>
        <w:t>,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</w:rPr>
        <w:t>MD,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</w:rPr>
        <w:t>PhD,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</w:rPr>
        <w:t>Chief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</w:rPr>
        <w:t>Doctor,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="00A4684A" w:rsidRPr="00CF58AE">
        <w:rPr>
          <w:rFonts w:ascii="Book Antiqua" w:eastAsia="Book Antiqua" w:hAnsi="Book Antiqua" w:cs="Book Antiqua"/>
        </w:rPr>
        <w:t>Unit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A4684A"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A4684A" w:rsidRPr="00CF58AE">
        <w:rPr>
          <w:rFonts w:ascii="Book Antiqua" w:eastAsia="Book Antiqua" w:hAnsi="Book Antiqua" w:cs="Book Antiqua"/>
        </w:rPr>
        <w:t>Gastroenterology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A4684A"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A4684A" w:rsidRPr="00CF58AE">
        <w:rPr>
          <w:rFonts w:ascii="Book Antiqua" w:eastAsia="Book Antiqua" w:hAnsi="Book Antiqua" w:cs="Book Antiqua"/>
        </w:rPr>
        <w:t>Hepatology</w:t>
      </w:r>
      <w:proofErr w:type="spellEnd"/>
      <w:r w:rsidR="00A4684A" w:rsidRPr="00CF58AE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A4684A" w:rsidRPr="00CF58AE">
        <w:rPr>
          <w:rFonts w:ascii="Book Antiqua" w:eastAsia="Book Antiqua" w:hAnsi="Book Antiqua" w:cs="Book Antiqua"/>
        </w:rPr>
        <w:t>Portuguese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A4684A" w:rsidRPr="00CF58AE">
        <w:rPr>
          <w:rFonts w:ascii="Book Antiqua" w:eastAsia="Book Antiqua" w:hAnsi="Book Antiqua" w:cs="Book Antiqua"/>
        </w:rPr>
        <w:t>Hospital,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A4684A" w:rsidRPr="00CF58AE">
        <w:rPr>
          <w:rFonts w:ascii="Book Antiqua" w:eastAsia="Book Antiqua" w:hAnsi="Book Antiqua" w:cs="Book Antiqua"/>
        </w:rPr>
        <w:t>914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A4684A" w:rsidRPr="00CF58AE">
        <w:rPr>
          <w:rFonts w:ascii="Book Antiqua" w:eastAsia="Book Antiqua" w:hAnsi="Book Antiqua" w:cs="Book Antiqua"/>
        </w:rPr>
        <w:t>Av.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A4684A" w:rsidRPr="003354B3">
        <w:rPr>
          <w:rFonts w:ascii="Book Antiqua" w:eastAsia="Book Antiqua" w:hAnsi="Book Antiqua" w:cs="Book Antiqua"/>
          <w:lang w:val="pt-BR"/>
        </w:rPr>
        <w:t>Princesa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="00A4684A" w:rsidRPr="003354B3">
        <w:rPr>
          <w:rFonts w:ascii="Book Antiqua" w:eastAsia="Book Antiqua" w:hAnsi="Book Antiqua" w:cs="Book Antiqua"/>
          <w:lang w:val="pt-BR"/>
        </w:rPr>
        <w:t>Isabel,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="00A4684A" w:rsidRPr="003354B3">
        <w:rPr>
          <w:rFonts w:ascii="Book Antiqua" w:eastAsia="Book Antiqua" w:hAnsi="Book Antiqua" w:cs="Book Antiqua"/>
          <w:lang w:val="pt-BR"/>
        </w:rPr>
        <w:t>Barra,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="00A4684A" w:rsidRPr="003354B3">
        <w:rPr>
          <w:rFonts w:ascii="Book Antiqua" w:eastAsia="Book Antiqua" w:hAnsi="Book Antiqua" w:cs="Book Antiqua"/>
          <w:lang w:val="pt-BR"/>
        </w:rPr>
        <w:t>Salvador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="00A4684A" w:rsidRPr="003354B3">
        <w:rPr>
          <w:rFonts w:ascii="Book Antiqua" w:eastAsia="Book Antiqua" w:hAnsi="Book Antiqua" w:cs="Book Antiqua"/>
          <w:lang w:val="pt-BR"/>
        </w:rPr>
        <w:t>40130-030,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="00A4684A" w:rsidRPr="003354B3">
        <w:rPr>
          <w:rFonts w:ascii="Book Antiqua" w:eastAsia="Book Antiqua" w:hAnsi="Book Antiqua" w:cs="Book Antiqua"/>
          <w:lang w:val="pt-BR"/>
        </w:rPr>
        <w:t>Bahia,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="00A4684A" w:rsidRPr="003354B3">
        <w:rPr>
          <w:rFonts w:ascii="Book Antiqua" w:eastAsia="Book Antiqua" w:hAnsi="Book Antiqua" w:cs="Book Antiqua"/>
          <w:lang w:val="pt-BR"/>
        </w:rPr>
        <w:t>Brazil.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="00A4684A" w:rsidRPr="003354B3">
        <w:rPr>
          <w:rFonts w:ascii="Book Antiqua" w:eastAsia="Book Antiqua" w:hAnsi="Book Antiqua" w:cs="Book Antiqua"/>
          <w:lang w:val="pt-BR"/>
        </w:rPr>
        <w:t>plbbr@uol.com.br</w:t>
      </w:r>
    </w:p>
    <w:p w14:paraId="4B66DFB1" w14:textId="77777777" w:rsidR="00A77B3E" w:rsidRPr="003354B3" w:rsidRDefault="00A77B3E" w:rsidP="005A21CA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44A05700" w14:textId="5C5954F7" w:rsidR="00A77B3E" w:rsidRPr="003354B3" w:rsidRDefault="00C35F7B" w:rsidP="005A21CA">
      <w:pPr>
        <w:spacing w:line="360" w:lineRule="auto"/>
        <w:jc w:val="both"/>
        <w:rPr>
          <w:rFonts w:ascii="Book Antiqua" w:hAnsi="Book Antiqua"/>
          <w:lang w:val="pt-BR"/>
        </w:rPr>
      </w:pPr>
      <w:r w:rsidRPr="003354B3">
        <w:rPr>
          <w:rFonts w:ascii="Book Antiqua" w:eastAsia="Book Antiqua" w:hAnsi="Book Antiqua" w:cs="Book Antiqua"/>
          <w:b/>
          <w:bCs/>
          <w:lang w:val="pt-BR"/>
        </w:rPr>
        <w:t>Received:</w:t>
      </w:r>
      <w:r w:rsidR="008A3BB0" w:rsidRPr="003354B3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June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28,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Pr="003354B3">
        <w:rPr>
          <w:rFonts w:ascii="Book Antiqua" w:eastAsia="Book Antiqua" w:hAnsi="Book Antiqua" w:cs="Book Antiqua"/>
          <w:lang w:val="pt-BR"/>
        </w:rPr>
        <w:t>2023</w:t>
      </w:r>
    </w:p>
    <w:p w14:paraId="563682B3" w14:textId="6BA8EECB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  <w:bCs/>
        </w:rPr>
        <w:t>Revised: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="002958F7" w:rsidRPr="00CF58AE">
        <w:rPr>
          <w:rFonts w:ascii="Book Antiqua" w:eastAsia="Book Antiqua" w:hAnsi="Book Antiqua" w:cs="Book Antiqua"/>
        </w:rPr>
        <w:t>July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2958F7" w:rsidRPr="00CF58AE">
        <w:rPr>
          <w:rFonts w:ascii="Book Antiqua" w:eastAsia="Book Antiqua" w:hAnsi="Book Antiqua" w:cs="Book Antiqua"/>
        </w:rPr>
        <w:t>31,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2958F7" w:rsidRPr="00CF58AE">
        <w:rPr>
          <w:rFonts w:ascii="Book Antiqua" w:eastAsia="Book Antiqua" w:hAnsi="Book Antiqua" w:cs="Book Antiqua"/>
        </w:rPr>
        <w:t>2023</w:t>
      </w:r>
    </w:p>
    <w:p w14:paraId="0440F5DB" w14:textId="54842261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  <w:bCs/>
        </w:rPr>
        <w:t>Accepted: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="00CF46F7" w:rsidRPr="00CF46F7">
        <w:rPr>
          <w:rFonts w:ascii="Book Antiqua" w:eastAsia="Book Antiqua" w:hAnsi="Book Antiqua" w:cs="Book Antiqua"/>
        </w:rPr>
        <w:t>August 11, 2023</w:t>
      </w:r>
    </w:p>
    <w:p w14:paraId="4B248A74" w14:textId="3BE21C55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  <w:bCs/>
        </w:rPr>
        <w:t>Published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</w:rPr>
        <w:t>online:</w:t>
      </w:r>
      <w:r w:rsidR="008756DA">
        <w:rPr>
          <w:rFonts w:ascii="Book Antiqua" w:hAnsi="Book Antiqua" w:cs="Book Antiqua" w:hint="eastAsia"/>
          <w:b/>
          <w:bCs/>
          <w:lang w:eastAsia="zh-CN"/>
        </w:rPr>
        <w:t xml:space="preserve"> </w:t>
      </w:r>
      <w:r w:rsidR="008756DA" w:rsidRPr="00E16C16">
        <w:rPr>
          <w:rFonts w:ascii="Book Antiqua" w:hAnsi="Book Antiqua" w:cs="Book Antiqua"/>
          <w:bCs/>
          <w:lang w:eastAsia="zh-CN"/>
        </w:rPr>
        <w:t>September 18, 2023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</w:p>
    <w:p w14:paraId="53E0714F" w14:textId="77777777" w:rsidR="00A77B3E" w:rsidRPr="00CF58AE" w:rsidRDefault="00A77B3E" w:rsidP="005A21CA">
      <w:pPr>
        <w:spacing w:line="360" w:lineRule="auto"/>
        <w:jc w:val="both"/>
        <w:rPr>
          <w:rFonts w:ascii="Book Antiqua" w:hAnsi="Book Antiqua"/>
        </w:rPr>
        <w:sectPr w:rsidR="00A77B3E" w:rsidRPr="00CF58A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67D67D" w14:textId="77777777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</w:rPr>
        <w:lastRenderedPageBreak/>
        <w:t>Abstract</w:t>
      </w:r>
    </w:p>
    <w:p w14:paraId="7E9C5DBC" w14:textId="1E4EF766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proofErr w:type="spellStart"/>
      <w:r w:rsidRPr="00CF58AE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</w:t>
      </w:r>
      <w:proofErr w:type="spellStart"/>
      <w:proofErr w:type="gramStart"/>
      <w:r w:rsidRPr="00CF58AE">
        <w:rPr>
          <w:rFonts w:ascii="Book Antiqua" w:eastAsia="Book Antiqua" w:hAnsi="Book Antiqua" w:cs="Book Antiqua"/>
        </w:rPr>
        <w:t>Tac</w:t>
      </w:r>
      <w:proofErr w:type="spellEnd"/>
      <w:proofErr w:type="gramEnd"/>
      <w:r w:rsidRPr="00CF58AE">
        <w:rPr>
          <w:rFonts w:ascii="Book Antiqua" w:eastAsia="Book Antiqua" w:hAnsi="Book Antiqua" w:cs="Book Antiqua"/>
        </w:rPr>
        <w:t>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currently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most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common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calcineurin</w:t>
      </w:r>
      <w:proofErr w:type="spellEnd"/>
      <w:r w:rsidRPr="00CF58AE">
        <w:rPr>
          <w:rFonts w:ascii="Book Antiqua" w:eastAsia="Book Antiqua" w:hAnsi="Book Antiqua" w:cs="Book Antiqua"/>
        </w:rPr>
        <w:t>-inhibitor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employed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solid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organ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transplantation.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intra-patient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(IPV)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CF58AE">
        <w:rPr>
          <w:rFonts w:ascii="Book Antiqua" w:eastAsia="Book Antiqua" w:hAnsi="Book Antiqua" w:cs="Book Antiqua"/>
        </w:rPr>
        <w:t>Tac</w:t>
      </w:r>
      <w:proofErr w:type="spellEnd"/>
      <w:proofErr w:type="gram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increased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risk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immune-mediated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rejection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poor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transplantation.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Few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data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available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concerning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impact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non-kidney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However,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even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transplantation,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still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controversy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whether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indeed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detrimental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respect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and/or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survival.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may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due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different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methods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employed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evaluate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distinct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time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frames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adopted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assess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survival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those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reports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published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up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now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literature.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Little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also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known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about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influence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development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other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untoward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adverse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events,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update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current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knowledge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regarding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impact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different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following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kidney,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liver,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heart,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lung,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pancreas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better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evaluate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clinical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practice.</w:t>
      </w:r>
    </w:p>
    <w:p w14:paraId="4FC4FDD1" w14:textId="77777777" w:rsidR="00A77B3E" w:rsidRPr="00CF58AE" w:rsidRDefault="00A77B3E" w:rsidP="005A21CA">
      <w:pPr>
        <w:spacing w:line="360" w:lineRule="auto"/>
        <w:jc w:val="both"/>
        <w:rPr>
          <w:rFonts w:ascii="Book Antiqua" w:hAnsi="Book Antiqua"/>
        </w:rPr>
      </w:pPr>
    </w:p>
    <w:p w14:paraId="534A12F7" w14:textId="71CC5F25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  <w:bCs/>
        </w:rPr>
        <w:t>Key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</w:rPr>
        <w:t>Words: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Tacrolimus</w:t>
      </w:r>
      <w:proofErr w:type="spellEnd"/>
      <w:r w:rsidRPr="00CF58AE">
        <w:rPr>
          <w:rFonts w:ascii="Book Antiqua" w:eastAsia="Book Antiqua" w:hAnsi="Book Antiqua" w:cs="Book Antiqua"/>
        </w:rPr>
        <w:t>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Intra-patient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variability;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Rejection;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Organ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transplantation;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survival;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Outcomes</w:t>
      </w:r>
    </w:p>
    <w:p w14:paraId="5BC677FA" w14:textId="77777777" w:rsidR="00A77B3E" w:rsidRDefault="00A77B3E" w:rsidP="005A21CA">
      <w:pPr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5F75E0CC" w14:textId="77777777" w:rsidR="00FD71F0" w:rsidRPr="000012EE" w:rsidRDefault="00FD71F0" w:rsidP="00FD71F0">
      <w:pPr>
        <w:rPr>
          <w:rFonts w:ascii="Book Antiqua" w:hAnsi="Book Antiqua" w:cs="Book Antiqua"/>
          <w:color w:val="000000"/>
          <w:lang w:eastAsia="zh-CN"/>
        </w:rPr>
      </w:pPr>
      <w:proofErr w:type="gramStart"/>
      <w:r w:rsidRPr="00BB2134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BB2134">
        <w:rPr>
          <w:rFonts w:ascii="Book Antiqua" w:eastAsia="Book Antiqua" w:hAnsi="Book Antiqua" w:cs="Book Antiqua"/>
          <w:b/>
          <w:color w:val="000000"/>
        </w:rPr>
        <w:t>The</w:t>
      </w:r>
      <w:r w:rsidRPr="00BB2134">
        <w:rPr>
          <w:rFonts w:ascii="Book Antiqua" w:eastAsia="Book Antiqua" w:hAnsi="Book Antiqua" w:cs="Book Antiqua"/>
          <w:color w:val="000000"/>
        </w:rPr>
        <w:t xml:space="preserve"> </w:t>
      </w:r>
      <w:r w:rsidRPr="00BB2134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  <w:lang w:eastAsia="zh-CN"/>
        </w:rPr>
        <w:t>3</w:t>
      </w:r>
      <w:r w:rsidRPr="00BB2134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BB213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BB2134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BB2134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BB2134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BB2134">
        <w:rPr>
          <w:rFonts w:ascii="Book Antiqua" w:eastAsia="Book Antiqua" w:hAnsi="Book Antiqua" w:cs="Book Antiqua"/>
          <w:color w:val="000000"/>
        </w:rPr>
        <w:t xml:space="preserve"> All rights reserved.</w:t>
      </w:r>
    </w:p>
    <w:p w14:paraId="014C195E" w14:textId="77777777" w:rsidR="00FD71F0" w:rsidRPr="00FD71F0" w:rsidRDefault="00FD71F0" w:rsidP="005A21CA">
      <w:pPr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28A476D2" w14:textId="6421B5AA" w:rsidR="00FD71F0" w:rsidRDefault="00FD71F0" w:rsidP="005A21CA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BB2134">
        <w:rPr>
          <w:rFonts w:ascii="Book Antiqua" w:hAnsi="Book Antiqua" w:hint="eastAsia"/>
          <w:b/>
          <w:bCs/>
        </w:rPr>
        <w:t>Citation:</w:t>
      </w:r>
      <w:r w:rsidRPr="00BB2134">
        <w:rPr>
          <w:rFonts w:ascii="Book Antiqua" w:hAnsi="Book Antiqua"/>
          <w:b/>
          <w:bCs/>
        </w:rPr>
        <w:t xml:space="preserve"> </w:t>
      </w:r>
      <w:r w:rsidR="00C35F7B" w:rsidRPr="003354B3">
        <w:rPr>
          <w:rFonts w:ascii="Book Antiqua" w:eastAsia="Book Antiqua" w:hAnsi="Book Antiqua" w:cs="Book Antiqua"/>
          <w:lang w:val="pt-BR"/>
        </w:rPr>
        <w:t>Morais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="00C35F7B" w:rsidRPr="003354B3">
        <w:rPr>
          <w:rFonts w:ascii="Book Antiqua" w:eastAsia="Book Antiqua" w:hAnsi="Book Antiqua" w:cs="Book Antiqua"/>
          <w:lang w:val="pt-BR"/>
        </w:rPr>
        <w:t>MC,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="00C35F7B" w:rsidRPr="003354B3">
        <w:rPr>
          <w:rFonts w:ascii="Book Antiqua" w:eastAsia="Book Antiqua" w:hAnsi="Book Antiqua" w:cs="Book Antiqua"/>
          <w:lang w:val="pt-BR"/>
        </w:rPr>
        <w:t>Soares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="00C35F7B" w:rsidRPr="003354B3">
        <w:rPr>
          <w:rFonts w:ascii="Book Antiqua" w:eastAsia="Book Antiqua" w:hAnsi="Book Antiqua" w:cs="Book Antiqua"/>
          <w:lang w:val="pt-BR"/>
        </w:rPr>
        <w:t>ME,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="00C35F7B" w:rsidRPr="003354B3">
        <w:rPr>
          <w:rFonts w:ascii="Book Antiqua" w:eastAsia="Book Antiqua" w:hAnsi="Book Antiqua" w:cs="Book Antiqua"/>
          <w:lang w:val="pt-BR"/>
        </w:rPr>
        <w:t>Costa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="00C35F7B" w:rsidRPr="003354B3">
        <w:rPr>
          <w:rFonts w:ascii="Book Antiqua" w:eastAsia="Book Antiqua" w:hAnsi="Book Antiqua" w:cs="Book Antiqua"/>
          <w:lang w:val="pt-BR"/>
        </w:rPr>
        <w:t>G,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="00C35F7B" w:rsidRPr="003354B3">
        <w:rPr>
          <w:rFonts w:ascii="Book Antiqua" w:eastAsia="Book Antiqua" w:hAnsi="Book Antiqua" w:cs="Book Antiqua"/>
          <w:lang w:val="pt-BR"/>
        </w:rPr>
        <w:t>Guerra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="00C35F7B" w:rsidRPr="003354B3">
        <w:rPr>
          <w:rFonts w:ascii="Book Antiqua" w:eastAsia="Book Antiqua" w:hAnsi="Book Antiqua" w:cs="Book Antiqua"/>
          <w:lang w:val="pt-BR"/>
        </w:rPr>
        <w:t>L,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="00C35F7B" w:rsidRPr="003354B3">
        <w:rPr>
          <w:rFonts w:ascii="Book Antiqua" w:eastAsia="Book Antiqua" w:hAnsi="Book Antiqua" w:cs="Book Antiqua"/>
          <w:lang w:val="pt-BR"/>
        </w:rPr>
        <w:t>Vaz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="00C35F7B" w:rsidRPr="003354B3">
        <w:rPr>
          <w:rFonts w:ascii="Book Antiqua" w:eastAsia="Book Antiqua" w:hAnsi="Book Antiqua" w:cs="Book Antiqua"/>
          <w:lang w:val="pt-BR"/>
        </w:rPr>
        <w:t>N,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="00C35F7B" w:rsidRPr="003354B3">
        <w:rPr>
          <w:rFonts w:ascii="Book Antiqua" w:eastAsia="Book Antiqua" w:hAnsi="Book Antiqua" w:cs="Book Antiqua"/>
          <w:lang w:val="pt-BR"/>
        </w:rPr>
        <w:t>Codes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="00C35F7B" w:rsidRPr="003354B3">
        <w:rPr>
          <w:rFonts w:ascii="Book Antiqua" w:eastAsia="Book Antiqua" w:hAnsi="Book Antiqua" w:cs="Book Antiqua"/>
          <w:lang w:val="pt-BR"/>
        </w:rPr>
        <w:t>L,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="00C35F7B" w:rsidRPr="003354B3">
        <w:rPr>
          <w:rFonts w:ascii="Book Antiqua" w:eastAsia="Book Antiqua" w:hAnsi="Book Antiqua" w:cs="Book Antiqua"/>
          <w:lang w:val="pt-BR"/>
        </w:rPr>
        <w:t>Bittencourt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="00C35F7B" w:rsidRPr="003354B3">
        <w:rPr>
          <w:rFonts w:ascii="Book Antiqua" w:eastAsia="Book Antiqua" w:hAnsi="Book Antiqua" w:cs="Book Antiqua"/>
          <w:lang w:val="pt-BR"/>
        </w:rPr>
        <w:t>PL.</w:t>
      </w:r>
      <w:r w:rsidR="008A3BB0" w:rsidRPr="003354B3">
        <w:rPr>
          <w:rFonts w:ascii="Book Antiqua" w:eastAsia="Book Antiqua" w:hAnsi="Book Antiqua" w:cs="Book Antiqua"/>
          <w:lang w:val="pt-BR"/>
        </w:rPr>
        <w:t xml:space="preserve"> </w:t>
      </w:r>
      <w:r w:rsidR="00C35F7B" w:rsidRPr="00CF58AE">
        <w:rPr>
          <w:rFonts w:ascii="Book Antiqua" w:eastAsia="Book Antiqua" w:hAnsi="Book Antiqua" w:cs="Book Antiqua"/>
        </w:rPr>
        <w:t>Impact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C35F7B"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C35F7B" w:rsidRPr="00CF58AE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C35F7B" w:rsidRPr="00CF58AE">
        <w:rPr>
          <w:rFonts w:ascii="Book Antiqua" w:eastAsia="Book Antiqua" w:hAnsi="Book Antiqua" w:cs="Book Antiqua"/>
        </w:rPr>
        <w:t>intra-patient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C35F7B" w:rsidRPr="00CF58AE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C35F7B"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C35F7B" w:rsidRPr="00CF58AE">
        <w:rPr>
          <w:rFonts w:ascii="Book Antiqua" w:eastAsia="Book Antiqua" w:hAnsi="Book Antiqua" w:cs="Book Antiqua"/>
        </w:rPr>
        <w:t>adverse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C35F7B" w:rsidRPr="00CF58AE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C35F7B"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C35F7B" w:rsidRPr="00CF58AE">
        <w:rPr>
          <w:rFonts w:ascii="Book Antiqua" w:eastAsia="Book Antiqua" w:hAnsi="Book Antiqua" w:cs="Book Antiqua"/>
        </w:rPr>
        <w:t>organ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C35F7B" w:rsidRPr="00CF58AE">
        <w:rPr>
          <w:rFonts w:ascii="Book Antiqua" w:eastAsia="Book Antiqua" w:hAnsi="Book Antiqua" w:cs="Book Antiqua"/>
        </w:rPr>
        <w:t>transplantation.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C35F7B" w:rsidRPr="00CF58AE">
        <w:rPr>
          <w:rFonts w:ascii="Book Antiqua" w:eastAsia="Book Antiqua" w:hAnsi="Book Antiqua" w:cs="Book Antiqua"/>
          <w:i/>
          <w:iCs/>
        </w:rPr>
        <w:t>World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="00C35F7B" w:rsidRPr="00CF58AE">
        <w:rPr>
          <w:rFonts w:ascii="Book Antiqua" w:eastAsia="Book Antiqua" w:hAnsi="Book Antiqua" w:cs="Book Antiqua"/>
          <w:i/>
          <w:iCs/>
        </w:rPr>
        <w:t>J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="00C35F7B" w:rsidRPr="00CF58AE">
        <w:rPr>
          <w:rFonts w:ascii="Book Antiqua" w:eastAsia="Book Antiqua" w:hAnsi="Book Antiqua" w:cs="Book Antiqua"/>
          <w:i/>
          <w:iCs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8756DA">
        <w:rPr>
          <w:rFonts w:ascii="Book Antiqua" w:hAnsi="Book Antiqua" w:cs="Book Antiqua" w:hint="eastAsia"/>
          <w:color w:val="000000"/>
          <w:lang w:eastAsia="zh-CN"/>
        </w:rPr>
        <w:t>2</w:t>
      </w:r>
      <w:r w:rsidR="008756DA" w:rsidRPr="00180647">
        <w:rPr>
          <w:rFonts w:ascii="Book Antiqua" w:eastAsia="Book Antiqua" w:hAnsi="Book Antiqua" w:cs="Book Antiqua"/>
          <w:color w:val="000000"/>
        </w:rPr>
        <w:t>02</w:t>
      </w:r>
      <w:r w:rsidR="008756DA">
        <w:rPr>
          <w:rFonts w:ascii="Book Antiqua" w:hAnsi="Book Antiqua" w:cs="Book Antiqua" w:hint="eastAsia"/>
          <w:color w:val="000000"/>
          <w:lang w:eastAsia="zh-CN"/>
        </w:rPr>
        <w:t>3</w:t>
      </w:r>
      <w:r w:rsidR="008756DA" w:rsidRPr="00180647">
        <w:rPr>
          <w:rFonts w:ascii="Book Antiqua" w:eastAsia="Book Antiqua" w:hAnsi="Book Antiqua" w:cs="Book Antiqua"/>
          <w:color w:val="000000"/>
        </w:rPr>
        <w:t>; 1</w:t>
      </w:r>
      <w:r w:rsidR="008756DA">
        <w:rPr>
          <w:rFonts w:ascii="Book Antiqua" w:hAnsi="Book Antiqua" w:cs="Book Antiqua" w:hint="eastAsia"/>
          <w:color w:val="000000"/>
          <w:lang w:eastAsia="zh-CN"/>
        </w:rPr>
        <w:t>3</w:t>
      </w:r>
      <w:r w:rsidR="008756DA" w:rsidRPr="00180647">
        <w:rPr>
          <w:rFonts w:ascii="Book Antiqua" w:eastAsia="Book Antiqua" w:hAnsi="Book Antiqua" w:cs="Book Antiqua"/>
          <w:color w:val="000000"/>
        </w:rPr>
        <w:t>(</w:t>
      </w:r>
      <w:r w:rsidR="008756DA">
        <w:rPr>
          <w:rFonts w:ascii="Book Antiqua" w:hAnsi="Book Antiqua" w:cs="Book Antiqua" w:hint="eastAsia"/>
          <w:color w:val="000000"/>
          <w:lang w:eastAsia="zh-CN"/>
        </w:rPr>
        <w:t>5</w:t>
      </w:r>
      <w:r w:rsidR="008756DA" w:rsidRPr="00180647">
        <w:rPr>
          <w:rFonts w:ascii="Book Antiqua" w:eastAsia="Book Antiqua" w:hAnsi="Book Antiqua" w:cs="Book Antiqua"/>
          <w:color w:val="000000"/>
        </w:rPr>
        <w:t xml:space="preserve">): </w:t>
      </w:r>
      <w:r>
        <w:rPr>
          <w:rFonts w:ascii="Book Antiqua" w:hAnsi="Book Antiqua" w:cs="Book Antiqua" w:hint="eastAsia"/>
          <w:color w:val="000000"/>
          <w:lang w:eastAsia="zh-CN"/>
        </w:rPr>
        <w:t>254</w:t>
      </w:r>
      <w:r w:rsidR="008756DA" w:rsidRPr="0018064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hAnsi="Book Antiqua" w:cs="Book Antiqua" w:hint="eastAsia"/>
          <w:color w:val="000000"/>
          <w:lang w:eastAsia="zh-CN"/>
        </w:rPr>
        <w:t>263</w:t>
      </w:r>
      <w:r w:rsidR="008756DA" w:rsidRPr="00180647">
        <w:rPr>
          <w:rFonts w:ascii="Book Antiqua" w:eastAsia="Book Antiqua" w:hAnsi="Book Antiqua" w:cs="Book Antiqua"/>
          <w:color w:val="000000"/>
        </w:rPr>
        <w:t xml:space="preserve"> </w:t>
      </w:r>
    </w:p>
    <w:p w14:paraId="69EA1270" w14:textId="0240A82C" w:rsidR="00FD71F0" w:rsidRDefault="008756DA" w:rsidP="005A21CA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180647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180647">
        <w:rPr>
          <w:rFonts w:ascii="Book Antiqua" w:eastAsia="Book Antiqua" w:hAnsi="Book Antiqua" w:cs="Book Antiqua"/>
          <w:color w:val="000000"/>
        </w:rPr>
        <w:t xml:space="preserve"> </w:t>
      </w:r>
      <w:r w:rsidRPr="00180647">
        <w:rPr>
          <w:color w:val="000000"/>
        </w:rPr>
        <w:t>https://www.wjgnet.com/2220-3230/full/v1</w:t>
      </w:r>
      <w:r>
        <w:rPr>
          <w:rFonts w:hint="eastAsia"/>
          <w:color w:val="000000"/>
          <w:lang w:eastAsia="zh-CN"/>
        </w:rPr>
        <w:t>3</w:t>
      </w:r>
      <w:r w:rsidRPr="00180647">
        <w:rPr>
          <w:color w:val="000000"/>
        </w:rPr>
        <w:t>/i</w:t>
      </w:r>
      <w:r>
        <w:rPr>
          <w:rFonts w:hint="eastAsia"/>
          <w:color w:val="000000"/>
          <w:lang w:eastAsia="zh-CN"/>
        </w:rPr>
        <w:t>5</w:t>
      </w:r>
      <w:r w:rsidRPr="00180647">
        <w:rPr>
          <w:color w:val="000000"/>
        </w:rPr>
        <w:t>/</w:t>
      </w:r>
      <w:r w:rsidR="00FD71F0">
        <w:rPr>
          <w:rFonts w:hint="eastAsia"/>
          <w:color w:val="000000"/>
          <w:lang w:eastAsia="zh-CN"/>
        </w:rPr>
        <w:t>254</w:t>
      </w:r>
      <w:r w:rsidRPr="00180647">
        <w:rPr>
          <w:color w:val="000000"/>
        </w:rPr>
        <w:t>.htm</w:t>
      </w:r>
      <w:r w:rsidRPr="00180647">
        <w:rPr>
          <w:rFonts w:ascii="Book Antiqua" w:eastAsia="Book Antiqua" w:hAnsi="Book Antiqua" w:cs="Book Antiqua"/>
          <w:color w:val="000000"/>
        </w:rPr>
        <w:t xml:space="preserve"> </w:t>
      </w:r>
      <w:r w:rsidRPr="00180647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67F5A163" w14:textId="40AE2EB4" w:rsidR="00A77B3E" w:rsidRPr="00CF58AE" w:rsidRDefault="008756DA" w:rsidP="005A21CA">
      <w:pPr>
        <w:spacing w:line="360" w:lineRule="auto"/>
        <w:jc w:val="both"/>
        <w:rPr>
          <w:rFonts w:ascii="Book Antiqua" w:hAnsi="Book Antiqua"/>
        </w:rPr>
      </w:pPr>
      <w:r w:rsidRPr="00180647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180647">
        <w:rPr>
          <w:rFonts w:ascii="Book Antiqua" w:eastAsia="Book Antiqua" w:hAnsi="Book Antiqua" w:cs="Book Antiqua"/>
          <w:color w:val="000000"/>
        </w:rPr>
        <w:t xml:space="preserve"> https://dx.doi.org/10.5500/wjt.v1</w:t>
      </w:r>
      <w:r>
        <w:rPr>
          <w:rFonts w:ascii="Book Antiqua" w:hAnsi="Book Antiqua" w:cs="Book Antiqua" w:hint="eastAsia"/>
          <w:color w:val="000000"/>
          <w:lang w:eastAsia="zh-CN"/>
        </w:rPr>
        <w:t>3</w:t>
      </w:r>
      <w:r w:rsidRPr="00180647">
        <w:rPr>
          <w:rFonts w:ascii="Book Antiqua" w:eastAsia="Book Antiqua" w:hAnsi="Book Antiqua" w:cs="Book Antiqua"/>
          <w:color w:val="000000"/>
        </w:rPr>
        <w:t>.i</w:t>
      </w:r>
      <w:r>
        <w:rPr>
          <w:rFonts w:ascii="Book Antiqua" w:hAnsi="Book Antiqua" w:cs="Book Antiqua" w:hint="eastAsia"/>
          <w:color w:val="000000"/>
          <w:lang w:eastAsia="zh-CN"/>
        </w:rPr>
        <w:t>5</w:t>
      </w:r>
      <w:r w:rsidRPr="00180647">
        <w:rPr>
          <w:rFonts w:ascii="Book Antiqua" w:eastAsia="Book Antiqua" w:hAnsi="Book Antiqua" w:cs="Book Antiqua"/>
          <w:color w:val="000000"/>
        </w:rPr>
        <w:t>.</w:t>
      </w:r>
      <w:r w:rsidR="00FD71F0">
        <w:rPr>
          <w:rFonts w:ascii="Book Antiqua" w:hAnsi="Book Antiqua" w:cs="Book Antiqua" w:hint="eastAsia"/>
          <w:color w:val="000000"/>
          <w:lang w:eastAsia="zh-CN"/>
        </w:rPr>
        <w:t>254</w:t>
      </w:r>
    </w:p>
    <w:p w14:paraId="553D3E90" w14:textId="77777777" w:rsidR="00A77B3E" w:rsidRPr="00CF58AE" w:rsidRDefault="00A77B3E" w:rsidP="005A21CA">
      <w:pPr>
        <w:spacing w:line="360" w:lineRule="auto"/>
        <w:jc w:val="both"/>
        <w:rPr>
          <w:rFonts w:ascii="Book Antiqua" w:hAnsi="Book Antiqua"/>
        </w:rPr>
      </w:pPr>
    </w:p>
    <w:p w14:paraId="2995EDDC" w14:textId="277ACB9E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  <w:bCs/>
        </w:rPr>
        <w:t>Core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</w:rPr>
        <w:t>Tip: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widely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solid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organ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transplantation.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intra-patient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poor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survival.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review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summarizes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current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evidence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regarding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impact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lastRenderedPageBreak/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several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kidney,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liver,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heart,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lung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pancreas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transplantation.</w:t>
      </w:r>
    </w:p>
    <w:p w14:paraId="77D2D8B3" w14:textId="77777777" w:rsidR="00A77B3E" w:rsidRPr="00CF58AE" w:rsidRDefault="00A77B3E" w:rsidP="005A21CA">
      <w:pPr>
        <w:spacing w:line="360" w:lineRule="auto"/>
        <w:jc w:val="both"/>
        <w:rPr>
          <w:rFonts w:ascii="Book Antiqua" w:hAnsi="Book Antiqua"/>
        </w:rPr>
      </w:pPr>
    </w:p>
    <w:p w14:paraId="6ED04BAD" w14:textId="77777777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47F42767" w14:textId="7747F3EE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proofErr w:type="spellStart"/>
      <w:r w:rsidRPr="00CF58AE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Pr="00CF58AE">
        <w:rPr>
          <w:rFonts w:ascii="Book Antiqua" w:eastAsia="Book Antiqua" w:hAnsi="Book Antiqua" w:cs="Book Antiqua"/>
        </w:rPr>
        <w:t>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nowadays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most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common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immunosuppressive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drug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employed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solid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organ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replaced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cyclosporin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most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common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calcineurin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inhibitor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worldwide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immunosuppressive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regimens</w:t>
      </w:r>
      <w:r w:rsidR="00D83E01" w:rsidRPr="00CF58AE">
        <w:rPr>
          <w:rFonts w:ascii="Book Antiqua" w:eastAsia="Book Antiqua" w:hAnsi="Book Antiqua" w:cs="Book Antiqua"/>
          <w:vertAlign w:val="superscript"/>
        </w:rPr>
        <w:t>[1,2]</w:t>
      </w:r>
      <w:r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CF58AE">
        <w:rPr>
          <w:rFonts w:ascii="Book Antiqua" w:eastAsia="Book Antiqua" w:hAnsi="Book Antiqua" w:cs="Book Antiqua"/>
        </w:rPr>
        <w:t>Tac</w:t>
      </w:r>
      <w:proofErr w:type="spellEnd"/>
      <w:proofErr w:type="gram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exhibits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peculiar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pharmacokinetic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profile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large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inter-patient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intra-patient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(IPV)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whole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blood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drug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levels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over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time,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even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when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doses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remain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unchanged.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usually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ascribed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overlapping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factors,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such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ethnicity,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pharmacogenomics,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food-drug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drug-drug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interactions,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non-adherence,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enhanced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absorption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impaired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drug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excretion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due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either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diarrhea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cholestasis,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assays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levels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determinations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even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alternate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compounds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generic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formulations</w:t>
      </w:r>
      <w:r w:rsidR="00D83E01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D83E01" w:rsidRPr="00CF58AE">
        <w:rPr>
          <w:rFonts w:ascii="Book Antiqua" w:eastAsia="Book Antiqua" w:hAnsi="Book Antiqua" w:cs="Book Antiqua"/>
          <w:vertAlign w:val="superscript"/>
        </w:rPr>
        <w:t>3-5]</w:t>
      </w:r>
      <w:r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Due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narrow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therapeutic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window,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therapeutic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drug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monitoring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trough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levels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</w:t>
      </w:r>
      <w:proofErr w:type="spellStart"/>
      <w:r w:rsidRPr="00CF58AE">
        <w:rPr>
          <w:rFonts w:ascii="Book Antiqua" w:eastAsia="Book Antiqua" w:hAnsi="Book Antiqua" w:cs="Book Antiqua"/>
        </w:rPr>
        <w:t>Cmin</w:t>
      </w:r>
      <w:proofErr w:type="spellEnd"/>
      <w:r w:rsidRPr="00CF58AE">
        <w:rPr>
          <w:rFonts w:ascii="Book Antiqua" w:eastAsia="Book Antiqua" w:hAnsi="Book Antiqua" w:cs="Book Antiqua"/>
        </w:rPr>
        <w:t>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required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attain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target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levels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immunosuppression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over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time,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well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avoidance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undesired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side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effects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such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infections,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neurotoxicity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nephrotoxicity,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which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usually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related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drug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exposure</w:t>
      </w:r>
      <w:r w:rsidR="00D83E01" w:rsidRPr="00CF58AE">
        <w:rPr>
          <w:rFonts w:ascii="Book Antiqua" w:eastAsia="Book Antiqua" w:hAnsi="Book Antiqua" w:cs="Book Antiqua"/>
          <w:vertAlign w:val="superscript"/>
        </w:rPr>
        <w:t>[1]</w:t>
      </w:r>
      <w:r w:rsidRPr="00CF58AE">
        <w:rPr>
          <w:rFonts w:ascii="Book Antiqua" w:eastAsia="Book Antiqua" w:hAnsi="Book Antiqua" w:cs="Book Antiqua"/>
        </w:rPr>
        <w:t>.</w:t>
      </w:r>
    </w:p>
    <w:p w14:paraId="7C98887C" w14:textId="48EDE220" w:rsidR="00A77B3E" w:rsidRPr="00CF58AE" w:rsidRDefault="00C35F7B" w:rsidP="005A21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time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therapeutic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range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(TTR)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increased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risk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immune-mediated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rejection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poor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(KT</w:t>
      </w:r>
      <w:proofErr w:type="gramStart"/>
      <w:r w:rsidRPr="00CF58AE">
        <w:rPr>
          <w:rFonts w:ascii="Book Antiqua" w:eastAsia="Book Antiqua" w:hAnsi="Book Antiqua" w:cs="Book Antiqua"/>
        </w:rPr>
        <w:t>)</w:t>
      </w:r>
      <w:r w:rsidR="00D83E01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F58AE">
        <w:rPr>
          <w:rFonts w:ascii="Book Antiqua" w:eastAsia="Book Antiqua" w:hAnsi="Book Antiqua" w:cs="Book Antiqua"/>
          <w:vertAlign w:val="superscript"/>
        </w:rPr>
        <w:t>5,6</w:t>
      </w:r>
      <w:r w:rsidR="00D83E01" w:rsidRPr="00CF58AE">
        <w:rPr>
          <w:rFonts w:ascii="Book Antiqua" w:eastAsia="Book Antiqua" w:hAnsi="Book Antiqua" w:cs="Book Antiqua"/>
          <w:vertAlign w:val="superscript"/>
        </w:rPr>
        <w:t>]</w:t>
      </w:r>
      <w:r w:rsidR="00D83E01"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Few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data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available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concerning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impact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non-kidney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transplants</w:t>
      </w:r>
      <w:r w:rsidR="00855083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55083" w:rsidRPr="00CF58AE">
        <w:rPr>
          <w:rFonts w:ascii="Book Antiqua" w:eastAsia="Book Antiqua" w:hAnsi="Book Antiqua" w:cs="Book Antiqua"/>
          <w:vertAlign w:val="superscript"/>
        </w:rPr>
        <w:t>7]</w:t>
      </w:r>
      <w:r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However,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even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KT,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still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controversy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whether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indeed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detrimental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respect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and/or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survival</w:t>
      </w:r>
      <w:r w:rsidR="00855083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55083" w:rsidRPr="00CF58AE">
        <w:rPr>
          <w:rFonts w:ascii="Book Antiqua" w:eastAsia="Book Antiqua" w:hAnsi="Book Antiqua" w:cs="Book Antiqua"/>
          <w:vertAlign w:val="superscript"/>
        </w:rPr>
        <w:t>5,6]</w:t>
      </w:r>
      <w:r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may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due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different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methods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employed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evaluate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distinct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time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frames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adopted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assess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survival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reports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published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up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now.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Little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also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known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about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influence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development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other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harmful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adverse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events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immunosuppression,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such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infections,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chronic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disease,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type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diabetes,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metabolic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syndrome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5F0284" w:rsidRPr="00CF58AE">
        <w:rPr>
          <w:rFonts w:ascii="Book Antiqua" w:eastAsia="Book Antiqua" w:hAnsi="Book Antiqua" w:cs="Book Antiqua"/>
          <w:i/>
          <w:iCs/>
        </w:rPr>
        <w:t>de novo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recurrent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cancer.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purpose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review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provide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update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current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knowledge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regarding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impact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different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following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KT,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liver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(LT),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heart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(HT),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lung,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lastRenderedPageBreak/>
        <w:t>kidney/pancreas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bone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marrow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(BMT)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better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evaluate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clinical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practice.</w:t>
      </w:r>
    </w:p>
    <w:p w14:paraId="02B8F6BC" w14:textId="77777777" w:rsidR="00A77B3E" w:rsidRPr="00CF58AE" w:rsidRDefault="00A77B3E" w:rsidP="005A21CA">
      <w:pPr>
        <w:spacing w:line="360" w:lineRule="auto"/>
        <w:jc w:val="both"/>
        <w:rPr>
          <w:rFonts w:ascii="Book Antiqua" w:hAnsi="Book Antiqua"/>
        </w:rPr>
      </w:pPr>
    </w:p>
    <w:p w14:paraId="0CDE3D2D" w14:textId="76FDAA97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STUDY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SELECTION</w:t>
      </w:r>
    </w:p>
    <w:p w14:paraId="06750335" w14:textId="27EE540B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identify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select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studies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review,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research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made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MedLine</w:t>
      </w:r>
      <w:proofErr w:type="spellEnd"/>
      <w:r w:rsidRPr="00CF58AE">
        <w:rPr>
          <w:rFonts w:ascii="Book Antiqua" w:eastAsia="Book Antiqua" w:hAnsi="Book Antiqua" w:cs="Book Antiqua"/>
        </w:rPr>
        <w:t>/PubMed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database,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following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terms: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Tacrolimus</w:t>
      </w:r>
      <w:proofErr w:type="spellEnd"/>
      <w:r w:rsidRPr="00CF58AE">
        <w:rPr>
          <w:rFonts w:ascii="Book Antiqua" w:eastAsia="Book Antiqua" w:hAnsi="Book Antiqua" w:cs="Book Antiqua"/>
        </w:rPr>
        <w:t>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D764F5" w:rsidRPr="00CF58AE">
        <w:rPr>
          <w:rFonts w:ascii="Book Antiqua" w:eastAsia="Book Antiqua" w:hAnsi="Book Antiqua" w:cs="Book Antiqua"/>
        </w:rPr>
        <w:t>intra-patient;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D764F5" w:rsidRPr="00CF58AE">
        <w:rPr>
          <w:rFonts w:ascii="Book Antiqua" w:eastAsia="Book Antiqua" w:hAnsi="Book Antiqua" w:cs="Book Antiqua"/>
        </w:rPr>
        <w:t>variability;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D764F5" w:rsidRPr="00CF58AE">
        <w:rPr>
          <w:rFonts w:ascii="Book Antiqua" w:eastAsia="Book Antiqua" w:hAnsi="Book Antiqua" w:cs="Book Antiqua"/>
        </w:rPr>
        <w:t>transplant;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D764F5" w:rsidRPr="00CF58AE">
        <w:rPr>
          <w:rFonts w:ascii="Book Antiqua" w:eastAsia="Book Antiqua" w:hAnsi="Book Antiqua" w:cs="Book Antiqua"/>
        </w:rPr>
        <w:t>transplantation;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D764F5" w:rsidRPr="00CF58AE">
        <w:rPr>
          <w:rFonts w:ascii="Book Antiqua" w:eastAsia="Book Antiqua" w:hAnsi="Book Antiqua" w:cs="Book Antiqua"/>
        </w:rPr>
        <w:t>rejection;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D764F5"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D764F5" w:rsidRPr="00CF58AE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D764F5" w:rsidRPr="00CF58AE">
        <w:rPr>
          <w:rFonts w:ascii="Book Antiqua" w:eastAsia="Book Antiqua" w:hAnsi="Book Antiqua" w:cs="Book Antiqua"/>
        </w:rPr>
        <w:t>loss</w:t>
      </w:r>
      <w:r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terms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were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obtained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from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Medical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Subject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Headings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</w:t>
      </w:r>
      <w:proofErr w:type="spellStart"/>
      <w:r w:rsidRPr="00CF58AE">
        <w:rPr>
          <w:rFonts w:ascii="Book Antiqua" w:eastAsia="Book Antiqua" w:hAnsi="Book Antiqua" w:cs="Book Antiqua"/>
        </w:rPr>
        <w:t>MeSH</w:t>
      </w:r>
      <w:proofErr w:type="spellEnd"/>
      <w:r w:rsidRPr="00CF58AE">
        <w:rPr>
          <w:rFonts w:ascii="Book Antiqua" w:eastAsia="Book Antiqua" w:hAnsi="Book Antiqua" w:cs="Book Antiqua"/>
        </w:rPr>
        <w:t>),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Booleans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“AND”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“OR”,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from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various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search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algorithms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Pub</w:t>
      </w:r>
      <w:r w:rsidR="00D764F5" w:rsidRPr="00CF58AE">
        <w:rPr>
          <w:rFonts w:ascii="Book Antiqua" w:eastAsia="Book Antiqua" w:hAnsi="Book Antiqua" w:cs="Book Antiqua"/>
        </w:rPr>
        <w:t>M</w:t>
      </w:r>
      <w:r w:rsidRPr="00CF58AE">
        <w:rPr>
          <w:rFonts w:ascii="Book Antiqua" w:eastAsia="Book Antiqua" w:hAnsi="Book Antiqua" w:cs="Book Antiqua"/>
        </w:rPr>
        <w:t>ed.</w:t>
      </w:r>
    </w:p>
    <w:p w14:paraId="27C17CA2" w14:textId="002E6586" w:rsidR="00A77B3E" w:rsidRPr="00CF58AE" w:rsidRDefault="00C35F7B" w:rsidP="005A21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t>Search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1</w:t>
      </w:r>
      <w:r w:rsidR="00496FE1" w:rsidRPr="00CF58AE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hAnsi="Book Antiqua"/>
          <w:lang w:eastAsia="zh-CN"/>
        </w:rPr>
        <w:t xml:space="preserve"> </w:t>
      </w:r>
      <w:r w:rsidRPr="00CF58AE">
        <w:rPr>
          <w:rFonts w:ascii="Book Antiqua" w:eastAsia="Book Antiqua" w:hAnsi="Book Antiqua" w:cs="Book Antiqua"/>
        </w:rPr>
        <w:t>((</w:t>
      </w:r>
      <w:r w:rsidR="00E30EC8">
        <w:rPr>
          <w:rFonts w:ascii="Book Antiqua" w:eastAsia="Book Antiqua" w:hAnsi="Book Antiqua" w:cs="Book Antiqua"/>
        </w:rPr>
        <w:t>“</w:t>
      </w:r>
      <w:proofErr w:type="spellStart"/>
      <w:r w:rsidRPr="00CF58AE">
        <w:rPr>
          <w:rFonts w:ascii="Book Antiqua" w:eastAsia="Book Antiqua" w:hAnsi="Book Antiqua" w:cs="Book Antiqua"/>
        </w:rPr>
        <w:t>tacrolimus</w:t>
      </w:r>
      <w:proofErr w:type="spellEnd"/>
      <w:r w:rsidR="00E30EC8">
        <w:rPr>
          <w:rFonts w:ascii="Book Antiqua" w:eastAsia="Book Antiqua" w:hAnsi="Book Antiqua" w:cs="Book Antiqua"/>
        </w:rPr>
        <w:t>”</w:t>
      </w:r>
      <w:r w:rsidRPr="00CF58AE">
        <w:rPr>
          <w:rFonts w:ascii="Book Antiqua" w:eastAsia="Book Antiqua" w:hAnsi="Book Antiqua" w:cs="Book Antiqua"/>
        </w:rPr>
        <w:t>[</w:t>
      </w:r>
      <w:proofErr w:type="spellStart"/>
      <w:r w:rsidRPr="00CF58AE">
        <w:rPr>
          <w:rFonts w:ascii="Book Antiqua" w:eastAsia="Book Antiqua" w:hAnsi="Book Antiqua" w:cs="Book Antiqua"/>
        </w:rPr>
        <w:t>MeSH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Terms]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E30EC8">
        <w:rPr>
          <w:rFonts w:asciiTheme="minorEastAsia" w:hAnsiTheme="minorEastAsia" w:cs="Book Antiqua"/>
          <w:lang w:eastAsia="zh-CN"/>
        </w:rPr>
        <w:t>“</w:t>
      </w:r>
      <w:proofErr w:type="spellStart"/>
      <w:r w:rsidRPr="00CF58AE">
        <w:rPr>
          <w:rFonts w:ascii="Book Antiqua" w:eastAsia="Book Antiqua" w:hAnsi="Book Antiqua" w:cs="Book Antiqua"/>
        </w:rPr>
        <w:t>tacrolimus</w:t>
      </w:r>
      <w:proofErr w:type="spellEnd"/>
      <w:r w:rsidR="00E30EC8">
        <w:rPr>
          <w:rFonts w:ascii="Book Antiqua" w:eastAsia="Book Antiqua" w:hAnsi="Book Antiqua" w:cs="Book Antiqua"/>
        </w:rPr>
        <w:t>”</w:t>
      </w:r>
      <w:r w:rsidRPr="00CF58AE">
        <w:rPr>
          <w:rFonts w:ascii="Book Antiqua" w:eastAsia="Book Antiqua" w:hAnsi="Book Antiqua" w:cs="Book Antiqua"/>
        </w:rPr>
        <w:t>[All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Fields])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E30EC8">
        <w:rPr>
          <w:rFonts w:ascii="Book Antiqua" w:eastAsia="Book Antiqua" w:hAnsi="Book Antiqua" w:cs="Book Antiqua"/>
        </w:rPr>
        <w:t>“</w:t>
      </w:r>
      <w:r w:rsidRPr="00CF58AE">
        <w:rPr>
          <w:rFonts w:ascii="Book Antiqua" w:eastAsia="Book Antiqua" w:hAnsi="Book Antiqua" w:cs="Book Antiqua"/>
        </w:rPr>
        <w:t>intra</w:t>
      </w:r>
      <w:r w:rsidR="00E30EC8">
        <w:rPr>
          <w:rFonts w:ascii="Book Antiqua" w:eastAsia="Book Antiqua" w:hAnsi="Book Antiqua" w:cs="Book Antiqua"/>
        </w:rPr>
        <w:t>”</w:t>
      </w:r>
      <w:r w:rsidRPr="00CF58AE">
        <w:rPr>
          <w:rFonts w:ascii="Book Antiqua" w:eastAsia="Book Antiqua" w:hAnsi="Book Antiqua" w:cs="Book Antiqua"/>
        </w:rPr>
        <w:t>[All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Fields]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</w:t>
      </w:r>
      <w:r w:rsidR="00E30EC8">
        <w:rPr>
          <w:rFonts w:ascii="Book Antiqua" w:eastAsia="Book Antiqua" w:hAnsi="Book Antiqua" w:cs="Book Antiqua"/>
        </w:rPr>
        <w:t>“</w:t>
      </w:r>
      <w:r w:rsidRPr="00CF58AE">
        <w:rPr>
          <w:rFonts w:ascii="Book Antiqua" w:eastAsia="Book Antiqua" w:hAnsi="Book Antiqua" w:cs="Book Antiqua"/>
        </w:rPr>
        <w:t>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</w:t>
      </w:r>
      <w:r w:rsidR="00E30EC8">
        <w:rPr>
          <w:rFonts w:ascii="Book Antiqua" w:eastAsia="Book Antiqua" w:hAnsi="Book Antiqua" w:cs="Book Antiqua"/>
        </w:rPr>
        <w:t>”</w:t>
      </w:r>
      <w:r w:rsidRPr="00CF58AE">
        <w:rPr>
          <w:rFonts w:ascii="Book Antiqua" w:eastAsia="Book Antiqua" w:hAnsi="Book Antiqua" w:cs="Book Antiqua"/>
        </w:rPr>
        <w:t>[All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Fields]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E30EC8">
        <w:rPr>
          <w:rFonts w:ascii="Book Antiqua" w:eastAsia="Book Antiqua" w:hAnsi="Book Antiqua" w:cs="Book Antiqua"/>
        </w:rPr>
        <w:t>“</w:t>
      </w:r>
      <w:r w:rsidRPr="00CF58AE">
        <w:rPr>
          <w:rFonts w:ascii="Book Antiqua" w:eastAsia="Book Antiqua" w:hAnsi="Book Antiqua" w:cs="Book Antiqua"/>
        </w:rPr>
        <w:t>patients</w:t>
      </w:r>
      <w:r w:rsidR="00E30EC8">
        <w:rPr>
          <w:rFonts w:ascii="Book Antiqua" w:eastAsia="Book Antiqua" w:hAnsi="Book Antiqua" w:cs="Book Antiqua"/>
        </w:rPr>
        <w:t>”</w:t>
      </w:r>
      <w:r w:rsidRPr="00CF58AE">
        <w:rPr>
          <w:rFonts w:ascii="Book Antiqua" w:eastAsia="Book Antiqua" w:hAnsi="Book Antiqua" w:cs="Book Antiqua"/>
        </w:rPr>
        <w:t>[</w:t>
      </w:r>
      <w:proofErr w:type="spellStart"/>
      <w:r w:rsidRPr="00CF58AE">
        <w:rPr>
          <w:rFonts w:ascii="Book Antiqua" w:eastAsia="Book Antiqua" w:hAnsi="Book Antiqua" w:cs="Book Antiqua"/>
        </w:rPr>
        <w:t>MeSH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Terms]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E30EC8">
        <w:rPr>
          <w:rFonts w:ascii="Book Antiqua" w:eastAsia="Book Antiqua" w:hAnsi="Book Antiqua" w:cs="Book Antiqua"/>
        </w:rPr>
        <w:t>“</w:t>
      </w:r>
      <w:r w:rsidRPr="00CF58AE">
        <w:rPr>
          <w:rFonts w:ascii="Book Antiqua" w:eastAsia="Book Antiqua" w:hAnsi="Book Antiqua" w:cs="Book Antiqua"/>
        </w:rPr>
        <w:t>patients</w:t>
      </w:r>
      <w:r w:rsidR="00E30EC8">
        <w:rPr>
          <w:rFonts w:ascii="Book Antiqua" w:eastAsia="Book Antiqua" w:hAnsi="Book Antiqua" w:cs="Book Antiqua"/>
        </w:rPr>
        <w:t>”</w:t>
      </w:r>
      <w:r w:rsidRPr="00CF58AE">
        <w:rPr>
          <w:rFonts w:ascii="Book Antiqua" w:eastAsia="Book Antiqua" w:hAnsi="Book Antiqua" w:cs="Book Antiqua"/>
        </w:rPr>
        <w:t>[All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Fields]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E30EC8">
        <w:rPr>
          <w:rFonts w:ascii="Book Antiqua" w:eastAsia="Book Antiqua" w:hAnsi="Book Antiqua" w:cs="Book Antiqua"/>
        </w:rPr>
        <w:t>“</w:t>
      </w:r>
      <w:r w:rsidRPr="00CF58AE">
        <w:rPr>
          <w:rFonts w:ascii="Book Antiqua" w:eastAsia="Book Antiqua" w:hAnsi="Book Antiqua" w:cs="Book Antiqua"/>
        </w:rPr>
        <w:t>patient</w:t>
      </w:r>
      <w:r w:rsidR="00E30EC8">
        <w:rPr>
          <w:rFonts w:ascii="Book Antiqua" w:eastAsia="Book Antiqua" w:hAnsi="Book Antiqua" w:cs="Book Antiqua"/>
        </w:rPr>
        <w:t>”</w:t>
      </w:r>
      <w:r w:rsidRPr="00CF58AE">
        <w:rPr>
          <w:rFonts w:ascii="Book Antiqua" w:eastAsia="Book Antiqua" w:hAnsi="Book Antiqua" w:cs="Book Antiqua"/>
        </w:rPr>
        <w:t>[All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Fields]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E30EC8">
        <w:rPr>
          <w:rFonts w:ascii="Book Antiqua" w:eastAsia="Book Antiqua" w:hAnsi="Book Antiqua" w:cs="Book Antiqua"/>
        </w:rPr>
        <w:t>“</w:t>
      </w:r>
      <w:r w:rsidRPr="00CF58AE">
        <w:rPr>
          <w:rFonts w:ascii="Book Antiqua" w:eastAsia="Book Antiqua" w:hAnsi="Book Antiqua" w:cs="Book Antiqua"/>
        </w:rPr>
        <w:t>patients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</w:t>
      </w:r>
      <w:r w:rsidR="00E30EC8">
        <w:rPr>
          <w:rFonts w:ascii="Book Antiqua" w:eastAsia="Book Antiqua" w:hAnsi="Book Antiqua" w:cs="Book Antiqua"/>
        </w:rPr>
        <w:t>”</w:t>
      </w:r>
      <w:r w:rsidRPr="00CF58AE">
        <w:rPr>
          <w:rFonts w:ascii="Book Antiqua" w:eastAsia="Book Antiqua" w:hAnsi="Book Antiqua" w:cs="Book Antiqua"/>
        </w:rPr>
        <w:t>[All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Fields])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</w:t>
      </w:r>
      <w:r w:rsidR="00E30EC8">
        <w:rPr>
          <w:rFonts w:ascii="Book Antiqua" w:eastAsia="Book Antiqua" w:hAnsi="Book Antiqua" w:cs="Book Antiqua"/>
        </w:rPr>
        <w:t>“</w:t>
      </w:r>
      <w:proofErr w:type="spellStart"/>
      <w:r w:rsidRPr="00CF58AE">
        <w:rPr>
          <w:rFonts w:ascii="Book Antiqua" w:eastAsia="Book Antiqua" w:hAnsi="Book Antiqua" w:cs="Book Antiqua"/>
        </w:rPr>
        <w:t>variabilities</w:t>
      </w:r>
      <w:proofErr w:type="spellEnd"/>
      <w:r w:rsidR="00E30EC8">
        <w:rPr>
          <w:rFonts w:ascii="Book Antiqua" w:eastAsia="Book Antiqua" w:hAnsi="Book Antiqua" w:cs="Book Antiqua"/>
        </w:rPr>
        <w:t>”</w:t>
      </w:r>
      <w:r w:rsidRPr="00CF58AE">
        <w:rPr>
          <w:rFonts w:ascii="Book Antiqua" w:eastAsia="Book Antiqua" w:hAnsi="Book Antiqua" w:cs="Book Antiqua"/>
        </w:rPr>
        <w:t>[All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Fields]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E30EC8">
        <w:rPr>
          <w:rFonts w:ascii="Book Antiqua" w:eastAsia="Book Antiqua" w:hAnsi="Book Antiqua" w:cs="Book Antiqua"/>
        </w:rPr>
        <w:t>“</w:t>
      </w:r>
      <w:r w:rsidRPr="00CF58AE">
        <w:rPr>
          <w:rFonts w:ascii="Book Antiqua" w:eastAsia="Book Antiqua" w:hAnsi="Book Antiqua" w:cs="Book Antiqua"/>
        </w:rPr>
        <w:t>variability</w:t>
      </w:r>
      <w:r w:rsidR="00E30EC8">
        <w:rPr>
          <w:rFonts w:ascii="Book Antiqua" w:eastAsia="Book Antiqua" w:hAnsi="Book Antiqua" w:cs="Book Antiqua"/>
        </w:rPr>
        <w:t>”</w:t>
      </w:r>
      <w:r w:rsidRPr="00CF58AE">
        <w:rPr>
          <w:rFonts w:ascii="Book Antiqua" w:eastAsia="Book Antiqua" w:hAnsi="Book Antiqua" w:cs="Book Antiqua"/>
        </w:rPr>
        <w:t>[All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Fields]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E30EC8">
        <w:rPr>
          <w:rFonts w:ascii="Book Antiqua" w:eastAsia="Book Antiqua" w:hAnsi="Book Antiqua" w:cs="Book Antiqua"/>
        </w:rPr>
        <w:t>“</w:t>
      </w:r>
      <w:r w:rsidRPr="00CF58AE">
        <w:rPr>
          <w:rFonts w:ascii="Book Antiqua" w:eastAsia="Book Antiqua" w:hAnsi="Book Antiqua" w:cs="Book Antiqua"/>
        </w:rPr>
        <w:t>variable</w:t>
      </w:r>
      <w:r w:rsidR="00E30EC8">
        <w:rPr>
          <w:rFonts w:ascii="Book Antiqua" w:eastAsia="Book Antiqua" w:hAnsi="Book Antiqua" w:cs="Book Antiqua"/>
        </w:rPr>
        <w:t>”</w:t>
      </w:r>
      <w:r w:rsidRPr="00CF58AE">
        <w:rPr>
          <w:rFonts w:ascii="Book Antiqua" w:eastAsia="Book Antiqua" w:hAnsi="Book Antiqua" w:cs="Book Antiqua"/>
        </w:rPr>
        <w:t>[All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Fields]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E30EC8">
        <w:rPr>
          <w:rFonts w:ascii="Book Antiqua" w:eastAsia="Book Antiqua" w:hAnsi="Book Antiqua" w:cs="Book Antiqua"/>
        </w:rPr>
        <w:t>“</w:t>
      </w:r>
      <w:r w:rsidRPr="00CF58AE">
        <w:rPr>
          <w:rFonts w:ascii="Book Antiqua" w:eastAsia="Book Antiqua" w:hAnsi="Book Antiqua" w:cs="Book Antiqua"/>
        </w:rPr>
        <w:t>variable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</w:t>
      </w:r>
      <w:r w:rsidR="00E30EC8">
        <w:rPr>
          <w:rFonts w:ascii="Book Antiqua" w:eastAsia="Book Antiqua" w:hAnsi="Book Antiqua" w:cs="Book Antiqua"/>
        </w:rPr>
        <w:t>”</w:t>
      </w:r>
      <w:r w:rsidRPr="00CF58AE">
        <w:rPr>
          <w:rFonts w:ascii="Book Antiqua" w:eastAsia="Book Antiqua" w:hAnsi="Book Antiqua" w:cs="Book Antiqua"/>
        </w:rPr>
        <w:t>[All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Fields]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E30EC8">
        <w:rPr>
          <w:rFonts w:ascii="Book Antiqua" w:eastAsia="Book Antiqua" w:hAnsi="Book Antiqua" w:cs="Book Antiqua"/>
        </w:rPr>
        <w:t>“</w:t>
      </w:r>
      <w:r w:rsidRPr="00CF58AE">
        <w:rPr>
          <w:rFonts w:ascii="Book Antiqua" w:eastAsia="Book Antiqua" w:hAnsi="Book Antiqua" w:cs="Book Antiqua"/>
        </w:rPr>
        <w:t>variables</w:t>
      </w:r>
      <w:r w:rsidR="00E30EC8">
        <w:rPr>
          <w:rFonts w:ascii="Book Antiqua" w:eastAsia="Book Antiqua" w:hAnsi="Book Antiqua" w:cs="Book Antiqua"/>
        </w:rPr>
        <w:t>”</w:t>
      </w:r>
      <w:r w:rsidRPr="00CF58AE">
        <w:rPr>
          <w:rFonts w:ascii="Book Antiqua" w:eastAsia="Book Antiqua" w:hAnsi="Book Antiqua" w:cs="Book Antiqua"/>
        </w:rPr>
        <w:t>[All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Fields]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E30EC8">
        <w:rPr>
          <w:rFonts w:ascii="Book Antiqua" w:eastAsia="Book Antiqua" w:hAnsi="Book Antiqua" w:cs="Book Antiqua"/>
        </w:rPr>
        <w:t>“</w:t>
      </w:r>
      <w:r w:rsidRPr="00CF58AE">
        <w:rPr>
          <w:rFonts w:ascii="Book Antiqua" w:eastAsia="Book Antiqua" w:hAnsi="Book Antiqua" w:cs="Book Antiqua"/>
        </w:rPr>
        <w:t>variably</w:t>
      </w:r>
      <w:r w:rsidR="00E30EC8">
        <w:rPr>
          <w:rFonts w:ascii="Book Antiqua" w:eastAsia="Book Antiqua" w:hAnsi="Book Antiqua" w:cs="Book Antiqua"/>
        </w:rPr>
        <w:t>”</w:t>
      </w:r>
      <w:r w:rsidRPr="00CF58AE">
        <w:rPr>
          <w:rFonts w:ascii="Book Antiqua" w:eastAsia="Book Antiqua" w:hAnsi="Book Antiqua" w:cs="Book Antiqua"/>
        </w:rPr>
        <w:t>[All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Fields]))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(y_10[Filter])</w:t>
      </w:r>
      <w:r w:rsidR="00496FE1"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hAnsi="Book Antiqua"/>
          <w:lang w:eastAsia="zh-CN"/>
        </w:rPr>
        <w:t xml:space="preserve"> </w:t>
      </w:r>
      <w:r w:rsidRPr="00CF58AE">
        <w:rPr>
          <w:rFonts w:ascii="Book Antiqua" w:eastAsia="Book Antiqua" w:hAnsi="Book Antiqua" w:cs="Book Antiqua"/>
        </w:rPr>
        <w:t>Search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2</w:t>
      </w:r>
      <w:r w:rsidR="00496FE1" w:rsidRPr="00CF58AE">
        <w:rPr>
          <w:rFonts w:ascii="Book Antiqua" w:hAnsi="Book Antiqua"/>
          <w:lang w:eastAsia="zh-CN"/>
        </w:rPr>
        <w:t>:</w:t>
      </w:r>
      <w:r w:rsidR="008A3BB0" w:rsidRPr="00CF58AE">
        <w:rPr>
          <w:rFonts w:ascii="Book Antiqua" w:hAnsi="Book Antiqua"/>
          <w:lang w:eastAsia="zh-CN"/>
        </w:rPr>
        <w:t xml:space="preserve"> </w:t>
      </w:r>
      <w:r w:rsidRPr="00CF58AE">
        <w:rPr>
          <w:rFonts w:ascii="Book Antiqua" w:eastAsia="Book Antiqua" w:hAnsi="Book Antiqua" w:cs="Book Antiqua"/>
        </w:rPr>
        <w:t>((((((</w:t>
      </w:r>
      <w:proofErr w:type="spellStart"/>
      <w:proofErr w:type="gramStart"/>
      <w:r w:rsidRPr="00CF58AE">
        <w:rPr>
          <w:rFonts w:ascii="Book Antiqua" w:eastAsia="Book Antiqua" w:hAnsi="Book Antiqua" w:cs="Book Antiqua"/>
        </w:rPr>
        <w:t>tacrolimus</w:t>
      </w:r>
      <w:proofErr w:type="spellEnd"/>
      <w:r w:rsidRPr="00CF58AE">
        <w:rPr>
          <w:rFonts w:ascii="Book Antiqua" w:eastAsia="Book Antiqua" w:hAnsi="Book Antiqua" w:cs="Book Antiqua"/>
        </w:rPr>
        <w:t>[</w:t>
      </w:r>
      <w:proofErr w:type="gramEnd"/>
      <w:r w:rsidRPr="00CF58AE">
        <w:rPr>
          <w:rFonts w:ascii="Book Antiqua" w:eastAsia="Book Antiqua" w:hAnsi="Book Antiqua" w:cs="Book Antiqua"/>
        </w:rPr>
        <w:t>Title/Abstract])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(variability[Title/Abstract]))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</w:t>
      </w:r>
      <w:proofErr w:type="spellStart"/>
      <w:r w:rsidRPr="00CF58AE">
        <w:rPr>
          <w:rFonts w:ascii="Book Antiqua" w:eastAsia="Book Antiqua" w:hAnsi="Book Antiqua" w:cs="Book Antiqua"/>
        </w:rPr>
        <w:t>intrapatient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variability[Title/Abstract]))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(transplant[Title/Abstract]))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(transplantation[Title/Abstract]))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(rejection[Title/Abstract]))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loss[Title/Abstract])</w:t>
      </w:r>
      <w:r w:rsidR="00496FE1" w:rsidRPr="00CF58AE">
        <w:rPr>
          <w:rFonts w:ascii="Book Antiqua" w:eastAsia="Book Antiqua" w:hAnsi="Book Antiqua" w:cs="Book Antiqua"/>
        </w:rPr>
        <w:t>.</w:t>
      </w:r>
    </w:p>
    <w:p w14:paraId="44D7146A" w14:textId="4D9F5DA5" w:rsidR="00A77B3E" w:rsidRPr="00CF58AE" w:rsidRDefault="00C35F7B" w:rsidP="005A21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t>Subsequently,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active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manual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search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studies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carried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out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through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carefully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selected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articles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gray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literature.</w:t>
      </w:r>
    </w:p>
    <w:p w14:paraId="0A36FDE1" w14:textId="39C07319" w:rsidR="00A77B3E" w:rsidRPr="00CF58AE" w:rsidRDefault="00C35F7B" w:rsidP="005A21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5133">
        <w:rPr>
          <w:rFonts w:ascii="Book Antiqua" w:eastAsia="Book Antiqua" w:hAnsi="Book Antiqua" w:cs="Book Antiqua"/>
        </w:rPr>
        <w:t>The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research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was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completed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on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May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17</w:t>
      </w:r>
      <w:r w:rsidRPr="00325133">
        <w:rPr>
          <w:rFonts w:ascii="Book Antiqua" w:eastAsia="Book Antiqua" w:hAnsi="Book Antiqua" w:cs="Book Antiqua"/>
          <w:vertAlign w:val="superscript"/>
        </w:rPr>
        <w:t>th</w:t>
      </w:r>
      <w:r w:rsidRPr="00325133">
        <w:rPr>
          <w:rFonts w:ascii="Book Antiqua" w:eastAsia="Book Antiqua" w:hAnsi="Book Antiqua" w:cs="Book Antiqua"/>
        </w:rPr>
        <w:t>,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2023.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A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total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of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43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articles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were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included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in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the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present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study</w:t>
      </w:r>
      <w:r w:rsidR="00325133" w:rsidRPr="00325133">
        <w:rPr>
          <w:rFonts w:ascii="Book Antiqua" w:eastAsia="宋体" w:hAnsi="Book Antiqua" w:cs="宋体"/>
          <w:lang w:eastAsia="zh-CN"/>
        </w:rPr>
        <w:t>,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376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studies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were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found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in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PubMed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database,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and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after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careful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reading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of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abstracts,</w:t>
      </w:r>
      <w:r w:rsidR="008A3BB0" w:rsidRPr="00325133">
        <w:rPr>
          <w:rFonts w:ascii="Book Antiqua" w:eastAsia="Book Antiqua" w:hAnsi="Book Antiqua" w:cs="Book Antiqua"/>
        </w:rPr>
        <w:t xml:space="preserve"> </w:t>
      </w:r>
      <w:r w:rsidRPr="00325133">
        <w:rPr>
          <w:rFonts w:ascii="Book Antiqua" w:eastAsia="Book Antiqua" w:hAnsi="Book Antiqua" w:cs="Book Antiqua"/>
        </w:rPr>
        <w:t>15</w:t>
      </w:r>
      <w:r w:rsidR="002E1274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were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included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our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final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review</w:t>
      </w:r>
      <w:r w:rsidR="002E1274">
        <w:rPr>
          <w:rFonts w:ascii="Book Antiqua" w:eastAsia="Book Antiqua" w:hAnsi="Book Antiqua" w:cs="Book Antiqua"/>
        </w:rPr>
        <w:t xml:space="preserve"> (references No. </w:t>
      </w:r>
      <w:r w:rsidR="002E1274" w:rsidRPr="00E30EC8">
        <w:rPr>
          <w:rFonts w:ascii="Book Antiqua" w:eastAsia="Book Antiqua" w:hAnsi="Book Antiqua" w:cs="Book Antiqua"/>
        </w:rPr>
        <w:t>3,</w:t>
      </w:r>
      <w:r w:rsidR="002E1274">
        <w:rPr>
          <w:rFonts w:ascii="Book Antiqua" w:eastAsia="Book Antiqua" w:hAnsi="Book Antiqua" w:cs="Book Antiqua"/>
        </w:rPr>
        <w:t xml:space="preserve"> </w:t>
      </w:r>
      <w:r w:rsidR="002E1274" w:rsidRPr="00E30EC8">
        <w:rPr>
          <w:rFonts w:ascii="Book Antiqua" w:eastAsia="Book Antiqua" w:hAnsi="Book Antiqua" w:cs="Book Antiqua"/>
        </w:rPr>
        <w:t>7,</w:t>
      </w:r>
      <w:r w:rsidR="002E1274">
        <w:rPr>
          <w:rFonts w:ascii="Book Antiqua" w:eastAsia="Book Antiqua" w:hAnsi="Book Antiqua" w:cs="Book Antiqua"/>
        </w:rPr>
        <w:t xml:space="preserve"> </w:t>
      </w:r>
      <w:r w:rsidR="002E1274" w:rsidRPr="00E30EC8">
        <w:rPr>
          <w:rFonts w:ascii="Book Antiqua" w:eastAsia="Book Antiqua" w:hAnsi="Book Antiqua" w:cs="Book Antiqua"/>
        </w:rPr>
        <w:t>24,</w:t>
      </w:r>
      <w:r w:rsidR="002E1274">
        <w:rPr>
          <w:rFonts w:ascii="Book Antiqua" w:eastAsia="Book Antiqua" w:hAnsi="Book Antiqua" w:cs="Book Antiqua"/>
        </w:rPr>
        <w:t xml:space="preserve"> </w:t>
      </w:r>
      <w:r w:rsidR="002E1274" w:rsidRPr="00E30EC8">
        <w:rPr>
          <w:rFonts w:ascii="Book Antiqua" w:eastAsia="Book Antiqua" w:hAnsi="Book Antiqua" w:cs="Book Antiqua"/>
        </w:rPr>
        <w:t>31,</w:t>
      </w:r>
      <w:r w:rsidR="002E1274">
        <w:rPr>
          <w:rFonts w:ascii="Book Antiqua" w:eastAsia="Book Antiqua" w:hAnsi="Book Antiqua" w:cs="Book Antiqua"/>
        </w:rPr>
        <w:t xml:space="preserve"> </w:t>
      </w:r>
      <w:r w:rsidR="002E1274" w:rsidRPr="00E30EC8">
        <w:rPr>
          <w:rFonts w:ascii="Book Antiqua" w:eastAsia="Book Antiqua" w:hAnsi="Book Antiqua" w:cs="Book Antiqua"/>
        </w:rPr>
        <w:t>33,</w:t>
      </w:r>
      <w:r w:rsidR="002E1274">
        <w:rPr>
          <w:rFonts w:ascii="Book Antiqua" w:eastAsia="Book Antiqua" w:hAnsi="Book Antiqua" w:cs="Book Antiqua"/>
        </w:rPr>
        <w:t xml:space="preserve"> </w:t>
      </w:r>
      <w:r w:rsidR="002E1274" w:rsidRPr="00E30EC8">
        <w:rPr>
          <w:rFonts w:ascii="Book Antiqua" w:eastAsia="Book Antiqua" w:hAnsi="Book Antiqua" w:cs="Book Antiqua"/>
        </w:rPr>
        <w:t>37,</w:t>
      </w:r>
      <w:r w:rsidR="002E1274">
        <w:rPr>
          <w:rFonts w:ascii="Book Antiqua" w:eastAsia="Book Antiqua" w:hAnsi="Book Antiqua" w:cs="Book Antiqua"/>
        </w:rPr>
        <w:t xml:space="preserve"> </w:t>
      </w:r>
      <w:r w:rsidR="002E1274" w:rsidRPr="00E30EC8">
        <w:rPr>
          <w:rFonts w:ascii="Book Antiqua" w:eastAsia="Book Antiqua" w:hAnsi="Book Antiqua" w:cs="Book Antiqua"/>
        </w:rPr>
        <w:t>38,</w:t>
      </w:r>
      <w:r w:rsidR="002E1274">
        <w:rPr>
          <w:rFonts w:ascii="Book Antiqua" w:eastAsia="Book Antiqua" w:hAnsi="Book Antiqua" w:cs="Book Antiqua"/>
        </w:rPr>
        <w:t xml:space="preserve"> </w:t>
      </w:r>
      <w:r w:rsidR="002E1274" w:rsidRPr="00E30EC8">
        <w:rPr>
          <w:rFonts w:ascii="Book Antiqua" w:eastAsia="Book Antiqua" w:hAnsi="Book Antiqua" w:cs="Book Antiqua"/>
        </w:rPr>
        <w:t>57,</w:t>
      </w:r>
      <w:r w:rsidR="002E1274">
        <w:rPr>
          <w:rFonts w:ascii="Book Antiqua" w:eastAsia="Book Antiqua" w:hAnsi="Book Antiqua" w:cs="Book Antiqua"/>
        </w:rPr>
        <w:t xml:space="preserve"> </w:t>
      </w:r>
      <w:r w:rsidR="002E1274" w:rsidRPr="00E30EC8">
        <w:rPr>
          <w:rFonts w:ascii="Book Antiqua" w:eastAsia="Book Antiqua" w:hAnsi="Book Antiqua" w:cs="Book Antiqua"/>
        </w:rPr>
        <w:t>60,</w:t>
      </w:r>
      <w:r w:rsidR="002E1274">
        <w:rPr>
          <w:rFonts w:ascii="Book Antiqua" w:eastAsia="Book Antiqua" w:hAnsi="Book Antiqua" w:cs="Book Antiqua"/>
        </w:rPr>
        <w:t xml:space="preserve"> </w:t>
      </w:r>
      <w:r w:rsidR="002E1274" w:rsidRPr="00E30EC8">
        <w:rPr>
          <w:rFonts w:ascii="Book Antiqua" w:eastAsia="Book Antiqua" w:hAnsi="Book Antiqua" w:cs="Book Antiqua"/>
        </w:rPr>
        <w:t>62,</w:t>
      </w:r>
      <w:r w:rsidR="002E1274">
        <w:rPr>
          <w:rFonts w:ascii="Book Antiqua" w:eastAsia="Book Antiqua" w:hAnsi="Book Antiqua" w:cs="Book Antiqua"/>
        </w:rPr>
        <w:t xml:space="preserve"> </w:t>
      </w:r>
      <w:r w:rsidR="002E1274" w:rsidRPr="00E30EC8">
        <w:rPr>
          <w:rFonts w:ascii="Book Antiqua" w:eastAsia="Book Antiqua" w:hAnsi="Book Antiqua" w:cs="Book Antiqua"/>
        </w:rPr>
        <w:t>65-67,</w:t>
      </w:r>
      <w:r w:rsidR="002E1274">
        <w:rPr>
          <w:rFonts w:ascii="Book Antiqua" w:eastAsia="Book Antiqua" w:hAnsi="Book Antiqua" w:cs="Book Antiqua"/>
        </w:rPr>
        <w:t xml:space="preserve"> </w:t>
      </w:r>
      <w:r w:rsidR="002E1274" w:rsidRPr="00E30EC8">
        <w:rPr>
          <w:rFonts w:ascii="Book Antiqua" w:eastAsia="Book Antiqua" w:hAnsi="Book Antiqua" w:cs="Book Antiqua"/>
        </w:rPr>
        <w:t>69,</w:t>
      </w:r>
      <w:r w:rsidR="002E1274">
        <w:rPr>
          <w:rFonts w:ascii="Book Antiqua" w:eastAsia="Book Antiqua" w:hAnsi="Book Antiqua" w:cs="Book Antiqua"/>
        </w:rPr>
        <w:t xml:space="preserve"> and </w:t>
      </w:r>
      <w:r w:rsidR="002E1274" w:rsidRPr="00E30EC8">
        <w:rPr>
          <w:rFonts w:ascii="Book Antiqua" w:eastAsia="Book Antiqua" w:hAnsi="Book Antiqua" w:cs="Book Antiqua"/>
        </w:rPr>
        <w:t>70)</w:t>
      </w:r>
      <w:r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excluded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works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satisfactorily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meet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theme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proposed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present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work.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Furthermore,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28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studies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different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from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previously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selected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PubMed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database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were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identified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our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active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manual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research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gray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literature,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which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were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included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review.</w:t>
      </w:r>
    </w:p>
    <w:p w14:paraId="7AB64C45" w14:textId="77777777" w:rsidR="00A77B3E" w:rsidRPr="00CF58AE" w:rsidRDefault="00A77B3E" w:rsidP="005A21CA">
      <w:pPr>
        <w:spacing w:line="360" w:lineRule="auto"/>
        <w:jc w:val="both"/>
        <w:rPr>
          <w:rFonts w:ascii="Book Antiqua" w:hAnsi="Book Antiqua"/>
        </w:rPr>
      </w:pPr>
    </w:p>
    <w:p w14:paraId="3E98E15C" w14:textId="6C93A04D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METHODS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USED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TO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ASSESS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TAC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IPV</w:t>
      </w:r>
    </w:p>
    <w:p w14:paraId="4D43A32E" w14:textId="15D8F564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lastRenderedPageBreak/>
        <w:t>Intra-patient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over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time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calculated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different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methods,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particularly</w:t>
      </w:r>
      <w:r w:rsidR="00B220C7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220C7" w:rsidRPr="00CF58AE">
        <w:rPr>
          <w:rFonts w:ascii="Book Antiqua" w:eastAsia="Book Antiqua" w:hAnsi="Book Antiqua" w:cs="Book Antiqua"/>
          <w:vertAlign w:val="superscript"/>
        </w:rPr>
        <w:t>5-7]</w:t>
      </w:r>
      <w:r w:rsidRPr="00CF58AE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hAnsi="Book Antiqua"/>
          <w:lang w:eastAsia="zh-CN"/>
        </w:rPr>
        <w:t xml:space="preserve"> </w:t>
      </w:r>
      <w:r w:rsidRPr="00CF58AE">
        <w:rPr>
          <w:rFonts w:ascii="Book Antiqua" w:eastAsia="Book Antiqua" w:hAnsi="Book Antiqua" w:cs="Book Antiqua"/>
        </w:rPr>
        <w:t>Mean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levels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standard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deviation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(SD)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whole-blood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Cmin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levels,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also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expressed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medication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level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index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(MLVI)</w:t>
      </w:r>
      <w:r w:rsidR="00B220C7" w:rsidRPr="00CF58AE">
        <w:rPr>
          <w:rFonts w:ascii="Book Antiqua" w:eastAsia="Book Antiqua" w:hAnsi="Book Antiqua" w:cs="Book Antiqua"/>
        </w:rPr>
        <w:t>.</w:t>
      </w:r>
    </w:p>
    <w:p w14:paraId="36D8037D" w14:textId="6B80BD8A" w:rsidR="00A77B3E" w:rsidRPr="00CF58AE" w:rsidRDefault="00C35F7B" w:rsidP="005A21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t>Mean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absolute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deviation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(MAD),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based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formula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MAD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(%)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=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{[(</w:t>
      </w:r>
      <w:proofErr w:type="spellStart"/>
      <w:r w:rsidRPr="00CF58AE">
        <w:rPr>
          <w:rFonts w:ascii="Book Antiqua" w:eastAsia="Book Antiqua" w:hAnsi="Book Antiqua" w:cs="Book Antiqua"/>
        </w:rPr>
        <w:t>Xmean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CA1B80" w:rsidRPr="00CF58AE">
        <w:rPr>
          <w:rFonts w:ascii="Book Antiqua" w:eastAsia="Book Antiqua" w:hAnsi="Book Antiqua" w:cs="Book Antiqua"/>
        </w:rPr>
        <w:t>-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X1)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+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</w:t>
      </w:r>
      <w:proofErr w:type="spellStart"/>
      <w:r w:rsidRPr="00CF58AE">
        <w:rPr>
          <w:rFonts w:ascii="Book Antiqua" w:eastAsia="Book Antiqua" w:hAnsi="Book Antiqua" w:cs="Book Antiqua"/>
        </w:rPr>
        <w:t>Xmean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CA1B80" w:rsidRPr="00CF58AE">
        <w:rPr>
          <w:rFonts w:ascii="Book Antiqua" w:eastAsia="Book Antiqua" w:hAnsi="Book Antiqua" w:cs="Book Antiqua"/>
        </w:rPr>
        <w:t>-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X2)…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+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</w:t>
      </w:r>
      <w:proofErr w:type="spellStart"/>
      <w:r w:rsidRPr="00CF58AE">
        <w:rPr>
          <w:rFonts w:ascii="Book Antiqua" w:eastAsia="Book Antiqua" w:hAnsi="Book Antiqua" w:cs="Book Antiqua"/>
        </w:rPr>
        <w:t>Xmean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CA1B80" w:rsidRPr="00CF58AE">
        <w:rPr>
          <w:rFonts w:ascii="Book Antiqua" w:eastAsia="Book Antiqua" w:hAnsi="Book Antiqua" w:cs="Book Antiqua"/>
        </w:rPr>
        <w:t>-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Xn</w:t>
      </w:r>
      <w:proofErr w:type="spellEnd"/>
      <w:r w:rsidRPr="00CF58AE">
        <w:rPr>
          <w:rFonts w:ascii="Book Antiqua" w:eastAsia="Book Antiqua" w:hAnsi="Book Antiqua" w:cs="Book Antiqua"/>
        </w:rPr>
        <w:t>)]/n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Cmin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results},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where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X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Cmin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level.</w:t>
      </w:r>
    </w:p>
    <w:p w14:paraId="180A9BD8" w14:textId="77CCB159" w:rsidR="00A77B3E" w:rsidRPr="00CF58AE" w:rsidRDefault="00C35F7B" w:rsidP="005A21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t>Coefficient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variation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(CV),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calculated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according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formula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(%)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=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σ/μ,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where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σ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standard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deviation,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μ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Cmin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levels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available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samples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individual.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may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corrected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corresponding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dose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(C0/D)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defined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time-weighted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coefficient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time-weighted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standard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deviation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divided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drug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levels.</w:t>
      </w:r>
    </w:p>
    <w:p w14:paraId="04E47513" w14:textId="2D14BB86" w:rsidR="00A77B3E" w:rsidRPr="00CF58AE" w:rsidRDefault="00C35F7B" w:rsidP="005A21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TTR,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calculated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Rosendaal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method</w:t>
      </w:r>
      <w:r w:rsidR="00B220C7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220C7" w:rsidRPr="00CF58AE">
        <w:rPr>
          <w:rFonts w:ascii="Book Antiqua" w:eastAsia="Book Antiqua" w:hAnsi="Book Antiqua" w:cs="Book Antiqua"/>
          <w:vertAlign w:val="superscript"/>
        </w:rPr>
        <w:t>8]</w:t>
      </w:r>
      <w:r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  <w:vertAlign w:val="superscript"/>
        </w:rPr>
        <w:t xml:space="preserve"> </w:t>
      </w:r>
      <w:r w:rsidRPr="00CF58AE">
        <w:rPr>
          <w:rFonts w:ascii="Book Antiqua" w:eastAsia="Book Antiqua" w:hAnsi="Book Antiqua" w:cs="Book Antiqua"/>
        </w:rPr>
        <w:t>Standard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deviation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MLVI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expressed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numbers,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classes,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dichotomized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intervals,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whereas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TTR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expressed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percentages,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tertiles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dichotomized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intervals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usually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median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split.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universally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accepted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recommended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target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levels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each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those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parameters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assess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important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highlight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that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target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levels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Cmin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usually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vary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over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time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according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type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organ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donor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recipient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risk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factors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rejection,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comorbidity,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occurrence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side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effects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local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immunosuppression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protocols.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TTR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may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also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vary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sharply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according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adopted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Cmin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thresholds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distinct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centers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different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time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frames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organ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transplantation</w:t>
      </w:r>
      <w:r w:rsidR="00CE654C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E654C" w:rsidRPr="00CF58AE">
        <w:rPr>
          <w:rFonts w:ascii="Book Antiqua" w:eastAsia="Book Antiqua" w:hAnsi="Book Antiqua" w:cs="Book Antiqua"/>
          <w:vertAlign w:val="superscript"/>
        </w:rPr>
        <w:t>5-7]</w:t>
      </w:r>
      <w:r w:rsidRPr="00CF58AE">
        <w:rPr>
          <w:rFonts w:ascii="Book Antiqua" w:eastAsia="Book Antiqua" w:hAnsi="Book Antiqua" w:cs="Book Antiqua"/>
        </w:rPr>
        <w:t>.</w:t>
      </w:r>
    </w:p>
    <w:p w14:paraId="4B6BFC72" w14:textId="77777777" w:rsidR="00A77B3E" w:rsidRPr="00CF58AE" w:rsidRDefault="00A77B3E" w:rsidP="005A21CA">
      <w:pPr>
        <w:spacing w:line="360" w:lineRule="auto"/>
        <w:jc w:val="both"/>
        <w:rPr>
          <w:rFonts w:ascii="Book Antiqua" w:hAnsi="Book Antiqua"/>
        </w:rPr>
      </w:pPr>
    </w:p>
    <w:p w14:paraId="08C07124" w14:textId="2C9C957D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FACTORS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INFLUENCING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TAC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IPV</w:t>
      </w:r>
    </w:p>
    <w:p w14:paraId="59C12FBE" w14:textId="2DA9111E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proofErr w:type="spellStart"/>
      <w:r w:rsidRPr="00CF58AE">
        <w:rPr>
          <w:rFonts w:ascii="Book Antiqua" w:eastAsia="Book Antiqua" w:hAnsi="Book Antiqua" w:cs="Book Antiqua"/>
        </w:rPr>
        <w:t>Interpatient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attributed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interindividual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pharmacokinetics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which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may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induced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several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factors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including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drug-food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drug-drug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interactions,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concurrent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clinical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events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such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diarrhea,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cholestasis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liver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dysfunction,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ethnicity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CF58AE">
        <w:rPr>
          <w:rFonts w:ascii="Book Antiqua" w:eastAsia="Book Antiqua" w:hAnsi="Book Antiqua" w:cs="Book Antiqua"/>
        </w:rPr>
        <w:t>pharmacogenetics</w:t>
      </w:r>
      <w:proofErr w:type="spellEnd"/>
      <w:r w:rsidR="00CA1B80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F58AE">
        <w:rPr>
          <w:rFonts w:ascii="Book Antiqua" w:eastAsia="Book Antiqua" w:hAnsi="Book Antiqua" w:cs="Book Antiqua"/>
          <w:vertAlign w:val="superscript"/>
        </w:rPr>
        <w:t>3,9-13</w:t>
      </w:r>
      <w:r w:rsidR="00CA1B80" w:rsidRPr="00CF58AE">
        <w:rPr>
          <w:rFonts w:ascii="Book Antiqua" w:eastAsia="Book Antiqua" w:hAnsi="Book Antiqua" w:cs="Book Antiqua"/>
          <w:vertAlign w:val="superscript"/>
        </w:rPr>
        <w:t>]</w:t>
      </w:r>
      <w:r w:rsidR="00CA1B80"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regard,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polymorphisms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CYP3A5,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CYP3A4,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and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SLC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and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ABC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transporter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encoding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genes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have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been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shown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to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influence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the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area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under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the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curve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of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proofErr w:type="spellStart"/>
      <w:r w:rsidRPr="0078025F">
        <w:rPr>
          <w:rFonts w:ascii="Book Antiqua" w:eastAsia="Book Antiqua" w:hAnsi="Book Antiqua" w:cs="Book Antiqua"/>
        </w:rPr>
        <w:t>tacrolimus</w:t>
      </w:r>
      <w:proofErr w:type="spellEnd"/>
      <w:r w:rsidRPr="0078025F">
        <w:rPr>
          <w:rFonts w:ascii="Book Antiqua" w:eastAsia="Book Antiqua" w:hAnsi="Book Antiqua" w:cs="Book Antiqua"/>
        </w:rPr>
        <w:t>,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leading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either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to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rejection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or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even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toxicity</w:t>
      </w:r>
      <w:r w:rsidR="008A3BB0" w:rsidRPr="0078025F">
        <w:rPr>
          <w:rFonts w:ascii="Book Antiqua" w:eastAsia="Book Antiqua" w:hAnsi="Book Antiqua" w:cs="Book Antiqua"/>
        </w:rPr>
        <w:t xml:space="preserve"> </w:t>
      </w:r>
      <w:r w:rsidRPr="0078025F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recipients</w:t>
      </w:r>
      <w:r w:rsidR="00CA1B80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A1B80" w:rsidRPr="00CF58AE">
        <w:rPr>
          <w:rFonts w:ascii="Book Antiqua" w:eastAsia="Book Antiqua" w:hAnsi="Book Antiqua" w:cs="Book Antiqua"/>
          <w:vertAlign w:val="superscript"/>
        </w:rPr>
        <w:t>4,13]</w:t>
      </w:r>
      <w:r w:rsidRPr="00CF58AE">
        <w:rPr>
          <w:rFonts w:ascii="Book Antiqua" w:eastAsia="Book Antiqua" w:hAnsi="Book Antiqua" w:cs="Book Antiqua"/>
        </w:rPr>
        <w:t>.</w:t>
      </w:r>
    </w:p>
    <w:p w14:paraId="635178AB" w14:textId="026F6C7A" w:rsidR="00A77B3E" w:rsidRPr="00CF58AE" w:rsidRDefault="00C35F7B" w:rsidP="005A21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CF58AE">
        <w:rPr>
          <w:rFonts w:ascii="Book Antiqua" w:eastAsia="Book Antiqua" w:hAnsi="Book Antiqua" w:cs="Book Antiqua"/>
        </w:rPr>
        <w:lastRenderedPageBreak/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other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hand,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additionally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ascribed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non-adherence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organ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transplantation,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pre-analytical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analytical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variables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measure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Cmin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different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commercially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available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biochemical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assays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administration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different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formulations,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including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generic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substitutions</w:t>
      </w:r>
      <w:r w:rsidR="00CA1B80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A1B80" w:rsidRPr="00CF58AE">
        <w:rPr>
          <w:rFonts w:ascii="Book Antiqua" w:eastAsia="Book Antiqua" w:hAnsi="Book Antiqua" w:cs="Book Antiqua"/>
          <w:vertAlign w:val="superscript"/>
        </w:rPr>
        <w:t>3,5-7]</w:t>
      </w:r>
      <w:r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However,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non-adherence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common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reason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reported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medical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literature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explain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observed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deleterious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effect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survival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organ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some</w:t>
      </w:r>
      <w:r w:rsidR="00CA1B80" w:rsidRPr="00CF58AE">
        <w:rPr>
          <w:rFonts w:ascii="Book Antiqua" w:eastAsia="Book Antiqua" w:hAnsi="Book Antiqua" w:cs="Book Antiqua"/>
          <w:vertAlign w:val="superscript"/>
        </w:rPr>
        <w:t>[14</w:t>
      </w:r>
      <w:r w:rsidR="00FA3733" w:rsidRPr="00CF58AE">
        <w:rPr>
          <w:rFonts w:ascii="Book Antiqua" w:eastAsia="Book Antiqua" w:hAnsi="Book Antiqua" w:cs="Book Antiqua"/>
          <w:vertAlign w:val="superscript"/>
        </w:rPr>
        <w:t>-</w:t>
      </w:r>
      <w:r w:rsidR="00CA1B80" w:rsidRPr="00CF58AE">
        <w:rPr>
          <w:rFonts w:ascii="Book Antiqua" w:eastAsia="Book Antiqua" w:hAnsi="Book Antiqua" w:cs="Book Antiqua"/>
          <w:vertAlign w:val="superscript"/>
        </w:rPr>
        <w:t>19]</w:t>
      </w:r>
      <w:r w:rsidRPr="00CF58AE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  <w:vertAlign w:val="superscript"/>
        </w:rPr>
        <w:t xml:space="preserve"> </w:t>
      </w:r>
      <w:r w:rsidRPr="00CF58AE">
        <w:rPr>
          <w:rFonts w:ascii="Book Antiqua" w:eastAsia="Book Antiqua" w:hAnsi="Book Antiqua" w:cs="Book Antiqua"/>
        </w:rPr>
        <w:t>but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authors</w:t>
      </w:r>
      <w:r w:rsidR="001445B0" w:rsidRPr="00CF58AE">
        <w:rPr>
          <w:rFonts w:ascii="Book Antiqua" w:eastAsia="Book Antiqua" w:hAnsi="Book Antiqua" w:cs="Book Antiqua"/>
          <w:vertAlign w:val="superscript"/>
        </w:rPr>
        <w:t>[20,21]</w:t>
      </w:r>
      <w:r w:rsidRPr="00CF58AE">
        <w:rPr>
          <w:rFonts w:ascii="Book Antiqua" w:eastAsia="Book Antiqua" w:hAnsi="Book Antiqua" w:cs="Book Antiqua"/>
        </w:rPr>
        <w:t>.</w:t>
      </w:r>
    </w:p>
    <w:p w14:paraId="478F207F" w14:textId="605524C8" w:rsidR="00A77B3E" w:rsidRPr="00CF58AE" w:rsidRDefault="00C35F7B" w:rsidP="005A21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t>Several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approaches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have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proposed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assess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most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studies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retrospective,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different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methodologies,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considering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pediatric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adult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populations,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organ-specific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approach.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Despite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limitations,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provides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sign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that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patients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risk.</w:t>
      </w:r>
    </w:p>
    <w:p w14:paraId="58DE82F3" w14:textId="77777777" w:rsidR="00A77B3E" w:rsidRPr="00CF58AE" w:rsidRDefault="00A77B3E" w:rsidP="005A21CA">
      <w:pPr>
        <w:spacing w:line="360" w:lineRule="auto"/>
        <w:jc w:val="both"/>
        <w:rPr>
          <w:rFonts w:ascii="Book Antiqua" w:hAnsi="Book Antiqua"/>
        </w:rPr>
      </w:pPr>
    </w:p>
    <w:p w14:paraId="6B5283CF" w14:textId="6D649FEE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TAC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IPV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IN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HEART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TRANSPLANTATION</w:t>
      </w:r>
    </w:p>
    <w:p w14:paraId="57978CBE" w14:textId="1289AA02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t>Four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studies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evaluating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influence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were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performed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adult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patients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CV</w:t>
      </w:r>
      <w:r w:rsidR="001445B0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F58AE">
        <w:rPr>
          <w:rFonts w:ascii="Book Antiqua" w:eastAsia="Book Antiqua" w:hAnsi="Book Antiqua" w:cs="Book Antiqua"/>
          <w:vertAlign w:val="superscript"/>
        </w:rPr>
        <w:t>22-24</w:t>
      </w:r>
      <w:r w:rsidR="001445B0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TTR</w:t>
      </w:r>
      <w:r w:rsidR="001445B0" w:rsidRPr="00CF58AE">
        <w:rPr>
          <w:rFonts w:ascii="Book Antiqua" w:eastAsia="Book Antiqua" w:hAnsi="Book Antiqua" w:cs="Book Antiqua"/>
          <w:vertAlign w:val="superscript"/>
        </w:rPr>
        <w:t>[25]</w:t>
      </w:r>
      <w:r w:rsidRPr="00CF58AE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pediatric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subjects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SD/MLVI</w:t>
      </w:r>
      <w:r w:rsidR="007475B0" w:rsidRPr="00CF58AE">
        <w:rPr>
          <w:rFonts w:ascii="Book Antiqua" w:eastAsia="Book Antiqua" w:hAnsi="Book Antiqua" w:cs="Book Antiqua"/>
          <w:vertAlign w:val="superscript"/>
        </w:rPr>
        <w:t>[</w:t>
      </w:r>
      <w:r w:rsidRPr="00CF58AE">
        <w:rPr>
          <w:rFonts w:ascii="Book Antiqua" w:eastAsia="Book Antiqua" w:hAnsi="Book Antiqua" w:cs="Book Antiqua"/>
          <w:vertAlign w:val="superscript"/>
        </w:rPr>
        <w:t>26,27</w:t>
      </w:r>
      <w:r w:rsidR="007475B0" w:rsidRPr="00CF58AE">
        <w:rPr>
          <w:rFonts w:ascii="Book Antiqua" w:eastAsia="Book Antiqua" w:hAnsi="Book Antiqua" w:cs="Book Antiqua"/>
          <w:vertAlign w:val="superscript"/>
        </w:rPr>
        <w:t>]</w:t>
      </w:r>
      <w:r w:rsidR="007475B0" w:rsidRPr="00CF58AE">
        <w:rPr>
          <w:rFonts w:ascii="Book Antiqua" w:eastAsia="Book Antiqua" w:hAnsi="Book Antiqua" w:cs="Book Antiqua"/>
        </w:rPr>
        <w:t>.</w:t>
      </w:r>
    </w:p>
    <w:p w14:paraId="6BFF2844" w14:textId="71F61AC8" w:rsidR="00A77B3E" w:rsidRPr="00CF58AE" w:rsidRDefault="00C35F7B" w:rsidP="005A21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t>Concerning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pediatric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LT,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7475B0" w:rsidRPr="00CF58AE">
        <w:rPr>
          <w:rFonts w:ascii="Book Antiqua" w:eastAsia="Book Antiqua" w:hAnsi="Book Antiqua" w:cs="Book Antiqua"/>
        </w:rPr>
        <w:t>Pollock-</w:t>
      </w:r>
      <w:proofErr w:type="spellStart"/>
      <w:r w:rsidR="007475B0" w:rsidRPr="00CF58AE">
        <w:rPr>
          <w:rFonts w:ascii="Book Antiqua" w:eastAsia="Book Antiqua" w:hAnsi="Book Antiqua" w:cs="Book Antiqua"/>
        </w:rPr>
        <w:t>Barziv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FA3733" w:rsidRPr="00CF58AE">
        <w:rPr>
          <w:rFonts w:ascii="Book Antiqua" w:eastAsia="Book Antiqua" w:hAnsi="Book Antiqua" w:cs="Book Antiqua"/>
          <w:i/>
          <w:iCs/>
        </w:rPr>
        <w:t xml:space="preserve">et </w:t>
      </w:r>
      <w:proofErr w:type="gramStart"/>
      <w:r w:rsidR="00FA3733" w:rsidRPr="00CF58AE">
        <w:rPr>
          <w:rFonts w:ascii="Book Antiqua" w:eastAsia="Book Antiqua" w:hAnsi="Book Antiqua" w:cs="Book Antiqua"/>
          <w:i/>
          <w:iCs/>
        </w:rPr>
        <w:t>al</w:t>
      </w:r>
      <w:r w:rsidR="007475B0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F58AE">
        <w:rPr>
          <w:rFonts w:ascii="Book Antiqua" w:eastAsia="Book Antiqua" w:hAnsi="Book Antiqua" w:cs="Book Antiqua"/>
          <w:vertAlign w:val="superscript"/>
        </w:rPr>
        <w:t>26</w:t>
      </w:r>
      <w:r w:rsidR="007475B0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late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rejection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well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worse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survival,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but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worth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mention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that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few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heart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recipients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were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included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study.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Sirota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FA3733" w:rsidRPr="00CF58AE">
        <w:rPr>
          <w:rFonts w:ascii="Book Antiqua" w:eastAsia="Book Antiqua" w:hAnsi="Book Antiqua" w:cs="Book Antiqua"/>
          <w:i/>
          <w:iCs/>
        </w:rPr>
        <w:t xml:space="preserve">et </w:t>
      </w:r>
      <w:proofErr w:type="gramStart"/>
      <w:r w:rsidR="00FA3733" w:rsidRPr="00CF58AE">
        <w:rPr>
          <w:rFonts w:ascii="Book Antiqua" w:eastAsia="Book Antiqua" w:hAnsi="Book Antiqua" w:cs="Book Antiqua"/>
          <w:i/>
          <w:iCs/>
        </w:rPr>
        <w:t>al</w:t>
      </w:r>
      <w:r w:rsidR="00C102D3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F58AE">
        <w:rPr>
          <w:rFonts w:ascii="Book Antiqua" w:eastAsia="Book Antiqua" w:hAnsi="Book Antiqua" w:cs="Book Antiqua"/>
          <w:vertAlign w:val="superscript"/>
        </w:rPr>
        <w:t>27</w:t>
      </w:r>
      <w:r w:rsidR="00C102D3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found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similar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results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rejection,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but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authors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also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linked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SD/MLVI,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particularly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when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3,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cardiac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allograft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vasculopathy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survival.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adults,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Gueta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FA3733" w:rsidRPr="00CF58AE">
        <w:rPr>
          <w:rFonts w:ascii="Book Antiqua" w:eastAsia="Book Antiqua" w:hAnsi="Book Antiqua" w:cs="Book Antiqua"/>
          <w:i/>
          <w:iCs/>
        </w:rPr>
        <w:t xml:space="preserve">et </w:t>
      </w:r>
      <w:proofErr w:type="gramStart"/>
      <w:r w:rsidR="00FA3733" w:rsidRPr="00CF58AE">
        <w:rPr>
          <w:rFonts w:ascii="Book Antiqua" w:eastAsia="Book Antiqua" w:hAnsi="Book Antiqua" w:cs="Book Antiqua"/>
          <w:i/>
          <w:iCs/>
        </w:rPr>
        <w:t>al</w:t>
      </w:r>
      <w:r w:rsidR="00C102D3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F58AE">
        <w:rPr>
          <w:rFonts w:ascii="Book Antiqua" w:eastAsia="Book Antiqua" w:hAnsi="Book Antiqua" w:cs="Book Antiqua"/>
          <w:vertAlign w:val="superscript"/>
        </w:rPr>
        <w:t>22</w:t>
      </w:r>
      <w:r w:rsidR="00C102D3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described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first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year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rejection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12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but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between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three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12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mo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HT.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other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hand,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C102D3" w:rsidRPr="00CF58AE">
        <w:rPr>
          <w:rFonts w:ascii="Book Antiqua" w:eastAsia="Book Antiqua" w:hAnsi="Book Antiqua" w:cs="Book Antiqua"/>
        </w:rPr>
        <w:t>Shuker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FA3733" w:rsidRPr="00CF58AE">
        <w:rPr>
          <w:rFonts w:ascii="Book Antiqua" w:eastAsia="Book Antiqua" w:hAnsi="Book Antiqua" w:cs="Book Antiqua"/>
          <w:i/>
          <w:iCs/>
        </w:rPr>
        <w:t xml:space="preserve">et </w:t>
      </w:r>
      <w:proofErr w:type="gramStart"/>
      <w:r w:rsidR="00FA3733" w:rsidRPr="00CF58AE">
        <w:rPr>
          <w:rFonts w:ascii="Book Antiqua" w:eastAsia="Book Antiqua" w:hAnsi="Book Antiqua" w:cs="Book Antiqua"/>
          <w:i/>
          <w:iCs/>
        </w:rPr>
        <w:t>al</w:t>
      </w:r>
      <w:r w:rsidR="00C102D3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F58AE">
        <w:rPr>
          <w:rFonts w:ascii="Book Antiqua" w:eastAsia="Book Antiqua" w:hAnsi="Book Antiqua" w:cs="Book Antiqua"/>
          <w:vertAlign w:val="superscript"/>
        </w:rPr>
        <w:t>23</w:t>
      </w:r>
      <w:r w:rsidR="00C102D3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  <w:vertAlign w:val="superscript"/>
        </w:rPr>
        <w:t xml:space="preserve"> </w:t>
      </w:r>
      <w:r w:rsidRPr="00CF58AE">
        <w:rPr>
          <w:rFonts w:ascii="Book Antiqua" w:eastAsia="Book Antiqua" w:hAnsi="Book Antiqua" w:cs="Book Antiqua"/>
        </w:rPr>
        <w:t>found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increase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frequency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either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early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late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acute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rejection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even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cardiac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allograft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vasculopathy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heart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recipients.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Both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authors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ascribed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lack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early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acute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rejection</w:t>
      </w:r>
      <w:r w:rsidR="00CA1E7F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F58AE">
        <w:rPr>
          <w:rFonts w:ascii="Book Antiqua" w:eastAsia="Book Antiqua" w:hAnsi="Book Antiqua" w:cs="Book Antiqua"/>
          <w:vertAlign w:val="superscript"/>
        </w:rPr>
        <w:t>20</w:t>
      </w:r>
      <w:r w:rsidR="00CA1E7F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overall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rejection</w:t>
      </w:r>
      <w:r w:rsidR="00CA1E7F" w:rsidRPr="00CF58AE">
        <w:rPr>
          <w:rFonts w:ascii="Book Antiqua" w:eastAsia="Book Antiqua" w:hAnsi="Book Antiqua" w:cs="Book Antiqua"/>
          <w:vertAlign w:val="superscript"/>
        </w:rPr>
        <w:t>[</w:t>
      </w:r>
      <w:r w:rsidRPr="00CF58AE">
        <w:rPr>
          <w:rFonts w:ascii="Book Antiqua" w:eastAsia="Book Antiqua" w:hAnsi="Book Antiqua" w:cs="Book Antiqua"/>
          <w:vertAlign w:val="superscript"/>
        </w:rPr>
        <w:t>23</w:t>
      </w:r>
      <w:r w:rsidR="00CA1E7F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immunosuppression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exposure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frequently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observed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those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heart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recipients.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CA1E7F" w:rsidRPr="00CF58AE">
        <w:rPr>
          <w:rFonts w:ascii="Book Antiqua" w:eastAsia="Book Antiqua" w:hAnsi="Book Antiqua" w:cs="Book Antiqua"/>
        </w:rPr>
        <w:t>González-</w:t>
      </w:r>
      <w:proofErr w:type="spellStart"/>
      <w:r w:rsidR="00CA1E7F" w:rsidRPr="00CF58AE">
        <w:rPr>
          <w:rFonts w:ascii="Book Antiqua" w:eastAsia="Book Antiqua" w:hAnsi="Book Antiqua" w:cs="Book Antiqua"/>
        </w:rPr>
        <w:t>Vílchez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FA3733" w:rsidRPr="00CF58AE">
        <w:rPr>
          <w:rFonts w:ascii="Book Antiqua" w:eastAsia="Book Antiqua" w:hAnsi="Book Antiqua" w:cs="Book Antiqua"/>
          <w:i/>
          <w:iCs/>
        </w:rPr>
        <w:t xml:space="preserve">et </w:t>
      </w:r>
      <w:proofErr w:type="gramStart"/>
      <w:r w:rsidR="00FA3733" w:rsidRPr="00CF58AE">
        <w:rPr>
          <w:rFonts w:ascii="Book Antiqua" w:eastAsia="Book Antiqua" w:hAnsi="Book Antiqua" w:cs="Book Antiqua"/>
          <w:i/>
          <w:iCs/>
        </w:rPr>
        <w:t>al</w:t>
      </w:r>
      <w:r w:rsidR="00CA1E7F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F58AE">
        <w:rPr>
          <w:rFonts w:ascii="Book Antiqua" w:eastAsia="Book Antiqua" w:hAnsi="Book Antiqua" w:cs="Book Antiqua"/>
          <w:vertAlign w:val="superscript"/>
        </w:rPr>
        <w:t>24</w:t>
      </w:r>
      <w:r w:rsidR="00CA1E7F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studied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largest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cohort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up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now.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authors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found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effect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assessed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between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four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12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CF58AE">
        <w:rPr>
          <w:rFonts w:ascii="Book Antiqua" w:eastAsia="Book Antiqua" w:hAnsi="Book Antiqua" w:cs="Book Antiqua"/>
        </w:rPr>
        <w:t>mo</w:t>
      </w:r>
      <w:proofErr w:type="spellEnd"/>
      <w:proofErr w:type="gram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HT,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frequency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rejection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lastRenderedPageBreak/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year.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TTR,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Baker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FA3733" w:rsidRPr="00CF58AE">
        <w:rPr>
          <w:rFonts w:ascii="Book Antiqua" w:eastAsia="Book Antiqua" w:hAnsi="Book Antiqua" w:cs="Book Antiqua"/>
          <w:i/>
          <w:iCs/>
        </w:rPr>
        <w:t xml:space="preserve">et </w:t>
      </w:r>
      <w:proofErr w:type="gramStart"/>
      <w:r w:rsidR="00FA3733" w:rsidRPr="00CF58AE">
        <w:rPr>
          <w:rFonts w:ascii="Book Antiqua" w:eastAsia="Book Antiqua" w:hAnsi="Book Antiqua" w:cs="Book Antiqua"/>
          <w:i/>
          <w:iCs/>
        </w:rPr>
        <w:t>al</w:t>
      </w:r>
      <w:r w:rsidR="00CA1E7F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F58AE">
        <w:rPr>
          <w:rFonts w:ascii="Book Antiqua" w:eastAsia="Book Antiqua" w:hAnsi="Book Antiqua" w:cs="Book Antiqua"/>
          <w:vertAlign w:val="superscript"/>
        </w:rPr>
        <w:t>25</w:t>
      </w:r>
      <w:r w:rsidR="00CA1E7F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found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effect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acute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rejection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first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30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HT.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None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those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studies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adults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reported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other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such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mortality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Pr="00CF58AE">
        <w:rPr>
          <w:rFonts w:ascii="Book Antiqua" w:eastAsia="Book Antiqua" w:hAnsi="Book Antiqua" w:cs="Book Antiqua"/>
        </w:rPr>
        <w:t>-related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adverse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events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IPV</w:t>
      </w:r>
      <w:r w:rsidR="006A34D8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A34D8" w:rsidRPr="00CF58AE">
        <w:rPr>
          <w:rFonts w:ascii="Book Antiqua" w:eastAsia="Book Antiqua" w:hAnsi="Book Antiqua" w:cs="Book Antiqua"/>
          <w:vertAlign w:val="superscript"/>
        </w:rPr>
        <w:t>22-25]</w:t>
      </w:r>
      <w:r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main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findings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related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depicted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6A34D8" w:rsidRPr="00CF58AE">
        <w:rPr>
          <w:rFonts w:ascii="Book Antiqua" w:eastAsia="Book Antiqua" w:hAnsi="Book Antiqua" w:cs="Book Antiqua"/>
        </w:rPr>
        <w:t>T</w:t>
      </w:r>
      <w:r w:rsidRPr="00CF58AE">
        <w:rPr>
          <w:rFonts w:ascii="Book Antiqua" w:eastAsia="Book Antiqua" w:hAnsi="Book Antiqua" w:cs="Book Antiqua"/>
        </w:rPr>
        <w:t>able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1</w:t>
      </w:r>
      <w:r w:rsidR="00F65847" w:rsidRPr="00CF58AE">
        <w:rPr>
          <w:rFonts w:ascii="Book Antiqua" w:eastAsia="Book Antiqua" w:hAnsi="Book Antiqua" w:cs="Book Antiqua"/>
          <w:vertAlign w:val="superscript"/>
        </w:rPr>
        <w:t>[22-27]</w:t>
      </w:r>
      <w:r w:rsidRPr="00CF58AE">
        <w:rPr>
          <w:rFonts w:ascii="Book Antiqua" w:eastAsia="Book Antiqua" w:hAnsi="Book Antiqua" w:cs="Book Antiqua"/>
        </w:rPr>
        <w:t>.</w:t>
      </w:r>
    </w:p>
    <w:p w14:paraId="36B8B157" w14:textId="77777777" w:rsidR="00A77B3E" w:rsidRPr="00CF58AE" w:rsidRDefault="00A77B3E" w:rsidP="005A21CA">
      <w:pPr>
        <w:spacing w:line="360" w:lineRule="auto"/>
        <w:jc w:val="both"/>
        <w:rPr>
          <w:rFonts w:ascii="Book Antiqua" w:hAnsi="Book Antiqua"/>
        </w:rPr>
      </w:pPr>
    </w:p>
    <w:p w14:paraId="66781B2A" w14:textId="01611226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TAC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IPV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IN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LUNG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TRANSPLANTATION</w:t>
      </w:r>
    </w:p>
    <w:p w14:paraId="28B6FBD1" w14:textId="7505B3DE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t>Four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studies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have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investigated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impact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frequency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acute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chronic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rejection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chronic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lung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allograft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dysfunction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(CLAD)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lung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adults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SD/</w:t>
      </w:r>
      <w:proofErr w:type="gramStart"/>
      <w:r w:rsidRPr="00CF58AE">
        <w:rPr>
          <w:rFonts w:ascii="Book Antiqua" w:eastAsia="Book Antiqua" w:hAnsi="Book Antiqua" w:cs="Book Antiqua"/>
        </w:rPr>
        <w:t>MLVI</w:t>
      </w:r>
      <w:r w:rsidR="006315FC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B6007">
        <w:rPr>
          <w:rFonts w:ascii="Book Antiqua" w:eastAsia="Book Antiqua" w:hAnsi="Book Antiqua" w:cs="Book Antiqua"/>
          <w:vertAlign w:val="superscript"/>
        </w:rPr>
        <w:t>28</w:t>
      </w:r>
      <w:r w:rsidR="006315FC" w:rsidRPr="00CF58AE">
        <w:rPr>
          <w:rFonts w:ascii="Book Antiqua" w:eastAsia="Book Antiqua" w:hAnsi="Book Antiqua" w:cs="Book Antiqua"/>
          <w:vertAlign w:val="superscript"/>
        </w:rPr>
        <w:t>]</w:t>
      </w:r>
      <w:r w:rsidRPr="00CF58AE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CV</w:t>
      </w:r>
      <w:r w:rsidR="006315FC" w:rsidRPr="00CF58AE">
        <w:rPr>
          <w:rFonts w:ascii="Book Antiqua" w:eastAsia="Book Antiqua" w:hAnsi="Book Antiqua" w:cs="Book Antiqua"/>
          <w:vertAlign w:val="superscript"/>
        </w:rPr>
        <w:t>[</w:t>
      </w:r>
      <w:r w:rsidR="00BB6007">
        <w:rPr>
          <w:rFonts w:ascii="Book Antiqua" w:eastAsia="Book Antiqua" w:hAnsi="Book Antiqua" w:cs="Book Antiqua"/>
          <w:vertAlign w:val="superscript"/>
        </w:rPr>
        <w:t>29</w:t>
      </w:r>
      <w:r w:rsidR="006315FC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TTR</w:t>
      </w:r>
      <w:r w:rsidR="006315FC" w:rsidRPr="00CF58AE">
        <w:rPr>
          <w:rFonts w:ascii="Book Antiqua" w:eastAsia="Book Antiqua" w:hAnsi="Book Antiqua" w:cs="Book Antiqua"/>
          <w:vertAlign w:val="superscript"/>
        </w:rPr>
        <w:t>[</w:t>
      </w:r>
      <w:r w:rsidR="00BB6007">
        <w:rPr>
          <w:rFonts w:ascii="Book Antiqua" w:eastAsia="Book Antiqua" w:hAnsi="Book Antiqua" w:cs="Book Antiqua"/>
          <w:vertAlign w:val="superscript"/>
        </w:rPr>
        <w:t>29-31</w:t>
      </w:r>
      <w:r w:rsidR="006315FC" w:rsidRPr="00CF58AE">
        <w:rPr>
          <w:rFonts w:ascii="Book Antiqua" w:eastAsia="Book Antiqua" w:hAnsi="Book Antiqua" w:cs="Book Antiqua"/>
          <w:vertAlign w:val="superscript"/>
        </w:rPr>
        <w:t>]</w:t>
      </w:r>
      <w:r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Gallagher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FA3733" w:rsidRPr="00CF58AE">
        <w:rPr>
          <w:rFonts w:ascii="Book Antiqua" w:eastAsia="Book Antiqua" w:hAnsi="Book Antiqua" w:cs="Book Antiqua"/>
          <w:i/>
          <w:iCs/>
        </w:rPr>
        <w:t xml:space="preserve">et </w:t>
      </w:r>
      <w:proofErr w:type="gramStart"/>
      <w:r w:rsidR="00FA3733" w:rsidRPr="00CF58AE">
        <w:rPr>
          <w:rFonts w:ascii="Book Antiqua" w:eastAsia="Book Antiqua" w:hAnsi="Book Antiqua" w:cs="Book Antiqua"/>
          <w:i/>
          <w:iCs/>
        </w:rPr>
        <w:t>al</w:t>
      </w:r>
      <w:r w:rsidR="00253F82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B6007">
        <w:rPr>
          <w:rFonts w:ascii="Book Antiqua" w:eastAsia="Book Antiqua" w:hAnsi="Book Antiqua" w:cs="Book Antiqua"/>
          <w:vertAlign w:val="superscript"/>
        </w:rPr>
        <w:t>28</w:t>
      </w:r>
      <w:r w:rsidR="00253F82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demonstrated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that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SD/MLVI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between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6-12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mo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lung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development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CLAD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adverse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impact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survival.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Acute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rejection,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other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SD/</w:t>
      </w:r>
      <w:proofErr w:type="gramStart"/>
      <w:r w:rsidRPr="00CF58AE">
        <w:rPr>
          <w:rFonts w:ascii="Book Antiqua" w:eastAsia="Book Antiqua" w:hAnsi="Book Antiqua" w:cs="Book Antiqua"/>
        </w:rPr>
        <w:t>MLVI</w:t>
      </w:r>
      <w:r w:rsidR="0045017B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B6007">
        <w:rPr>
          <w:rFonts w:ascii="Book Antiqua" w:eastAsia="Book Antiqua" w:hAnsi="Book Antiqua" w:cs="Book Antiqua"/>
          <w:vertAlign w:val="superscript"/>
        </w:rPr>
        <w:t>28</w:t>
      </w:r>
      <w:r w:rsidR="0045017B" w:rsidRPr="00CF58AE">
        <w:rPr>
          <w:rFonts w:ascii="Book Antiqua" w:eastAsia="Book Antiqua" w:hAnsi="Book Antiqua" w:cs="Book Antiqua"/>
          <w:vertAlign w:val="superscript"/>
        </w:rPr>
        <w:t>]</w:t>
      </w:r>
      <w:r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Ensor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FA3733" w:rsidRPr="00CF58AE">
        <w:rPr>
          <w:rFonts w:ascii="Book Antiqua" w:eastAsia="Book Antiqua" w:hAnsi="Book Antiqua" w:cs="Book Antiqua"/>
          <w:i/>
          <w:iCs/>
        </w:rPr>
        <w:t xml:space="preserve">et </w:t>
      </w:r>
      <w:proofErr w:type="gramStart"/>
      <w:r w:rsidR="00FA3733" w:rsidRPr="00CF58AE">
        <w:rPr>
          <w:rFonts w:ascii="Book Antiqua" w:eastAsia="Book Antiqua" w:hAnsi="Book Antiqua" w:cs="Book Antiqua"/>
          <w:i/>
          <w:iCs/>
        </w:rPr>
        <w:t>al</w:t>
      </w:r>
      <w:r w:rsidR="0045017B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B6007">
        <w:rPr>
          <w:rFonts w:ascii="Book Antiqua" w:eastAsia="Book Antiqua" w:hAnsi="Book Antiqua" w:cs="Book Antiqua"/>
          <w:vertAlign w:val="superscript"/>
        </w:rPr>
        <w:t>30</w:t>
      </w:r>
      <w:r w:rsidR="0045017B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  <w:vertAlign w:val="superscript"/>
        </w:rPr>
        <w:t xml:space="preserve"> </w:t>
      </w:r>
      <w:r w:rsidRPr="00CF58AE">
        <w:rPr>
          <w:rFonts w:ascii="Book Antiqua" w:eastAsia="Book Antiqua" w:hAnsi="Book Antiqua" w:cs="Book Antiqua"/>
        </w:rPr>
        <w:t>evaluated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retrospectively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role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TTR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292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Lung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recipients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development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acute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chronic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rejection.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TTR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measured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first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year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lung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transplantation.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authors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observed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lower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likelihood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acute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rejection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CLAD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whenever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TTR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increased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10%.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Lower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rates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infection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mortality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was</w:t>
      </w:r>
      <w:proofErr w:type="gram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also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linked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TTR.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Other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authors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failed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demonstrate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frequency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acute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rejection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lung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when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assessed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either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TTR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first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6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mo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surgery</w:t>
      </w:r>
      <w:r w:rsidR="00E35142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B6007">
        <w:rPr>
          <w:rFonts w:ascii="Book Antiqua" w:eastAsia="Book Antiqua" w:hAnsi="Book Antiqua" w:cs="Book Antiqua"/>
          <w:vertAlign w:val="superscript"/>
        </w:rPr>
        <w:t>29</w:t>
      </w:r>
      <w:r w:rsidR="00E35142" w:rsidRPr="00CF58AE">
        <w:rPr>
          <w:rFonts w:ascii="Book Antiqua" w:eastAsia="Book Antiqua" w:hAnsi="Book Antiqua" w:cs="Book Antiqua"/>
          <w:vertAlign w:val="superscript"/>
        </w:rPr>
        <w:t>]</w:t>
      </w:r>
      <w:r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other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hand,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more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recently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Japanese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investigators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disclosed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acute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rejection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TTR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calculated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first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six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month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lung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transplantation</w:t>
      </w:r>
      <w:r w:rsidR="00E35142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B6007">
        <w:rPr>
          <w:rFonts w:ascii="Book Antiqua" w:eastAsia="Book Antiqua" w:hAnsi="Book Antiqua" w:cs="Book Antiqua"/>
          <w:vertAlign w:val="superscript"/>
        </w:rPr>
        <w:t>31</w:t>
      </w:r>
      <w:r w:rsidR="00E35142" w:rsidRPr="00CF58AE">
        <w:rPr>
          <w:rFonts w:ascii="Book Antiqua" w:eastAsia="Book Antiqua" w:hAnsi="Book Antiqua" w:cs="Book Antiqua"/>
          <w:vertAlign w:val="superscript"/>
        </w:rPr>
        <w:t>]</w:t>
      </w:r>
      <w:r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main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findings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related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lung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depicted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Table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2.</w:t>
      </w:r>
    </w:p>
    <w:p w14:paraId="0EE74770" w14:textId="77777777" w:rsidR="00A77B3E" w:rsidRPr="00CF58AE" w:rsidRDefault="00A77B3E" w:rsidP="005A21CA">
      <w:pPr>
        <w:spacing w:line="360" w:lineRule="auto"/>
        <w:jc w:val="both"/>
        <w:rPr>
          <w:rFonts w:ascii="Book Antiqua" w:hAnsi="Book Antiqua"/>
        </w:rPr>
      </w:pPr>
    </w:p>
    <w:p w14:paraId="59AC443D" w14:textId="158F24A8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TAC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IPV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IN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LIVER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TRANSPLANTATION</w:t>
      </w:r>
    </w:p>
    <w:p w14:paraId="40C2CCF9" w14:textId="5529F1F0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t>Impact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different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LT,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including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allograft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rejection,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postoperative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complications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survival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evaluated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pediatric</w:t>
      </w:r>
      <w:r w:rsidR="00611DCA" w:rsidRPr="00CF58AE">
        <w:rPr>
          <w:rFonts w:ascii="Book Antiqua" w:eastAsia="Book Antiqua" w:hAnsi="Book Antiqua" w:cs="Book Antiqua"/>
          <w:vertAlign w:val="superscript"/>
        </w:rPr>
        <w:t>[</w:t>
      </w:r>
      <w:r w:rsidRPr="00CF58AE">
        <w:rPr>
          <w:rFonts w:ascii="Book Antiqua" w:eastAsia="Book Antiqua" w:hAnsi="Book Antiqua" w:cs="Book Antiqua"/>
          <w:vertAlign w:val="superscript"/>
        </w:rPr>
        <w:t>26,</w:t>
      </w:r>
      <w:r w:rsidR="00BB6007">
        <w:rPr>
          <w:rFonts w:ascii="Book Antiqua" w:eastAsia="Book Antiqua" w:hAnsi="Book Antiqua" w:cs="Book Antiqua"/>
          <w:vertAlign w:val="superscript"/>
        </w:rPr>
        <w:t>32</w:t>
      </w:r>
      <w:r w:rsidRPr="00CF58AE">
        <w:rPr>
          <w:rFonts w:ascii="Book Antiqua" w:eastAsia="Book Antiqua" w:hAnsi="Book Antiqua" w:cs="Book Antiqua"/>
          <w:vertAlign w:val="superscript"/>
        </w:rPr>
        <w:t>-</w:t>
      </w:r>
      <w:r w:rsidR="00BB6007" w:rsidRPr="00CF58AE">
        <w:rPr>
          <w:rFonts w:ascii="Book Antiqua" w:eastAsia="Book Antiqua" w:hAnsi="Book Antiqua" w:cs="Book Antiqua"/>
          <w:vertAlign w:val="superscript"/>
        </w:rPr>
        <w:t>3</w:t>
      </w:r>
      <w:r w:rsidR="00BB6007">
        <w:rPr>
          <w:rFonts w:ascii="Book Antiqua" w:eastAsia="Book Antiqua" w:hAnsi="Book Antiqua" w:cs="Book Antiqua"/>
          <w:vertAlign w:val="superscript"/>
        </w:rPr>
        <w:t>5</w:t>
      </w:r>
      <w:r w:rsidR="00611DCA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adult</w:t>
      </w:r>
      <w:r w:rsidR="00611DCA" w:rsidRPr="00CF58AE">
        <w:rPr>
          <w:rFonts w:ascii="Book Antiqua" w:eastAsia="Book Antiqua" w:hAnsi="Book Antiqua" w:cs="Book Antiqua"/>
          <w:vertAlign w:val="superscript"/>
        </w:rPr>
        <w:t>[</w:t>
      </w:r>
      <w:r w:rsidR="00BB6007" w:rsidRPr="00CF58AE">
        <w:rPr>
          <w:rFonts w:ascii="Book Antiqua" w:eastAsia="Book Antiqua" w:hAnsi="Book Antiqua" w:cs="Book Antiqua"/>
          <w:vertAlign w:val="superscript"/>
        </w:rPr>
        <w:t>3</w:t>
      </w:r>
      <w:r w:rsidR="00BB6007">
        <w:rPr>
          <w:rFonts w:ascii="Book Antiqua" w:eastAsia="Book Antiqua" w:hAnsi="Book Antiqua" w:cs="Book Antiqua"/>
          <w:vertAlign w:val="superscript"/>
        </w:rPr>
        <w:t>6</w:t>
      </w:r>
      <w:r w:rsidRPr="00CF58AE">
        <w:rPr>
          <w:rFonts w:ascii="Book Antiqua" w:eastAsia="Book Antiqua" w:hAnsi="Book Antiqua" w:cs="Book Antiqua"/>
          <w:vertAlign w:val="superscript"/>
        </w:rPr>
        <w:t>-</w:t>
      </w:r>
      <w:r w:rsidR="00BB6007">
        <w:rPr>
          <w:rFonts w:ascii="Book Antiqua" w:eastAsia="Book Antiqua" w:hAnsi="Book Antiqua" w:cs="Book Antiqua"/>
          <w:vertAlign w:val="superscript"/>
        </w:rPr>
        <w:t>42</w:t>
      </w:r>
      <w:r w:rsidR="00611DCA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recipients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SD/MLVI</w:t>
      </w:r>
      <w:r w:rsidR="005737BD" w:rsidRPr="00CF58AE">
        <w:rPr>
          <w:rFonts w:ascii="Book Antiqua" w:eastAsia="Book Antiqua" w:hAnsi="Book Antiqua" w:cs="Book Antiqua"/>
          <w:vertAlign w:val="superscript"/>
        </w:rPr>
        <w:t>[26,</w:t>
      </w:r>
      <w:r w:rsidR="00BB6007">
        <w:rPr>
          <w:rFonts w:ascii="Book Antiqua" w:eastAsia="Book Antiqua" w:hAnsi="Book Antiqua" w:cs="Book Antiqua"/>
          <w:vertAlign w:val="superscript"/>
        </w:rPr>
        <w:t>32</w:t>
      </w:r>
      <w:r w:rsidR="005737BD" w:rsidRPr="00CF58AE">
        <w:rPr>
          <w:rFonts w:ascii="Book Antiqua" w:eastAsia="Book Antiqua" w:hAnsi="Book Antiqua" w:cs="Book Antiqua"/>
          <w:vertAlign w:val="superscript"/>
        </w:rPr>
        <w:t>-</w:t>
      </w:r>
      <w:r w:rsidR="00BB6007" w:rsidRPr="00CF58AE">
        <w:rPr>
          <w:rFonts w:ascii="Book Antiqua" w:eastAsia="Book Antiqua" w:hAnsi="Book Antiqua" w:cs="Book Antiqua"/>
          <w:vertAlign w:val="superscript"/>
        </w:rPr>
        <w:t>3</w:t>
      </w:r>
      <w:r w:rsidR="00BB6007">
        <w:rPr>
          <w:rFonts w:ascii="Book Antiqua" w:eastAsia="Book Antiqua" w:hAnsi="Book Antiqua" w:cs="Book Antiqua"/>
          <w:vertAlign w:val="superscript"/>
        </w:rPr>
        <w:t>4</w:t>
      </w:r>
      <w:r w:rsidR="005737BD" w:rsidRPr="00CF58AE">
        <w:rPr>
          <w:rFonts w:ascii="Book Antiqua" w:eastAsia="Book Antiqua" w:hAnsi="Book Antiqua" w:cs="Book Antiqua"/>
          <w:vertAlign w:val="superscript"/>
        </w:rPr>
        <w:t>]</w:t>
      </w:r>
      <w:r w:rsidRPr="00CF58AE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CV</w:t>
      </w:r>
      <w:r w:rsidR="005737BD" w:rsidRPr="00CF58AE">
        <w:rPr>
          <w:rFonts w:ascii="Book Antiqua" w:eastAsia="Book Antiqua" w:hAnsi="Book Antiqua" w:cs="Book Antiqua"/>
          <w:vertAlign w:val="superscript"/>
        </w:rPr>
        <w:t>[</w:t>
      </w:r>
      <w:r w:rsidR="00BB6007" w:rsidRPr="00CF58AE">
        <w:rPr>
          <w:rFonts w:ascii="Book Antiqua" w:eastAsia="Book Antiqua" w:hAnsi="Book Antiqua" w:cs="Book Antiqua"/>
          <w:vertAlign w:val="superscript"/>
        </w:rPr>
        <w:t>3</w:t>
      </w:r>
      <w:r w:rsidR="00BB6007">
        <w:rPr>
          <w:rFonts w:ascii="Book Antiqua" w:eastAsia="Book Antiqua" w:hAnsi="Book Antiqua" w:cs="Book Antiqua"/>
          <w:vertAlign w:val="superscript"/>
        </w:rPr>
        <w:t>5</w:t>
      </w:r>
      <w:r w:rsidRPr="00CF58AE">
        <w:rPr>
          <w:rFonts w:ascii="Book Antiqua" w:eastAsia="Book Antiqua" w:hAnsi="Book Antiqua" w:cs="Book Antiqua"/>
          <w:vertAlign w:val="superscript"/>
        </w:rPr>
        <w:t>-</w:t>
      </w:r>
      <w:r w:rsidR="00BB6007">
        <w:rPr>
          <w:rFonts w:ascii="Book Antiqua" w:eastAsia="Book Antiqua" w:hAnsi="Book Antiqua" w:cs="Book Antiqua"/>
          <w:vertAlign w:val="superscript"/>
        </w:rPr>
        <w:t>41</w:t>
      </w:r>
      <w:r w:rsidR="005737BD" w:rsidRPr="00CF58AE">
        <w:rPr>
          <w:rFonts w:ascii="Book Antiqua" w:eastAsia="Book Antiqua" w:hAnsi="Book Antiqua" w:cs="Book Antiqua"/>
          <w:vertAlign w:val="superscript"/>
        </w:rPr>
        <w:t>]</w:t>
      </w:r>
      <w:r w:rsidR="008262FE" w:rsidRPr="00CF58AE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TTR</w:t>
      </w:r>
      <w:r w:rsidR="005737BD" w:rsidRPr="00CF58AE">
        <w:rPr>
          <w:rFonts w:ascii="Book Antiqua" w:eastAsia="Book Antiqua" w:hAnsi="Book Antiqua" w:cs="Book Antiqua"/>
          <w:vertAlign w:val="superscript"/>
        </w:rPr>
        <w:t>[</w:t>
      </w:r>
      <w:r w:rsidR="00BB6007">
        <w:rPr>
          <w:rFonts w:ascii="Book Antiqua" w:eastAsia="Book Antiqua" w:hAnsi="Book Antiqua" w:cs="Book Antiqua"/>
          <w:vertAlign w:val="superscript"/>
        </w:rPr>
        <w:t>42</w:t>
      </w:r>
      <w:r w:rsidR="005737BD" w:rsidRPr="00CF58AE">
        <w:rPr>
          <w:rFonts w:ascii="Book Antiqua" w:eastAsia="Book Antiqua" w:hAnsi="Book Antiqua" w:cs="Book Antiqua"/>
          <w:vertAlign w:val="superscript"/>
        </w:rPr>
        <w:t>]</w:t>
      </w:r>
      <w:r w:rsidRPr="00CF58AE">
        <w:rPr>
          <w:rFonts w:ascii="Book Antiqua" w:eastAsia="Book Antiqua" w:hAnsi="Book Antiqua" w:cs="Book Antiqua"/>
        </w:rPr>
        <w:t>.</w:t>
      </w:r>
    </w:p>
    <w:p w14:paraId="0C3E4D1E" w14:textId="5F2F4C3E" w:rsidR="00A77B3E" w:rsidRPr="00CF58AE" w:rsidRDefault="00C35F7B" w:rsidP="005A21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t>Most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studies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performed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children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SD/MLVI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biopsy-proven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acute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rejection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(BPAR)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least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six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months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LT</w:t>
      </w:r>
      <w:r w:rsidR="008262FE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B6007">
        <w:rPr>
          <w:rFonts w:ascii="Book Antiqua" w:eastAsia="Book Antiqua" w:hAnsi="Book Antiqua" w:cs="Book Antiqua"/>
          <w:vertAlign w:val="superscript"/>
        </w:rPr>
        <w:t>42</w:t>
      </w:r>
      <w:r w:rsidR="008262FE" w:rsidRPr="00CF58AE">
        <w:rPr>
          <w:rFonts w:ascii="Book Antiqua" w:eastAsia="Book Antiqua" w:hAnsi="Book Antiqua" w:cs="Book Antiqua"/>
          <w:vertAlign w:val="superscript"/>
        </w:rPr>
        <w:t>-</w:t>
      </w:r>
      <w:r w:rsidR="00BB6007" w:rsidRPr="00CF58AE">
        <w:rPr>
          <w:rFonts w:ascii="Book Antiqua" w:eastAsia="Book Antiqua" w:hAnsi="Book Antiqua" w:cs="Book Antiqua"/>
          <w:vertAlign w:val="superscript"/>
        </w:rPr>
        <w:t>3</w:t>
      </w:r>
      <w:r w:rsidR="00BB6007">
        <w:rPr>
          <w:rFonts w:ascii="Book Antiqua" w:eastAsia="Book Antiqua" w:hAnsi="Book Antiqua" w:cs="Book Antiqua"/>
          <w:vertAlign w:val="superscript"/>
        </w:rPr>
        <w:t>4</w:t>
      </w:r>
      <w:r w:rsidR="008262FE" w:rsidRPr="00CF58AE">
        <w:rPr>
          <w:rFonts w:ascii="Book Antiqua" w:eastAsia="Book Antiqua" w:hAnsi="Book Antiqua" w:cs="Book Antiqua"/>
          <w:vertAlign w:val="superscript"/>
        </w:rPr>
        <w:t>]</w:t>
      </w:r>
      <w:r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  <w:vertAlign w:val="superscript"/>
        </w:rPr>
        <w:t xml:space="preserve"> </w:t>
      </w:r>
      <w:proofErr w:type="spellStart"/>
      <w:r w:rsidR="000D2A47" w:rsidRPr="00CF58AE">
        <w:rPr>
          <w:rFonts w:ascii="Book Antiqua" w:eastAsia="Book Antiqua" w:hAnsi="Book Antiqua" w:cs="Book Antiqua"/>
        </w:rPr>
        <w:t>Defrancq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FA3733" w:rsidRPr="00CF58AE">
        <w:rPr>
          <w:rFonts w:ascii="Book Antiqua" w:eastAsia="Book Antiqua" w:hAnsi="Book Antiqua" w:cs="Book Antiqua"/>
          <w:i/>
          <w:iCs/>
        </w:rPr>
        <w:t xml:space="preserve">et </w:t>
      </w:r>
      <w:proofErr w:type="gramStart"/>
      <w:r w:rsidR="00FA3733" w:rsidRPr="00CF58AE">
        <w:rPr>
          <w:rFonts w:ascii="Book Antiqua" w:eastAsia="Book Antiqua" w:hAnsi="Book Antiqua" w:cs="Book Antiqua"/>
          <w:i/>
          <w:iCs/>
        </w:rPr>
        <w:t>al</w:t>
      </w:r>
      <w:r w:rsidR="000D2A47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B6007" w:rsidRPr="00CF58AE">
        <w:rPr>
          <w:rFonts w:ascii="Book Antiqua" w:eastAsia="Book Antiqua" w:hAnsi="Book Antiqua" w:cs="Book Antiqua"/>
          <w:vertAlign w:val="superscript"/>
        </w:rPr>
        <w:t>3</w:t>
      </w:r>
      <w:r w:rsidR="00BB6007">
        <w:rPr>
          <w:rFonts w:ascii="Book Antiqua" w:eastAsia="Book Antiqua" w:hAnsi="Book Antiqua" w:cs="Book Antiqua"/>
          <w:vertAlign w:val="superscript"/>
        </w:rPr>
        <w:t>5</w:t>
      </w:r>
      <w:r w:rsidR="000D2A47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  <w:vertAlign w:val="superscript"/>
        </w:rPr>
        <w:t xml:space="preserve"> </w:t>
      </w:r>
      <w:r w:rsidRPr="00CF58AE">
        <w:rPr>
          <w:rFonts w:ascii="Book Antiqua" w:eastAsia="Book Antiqua" w:hAnsi="Book Antiqua" w:cs="Book Antiqua"/>
        </w:rPr>
        <w:t>found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similar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lastRenderedPageBreak/>
        <w:t>results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another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cohort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children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year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surgery.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authors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reported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between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BPAR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correlated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albumin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bilirubin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levels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different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time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frames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well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missed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outpatient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consultations,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possibly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reflecting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immunosuppression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adherence</w:t>
      </w:r>
      <w:r w:rsidR="00911871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B6007">
        <w:rPr>
          <w:rFonts w:ascii="Book Antiqua" w:eastAsia="Book Antiqua" w:hAnsi="Book Antiqua" w:cs="Book Antiqua"/>
          <w:vertAlign w:val="superscript"/>
        </w:rPr>
        <w:t>33</w:t>
      </w:r>
      <w:r w:rsidR="00911871" w:rsidRPr="00CF58AE">
        <w:rPr>
          <w:rFonts w:ascii="Book Antiqua" w:eastAsia="Book Antiqua" w:hAnsi="Book Antiqua" w:cs="Book Antiqua"/>
          <w:vertAlign w:val="superscript"/>
        </w:rPr>
        <w:t>]</w:t>
      </w:r>
      <w:r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Decreased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survival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also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related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just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those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reports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including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few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patients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submitted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LT</w:t>
      </w:r>
      <w:r w:rsidR="00BE75AC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F58AE">
        <w:rPr>
          <w:rFonts w:ascii="Book Antiqua" w:eastAsia="Book Antiqua" w:hAnsi="Book Antiqua" w:cs="Book Antiqua"/>
          <w:vertAlign w:val="superscript"/>
        </w:rPr>
        <w:t>26</w:t>
      </w:r>
      <w:r w:rsidR="00BE75AC" w:rsidRPr="00CF58AE">
        <w:rPr>
          <w:rFonts w:ascii="Book Antiqua" w:eastAsia="Book Antiqua" w:hAnsi="Book Antiqua" w:cs="Book Antiqua"/>
          <w:vertAlign w:val="superscript"/>
        </w:rPr>
        <w:t>]</w:t>
      </w:r>
      <w:r w:rsidR="00BE75AC" w:rsidRPr="00CF58AE">
        <w:rPr>
          <w:rFonts w:ascii="Book Antiqua" w:eastAsia="Book Antiqua" w:hAnsi="Book Antiqua" w:cs="Book Antiqua"/>
        </w:rPr>
        <w:t>.</w:t>
      </w:r>
    </w:p>
    <w:p w14:paraId="4D213783" w14:textId="6173C8BB" w:rsidR="00A77B3E" w:rsidRPr="00CF58AE" w:rsidRDefault="00C35F7B" w:rsidP="005A21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t>Up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now,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seven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reports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were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published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medical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literature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concerning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effect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post-LT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adults.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regard,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860EA" w:rsidRPr="00CF58AE">
        <w:rPr>
          <w:rFonts w:ascii="Book Antiqua" w:eastAsia="Book Antiqua" w:hAnsi="Book Antiqua" w:cs="Book Antiqua"/>
        </w:rPr>
        <w:t>Christina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FA3733" w:rsidRPr="00CF58AE">
        <w:rPr>
          <w:rFonts w:ascii="Book Antiqua" w:eastAsia="Book Antiqua" w:hAnsi="Book Antiqua" w:cs="Book Antiqua"/>
          <w:i/>
          <w:iCs/>
        </w:rPr>
        <w:t xml:space="preserve">et </w:t>
      </w:r>
      <w:proofErr w:type="gramStart"/>
      <w:r w:rsidR="00FA3733" w:rsidRPr="00CF58AE">
        <w:rPr>
          <w:rFonts w:ascii="Book Antiqua" w:eastAsia="Book Antiqua" w:hAnsi="Book Antiqua" w:cs="Book Antiqua"/>
          <w:i/>
          <w:iCs/>
        </w:rPr>
        <w:t>al</w:t>
      </w:r>
      <w:r w:rsidR="007D4844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B6007" w:rsidRPr="00CF58AE">
        <w:rPr>
          <w:rFonts w:ascii="Book Antiqua" w:eastAsia="Book Antiqua" w:hAnsi="Book Antiqua" w:cs="Book Antiqua"/>
          <w:vertAlign w:val="superscript"/>
        </w:rPr>
        <w:t>3</w:t>
      </w:r>
      <w:r w:rsidR="00BB6007">
        <w:rPr>
          <w:rFonts w:ascii="Book Antiqua" w:eastAsia="Book Antiqua" w:hAnsi="Book Antiqua" w:cs="Book Antiqua"/>
          <w:vertAlign w:val="superscript"/>
        </w:rPr>
        <w:t>6</w:t>
      </w:r>
      <w:r w:rsidR="007D4844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disclosed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between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SD/MLVI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BPAR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patients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submitted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LT.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Similar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findings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were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reported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Bello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FA3733" w:rsidRPr="00CF58AE">
        <w:rPr>
          <w:rFonts w:ascii="Book Antiqua" w:eastAsia="Book Antiqua" w:hAnsi="Book Antiqua" w:cs="Book Antiqua"/>
          <w:i/>
          <w:iCs/>
        </w:rPr>
        <w:t>et al</w:t>
      </w:r>
      <w:r w:rsidR="007D4844" w:rsidRPr="00CF58AE">
        <w:rPr>
          <w:rFonts w:ascii="Book Antiqua" w:eastAsia="Book Antiqua" w:hAnsi="Book Antiqua" w:cs="Book Antiqua"/>
          <w:vertAlign w:val="superscript"/>
        </w:rPr>
        <w:t>[</w:t>
      </w:r>
      <w:r w:rsidR="00BB6007" w:rsidRPr="00CF58AE">
        <w:rPr>
          <w:rFonts w:ascii="Book Antiqua" w:eastAsia="Book Antiqua" w:hAnsi="Book Antiqua" w:cs="Book Antiqua"/>
          <w:vertAlign w:val="superscript"/>
        </w:rPr>
        <w:t>3</w:t>
      </w:r>
      <w:r w:rsidR="00BB6007">
        <w:rPr>
          <w:rFonts w:ascii="Book Antiqua" w:eastAsia="Book Antiqua" w:hAnsi="Book Antiqua" w:cs="Book Antiqua"/>
          <w:vertAlign w:val="superscript"/>
        </w:rPr>
        <w:t>7</w:t>
      </w:r>
      <w:r w:rsidR="007D4844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who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reported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measured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just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discharge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BPAR,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well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occurrence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5F0284" w:rsidRPr="00CF58AE">
        <w:rPr>
          <w:rFonts w:ascii="Book Antiqua" w:eastAsia="Book Antiqua" w:hAnsi="Book Antiqua" w:cs="Book Antiqua"/>
          <w:i/>
          <w:iCs/>
        </w:rPr>
        <w:t>de novo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anti-donor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specific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antibodies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</w:t>
      </w:r>
      <w:proofErr w:type="spellStart"/>
      <w:r w:rsidRPr="00CF58AE">
        <w:rPr>
          <w:rFonts w:ascii="Book Antiqua" w:eastAsia="Book Antiqua" w:hAnsi="Book Antiqua" w:cs="Book Antiqua"/>
          <w:i/>
          <w:iCs/>
        </w:rPr>
        <w:t>dn</w:t>
      </w:r>
      <w:r w:rsidRPr="00CF58AE">
        <w:rPr>
          <w:rFonts w:ascii="Book Antiqua" w:eastAsia="Book Antiqua" w:hAnsi="Book Antiqua" w:cs="Book Antiqua"/>
        </w:rPr>
        <w:t>DSA</w:t>
      </w:r>
      <w:proofErr w:type="spellEnd"/>
      <w:r w:rsidRPr="00CF58AE">
        <w:rPr>
          <w:rFonts w:ascii="Book Antiqua" w:eastAsia="Book Antiqua" w:hAnsi="Book Antiqua" w:cs="Book Antiqua"/>
        </w:rPr>
        <w:t>).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impact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seen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survival</w:t>
      </w:r>
      <w:r w:rsidR="002523E0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B6007" w:rsidRPr="00CF58AE">
        <w:rPr>
          <w:rFonts w:ascii="Book Antiqua" w:eastAsia="Book Antiqua" w:hAnsi="Book Antiqua" w:cs="Book Antiqua"/>
          <w:vertAlign w:val="superscript"/>
        </w:rPr>
        <w:t>3</w:t>
      </w:r>
      <w:r w:rsidR="00BB6007">
        <w:rPr>
          <w:rFonts w:ascii="Book Antiqua" w:eastAsia="Book Antiqua" w:hAnsi="Book Antiqua" w:cs="Book Antiqua"/>
          <w:vertAlign w:val="superscript"/>
        </w:rPr>
        <w:t>7</w:t>
      </w:r>
      <w:r w:rsidR="002523E0" w:rsidRPr="00CF58AE">
        <w:rPr>
          <w:rFonts w:ascii="Book Antiqua" w:eastAsia="Book Antiqua" w:hAnsi="Book Antiqua" w:cs="Book Antiqua"/>
          <w:vertAlign w:val="superscript"/>
        </w:rPr>
        <w:t>]</w:t>
      </w:r>
      <w:r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Van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Veer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FA3733" w:rsidRPr="00CF58AE">
        <w:rPr>
          <w:rFonts w:ascii="Book Antiqua" w:eastAsia="Book Antiqua" w:hAnsi="Book Antiqua" w:cs="Book Antiqua"/>
          <w:i/>
          <w:iCs/>
        </w:rPr>
        <w:t xml:space="preserve">et </w:t>
      </w:r>
      <w:proofErr w:type="gramStart"/>
      <w:r w:rsidR="00FA3733" w:rsidRPr="00CF58AE">
        <w:rPr>
          <w:rFonts w:ascii="Book Antiqua" w:eastAsia="Book Antiqua" w:hAnsi="Book Antiqua" w:cs="Book Antiqua"/>
          <w:i/>
          <w:iCs/>
        </w:rPr>
        <w:t>al</w:t>
      </w:r>
      <w:r w:rsidR="002523E0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B6007" w:rsidRPr="00CF58AE">
        <w:rPr>
          <w:rFonts w:ascii="Book Antiqua" w:eastAsia="Book Antiqua" w:hAnsi="Book Antiqua" w:cs="Book Antiqua"/>
          <w:vertAlign w:val="superscript"/>
        </w:rPr>
        <w:t>3</w:t>
      </w:r>
      <w:r w:rsidR="00BB6007">
        <w:rPr>
          <w:rFonts w:ascii="Book Antiqua" w:eastAsia="Book Antiqua" w:hAnsi="Book Antiqua" w:cs="Book Antiqua"/>
          <w:vertAlign w:val="superscript"/>
        </w:rPr>
        <w:t>9</w:t>
      </w:r>
      <w:r w:rsidR="002523E0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evaluated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influence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measured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between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six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18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mo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adult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subjects.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authors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were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unable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disclose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between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immune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mediated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injury.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Rayar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FA3733" w:rsidRPr="00CF58AE">
        <w:rPr>
          <w:rFonts w:ascii="Book Antiqua" w:eastAsia="Book Antiqua" w:hAnsi="Book Antiqua" w:cs="Book Antiqua"/>
          <w:i/>
          <w:iCs/>
        </w:rPr>
        <w:t xml:space="preserve">et </w:t>
      </w:r>
      <w:proofErr w:type="gramStart"/>
      <w:r w:rsidR="00FA3733" w:rsidRPr="00CF58AE">
        <w:rPr>
          <w:rFonts w:ascii="Book Antiqua" w:eastAsia="Book Antiqua" w:hAnsi="Book Antiqua" w:cs="Book Antiqua"/>
          <w:i/>
          <w:iCs/>
        </w:rPr>
        <w:t>al</w:t>
      </w:r>
      <w:r w:rsidR="00757644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B6007" w:rsidRPr="00CF58AE">
        <w:rPr>
          <w:rFonts w:ascii="Book Antiqua" w:eastAsia="Book Antiqua" w:hAnsi="Book Antiqua" w:cs="Book Antiqua"/>
          <w:vertAlign w:val="superscript"/>
        </w:rPr>
        <w:t>3</w:t>
      </w:r>
      <w:r w:rsidR="00BB6007">
        <w:rPr>
          <w:rFonts w:ascii="Book Antiqua" w:eastAsia="Book Antiqua" w:hAnsi="Book Antiqua" w:cs="Book Antiqua"/>
          <w:vertAlign w:val="superscript"/>
        </w:rPr>
        <w:t>8</w:t>
      </w:r>
      <w:r w:rsidR="00757644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investigated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influence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measured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first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30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postoperative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outcomes.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authors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found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increased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frequency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acute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injury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well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cardiovascular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neurologic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complications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patients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CV.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Most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importantly,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shortened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survival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rates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were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also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IPV</w:t>
      </w:r>
      <w:r w:rsidR="00284AFD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B6007" w:rsidRPr="00CF58AE">
        <w:rPr>
          <w:rFonts w:ascii="Book Antiqua" w:eastAsia="Book Antiqua" w:hAnsi="Book Antiqua" w:cs="Book Antiqua"/>
          <w:vertAlign w:val="superscript"/>
        </w:rPr>
        <w:t>3</w:t>
      </w:r>
      <w:r w:rsidR="00BB6007">
        <w:rPr>
          <w:rFonts w:ascii="Book Antiqua" w:eastAsia="Book Antiqua" w:hAnsi="Book Antiqua" w:cs="Book Antiqua"/>
          <w:vertAlign w:val="superscript"/>
        </w:rPr>
        <w:t>8</w:t>
      </w:r>
      <w:r w:rsidR="00284AFD" w:rsidRPr="00CF58AE">
        <w:rPr>
          <w:rFonts w:ascii="Book Antiqua" w:eastAsia="Book Antiqua" w:hAnsi="Book Antiqua" w:cs="Book Antiqua"/>
          <w:vertAlign w:val="superscript"/>
        </w:rPr>
        <w:t>]</w:t>
      </w:r>
      <w:r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Other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authors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investigated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whether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CV,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assessed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between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three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six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months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LT,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could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worse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long-term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outcomes</w:t>
      </w:r>
      <w:r w:rsidR="00284AFD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B6007">
        <w:rPr>
          <w:rFonts w:ascii="Book Antiqua" w:eastAsia="Book Antiqua" w:hAnsi="Book Antiqua" w:cs="Book Antiqua"/>
          <w:vertAlign w:val="superscript"/>
        </w:rPr>
        <w:t>40</w:t>
      </w:r>
      <w:r w:rsidR="00284AFD" w:rsidRPr="00CF58AE">
        <w:rPr>
          <w:rFonts w:ascii="Book Antiqua" w:eastAsia="Book Antiqua" w:hAnsi="Book Antiqua" w:cs="Book Antiqua"/>
          <w:vertAlign w:val="superscript"/>
        </w:rPr>
        <w:t>]</w:t>
      </w:r>
      <w:r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study,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lower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long-term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survival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poorer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renal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function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were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similarly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observed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those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subjects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CV.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Another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group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investigators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also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linked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hepatocellular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carcinoma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(HCC)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recurrence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LT</w:t>
      </w:r>
      <w:r w:rsidR="0040385C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B6007">
        <w:rPr>
          <w:rFonts w:ascii="Book Antiqua" w:eastAsia="Book Antiqua" w:hAnsi="Book Antiqua" w:cs="Book Antiqua"/>
          <w:vertAlign w:val="superscript"/>
        </w:rPr>
        <w:t>41</w:t>
      </w:r>
      <w:r w:rsidR="0040385C" w:rsidRPr="00CF58AE">
        <w:rPr>
          <w:rFonts w:ascii="Book Antiqua" w:eastAsia="Book Antiqua" w:hAnsi="Book Antiqua" w:cs="Book Antiqua"/>
          <w:vertAlign w:val="superscript"/>
        </w:rPr>
        <w:t>]</w:t>
      </w:r>
      <w:r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study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up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now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assessed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impact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employing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TTR</w:t>
      </w:r>
      <w:r w:rsidR="00E65B9D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B6007">
        <w:rPr>
          <w:rFonts w:ascii="Book Antiqua" w:eastAsia="Book Antiqua" w:hAnsi="Book Antiqua" w:cs="Book Antiqua"/>
          <w:vertAlign w:val="superscript"/>
        </w:rPr>
        <w:t>42</w:t>
      </w:r>
      <w:r w:rsidR="00E65B9D" w:rsidRPr="00CF58AE">
        <w:rPr>
          <w:rFonts w:ascii="Book Antiqua" w:eastAsia="Book Antiqua" w:hAnsi="Book Antiqua" w:cs="Book Antiqua"/>
          <w:vertAlign w:val="superscript"/>
        </w:rPr>
        <w:t>]</w:t>
      </w:r>
      <w:r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authors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found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that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lower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TTR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those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subjects,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irrespectively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CV,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risk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  <w:i/>
          <w:iCs/>
        </w:rPr>
        <w:t>dn</w:t>
      </w:r>
      <w:r w:rsidRPr="00CF58AE">
        <w:rPr>
          <w:rFonts w:ascii="Book Antiqua" w:eastAsia="Book Antiqua" w:hAnsi="Book Antiqua" w:cs="Book Antiqua"/>
        </w:rPr>
        <w:t>DSA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long-term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death-censored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loss.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main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findings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related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depicted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40385C" w:rsidRPr="00CF58AE">
        <w:rPr>
          <w:rFonts w:ascii="Book Antiqua" w:eastAsia="Book Antiqua" w:hAnsi="Book Antiqua" w:cs="Book Antiqua"/>
        </w:rPr>
        <w:t>T</w:t>
      </w:r>
      <w:r w:rsidRPr="00CF58AE">
        <w:rPr>
          <w:rFonts w:ascii="Book Antiqua" w:eastAsia="Book Antiqua" w:hAnsi="Book Antiqua" w:cs="Book Antiqua"/>
        </w:rPr>
        <w:t>able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3.</w:t>
      </w:r>
    </w:p>
    <w:p w14:paraId="0E5B7E99" w14:textId="77777777" w:rsidR="00A77B3E" w:rsidRPr="00CF58AE" w:rsidRDefault="00A77B3E" w:rsidP="005A21CA">
      <w:pPr>
        <w:spacing w:line="360" w:lineRule="auto"/>
        <w:jc w:val="both"/>
        <w:rPr>
          <w:rFonts w:ascii="Book Antiqua" w:hAnsi="Book Antiqua"/>
        </w:rPr>
      </w:pPr>
    </w:p>
    <w:p w14:paraId="67147D89" w14:textId="19D9C554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lastRenderedPageBreak/>
        <w:t>TAC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IPV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IN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KIDNEY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TRANSPLANTATION</w:t>
      </w:r>
    </w:p>
    <w:p w14:paraId="1820D553" w14:textId="6680F97D" w:rsidR="00A77B3E" w:rsidRPr="00CF58AE" w:rsidRDefault="002B3C89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t>Most 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studies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published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thus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far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demonstrated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adverse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impact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KT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</w:t>
      </w:r>
      <w:r w:rsidR="004C25FC" w:rsidRPr="00CF58AE">
        <w:rPr>
          <w:rFonts w:ascii="Book Antiqua" w:eastAsia="Book Antiqua" w:hAnsi="Book Antiqua" w:cs="Book Antiqua"/>
        </w:rPr>
        <w:t>T</w:t>
      </w:r>
      <w:r w:rsidRPr="00CF58AE">
        <w:rPr>
          <w:rFonts w:ascii="Book Antiqua" w:eastAsia="Book Antiqua" w:hAnsi="Book Antiqua" w:cs="Book Antiqua"/>
        </w:rPr>
        <w:t>able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4</w:t>
      </w:r>
      <w:proofErr w:type="gramStart"/>
      <w:r w:rsidRPr="00CF58AE">
        <w:rPr>
          <w:rFonts w:ascii="Book Antiqua" w:eastAsia="Book Antiqua" w:hAnsi="Book Antiqua" w:cs="Book Antiqua"/>
        </w:rPr>
        <w:t>)</w:t>
      </w:r>
      <w:r w:rsidR="004C25FC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4C25FC" w:rsidRPr="00CF58AE">
        <w:rPr>
          <w:rFonts w:ascii="Book Antiqua" w:eastAsia="Book Antiqua" w:hAnsi="Book Antiqua" w:cs="Book Antiqua"/>
          <w:vertAlign w:val="superscript"/>
        </w:rPr>
        <w:t>43-68]</w:t>
      </w:r>
      <w:r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Most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were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performed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adult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recipients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MLVI/SD</w:t>
      </w:r>
      <w:r w:rsidR="00C44816" w:rsidRPr="00CF58AE">
        <w:rPr>
          <w:rFonts w:ascii="Book Antiqua" w:eastAsia="Book Antiqua" w:hAnsi="Book Antiqua" w:cs="Book Antiqua"/>
          <w:vertAlign w:val="superscript"/>
        </w:rPr>
        <w:t>[44]</w:t>
      </w:r>
      <w:r w:rsidRPr="00CF58AE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MAD</w:t>
      </w:r>
      <w:r w:rsidR="00C44816" w:rsidRPr="00CF58AE">
        <w:rPr>
          <w:rFonts w:ascii="Book Antiqua" w:eastAsia="Book Antiqua" w:hAnsi="Book Antiqua" w:cs="Book Antiqua"/>
          <w:vertAlign w:val="superscript"/>
        </w:rPr>
        <w:t>[</w:t>
      </w:r>
      <w:r w:rsidRPr="00CF58AE">
        <w:rPr>
          <w:rFonts w:ascii="Book Antiqua" w:eastAsia="Book Antiqua" w:hAnsi="Book Antiqua" w:cs="Book Antiqua"/>
          <w:vertAlign w:val="superscript"/>
        </w:rPr>
        <w:t>45-48,62,66</w:t>
      </w:r>
      <w:r w:rsidR="00C44816" w:rsidRPr="00CF58AE">
        <w:rPr>
          <w:rFonts w:ascii="Book Antiqua" w:eastAsia="Book Antiqua" w:hAnsi="Book Antiqua" w:cs="Book Antiqua"/>
          <w:vertAlign w:val="superscript"/>
        </w:rPr>
        <w:t>]</w:t>
      </w:r>
      <w:r w:rsidR="00C44816" w:rsidRPr="00CF58AE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CV</w:t>
      </w:r>
      <w:r w:rsidR="00C44816" w:rsidRPr="00CF58AE">
        <w:rPr>
          <w:rFonts w:ascii="Book Antiqua" w:eastAsia="Book Antiqua" w:hAnsi="Book Antiqua" w:cs="Book Antiqua"/>
          <w:vertAlign w:val="superscript"/>
        </w:rPr>
        <w:t>[</w:t>
      </w:r>
      <w:r w:rsidRPr="00CF58AE">
        <w:rPr>
          <w:rFonts w:ascii="Book Antiqua" w:eastAsia="Book Antiqua" w:hAnsi="Book Antiqua" w:cs="Book Antiqua"/>
          <w:vertAlign w:val="superscript"/>
        </w:rPr>
        <w:t>49-60,63,64,67-68</w:t>
      </w:r>
      <w:r w:rsidR="00C44816" w:rsidRPr="00CF58AE">
        <w:rPr>
          <w:rFonts w:ascii="Book Antiqua" w:eastAsia="Book Antiqua" w:hAnsi="Book Antiqua" w:cs="Book Antiqua"/>
          <w:vertAlign w:val="superscript"/>
        </w:rPr>
        <w:t>]</w:t>
      </w:r>
      <w:r w:rsidR="00C44816" w:rsidRPr="00CF58AE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  <w:vertAlign w:val="superscript"/>
        </w:rPr>
        <w:t xml:space="preserve"> </w:t>
      </w:r>
      <w:r w:rsidRPr="00CF58AE">
        <w:rPr>
          <w:rFonts w:ascii="Book Antiqua" w:eastAsia="Book Antiqua" w:hAnsi="Book Antiqua" w:cs="Book Antiqua"/>
        </w:rPr>
        <w:t>TTR</w:t>
      </w:r>
      <w:r w:rsidR="00C44816" w:rsidRPr="00CF58AE">
        <w:rPr>
          <w:rFonts w:ascii="Book Antiqua" w:eastAsia="Book Antiqua" w:hAnsi="Book Antiqua" w:cs="Book Antiqua"/>
          <w:vertAlign w:val="superscript"/>
        </w:rPr>
        <w:t>[</w:t>
      </w:r>
      <w:r w:rsidRPr="00CF58AE">
        <w:rPr>
          <w:rFonts w:ascii="Book Antiqua" w:eastAsia="Book Antiqua" w:hAnsi="Book Antiqua" w:cs="Book Antiqua"/>
          <w:vertAlign w:val="superscript"/>
        </w:rPr>
        <w:t>61</w:t>
      </w:r>
      <w:r w:rsidR="00C44816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other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methods</w:t>
      </w:r>
      <w:r w:rsidR="00284258" w:rsidRPr="00CF58AE">
        <w:rPr>
          <w:rFonts w:ascii="Book Antiqua" w:eastAsia="Book Antiqua" w:hAnsi="Book Antiqua" w:cs="Book Antiqua"/>
          <w:vertAlign w:val="superscript"/>
        </w:rPr>
        <w:t>[</w:t>
      </w:r>
      <w:r w:rsidRPr="00CF58AE">
        <w:rPr>
          <w:rFonts w:ascii="Book Antiqua" w:eastAsia="Book Antiqua" w:hAnsi="Book Antiqua" w:cs="Book Antiqua"/>
          <w:vertAlign w:val="superscript"/>
        </w:rPr>
        <w:t>65</w:t>
      </w:r>
      <w:r w:rsidR="00284258" w:rsidRPr="00CF58AE">
        <w:rPr>
          <w:rFonts w:ascii="Book Antiqua" w:eastAsia="Book Antiqua" w:hAnsi="Book Antiqua" w:cs="Book Antiqua"/>
          <w:vertAlign w:val="superscript"/>
        </w:rPr>
        <w:t>]</w:t>
      </w:r>
      <w:r w:rsidR="00284258"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regard,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several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authors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have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usually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measured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more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6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mo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KT,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BPAR</w:t>
      </w:r>
      <w:r w:rsidR="00284258" w:rsidRPr="00CF58AE">
        <w:rPr>
          <w:rFonts w:ascii="Book Antiqua" w:eastAsia="Book Antiqua" w:hAnsi="Book Antiqua" w:cs="Book Antiqua"/>
          <w:vertAlign w:val="superscript"/>
        </w:rPr>
        <w:t>[44-46]</w:t>
      </w:r>
      <w:r w:rsidRPr="00CF58AE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  <w:vertAlign w:val="superscript"/>
        </w:rPr>
        <w:t xml:space="preserve"> </w:t>
      </w:r>
      <w:r w:rsidRPr="00CF58AE">
        <w:rPr>
          <w:rFonts w:ascii="Book Antiqua" w:eastAsia="Book Antiqua" w:hAnsi="Book Antiqua" w:cs="Book Antiqua"/>
        </w:rPr>
        <w:t>long-term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loss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dysfunction</w:t>
      </w:r>
      <w:r w:rsidR="00284258" w:rsidRPr="00CF58AE">
        <w:rPr>
          <w:rFonts w:ascii="Book Antiqua" w:eastAsia="Book Antiqua" w:hAnsi="Book Antiqua" w:cs="Book Antiqua"/>
          <w:vertAlign w:val="superscript"/>
        </w:rPr>
        <w:t>[</w:t>
      </w:r>
      <w:r w:rsidRPr="00CF58AE">
        <w:rPr>
          <w:rFonts w:ascii="Book Antiqua" w:eastAsia="Book Antiqua" w:hAnsi="Book Antiqua" w:cs="Book Antiqua"/>
          <w:vertAlign w:val="superscript"/>
        </w:rPr>
        <w:t>47-55,58,59,68</w:t>
      </w:r>
      <w:r w:rsidR="00284258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  <w:vertAlign w:val="superscript"/>
        </w:rPr>
        <w:t xml:space="preserve"> </w:t>
      </w:r>
      <w:r w:rsidRPr="00CF58AE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well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lower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survival</w:t>
      </w:r>
      <w:r w:rsidR="00284258" w:rsidRPr="00CF58AE">
        <w:rPr>
          <w:rFonts w:ascii="Book Antiqua" w:eastAsia="Book Antiqua" w:hAnsi="Book Antiqua" w:cs="Book Antiqua"/>
          <w:vertAlign w:val="superscript"/>
        </w:rPr>
        <w:t>[</w:t>
      </w:r>
      <w:r w:rsidRPr="00CF58AE">
        <w:rPr>
          <w:rFonts w:ascii="Book Antiqua" w:eastAsia="Book Antiqua" w:hAnsi="Book Antiqua" w:cs="Book Antiqua"/>
          <w:vertAlign w:val="superscript"/>
        </w:rPr>
        <w:t>50,51</w:t>
      </w:r>
      <w:r w:rsidR="00284258" w:rsidRPr="00CF58AE">
        <w:rPr>
          <w:rFonts w:ascii="Book Antiqua" w:eastAsia="Book Antiqua" w:hAnsi="Book Antiqua" w:cs="Book Antiqua"/>
          <w:vertAlign w:val="superscript"/>
        </w:rPr>
        <w:t>]</w:t>
      </w:r>
      <w:r w:rsidR="00284258"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  <w:vertAlign w:val="superscript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some,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but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reports</w:t>
      </w:r>
      <w:r w:rsidR="00284258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284258" w:rsidRPr="00CF58AE">
        <w:rPr>
          <w:rFonts w:ascii="Book Antiqua" w:eastAsia="Book Antiqua" w:hAnsi="Book Antiqua" w:cs="Book Antiqua"/>
          <w:vertAlign w:val="superscript"/>
        </w:rPr>
        <w:t>62]</w:t>
      </w:r>
      <w:r w:rsidRPr="00CF58AE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development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  <w:i/>
          <w:iCs/>
        </w:rPr>
        <w:t>dn</w:t>
      </w:r>
      <w:r w:rsidRPr="00CF58AE">
        <w:rPr>
          <w:rFonts w:ascii="Book Antiqua" w:eastAsia="Book Antiqua" w:hAnsi="Book Antiqua" w:cs="Book Antiqua"/>
        </w:rPr>
        <w:t>DSA</w:t>
      </w:r>
      <w:proofErr w:type="spellEnd"/>
      <w:r w:rsidR="00284258" w:rsidRPr="00CF58AE">
        <w:rPr>
          <w:rFonts w:ascii="Book Antiqua" w:eastAsia="Book Antiqua" w:hAnsi="Book Antiqua" w:cs="Book Antiqua"/>
          <w:vertAlign w:val="superscript"/>
        </w:rPr>
        <w:t>[</w:t>
      </w:r>
      <w:r w:rsidRPr="00CF58AE">
        <w:rPr>
          <w:rFonts w:ascii="Book Antiqua" w:eastAsia="Book Antiqua" w:hAnsi="Book Antiqua" w:cs="Book Antiqua"/>
          <w:vertAlign w:val="superscript"/>
        </w:rPr>
        <w:t>53,67</w:t>
      </w:r>
      <w:r w:rsidR="00284258" w:rsidRPr="00CF58AE">
        <w:rPr>
          <w:rFonts w:ascii="Book Antiqua" w:eastAsia="Book Antiqua" w:hAnsi="Book Antiqua" w:cs="Book Antiqua"/>
          <w:vertAlign w:val="superscript"/>
        </w:rPr>
        <w:t>]</w:t>
      </w:r>
      <w:r w:rsidR="00284258" w:rsidRPr="00CF58AE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chronic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active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antibody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mediated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rejection</w:t>
      </w:r>
      <w:r w:rsidR="00EF142C" w:rsidRPr="00CF58AE">
        <w:rPr>
          <w:rFonts w:ascii="Book Antiqua" w:eastAsia="Book Antiqua" w:hAnsi="Book Antiqua" w:cs="Book Antiqua"/>
          <w:vertAlign w:val="superscript"/>
        </w:rPr>
        <w:t>[</w:t>
      </w:r>
      <w:r w:rsidRPr="00CF58AE">
        <w:rPr>
          <w:rFonts w:ascii="Book Antiqua" w:eastAsia="Book Antiqua" w:hAnsi="Book Antiqua" w:cs="Book Antiqua"/>
          <w:vertAlign w:val="superscript"/>
        </w:rPr>
        <w:t>47</w:t>
      </w:r>
      <w:r w:rsidR="00EF142C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chronic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histological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lesions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grafts</w:t>
      </w:r>
      <w:r w:rsidR="00EF142C" w:rsidRPr="00CF58AE">
        <w:rPr>
          <w:rFonts w:ascii="Book Antiqua" w:eastAsia="Book Antiqua" w:hAnsi="Book Antiqua" w:cs="Book Antiqua"/>
          <w:vertAlign w:val="superscript"/>
        </w:rPr>
        <w:t>[54,56]</w:t>
      </w:r>
      <w:r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  <w:vertAlign w:val="superscript"/>
        </w:rPr>
        <w:t xml:space="preserve"> </w:t>
      </w:r>
      <w:r w:rsidRPr="00CF58AE">
        <w:rPr>
          <w:rFonts w:ascii="Book Antiqua" w:eastAsia="Book Antiqua" w:hAnsi="Book Antiqua" w:cs="Book Antiqua"/>
        </w:rPr>
        <w:t>Most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authors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attributed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those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IPV-related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non-</w:t>
      </w:r>
      <w:proofErr w:type="gramStart"/>
      <w:r w:rsidRPr="00CF58AE">
        <w:rPr>
          <w:rFonts w:ascii="Book Antiqua" w:eastAsia="Book Antiqua" w:hAnsi="Book Antiqua" w:cs="Book Antiqua"/>
        </w:rPr>
        <w:t>adherence</w:t>
      </w:r>
      <w:r w:rsidR="00EF142C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F58AE">
        <w:rPr>
          <w:rFonts w:ascii="Book Antiqua" w:eastAsia="Book Antiqua" w:hAnsi="Book Antiqua" w:cs="Book Antiqua"/>
          <w:vertAlign w:val="superscript"/>
        </w:rPr>
        <w:t>43</w:t>
      </w:r>
      <w:r w:rsidR="00EF142C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some</w:t>
      </w:r>
      <w:r w:rsidR="00EF142C" w:rsidRPr="00CF58AE">
        <w:rPr>
          <w:rFonts w:ascii="Book Antiqua" w:eastAsia="Book Antiqua" w:hAnsi="Book Antiqua" w:cs="Book Antiqua"/>
          <w:vertAlign w:val="superscript"/>
        </w:rPr>
        <w:t>[</w:t>
      </w:r>
      <w:r w:rsidRPr="00CF58AE">
        <w:rPr>
          <w:rFonts w:ascii="Book Antiqua" w:eastAsia="Book Antiqua" w:hAnsi="Book Antiqua" w:cs="Book Antiqua"/>
          <w:vertAlign w:val="superscript"/>
        </w:rPr>
        <w:t>57-59</w:t>
      </w:r>
      <w:r w:rsidR="00EF142C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but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others</w:t>
      </w:r>
      <w:r w:rsidR="00EF142C" w:rsidRPr="00CF58AE">
        <w:rPr>
          <w:rFonts w:ascii="Book Antiqua" w:eastAsia="Book Antiqua" w:hAnsi="Book Antiqua" w:cs="Book Antiqua"/>
          <w:vertAlign w:val="superscript"/>
        </w:rPr>
        <w:t>[</w:t>
      </w:r>
      <w:r w:rsidRPr="00CF58AE">
        <w:rPr>
          <w:rFonts w:ascii="Book Antiqua" w:eastAsia="Book Antiqua" w:hAnsi="Book Antiqua" w:cs="Book Antiqua"/>
          <w:vertAlign w:val="superscript"/>
        </w:rPr>
        <w:t>60</w:t>
      </w:r>
      <w:r w:rsidR="00EF142C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genetic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predisposition.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Two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other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reports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compared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TTR</w:t>
      </w:r>
      <w:r w:rsidR="00EF142C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F58AE">
        <w:rPr>
          <w:rFonts w:ascii="Book Antiqua" w:eastAsia="Book Antiqua" w:hAnsi="Book Antiqua" w:cs="Book Antiqua"/>
          <w:vertAlign w:val="superscript"/>
        </w:rPr>
        <w:t>61</w:t>
      </w:r>
      <w:r w:rsidR="00EF142C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novel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score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(TVS)</w:t>
      </w:r>
      <w:r w:rsidR="00EF142C" w:rsidRPr="00CF58AE">
        <w:rPr>
          <w:rFonts w:ascii="Book Antiqua" w:eastAsia="Book Antiqua" w:hAnsi="Book Antiqua" w:cs="Book Antiqua"/>
          <w:vertAlign w:val="superscript"/>
        </w:rPr>
        <w:t>[</w:t>
      </w:r>
      <w:r w:rsidRPr="00CF58AE">
        <w:rPr>
          <w:rFonts w:ascii="Book Antiqua" w:eastAsia="Book Antiqua" w:hAnsi="Book Antiqua" w:cs="Book Antiqua"/>
          <w:vertAlign w:val="superscript"/>
        </w:rPr>
        <w:t>64</w:t>
      </w:r>
      <w:r w:rsidR="00EF142C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conventional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measures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found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that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both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were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more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reliable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their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predict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worse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KT.</w:t>
      </w:r>
    </w:p>
    <w:p w14:paraId="3EA4A1DA" w14:textId="718AD8F5" w:rsidR="00A77B3E" w:rsidRPr="00CF58AE" w:rsidRDefault="00C35F7B" w:rsidP="005A21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t>Concerning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pediatric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recipients,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091452" w:rsidRPr="00CF58AE">
        <w:rPr>
          <w:rFonts w:ascii="Book Antiqua" w:eastAsia="Book Antiqua" w:hAnsi="Book Antiqua" w:cs="Book Antiqua"/>
        </w:rPr>
        <w:t>Pollock-</w:t>
      </w:r>
      <w:proofErr w:type="spellStart"/>
      <w:r w:rsidR="00091452" w:rsidRPr="00CF58AE">
        <w:rPr>
          <w:rFonts w:ascii="Book Antiqua" w:eastAsia="Book Antiqua" w:hAnsi="Book Antiqua" w:cs="Book Antiqua"/>
        </w:rPr>
        <w:t>Barziv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FA3733" w:rsidRPr="00CF58AE">
        <w:rPr>
          <w:rFonts w:ascii="Book Antiqua" w:eastAsia="Book Antiqua" w:hAnsi="Book Antiqua" w:cs="Book Antiqua"/>
          <w:i/>
          <w:iCs/>
        </w:rPr>
        <w:t xml:space="preserve">et </w:t>
      </w:r>
      <w:proofErr w:type="gramStart"/>
      <w:r w:rsidR="00FA3733" w:rsidRPr="00CF58AE">
        <w:rPr>
          <w:rFonts w:ascii="Book Antiqua" w:eastAsia="Book Antiqua" w:hAnsi="Book Antiqua" w:cs="Book Antiqua"/>
          <w:i/>
          <w:iCs/>
        </w:rPr>
        <w:t>al</w:t>
      </w:r>
      <w:r w:rsidR="00091452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091452" w:rsidRPr="00CF58AE">
        <w:rPr>
          <w:rFonts w:ascii="Book Antiqua" w:eastAsia="Book Antiqua" w:hAnsi="Book Antiqua" w:cs="Book Antiqua"/>
          <w:vertAlign w:val="superscript"/>
        </w:rPr>
        <w:t>26]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were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first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authors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show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significant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late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rejection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loss.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Similar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findings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were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subsequently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reported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other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investigators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who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reported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BPAR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loss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beyond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year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children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adolescents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submitted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KT</w:t>
      </w:r>
      <w:r w:rsidR="00091452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F58AE">
        <w:rPr>
          <w:rFonts w:ascii="Book Antiqua" w:eastAsia="Book Antiqua" w:hAnsi="Book Antiqua" w:cs="Book Antiqua"/>
          <w:vertAlign w:val="superscript"/>
        </w:rPr>
        <w:t>66-68</w:t>
      </w:r>
      <w:r w:rsidR="00091452" w:rsidRPr="00CF58AE">
        <w:rPr>
          <w:rFonts w:ascii="Book Antiqua" w:eastAsia="Book Antiqua" w:hAnsi="Book Antiqua" w:cs="Book Antiqua"/>
          <w:vertAlign w:val="superscript"/>
        </w:rPr>
        <w:t>]</w:t>
      </w:r>
      <w:r w:rsidR="00091452" w:rsidRPr="00CF58AE">
        <w:rPr>
          <w:rFonts w:ascii="Book Antiqua" w:eastAsia="Book Antiqua" w:hAnsi="Book Antiqua" w:cs="Book Antiqua"/>
        </w:rPr>
        <w:t>.</w:t>
      </w:r>
    </w:p>
    <w:p w14:paraId="4CE1F3B9" w14:textId="77777777" w:rsidR="00A77B3E" w:rsidRPr="00CF58AE" w:rsidRDefault="00A77B3E" w:rsidP="005A21CA">
      <w:pPr>
        <w:spacing w:line="360" w:lineRule="auto"/>
        <w:jc w:val="both"/>
        <w:rPr>
          <w:rFonts w:ascii="Book Antiqua" w:hAnsi="Book Antiqua"/>
        </w:rPr>
      </w:pPr>
    </w:p>
    <w:p w14:paraId="134FDDA5" w14:textId="0F29DC5F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TAC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IPV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IN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KIDNEY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AND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PANCREAS,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AND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BONE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MARROW</w:t>
      </w:r>
      <w:r w:rsidR="008A3BB0" w:rsidRPr="00CF58AE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  <w:caps/>
          <w:u w:val="single"/>
        </w:rPr>
        <w:t>TRANSPLANTATION</w:t>
      </w:r>
    </w:p>
    <w:p w14:paraId="79F6C9D2" w14:textId="2C1D5DC3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t>Two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studies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have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evaluated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impact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frequency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  <w:i/>
          <w:iCs/>
        </w:rPr>
        <w:t>dn</w:t>
      </w:r>
      <w:r w:rsidRPr="00CF58AE">
        <w:rPr>
          <w:rFonts w:ascii="Book Antiqua" w:eastAsia="Book Antiqua" w:hAnsi="Book Antiqua" w:cs="Book Antiqua"/>
        </w:rPr>
        <w:t>DSA</w:t>
      </w:r>
      <w:proofErr w:type="spellEnd"/>
      <w:r w:rsidRPr="00CF58AE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BPAR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loss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adult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pancreas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recipients</w:t>
      </w:r>
      <w:r w:rsidR="00405278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F58AE">
        <w:rPr>
          <w:rFonts w:ascii="Book Antiqua" w:eastAsia="Book Antiqua" w:hAnsi="Book Antiqua" w:cs="Book Antiqua"/>
          <w:vertAlign w:val="superscript"/>
        </w:rPr>
        <w:t>69,70</w:t>
      </w:r>
      <w:r w:rsidR="00405278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occurrence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  <w:i/>
          <w:iCs/>
        </w:rPr>
        <w:t>vs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host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disease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bone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marrow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transplantation</w:t>
      </w:r>
      <w:r w:rsidR="00405278" w:rsidRPr="00CF58AE">
        <w:rPr>
          <w:rFonts w:ascii="Book Antiqua" w:eastAsia="Book Antiqua" w:hAnsi="Book Antiqua" w:cs="Book Antiqua"/>
          <w:vertAlign w:val="superscript"/>
        </w:rPr>
        <w:t>[</w:t>
      </w:r>
      <w:r w:rsidRPr="00CF58AE">
        <w:rPr>
          <w:rFonts w:ascii="Book Antiqua" w:eastAsia="Book Antiqua" w:hAnsi="Book Antiqua" w:cs="Book Antiqua"/>
          <w:vertAlign w:val="superscript"/>
        </w:rPr>
        <w:t>7</w:t>
      </w:r>
      <w:r w:rsidR="00FA3733" w:rsidRPr="00CF58AE">
        <w:rPr>
          <w:rFonts w:ascii="Book Antiqua" w:eastAsia="Book Antiqua" w:hAnsi="Book Antiqua" w:cs="Book Antiqua"/>
          <w:vertAlign w:val="superscript"/>
        </w:rPr>
        <w:t>0</w:t>
      </w:r>
      <w:r w:rsidR="00405278" w:rsidRPr="00CF58AE">
        <w:rPr>
          <w:rFonts w:ascii="Book Antiqua" w:eastAsia="Book Antiqua" w:hAnsi="Book Antiqua" w:cs="Book Antiqua"/>
          <w:vertAlign w:val="superscript"/>
        </w:rPr>
        <w:t>]</w:t>
      </w:r>
      <w:r w:rsidR="00405278"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first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report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failed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disclose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BPAR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adult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recipients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pancreas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but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main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purpose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study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compare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function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groups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patients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receiving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two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different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formulations</w:t>
      </w:r>
      <w:r w:rsidR="0025654C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F58AE">
        <w:rPr>
          <w:rFonts w:ascii="Book Antiqua" w:eastAsia="Book Antiqua" w:hAnsi="Book Antiqua" w:cs="Book Antiqua"/>
          <w:vertAlign w:val="superscript"/>
        </w:rPr>
        <w:t>69</w:t>
      </w:r>
      <w:r w:rsidR="0025654C" w:rsidRPr="00CF58AE">
        <w:rPr>
          <w:rFonts w:ascii="Book Antiqua" w:eastAsia="Book Antiqua" w:hAnsi="Book Antiqua" w:cs="Book Antiqua"/>
          <w:vertAlign w:val="superscript"/>
        </w:rPr>
        <w:t>]</w:t>
      </w:r>
      <w:r w:rsidR="0025654C" w:rsidRPr="00CF58AE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Davis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FA3733" w:rsidRPr="00CF58AE">
        <w:rPr>
          <w:rFonts w:ascii="Book Antiqua" w:eastAsia="Book Antiqua" w:hAnsi="Book Antiqua" w:cs="Book Antiqua"/>
          <w:i/>
          <w:iCs/>
        </w:rPr>
        <w:t xml:space="preserve">et </w:t>
      </w:r>
      <w:proofErr w:type="gramStart"/>
      <w:r w:rsidR="00FA3733" w:rsidRPr="00CF58AE">
        <w:rPr>
          <w:rFonts w:ascii="Book Antiqua" w:eastAsia="Book Antiqua" w:hAnsi="Book Antiqua" w:cs="Book Antiqua"/>
          <w:i/>
          <w:iCs/>
        </w:rPr>
        <w:t>al</w:t>
      </w:r>
      <w:r w:rsidR="00A17B72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F58AE">
        <w:rPr>
          <w:rFonts w:ascii="Book Antiqua" w:eastAsia="Book Antiqua" w:hAnsi="Book Antiqua" w:cs="Book Antiqua"/>
          <w:vertAlign w:val="superscript"/>
        </w:rPr>
        <w:t>38</w:t>
      </w:r>
      <w:r w:rsidR="00A17B72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other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hand,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demonstrated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that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TTR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very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risk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  <w:i/>
          <w:iCs/>
        </w:rPr>
        <w:t>dn</w:t>
      </w:r>
      <w:r w:rsidRPr="00CF58AE">
        <w:rPr>
          <w:rFonts w:ascii="Book Antiqua" w:eastAsia="Book Antiqua" w:hAnsi="Book Antiqua" w:cs="Book Antiqua"/>
        </w:rPr>
        <w:t>DSA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4-fold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risk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loss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five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years,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independently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CV.</w:t>
      </w:r>
    </w:p>
    <w:p w14:paraId="0BA9770D" w14:textId="699F0D3A" w:rsidR="00A77B3E" w:rsidRPr="00CF58AE" w:rsidRDefault="00C35F7B" w:rsidP="005A21C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lastRenderedPageBreak/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respect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bone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marrow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recipients,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Marco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FA3733" w:rsidRPr="00CF58AE">
        <w:rPr>
          <w:rFonts w:ascii="Book Antiqua" w:eastAsia="Book Antiqua" w:hAnsi="Book Antiqua" w:cs="Book Antiqua"/>
          <w:i/>
          <w:iCs/>
        </w:rPr>
        <w:t xml:space="preserve">et </w:t>
      </w:r>
      <w:proofErr w:type="gramStart"/>
      <w:r w:rsidR="00FA3733" w:rsidRPr="00CF58AE">
        <w:rPr>
          <w:rFonts w:ascii="Book Antiqua" w:eastAsia="Book Antiqua" w:hAnsi="Book Antiqua" w:cs="Book Antiqua"/>
          <w:i/>
          <w:iCs/>
        </w:rPr>
        <w:t>al</w:t>
      </w:r>
      <w:r w:rsidR="00225983" w:rsidRPr="00CF58A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F58AE">
        <w:rPr>
          <w:rFonts w:ascii="Book Antiqua" w:eastAsia="Book Antiqua" w:hAnsi="Book Antiqua" w:cs="Book Antiqua"/>
          <w:vertAlign w:val="superscript"/>
        </w:rPr>
        <w:t>70</w:t>
      </w:r>
      <w:r w:rsidR="00225983" w:rsidRPr="00CF58AE">
        <w:rPr>
          <w:rFonts w:ascii="Book Antiqua" w:eastAsia="Book Antiqua" w:hAnsi="Book Antiqua" w:cs="Book Antiqua"/>
          <w:vertAlign w:val="superscript"/>
        </w:rPr>
        <w:t>]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correlated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measured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CV,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occurrence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acute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  <w:i/>
          <w:iCs/>
        </w:rPr>
        <w:t>vs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host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disease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first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month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BMT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</w:t>
      </w:r>
      <w:r w:rsidR="00735B95" w:rsidRPr="00CF58AE">
        <w:rPr>
          <w:rFonts w:ascii="Book Antiqua" w:eastAsia="Book Antiqua" w:hAnsi="Book Antiqua" w:cs="Book Antiqua"/>
        </w:rPr>
        <w:t>T</w:t>
      </w:r>
      <w:r w:rsidRPr="00CF58AE">
        <w:rPr>
          <w:rFonts w:ascii="Book Antiqua" w:eastAsia="Book Antiqua" w:hAnsi="Book Antiqua" w:cs="Book Antiqua"/>
        </w:rPr>
        <w:t>able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5).</w:t>
      </w:r>
    </w:p>
    <w:p w14:paraId="7F48E7A4" w14:textId="77777777" w:rsidR="00A77B3E" w:rsidRPr="00CF58AE" w:rsidRDefault="00A77B3E" w:rsidP="005A21CA">
      <w:pPr>
        <w:spacing w:line="360" w:lineRule="auto"/>
        <w:jc w:val="both"/>
        <w:rPr>
          <w:rFonts w:ascii="Book Antiqua" w:hAnsi="Book Antiqua"/>
        </w:rPr>
      </w:pPr>
    </w:p>
    <w:p w14:paraId="2AEB6814" w14:textId="77777777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24049784" w14:textId="62137607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t>Altogether,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available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data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up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now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suggest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that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possibly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due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non-adherence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and/or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genetic,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pharmacologic,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clinically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significant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factors,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adverse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organ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transplantation,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particularly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KT.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heterogeneity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observed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results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obtained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reports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thus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far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probably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due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retrospective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design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most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studies,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distinct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methods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assess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utilization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different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immunosuppression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protocols,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distinct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observation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time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frames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endpoints.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Refinement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combination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different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scores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may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improve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usage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IPV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clinical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practice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future.</w:t>
      </w:r>
    </w:p>
    <w:p w14:paraId="5F356B08" w14:textId="77777777" w:rsidR="00A77B3E" w:rsidRPr="00CF58AE" w:rsidRDefault="00A77B3E" w:rsidP="005A21CA">
      <w:pPr>
        <w:spacing w:line="360" w:lineRule="auto"/>
        <w:jc w:val="both"/>
        <w:rPr>
          <w:rFonts w:ascii="Book Antiqua" w:hAnsi="Book Antiqua"/>
        </w:rPr>
      </w:pPr>
    </w:p>
    <w:p w14:paraId="1F580812" w14:textId="77777777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</w:rPr>
        <w:t>REFERENCES</w:t>
      </w:r>
    </w:p>
    <w:p w14:paraId="51B132E6" w14:textId="5CC3ECCD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156C07">
        <w:rPr>
          <w:rFonts w:ascii="Book Antiqua" w:eastAsia="Book Antiqua" w:hAnsi="Book Antiqua" w:cs="Book Antiqua"/>
        </w:rPr>
        <w:t>1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Ong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SC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Gaston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RS.</w:t>
      </w:r>
      <w:proofErr w:type="gram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Thirty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Years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Clinical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Practice.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Transplantation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2021;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105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484-495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32541562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10.1097/TP.0000000000003350]</w:t>
      </w:r>
    </w:p>
    <w:p w14:paraId="15FA7387" w14:textId="0F4AF9D8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156C07">
        <w:rPr>
          <w:rFonts w:ascii="Book Antiqua" w:eastAsia="Book Antiqua" w:hAnsi="Book Antiqua" w:cs="Book Antiqua"/>
        </w:rPr>
        <w:t>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Staatz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CE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Tett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SE.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Clinical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pharmacokinetics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pharmacodynamics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solid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organ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transplantation.</w:t>
      </w:r>
      <w:proofErr w:type="gram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Pharmacokinet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2004;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43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623-653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15244495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10.2165/00003088-200443100-00001]</w:t>
      </w:r>
    </w:p>
    <w:p w14:paraId="442ED0F1" w14:textId="09E52ADF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Shuker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N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Gelder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Hesselink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DA.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Intra-patient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exposure: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causes,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consequences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clinical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management.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Transplant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Rev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(Orlando)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2015;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29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78-84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25687818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10.1016/j.trre.2015.01.002]</w:t>
      </w:r>
    </w:p>
    <w:p w14:paraId="531291A7" w14:textId="0EB68A8F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156C07">
        <w:rPr>
          <w:rFonts w:ascii="Book Antiqua" w:eastAsia="Book Antiqua" w:hAnsi="Book Antiqua" w:cs="Book Antiqua"/>
        </w:rPr>
        <w:t>4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Brunet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M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Pastor-</w:t>
      </w:r>
      <w:proofErr w:type="spellStart"/>
      <w:r w:rsidRPr="00156C07">
        <w:rPr>
          <w:rFonts w:ascii="Book Antiqua" w:eastAsia="Book Antiqua" w:hAnsi="Book Antiqua" w:cs="Book Antiqua"/>
        </w:rPr>
        <w:t>Anglada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Insights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Pharmacogenetics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Pharmacokinetics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Pharmacodynamics.</w:t>
      </w:r>
      <w:proofErr w:type="gram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Pharmaceutics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2022;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14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36145503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10.3390/pharmaceutics14091755]</w:t>
      </w:r>
    </w:p>
    <w:p w14:paraId="0A6AA749" w14:textId="4FDDA9C6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156C07">
        <w:rPr>
          <w:rFonts w:ascii="Book Antiqua" w:eastAsia="Book Antiqua" w:hAnsi="Book Antiqua" w:cs="Book Antiqua"/>
        </w:rPr>
        <w:t>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Kuypers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DRJ</w:t>
      </w:r>
      <w:r w:rsidRPr="00156C07">
        <w:rPr>
          <w:rFonts w:ascii="Book Antiqua" w:eastAsia="Book Antiqua" w:hAnsi="Book Antiqua" w:cs="Book Antiqua"/>
        </w:rPr>
        <w:t>.</w:t>
      </w:r>
      <w:proofErr w:type="gram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Intrapatient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Exposure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Solid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Organ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Transplantation: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Novel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Marker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Clinical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Outcome.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2020;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107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347-358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31449663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10.1002/cpt.1618]</w:t>
      </w:r>
    </w:p>
    <w:p w14:paraId="38A05969" w14:textId="7141B578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lastRenderedPageBreak/>
        <w:t>6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Schumacher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L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Leino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AD,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Park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JM.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intrapatient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solid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organ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transplantation: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multiorgan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perspective.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Pharmacotherapy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2021;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41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103-118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33131078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10.1002/phar.2480]</w:t>
      </w:r>
    </w:p>
    <w:p w14:paraId="7A92EC54" w14:textId="229D2185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7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Coste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G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Lemaitre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Role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Intra-Patient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Drug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Concentrations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Solid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Organ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Transplantation: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Focus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Liver,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Heart,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Lung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Pancreas.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Pharmaceutics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2022;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14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35214111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10.3390/pharmaceutics14020379]</w:t>
      </w:r>
    </w:p>
    <w:p w14:paraId="718154E3" w14:textId="1481C121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8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Rosendaal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FR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Cannegieter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Meer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Briët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156C07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method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determine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optimal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intensity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oral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anticoagulant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therapy.</w:t>
      </w:r>
      <w:proofErr w:type="gram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Thromb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Haemost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1993;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69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236-239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8470047]</w:t>
      </w:r>
    </w:p>
    <w:p w14:paraId="09A28AC5" w14:textId="3C3D725C" w:rsidR="00156C07" w:rsidRPr="00FE113D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  <w:lang w:val="pt-BR"/>
        </w:rPr>
      </w:pPr>
      <w:r w:rsidRPr="00156C07">
        <w:rPr>
          <w:rFonts w:ascii="Book Antiqua" w:eastAsia="Book Antiqua" w:hAnsi="Book Antiqua" w:cs="Book Antiqua"/>
        </w:rPr>
        <w:t>9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Giza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P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Ficek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Dwulit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Chudek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Woźniak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Więcek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Kolonko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Number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Regularly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Prescribed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Drugs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Intrapatient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Trough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Levels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Stable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Recipients.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FE113D">
        <w:rPr>
          <w:rFonts w:ascii="Book Antiqua" w:eastAsia="Book Antiqua" w:hAnsi="Book Antiqua" w:cs="Book Antiqua"/>
          <w:i/>
          <w:iCs/>
          <w:lang w:val="pt-BR"/>
        </w:rPr>
        <w:t>J</w:t>
      </w:r>
      <w:r w:rsidR="008A3BB0" w:rsidRPr="00FE113D">
        <w:rPr>
          <w:rFonts w:ascii="Book Antiqua" w:eastAsia="Book Antiqua" w:hAnsi="Book Antiqua" w:cs="Book Antiqua"/>
          <w:i/>
          <w:iCs/>
          <w:lang w:val="pt-BR"/>
        </w:rPr>
        <w:t xml:space="preserve"> </w:t>
      </w:r>
      <w:r w:rsidRPr="00FE113D">
        <w:rPr>
          <w:rFonts w:ascii="Book Antiqua" w:eastAsia="Book Antiqua" w:hAnsi="Book Antiqua" w:cs="Book Antiqua"/>
          <w:i/>
          <w:iCs/>
          <w:lang w:val="pt-BR"/>
        </w:rPr>
        <w:t>Clin</w:t>
      </w:r>
      <w:r w:rsidR="008A3BB0" w:rsidRPr="00FE113D">
        <w:rPr>
          <w:rFonts w:ascii="Book Antiqua" w:eastAsia="Book Antiqua" w:hAnsi="Book Antiqua" w:cs="Book Antiqua"/>
          <w:i/>
          <w:iCs/>
          <w:lang w:val="pt-BR"/>
        </w:rPr>
        <w:t xml:space="preserve"> </w:t>
      </w:r>
      <w:r w:rsidRPr="00FE113D">
        <w:rPr>
          <w:rFonts w:ascii="Book Antiqua" w:eastAsia="Book Antiqua" w:hAnsi="Book Antiqua" w:cs="Book Antiqua"/>
          <w:i/>
          <w:iCs/>
          <w:lang w:val="pt-BR"/>
        </w:rPr>
        <w:t>Med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Pr="00FE113D">
        <w:rPr>
          <w:rFonts w:ascii="Book Antiqua" w:eastAsia="Book Antiqua" w:hAnsi="Book Antiqua" w:cs="Book Antiqua"/>
          <w:lang w:val="pt-BR"/>
        </w:rPr>
        <w:t>2020;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Pr="00FE113D">
        <w:rPr>
          <w:rFonts w:ascii="Book Antiqua" w:eastAsia="Book Antiqua" w:hAnsi="Book Antiqua" w:cs="Book Antiqua"/>
          <w:b/>
          <w:bCs/>
          <w:lang w:val="pt-BR"/>
        </w:rPr>
        <w:t>9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Pr="00FE113D">
        <w:rPr>
          <w:rFonts w:ascii="Book Antiqua" w:eastAsia="Book Antiqua" w:hAnsi="Book Antiqua" w:cs="Book Antiqua"/>
          <w:lang w:val="pt-BR"/>
        </w:rPr>
        <w:t>[PMID: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Pr="00FE113D">
        <w:rPr>
          <w:rFonts w:ascii="Book Antiqua" w:eastAsia="Book Antiqua" w:hAnsi="Book Antiqua" w:cs="Book Antiqua"/>
          <w:lang w:val="pt-BR"/>
        </w:rPr>
        <w:t>32575525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Pr="00FE113D">
        <w:rPr>
          <w:rFonts w:ascii="Book Antiqua" w:eastAsia="Book Antiqua" w:hAnsi="Book Antiqua" w:cs="Book Antiqua"/>
          <w:lang w:val="pt-BR"/>
        </w:rPr>
        <w:t>DOI: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Pr="00FE113D">
        <w:rPr>
          <w:rFonts w:ascii="Book Antiqua" w:eastAsia="Book Antiqua" w:hAnsi="Book Antiqua" w:cs="Book Antiqua"/>
          <w:lang w:val="pt-BR"/>
        </w:rPr>
        <w:t>10.3390/jcm9061926]</w:t>
      </w:r>
    </w:p>
    <w:p w14:paraId="3BB2563F" w14:textId="11D53D76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E113D">
        <w:rPr>
          <w:rFonts w:ascii="Book Antiqua" w:eastAsia="Book Antiqua" w:hAnsi="Book Antiqua" w:cs="Book Antiqua"/>
          <w:lang w:val="pt-BR"/>
        </w:rPr>
        <w:t>10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Pr="00FE113D">
        <w:rPr>
          <w:rFonts w:ascii="Book Antiqua" w:eastAsia="Book Antiqua" w:hAnsi="Book Antiqua" w:cs="Book Antiqua"/>
          <w:b/>
          <w:bCs/>
          <w:lang w:val="pt-BR"/>
        </w:rPr>
        <w:t>Jacobo-Cabral</w:t>
      </w:r>
      <w:r w:rsidR="008A3BB0" w:rsidRPr="00FE113D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Pr="00FE113D">
        <w:rPr>
          <w:rFonts w:ascii="Book Antiqua" w:eastAsia="Book Antiqua" w:hAnsi="Book Antiqua" w:cs="Book Antiqua"/>
          <w:b/>
          <w:bCs/>
          <w:lang w:val="pt-BR"/>
        </w:rPr>
        <w:t>CO</w:t>
      </w:r>
      <w:r w:rsidRPr="00FE113D">
        <w:rPr>
          <w:rFonts w:ascii="Book Antiqua" w:eastAsia="Book Antiqua" w:hAnsi="Book Antiqua" w:cs="Book Antiqua"/>
          <w:lang w:val="pt-BR"/>
        </w:rPr>
        <w:t>,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Pr="00FE113D">
        <w:rPr>
          <w:rFonts w:ascii="Book Antiqua" w:eastAsia="Book Antiqua" w:hAnsi="Book Antiqua" w:cs="Book Antiqua"/>
          <w:lang w:val="pt-BR"/>
        </w:rPr>
        <w:t>García-Roca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Pr="00FE113D">
        <w:rPr>
          <w:rFonts w:ascii="Book Antiqua" w:eastAsia="Book Antiqua" w:hAnsi="Book Antiqua" w:cs="Book Antiqua"/>
          <w:lang w:val="pt-BR"/>
        </w:rPr>
        <w:t>P,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Pr="00FE113D">
        <w:rPr>
          <w:rFonts w:ascii="Book Antiqua" w:eastAsia="Book Antiqua" w:hAnsi="Book Antiqua" w:cs="Book Antiqua"/>
          <w:lang w:val="pt-BR"/>
        </w:rPr>
        <w:t>Romero-Tejeda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Pr="00FE113D">
        <w:rPr>
          <w:rFonts w:ascii="Book Antiqua" w:eastAsia="Book Antiqua" w:hAnsi="Book Antiqua" w:cs="Book Antiqua"/>
          <w:lang w:val="pt-BR"/>
        </w:rPr>
        <w:t>EM,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Pr="00FE113D">
        <w:rPr>
          <w:rFonts w:ascii="Book Antiqua" w:eastAsia="Book Antiqua" w:hAnsi="Book Antiqua" w:cs="Book Antiqua"/>
          <w:lang w:val="pt-BR"/>
        </w:rPr>
        <w:t>Reyes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Pr="00FE113D">
        <w:rPr>
          <w:rFonts w:ascii="Book Antiqua" w:eastAsia="Book Antiqua" w:hAnsi="Book Antiqua" w:cs="Book Antiqua"/>
          <w:lang w:val="pt-BR"/>
        </w:rPr>
        <w:t>H,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Pr="00FE113D">
        <w:rPr>
          <w:rFonts w:ascii="Book Antiqua" w:eastAsia="Book Antiqua" w:hAnsi="Book Antiqua" w:cs="Book Antiqua"/>
          <w:lang w:val="pt-BR"/>
        </w:rPr>
        <w:t>Medeiros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Pr="00FE113D">
        <w:rPr>
          <w:rFonts w:ascii="Book Antiqua" w:eastAsia="Book Antiqua" w:hAnsi="Book Antiqua" w:cs="Book Antiqua"/>
          <w:lang w:val="pt-BR"/>
        </w:rPr>
        <w:t>M,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Pr="00FE113D">
        <w:rPr>
          <w:rFonts w:ascii="Book Antiqua" w:eastAsia="Book Antiqua" w:hAnsi="Book Antiqua" w:cs="Book Antiqua"/>
          <w:lang w:val="pt-BR"/>
        </w:rPr>
        <w:t>Castañeda-Hernández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Pr="00FE113D">
        <w:rPr>
          <w:rFonts w:ascii="Book Antiqua" w:eastAsia="Book Antiqua" w:hAnsi="Book Antiqua" w:cs="Book Antiqua"/>
          <w:lang w:val="pt-BR"/>
        </w:rPr>
        <w:t>G,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Pr="00FE113D">
        <w:rPr>
          <w:rFonts w:ascii="Book Antiqua" w:eastAsia="Book Antiqua" w:hAnsi="Book Antiqua" w:cs="Book Antiqua"/>
          <w:lang w:val="pt-BR"/>
        </w:rPr>
        <w:t>Trocóniz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Pr="00FE113D">
        <w:rPr>
          <w:rFonts w:ascii="Book Antiqua" w:eastAsia="Book Antiqua" w:hAnsi="Book Antiqua" w:cs="Book Antiqua"/>
          <w:lang w:val="pt-BR"/>
        </w:rPr>
        <w:t>IF.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Pr="00156C07">
        <w:rPr>
          <w:rFonts w:ascii="Book Antiqua" w:eastAsia="Book Antiqua" w:hAnsi="Book Antiqua" w:cs="Book Antiqua"/>
        </w:rPr>
        <w:t>Population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pharmacokinetic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analysis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Mexican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paediatric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renal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patients: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role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CYP3A5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genotype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formulation.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Br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J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2015;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80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630-641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25846845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10.1111/bcp.12649]</w:t>
      </w:r>
    </w:p>
    <w:p w14:paraId="43A38EF2" w14:textId="2002CFCF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11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Taber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DJ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Su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Z,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Fleming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McGillicuddy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JW,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Posadas-Salas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Treiber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Dubay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Srinivas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Mauldin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PD,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Moran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WP,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Baliga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PK.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Trough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Concentration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Disparities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African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American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Transplantation.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Transplantation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2017;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101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2931-2938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28658199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10.1097/TP.0000000000001840]</w:t>
      </w:r>
    </w:p>
    <w:p w14:paraId="74AFAE81" w14:textId="7541504C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12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Campagne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O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Mager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DE,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Tornatore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KM.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Population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Pharmacokinetics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Recipients: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What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Did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Learn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About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Sources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Interindividual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Variabilities</w:t>
      </w:r>
      <w:proofErr w:type="spellEnd"/>
      <w:r w:rsidRPr="00156C07">
        <w:rPr>
          <w:rFonts w:ascii="Book Antiqua" w:eastAsia="Book Antiqua" w:hAnsi="Book Antiqua" w:cs="Book Antiqua"/>
        </w:rPr>
        <w:t>?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J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2019;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59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309-325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30371942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10.1002/jcph.1325]</w:t>
      </w:r>
    </w:p>
    <w:p w14:paraId="12C68DD7" w14:textId="7349BC34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13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Tron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C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Lemaitre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Verstuyft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Petitcollin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Verdier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Bellissant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Pharmacogenetics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Membrane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Transporters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Solid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Organ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lastRenderedPageBreak/>
        <w:t>Transplantation.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Pharmacokinet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2019;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58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593-613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30415459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10.1007/s40262-018-0717-7]</w:t>
      </w:r>
    </w:p>
    <w:p w14:paraId="663C3810" w14:textId="505F99DB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14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Shemesh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E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Fine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calculating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standard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deviation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blood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levels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new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gold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standard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evaluating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non-adherence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medications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recipients?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2010;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14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940-943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20887400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10.1111/j.1399-3046.2010.01396.x]</w:t>
      </w:r>
    </w:p>
    <w:p w14:paraId="2F3F982D" w14:textId="51212F6C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15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Herblum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J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Dacouris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Huang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Zaltzman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Prasad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GVR,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Nash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Chen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Retrospective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Analysis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Intrapatient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Measure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Medication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Adherence.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Can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J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Kidney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Health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Dis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2021;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8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20543581211021742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34188946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10.1177/20543581211021742]</w:t>
      </w:r>
    </w:p>
    <w:p w14:paraId="35BDD26F" w14:textId="070AEAB9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16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Gokoel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SRM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Zwart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Moes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DJAR,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Boog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PJM,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Fijter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JW.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No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Apparent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Influence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Nonadherence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Intrapatient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Stable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Recipients.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Drug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Monit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2020;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42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702-709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32941396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10.1097/FTD.0000000000000772]</w:t>
      </w:r>
    </w:p>
    <w:p w14:paraId="4E3ECF3B" w14:textId="3CC20F8E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17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Kostalova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B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Mala-</w:t>
      </w:r>
      <w:proofErr w:type="spellStart"/>
      <w:r w:rsidRPr="00156C07">
        <w:rPr>
          <w:rFonts w:ascii="Book Antiqua" w:eastAsia="Book Antiqua" w:hAnsi="Book Antiqua" w:cs="Book Antiqua"/>
        </w:rPr>
        <w:t>Ladova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Sulkova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SD,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Denhaerynck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Geest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Maly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Comparison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different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methods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assess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concentration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intra-patient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potential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marker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medication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non-adherence.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Front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2022;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13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973564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36313323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10.3389/fphar.2022.973564]</w:t>
      </w:r>
    </w:p>
    <w:p w14:paraId="5AA0DB48" w14:textId="43CD15D1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156C07">
        <w:rPr>
          <w:rFonts w:ascii="Book Antiqua" w:eastAsia="Book Antiqua" w:hAnsi="Book Antiqua" w:cs="Book Antiqua"/>
        </w:rPr>
        <w:t>18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Lieber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SR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Volk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ML.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Non-adherence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failure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adult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liver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recipients.</w:t>
      </w:r>
      <w:proofErr w:type="gram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Dig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Dis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Sci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2013;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58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824-834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23053889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10.1007/s10620-012-2412-0]</w:t>
      </w:r>
    </w:p>
    <w:p w14:paraId="6809329E" w14:textId="31C089FE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19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Stuber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ML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Shemesh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Seacord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Washington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3rd,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Hellemann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McDiarmid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Evaluating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non-adherence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immunosuppressant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medications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pediatric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liver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recipients.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2008;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12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284-288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18331387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10.1111/j.1399-3046.2008.00923.x]</w:t>
      </w:r>
    </w:p>
    <w:p w14:paraId="43E7D2F5" w14:textId="7208F533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20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Leino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AD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Jiang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Vinks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Klawitter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Christians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U,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Woodle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Alloway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RR,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Rohan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JM.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Assessment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intrapatient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stable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adherent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recipients: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Establishing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baseline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values.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Am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J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2019;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19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1410-1420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30506623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10.1111/ajt.15199]</w:t>
      </w:r>
    </w:p>
    <w:p w14:paraId="2F94C8A3" w14:textId="6FDC694E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lastRenderedPageBreak/>
        <w:t>21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Ko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H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HK,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Chung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SK,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Association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between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medication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adherence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intrapatient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concentration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among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stable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recipients.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Sci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Rep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2021;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11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5397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33686160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10.1038/s41598-021-84868-5]</w:t>
      </w:r>
    </w:p>
    <w:p w14:paraId="79E1E190" w14:textId="278704CD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22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Gueta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I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Markovits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Yarden-Bilavsky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Raichlin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Freimark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Lavee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Loebstein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Peled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Y.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trough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level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rejections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heart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Am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J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2018;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18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2571-2578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29989311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10.1111/ajt.15016]</w:t>
      </w:r>
    </w:p>
    <w:p w14:paraId="69975509" w14:textId="1F2623EE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23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  <w:b/>
          <w:bCs/>
        </w:rPr>
        <w:t>Shuker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</w:rPr>
        <w:t>N</w:t>
      </w:r>
      <w:r w:rsidRPr="00CF58AE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Bouamar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Hesselink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van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Gelder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Caliskan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K,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Manintveld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Balk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AH,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Constantinescu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AA.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Intrapatient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Exposure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Does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Predict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Development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Cardiac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Allograft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Vasculopathy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Heart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Transplant.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  <w:i/>
          <w:iCs/>
        </w:rPr>
        <w:t>Exp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CF58AE">
        <w:rPr>
          <w:rFonts w:ascii="Book Antiqua" w:eastAsia="Book Antiqua" w:hAnsi="Book Antiqua" w:cs="Book Antiqua"/>
          <w:i/>
          <w:iCs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2018;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</w:rPr>
        <w:t>16</w:t>
      </w:r>
      <w:r w:rsidRPr="00CF58AE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326-332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28969528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10.6002/ect.2016.0366]</w:t>
      </w:r>
    </w:p>
    <w:p w14:paraId="6DA620B2" w14:textId="374EEAF2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24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González-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Vílchez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F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Crespo-Leiro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MG,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Delgado-Jiménez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Pérez-Villa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Segovia-</w:t>
      </w:r>
      <w:proofErr w:type="spellStart"/>
      <w:r w:rsidRPr="00156C07">
        <w:rPr>
          <w:rFonts w:ascii="Book Antiqua" w:eastAsia="Book Antiqua" w:hAnsi="Book Antiqua" w:cs="Book Antiqua"/>
        </w:rPr>
        <w:t>Cubero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Díaz</w:t>
      </w:r>
      <w:proofErr w:type="spellEnd"/>
      <w:r w:rsidRPr="00156C07">
        <w:rPr>
          <w:rFonts w:ascii="Book Antiqua" w:eastAsia="Book Antiqua" w:hAnsi="Book Antiqua" w:cs="Book Antiqua"/>
        </w:rPr>
        <w:t>-Molina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Mirabet</w:t>
      </w:r>
      <w:proofErr w:type="spellEnd"/>
      <w:r w:rsidRPr="00156C07">
        <w:rPr>
          <w:rFonts w:ascii="Book Antiqua" w:eastAsia="Book Antiqua" w:hAnsi="Book Antiqua" w:cs="Book Antiqua"/>
        </w:rPr>
        <w:t>-Pérez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Arizón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Del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Prado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Blasco-Peiró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Martínez-Sellés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Almenar-Bonet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Garrido</w:t>
      </w:r>
      <w:proofErr w:type="spellEnd"/>
      <w:r w:rsidRPr="00156C07">
        <w:rPr>
          <w:rFonts w:ascii="Book Antiqua" w:eastAsia="Book Antiqua" w:hAnsi="Book Antiqua" w:cs="Book Antiqua"/>
        </w:rPr>
        <w:t>-Bravo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Rábago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Vázquez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Prada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JA.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156C07">
        <w:rPr>
          <w:rFonts w:ascii="Book Antiqua" w:eastAsia="Book Antiqua" w:hAnsi="Book Antiqua" w:cs="Book Antiqua"/>
        </w:rPr>
        <w:t>Impact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intrapatient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blood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level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calcineurin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inhibitors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heart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outcomes.</w:t>
      </w:r>
      <w:proofErr w:type="gram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Rev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proofErr w:type="gramStart"/>
      <w:r w:rsidRPr="00156C07">
        <w:rPr>
          <w:rFonts w:ascii="Book Antiqua" w:eastAsia="Book Antiqua" w:hAnsi="Book Antiqua" w:cs="Book Antiqua"/>
          <w:i/>
          <w:iCs/>
        </w:rPr>
        <w:t>Esp</w:t>
      </w:r>
      <w:proofErr w:type="spellEnd"/>
      <w:proofErr w:type="gram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(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Engl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Ed)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2022;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75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129-140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33744197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10.1016/j.rec.2021.02.001]</w:t>
      </w:r>
    </w:p>
    <w:p w14:paraId="1941321F" w14:textId="7BAAC89C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25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Baker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WL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Steiger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Martin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Patel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Radojevic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Darsaklis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O'Bara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Kutzler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Dougherty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Feingold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Hammond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Fusco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Gluck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JA.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Association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156C07">
        <w:rPr>
          <w:rFonts w:ascii="Book Antiqua" w:eastAsia="Book Antiqua" w:hAnsi="Book Antiqua" w:cs="Book Antiqua"/>
        </w:rPr>
        <w:t>Between</w:t>
      </w:r>
      <w:proofErr w:type="gram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Time-in-Therapeutic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Range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Early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Rejection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Heart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Pharmacotherapy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2019;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39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609-613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30892740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10.1002/phar.2262]</w:t>
      </w:r>
    </w:p>
    <w:p w14:paraId="2A575E3E" w14:textId="2C35CF64" w:rsidR="00BB60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26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Pollock-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Barziv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SM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Finkelstein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Y,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Manlhiot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Dipchand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AI,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Hebert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VL,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Solomon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McCrindle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BW,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Grant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blood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levels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increases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risk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late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rejection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loss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solid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organ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older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children.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2010;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14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968-975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21040278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10.1111/j.1399-3046.2010.01409.x]</w:t>
      </w:r>
    </w:p>
    <w:p w14:paraId="474FE1F4" w14:textId="2A999DD2" w:rsid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lastRenderedPageBreak/>
        <w:t>27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Sirota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M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Heyrend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Ou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Z,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Masotti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Griffiths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Molina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Impact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pediatric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heart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outcomes.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2021;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25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e14043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34390091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10.1111/petr.14043]</w:t>
      </w:r>
    </w:p>
    <w:p w14:paraId="0295B734" w14:textId="77777777" w:rsidR="00BB6007" w:rsidRPr="00156C07" w:rsidRDefault="00BB6007" w:rsidP="00BB6007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28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Gallagher</w:t>
      </w:r>
      <w:r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HM</w:t>
      </w:r>
      <w:r w:rsidRPr="00156C07">
        <w:rPr>
          <w:rFonts w:ascii="Book Antiqua" w:eastAsia="Book Antiqua" w:hAnsi="Book Antiqua" w:cs="Book Antiqua"/>
        </w:rPr>
        <w:t>,</w:t>
      </w:r>
      <w:r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Sarwar</w:t>
      </w:r>
      <w:proofErr w:type="spellEnd"/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G,</w:t>
      </w:r>
      <w:r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Tse</w:t>
      </w:r>
      <w:proofErr w:type="spellEnd"/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T,</w:t>
      </w:r>
      <w:r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Sladden</w:t>
      </w:r>
      <w:proofErr w:type="spellEnd"/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TM,</w:t>
      </w:r>
      <w:r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Hii</w:t>
      </w:r>
      <w:proofErr w:type="spellEnd"/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E,</w:t>
      </w:r>
      <w:r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Yerkovich</w:t>
      </w:r>
      <w:proofErr w:type="spellEnd"/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ST,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Hopkins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PM,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Chambers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DC.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Erratic</w:t>
      </w:r>
      <w:r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exposure,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assessed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using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the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standard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deviation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trough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blood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levels,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predicts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chronic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lung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allograft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dysfunction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survival.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J</w:t>
      </w:r>
      <w:r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Heart</w:t>
      </w:r>
      <w:r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Lung</w:t>
      </w:r>
      <w:r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Transplant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2015;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34</w:t>
      </w:r>
      <w:r w:rsidRPr="00156C07">
        <w:rPr>
          <w:rFonts w:ascii="Book Antiqua" w:eastAsia="Book Antiqua" w:hAnsi="Book Antiqua" w:cs="Book Antiqua"/>
        </w:rPr>
        <w:t>: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1442-1448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26186804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10.1016/j.healun.2015.05.028]</w:t>
      </w:r>
    </w:p>
    <w:p w14:paraId="44A20102" w14:textId="77777777" w:rsidR="00BB6007" w:rsidRPr="00156C07" w:rsidRDefault="00BB6007" w:rsidP="00BB6007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</w:rPr>
        <w:t>29</w:t>
      </w:r>
      <w:r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</w:rPr>
        <w:t>Kao CC</w:t>
      </w:r>
      <w:r w:rsidRPr="00CF58AE">
        <w:rPr>
          <w:rFonts w:ascii="Book Antiqua" w:eastAsia="Book Antiqua" w:hAnsi="Book Antiqua" w:cs="Book Antiqua"/>
        </w:rPr>
        <w:t xml:space="preserve">, </w:t>
      </w:r>
      <w:proofErr w:type="spellStart"/>
      <w:r w:rsidRPr="00CF58AE">
        <w:rPr>
          <w:rFonts w:ascii="Book Antiqua" w:eastAsia="Book Antiqua" w:hAnsi="Book Antiqua" w:cs="Book Antiqua"/>
        </w:rPr>
        <w:t>Segraves</w:t>
      </w:r>
      <w:proofErr w:type="spellEnd"/>
      <w:r w:rsidRPr="00CF58AE">
        <w:rPr>
          <w:rFonts w:ascii="Book Antiqua" w:eastAsia="Book Antiqua" w:hAnsi="Book Antiqua" w:cs="Book Antiqua"/>
        </w:rPr>
        <w:t xml:space="preserve"> J, </w:t>
      </w:r>
      <w:proofErr w:type="spellStart"/>
      <w:r w:rsidRPr="00CF58AE">
        <w:rPr>
          <w:rFonts w:ascii="Book Antiqua" w:eastAsia="Book Antiqua" w:hAnsi="Book Antiqua" w:cs="Book Antiqua"/>
        </w:rPr>
        <w:t>Parulekar</w:t>
      </w:r>
      <w:proofErr w:type="spellEnd"/>
      <w:r w:rsidRPr="00CF58AE">
        <w:rPr>
          <w:rFonts w:ascii="Book Antiqua" w:eastAsia="Book Antiqua" w:hAnsi="Book Antiqua" w:cs="Book Antiqua"/>
        </w:rPr>
        <w:t xml:space="preserve"> AD.</w:t>
      </w:r>
      <w:proofErr w:type="gramEnd"/>
      <w:r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Tacrolimus</w:t>
      </w:r>
      <w:proofErr w:type="spellEnd"/>
      <w:r w:rsidRPr="00CF58AE">
        <w:rPr>
          <w:rFonts w:ascii="Book Antiqua" w:eastAsia="Book Antiqua" w:hAnsi="Book Antiqua" w:cs="Book Antiqua"/>
        </w:rPr>
        <w:t xml:space="preserve"> monitoring parameters are not associated with acute cellular rejection following lung transplantation. </w:t>
      </w:r>
      <w:proofErr w:type="spellStart"/>
      <w:r w:rsidRPr="00CF58AE">
        <w:rPr>
          <w:rFonts w:ascii="Book Antiqua" w:eastAsia="Book Antiqua" w:hAnsi="Book Antiqua" w:cs="Book Antiqua"/>
          <w:i/>
          <w:iCs/>
        </w:rPr>
        <w:t>Eur</w:t>
      </w:r>
      <w:proofErr w:type="spellEnd"/>
      <w:r w:rsidRPr="00CF58AE">
        <w:rPr>
          <w:rFonts w:ascii="Book Antiqua" w:eastAsia="Book Antiqua" w:hAnsi="Book Antiqua" w:cs="Book Antiqua"/>
          <w:i/>
          <w:iCs/>
        </w:rPr>
        <w:t xml:space="preserve"> J </w:t>
      </w:r>
      <w:proofErr w:type="spellStart"/>
      <w:r w:rsidRPr="00CF58AE">
        <w:rPr>
          <w:rFonts w:ascii="Book Antiqua" w:eastAsia="Book Antiqua" w:hAnsi="Book Antiqua" w:cs="Book Antiqua"/>
          <w:i/>
          <w:iCs/>
        </w:rPr>
        <w:t>Clin</w:t>
      </w:r>
      <w:proofErr w:type="spellEnd"/>
      <w:r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CF58AE">
        <w:rPr>
          <w:rFonts w:ascii="Book Antiqua" w:eastAsia="Book Antiqua" w:hAnsi="Book Antiqua" w:cs="Book Antiqua"/>
        </w:rPr>
        <w:t xml:space="preserve">2021; </w:t>
      </w:r>
      <w:r w:rsidRPr="00CF58AE">
        <w:rPr>
          <w:rFonts w:ascii="Book Antiqua" w:eastAsia="Book Antiqua" w:hAnsi="Book Antiqua" w:cs="Book Antiqua"/>
          <w:b/>
          <w:bCs/>
        </w:rPr>
        <w:t>77</w:t>
      </w:r>
      <w:r w:rsidRPr="00CF58AE">
        <w:rPr>
          <w:rFonts w:ascii="Book Antiqua" w:eastAsia="Book Antiqua" w:hAnsi="Book Antiqua" w:cs="Book Antiqua"/>
        </w:rPr>
        <w:t>: 63-69 [PMID: 32803287 DOI: 10.1007/s00228-020-02976-z]</w:t>
      </w:r>
    </w:p>
    <w:p w14:paraId="160D8FA2" w14:textId="77777777" w:rsidR="00BB6007" w:rsidRPr="00156C07" w:rsidRDefault="00BB6007" w:rsidP="00BB6007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30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Ensor</w:t>
      </w:r>
      <w:r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CR</w:t>
      </w:r>
      <w:r w:rsidRPr="00156C07">
        <w:rPr>
          <w:rFonts w:ascii="Book Antiqua" w:eastAsia="Book Antiqua" w:hAnsi="Book Antiqua" w:cs="Book Antiqua"/>
        </w:rPr>
        <w:t>,</w:t>
      </w:r>
      <w:r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Iasella</w:t>
      </w:r>
      <w:proofErr w:type="spellEnd"/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CJ,</w:t>
      </w:r>
      <w:r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Harrigan</w:t>
      </w:r>
      <w:proofErr w:type="spellEnd"/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KM,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Morrell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MR,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Moore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CA,</w:t>
      </w:r>
      <w:r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Shigemura</w:t>
      </w:r>
      <w:proofErr w:type="spellEnd"/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N,</w:t>
      </w:r>
      <w:r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Zeevi</w:t>
      </w:r>
      <w:proofErr w:type="spellEnd"/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A,</w:t>
      </w:r>
      <w:r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McDyer</w:t>
      </w:r>
      <w:proofErr w:type="spellEnd"/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JF,</w:t>
      </w:r>
      <w:r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Venkataramanan</w:t>
      </w:r>
      <w:proofErr w:type="spellEnd"/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R.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Increasing</w:t>
      </w:r>
      <w:r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time-in-therapeutic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range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is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associated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with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superior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one-year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outcomes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lung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recipients.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Am</w:t>
      </w:r>
      <w:r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J</w:t>
      </w:r>
      <w:r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Transplant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2018;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18</w:t>
      </w:r>
      <w:r w:rsidRPr="00156C07">
        <w:rPr>
          <w:rFonts w:ascii="Book Antiqua" w:eastAsia="Book Antiqua" w:hAnsi="Book Antiqua" w:cs="Book Antiqua"/>
        </w:rPr>
        <w:t>: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1527-1533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29513387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10.1111/ajt.14723]</w:t>
      </w:r>
    </w:p>
    <w:p w14:paraId="76CA2B01" w14:textId="0CA4D2D9" w:rsidR="00BB6007" w:rsidRPr="00156C07" w:rsidRDefault="00BB60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31</w:t>
      </w:r>
      <w:r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Katada</w:t>
      </w:r>
      <w:proofErr w:type="spellEnd"/>
      <w:r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Y</w:t>
      </w:r>
      <w:r w:rsidRPr="00156C07">
        <w:rPr>
          <w:rFonts w:ascii="Book Antiqua" w:eastAsia="Book Antiqua" w:hAnsi="Book Antiqua" w:cs="Book Antiqua"/>
        </w:rPr>
        <w:t>,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Nakagawa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S,</w:t>
      </w:r>
      <w:r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Itohara</w:t>
      </w:r>
      <w:proofErr w:type="spellEnd"/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K,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Suzuki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T,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Kato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R,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Endo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H,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Sugimoto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M,</w:t>
      </w:r>
      <w:r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Yonezawa</w:t>
      </w:r>
      <w:proofErr w:type="spellEnd"/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A,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Nakagawa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T,</w:t>
      </w:r>
      <w:r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Ohsumi</w:t>
      </w:r>
      <w:proofErr w:type="spellEnd"/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A,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Nakajima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D,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Date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H,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Terada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T.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Association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between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time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therapeutic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range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blood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concentration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acute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rejection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within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the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first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three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months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after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lung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transplantation.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J</w:t>
      </w:r>
      <w:r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Pharm</w:t>
      </w:r>
      <w:r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Health</w:t>
      </w:r>
      <w:r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Care</w:t>
      </w:r>
      <w:r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Sci</w:t>
      </w:r>
      <w:proofErr w:type="spellEnd"/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2022;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8</w:t>
      </w:r>
      <w:r w:rsidRPr="00156C07">
        <w:rPr>
          <w:rFonts w:ascii="Book Antiqua" w:eastAsia="Book Antiqua" w:hAnsi="Book Antiqua" w:cs="Book Antiqua"/>
        </w:rPr>
        <w:t>: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25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36180948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10.1186/s40780-022-00256-9]</w:t>
      </w:r>
    </w:p>
    <w:p w14:paraId="5E9C277A" w14:textId="40EFA5A1" w:rsidR="00156C07" w:rsidRPr="00FE113D" w:rsidRDefault="00BB6007" w:rsidP="005A21CA">
      <w:pPr>
        <w:spacing w:line="360" w:lineRule="auto"/>
        <w:jc w:val="both"/>
        <w:rPr>
          <w:rFonts w:ascii="Book Antiqua" w:eastAsia="Book Antiqua" w:hAnsi="Book Antiqua" w:cs="Book Antiqua"/>
          <w:lang w:val="pt-BR"/>
        </w:rPr>
      </w:pPr>
      <w:r>
        <w:rPr>
          <w:rFonts w:ascii="Book Antiqua" w:eastAsia="Book Antiqua" w:hAnsi="Book Antiqua" w:cs="Book Antiqua"/>
        </w:rPr>
        <w:t>32</w:t>
      </w:r>
      <w:r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  <w:b/>
          <w:bCs/>
        </w:rPr>
        <w:t>Venkat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VL</w:t>
      </w:r>
      <w:r w:rsidR="00156C07"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Nick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TG,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Wang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Y,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Bucuvalas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JC.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objective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measure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identify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pediatric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liver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recipients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at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risk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for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late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allograft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rejection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related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non-adherence.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FE113D">
        <w:rPr>
          <w:rFonts w:ascii="Book Antiqua" w:eastAsia="Book Antiqua" w:hAnsi="Book Antiqua" w:cs="Book Antiqua"/>
          <w:i/>
          <w:iCs/>
          <w:lang w:val="pt-BR"/>
        </w:rPr>
        <w:t>Pediatr</w:t>
      </w:r>
      <w:r w:rsidR="008A3BB0" w:rsidRPr="00FE113D">
        <w:rPr>
          <w:rFonts w:ascii="Book Antiqua" w:eastAsia="Book Antiqua" w:hAnsi="Book Antiqua" w:cs="Book Antiqua"/>
          <w:i/>
          <w:iCs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i/>
          <w:iCs/>
          <w:lang w:val="pt-BR"/>
        </w:rPr>
        <w:t>Transplant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lang w:val="pt-BR"/>
        </w:rPr>
        <w:t>2008;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b/>
          <w:bCs/>
          <w:lang w:val="pt-BR"/>
        </w:rPr>
        <w:t>12</w:t>
      </w:r>
      <w:r w:rsidR="00156C07" w:rsidRPr="00FE113D">
        <w:rPr>
          <w:rFonts w:ascii="Book Antiqua" w:eastAsia="Book Antiqua" w:hAnsi="Book Antiqua" w:cs="Book Antiqua"/>
          <w:lang w:val="pt-BR"/>
        </w:rPr>
        <w:t>: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lang w:val="pt-BR"/>
        </w:rPr>
        <w:t>67-72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lang w:val="pt-BR"/>
        </w:rPr>
        <w:t>[PMID: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lang w:val="pt-BR"/>
        </w:rPr>
        <w:t>18186891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lang w:val="pt-BR"/>
        </w:rPr>
        <w:t>DOI: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lang w:val="pt-BR"/>
        </w:rPr>
        <w:t>10.1111/j.1399-3046.2007.00794.x]</w:t>
      </w:r>
    </w:p>
    <w:p w14:paraId="27A36B5B" w14:textId="75D7C721" w:rsidR="00156C07" w:rsidRPr="00156C07" w:rsidRDefault="00BB60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lang w:val="pt-BR"/>
        </w:rPr>
        <w:t>33</w:t>
      </w:r>
      <w:r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b/>
          <w:bCs/>
          <w:lang w:val="pt-BR"/>
        </w:rPr>
        <w:t>Shemesh</w:t>
      </w:r>
      <w:r w:rsidR="008A3BB0" w:rsidRPr="00FE113D">
        <w:rPr>
          <w:rFonts w:ascii="Book Antiqua" w:eastAsia="Book Antiqua" w:hAnsi="Book Antiqua" w:cs="Book Antiqua"/>
          <w:b/>
          <w:bCs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b/>
          <w:bCs/>
          <w:lang w:val="pt-BR"/>
        </w:rPr>
        <w:t>E</w:t>
      </w:r>
      <w:r w:rsidR="00156C07" w:rsidRPr="00FE113D">
        <w:rPr>
          <w:rFonts w:ascii="Book Antiqua" w:eastAsia="Book Antiqua" w:hAnsi="Book Antiqua" w:cs="Book Antiqua"/>
          <w:lang w:val="pt-BR"/>
        </w:rPr>
        <w:t>,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lang w:val="pt-BR"/>
        </w:rPr>
        <w:t>Bucuvalas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lang w:val="pt-BR"/>
        </w:rPr>
        <w:t>JC,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lang w:val="pt-BR"/>
        </w:rPr>
        <w:t>Anand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lang w:val="pt-BR"/>
        </w:rPr>
        <w:t>R,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lang w:val="pt-BR"/>
        </w:rPr>
        <w:t>Mazariegos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lang w:val="pt-BR"/>
        </w:rPr>
        <w:t>GV,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lang w:val="pt-BR"/>
        </w:rPr>
        <w:t>Alonso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lang w:val="pt-BR"/>
        </w:rPr>
        <w:t>EM,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lang w:val="pt-BR"/>
        </w:rPr>
        <w:t>Venick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lang w:val="pt-BR"/>
        </w:rPr>
        <w:t>RS,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lang w:val="pt-BR"/>
        </w:rPr>
        <w:t>Reyes-Mugica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lang w:val="pt-BR"/>
        </w:rPr>
        <w:t>M,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lang w:val="pt-BR"/>
        </w:rPr>
        <w:t>Annunziato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lang w:val="pt-BR"/>
        </w:rPr>
        <w:t>RA,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lang w:val="pt-BR"/>
        </w:rPr>
        <w:t>Shneider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FE113D">
        <w:rPr>
          <w:rFonts w:ascii="Book Antiqua" w:eastAsia="Book Antiqua" w:hAnsi="Book Antiqua" w:cs="Book Antiqua"/>
          <w:lang w:val="pt-BR"/>
        </w:rPr>
        <w:t>BL.</w:t>
      </w:r>
      <w:r w:rsidR="008A3BB0" w:rsidRPr="00FE113D">
        <w:rPr>
          <w:rFonts w:ascii="Book Antiqua" w:eastAsia="Book Antiqua" w:hAnsi="Book Antiqua" w:cs="Book Antiqua"/>
          <w:lang w:val="pt-BR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Medication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Level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Index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(MLVI)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Predicts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Poor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Liver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Outcomes: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Prospective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Multi-Site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Study.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  <w:i/>
          <w:iCs/>
        </w:rPr>
        <w:t>Am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="00156C07" w:rsidRPr="00156C07">
        <w:rPr>
          <w:rFonts w:ascii="Book Antiqua" w:eastAsia="Book Antiqua" w:hAnsi="Book Antiqua" w:cs="Book Antiqua"/>
          <w:i/>
          <w:iCs/>
        </w:rPr>
        <w:t>J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="00156C07" w:rsidRPr="00156C07">
        <w:rPr>
          <w:rFonts w:ascii="Book Antiqua" w:eastAsia="Book Antiqua" w:hAnsi="Book Antiqua" w:cs="Book Antiqua"/>
          <w:i/>
          <w:iCs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2017;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17</w:t>
      </w:r>
      <w:r w:rsidR="00156C07"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2668-2678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28321975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10.1111/ajt.14276]</w:t>
      </w:r>
    </w:p>
    <w:p w14:paraId="435A5B73" w14:textId="651B124E" w:rsidR="00156C07" w:rsidRPr="00156C07" w:rsidRDefault="00BB60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34</w:t>
      </w:r>
      <w:r w:rsidRPr="003354B3">
        <w:rPr>
          <w:rFonts w:ascii="Book Antiqua" w:eastAsia="Book Antiqua" w:hAnsi="Book Antiqua" w:cs="Book Antiqua"/>
        </w:rPr>
        <w:t xml:space="preserve"> </w:t>
      </w:r>
      <w:r w:rsidR="00156C07" w:rsidRPr="003354B3">
        <w:rPr>
          <w:rFonts w:ascii="Book Antiqua" w:eastAsia="Book Antiqua" w:hAnsi="Book Antiqua" w:cs="Book Antiqua"/>
          <w:b/>
          <w:bCs/>
        </w:rPr>
        <w:t>de</w:t>
      </w:r>
      <w:r w:rsidR="008A3BB0" w:rsidRPr="003354B3">
        <w:rPr>
          <w:rFonts w:ascii="Book Antiqua" w:eastAsia="Book Antiqua" w:hAnsi="Book Antiqua" w:cs="Book Antiqua"/>
          <w:b/>
          <w:bCs/>
        </w:rPr>
        <w:t xml:space="preserve"> </w:t>
      </w:r>
      <w:r w:rsidR="00156C07" w:rsidRPr="003354B3">
        <w:rPr>
          <w:rFonts w:ascii="Book Antiqua" w:eastAsia="Book Antiqua" w:hAnsi="Book Antiqua" w:cs="Book Antiqua"/>
          <w:b/>
          <w:bCs/>
        </w:rPr>
        <w:t>Oliveira</w:t>
      </w:r>
      <w:r w:rsidR="008A3BB0" w:rsidRPr="003354B3">
        <w:rPr>
          <w:rFonts w:ascii="Book Antiqua" w:eastAsia="Book Antiqua" w:hAnsi="Book Antiqua" w:cs="Book Antiqua"/>
          <w:b/>
          <w:bCs/>
        </w:rPr>
        <w:t xml:space="preserve"> </w:t>
      </w:r>
      <w:r w:rsidR="00156C07" w:rsidRPr="003354B3">
        <w:rPr>
          <w:rFonts w:ascii="Book Antiqua" w:eastAsia="Book Antiqua" w:hAnsi="Book Antiqua" w:cs="Book Antiqua"/>
          <w:b/>
          <w:bCs/>
        </w:rPr>
        <w:t>JTP</w:t>
      </w:r>
      <w:r w:rsidR="00156C07" w:rsidRPr="003354B3">
        <w:rPr>
          <w:rFonts w:ascii="Book Antiqua" w:eastAsia="Book Antiqua" w:hAnsi="Book Antiqua" w:cs="Book Antiqua"/>
        </w:rPr>
        <w:t>,</w:t>
      </w:r>
      <w:r w:rsidR="008A3BB0" w:rsidRPr="003354B3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3354B3">
        <w:rPr>
          <w:rFonts w:ascii="Book Antiqua" w:eastAsia="Book Antiqua" w:hAnsi="Book Antiqua" w:cs="Book Antiqua"/>
        </w:rPr>
        <w:t>Kieling</w:t>
      </w:r>
      <w:proofErr w:type="spellEnd"/>
      <w:r w:rsidR="008A3BB0" w:rsidRPr="003354B3">
        <w:rPr>
          <w:rFonts w:ascii="Book Antiqua" w:eastAsia="Book Antiqua" w:hAnsi="Book Antiqua" w:cs="Book Antiqua"/>
        </w:rPr>
        <w:t xml:space="preserve"> </w:t>
      </w:r>
      <w:r w:rsidR="00156C07" w:rsidRPr="003354B3">
        <w:rPr>
          <w:rFonts w:ascii="Book Antiqua" w:eastAsia="Book Antiqua" w:hAnsi="Book Antiqua" w:cs="Book Antiqua"/>
        </w:rPr>
        <w:t>CO,</w:t>
      </w:r>
      <w:r w:rsidR="008A3BB0" w:rsidRPr="003354B3">
        <w:rPr>
          <w:rFonts w:ascii="Book Antiqua" w:eastAsia="Book Antiqua" w:hAnsi="Book Antiqua" w:cs="Book Antiqua"/>
        </w:rPr>
        <w:t xml:space="preserve"> </w:t>
      </w:r>
      <w:r w:rsidR="00156C07" w:rsidRPr="003354B3">
        <w:rPr>
          <w:rFonts w:ascii="Book Antiqua" w:eastAsia="Book Antiqua" w:hAnsi="Book Antiqua" w:cs="Book Antiqua"/>
        </w:rPr>
        <w:t>da</w:t>
      </w:r>
      <w:r w:rsidR="008A3BB0" w:rsidRPr="003354B3">
        <w:rPr>
          <w:rFonts w:ascii="Book Antiqua" w:eastAsia="Book Antiqua" w:hAnsi="Book Antiqua" w:cs="Book Antiqua"/>
        </w:rPr>
        <w:t xml:space="preserve"> </w:t>
      </w:r>
      <w:r w:rsidR="00156C07" w:rsidRPr="003354B3">
        <w:rPr>
          <w:rFonts w:ascii="Book Antiqua" w:eastAsia="Book Antiqua" w:hAnsi="Book Antiqua" w:cs="Book Antiqua"/>
        </w:rPr>
        <w:t>Silva</w:t>
      </w:r>
      <w:r w:rsidR="008A3BB0" w:rsidRPr="003354B3">
        <w:rPr>
          <w:rFonts w:ascii="Book Antiqua" w:eastAsia="Book Antiqua" w:hAnsi="Book Antiqua" w:cs="Book Antiqua"/>
        </w:rPr>
        <w:t xml:space="preserve"> </w:t>
      </w:r>
      <w:r w:rsidR="00156C07" w:rsidRPr="003354B3">
        <w:rPr>
          <w:rFonts w:ascii="Book Antiqua" w:eastAsia="Book Antiqua" w:hAnsi="Book Antiqua" w:cs="Book Antiqua"/>
        </w:rPr>
        <w:t>AB,</w:t>
      </w:r>
      <w:r w:rsidR="008A3BB0" w:rsidRPr="003354B3">
        <w:rPr>
          <w:rFonts w:ascii="Book Antiqua" w:eastAsia="Book Antiqua" w:hAnsi="Book Antiqua" w:cs="Book Antiqua"/>
        </w:rPr>
        <w:t xml:space="preserve"> </w:t>
      </w:r>
      <w:r w:rsidR="00156C07" w:rsidRPr="003354B3">
        <w:rPr>
          <w:rFonts w:ascii="Book Antiqua" w:eastAsia="Book Antiqua" w:hAnsi="Book Antiqua" w:cs="Book Antiqua"/>
        </w:rPr>
        <w:t>Stefani</w:t>
      </w:r>
      <w:r w:rsidR="008A3BB0" w:rsidRPr="003354B3">
        <w:rPr>
          <w:rFonts w:ascii="Book Antiqua" w:eastAsia="Book Antiqua" w:hAnsi="Book Antiqua" w:cs="Book Antiqua"/>
        </w:rPr>
        <w:t xml:space="preserve"> </w:t>
      </w:r>
      <w:r w:rsidR="00156C07" w:rsidRPr="003354B3">
        <w:rPr>
          <w:rFonts w:ascii="Book Antiqua" w:eastAsia="Book Antiqua" w:hAnsi="Book Antiqua" w:cs="Book Antiqua"/>
        </w:rPr>
        <w:t>J,</w:t>
      </w:r>
      <w:r w:rsidR="008A3BB0" w:rsidRPr="003354B3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3354B3">
        <w:rPr>
          <w:rFonts w:ascii="Book Antiqua" w:eastAsia="Book Antiqua" w:hAnsi="Book Antiqua" w:cs="Book Antiqua"/>
        </w:rPr>
        <w:t>Witkowski</w:t>
      </w:r>
      <w:proofErr w:type="spellEnd"/>
      <w:r w:rsidR="008A3BB0" w:rsidRPr="003354B3">
        <w:rPr>
          <w:rFonts w:ascii="Book Antiqua" w:eastAsia="Book Antiqua" w:hAnsi="Book Antiqua" w:cs="Book Antiqua"/>
        </w:rPr>
        <w:t xml:space="preserve"> </w:t>
      </w:r>
      <w:r w:rsidR="00156C07" w:rsidRPr="003354B3">
        <w:rPr>
          <w:rFonts w:ascii="Book Antiqua" w:eastAsia="Book Antiqua" w:hAnsi="Book Antiqua" w:cs="Book Antiqua"/>
        </w:rPr>
        <w:t>MC,</w:t>
      </w:r>
      <w:r w:rsidR="008A3BB0" w:rsidRPr="003354B3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3354B3">
        <w:rPr>
          <w:rFonts w:ascii="Book Antiqua" w:eastAsia="Book Antiqua" w:hAnsi="Book Antiqua" w:cs="Book Antiqua"/>
        </w:rPr>
        <w:t>Smidt</w:t>
      </w:r>
      <w:proofErr w:type="spellEnd"/>
      <w:r w:rsidR="008A3BB0" w:rsidRPr="003354B3">
        <w:rPr>
          <w:rFonts w:ascii="Book Antiqua" w:eastAsia="Book Antiqua" w:hAnsi="Book Antiqua" w:cs="Book Antiqua"/>
        </w:rPr>
        <w:t xml:space="preserve"> </w:t>
      </w:r>
      <w:r w:rsidR="00156C07" w:rsidRPr="003354B3">
        <w:rPr>
          <w:rFonts w:ascii="Book Antiqua" w:eastAsia="Book Antiqua" w:hAnsi="Book Antiqua" w:cs="Book Antiqua"/>
        </w:rPr>
        <w:t>CR,</w:t>
      </w:r>
      <w:r w:rsidR="008A3BB0" w:rsidRPr="003354B3">
        <w:rPr>
          <w:rFonts w:ascii="Book Antiqua" w:eastAsia="Book Antiqua" w:hAnsi="Book Antiqua" w:cs="Book Antiqua"/>
        </w:rPr>
        <w:t xml:space="preserve"> </w:t>
      </w:r>
      <w:r w:rsidR="00156C07" w:rsidRPr="003354B3">
        <w:rPr>
          <w:rFonts w:ascii="Book Antiqua" w:eastAsia="Book Antiqua" w:hAnsi="Book Antiqua" w:cs="Book Antiqua"/>
        </w:rPr>
        <w:t>Mariano</w:t>
      </w:r>
      <w:r w:rsidR="008A3BB0" w:rsidRPr="003354B3">
        <w:rPr>
          <w:rFonts w:ascii="Book Antiqua" w:eastAsia="Book Antiqua" w:hAnsi="Book Antiqua" w:cs="Book Antiqua"/>
        </w:rPr>
        <w:t xml:space="preserve"> </w:t>
      </w:r>
      <w:r w:rsidR="00156C07" w:rsidRPr="003354B3">
        <w:rPr>
          <w:rFonts w:ascii="Book Antiqua" w:eastAsia="Book Antiqua" w:hAnsi="Book Antiqua" w:cs="Book Antiqua"/>
        </w:rPr>
        <w:t>da</w:t>
      </w:r>
      <w:r w:rsidR="008A3BB0" w:rsidRPr="003354B3">
        <w:rPr>
          <w:rFonts w:ascii="Book Antiqua" w:eastAsia="Book Antiqua" w:hAnsi="Book Antiqua" w:cs="Book Antiqua"/>
        </w:rPr>
        <w:t xml:space="preserve"> </w:t>
      </w:r>
      <w:r w:rsidR="00156C07" w:rsidRPr="003354B3">
        <w:rPr>
          <w:rFonts w:ascii="Book Antiqua" w:eastAsia="Book Antiqua" w:hAnsi="Book Antiqua" w:cs="Book Antiqua"/>
        </w:rPr>
        <w:t>Rocha</w:t>
      </w:r>
      <w:r w:rsidR="008A3BB0" w:rsidRPr="003354B3">
        <w:rPr>
          <w:rFonts w:ascii="Book Antiqua" w:eastAsia="Book Antiqua" w:hAnsi="Book Antiqua" w:cs="Book Antiqua"/>
        </w:rPr>
        <w:t xml:space="preserve"> </w:t>
      </w:r>
      <w:r w:rsidR="00156C07" w:rsidRPr="003354B3">
        <w:rPr>
          <w:rFonts w:ascii="Book Antiqua" w:eastAsia="Book Antiqua" w:hAnsi="Book Antiqua" w:cs="Book Antiqua"/>
        </w:rPr>
        <w:t>CR,</w:t>
      </w:r>
      <w:r w:rsidR="008A3BB0" w:rsidRPr="003354B3">
        <w:rPr>
          <w:rFonts w:ascii="Book Antiqua" w:eastAsia="Book Antiqua" w:hAnsi="Book Antiqua" w:cs="Book Antiqua"/>
        </w:rPr>
        <w:t xml:space="preserve"> </w:t>
      </w:r>
      <w:r w:rsidR="00156C07" w:rsidRPr="003354B3">
        <w:rPr>
          <w:rFonts w:ascii="Book Antiqua" w:eastAsia="Book Antiqua" w:hAnsi="Book Antiqua" w:cs="Book Antiqua"/>
        </w:rPr>
        <w:t>Hirakata</w:t>
      </w:r>
      <w:r w:rsidR="008A3BB0" w:rsidRPr="003354B3">
        <w:rPr>
          <w:rFonts w:ascii="Book Antiqua" w:eastAsia="Book Antiqua" w:hAnsi="Book Antiqua" w:cs="Book Antiqua"/>
        </w:rPr>
        <w:t xml:space="preserve"> </w:t>
      </w:r>
      <w:r w:rsidR="00156C07" w:rsidRPr="003354B3">
        <w:rPr>
          <w:rFonts w:ascii="Book Antiqua" w:eastAsia="Book Antiqua" w:hAnsi="Book Antiqua" w:cs="Book Antiqua"/>
        </w:rPr>
        <w:t>VN,</w:t>
      </w:r>
      <w:r w:rsidR="008A3BB0" w:rsidRPr="003354B3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3354B3">
        <w:rPr>
          <w:rFonts w:ascii="Book Antiqua" w:eastAsia="Book Antiqua" w:hAnsi="Book Antiqua" w:cs="Book Antiqua"/>
        </w:rPr>
        <w:t>Grossini</w:t>
      </w:r>
      <w:proofErr w:type="spellEnd"/>
      <w:r w:rsidR="008A3BB0" w:rsidRPr="003354B3">
        <w:rPr>
          <w:rFonts w:ascii="Book Antiqua" w:eastAsia="Book Antiqua" w:hAnsi="Book Antiqua" w:cs="Book Antiqua"/>
        </w:rPr>
        <w:t xml:space="preserve"> </w:t>
      </w:r>
      <w:r w:rsidR="00156C07" w:rsidRPr="003354B3">
        <w:rPr>
          <w:rFonts w:ascii="Book Antiqua" w:eastAsia="Book Antiqua" w:hAnsi="Book Antiqua" w:cs="Book Antiqua"/>
        </w:rPr>
        <w:t>MDG,</w:t>
      </w:r>
      <w:r w:rsidR="008A3BB0" w:rsidRPr="003354B3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3354B3">
        <w:rPr>
          <w:rFonts w:ascii="Book Antiqua" w:eastAsia="Book Antiqua" w:hAnsi="Book Antiqua" w:cs="Book Antiqua"/>
        </w:rPr>
        <w:t>Zanotelli</w:t>
      </w:r>
      <w:proofErr w:type="spellEnd"/>
      <w:r w:rsidR="008A3BB0" w:rsidRPr="003354B3">
        <w:rPr>
          <w:rFonts w:ascii="Book Antiqua" w:eastAsia="Book Antiqua" w:hAnsi="Book Antiqua" w:cs="Book Antiqua"/>
        </w:rPr>
        <w:t xml:space="preserve"> </w:t>
      </w:r>
      <w:r w:rsidR="00156C07" w:rsidRPr="003354B3">
        <w:rPr>
          <w:rFonts w:ascii="Book Antiqua" w:eastAsia="Book Antiqua" w:hAnsi="Book Antiqua" w:cs="Book Antiqua"/>
        </w:rPr>
        <w:t>ML,</w:t>
      </w:r>
      <w:r w:rsidR="008A3BB0" w:rsidRPr="003354B3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3354B3">
        <w:rPr>
          <w:rFonts w:ascii="Book Antiqua" w:eastAsia="Book Antiqua" w:hAnsi="Book Antiqua" w:cs="Book Antiqua"/>
        </w:rPr>
        <w:t>Gonçalves</w:t>
      </w:r>
      <w:proofErr w:type="spellEnd"/>
      <w:r w:rsidR="008A3BB0" w:rsidRPr="003354B3">
        <w:rPr>
          <w:rFonts w:ascii="Book Antiqua" w:eastAsia="Book Antiqua" w:hAnsi="Book Antiqua" w:cs="Book Antiqua"/>
        </w:rPr>
        <w:t xml:space="preserve"> </w:t>
      </w:r>
      <w:r w:rsidR="00156C07" w:rsidRPr="003354B3">
        <w:rPr>
          <w:rFonts w:ascii="Book Antiqua" w:eastAsia="Book Antiqua" w:hAnsi="Book Antiqua" w:cs="Book Antiqua"/>
        </w:rPr>
        <w:t>Vieira</w:t>
      </w:r>
      <w:r w:rsidR="008A3BB0" w:rsidRPr="003354B3">
        <w:rPr>
          <w:rFonts w:ascii="Book Antiqua" w:eastAsia="Book Antiqua" w:hAnsi="Book Antiqua" w:cs="Book Antiqua"/>
        </w:rPr>
        <w:t xml:space="preserve"> </w:t>
      </w:r>
      <w:r w:rsidR="00156C07" w:rsidRPr="003354B3">
        <w:rPr>
          <w:rFonts w:ascii="Book Antiqua" w:eastAsia="Book Antiqua" w:hAnsi="Book Antiqua" w:cs="Book Antiqua"/>
        </w:rPr>
        <w:t>SM.</w:t>
      </w:r>
      <w:r w:rsidR="008A3BB0" w:rsidRPr="003354B3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lastRenderedPageBreak/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index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serum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levels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pediatric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liver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recipients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younger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than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12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years: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Non-adherence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risk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non-adherence?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="00156C07" w:rsidRPr="00156C07">
        <w:rPr>
          <w:rFonts w:ascii="Book Antiqua" w:eastAsia="Book Antiqua" w:hAnsi="Book Antiqua" w:cs="Book Antiqua"/>
          <w:i/>
          <w:iCs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2017;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21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29034612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10.1111/petr.13058</w:t>
      </w:r>
      <w:r w:rsidR="00156C07" w:rsidRPr="00156C07">
        <w:rPr>
          <w:rFonts w:ascii="Book Antiqua" w:eastAsia="Book Antiqua" w:hAnsi="Book Antiqua" w:cs="Book Antiqua"/>
        </w:rPr>
        <w:t>]</w:t>
      </w:r>
    </w:p>
    <w:p w14:paraId="7C731900" w14:textId="67E1A787" w:rsidR="00156C07" w:rsidRPr="00156C07" w:rsidRDefault="00BB60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35</w:t>
      </w:r>
      <w:r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  <w:b/>
          <w:bCs/>
        </w:rPr>
        <w:t>Defrancq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C</w:t>
      </w:r>
      <w:r w:rsidR="00156C07"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De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Wilde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Raes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Van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Biervliet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Vande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Velde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Van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Winckel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De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Bruyne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R,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Prytuła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A.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Intra-patient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exposure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pediatric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liver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recipients: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Evolution,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risk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factors,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impact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outcomes.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="00156C07" w:rsidRPr="00156C07">
        <w:rPr>
          <w:rFonts w:ascii="Book Antiqua" w:eastAsia="Book Antiqua" w:hAnsi="Book Antiqua" w:cs="Book Antiqua"/>
          <w:i/>
          <w:iCs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2019;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23</w:t>
      </w:r>
      <w:r w:rsidR="00156C07"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e13388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30916883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10.1111/petr.13388]</w:t>
      </w:r>
    </w:p>
    <w:p w14:paraId="6693071D" w14:textId="26958E3C" w:rsidR="00156C07" w:rsidRPr="00156C07" w:rsidRDefault="00BB60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36</w:t>
      </w:r>
      <w:r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Christina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S</w:t>
      </w:r>
      <w:r w:rsidR="00156C07"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Annunziato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RA,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Schiano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TD,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Anand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R,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Vaidya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Chuang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K,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Zack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Y,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Florman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Shneider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BL,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Shemesh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E.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Medication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level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index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predicts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rejection,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possibly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due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nonadherence</w:t>
      </w:r>
      <w:proofErr w:type="spellEnd"/>
      <w:r w:rsidR="00156C07"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adult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liver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recipients.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  <w:i/>
          <w:iCs/>
        </w:rPr>
        <w:t>Liver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2014;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20</w:t>
      </w:r>
      <w:r w:rsidR="00156C07"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1168-1177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24931127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10.1002/lt.23930]</w:t>
      </w:r>
    </w:p>
    <w:p w14:paraId="3184D5F4" w14:textId="51D1967B" w:rsidR="00156C07" w:rsidRPr="00156C07" w:rsidRDefault="00BB60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37</w:t>
      </w:r>
      <w:r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Del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Bello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A</w:t>
      </w:r>
      <w:r w:rsidR="00156C07"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Congy-Jolivet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Danjoux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Muscari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F,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Lavayssière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L,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Esposito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L,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Hebral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AL,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Bellière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Kamar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intra-patient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rejection,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5F0284" w:rsidRPr="00CF58AE">
        <w:rPr>
          <w:rFonts w:ascii="Book Antiqua" w:eastAsia="Book Antiqua" w:hAnsi="Book Antiqua" w:cs="Book Antiqua"/>
          <w:i/>
          <w:iCs/>
        </w:rPr>
        <w:t>de novo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donor-specific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antibodies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occurrence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liver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transplantation.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  <w:i/>
          <w:iCs/>
        </w:rPr>
        <w:t>World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="00156C07" w:rsidRPr="00156C07">
        <w:rPr>
          <w:rFonts w:ascii="Book Antiqua" w:eastAsia="Book Antiqua" w:hAnsi="Book Antiqua" w:cs="Book Antiqua"/>
          <w:i/>
          <w:iCs/>
        </w:rPr>
        <w:t>J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2018;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24</w:t>
      </w:r>
      <w:r w:rsidR="00156C07"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1795-1802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29713132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10.3748/wjg.v24.i16.1795]</w:t>
      </w:r>
    </w:p>
    <w:p w14:paraId="5010B321" w14:textId="7D5E15A4" w:rsidR="00156C07" w:rsidRPr="00156C07" w:rsidRDefault="00BB60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38</w:t>
      </w:r>
      <w:r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  <w:b/>
          <w:bCs/>
        </w:rPr>
        <w:t>Rayar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M</w:t>
      </w:r>
      <w:r w:rsidR="00156C07"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Tron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Jézéquel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Beaurepaire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JM,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Petitcollin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Houssel-Debry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P,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Camus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Verdier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MC,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Dehlawi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Lakéhal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Desfourneaux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V,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Meunier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B,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Sulpice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L,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Bellissant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E,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Boudjema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K,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Lemaitre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F.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Intrapatient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Exposure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Early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Period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Liver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Transplantation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Poorer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Outcomes.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  <w:i/>
          <w:iCs/>
        </w:rPr>
        <w:t>Transplantation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2018;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102</w:t>
      </w:r>
      <w:r w:rsidR="00156C07"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e108-e114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29315140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10.1097/TP.0000000000002052]</w:t>
      </w:r>
    </w:p>
    <w:p w14:paraId="2BB4C963" w14:textId="1B5EAA44" w:rsidR="00156C07" w:rsidRPr="00156C07" w:rsidRDefault="00BB60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39</w:t>
      </w:r>
      <w:r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van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der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Veer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MAA</w:t>
      </w:r>
      <w:r w:rsidR="00156C07"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Nangrahary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Hesselink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DA,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Erler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NS,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Metselaar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HJ,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van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Gelder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T,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Darwish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Murad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Intrapatient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Exposure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Not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Immune-mediated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Injury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Liver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Transplantation.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  <w:i/>
          <w:iCs/>
        </w:rPr>
        <w:t>Transplantation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2019;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103</w:t>
      </w:r>
      <w:r w:rsidR="00156C07"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2329-2337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30801539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C209FC" w:rsidRPr="00CF58AE">
        <w:rPr>
          <w:rFonts w:ascii="Book Antiqua" w:eastAsia="Book Antiqua" w:hAnsi="Book Antiqua" w:cs="Book Antiqua"/>
        </w:rPr>
        <w:t>10.1097/TP.0000000000002680</w:t>
      </w:r>
      <w:r w:rsidR="00156C07" w:rsidRPr="00156C07">
        <w:rPr>
          <w:rFonts w:ascii="Book Antiqua" w:eastAsia="Book Antiqua" w:hAnsi="Book Antiqua" w:cs="Book Antiqua"/>
        </w:rPr>
        <w:t>]</w:t>
      </w:r>
    </w:p>
    <w:p w14:paraId="519EB0FB" w14:textId="1347F3E3" w:rsidR="00156C07" w:rsidRPr="00156C07" w:rsidRDefault="00BB60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40</w:t>
      </w:r>
      <w:r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  <w:b/>
          <w:bCs/>
        </w:rPr>
        <w:t>Dopazo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C</w:t>
      </w:r>
      <w:r w:rsidR="00156C07"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Bilbao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I,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García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Gómez-</w:t>
      </w:r>
      <w:proofErr w:type="spellStart"/>
      <w:r w:rsidR="00156C07" w:rsidRPr="00156C07">
        <w:rPr>
          <w:rFonts w:ascii="Book Antiqua" w:eastAsia="Book Antiqua" w:hAnsi="Book Antiqua" w:cs="Book Antiqua"/>
        </w:rPr>
        <w:t>Gavara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Caralt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Campos-Varela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I,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Castells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L,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Hidalgo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E,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Moreso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F,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Montoro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B,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Charco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R.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intrapatient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lastRenderedPageBreak/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exposure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poorer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liver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transplantation.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  <w:i/>
          <w:iCs/>
        </w:rPr>
        <w:t>Sci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2022;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15</w:t>
      </w:r>
      <w:r w:rsidR="00156C07"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1544-1555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35373449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10.1111/cts.13276]</w:t>
      </w:r>
    </w:p>
    <w:p w14:paraId="4FF87B1A" w14:textId="7D45E688" w:rsidR="00156C07" w:rsidRPr="00156C07" w:rsidRDefault="00BB60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41</w:t>
      </w:r>
      <w:r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Kim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HJ</w:t>
      </w:r>
      <w:r w:rsidR="00156C07"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Lee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Lee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JG,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Joo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DJ,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Kim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MS.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Clinical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association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between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intra-patient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liver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transplantation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patients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without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hepatocellular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carcinoma.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56C07" w:rsidRPr="00156C07">
        <w:rPr>
          <w:rFonts w:ascii="Book Antiqua" w:eastAsia="Book Antiqua" w:hAnsi="Book Antiqua" w:cs="Book Antiqua"/>
          <w:i/>
          <w:iCs/>
        </w:rPr>
        <w:t>Sci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="00156C07" w:rsidRPr="00156C07">
        <w:rPr>
          <w:rFonts w:ascii="Book Antiqua" w:eastAsia="Book Antiqua" w:hAnsi="Book Antiqua" w:cs="Book Antiqua"/>
          <w:i/>
          <w:iCs/>
        </w:rPr>
        <w:t>Rep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2022;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  <w:b/>
          <w:bCs/>
        </w:rPr>
        <w:t>12</w:t>
      </w:r>
      <w:r w:rsidR="00156C07"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16169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36171260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156C07" w:rsidRPr="00156C07">
        <w:rPr>
          <w:rFonts w:ascii="Book Antiqua" w:eastAsia="Book Antiqua" w:hAnsi="Book Antiqua" w:cs="Book Antiqua"/>
        </w:rPr>
        <w:t>10.1038/s41598-022-20636-3]</w:t>
      </w:r>
    </w:p>
    <w:p w14:paraId="0A978032" w14:textId="7C8D97A7" w:rsidR="00156C07" w:rsidRPr="00156C07" w:rsidRDefault="00BB60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42</w:t>
      </w:r>
      <w:r w:rsidRPr="00CF58AE">
        <w:rPr>
          <w:rFonts w:ascii="Book Antiqua" w:eastAsia="Book Antiqua" w:hAnsi="Book Antiqua" w:cs="Book Antiqua"/>
        </w:rPr>
        <w:t xml:space="preserve"> </w:t>
      </w:r>
      <w:r w:rsidR="001361B3" w:rsidRPr="00CF58AE">
        <w:rPr>
          <w:rFonts w:ascii="Book Antiqua" w:eastAsia="Book Antiqua" w:hAnsi="Book Antiqua" w:cs="Book Antiqua"/>
          <w:b/>
          <w:bCs/>
        </w:rPr>
        <w:t>Davis S</w:t>
      </w:r>
      <w:r w:rsidR="001361B3" w:rsidRPr="00CF58AE">
        <w:rPr>
          <w:rFonts w:ascii="Book Antiqua" w:eastAsia="Book Antiqua" w:hAnsi="Book Antiqua" w:cs="Book Antiqua"/>
        </w:rPr>
        <w:t xml:space="preserve">, </w:t>
      </w:r>
      <w:proofErr w:type="spellStart"/>
      <w:r w:rsidR="001361B3" w:rsidRPr="00CF58AE">
        <w:rPr>
          <w:rFonts w:ascii="Book Antiqua" w:eastAsia="Book Antiqua" w:hAnsi="Book Antiqua" w:cs="Book Antiqua"/>
        </w:rPr>
        <w:t>Gralla</w:t>
      </w:r>
      <w:proofErr w:type="spellEnd"/>
      <w:r w:rsidR="001361B3" w:rsidRPr="00CF58AE">
        <w:rPr>
          <w:rFonts w:ascii="Book Antiqua" w:eastAsia="Book Antiqua" w:hAnsi="Book Antiqua" w:cs="Book Antiqua"/>
        </w:rPr>
        <w:t xml:space="preserve"> J, </w:t>
      </w:r>
      <w:proofErr w:type="spellStart"/>
      <w:r w:rsidR="001361B3" w:rsidRPr="00CF58AE">
        <w:rPr>
          <w:rFonts w:ascii="Book Antiqua" w:eastAsia="Book Antiqua" w:hAnsi="Book Antiqua" w:cs="Book Antiqua"/>
        </w:rPr>
        <w:t>Klem</w:t>
      </w:r>
      <w:proofErr w:type="spellEnd"/>
      <w:r w:rsidR="001361B3" w:rsidRPr="00CF58AE">
        <w:rPr>
          <w:rFonts w:ascii="Book Antiqua" w:eastAsia="Book Antiqua" w:hAnsi="Book Antiqua" w:cs="Book Antiqua"/>
        </w:rPr>
        <w:t xml:space="preserve"> P, </w:t>
      </w:r>
      <w:proofErr w:type="spellStart"/>
      <w:r w:rsidR="001361B3" w:rsidRPr="00CF58AE">
        <w:rPr>
          <w:rFonts w:ascii="Book Antiqua" w:eastAsia="Book Antiqua" w:hAnsi="Book Antiqua" w:cs="Book Antiqua"/>
        </w:rPr>
        <w:t>Stites</w:t>
      </w:r>
      <w:proofErr w:type="spellEnd"/>
      <w:r w:rsidR="001361B3" w:rsidRPr="00CF58AE">
        <w:rPr>
          <w:rFonts w:ascii="Book Antiqua" w:eastAsia="Book Antiqua" w:hAnsi="Book Antiqua" w:cs="Book Antiqua"/>
        </w:rPr>
        <w:t xml:space="preserve"> E, Wiseman A, Cooper JE. </w:t>
      </w:r>
      <w:proofErr w:type="spellStart"/>
      <w:r w:rsidR="001361B3" w:rsidRPr="00CF58AE">
        <w:rPr>
          <w:rFonts w:ascii="Book Antiqua" w:eastAsia="Book Antiqua" w:hAnsi="Book Antiqua" w:cs="Book Antiqua"/>
        </w:rPr>
        <w:t>Tacrolimus</w:t>
      </w:r>
      <w:proofErr w:type="spellEnd"/>
      <w:r w:rsidR="001361B3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="001361B3" w:rsidRPr="00CF58AE">
        <w:rPr>
          <w:rFonts w:ascii="Book Antiqua" w:eastAsia="Book Antiqua" w:hAnsi="Book Antiqua" w:cs="Book Antiqua"/>
        </w:rPr>
        <w:t>Intrapatient</w:t>
      </w:r>
      <w:proofErr w:type="spellEnd"/>
      <w:r w:rsidR="001361B3" w:rsidRPr="00CF58AE">
        <w:rPr>
          <w:rFonts w:ascii="Book Antiqua" w:eastAsia="Book Antiqua" w:hAnsi="Book Antiqua" w:cs="Book Antiqua"/>
        </w:rPr>
        <w:t xml:space="preserve"> Variability, Time in Therapeutic Range, and Risk of De Novo Donor-Specific Antibodies. </w:t>
      </w:r>
      <w:r w:rsidR="001361B3" w:rsidRPr="00CF58AE">
        <w:rPr>
          <w:rFonts w:ascii="Book Antiqua" w:eastAsia="Book Antiqua" w:hAnsi="Book Antiqua" w:cs="Book Antiqua"/>
          <w:i/>
          <w:iCs/>
        </w:rPr>
        <w:t>Transplantation</w:t>
      </w:r>
      <w:r w:rsidR="001361B3" w:rsidRPr="00CF58AE">
        <w:rPr>
          <w:rFonts w:ascii="Book Antiqua" w:eastAsia="Book Antiqua" w:hAnsi="Book Antiqua" w:cs="Book Antiqua"/>
        </w:rPr>
        <w:t xml:space="preserve"> 2020; </w:t>
      </w:r>
      <w:r w:rsidR="001361B3" w:rsidRPr="00CF58AE">
        <w:rPr>
          <w:rFonts w:ascii="Book Antiqua" w:eastAsia="Book Antiqua" w:hAnsi="Book Antiqua" w:cs="Book Antiqua"/>
          <w:b/>
          <w:bCs/>
        </w:rPr>
        <w:t>104</w:t>
      </w:r>
      <w:r w:rsidR="001361B3" w:rsidRPr="00CF58AE">
        <w:rPr>
          <w:rFonts w:ascii="Book Antiqua" w:eastAsia="Book Antiqua" w:hAnsi="Book Antiqua" w:cs="Book Antiqua"/>
        </w:rPr>
        <w:t>: 881-887 [PMID: 32224815 DOI: 10.1097/TP.0000000000002913]</w:t>
      </w:r>
    </w:p>
    <w:p w14:paraId="76A12139" w14:textId="5FDAE196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156C07">
        <w:rPr>
          <w:rFonts w:ascii="Book Antiqua" w:eastAsia="Book Antiqua" w:hAnsi="Book Antiqua" w:cs="Book Antiqua"/>
        </w:rPr>
        <w:t>43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Gonzales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HM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McGillicuddy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JW,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Rohan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Chandler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JL,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Nadig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Dubay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Taber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DJ.</w:t>
      </w:r>
      <w:proofErr w:type="gram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156C07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comprehensive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review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impact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intrapatient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clinical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transplantation.</w:t>
      </w:r>
      <w:proofErr w:type="gram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Am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J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2020;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20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1969-1983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32406604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10.1111/ajt.16002]</w:t>
      </w:r>
    </w:p>
    <w:p w14:paraId="1E84824B" w14:textId="68620126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156C07">
        <w:rPr>
          <w:rFonts w:ascii="Book Antiqua" w:eastAsia="Book Antiqua" w:hAnsi="Book Antiqua" w:cs="Book Antiqua"/>
        </w:rPr>
        <w:t>44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Sapir-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Pichhadze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R</w:t>
      </w:r>
      <w:proofErr w:type="gramEnd"/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Wang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Y,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Famure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Li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Y,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SJ.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Time-dependent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trough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blood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levels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risk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factor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late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failure.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Kidney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Int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2014;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85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1404-1411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24336032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10.1038/ki.2013.465]</w:t>
      </w:r>
    </w:p>
    <w:p w14:paraId="5C873104" w14:textId="01B6FFB9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45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Ro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H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SI,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Yang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Moon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YS,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Ahn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Impact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intraindividual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CYP3A5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genetic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polymorphism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acute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rejection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transplantation.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Drug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Monit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2012;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34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680-685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23149441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10.1097/FTD.0b013e3182731809]</w:t>
      </w:r>
    </w:p>
    <w:p w14:paraId="49704204" w14:textId="3624DBC6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46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Whalen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HR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Glen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Harkins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Stevens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KK,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Jardine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AG,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Geddes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Clancy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MJ.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Intrapatient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Worse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Renal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Using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Low-Dose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Immunosuppressive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Regime.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Transplantation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2017;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101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430-436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26950724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10.1097/TP.0000000000001129]</w:t>
      </w:r>
    </w:p>
    <w:p w14:paraId="72A16BF1" w14:textId="0A16AE03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47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Borra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LC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Roodnat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JI,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Kal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Mathot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Weimar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Gelder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within-patient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clearance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risk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factor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poor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long-term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outcome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transplantation.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Nephrol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Dial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2010;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25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2757-2763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20190242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10.1093/</w:t>
      </w:r>
      <w:proofErr w:type="spellStart"/>
      <w:r w:rsidRPr="00156C07">
        <w:rPr>
          <w:rFonts w:ascii="Book Antiqua" w:eastAsia="Book Antiqua" w:hAnsi="Book Antiqua" w:cs="Book Antiqua"/>
        </w:rPr>
        <w:t>ndt</w:t>
      </w:r>
      <w:proofErr w:type="spellEnd"/>
      <w:r w:rsidRPr="00156C07">
        <w:rPr>
          <w:rFonts w:ascii="Book Antiqua" w:eastAsia="Book Antiqua" w:hAnsi="Book Antiqua" w:cs="Book Antiqua"/>
        </w:rPr>
        <w:t>/gfq096]</w:t>
      </w:r>
    </w:p>
    <w:p w14:paraId="35B6EA3F" w14:textId="48913869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lastRenderedPageBreak/>
        <w:t>48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Shuker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N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Shuker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Rosmalen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Roodnat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JI,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Borra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Weimar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Hesselink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Gelder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intrapatient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exposure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poor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long-term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outcome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transplantation.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Int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2016;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29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1158-1167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27188932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10.1111/tri.12798]</w:t>
      </w:r>
    </w:p>
    <w:p w14:paraId="454549BB" w14:textId="35516D43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49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O'Regan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JA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Canney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Connaughton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O'Kelly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Williams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Y,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Collier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deFreitas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DG,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O'Seaghdha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Conlon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PJ.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trough-level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predicts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long-term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allograft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survival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following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transplantation.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J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Nephrol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2016;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29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269-276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26374111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10.1007/s40620-015-0230-0]</w:t>
      </w:r>
    </w:p>
    <w:p w14:paraId="0E2A526B" w14:textId="25A9D5A1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50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Goodall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DL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Willicombe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McLean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AG,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Taube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Intrapatient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Levels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Outpatient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Clinic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Nonattendance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Inferior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Renal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Patients.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Transplant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Direct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2017;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3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e192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28795143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10.1097/TXD.0000000000000710]</w:t>
      </w:r>
    </w:p>
    <w:p w14:paraId="08A8914A" w14:textId="3419DA13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51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Rozen-Zvi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B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Schneider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Lichtenberg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Green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Cohen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Gafter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U,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Chagnac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Mor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Rahamimov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Association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combination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time-weighted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blood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level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exposure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low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drug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levels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survival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transplantation.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Nephrol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Dial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2017;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32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393-399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28025383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10.1093/</w:t>
      </w:r>
      <w:proofErr w:type="spellStart"/>
      <w:r w:rsidRPr="00156C07">
        <w:rPr>
          <w:rFonts w:ascii="Book Antiqua" w:eastAsia="Book Antiqua" w:hAnsi="Book Antiqua" w:cs="Book Antiqua"/>
        </w:rPr>
        <w:t>ndt</w:t>
      </w:r>
      <w:proofErr w:type="spellEnd"/>
      <w:r w:rsidRPr="00156C07">
        <w:rPr>
          <w:rFonts w:ascii="Book Antiqua" w:eastAsia="Book Antiqua" w:hAnsi="Book Antiqua" w:cs="Book Antiqua"/>
        </w:rPr>
        <w:t>/gfw394]</w:t>
      </w:r>
    </w:p>
    <w:p w14:paraId="45DA831F" w14:textId="1D545386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52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Rahamimov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R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Tifti-Orbach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Zingerman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Green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Schneider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Chagnac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Mor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Fox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BD,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Rozen-Zvi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Reduction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exposure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trough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level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better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survival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transplantation.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J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2019;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75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951-958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30762079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10.1007/s00228-019-02643-y]</w:t>
      </w:r>
    </w:p>
    <w:p w14:paraId="6AE521CA" w14:textId="3401D861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53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Rodrigo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E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Segundo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Fernández-Fresnedo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López-Hoyos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Benito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Ruiz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Cos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Arias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Within-Patient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Blood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Levels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Predicts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Loss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Donor-Specific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Antibody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Development.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Transplantation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2016;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100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2479-2485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26703349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10.1097/TP.0000000000001040]</w:t>
      </w:r>
    </w:p>
    <w:p w14:paraId="734E20F1" w14:textId="6E9CB4C2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54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Mo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H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SY,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Ahn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SK,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Lee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Ahn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Y,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Association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Intrapatient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Concentration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Early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Deterioration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Chronic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Histologic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Lesions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Transplantation.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Transplant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Direct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2019;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5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e455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31321291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10.1097/TXD.0000000000000899]</w:t>
      </w:r>
    </w:p>
    <w:p w14:paraId="1752A062" w14:textId="5EBBD04A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lastRenderedPageBreak/>
        <w:t>55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Süsal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C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Döhler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Late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intra-patient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trough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level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major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problem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transplantation: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Collaborative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Study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Report.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Am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J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2019;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19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2805-2813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30859672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10.1111/ajt.15346]</w:t>
      </w:r>
    </w:p>
    <w:p w14:paraId="57DF998E" w14:textId="38C27E04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156C07">
        <w:rPr>
          <w:rFonts w:ascii="Book Antiqua" w:eastAsia="Book Antiqua" w:hAnsi="Book Antiqua" w:cs="Book Antiqua"/>
        </w:rPr>
        <w:t>56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Vanhove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T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Vermeulen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Annaert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Lerut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Kuypers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DRJ.</w:t>
      </w:r>
      <w:proofErr w:type="gram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High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Intrapatient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Concentrations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Predicts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Accelerated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Progression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Chronic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Histologic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Lesions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Renal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Recipients.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Am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J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2016;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16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2954-2963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27013142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10.1111/ajt.13803]</w:t>
      </w:r>
    </w:p>
    <w:p w14:paraId="3812C124" w14:textId="783D73CD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57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Seibert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SR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Schladt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DP,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Wu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Guan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Dorr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Remmel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RP,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Matas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Mannon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RB,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Israni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AK,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Oetting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Jacobson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PA.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trough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intra-patient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CYP3A5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genotype: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Effects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acute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rejection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failure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European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American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African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American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recipients.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2018;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32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e13424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30318646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10.1111/ctr.13424]</w:t>
      </w:r>
    </w:p>
    <w:p w14:paraId="428852C7" w14:textId="4175D18D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58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Stefanović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NZ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Veličković-Radovanović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Danković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Mitić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BP,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Paunović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Cvetković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MB,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Cvetković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TP.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Combined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Effect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Inter-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Intrapatient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Exposure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Impairment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Within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3-Year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Period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Following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Transplantation: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Single-Center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Experience.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J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Drug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Pharmacokinet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2020;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45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749-760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32886348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10.1007/s13318-020-00644-2]</w:t>
      </w:r>
    </w:p>
    <w:p w14:paraId="02DC67D3" w14:textId="4A5BCD61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59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Stefanović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N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Veličković-Radovanović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Danković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Pavlović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Catić-Đorđević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Bašić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Despotović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Jevtović-Stoimenov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Mitić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Cvetković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Effect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Interrelation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between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CYP3A5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Genotype,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Concentration/Dose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Ratio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Intrapatient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Function: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Monte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Carlo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Simulation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Approach.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Pharmaceutics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2021;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34834385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10.3390/pharmaceutics13111970]</w:t>
      </w:r>
    </w:p>
    <w:p w14:paraId="5C87C0B9" w14:textId="456A72DC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60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Nuchjumroon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A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Vadcharavivad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Singhan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Poosoonthornsri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Chancharoenthana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Udomkarnjananun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Townamchai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Avihingsanon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Y,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Praditpornsilpa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Eiam-Ong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Comparison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Intra-Patient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during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6-12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Months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between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CYP3A5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Expressers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Nonexpressers</w:t>
      </w:r>
      <w:proofErr w:type="spellEnd"/>
      <w:r w:rsidRPr="00156C07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J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Med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2022;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11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36362548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10.3390/jcm11216320]</w:t>
      </w:r>
    </w:p>
    <w:p w14:paraId="5EF96674" w14:textId="600681DE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61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Song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T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Yin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Jiang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Y,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Huang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Z,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Liu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Wang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Z,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Li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Zeng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Y,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Wang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X,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Li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X,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Increasing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Time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Therapeutic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Range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First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Year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Predicts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lastRenderedPageBreak/>
        <w:t>Better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Living-Donor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Transplantation.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Front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Immunol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2019;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10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2912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31921171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10.3389/fimmu.2019.02912]</w:t>
      </w:r>
    </w:p>
    <w:p w14:paraId="20DC5A8B" w14:textId="513D93AC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62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Sablik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KA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Clahsen</w:t>
      </w:r>
      <w:proofErr w:type="spellEnd"/>
      <w:r w:rsidRPr="00156C07">
        <w:rPr>
          <w:rFonts w:ascii="Book Antiqua" w:eastAsia="Book Antiqua" w:hAnsi="Book Antiqua" w:cs="Book Antiqua"/>
        </w:rPr>
        <w:t>-van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Groningen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Hesselink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Gelder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Betjes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MGH.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intra-patient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not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chronic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active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antibody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mediated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rejection.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One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2018;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13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e0196552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29746495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10.1371/journal.pone.0196552]</w:t>
      </w:r>
    </w:p>
    <w:p w14:paraId="408A3746" w14:textId="12DAA218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63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Park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Y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Lee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Eum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SH,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HD,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156C07">
        <w:rPr>
          <w:rFonts w:ascii="Book Antiqua" w:eastAsia="Book Antiqua" w:hAnsi="Book Antiqua" w:cs="Book Antiqua"/>
        </w:rPr>
        <w:t>Ko</w:t>
      </w:r>
      <w:proofErr w:type="spellEnd"/>
      <w:proofErr w:type="gram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Yang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CW,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Chung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BH.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Intrapatient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Trough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Levels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Over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Years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Affects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Long-Term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Allograft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Transplantation.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Front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Immunol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2021;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12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746013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34659243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10.3389/fimmu.2021.746013]</w:t>
      </w:r>
    </w:p>
    <w:p w14:paraId="11775BCA" w14:textId="6276A998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64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Yin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S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Wang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X,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Huang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Z,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Y,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Song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score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outperforms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coefficient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predicting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clinical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living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transplantation.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Br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J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2022;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88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75-83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33899267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10.1111/bcp.14876]</w:t>
      </w:r>
    </w:p>
    <w:p w14:paraId="2B090251" w14:textId="093CFE38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65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Kim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EJ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Huh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KH,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SI,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YS,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Lee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Clinical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significance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intra-patient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outcomes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according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pre-transplant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immunological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risk.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Sci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Rep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2021;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11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12114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34108576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10.1038/s41598-021-91630-4]</w:t>
      </w:r>
    </w:p>
    <w:p w14:paraId="13AA9E2B" w14:textId="10A1810F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66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Gold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A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Tönshoff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Döhler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Süsal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Association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survival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exposure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late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intra-patient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pediatric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young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adult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renal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recipients-an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international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registry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analysis.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Int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2020;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33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1681-1692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32881096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10.1111/tri.13726]</w:t>
      </w:r>
    </w:p>
    <w:p w14:paraId="138288B4" w14:textId="77DE6C1C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67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Baghai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Arassi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M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Gauche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Schmidt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Höcker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Rieger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Süsal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Tönshoff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Fichtner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Association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intraindividual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="005F0284" w:rsidRPr="00CF58AE">
        <w:rPr>
          <w:rFonts w:ascii="Book Antiqua" w:eastAsia="Book Antiqua" w:hAnsi="Book Antiqua" w:cs="Book Antiqua"/>
          <w:i/>
          <w:iCs/>
        </w:rPr>
        <w:t>de novo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donor-specific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HLA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antibody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development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allograft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rejection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pediatric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recipients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low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immunological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risk.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Nephrol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2022;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37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2503-2514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35166920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10.1007/s00467-022-05426-3]</w:t>
      </w:r>
    </w:p>
    <w:p w14:paraId="11C313E5" w14:textId="5F8DCCEA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gramStart"/>
      <w:r w:rsidRPr="00156C07">
        <w:rPr>
          <w:rFonts w:ascii="Book Antiqua" w:eastAsia="Book Antiqua" w:hAnsi="Book Antiqua" w:cs="Book Antiqua"/>
        </w:rPr>
        <w:t>68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Pizzo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HP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Ettenger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RB,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Gjertson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DW,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EF,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Zhang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Gritsch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Tsai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EW.</w:t>
      </w:r>
      <w:proofErr w:type="gramEnd"/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Sirolimus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coefficient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associated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rejection,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donor-</w:t>
      </w:r>
      <w:r w:rsidRPr="00156C07">
        <w:rPr>
          <w:rFonts w:ascii="Book Antiqua" w:eastAsia="Book Antiqua" w:hAnsi="Book Antiqua" w:cs="Book Antiqua"/>
        </w:rPr>
        <w:lastRenderedPageBreak/>
        <w:t>specific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antibodies,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nonadherence</w:t>
      </w:r>
      <w:proofErr w:type="spellEnd"/>
      <w:r w:rsidRPr="00156C07">
        <w:rPr>
          <w:rFonts w:ascii="Book Antiqua" w:eastAsia="Book Antiqua" w:hAnsi="Book Antiqua" w:cs="Book Antiqua"/>
        </w:rPr>
        <w:t>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Nephrol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2016;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31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2345-2352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27286686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10.1007/s00467-016-3422-5]</w:t>
      </w:r>
    </w:p>
    <w:p w14:paraId="03DEFC01" w14:textId="5A985D9E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69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b/>
          <w:bCs/>
        </w:rPr>
        <w:t>Torabi</w:t>
      </w:r>
      <w:proofErr w:type="spellEnd"/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J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Konicki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Rocca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JP,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Ajaimy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Campbell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Azzi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Y,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Pynadath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Liriano</w:t>
      </w:r>
      <w:proofErr w:type="spellEnd"/>
      <w:r w:rsidRPr="00156C07">
        <w:rPr>
          <w:rFonts w:ascii="Book Antiqua" w:eastAsia="Book Antiqua" w:hAnsi="Book Antiqua" w:cs="Book Antiqua"/>
        </w:rPr>
        <w:t>-Ward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Akalin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Kinkhabwala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Graham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JA.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use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LCP-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(</w:t>
      </w:r>
      <w:proofErr w:type="spellStart"/>
      <w:r w:rsidRPr="00156C07">
        <w:rPr>
          <w:rFonts w:ascii="Book Antiqua" w:eastAsia="Book Antiqua" w:hAnsi="Book Antiqua" w:cs="Book Antiqua"/>
        </w:rPr>
        <w:t>Envarsus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XR)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simultaneous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pancreas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kidney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(SPK)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recipients.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Am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J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  <w:i/>
          <w:iCs/>
        </w:rPr>
        <w:t>Surg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2020;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219</w:t>
      </w:r>
      <w:r w:rsidRPr="00156C07">
        <w:rPr>
          <w:rFonts w:ascii="Book Antiqua" w:eastAsia="Book Antiqua" w:hAnsi="Book Antiqua" w:cs="Book Antiqua"/>
        </w:rPr>
        <w:t>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583-586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32122660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10.1016/j.amjsurg.2020.02.027]</w:t>
      </w:r>
    </w:p>
    <w:p w14:paraId="1C76749A" w14:textId="1025A49A" w:rsidR="00156C07" w:rsidRPr="00156C07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56C07">
        <w:rPr>
          <w:rFonts w:ascii="Book Antiqua" w:eastAsia="Book Antiqua" w:hAnsi="Book Antiqua" w:cs="Book Antiqua"/>
        </w:rPr>
        <w:t>70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Marco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DN</w:t>
      </w:r>
      <w:r w:rsidRPr="00156C07">
        <w:rPr>
          <w:rFonts w:ascii="Book Antiqua" w:eastAsia="Book Antiqua" w:hAnsi="Book Antiqua" w:cs="Book Antiqua"/>
        </w:rPr>
        <w:t>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Salas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MQ,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Gutiérrez-</w:t>
      </w:r>
      <w:proofErr w:type="spellStart"/>
      <w:r w:rsidRPr="00156C07">
        <w:rPr>
          <w:rFonts w:ascii="Book Antiqua" w:eastAsia="Book Antiqua" w:hAnsi="Book Antiqua" w:cs="Book Antiqua"/>
        </w:rPr>
        <w:t>García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Monge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Riu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Carcelero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Roma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JR,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Llobet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Arcarons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J,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Suárez-Lledó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Martínez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N,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Pedraza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Domenech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Rosiñol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L,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Fernández-Avilés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F,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Urbano-Ispízua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Á,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Rovira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Brunet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M,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Martínez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Impact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Early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Intrapatient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Variability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156C07">
        <w:rPr>
          <w:rFonts w:ascii="Book Antiqua" w:eastAsia="Book Antiqua" w:hAnsi="Book Antiqua" w:cs="Book Antiqua"/>
        </w:rPr>
        <w:t>Tacrolimus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Concentrations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Risk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Graft-Versus-Host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Disease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after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Allogeneic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Stem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Cell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Transplantation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Using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High-Dose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Post-Transplant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Cyclophosphamide.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Pharmaceuticals</w:t>
      </w:r>
      <w:r w:rsidR="008A3BB0" w:rsidRPr="00CF58AE">
        <w:rPr>
          <w:rFonts w:ascii="Book Antiqua" w:eastAsia="Book Antiqua" w:hAnsi="Book Antiqua" w:cs="Book Antiqua"/>
          <w:i/>
          <w:iCs/>
        </w:rPr>
        <w:t xml:space="preserve"> </w:t>
      </w:r>
      <w:r w:rsidRPr="00156C07">
        <w:rPr>
          <w:rFonts w:ascii="Book Antiqua" w:eastAsia="Book Antiqua" w:hAnsi="Book Antiqua" w:cs="Book Antiqua"/>
          <w:i/>
          <w:iCs/>
        </w:rPr>
        <w:t>(Basel)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2022;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  <w:b/>
          <w:bCs/>
        </w:rPr>
        <w:t>15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[PMID: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36558980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DOI: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156C07">
        <w:rPr>
          <w:rFonts w:ascii="Book Antiqua" w:eastAsia="Book Antiqua" w:hAnsi="Book Antiqua" w:cs="Book Antiqua"/>
        </w:rPr>
        <w:t>10.3390/ph15121529]</w:t>
      </w:r>
    </w:p>
    <w:p w14:paraId="13452856" w14:textId="77777777" w:rsidR="00156C07" w:rsidRPr="00CF58AE" w:rsidRDefault="00156C07" w:rsidP="005A21CA">
      <w:pPr>
        <w:spacing w:line="360" w:lineRule="auto"/>
        <w:jc w:val="both"/>
        <w:rPr>
          <w:rFonts w:ascii="Book Antiqua" w:eastAsia="Book Antiqua" w:hAnsi="Book Antiqua" w:cs="Book Antiqua"/>
          <w:b/>
        </w:rPr>
        <w:sectPr w:rsidR="00156C07" w:rsidRPr="00CF58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A80736" w14:textId="77777777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</w:rPr>
        <w:lastRenderedPageBreak/>
        <w:t>Footnotes</w:t>
      </w:r>
    </w:p>
    <w:p w14:paraId="01295DD1" w14:textId="6B91EA82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  <w:bCs/>
        </w:rPr>
        <w:t>Conflict-of-interest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CF58AE">
        <w:rPr>
          <w:rFonts w:ascii="Book Antiqua" w:eastAsia="Book Antiqua" w:hAnsi="Book Antiqua" w:cs="Book Antiqua"/>
          <w:b/>
          <w:bCs/>
        </w:rPr>
        <w:t>statement: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CF58AE">
        <w:rPr>
          <w:rFonts w:ascii="Book Antiqua" w:eastAsia="Book Antiqua" w:hAnsi="Book Antiqua" w:cs="Book Antiqua"/>
        </w:rPr>
        <w:t>Authors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declare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conflict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of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interests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article.</w:t>
      </w:r>
    </w:p>
    <w:p w14:paraId="2B00BB12" w14:textId="77777777" w:rsidR="00A77B3E" w:rsidRPr="00CF58AE" w:rsidRDefault="00A77B3E" w:rsidP="005A21CA">
      <w:pPr>
        <w:spacing w:line="360" w:lineRule="auto"/>
        <w:jc w:val="both"/>
        <w:rPr>
          <w:rFonts w:ascii="Book Antiqua" w:hAnsi="Book Antiqua"/>
        </w:rPr>
      </w:pPr>
    </w:p>
    <w:p w14:paraId="56157875" w14:textId="533F3EFC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  <w:bCs/>
        </w:rPr>
        <w:t>Open-Access:</w:t>
      </w:r>
      <w:r w:rsidR="008A3BB0" w:rsidRPr="00CF58AE">
        <w:rPr>
          <w:rFonts w:ascii="Book Antiqua" w:eastAsia="Book Antiqua" w:hAnsi="Book Antiqua" w:cs="Book Antiqua"/>
          <w:b/>
          <w:bCs/>
        </w:rPr>
        <w:t xml:space="preserve"> </w:t>
      </w:r>
      <w:r w:rsidRPr="00CF58AE">
        <w:rPr>
          <w:rFonts w:ascii="Book Antiqua" w:eastAsia="Book Antiqua" w:hAnsi="Book Antiqua" w:cs="Book Antiqua"/>
        </w:rPr>
        <w:t>This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article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open-access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article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that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was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selected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in-house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editor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fully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peer-reviewed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external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reviewers.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distributed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accordance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with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Creative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Commons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Attribution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spellStart"/>
      <w:r w:rsidRPr="00CF58AE">
        <w:rPr>
          <w:rFonts w:ascii="Book Antiqua" w:eastAsia="Book Antiqua" w:hAnsi="Book Antiqua" w:cs="Book Antiqua"/>
        </w:rPr>
        <w:t>NonCommercial</w:t>
      </w:r>
      <w:proofErr w:type="spell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(CC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BY-NC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4.0)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license,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which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permits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others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to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distribute,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remix,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adapt,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build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upon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work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non-commercially,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license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their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derivative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works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on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different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terms,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provided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original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work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properly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cited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and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the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use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is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non-commercial.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See: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https://creativecommons.org/Licenses/by-nc/4.0/</w:t>
      </w:r>
    </w:p>
    <w:p w14:paraId="10BAFA75" w14:textId="77777777" w:rsidR="00A77B3E" w:rsidRPr="00CF58AE" w:rsidRDefault="00A77B3E" w:rsidP="005A21CA">
      <w:pPr>
        <w:spacing w:line="360" w:lineRule="auto"/>
        <w:jc w:val="both"/>
        <w:rPr>
          <w:rFonts w:ascii="Book Antiqua" w:hAnsi="Book Antiqua"/>
        </w:rPr>
      </w:pPr>
    </w:p>
    <w:p w14:paraId="7027237B" w14:textId="702FA1A7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</w:rPr>
        <w:t>Provenance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and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peer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review: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</w:rPr>
        <w:t>Invited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article;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Externally</w:t>
      </w:r>
      <w:proofErr w:type="gram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peer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reviewed.</w:t>
      </w:r>
    </w:p>
    <w:p w14:paraId="288922BE" w14:textId="70EB9D6A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</w:rPr>
        <w:t>Peer-review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model: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</w:rPr>
        <w:t>Single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blind</w:t>
      </w:r>
    </w:p>
    <w:p w14:paraId="30068CA5" w14:textId="77777777" w:rsidR="00A77B3E" w:rsidRPr="00CF58AE" w:rsidRDefault="00A77B3E" w:rsidP="005A21CA">
      <w:pPr>
        <w:spacing w:line="360" w:lineRule="auto"/>
        <w:jc w:val="both"/>
        <w:rPr>
          <w:rFonts w:ascii="Book Antiqua" w:hAnsi="Book Antiqua"/>
        </w:rPr>
      </w:pPr>
    </w:p>
    <w:p w14:paraId="064E6392" w14:textId="15B16192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</w:rPr>
        <w:t>Peer-review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started: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</w:rPr>
        <w:t>June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28,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2023</w:t>
      </w:r>
    </w:p>
    <w:p w14:paraId="084E9269" w14:textId="2CF68E8C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</w:rPr>
        <w:t>First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decision: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</w:rPr>
        <w:t>July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19,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2023</w:t>
      </w:r>
    </w:p>
    <w:p w14:paraId="49538CBA" w14:textId="7B873204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</w:rPr>
        <w:t>Article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in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press:</w:t>
      </w:r>
      <w:r w:rsidR="008756DA">
        <w:rPr>
          <w:rFonts w:ascii="Book Antiqua" w:hAnsi="Book Antiqua" w:cs="Book Antiqua" w:hint="eastAsia"/>
          <w:b/>
          <w:lang w:eastAsia="zh-CN"/>
        </w:rPr>
        <w:t xml:space="preserve"> </w:t>
      </w:r>
      <w:r w:rsidR="008756DA" w:rsidRPr="00CF46F7">
        <w:rPr>
          <w:rFonts w:ascii="Book Antiqua" w:eastAsia="Book Antiqua" w:hAnsi="Book Antiqua" w:cs="Book Antiqua"/>
        </w:rPr>
        <w:t>August 11, 2023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</w:p>
    <w:p w14:paraId="254A9975" w14:textId="77777777" w:rsidR="00A77B3E" w:rsidRPr="00CF58AE" w:rsidRDefault="00A77B3E" w:rsidP="005A21CA">
      <w:pPr>
        <w:spacing w:line="360" w:lineRule="auto"/>
        <w:jc w:val="both"/>
        <w:rPr>
          <w:rFonts w:ascii="Book Antiqua" w:hAnsi="Book Antiqua"/>
        </w:rPr>
      </w:pPr>
    </w:p>
    <w:p w14:paraId="39EDE7D5" w14:textId="22EF3152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</w:rPr>
        <w:t>Specialty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type: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</w:rPr>
        <w:t>Transplantation</w:t>
      </w:r>
    </w:p>
    <w:p w14:paraId="76E3B768" w14:textId="16F9485F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</w:rPr>
        <w:t>Country/Territory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of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origin: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</w:rPr>
        <w:t>Brazil</w:t>
      </w:r>
    </w:p>
    <w:p w14:paraId="1900199A" w14:textId="3F9EDBDB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  <w:b/>
        </w:rPr>
        <w:t>Peer-review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report’s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scientific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quality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classification</w:t>
      </w:r>
    </w:p>
    <w:p w14:paraId="33E2F67F" w14:textId="62C8A148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t>Grade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proofErr w:type="gramStart"/>
      <w:r w:rsidRPr="00CF58AE">
        <w:rPr>
          <w:rFonts w:ascii="Book Antiqua" w:eastAsia="Book Antiqua" w:hAnsi="Book Antiqua" w:cs="Book Antiqua"/>
        </w:rPr>
        <w:t>A</w:t>
      </w:r>
      <w:proofErr w:type="gramEnd"/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(Excellent):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0</w:t>
      </w:r>
    </w:p>
    <w:p w14:paraId="25173FE7" w14:textId="02A9D2C3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t>Grade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B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(Very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good):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0</w:t>
      </w:r>
    </w:p>
    <w:p w14:paraId="07FB4BA0" w14:textId="0148A830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t>Grade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(Good):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C</w:t>
      </w:r>
    </w:p>
    <w:p w14:paraId="4E90F046" w14:textId="7CB74202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t>Grade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(Fair):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D</w:t>
      </w:r>
    </w:p>
    <w:p w14:paraId="295E7B48" w14:textId="01E1DE87" w:rsidR="00A77B3E" w:rsidRPr="00CF58AE" w:rsidRDefault="00C35F7B" w:rsidP="005A21CA">
      <w:pPr>
        <w:spacing w:line="360" w:lineRule="auto"/>
        <w:jc w:val="both"/>
        <w:rPr>
          <w:rFonts w:ascii="Book Antiqua" w:hAnsi="Book Antiqua"/>
        </w:rPr>
      </w:pPr>
      <w:r w:rsidRPr="00CF58AE">
        <w:rPr>
          <w:rFonts w:ascii="Book Antiqua" w:eastAsia="Book Antiqua" w:hAnsi="Book Antiqua" w:cs="Book Antiqua"/>
        </w:rPr>
        <w:t>Grade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E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(Poor):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0</w:t>
      </w:r>
    </w:p>
    <w:p w14:paraId="28AC486F" w14:textId="77777777" w:rsidR="00A77B3E" w:rsidRPr="00CF58AE" w:rsidRDefault="00A77B3E" w:rsidP="005A21CA">
      <w:pPr>
        <w:spacing w:line="360" w:lineRule="auto"/>
        <w:jc w:val="both"/>
        <w:rPr>
          <w:rFonts w:ascii="Book Antiqua" w:hAnsi="Book Antiqua"/>
        </w:rPr>
      </w:pPr>
    </w:p>
    <w:p w14:paraId="27BC6CEF" w14:textId="5AD35F2F" w:rsidR="00105B5B" w:rsidRDefault="00C35F7B" w:rsidP="005A21CA">
      <w:pPr>
        <w:spacing w:line="360" w:lineRule="auto"/>
        <w:jc w:val="both"/>
        <w:rPr>
          <w:rFonts w:ascii="Book Antiqua" w:eastAsia="宋体" w:hAnsi="Book Antiqua" w:cs="宋体" w:hint="eastAsia"/>
          <w:bCs/>
          <w:lang w:eastAsia="zh-CN"/>
        </w:rPr>
      </w:pPr>
      <w:r w:rsidRPr="00CF58AE">
        <w:rPr>
          <w:rFonts w:ascii="Book Antiqua" w:eastAsia="Book Antiqua" w:hAnsi="Book Antiqua" w:cs="Book Antiqua"/>
          <w:b/>
        </w:rPr>
        <w:t>P-Reviewer: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</w:rPr>
        <w:t>Ali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A,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Iraq;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Tanaka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H,</w:t>
      </w:r>
      <w:r w:rsidR="008A3BB0" w:rsidRPr="00CF58AE">
        <w:rPr>
          <w:rFonts w:ascii="Book Antiqua" w:eastAsia="Book Antiqua" w:hAnsi="Book Antiqua" w:cs="Book Antiqua"/>
        </w:rPr>
        <w:t xml:space="preserve"> </w:t>
      </w:r>
      <w:r w:rsidRPr="00CF58AE">
        <w:rPr>
          <w:rFonts w:ascii="Book Antiqua" w:eastAsia="Book Antiqua" w:hAnsi="Book Antiqua" w:cs="Book Antiqua"/>
        </w:rPr>
        <w:t>Japan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S-Editor: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="00B47BED" w:rsidRPr="00CF58AE">
        <w:rPr>
          <w:rFonts w:ascii="Book Antiqua" w:eastAsia="Book Antiqua" w:hAnsi="Book Antiqua" w:cs="Book Antiqua"/>
          <w:bCs/>
        </w:rPr>
        <w:t>C</w:t>
      </w:r>
      <w:r w:rsidR="00B47BED" w:rsidRPr="00CF58AE">
        <w:rPr>
          <w:rFonts w:ascii="Book Antiqua" w:eastAsia="宋体" w:hAnsi="Book Antiqua" w:cs="宋体"/>
          <w:bCs/>
          <w:lang w:eastAsia="zh-CN"/>
        </w:rPr>
        <w:t>hen</w:t>
      </w:r>
      <w:r w:rsidR="008A3BB0" w:rsidRPr="00CF58AE">
        <w:rPr>
          <w:rFonts w:ascii="Book Antiqua" w:eastAsia="宋体" w:hAnsi="Book Antiqua" w:cs="宋体"/>
          <w:bCs/>
          <w:lang w:eastAsia="zh-CN"/>
        </w:rPr>
        <w:t xml:space="preserve"> </w:t>
      </w:r>
      <w:r w:rsidR="00B47BED" w:rsidRPr="00CF58AE">
        <w:rPr>
          <w:rFonts w:ascii="Book Antiqua" w:eastAsia="宋体" w:hAnsi="Book Antiqua" w:cs="宋体"/>
          <w:bCs/>
          <w:lang w:eastAsia="zh-CN"/>
        </w:rPr>
        <w:t>YL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L-Editor: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="00B47BED" w:rsidRPr="00CF58AE">
        <w:rPr>
          <w:rFonts w:ascii="Book Antiqua" w:eastAsia="Book Antiqua" w:hAnsi="Book Antiqua" w:cs="Book Antiqua"/>
          <w:bCs/>
        </w:rPr>
        <w:t>A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Pr="00CF58AE">
        <w:rPr>
          <w:rFonts w:ascii="Book Antiqua" w:eastAsia="Book Antiqua" w:hAnsi="Book Antiqua" w:cs="Book Antiqua"/>
          <w:b/>
        </w:rPr>
        <w:t>P-Editor:</w:t>
      </w:r>
      <w:r w:rsidR="008A3BB0" w:rsidRPr="00CF58AE">
        <w:rPr>
          <w:rFonts w:ascii="Book Antiqua" w:eastAsia="Book Antiqua" w:hAnsi="Book Antiqua" w:cs="Book Antiqua"/>
          <w:b/>
        </w:rPr>
        <w:t xml:space="preserve"> </w:t>
      </w:r>
      <w:r w:rsidR="0078025F">
        <w:rPr>
          <w:rFonts w:ascii="Book Antiqua" w:eastAsia="Book Antiqua" w:hAnsi="Book Antiqua" w:cs="Book Antiqua"/>
          <w:b/>
        </w:rPr>
        <w:t xml:space="preserve"> </w:t>
      </w:r>
      <w:r w:rsidR="0078025F" w:rsidRPr="00CF58AE">
        <w:rPr>
          <w:rFonts w:ascii="Book Antiqua" w:eastAsia="Book Antiqua" w:hAnsi="Book Antiqua" w:cs="Book Antiqua"/>
          <w:bCs/>
        </w:rPr>
        <w:t>C</w:t>
      </w:r>
      <w:r w:rsidR="0078025F" w:rsidRPr="00CF58AE">
        <w:rPr>
          <w:rFonts w:ascii="Book Antiqua" w:eastAsia="宋体" w:hAnsi="Book Antiqua" w:cs="宋体"/>
          <w:bCs/>
          <w:lang w:eastAsia="zh-CN"/>
        </w:rPr>
        <w:t>hen YL</w:t>
      </w:r>
    </w:p>
    <w:p w14:paraId="4AB0C879" w14:textId="77777777" w:rsidR="00FD71F0" w:rsidRPr="00CF58AE" w:rsidRDefault="00FD71F0" w:rsidP="005A21CA">
      <w:pPr>
        <w:spacing w:line="360" w:lineRule="auto"/>
        <w:jc w:val="both"/>
        <w:rPr>
          <w:rFonts w:ascii="Book Antiqua" w:eastAsia="Book Antiqua" w:hAnsi="Book Antiqua" w:cs="Book Antiqua"/>
          <w:b/>
        </w:rPr>
        <w:sectPr w:rsidR="00FD71F0" w:rsidRPr="00CF58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0DACD5" w14:textId="0D41D820" w:rsidR="00105B5B" w:rsidRPr="00CF58AE" w:rsidRDefault="00105B5B" w:rsidP="005A21CA">
      <w:pPr>
        <w:pStyle w:val="a5"/>
        <w:spacing w:before="0" w:line="360" w:lineRule="auto"/>
        <w:ind w:left="0" w:right="116"/>
        <w:rPr>
          <w:rFonts w:ascii="Book Antiqua" w:hAnsi="Book Antiqua"/>
          <w:b/>
          <w:bCs/>
        </w:rPr>
      </w:pPr>
      <w:r w:rsidRPr="00CF58AE">
        <w:rPr>
          <w:rFonts w:ascii="Book Antiqua" w:hAnsi="Book Antiqua"/>
          <w:b/>
          <w:bCs/>
          <w:w w:val="105"/>
        </w:rPr>
        <w:lastRenderedPageBreak/>
        <w:t>Table</w:t>
      </w:r>
      <w:r w:rsidR="008A3BB0" w:rsidRPr="00CF58AE">
        <w:rPr>
          <w:rFonts w:ascii="Book Antiqua" w:hAnsi="Book Antiqua"/>
          <w:b/>
          <w:bCs/>
          <w:w w:val="105"/>
        </w:rPr>
        <w:t xml:space="preserve"> </w:t>
      </w:r>
      <w:r w:rsidRPr="00CF58AE">
        <w:rPr>
          <w:rFonts w:ascii="Book Antiqua" w:hAnsi="Book Antiqua"/>
          <w:b/>
          <w:bCs/>
          <w:w w:val="105"/>
        </w:rPr>
        <w:t>1</w:t>
      </w:r>
      <w:r w:rsidR="008A3BB0" w:rsidRPr="00CF58AE">
        <w:rPr>
          <w:rFonts w:ascii="Book Antiqua" w:hAnsi="Book Antiqua"/>
          <w:b/>
          <w:bCs/>
          <w:w w:val="105"/>
        </w:rPr>
        <w:t xml:space="preserve"> </w:t>
      </w:r>
      <w:proofErr w:type="spellStart"/>
      <w:r w:rsidRPr="00CF58AE">
        <w:rPr>
          <w:rFonts w:ascii="Book Antiqua" w:hAnsi="Book Antiqua"/>
          <w:b/>
          <w:bCs/>
        </w:rPr>
        <w:t>Tacrolimus</w:t>
      </w:r>
      <w:proofErr w:type="spellEnd"/>
      <w:r w:rsidR="008A3BB0" w:rsidRPr="00CF58AE">
        <w:rPr>
          <w:rFonts w:ascii="Book Antiqua" w:hAnsi="Book Antiqua"/>
          <w:b/>
          <w:bCs/>
          <w:spacing w:val="-6"/>
        </w:rPr>
        <w:t xml:space="preserve"> </w:t>
      </w:r>
      <w:r w:rsidRPr="00CF58AE">
        <w:rPr>
          <w:rFonts w:ascii="Book Antiqua" w:hAnsi="Book Antiqua"/>
          <w:b/>
          <w:bCs/>
        </w:rPr>
        <w:t>intra-patient</w:t>
      </w:r>
      <w:r w:rsidR="008A3BB0" w:rsidRPr="00CF58AE">
        <w:rPr>
          <w:rFonts w:ascii="Book Antiqua" w:hAnsi="Book Antiqua"/>
          <w:b/>
          <w:bCs/>
          <w:spacing w:val="-4"/>
        </w:rPr>
        <w:t xml:space="preserve"> </w:t>
      </w:r>
      <w:r w:rsidRPr="00CF58AE">
        <w:rPr>
          <w:rFonts w:ascii="Book Antiqua" w:hAnsi="Book Antiqua"/>
          <w:b/>
          <w:bCs/>
        </w:rPr>
        <w:t>variability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in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heart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transplantation: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="00500C31" w:rsidRPr="00CF58AE">
        <w:rPr>
          <w:rFonts w:ascii="Book Antiqua" w:hAnsi="Book Antiqua"/>
          <w:b/>
          <w:bCs/>
        </w:rPr>
        <w:t>M</w:t>
      </w:r>
      <w:r w:rsidRPr="00CF58AE">
        <w:rPr>
          <w:rFonts w:ascii="Book Antiqua" w:hAnsi="Book Antiqua"/>
          <w:b/>
          <w:bCs/>
        </w:rPr>
        <w:t>ain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findings</w:t>
      </w:r>
    </w:p>
    <w:tbl>
      <w:tblPr>
        <w:tblStyle w:val="a9"/>
        <w:tblW w:w="5000" w:type="pct"/>
        <w:tblLook w:val="01E0" w:firstRow="1" w:lastRow="1" w:firstColumn="1" w:lastColumn="1" w:noHBand="0" w:noVBand="0"/>
      </w:tblPr>
      <w:tblGrid>
        <w:gridCol w:w="1873"/>
        <w:gridCol w:w="1898"/>
        <w:gridCol w:w="1883"/>
        <w:gridCol w:w="1860"/>
        <w:gridCol w:w="2172"/>
      </w:tblGrid>
      <w:tr w:rsidR="00CF58AE" w:rsidRPr="00CF58AE" w14:paraId="5724A582" w14:textId="77777777" w:rsidTr="00084E01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C1EC1" w14:textId="35EF17F0" w:rsidR="00105B5B" w:rsidRPr="00CF58AE" w:rsidRDefault="00105B5B" w:rsidP="005A21CA">
            <w:pPr>
              <w:pStyle w:val="TableParagraph"/>
              <w:spacing w:before="0" w:line="360" w:lineRule="auto"/>
              <w:ind w:left="0" w:right="2077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F58AE">
              <w:rPr>
                <w:rFonts w:ascii="Book Antiqua" w:hAnsi="Book Antiqua"/>
                <w:b/>
                <w:bCs/>
                <w:sz w:val="24"/>
                <w:szCs w:val="24"/>
              </w:rPr>
              <w:t>Heart</w:t>
            </w:r>
            <w:r w:rsidR="008A3BB0" w:rsidRPr="00CF58AE">
              <w:rPr>
                <w:rFonts w:ascii="Book Antiqua" w:hAnsi="Book Antiqua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084E01" w:rsidRPr="00CF58AE">
              <w:rPr>
                <w:rFonts w:ascii="Book Antiqua" w:hAnsi="Book Antiqua"/>
                <w:b/>
                <w:bCs/>
                <w:spacing w:val="-2"/>
                <w:sz w:val="24"/>
                <w:szCs w:val="24"/>
              </w:rPr>
              <w:t>t</w:t>
            </w:r>
            <w:r w:rsidRPr="00CF58AE">
              <w:rPr>
                <w:rFonts w:ascii="Book Antiqua" w:hAnsi="Book Antiqua"/>
                <w:b/>
                <w:bCs/>
                <w:spacing w:val="-2"/>
                <w:sz w:val="24"/>
                <w:szCs w:val="24"/>
              </w:rPr>
              <w:t>ransplantation</w:t>
            </w:r>
          </w:p>
        </w:tc>
      </w:tr>
      <w:tr w:rsidR="00CF58AE" w:rsidRPr="00CF58AE" w14:paraId="27BE7D1C" w14:textId="77777777" w:rsidTr="00084E01">
        <w:trPr>
          <w:trHeight w:val="505"/>
        </w:trPr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E4C70" w14:textId="71F3E2F9" w:rsidR="00105B5B" w:rsidRPr="00CF58AE" w:rsidRDefault="00084E01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F58AE">
              <w:rPr>
                <w:rFonts w:ascii="Book Antiqua" w:hAnsi="Book Antiqua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720DB" w14:textId="3F7E45FC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F58AE">
              <w:rPr>
                <w:rFonts w:ascii="Book Antiqua" w:hAnsi="Book Antiqua"/>
                <w:b/>
                <w:bCs/>
                <w:sz w:val="24"/>
                <w:szCs w:val="24"/>
              </w:rPr>
              <w:t>Sample</w:t>
            </w:r>
            <w:r w:rsidR="008A3BB0" w:rsidRPr="00CF58AE">
              <w:rPr>
                <w:rFonts w:ascii="Book Antiqua" w:hAnsi="Book Antiqu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b/>
                <w:bCs/>
                <w:spacing w:val="-4"/>
                <w:sz w:val="24"/>
                <w:szCs w:val="24"/>
              </w:rPr>
              <w:t>size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445EE" w14:textId="0C860D4A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F58AE">
              <w:rPr>
                <w:rFonts w:ascii="Book Antiqua" w:hAnsi="Book Antiqua"/>
                <w:b/>
                <w:bCs/>
                <w:sz w:val="24"/>
                <w:szCs w:val="24"/>
              </w:rPr>
              <w:t>Donor</w:t>
            </w:r>
            <w:r w:rsidR="008A3BB0" w:rsidRPr="00CF58AE">
              <w:rPr>
                <w:rFonts w:ascii="Book Antiqua" w:hAnsi="Book Antiqu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b/>
                <w:bCs/>
                <w:spacing w:val="-4"/>
                <w:sz w:val="24"/>
                <w:szCs w:val="24"/>
              </w:rPr>
              <w:t>type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3DBF0" w14:textId="7A8012FF" w:rsidR="00105B5B" w:rsidRPr="00CF58AE" w:rsidRDefault="00105B5B" w:rsidP="005A21CA">
            <w:pPr>
              <w:pStyle w:val="TableParagraph"/>
              <w:spacing w:before="0" w:line="360" w:lineRule="auto"/>
              <w:ind w:left="0" w:right="224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CF58AE">
              <w:rPr>
                <w:rFonts w:ascii="Book Antiqua" w:hAnsi="Book Antiqua"/>
                <w:b/>
                <w:bCs/>
                <w:spacing w:val="-3"/>
                <w:sz w:val="24"/>
                <w:szCs w:val="24"/>
              </w:rPr>
              <w:t>Tac</w:t>
            </w:r>
            <w:proofErr w:type="spellEnd"/>
            <w:r w:rsidRPr="00CF58AE">
              <w:rPr>
                <w:rFonts w:ascii="Book Antiqua" w:hAnsi="Book Antiqua"/>
                <w:b/>
                <w:bCs/>
                <w:spacing w:val="-3"/>
                <w:sz w:val="24"/>
                <w:szCs w:val="24"/>
              </w:rPr>
              <w:t>-</w:t>
            </w:r>
            <w:r w:rsidRPr="00CF58AE">
              <w:rPr>
                <w:rFonts w:ascii="Book Antiqua" w:hAnsi="Book Antiqua"/>
                <w:b/>
                <w:bCs/>
                <w:spacing w:val="-5"/>
                <w:sz w:val="24"/>
                <w:szCs w:val="24"/>
              </w:rPr>
              <w:t>IPV</w:t>
            </w:r>
            <w:r w:rsidR="00084E01" w:rsidRPr="00CF58AE">
              <w:rPr>
                <w:rFonts w:ascii="Book Antiqua" w:eastAsiaTheme="minorEastAsia" w:hAnsi="Book Antiqua"/>
                <w:b/>
                <w:bCs/>
                <w:spacing w:val="-5"/>
                <w:sz w:val="24"/>
                <w:szCs w:val="24"/>
                <w:lang w:eastAsia="zh-CN"/>
              </w:rPr>
              <w:t>,</w:t>
            </w:r>
            <w:r w:rsidR="008A3BB0" w:rsidRPr="00CF58AE">
              <w:rPr>
                <w:rFonts w:ascii="Book Antiqua" w:eastAsiaTheme="minorEastAsia" w:hAnsi="Book Antiqua"/>
                <w:b/>
                <w:bCs/>
                <w:spacing w:val="-5"/>
                <w:sz w:val="24"/>
                <w:szCs w:val="24"/>
                <w:lang w:eastAsia="zh-CN"/>
              </w:rPr>
              <w:t xml:space="preserve"> </w:t>
            </w:r>
            <w:r w:rsidR="00084E01" w:rsidRPr="00CF58AE">
              <w:rPr>
                <w:rFonts w:ascii="Book Antiqua" w:hAnsi="Book Antiqua"/>
                <w:b/>
                <w:bCs/>
                <w:spacing w:val="-2"/>
                <w:sz w:val="24"/>
                <w:szCs w:val="24"/>
              </w:rPr>
              <w:t>a</w:t>
            </w:r>
            <w:r w:rsidRPr="00CF58AE">
              <w:rPr>
                <w:rFonts w:ascii="Book Antiqua" w:hAnsi="Book Antiqua"/>
                <w:b/>
                <w:bCs/>
                <w:spacing w:val="-2"/>
                <w:sz w:val="24"/>
                <w:szCs w:val="24"/>
              </w:rPr>
              <w:t>ssessment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985CA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F58AE">
              <w:rPr>
                <w:rFonts w:ascii="Book Antiqua" w:hAnsi="Book Antiqua"/>
                <w:b/>
                <w:bCs/>
                <w:spacing w:val="-2"/>
                <w:sz w:val="24"/>
                <w:szCs w:val="24"/>
              </w:rPr>
              <w:t>Outcome</w:t>
            </w:r>
          </w:p>
        </w:tc>
      </w:tr>
      <w:tr w:rsidR="00CF58AE" w:rsidRPr="00CF58AE" w14:paraId="0D3927DC" w14:textId="77777777" w:rsidTr="00084E01">
        <w:trPr>
          <w:trHeight w:val="1875"/>
        </w:trPr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AE3D3" w14:textId="37FDCE00" w:rsidR="00105B5B" w:rsidRPr="00CF58AE" w:rsidRDefault="003A524D" w:rsidP="005A21CA">
            <w:pPr>
              <w:pStyle w:val="TableParagraph"/>
              <w:spacing w:before="0" w:line="360" w:lineRule="auto"/>
              <w:ind w:left="0" w:right="418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F58AE">
              <w:rPr>
                <w:rFonts w:ascii="Book Antiqua" w:eastAsia="Book Antiqua" w:hAnsi="Book Antiqua" w:cs="Book Antiqua"/>
                <w:sz w:val="24"/>
                <w:szCs w:val="24"/>
              </w:rPr>
              <w:t>Gueta</w:t>
            </w:r>
            <w:proofErr w:type="spellEnd"/>
            <w:r w:rsidR="008A3BB0" w:rsidRPr="00CF58A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 w:rsidR="00FA3733" w:rsidRPr="00CF58AE">
              <w:rPr>
                <w:rFonts w:ascii="Book Antiqua" w:eastAsia="Book Antiqua" w:hAnsi="Book Antiqua" w:cs="Book Antiqua"/>
                <w:i/>
                <w:iCs/>
                <w:sz w:val="24"/>
                <w:szCs w:val="24"/>
              </w:rPr>
              <w:t>et al</w:t>
            </w:r>
            <w:r w:rsidRPr="00CF58AE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[22]</w:t>
            </w:r>
            <w:r w:rsidRPr="00CF58AE">
              <w:rPr>
                <w:rFonts w:ascii="Book Antiqua" w:eastAsia="Book Antiqua" w:hAnsi="Book Antiqua" w:cs="Book Antiqua"/>
                <w:sz w:val="24"/>
                <w:szCs w:val="24"/>
              </w:rPr>
              <w:t>,</w:t>
            </w:r>
            <w:r w:rsidR="008A3BB0" w:rsidRPr="00CF58AE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eastAsia="Book Antiqua" w:hAnsi="Book Antiqua" w:cs="Book Antiqua"/>
                <w:sz w:val="24"/>
                <w:szCs w:val="24"/>
              </w:rPr>
              <w:t>2018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2D797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72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58FB4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 w:right="137"/>
              <w:rPr>
                <w:rFonts w:ascii="Book Antiqua" w:hAnsi="Book Antiqua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Deceased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6A9AE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CV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86861" w14:textId="54691538" w:rsidR="00105B5B" w:rsidRPr="00CF58AE" w:rsidRDefault="00105B5B" w:rsidP="005A21CA">
            <w:pPr>
              <w:pStyle w:val="TableParagraph"/>
              <w:spacing w:before="0" w:line="360" w:lineRule="auto"/>
              <w:ind w:left="0" w:right="351"/>
              <w:rPr>
                <w:rFonts w:ascii="Book Antiqua" w:hAnsi="Book Antiqua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High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trough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level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variability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is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associated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with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higher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rates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graft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rejection,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trough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level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variability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during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the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first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year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is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associated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with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increased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risk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rejection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after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HT</w:t>
            </w:r>
          </w:p>
        </w:tc>
      </w:tr>
      <w:tr w:rsidR="00CF58AE" w:rsidRPr="00CF58AE" w14:paraId="3996268E" w14:textId="77777777" w:rsidTr="00084E01">
        <w:trPr>
          <w:trHeight w:val="164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</w:tcPr>
          <w:p w14:paraId="6E9D5A47" w14:textId="5BACE25B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F58AE">
              <w:rPr>
                <w:rFonts w:ascii="Book Antiqua" w:hAnsi="Book Antiqua" w:cs="Times New Roman"/>
                <w:sz w:val="24"/>
                <w:szCs w:val="24"/>
              </w:rPr>
              <w:t>Shuker</w:t>
            </w:r>
            <w:proofErr w:type="spellEnd"/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FA3733" w:rsidRPr="00CF58AE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et al</w:t>
            </w:r>
            <w:r w:rsidR="00FA3733" w:rsidRPr="00CF58A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[23]</w:t>
            </w:r>
            <w:r w:rsidR="00FA3733" w:rsidRPr="00CF58AE"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="00FA3733" w:rsidRPr="00CF58AE">
              <w:rPr>
                <w:rFonts w:ascii="Book Antiqua" w:eastAsiaTheme="minorEastAsi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2018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259D3A46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86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1BD1593D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 w:right="28"/>
              <w:rPr>
                <w:rFonts w:ascii="Book Antiqua" w:hAnsi="Book Antiqua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Deceased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14:paraId="4959296A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MAD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</w:tcPr>
          <w:p w14:paraId="7C96A072" w14:textId="667CBD7B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A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high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IPV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was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not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associated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with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the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development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progression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cardiac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allograft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CF58AE">
              <w:rPr>
                <w:rFonts w:ascii="Book Antiqua" w:hAnsi="Book Antiqua" w:cs="Times New Roman"/>
                <w:sz w:val="24"/>
                <w:szCs w:val="24"/>
              </w:rPr>
              <w:t>vasculopathy</w:t>
            </w:r>
            <w:proofErr w:type="spellEnd"/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or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development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cellular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rejection</w:t>
            </w:r>
          </w:p>
        </w:tc>
      </w:tr>
      <w:tr w:rsidR="00CF58AE" w:rsidRPr="00CF58AE" w14:paraId="14F56056" w14:textId="77777777" w:rsidTr="00084E01">
        <w:trPr>
          <w:trHeight w:val="164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</w:tcPr>
          <w:p w14:paraId="73F8E7A5" w14:textId="0DE6D252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lastRenderedPageBreak/>
              <w:t>González-</w:t>
            </w:r>
            <w:proofErr w:type="spellStart"/>
            <w:r w:rsidRPr="00CF58AE">
              <w:rPr>
                <w:rFonts w:ascii="Book Antiqua" w:hAnsi="Book Antiqua" w:cs="Times New Roman"/>
                <w:sz w:val="24"/>
                <w:szCs w:val="24"/>
              </w:rPr>
              <w:t>Vílchez</w:t>
            </w:r>
            <w:proofErr w:type="spellEnd"/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FA3733" w:rsidRPr="00CF58AE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et al</w:t>
            </w:r>
            <w:r w:rsidR="00FA3733" w:rsidRPr="00CF58AE">
              <w:rPr>
                <w:rFonts w:ascii="Book Antiqua" w:eastAsiaTheme="minorEastAsia" w:hAnsi="Book Antiqua" w:cs="Times New Roman" w:hint="eastAsia"/>
                <w:sz w:val="24"/>
                <w:szCs w:val="24"/>
                <w:vertAlign w:val="superscript"/>
                <w:lang w:eastAsia="zh-CN"/>
              </w:rPr>
              <w:t>[</w:t>
            </w:r>
            <w:r w:rsidR="00FA3733" w:rsidRPr="00CF58AE">
              <w:rPr>
                <w:rFonts w:ascii="Book Antiqua" w:eastAsiaTheme="minorEastAsia" w:hAnsi="Book Antiqua" w:cs="Times New Roman"/>
                <w:sz w:val="24"/>
                <w:szCs w:val="24"/>
                <w:vertAlign w:val="superscript"/>
                <w:lang w:eastAsia="zh-CN"/>
              </w:rPr>
              <w:t>24]</w:t>
            </w:r>
            <w:r w:rsidR="00FA3733" w:rsidRPr="00CF58AE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,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202</w:t>
            </w:r>
            <w:r w:rsidR="00FA3733" w:rsidRPr="00CF58AE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2EDB92B6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1581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38982E01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 w:right="28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Deceased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14:paraId="4129A6B1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CV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</w:tcPr>
          <w:p w14:paraId="75ECB554" w14:textId="1DEEC8C6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IPV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levels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had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limited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influence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on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mid-term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outcomes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in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heart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transplant,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however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high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IPV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may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predispose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to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rejection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in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initially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stable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patients</w:t>
            </w:r>
          </w:p>
        </w:tc>
      </w:tr>
      <w:tr w:rsidR="00CF58AE" w:rsidRPr="00CF58AE" w14:paraId="7F25C0F8" w14:textId="77777777" w:rsidTr="00084E01">
        <w:trPr>
          <w:trHeight w:val="164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</w:tcPr>
          <w:p w14:paraId="00289584" w14:textId="243444AE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Baker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FA3733" w:rsidRPr="00CF58AE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et al</w:t>
            </w:r>
            <w:r w:rsidR="00FA3733" w:rsidRPr="00CF58A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[25]</w:t>
            </w:r>
            <w:r w:rsidR="00FA3733" w:rsidRPr="00CF58AE"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="00FA3733" w:rsidRPr="00CF58AE">
              <w:rPr>
                <w:rFonts w:ascii="Book Antiqua" w:eastAsiaTheme="minorEastAsi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2019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2FFC8D4B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67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06C553C3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 w:right="28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Deceased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14:paraId="5B2B15B6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TTR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</w:tcPr>
          <w:p w14:paraId="1EECD7F6" w14:textId="24C58155" w:rsidR="00105B5B" w:rsidRPr="00CF58AE" w:rsidRDefault="00084E01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H</w:t>
            </w:r>
            <w:r w:rsidR="00105B5B" w:rsidRPr="00CF58AE">
              <w:rPr>
                <w:rFonts w:ascii="Book Antiqua" w:hAnsi="Book Antiqua" w:cs="Times New Roman"/>
                <w:sz w:val="24"/>
                <w:szCs w:val="24"/>
              </w:rPr>
              <w:t>igher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105B5B" w:rsidRPr="00CF58AE">
              <w:rPr>
                <w:rFonts w:ascii="Book Antiqua" w:hAnsi="Book Antiqua" w:cs="Times New Roman"/>
                <w:sz w:val="24"/>
                <w:szCs w:val="24"/>
              </w:rPr>
              <w:t>TTR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105B5B" w:rsidRPr="00CF58AE">
              <w:rPr>
                <w:rFonts w:ascii="Book Antiqua" w:hAnsi="Book Antiqua" w:cs="Times New Roman"/>
                <w:sz w:val="24"/>
                <w:szCs w:val="24"/>
              </w:rPr>
              <w:t>was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105B5B" w:rsidRPr="00CF58AE">
              <w:rPr>
                <w:rFonts w:ascii="Book Antiqua" w:hAnsi="Book Antiqua" w:cs="Times New Roman"/>
                <w:sz w:val="24"/>
                <w:szCs w:val="24"/>
              </w:rPr>
              <w:t>not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105B5B" w:rsidRPr="00CF58AE">
              <w:rPr>
                <w:rFonts w:ascii="Book Antiqua" w:hAnsi="Book Antiqua" w:cs="Times New Roman"/>
                <w:sz w:val="24"/>
                <w:szCs w:val="24"/>
              </w:rPr>
              <w:t>associated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105B5B" w:rsidRPr="00CF58AE">
              <w:rPr>
                <w:rFonts w:ascii="Book Antiqua" w:hAnsi="Book Antiqua" w:cs="Times New Roman"/>
                <w:sz w:val="24"/>
                <w:szCs w:val="24"/>
              </w:rPr>
              <w:t>with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105B5B" w:rsidRPr="00CF58AE">
              <w:rPr>
                <w:rFonts w:ascii="Book Antiqua" w:hAnsi="Book Antiqua" w:cs="Times New Roman"/>
                <w:sz w:val="24"/>
                <w:szCs w:val="24"/>
              </w:rPr>
              <w:t>a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105B5B" w:rsidRPr="00CF58AE">
              <w:rPr>
                <w:rFonts w:ascii="Book Antiqua" w:hAnsi="Book Antiqua" w:cs="Times New Roman"/>
                <w:sz w:val="24"/>
                <w:szCs w:val="24"/>
              </w:rPr>
              <w:t>lower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105B5B" w:rsidRPr="00CF58AE">
              <w:rPr>
                <w:rFonts w:ascii="Book Antiqua" w:hAnsi="Book Antiqua" w:cs="Times New Roman"/>
                <w:sz w:val="24"/>
                <w:szCs w:val="24"/>
              </w:rPr>
              <w:t>rate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105B5B" w:rsidRPr="00CF58AE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105B5B" w:rsidRPr="00CF58AE">
              <w:rPr>
                <w:rFonts w:ascii="Book Antiqua" w:hAnsi="Book Antiqua" w:cs="Times New Roman"/>
                <w:sz w:val="24"/>
                <w:szCs w:val="24"/>
              </w:rPr>
              <w:t>Acute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105B5B" w:rsidRPr="00CF58AE">
              <w:rPr>
                <w:rFonts w:ascii="Book Antiqua" w:hAnsi="Book Antiqua" w:cs="Times New Roman"/>
                <w:sz w:val="24"/>
                <w:szCs w:val="24"/>
              </w:rPr>
              <w:t>Cellular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105B5B" w:rsidRPr="00CF58AE">
              <w:rPr>
                <w:rFonts w:ascii="Book Antiqua" w:hAnsi="Book Antiqua" w:cs="Times New Roman"/>
                <w:sz w:val="24"/>
                <w:szCs w:val="24"/>
              </w:rPr>
              <w:t>Rejection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105B5B" w:rsidRPr="00CF58AE">
              <w:rPr>
                <w:rFonts w:ascii="Book Antiqua" w:hAnsi="Book Antiqua" w:cs="Times New Roman"/>
                <w:sz w:val="24"/>
                <w:szCs w:val="24"/>
              </w:rPr>
              <w:t>within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105B5B" w:rsidRPr="00CF58AE">
              <w:rPr>
                <w:rFonts w:ascii="Book Antiqua" w:hAnsi="Book Antiqua" w:cs="Times New Roman"/>
                <w:sz w:val="24"/>
                <w:szCs w:val="24"/>
              </w:rPr>
              <w:t>the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105B5B" w:rsidRPr="00CF58AE">
              <w:rPr>
                <w:rFonts w:ascii="Book Antiqua" w:hAnsi="Book Antiqua" w:cs="Times New Roman"/>
                <w:sz w:val="24"/>
                <w:szCs w:val="24"/>
              </w:rPr>
              <w:t>first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105B5B" w:rsidRPr="00CF58AE">
              <w:rPr>
                <w:rFonts w:ascii="Book Antiqua" w:hAnsi="Book Antiqua" w:cs="Times New Roman"/>
                <w:sz w:val="24"/>
                <w:szCs w:val="24"/>
              </w:rPr>
              <w:t>30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105B5B" w:rsidRPr="00CF58AE">
              <w:rPr>
                <w:rFonts w:ascii="Book Antiqua" w:hAnsi="Book Antiqua" w:cs="Times New Roman"/>
                <w:sz w:val="24"/>
                <w:szCs w:val="24"/>
              </w:rPr>
              <w:t>d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105B5B" w:rsidRPr="00CF58AE">
              <w:rPr>
                <w:rFonts w:ascii="Book Antiqua" w:hAnsi="Book Antiqua" w:cs="Times New Roman"/>
                <w:sz w:val="24"/>
                <w:szCs w:val="24"/>
              </w:rPr>
              <w:t>aft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er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heart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tran</w:t>
            </w:r>
            <w:r w:rsidR="00105B5B" w:rsidRPr="00CF58AE">
              <w:rPr>
                <w:rFonts w:ascii="Book Antiqua" w:hAnsi="Book Antiqua" w:cs="Times New Roman"/>
                <w:sz w:val="24"/>
                <w:szCs w:val="24"/>
              </w:rPr>
              <w:t>splant</w:t>
            </w:r>
          </w:p>
        </w:tc>
      </w:tr>
      <w:tr w:rsidR="00CF58AE" w:rsidRPr="00CF58AE" w14:paraId="1B536A71" w14:textId="77777777" w:rsidTr="00084E01">
        <w:trPr>
          <w:trHeight w:val="1640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</w:tcPr>
          <w:p w14:paraId="61FF96A2" w14:textId="0388CBEB" w:rsidR="00105B5B" w:rsidRPr="00CF58AE" w:rsidRDefault="00E22AA7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eastAsia="Book Antiqua" w:hAnsi="Book Antiqua" w:cs="Book Antiqua"/>
                <w:sz w:val="24"/>
                <w:szCs w:val="24"/>
              </w:rPr>
              <w:t>Pollock-</w:t>
            </w:r>
            <w:proofErr w:type="spellStart"/>
            <w:r w:rsidRPr="00CF58AE">
              <w:rPr>
                <w:rFonts w:ascii="Book Antiqua" w:eastAsia="Book Antiqua" w:hAnsi="Book Antiqua" w:cs="Book Antiqua"/>
                <w:sz w:val="24"/>
                <w:szCs w:val="24"/>
              </w:rPr>
              <w:t>Barziv</w:t>
            </w:r>
            <w:proofErr w:type="spellEnd"/>
            <w:r w:rsidRPr="00CF58AE">
              <w:rPr>
                <w:rFonts w:ascii="Book Antiqua" w:eastAsia="Book Antiqua" w:hAnsi="Book Antiqua" w:cs="Book Antiqua"/>
              </w:rPr>
              <w:t xml:space="preserve"> </w:t>
            </w:r>
            <w:r w:rsidRPr="00CF58AE">
              <w:rPr>
                <w:rFonts w:ascii="Book Antiqua" w:eastAsia="Book Antiqua" w:hAnsi="Book Antiqua" w:cs="Book Antiqua"/>
                <w:i/>
                <w:iCs/>
              </w:rPr>
              <w:t>et al</w:t>
            </w:r>
            <w:r w:rsidRPr="00CF58AE">
              <w:rPr>
                <w:rFonts w:ascii="Book Antiqua" w:eastAsia="Book Antiqua" w:hAnsi="Book Antiqua" w:cs="Book Antiqua"/>
                <w:sz w:val="24"/>
                <w:szCs w:val="24"/>
                <w:vertAlign w:val="superscript"/>
              </w:rPr>
              <w:t>[26]</w:t>
            </w:r>
            <w:r w:rsidRPr="00CF58AE">
              <w:rPr>
                <w:rFonts w:ascii="Book Antiqua" w:eastAsia="Book Antiqua" w:hAnsi="Book Antiqua" w:cs="Book Antiqua"/>
                <w:sz w:val="24"/>
                <w:szCs w:val="24"/>
              </w:rPr>
              <w:t>, 2010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2542B000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hAnsi="Book Antiqua"/>
                <w:sz w:val="24"/>
                <w:szCs w:val="24"/>
              </w:rPr>
              <w:t>144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0A66C01A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 w:right="28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hAnsi="Book Antiqua"/>
                <w:sz w:val="24"/>
                <w:szCs w:val="24"/>
              </w:rPr>
              <w:t>Deceased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</w:tcPr>
          <w:p w14:paraId="22E45F97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hAnsi="Book Antiqua"/>
                <w:sz w:val="24"/>
                <w:szCs w:val="24"/>
              </w:rPr>
              <w:t>SD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</w:tcPr>
          <w:p w14:paraId="2E33FBE6" w14:textId="165AFDD9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hAnsi="Book Antiqua"/>
                <w:sz w:val="24"/>
                <w:szCs w:val="24"/>
              </w:rPr>
              <w:t>Associated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  <w:sz w:val="24"/>
                <w:szCs w:val="24"/>
              </w:rPr>
              <w:t>Tac</w:t>
            </w:r>
            <w:proofErr w:type="spellEnd"/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IPV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with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late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rejection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as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well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as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worse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patient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and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graft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survival,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but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it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is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worth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to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mention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that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few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heart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lastRenderedPageBreak/>
              <w:t>transplant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recipients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were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included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in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this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study</w:t>
            </w:r>
          </w:p>
        </w:tc>
      </w:tr>
      <w:tr w:rsidR="00CF58AE" w:rsidRPr="00CF58AE" w14:paraId="5644466C" w14:textId="77777777" w:rsidTr="00084E01">
        <w:trPr>
          <w:trHeight w:val="1640"/>
        </w:trPr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2BB35" w14:textId="40255941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F58AE">
              <w:rPr>
                <w:rFonts w:ascii="Book Antiqua" w:hAnsi="Book Antiqua"/>
                <w:sz w:val="24"/>
                <w:szCs w:val="24"/>
              </w:rPr>
              <w:lastRenderedPageBreak/>
              <w:t>Sirota</w:t>
            </w:r>
            <w:proofErr w:type="spellEnd"/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  <w:sz w:val="24"/>
                <w:szCs w:val="24"/>
              </w:rPr>
              <w:t>et al</w:t>
            </w:r>
            <w:r w:rsidR="00B272C4" w:rsidRPr="00CF58AE">
              <w:rPr>
                <w:rFonts w:ascii="Book Antiqua" w:eastAsiaTheme="minorEastAsia" w:hAnsi="Book Antiqua" w:hint="eastAsia"/>
                <w:sz w:val="24"/>
                <w:szCs w:val="24"/>
                <w:vertAlign w:val="superscript"/>
                <w:lang w:eastAsia="zh-CN"/>
              </w:rPr>
              <w:t>[</w:t>
            </w:r>
            <w:r w:rsidR="00B272C4" w:rsidRPr="00CF58AE">
              <w:rPr>
                <w:rFonts w:ascii="Book Antiqua" w:eastAsiaTheme="minorEastAsia" w:hAnsi="Book Antiqua"/>
                <w:sz w:val="24"/>
                <w:szCs w:val="24"/>
                <w:vertAlign w:val="superscript"/>
                <w:lang w:eastAsia="zh-CN"/>
              </w:rPr>
              <w:t>27]</w:t>
            </w:r>
            <w:r w:rsidR="00B272C4" w:rsidRPr="00CF58AE">
              <w:rPr>
                <w:rFonts w:ascii="Book Antiqua" w:eastAsiaTheme="minorEastAsia" w:hAnsi="Book Antiqua"/>
                <w:sz w:val="24"/>
                <w:szCs w:val="24"/>
                <w:lang w:eastAsia="zh-CN"/>
              </w:rPr>
              <w:t>,</w:t>
            </w:r>
            <w:r w:rsidR="00B272C4" w:rsidRPr="00CF58AE">
              <w:rPr>
                <w:rFonts w:ascii="Book Antiqua" w:eastAsiaTheme="minorEastAsia" w:hAnsi="Book Antiqua"/>
                <w:i/>
                <w:iCs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202</w:t>
            </w:r>
            <w:r w:rsidR="00B272C4" w:rsidRPr="00CF58A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4DA29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hAnsi="Book Antiqua"/>
                <w:sz w:val="24"/>
                <w:szCs w:val="24"/>
              </w:rPr>
              <w:t>118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2451E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 w:right="28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hAnsi="Book Antiqua"/>
                <w:sz w:val="24"/>
                <w:szCs w:val="24"/>
              </w:rPr>
              <w:t>Deceased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24ACC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hAnsi="Book Antiqua"/>
                <w:sz w:val="24"/>
                <w:szCs w:val="24"/>
              </w:rPr>
              <w:t>SD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C1EBE" w14:textId="12AFED3A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hAnsi="Book Antiqua"/>
                <w:sz w:val="24"/>
                <w:szCs w:val="24"/>
              </w:rPr>
              <w:t>SD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F09D2" w:rsidRPr="00CF58AE">
              <w:rPr>
                <w:rFonts w:ascii="Book Antiqua" w:hAnsi="Book Antiqua"/>
                <w:sz w:val="24"/>
                <w:szCs w:val="24"/>
              </w:rPr>
              <w:t>≥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3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is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associated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with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increased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risk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of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poor</w:t>
            </w:r>
            <w:r w:rsidR="008A3BB0" w:rsidRPr="00CF58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sz w:val="24"/>
                <w:szCs w:val="24"/>
              </w:rPr>
              <w:t>outcomes</w:t>
            </w:r>
          </w:p>
        </w:tc>
      </w:tr>
    </w:tbl>
    <w:p w14:paraId="5FB1B0E4" w14:textId="66E3BD65" w:rsidR="00084E01" w:rsidRPr="00CF58AE" w:rsidRDefault="00084E01" w:rsidP="005A21CA">
      <w:pPr>
        <w:pStyle w:val="a5"/>
        <w:spacing w:before="0" w:line="360" w:lineRule="auto"/>
        <w:ind w:left="0" w:right="174"/>
        <w:rPr>
          <w:rFonts w:ascii="Book Antiqua" w:hAnsi="Book Antiqua"/>
          <w:spacing w:val="-2"/>
        </w:rPr>
      </w:pPr>
      <w:r w:rsidRPr="00CF58AE">
        <w:rPr>
          <w:rFonts w:ascii="Book Antiqua" w:hAnsi="Book Antiqua"/>
          <w:spacing w:val="-2"/>
        </w:rPr>
        <w:t>CV:</w:t>
      </w:r>
      <w:r w:rsidR="008A3BB0" w:rsidRPr="00CF58AE">
        <w:rPr>
          <w:rFonts w:ascii="Book Antiqua" w:hAnsi="Book Antiqua"/>
          <w:spacing w:val="-2"/>
        </w:rPr>
        <w:t xml:space="preserve"> </w:t>
      </w:r>
      <w:r w:rsidRPr="00CF58AE">
        <w:rPr>
          <w:rFonts w:ascii="Book Antiqua" w:hAnsi="Book Antiqua"/>
          <w:spacing w:val="-2"/>
        </w:rPr>
        <w:t>Coefficient</w:t>
      </w:r>
      <w:r w:rsidR="008A3BB0" w:rsidRPr="00CF58AE">
        <w:rPr>
          <w:rFonts w:ascii="Book Antiqua" w:hAnsi="Book Antiqua"/>
          <w:spacing w:val="-2"/>
        </w:rPr>
        <w:t xml:space="preserve"> </w:t>
      </w:r>
      <w:r w:rsidRPr="00CF58AE">
        <w:rPr>
          <w:rFonts w:ascii="Book Antiqua" w:hAnsi="Book Antiqua"/>
          <w:spacing w:val="-2"/>
        </w:rPr>
        <w:t>of</w:t>
      </w:r>
      <w:r w:rsidR="008A3BB0" w:rsidRPr="00CF58AE">
        <w:rPr>
          <w:rFonts w:ascii="Book Antiqua" w:hAnsi="Book Antiqua"/>
          <w:spacing w:val="-2"/>
        </w:rPr>
        <w:t xml:space="preserve"> </w:t>
      </w:r>
      <w:r w:rsidRPr="00CF58AE">
        <w:rPr>
          <w:rFonts w:ascii="Book Antiqua" w:hAnsi="Book Antiqua"/>
          <w:spacing w:val="-2"/>
        </w:rPr>
        <w:t>variability;</w:t>
      </w:r>
      <w:r w:rsidR="008A3BB0" w:rsidRPr="00CF58AE">
        <w:rPr>
          <w:rFonts w:ascii="Book Antiqua" w:hAnsi="Book Antiqua"/>
          <w:spacing w:val="-2"/>
        </w:rPr>
        <w:t xml:space="preserve"> </w:t>
      </w:r>
      <w:r w:rsidRPr="00CF58AE">
        <w:rPr>
          <w:rFonts w:ascii="Book Antiqua" w:hAnsi="Book Antiqua"/>
          <w:spacing w:val="-2"/>
        </w:rPr>
        <w:t>HT:</w:t>
      </w:r>
      <w:r w:rsidR="008A3BB0" w:rsidRPr="00CF58AE">
        <w:rPr>
          <w:rFonts w:ascii="Book Antiqua" w:hAnsi="Book Antiqua"/>
          <w:spacing w:val="-2"/>
        </w:rPr>
        <w:t xml:space="preserve"> </w:t>
      </w:r>
      <w:r w:rsidRPr="00CF58AE">
        <w:rPr>
          <w:rFonts w:ascii="Book Antiqua" w:hAnsi="Book Antiqua"/>
          <w:spacing w:val="-2"/>
        </w:rPr>
        <w:t>Heart</w:t>
      </w:r>
      <w:r w:rsidR="008A3BB0" w:rsidRPr="00CF58AE">
        <w:rPr>
          <w:rFonts w:ascii="Book Antiqua" w:hAnsi="Book Antiqua"/>
          <w:spacing w:val="-2"/>
        </w:rPr>
        <w:t xml:space="preserve"> </w:t>
      </w:r>
      <w:r w:rsidRPr="00CF58AE">
        <w:rPr>
          <w:rFonts w:ascii="Book Antiqua" w:hAnsi="Book Antiqua"/>
          <w:spacing w:val="-2"/>
        </w:rPr>
        <w:t>transplant;</w:t>
      </w:r>
      <w:r w:rsidR="008A3BB0" w:rsidRPr="00CF58AE">
        <w:rPr>
          <w:rFonts w:ascii="Book Antiqua" w:hAnsi="Book Antiqua"/>
          <w:spacing w:val="-2"/>
        </w:rPr>
        <w:t xml:space="preserve"> </w:t>
      </w:r>
      <w:r w:rsidRPr="00CF58AE">
        <w:rPr>
          <w:rFonts w:ascii="Book Antiqua" w:hAnsi="Book Antiqua"/>
          <w:spacing w:val="-2"/>
        </w:rPr>
        <w:t>MAD:</w:t>
      </w:r>
      <w:r w:rsidR="008A3BB0" w:rsidRPr="00CF58AE">
        <w:rPr>
          <w:rFonts w:ascii="Book Antiqua" w:hAnsi="Book Antiqua"/>
          <w:spacing w:val="-2"/>
        </w:rPr>
        <w:t xml:space="preserve"> </w:t>
      </w:r>
      <w:r w:rsidRPr="00CF58AE">
        <w:rPr>
          <w:rFonts w:ascii="Book Antiqua" w:hAnsi="Book Antiqua"/>
          <w:spacing w:val="-2"/>
        </w:rPr>
        <w:t>Mean</w:t>
      </w:r>
      <w:r w:rsidR="008A3BB0" w:rsidRPr="00CF58AE">
        <w:rPr>
          <w:rFonts w:ascii="Book Antiqua" w:hAnsi="Book Antiqua"/>
          <w:spacing w:val="-2"/>
        </w:rPr>
        <w:t xml:space="preserve"> </w:t>
      </w:r>
      <w:r w:rsidRPr="00CF58AE">
        <w:rPr>
          <w:rFonts w:ascii="Book Antiqua" w:hAnsi="Book Antiqua"/>
          <w:spacing w:val="-2"/>
        </w:rPr>
        <w:t>absolute</w:t>
      </w:r>
      <w:r w:rsidR="008A3BB0" w:rsidRPr="00CF58AE">
        <w:rPr>
          <w:rFonts w:ascii="Book Antiqua" w:hAnsi="Book Antiqua"/>
          <w:spacing w:val="-2"/>
        </w:rPr>
        <w:t xml:space="preserve"> </w:t>
      </w:r>
      <w:r w:rsidRPr="00CF58AE">
        <w:rPr>
          <w:rFonts w:ascii="Book Antiqua" w:hAnsi="Book Antiqua"/>
          <w:spacing w:val="-2"/>
        </w:rPr>
        <w:t>deviation;</w:t>
      </w:r>
      <w:r w:rsidR="008A3BB0" w:rsidRPr="00CF58AE">
        <w:rPr>
          <w:rFonts w:ascii="Book Antiqua" w:hAnsi="Book Antiqua"/>
          <w:spacing w:val="-2"/>
        </w:rPr>
        <w:t xml:space="preserve"> </w:t>
      </w:r>
      <w:r w:rsidRPr="00CF58AE">
        <w:rPr>
          <w:rFonts w:ascii="Book Antiqua" w:hAnsi="Book Antiqua"/>
          <w:spacing w:val="-2"/>
        </w:rPr>
        <w:t>TTR:</w:t>
      </w:r>
      <w:r w:rsidR="008A3BB0" w:rsidRPr="00CF58AE">
        <w:rPr>
          <w:rFonts w:ascii="Book Antiqua" w:hAnsi="Book Antiqua"/>
          <w:spacing w:val="-2"/>
        </w:rPr>
        <w:t xml:space="preserve"> </w:t>
      </w:r>
      <w:r w:rsidRPr="00CF58AE">
        <w:rPr>
          <w:rFonts w:ascii="Book Antiqua" w:hAnsi="Book Antiqua"/>
          <w:spacing w:val="-2"/>
        </w:rPr>
        <w:t>Time</w:t>
      </w:r>
      <w:r w:rsidR="008A3BB0" w:rsidRPr="00CF58AE">
        <w:rPr>
          <w:rFonts w:ascii="Book Antiqua" w:hAnsi="Book Antiqua"/>
          <w:spacing w:val="-2"/>
        </w:rPr>
        <w:t xml:space="preserve"> </w:t>
      </w:r>
      <w:r w:rsidRPr="00CF58AE">
        <w:rPr>
          <w:rFonts w:ascii="Book Antiqua" w:hAnsi="Book Antiqua"/>
          <w:spacing w:val="-2"/>
        </w:rPr>
        <w:t>in</w:t>
      </w:r>
      <w:r w:rsidR="008A3BB0" w:rsidRPr="00CF58AE">
        <w:rPr>
          <w:rFonts w:ascii="Book Antiqua" w:hAnsi="Book Antiqua"/>
          <w:spacing w:val="-2"/>
        </w:rPr>
        <w:t xml:space="preserve"> </w:t>
      </w:r>
      <w:r w:rsidRPr="00CF58AE">
        <w:rPr>
          <w:rFonts w:ascii="Book Antiqua" w:hAnsi="Book Antiqua"/>
          <w:spacing w:val="-2"/>
        </w:rPr>
        <w:t>therapeutic</w:t>
      </w:r>
      <w:r w:rsidR="008A3BB0" w:rsidRPr="00CF58AE">
        <w:rPr>
          <w:rFonts w:ascii="Book Antiqua" w:hAnsi="Book Antiqua"/>
          <w:spacing w:val="-2"/>
        </w:rPr>
        <w:t xml:space="preserve"> </w:t>
      </w:r>
      <w:r w:rsidRPr="00CF58AE">
        <w:rPr>
          <w:rFonts w:ascii="Book Antiqua" w:hAnsi="Book Antiqua"/>
          <w:spacing w:val="-2"/>
        </w:rPr>
        <w:t>range;</w:t>
      </w:r>
      <w:r w:rsidR="008A3BB0" w:rsidRPr="00CF58AE">
        <w:rPr>
          <w:rFonts w:ascii="Book Antiqua" w:hAnsi="Book Antiqua"/>
          <w:spacing w:val="-2"/>
        </w:rPr>
        <w:t xml:space="preserve"> </w:t>
      </w:r>
      <w:r w:rsidRPr="00CF58AE">
        <w:rPr>
          <w:rFonts w:ascii="Book Antiqua" w:hAnsi="Book Antiqua"/>
          <w:spacing w:val="-2"/>
        </w:rPr>
        <w:t>SD:</w:t>
      </w:r>
      <w:r w:rsidR="008A3BB0" w:rsidRPr="00CF58AE">
        <w:rPr>
          <w:rFonts w:ascii="Book Antiqua" w:hAnsi="Book Antiqua"/>
          <w:spacing w:val="-2"/>
        </w:rPr>
        <w:t xml:space="preserve"> </w:t>
      </w:r>
      <w:r w:rsidRPr="00CF58AE">
        <w:rPr>
          <w:rFonts w:ascii="Book Antiqua" w:hAnsi="Book Antiqua"/>
          <w:spacing w:val="-2"/>
        </w:rPr>
        <w:t>Standard</w:t>
      </w:r>
      <w:r w:rsidR="008A3BB0" w:rsidRPr="00CF58AE">
        <w:rPr>
          <w:rFonts w:ascii="Book Antiqua" w:hAnsi="Book Antiqua"/>
          <w:spacing w:val="-2"/>
        </w:rPr>
        <w:t xml:space="preserve"> </w:t>
      </w:r>
      <w:r w:rsidRPr="00CF58AE">
        <w:rPr>
          <w:rFonts w:ascii="Book Antiqua" w:hAnsi="Book Antiqua"/>
          <w:spacing w:val="-2"/>
        </w:rPr>
        <w:t>deviation.</w:t>
      </w:r>
    </w:p>
    <w:p w14:paraId="7CEA180F" w14:textId="77777777" w:rsidR="00BA25E1" w:rsidRPr="00CF58AE" w:rsidRDefault="00BA25E1" w:rsidP="005A21CA">
      <w:pPr>
        <w:pStyle w:val="a5"/>
        <w:spacing w:before="0" w:line="360" w:lineRule="auto"/>
        <w:ind w:left="0" w:right="116"/>
        <w:rPr>
          <w:rFonts w:ascii="Book Antiqua" w:hAnsi="Book Antiqua"/>
          <w:b/>
          <w:bCs/>
          <w:w w:val="105"/>
        </w:rPr>
        <w:sectPr w:rsidR="00BA25E1" w:rsidRPr="00CF58AE" w:rsidSect="00C87A39">
          <w:footerReference w:type="default" r:id="rId8"/>
          <w:pgSz w:w="11910" w:h="16840"/>
          <w:pgMar w:top="1400" w:right="1240" w:bottom="1520" w:left="1200" w:header="0" w:footer="1281" w:gutter="0"/>
          <w:cols w:space="720"/>
        </w:sectPr>
      </w:pPr>
    </w:p>
    <w:p w14:paraId="72BFEBE9" w14:textId="67327359" w:rsidR="00105B5B" w:rsidRPr="00CF58AE" w:rsidRDefault="00105B5B" w:rsidP="005A21CA">
      <w:pPr>
        <w:pStyle w:val="a5"/>
        <w:spacing w:before="0" w:line="360" w:lineRule="auto"/>
        <w:ind w:left="0" w:right="116"/>
        <w:rPr>
          <w:rFonts w:ascii="Book Antiqua" w:hAnsi="Book Antiqua"/>
          <w:b/>
          <w:bCs/>
        </w:rPr>
      </w:pPr>
      <w:r w:rsidRPr="00CF58AE">
        <w:rPr>
          <w:rFonts w:ascii="Book Antiqua" w:hAnsi="Book Antiqua"/>
          <w:b/>
          <w:bCs/>
          <w:w w:val="105"/>
        </w:rPr>
        <w:lastRenderedPageBreak/>
        <w:t>Table</w:t>
      </w:r>
      <w:r w:rsidR="008A3BB0" w:rsidRPr="00CF58AE">
        <w:rPr>
          <w:rFonts w:ascii="Book Antiqua" w:hAnsi="Book Antiqua"/>
          <w:b/>
          <w:bCs/>
          <w:w w:val="105"/>
        </w:rPr>
        <w:t xml:space="preserve"> </w:t>
      </w:r>
      <w:r w:rsidRPr="00CF58AE">
        <w:rPr>
          <w:rFonts w:ascii="Book Antiqua" w:hAnsi="Book Antiqua"/>
          <w:b/>
          <w:bCs/>
          <w:w w:val="105"/>
        </w:rPr>
        <w:t>2</w:t>
      </w:r>
      <w:r w:rsidR="008A3BB0" w:rsidRPr="00CF58AE">
        <w:rPr>
          <w:rFonts w:ascii="Book Antiqua" w:hAnsi="Book Antiqua"/>
          <w:b/>
          <w:bCs/>
        </w:rPr>
        <w:t xml:space="preserve"> </w:t>
      </w:r>
      <w:proofErr w:type="spellStart"/>
      <w:r w:rsidRPr="00CF58AE">
        <w:rPr>
          <w:rFonts w:ascii="Book Antiqua" w:hAnsi="Book Antiqua"/>
          <w:b/>
          <w:bCs/>
        </w:rPr>
        <w:t>Tacrolimus</w:t>
      </w:r>
      <w:proofErr w:type="spellEnd"/>
      <w:r w:rsidR="008A3BB0" w:rsidRPr="00CF58AE">
        <w:rPr>
          <w:rFonts w:ascii="Book Antiqua" w:hAnsi="Book Antiqua"/>
          <w:b/>
          <w:bCs/>
          <w:spacing w:val="-6"/>
        </w:rPr>
        <w:t xml:space="preserve"> </w:t>
      </w:r>
      <w:r w:rsidRPr="00CF58AE">
        <w:rPr>
          <w:rFonts w:ascii="Book Antiqua" w:hAnsi="Book Antiqua"/>
          <w:b/>
          <w:bCs/>
        </w:rPr>
        <w:t>intra-patient</w:t>
      </w:r>
      <w:r w:rsidR="008A3BB0" w:rsidRPr="00CF58AE">
        <w:rPr>
          <w:rFonts w:ascii="Book Antiqua" w:hAnsi="Book Antiqua"/>
          <w:b/>
          <w:bCs/>
          <w:spacing w:val="-4"/>
        </w:rPr>
        <w:t xml:space="preserve"> </w:t>
      </w:r>
      <w:r w:rsidRPr="00CF58AE">
        <w:rPr>
          <w:rFonts w:ascii="Book Antiqua" w:hAnsi="Book Antiqua"/>
          <w:b/>
          <w:bCs/>
        </w:rPr>
        <w:t>variability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in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lung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transplantation: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main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findings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73"/>
        <w:gridCol w:w="1898"/>
        <w:gridCol w:w="1883"/>
        <w:gridCol w:w="1860"/>
        <w:gridCol w:w="2172"/>
      </w:tblGrid>
      <w:tr w:rsidR="00CF58AE" w:rsidRPr="00CF58AE" w14:paraId="332D01DC" w14:textId="77777777" w:rsidTr="00F65847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CA33AB" w14:textId="6AEC3120" w:rsidR="00105B5B" w:rsidRPr="00CF58AE" w:rsidRDefault="00105B5B" w:rsidP="005A21CA">
            <w:pPr>
              <w:pStyle w:val="TableParagraph"/>
              <w:spacing w:before="0" w:line="360" w:lineRule="auto"/>
              <w:ind w:left="0" w:right="2077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F58AE">
              <w:rPr>
                <w:rFonts w:ascii="Book Antiqua" w:hAnsi="Book Antiqua"/>
                <w:b/>
                <w:bCs/>
                <w:sz w:val="24"/>
                <w:szCs w:val="24"/>
              </w:rPr>
              <w:t>Lung</w:t>
            </w:r>
            <w:r w:rsidR="008A3BB0" w:rsidRPr="00CF58AE">
              <w:rPr>
                <w:rFonts w:ascii="Book Antiqua" w:hAnsi="Book Antiqua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882DDE" w:rsidRPr="00CF58AE">
              <w:rPr>
                <w:rFonts w:ascii="Book Antiqua" w:eastAsiaTheme="minorEastAsia" w:hAnsi="Book Antiqua"/>
                <w:b/>
                <w:bCs/>
                <w:spacing w:val="-2"/>
                <w:sz w:val="24"/>
                <w:szCs w:val="24"/>
                <w:lang w:eastAsia="zh-CN"/>
              </w:rPr>
              <w:t>t</w:t>
            </w:r>
            <w:r w:rsidRPr="00CF58AE">
              <w:rPr>
                <w:rFonts w:ascii="Book Antiqua" w:hAnsi="Book Antiqua"/>
                <w:b/>
                <w:bCs/>
                <w:spacing w:val="-2"/>
                <w:sz w:val="24"/>
                <w:szCs w:val="24"/>
              </w:rPr>
              <w:t>ransplantation</w:t>
            </w:r>
          </w:p>
        </w:tc>
      </w:tr>
      <w:tr w:rsidR="00CF58AE" w:rsidRPr="00CF58AE" w14:paraId="43F2906D" w14:textId="77777777" w:rsidTr="00F65847">
        <w:trPr>
          <w:trHeight w:val="505"/>
        </w:trPr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</w:tcPr>
          <w:p w14:paraId="60AD2D7C" w14:textId="25861149" w:rsidR="00105B5B" w:rsidRPr="00CF58AE" w:rsidRDefault="00F65847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F58AE">
              <w:rPr>
                <w:rFonts w:ascii="Book Antiqua" w:hAnsi="Book Antiqua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</w:tcPr>
          <w:p w14:paraId="6EB6E2B5" w14:textId="1E91A6B1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F58AE">
              <w:rPr>
                <w:rFonts w:ascii="Book Antiqua" w:hAnsi="Book Antiqua"/>
                <w:b/>
                <w:bCs/>
                <w:sz w:val="24"/>
                <w:szCs w:val="24"/>
              </w:rPr>
              <w:t>Sample</w:t>
            </w:r>
            <w:r w:rsidR="008A3BB0" w:rsidRPr="00CF58AE">
              <w:rPr>
                <w:rFonts w:ascii="Book Antiqua" w:hAnsi="Book Antiqu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b/>
                <w:bCs/>
                <w:spacing w:val="-4"/>
                <w:sz w:val="24"/>
                <w:szCs w:val="24"/>
              </w:rPr>
              <w:t>size</w:t>
            </w:r>
          </w:p>
        </w:tc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</w:tcPr>
          <w:p w14:paraId="792432D6" w14:textId="2FAC6DBB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F58AE">
              <w:rPr>
                <w:rFonts w:ascii="Book Antiqua" w:hAnsi="Book Antiqua"/>
                <w:b/>
                <w:bCs/>
                <w:sz w:val="24"/>
                <w:szCs w:val="24"/>
              </w:rPr>
              <w:t>Donor</w:t>
            </w:r>
            <w:r w:rsidR="008A3BB0" w:rsidRPr="00CF58AE">
              <w:rPr>
                <w:rFonts w:ascii="Book Antiqua" w:hAnsi="Book Antiqu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/>
                <w:b/>
                <w:bCs/>
                <w:spacing w:val="-4"/>
                <w:sz w:val="24"/>
                <w:szCs w:val="24"/>
              </w:rPr>
              <w:t>type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</w:tcPr>
          <w:p w14:paraId="4CB9A3B3" w14:textId="34EFCE5B" w:rsidR="00105B5B" w:rsidRPr="00CF58AE" w:rsidRDefault="00105B5B" w:rsidP="005A21CA">
            <w:pPr>
              <w:pStyle w:val="TableParagraph"/>
              <w:spacing w:before="0" w:line="360" w:lineRule="auto"/>
              <w:ind w:left="0" w:right="224"/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CF58AE">
              <w:rPr>
                <w:rFonts w:ascii="Book Antiqua" w:hAnsi="Book Antiqua"/>
                <w:b/>
                <w:bCs/>
                <w:spacing w:val="-3"/>
                <w:sz w:val="24"/>
                <w:szCs w:val="24"/>
              </w:rPr>
              <w:t>Tac</w:t>
            </w:r>
            <w:proofErr w:type="spellEnd"/>
            <w:r w:rsidRPr="00CF58AE">
              <w:rPr>
                <w:rFonts w:ascii="Book Antiqua" w:hAnsi="Book Antiqua"/>
                <w:b/>
                <w:bCs/>
                <w:spacing w:val="-3"/>
                <w:sz w:val="24"/>
                <w:szCs w:val="24"/>
              </w:rPr>
              <w:t>-</w:t>
            </w:r>
            <w:r w:rsidRPr="00CF58AE">
              <w:rPr>
                <w:rFonts w:ascii="Book Antiqua" w:hAnsi="Book Antiqua"/>
                <w:b/>
                <w:bCs/>
                <w:spacing w:val="-5"/>
                <w:sz w:val="24"/>
                <w:szCs w:val="24"/>
              </w:rPr>
              <w:t>IPV</w:t>
            </w:r>
            <w:r w:rsidR="00F65847" w:rsidRPr="00CF58AE">
              <w:rPr>
                <w:rFonts w:ascii="Book Antiqua" w:eastAsiaTheme="minorEastAsia" w:hAnsi="Book Antiqua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F65847" w:rsidRPr="00CF58AE">
              <w:rPr>
                <w:rFonts w:ascii="Book Antiqua" w:hAnsi="Book Antiqua"/>
                <w:b/>
                <w:bCs/>
                <w:spacing w:val="-2"/>
                <w:sz w:val="24"/>
                <w:szCs w:val="24"/>
              </w:rPr>
              <w:t>a</w:t>
            </w:r>
            <w:r w:rsidRPr="00CF58AE">
              <w:rPr>
                <w:rFonts w:ascii="Book Antiqua" w:hAnsi="Book Antiqua"/>
                <w:b/>
                <w:bCs/>
                <w:spacing w:val="-2"/>
                <w:sz w:val="24"/>
                <w:szCs w:val="24"/>
              </w:rPr>
              <w:t>ssessment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08C9E212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F58AE">
              <w:rPr>
                <w:rFonts w:ascii="Book Antiqua" w:hAnsi="Book Antiqua"/>
                <w:b/>
                <w:bCs/>
                <w:spacing w:val="-2"/>
                <w:sz w:val="24"/>
                <w:szCs w:val="24"/>
              </w:rPr>
              <w:t>Outcome</w:t>
            </w:r>
          </w:p>
        </w:tc>
      </w:tr>
      <w:tr w:rsidR="00CF58AE" w:rsidRPr="00CF58AE" w14:paraId="53592A76" w14:textId="77777777" w:rsidTr="00F65847">
        <w:trPr>
          <w:trHeight w:val="1875"/>
        </w:trPr>
        <w:tc>
          <w:tcPr>
            <w:tcW w:w="967" w:type="pct"/>
            <w:tcBorders>
              <w:top w:val="single" w:sz="4" w:space="0" w:color="auto"/>
            </w:tcBorders>
          </w:tcPr>
          <w:p w14:paraId="4B9B6ECD" w14:textId="30E1FD16" w:rsidR="00105B5B" w:rsidRPr="00CF58AE" w:rsidRDefault="00105B5B" w:rsidP="005A21CA">
            <w:pPr>
              <w:pStyle w:val="TableParagraph"/>
              <w:spacing w:before="0" w:line="360" w:lineRule="auto"/>
              <w:ind w:left="0" w:right="418"/>
              <w:rPr>
                <w:rFonts w:ascii="Book Antiqua" w:hAnsi="Book Antiqua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Gallagher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FA3733" w:rsidRPr="00CF58AE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et al</w:t>
            </w:r>
            <w:r w:rsidR="00F65847" w:rsidRPr="00CF58A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r w:rsidR="00BB6007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28</w:t>
            </w:r>
            <w:r w:rsidR="00F65847" w:rsidRPr="00CF58A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]</w:t>
            </w:r>
            <w:r w:rsidR="00F65847" w:rsidRPr="00CF58AE"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201</w:t>
            </w:r>
            <w:r w:rsidR="00F65847" w:rsidRPr="00CF58AE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980" w:type="pct"/>
            <w:tcBorders>
              <w:top w:val="single" w:sz="4" w:space="0" w:color="auto"/>
            </w:tcBorders>
          </w:tcPr>
          <w:p w14:paraId="24F69A12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110</w:t>
            </w:r>
          </w:p>
        </w:tc>
        <w:tc>
          <w:tcPr>
            <w:tcW w:w="972" w:type="pct"/>
            <w:tcBorders>
              <w:top w:val="single" w:sz="4" w:space="0" w:color="auto"/>
            </w:tcBorders>
          </w:tcPr>
          <w:p w14:paraId="23817816" w14:textId="34580F06" w:rsidR="00105B5B" w:rsidRPr="00CF58AE" w:rsidRDefault="00105B5B" w:rsidP="005A21CA">
            <w:pPr>
              <w:pStyle w:val="TableParagraph"/>
              <w:spacing w:before="0" w:line="360" w:lineRule="auto"/>
              <w:ind w:left="0" w:right="137"/>
              <w:rPr>
                <w:rFonts w:ascii="Book Antiqua" w:hAnsi="Book Antiqua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Non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specified</w:t>
            </w:r>
          </w:p>
        </w:tc>
        <w:tc>
          <w:tcPr>
            <w:tcW w:w="960" w:type="pct"/>
            <w:tcBorders>
              <w:top w:val="single" w:sz="4" w:space="0" w:color="auto"/>
            </w:tcBorders>
          </w:tcPr>
          <w:p w14:paraId="38E8ABC6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SD</w:t>
            </w:r>
          </w:p>
        </w:tc>
        <w:tc>
          <w:tcPr>
            <w:tcW w:w="1121" w:type="pct"/>
            <w:tcBorders>
              <w:top w:val="single" w:sz="4" w:space="0" w:color="auto"/>
            </w:tcBorders>
          </w:tcPr>
          <w:p w14:paraId="5112A538" w14:textId="3CA2F11C" w:rsidR="00105B5B" w:rsidRPr="00CF58AE" w:rsidRDefault="00105B5B" w:rsidP="005A21CA">
            <w:pPr>
              <w:pStyle w:val="TableParagraph"/>
              <w:spacing w:before="0" w:line="360" w:lineRule="auto"/>
              <w:ind w:left="0" w:right="351"/>
              <w:rPr>
                <w:rFonts w:ascii="Book Antiqua" w:hAnsi="Book Antiqua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Patients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with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highly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variable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trough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CF58AE">
              <w:rPr>
                <w:rFonts w:ascii="Book Antiqua" w:hAnsi="Book Antiqua" w:cs="Times New Roman"/>
                <w:sz w:val="24"/>
                <w:szCs w:val="24"/>
              </w:rPr>
              <w:t>tacrolimus</w:t>
            </w:r>
            <w:proofErr w:type="spellEnd"/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levels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in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the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second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half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the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first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post-transplant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year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will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likely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have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similar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variability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in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the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second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year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are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at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high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risk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for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subsequent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F65847" w:rsidRPr="00CF58AE">
              <w:rPr>
                <w:rFonts w:ascii="Book Antiqua" w:hAnsi="Book Antiqua" w:cs="Times New Roman"/>
                <w:sz w:val="24"/>
                <w:szCs w:val="24"/>
              </w:rPr>
              <w:t>chronic lung allograft dy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sfunction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death</w:t>
            </w:r>
          </w:p>
        </w:tc>
      </w:tr>
      <w:tr w:rsidR="00CF58AE" w:rsidRPr="00CF58AE" w14:paraId="732E8A1A" w14:textId="77777777" w:rsidTr="00F65847">
        <w:trPr>
          <w:trHeight w:val="1640"/>
        </w:trPr>
        <w:tc>
          <w:tcPr>
            <w:tcW w:w="967" w:type="pct"/>
          </w:tcPr>
          <w:p w14:paraId="1EBED7E5" w14:textId="68B6F2E1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Kao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FA3733" w:rsidRPr="00CF58AE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et al</w:t>
            </w:r>
            <w:r w:rsidR="00F65847" w:rsidRPr="00CF58A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r w:rsidR="00BB6007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29</w:t>
            </w:r>
            <w:r w:rsidR="00F65847" w:rsidRPr="00CF58A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]</w:t>
            </w:r>
            <w:r w:rsidR="00F65847" w:rsidRPr="00CF58AE"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2021</w:t>
            </w:r>
          </w:p>
        </w:tc>
        <w:tc>
          <w:tcPr>
            <w:tcW w:w="980" w:type="pct"/>
          </w:tcPr>
          <w:p w14:paraId="1A6D3CAB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157</w:t>
            </w:r>
          </w:p>
        </w:tc>
        <w:tc>
          <w:tcPr>
            <w:tcW w:w="972" w:type="pct"/>
          </w:tcPr>
          <w:p w14:paraId="6BBD22BE" w14:textId="02F45030" w:rsidR="00105B5B" w:rsidRPr="00CF58AE" w:rsidRDefault="00105B5B" w:rsidP="005A21CA">
            <w:pPr>
              <w:pStyle w:val="TableParagraph"/>
              <w:spacing w:before="0" w:line="360" w:lineRule="auto"/>
              <w:ind w:left="0" w:right="28"/>
              <w:rPr>
                <w:rFonts w:ascii="Book Antiqua" w:hAnsi="Book Antiqua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Non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specified</w:t>
            </w:r>
          </w:p>
        </w:tc>
        <w:tc>
          <w:tcPr>
            <w:tcW w:w="960" w:type="pct"/>
          </w:tcPr>
          <w:p w14:paraId="51EABCD2" w14:textId="31C7FAAE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CV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TTR</w:t>
            </w:r>
          </w:p>
        </w:tc>
        <w:tc>
          <w:tcPr>
            <w:tcW w:w="1121" w:type="pct"/>
          </w:tcPr>
          <w:p w14:paraId="355AB069" w14:textId="7BD6F933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>The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>results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>suggest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>that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>tacrolimus</w:t>
            </w:r>
            <w:proofErr w:type="spellEnd"/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>TTR,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>time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>in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>therapeutic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>range,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>and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>variability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>are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>not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>related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>to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lastRenderedPageBreak/>
              <w:t>the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>presence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>of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>ACR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>in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  <w:t>LTRs</w:t>
            </w:r>
          </w:p>
        </w:tc>
      </w:tr>
      <w:tr w:rsidR="00CF58AE" w:rsidRPr="00CF58AE" w14:paraId="1C3CFDB9" w14:textId="77777777" w:rsidTr="00F65847">
        <w:trPr>
          <w:trHeight w:val="1640"/>
        </w:trPr>
        <w:tc>
          <w:tcPr>
            <w:tcW w:w="967" w:type="pct"/>
          </w:tcPr>
          <w:p w14:paraId="5B74FF1B" w14:textId="4D90A34A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lastRenderedPageBreak/>
              <w:t>Ensor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FA3733" w:rsidRPr="00CF58AE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et al</w:t>
            </w:r>
            <w:r w:rsidR="00F65847" w:rsidRPr="00CF58A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r w:rsidR="00BB6007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30</w:t>
            </w:r>
            <w:r w:rsidR="00F65847" w:rsidRPr="00CF58A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]</w:t>
            </w:r>
            <w:r w:rsidR="00F65847" w:rsidRPr="00CF58AE"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2018</w:t>
            </w:r>
          </w:p>
        </w:tc>
        <w:tc>
          <w:tcPr>
            <w:tcW w:w="980" w:type="pct"/>
          </w:tcPr>
          <w:p w14:paraId="326B8BCC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292</w:t>
            </w:r>
          </w:p>
        </w:tc>
        <w:tc>
          <w:tcPr>
            <w:tcW w:w="972" w:type="pct"/>
          </w:tcPr>
          <w:p w14:paraId="62DED48B" w14:textId="53D83B3A" w:rsidR="00105B5B" w:rsidRPr="00CF58AE" w:rsidRDefault="00105B5B" w:rsidP="005A21CA">
            <w:pPr>
              <w:pStyle w:val="TableParagraph"/>
              <w:spacing w:before="0" w:line="360" w:lineRule="auto"/>
              <w:ind w:left="0" w:right="28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Non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specified</w:t>
            </w:r>
          </w:p>
        </w:tc>
        <w:tc>
          <w:tcPr>
            <w:tcW w:w="960" w:type="pct"/>
          </w:tcPr>
          <w:p w14:paraId="198CC49F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TTR</w:t>
            </w:r>
          </w:p>
        </w:tc>
        <w:tc>
          <w:tcPr>
            <w:tcW w:w="1121" w:type="pct"/>
          </w:tcPr>
          <w:p w14:paraId="485FBF5C" w14:textId="0658CDE6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</w:pPr>
            <w:proofErr w:type="spellStart"/>
            <w:r w:rsidRPr="00CF58AE">
              <w:rPr>
                <w:rFonts w:ascii="Book Antiqua" w:hAnsi="Book Antiqua" w:cs="Times New Roman"/>
                <w:sz w:val="24"/>
                <w:szCs w:val="24"/>
              </w:rPr>
              <w:t>Tacrolimus</w:t>
            </w:r>
            <w:proofErr w:type="spellEnd"/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TTR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was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predictive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clinical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outcomes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ACR,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CLAD,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infection,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death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in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lung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transplant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recipients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at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CF58AE">
              <w:rPr>
                <w:rFonts w:ascii="Book Antiqua" w:hAnsi="Book Antiqua" w:cs="Times New Roman"/>
                <w:sz w:val="24"/>
                <w:szCs w:val="24"/>
              </w:rPr>
              <w:t>yr</w:t>
            </w:r>
            <w:proofErr w:type="spellEnd"/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in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this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investigation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after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adjusting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for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potential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confounders</w:t>
            </w:r>
          </w:p>
        </w:tc>
      </w:tr>
      <w:tr w:rsidR="00CF58AE" w:rsidRPr="00CF58AE" w14:paraId="4A033D6C" w14:textId="77777777" w:rsidTr="00F65847">
        <w:trPr>
          <w:trHeight w:val="1640"/>
        </w:trPr>
        <w:tc>
          <w:tcPr>
            <w:tcW w:w="967" w:type="pct"/>
            <w:tcBorders>
              <w:bottom w:val="single" w:sz="4" w:space="0" w:color="auto"/>
            </w:tcBorders>
          </w:tcPr>
          <w:p w14:paraId="6ADE58C1" w14:textId="40D529E5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F58AE">
              <w:rPr>
                <w:rFonts w:ascii="Book Antiqua" w:hAnsi="Book Antiqua" w:cs="Times New Roman"/>
                <w:sz w:val="24"/>
                <w:szCs w:val="24"/>
              </w:rPr>
              <w:t>Katada</w:t>
            </w:r>
            <w:proofErr w:type="spellEnd"/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FA3733" w:rsidRPr="00CF58AE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et al</w:t>
            </w:r>
            <w:r w:rsidR="00F65847" w:rsidRPr="00CF58A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r w:rsidR="00BB6007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31</w:t>
            </w:r>
            <w:r w:rsidR="00F65847" w:rsidRPr="00CF58A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]</w:t>
            </w:r>
            <w:r w:rsidR="00F65847" w:rsidRPr="00CF58AE"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2022</w:t>
            </w: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14:paraId="6EFFC6F1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90</w:t>
            </w: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657FFBDE" w14:textId="0605599B" w:rsidR="00105B5B" w:rsidRPr="00CF58AE" w:rsidRDefault="00105B5B" w:rsidP="005A21CA">
            <w:pPr>
              <w:pStyle w:val="TableParagraph"/>
              <w:spacing w:before="0" w:line="360" w:lineRule="auto"/>
              <w:ind w:left="0" w:right="28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Living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</w:rPr>
              <w:t>deceased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79EE5846" w14:textId="77777777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</w:rPr>
              <w:t>TTR</w:t>
            </w: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14:paraId="47BD7375" w14:textId="4C8DD93D" w:rsidR="00105B5B" w:rsidRPr="00CF58AE" w:rsidRDefault="00105B5B" w:rsidP="005A21CA">
            <w:pPr>
              <w:pStyle w:val="TableParagraph"/>
              <w:spacing w:before="0" w:line="360" w:lineRule="auto"/>
              <w:ind w:left="0"/>
              <w:rPr>
                <w:rFonts w:ascii="Book Antiqua" w:hAnsi="Book Antiqua" w:cs="Times New Roman"/>
                <w:sz w:val="24"/>
                <w:szCs w:val="24"/>
                <w:shd w:val="clear" w:color="auto" w:fill="FCFCFC"/>
              </w:rPr>
            </w:pP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A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lower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tacrolimus</w:t>
            </w:r>
            <w:proofErr w:type="spellEnd"/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TTR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is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a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predictor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of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late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acute</w:t>
            </w:r>
            <w:r w:rsidR="008A3BB0" w:rsidRPr="00CF58AE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58AE">
              <w:rPr>
                <w:rFonts w:ascii="Book Antiqua" w:hAnsi="Book Antiqua" w:cs="Times New Roman"/>
                <w:sz w:val="24"/>
                <w:szCs w:val="24"/>
                <w:shd w:val="clear" w:color="auto" w:fill="FFFFFF"/>
              </w:rPr>
              <w:t>rejection</w:t>
            </w:r>
          </w:p>
        </w:tc>
      </w:tr>
    </w:tbl>
    <w:p w14:paraId="087E8D1A" w14:textId="069403FE" w:rsidR="00F65847" w:rsidRPr="00CF58AE" w:rsidRDefault="00F65847" w:rsidP="005A21CA">
      <w:pPr>
        <w:pStyle w:val="a5"/>
        <w:spacing w:before="0" w:line="360" w:lineRule="auto"/>
        <w:ind w:left="0" w:right="179"/>
        <w:rPr>
          <w:rFonts w:ascii="Book Antiqua" w:hAnsi="Book Antiqua"/>
          <w:spacing w:val="-2"/>
        </w:rPr>
      </w:pPr>
      <w:r w:rsidRPr="00CF58AE">
        <w:rPr>
          <w:rFonts w:ascii="Book Antiqua" w:hAnsi="Book Antiqua"/>
          <w:spacing w:val="-2"/>
        </w:rPr>
        <w:t>SD: Standard deviation; TTR: Time in therapeutic range; ACR: Acute cellular rejection; LTR: Lung transplant rejection; CLAD: Chronic lung allograft dysfunction.</w:t>
      </w:r>
    </w:p>
    <w:p w14:paraId="7DDC96B0" w14:textId="77777777" w:rsidR="00F65847" w:rsidRPr="00CF58AE" w:rsidRDefault="00F65847" w:rsidP="005A21CA">
      <w:pPr>
        <w:pStyle w:val="a5"/>
        <w:spacing w:before="0" w:line="360" w:lineRule="auto"/>
        <w:ind w:left="0" w:right="113"/>
        <w:rPr>
          <w:rFonts w:ascii="Book Antiqua" w:hAnsi="Book Antiqua"/>
          <w:b/>
          <w:bCs/>
          <w:w w:val="105"/>
        </w:rPr>
        <w:sectPr w:rsidR="00F65847" w:rsidRPr="00CF58AE" w:rsidSect="00C87A39">
          <w:pgSz w:w="11910" w:h="16840"/>
          <w:pgMar w:top="1400" w:right="1240" w:bottom="1520" w:left="1200" w:header="0" w:footer="1281" w:gutter="0"/>
          <w:cols w:space="720"/>
        </w:sectPr>
      </w:pPr>
    </w:p>
    <w:p w14:paraId="59EFCE4D" w14:textId="7D6DCE5D" w:rsidR="00105B5B" w:rsidRPr="00CF58AE" w:rsidRDefault="00105B5B" w:rsidP="005A21CA">
      <w:pPr>
        <w:pStyle w:val="a5"/>
        <w:spacing w:before="0" w:line="360" w:lineRule="auto"/>
        <w:ind w:left="0" w:right="113"/>
        <w:rPr>
          <w:rFonts w:ascii="Book Antiqua" w:hAnsi="Book Antiqua"/>
          <w:b/>
          <w:bCs/>
        </w:rPr>
      </w:pPr>
      <w:r w:rsidRPr="00CF58AE">
        <w:rPr>
          <w:rFonts w:ascii="Book Antiqua" w:hAnsi="Book Antiqua"/>
          <w:b/>
          <w:bCs/>
          <w:w w:val="105"/>
        </w:rPr>
        <w:lastRenderedPageBreak/>
        <w:t>Table</w:t>
      </w:r>
      <w:r w:rsidR="008A3BB0" w:rsidRPr="00CF58AE">
        <w:rPr>
          <w:rFonts w:ascii="Book Antiqua" w:hAnsi="Book Antiqua"/>
          <w:b/>
          <w:bCs/>
          <w:w w:val="105"/>
        </w:rPr>
        <w:t xml:space="preserve"> </w:t>
      </w:r>
      <w:r w:rsidRPr="00CF58AE">
        <w:rPr>
          <w:rFonts w:ascii="Book Antiqua" w:hAnsi="Book Antiqua"/>
          <w:b/>
          <w:bCs/>
          <w:w w:val="105"/>
        </w:rPr>
        <w:t>3</w:t>
      </w:r>
      <w:r w:rsidR="008A3BB0" w:rsidRPr="00CF58AE">
        <w:rPr>
          <w:rFonts w:ascii="Book Antiqua" w:hAnsi="Book Antiqua"/>
        </w:rPr>
        <w:t xml:space="preserve"> </w:t>
      </w:r>
      <w:proofErr w:type="spellStart"/>
      <w:r w:rsidRPr="00CF58AE">
        <w:rPr>
          <w:rFonts w:ascii="Book Antiqua" w:hAnsi="Book Antiqua"/>
          <w:b/>
          <w:bCs/>
        </w:rPr>
        <w:t>Tacrolimus</w:t>
      </w:r>
      <w:proofErr w:type="spellEnd"/>
      <w:r w:rsidR="008A3BB0" w:rsidRPr="00CF58AE">
        <w:rPr>
          <w:rFonts w:ascii="Book Antiqua" w:hAnsi="Book Antiqua"/>
          <w:b/>
          <w:bCs/>
          <w:spacing w:val="-6"/>
        </w:rPr>
        <w:t xml:space="preserve"> </w:t>
      </w:r>
      <w:r w:rsidRPr="00CF58AE">
        <w:rPr>
          <w:rFonts w:ascii="Book Antiqua" w:hAnsi="Book Antiqua"/>
          <w:b/>
          <w:bCs/>
        </w:rPr>
        <w:t>intra-patient</w:t>
      </w:r>
      <w:r w:rsidR="008A3BB0" w:rsidRPr="00CF58AE">
        <w:rPr>
          <w:rFonts w:ascii="Book Antiqua" w:hAnsi="Book Antiqua"/>
          <w:b/>
          <w:bCs/>
          <w:spacing w:val="-4"/>
        </w:rPr>
        <w:t xml:space="preserve"> </w:t>
      </w:r>
      <w:r w:rsidRPr="00CF58AE">
        <w:rPr>
          <w:rFonts w:ascii="Book Antiqua" w:hAnsi="Book Antiqua"/>
          <w:b/>
          <w:bCs/>
        </w:rPr>
        <w:t>variability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and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liver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transplantation: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="00F65847" w:rsidRPr="00CF58AE">
        <w:rPr>
          <w:rFonts w:ascii="Book Antiqua" w:hAnsi="Book Antiqua"/>
          <w:b/>
          <w:bCs/>
        </w:rPr>
        <w:t>M</w:t>
      </w:r>
      <w:r w:rsidRPr="00CF58AE">
        <w:rPr>
          <w:rFonts w:ascii="Book Antiqua" w:hAnsi="Book Antiqua"/>
          <w:b/>
          <w:bCs/>
        </w:rPr>
        <w:t>ain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findings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1931"/>
        <w:gridCol w:w="1747"/>
        <w:gridCol w:w="1949"/>
        <w:gridCol w:w="2135"/>
      </w:tblGrid>
      <w:tr w:rsidR="00CF58AE" w:rsidRPr="00CF58AE" w14:paraId="6F770B6F" w14:textId="77777777" w:rsidTr="005A21CA">
        <w:trPr>
          <w:trHeight w:val="33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CA504A" w14:textId="6ED30A60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F58AE">
              <w:rPr>
                <w:rFonts w:ascii="Book Antiqua" w:hAnsi="Book Antiqua"/>
                <w:b/>
                <w:bCs/>
              </w:rPr>
              <w:t>Liver</w:t>
            </w:r>
            <w:r w:rsidR="008A3BB0" w:rsidRPr="00CF58AE">
              <w:rPr>
                <w:rFonts w:ascii="Book Antiqua" w:hAnsi="Book Antiqua"/>
                <w:b/>
                <w:bCs/>
              </w:rPr>
              <w:t xml:space="preserve"> </w:t>
            </w:r>
            <w:r w:rsidR="005A21CA" w:rsidRPr="00CF58AE">
              <w:rPr>
                <w:rFonts w:ascii="Book Antiqua" w:hAnsi="Book Antiqua"/>
                <w:b/>
                <w:bCs/>
              </w:rPr>
              <w:t>tr</w:t>
            </w:r>
            <w:r w:rsidRPr="00CF58AE">
              <w:rPr>
                <w:rFonts w:ascii="Book Antiqua" w:hAnsi="Book Antiqua"/>
                <w:b/>
                <w:bCs/>
              </w:rPr>
              <w:t>ansplantation</w:t>
            </w:r>
          </w:p>
        </w:tc>
      </w:tr>
      <w:tr w:rsidR="00CF58AE" w:rsidRPr="00CF58AE" w14:paraId="525D97EB" w14:textId="77777777" w:rsidTr="005A21CA">
        <w:trPr>
          <w:trHeight w:val="501"/>
        </w:trPr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</w:tcPr>
          <w:p w14:paraId="44FE9863" w14:textId="5412C44D" w:rsidR="00105B5B" w:rsidRPr="00CF58AE" w:rsidRDefault="00B24BD4" w:rsidP="005A21C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CF58AE">
              <w:rPr>
                <w:rFonts w:ascii="Book Antiqua" w:hAnsi="Book Antiqua"/>
                <w:b/>
                <w:bCs/>
              </w:rPr>
              <w:t>R</w:t>
            </w:r>
            <w:r w:rsidRPr="00CF58AE">
              <w:rPr>
                <w:rFonts w:ascii="Book Antiqua" w:hAnsi="Book Antiqua" w:hint="eastAsia"/>
                <w:b/>
                <w:bCs/>
                <w:lang w:eastAsia="zh-CN"/>
              </w:rPr>
              <w:t>e</w:t>
            </w:r>
            <w:r w:rsidRPr="00CF58AE">
              <w:rPr>
                <w:rFonts w:ascii="Book Antiqua" w:hAnsi="Book Antiqua"/>
                <w:b/>
                <w:bCs/>
                <w:lang w:eastAsia="zh-CN"/>
              </w:rPr>
              <w:t>f.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14:paraId="7628D991" w14:textId="09263DCD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F58AE">
              <w:rPr>
                <w:rFonts w:ascii="Book Antiqua" w:hAnsi="Book Antiqua"/>
                <w:b/>
                <w:bCs/>
              </w:rPr>
              <w:t>Sample</w:t>
            </w:r>
            <w:r w:rsidR="008A3BB0" w:rsidRPr="00CF58AE">
              <w:rPr>
                <w:rFonts w:ascii="Book Antiqua" w:hAnsi="Book Antiqua"/>
                <w:b/>
                <w:bCs/>
              </w:rPr>
              <w:t xml:space="preserve"> </w:t>
            </w:r>
            <w:r w:rsidRPr="00CF58AE">
              <w:rPr>
                <w:rFonts w:ascii="Book Antiqua" w:hAnsi="Book Antiqua"/>
                <w:b/>
                <w:bCs/>
              </w:rPr>
              <w:t>size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</w:tcPr>
          <w:p w14:paraId="182F7415" w14:textId="777777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F58AE">
              <w:rPr>
                <w:rFonts w:ascii="Book Antiqua" w:hAnsi="Book Antiqua"/>
                <w:b/>
                <w:bCs/>
              </w:rPr>
              <w:t>Donor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</w:tcPr>
          <w:p w14:paraId="6F850C63" w14:textId="4A73BCE9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proofErr w:type="spellStart"/>
            <w:r w:rsidRPr="00CF58AE">
              <w:rPr>
                <w:rFonts w:ascii="Book Antiqua" w:hAnsi="Book Antiqua"/>
                <w:b/>
                <w:bCs/>
              </w:rPr>
              <w:t>Tac</w:t>
            </w:r>
            <w:proofErr w:type="spellEnd"/>
            <w:r w:rsidRPr="00CF58AE">
              <w:rPr>
                <w:rFonts w:ascii="Book Antiqua" w:hAnsi="Book Antiqua"/>
                <w:b/>
                <w:bCs/>
              </w:rPr>
              <w:t>-IPV</w:t>
            </w:r>
            <w:r w:rsidR="008A3BB0" w:rsidRPr="00CF58AE">
              <w:rPr>
                <w:rFonts w:ascii="Book Antiqua" w:hAnsi="Book Antiqua"/>
                <w:b/>
                <w:bCs/>
              </w:rPr>
              <w:t xml:space="preserve"> </w:t>
            </w:r>
            <w:r w:rsidR="005A21CA" w:rsidRPr="00CF58AE">
              <w:rPr>
                <w:rFonts w:ascii="Book Antiqua" w:hAnsi="Book Antiqua"/>
                <w:b/>
                <w:bCs/>
              </w:rPr>
              <w:t>a</w:t>
            </w:r>
            <w:r w:rsidRPr="00CF58AE">
              <w:rPr>
                <w:rFonts w:ascii="Book Antiqua" w:hAnsi="Book Antiqua"/>
                <w:b/>
                <w:bCs/>
              </w:rPr>
              <w:t>ssessment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</w:tcPr>
          <w:p w14:paraId="5E392C19" w14:textId="777777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F58AE">
              <w:rPr>
                <w:rFonts w:ascii="Book Antiqua" w:hAnsi="Book Antiqua"/>
                <w:b/>
                <w:bCs/>
              </w:rPr>
              <w:t>Outcome</w:t>
            </w:r>
          </w:p>
        </w:tc>
      </w:tr>
      <w:tr w:rsidR="00CF58AE" w:rsidRPr="00CF58AE" w14:paraId="6D1CA9AC" w14:textId="77777777" w:rsidTr="005A21CA">
        <w:trPr>
          <w:trHeight w:val="331"/>
        </w:trPr>
        <w:tc>
          <w:tcPr>
            <w:tcW w:w="993" w:type="pct"/>
            <w:tcBorders>
              <w:top w:val="single" w:sz="4" w:space="0" w:color="auto"/>
            </w:tcBorders>
          </w:tcPr>
          <w:p w14:paraId="6B99EE3B" w14:textId="0597F0B9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proofErr w:type="spellStart"/>
            <w:r w:rsidRPr="00CF58AE">
              <w:rPr>
                <w:rFonts w:ascii="Book Antiqua" w:hAnsi="Book Antiqua"/>
              </w:rPr>
              <w:t>Lieber</w:t>
            </w:r>
            <w:proofErr w:type="spellEnd"/>
            <w:r w:rsidR="008A3BB0" w:rsidRPr="00CF58AE">
              <w:rPr>
                <w:rFonts w:ascii="Book Antiqua" w:hAnsi="Book Antiqua"/>
                <w:b/>
                <w:bCs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AA4A90" w:rsidRPr="00CF58AE">
              <w:rPr>
                <w:rFonts w:ascii="Book Antiqua" w:hAnsi="Book Antiqua"/>
                <w:vertAlign w:val="superscript"/>
              </w:rPr>
              <w:t>[18]</w:t>
            </w:r>
            <w:r w:rsidR="00AA4A90" w:rsidRPr="00CF58AE">
              <w:rPr>
                <w:rFonts w:ascii="Book Antiqua" w:hAnsi="Book Antiqua"/>
              </w:rPr>
              <w:t>,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2013</w:t>
            </w:r>
          </w:p>
        </w:tc>
        <w:tc>
          <w:tcPr>
            <w:tcW w:w="997" w:type="pct"/>
            <w:tcBorders>
              <w:top w:val="single" w:sz="4" w:space="0" w:color="auto"/>
            </w:tcBorders>
          </w:tcPr>
          <w:p w14:paraId="0B5541CD" w14:textId="777777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988</w:t>
            </w:r>
          </w:p>
        </w:tc>
        <w:tc>
          <w:tcPr>
            <w:tcW w:w="902" w:type="pct"/>
            <w:tcBorders>
              <w:top w:val="single" w:sz="4" w:space="0" w:color="auto"/>
            </w:tcBorders>
          </w:tcPr>
          <w:p w14:paraId="60CA0C65" w14:textId="5EDD640D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Not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specified</w:t>
            </w:r>
          </w:p>
        </w:tc>
        <w:tc>
          <w:tcPr>
            <w:tcW w:w="1006" w:type="pct"/>
            <w:tcBorders>
              <w:top w:val="single" w:sz="4" w:space="0" w:color="auto"/>
            </w:tcBorders>
          </w:tcPr>
          <w:p w14:paraId="424A5E00" w14:textId="777777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SD</w:t>
            </w:r>
          </w:p>
        </w:tc>
        <w:tc>
          <w:tcPr>
            <w:tcW w:w="1102" w:type="pct"/>
            <w:tcBorders>
              <w:top w:val="single" w:sz="4" w:space="0" w:color="auto"/>
            </w:tcBorders>
          </w:tcPr>
          <w:p w14:paraId="3A0501A3" w14:textId="30FA9B69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Non-adherence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among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liver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transplant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recipients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associated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with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increased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risk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graft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failure</w:t>
            </w:r>
          </w:p>
        </w:tc>
      </w:tr>
      <w:tr w:rsidR="00CF58AE" w:rsidRPr="00CF58AE" w14:paraId="1531E0D9" w14:textId="77777777" w:rsidTr="005A21CA">
        <w:trPr>
          <w:trHeight w:val="331"/>
        </w:trPr>
        <w:tc>
          <w:tcPr>
            <w:tcW w:w="993" w:type="pct"/>
          </w:tcPr>
          <w:p w14:paraId="7FA6150E" w14:textId="1D3F0FA8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58AE">
              <w:rPr>
                <w:rFonts w:ascii="Book Antiqua" w:hAnsi="Book Antiqua"/>
              </w:rPr>
              <w:t>Stuber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5F0284" w:rsidRPr="00CF58AE">
              <w:rPr>
                <w:rFonts w:ascii="Book Antiqua" w:hAnsi="Book Antiqua"/>
                <w:vertAlign w:val="superscript"/>
              </w:rPr>
              <w:t>[19]</w:t>
            </w:r>
            <w:r w:rsidR="005F0284" w:rsidRPr="00CF58AE">
              <w:rPr>
                <w:rFonts w:ascii="Book Antiqua" w:hAnsi="Book Antiqua"/>
              </w:rPr>
              <w:t>,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2008</w:t>
            </w:r>
          </w:p>
        </w:tc>
        <w:tc>
          <w:tcPr>
            <w:tcW w:w="997" w:type="pct"/>
          </w:tcPr>
          <w:p w14:paraId="2182B7BE" w14:textId="777777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96</w:t>
            </w:r>
          </w:p>
        </w:tc>
        <w:tc>
          <w:tcPr>
            <w:tcW w:w="902" w:type="pct"/>
          </w:tcPr>
          <w:p w14:paraId="2ECFBF07" w14:textId="6F23E36D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Not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specified</w:t>
            </w:r>
          </w:p>
        </w:tc>
        <w:tc>
          <w:tcPr>
            <w:tcW w:w="1006" w:type="pct"/>
          </w:tcPr>
          <w:p w14:paraId="72E04290" w14:textId="777777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SD</w:t>
            </w:r>
          </w:p>
        </w:tc>
        <w:tc>
          <w:tcPr>
            <w:tcW w:w="1102" w:type="pct"/>
          </w:tcPr>
          <w:p w14:paraId="2066720B" w14:textId="1928D973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The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has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utility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monitoring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routine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blood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levels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pediatric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recipients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for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detecting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non-adherence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prior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to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clinical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rejection</w:t>
            </w:r>
          </w:p>
        </w:tc>
      </w:tr>
      <w:tr w:rsidR="00CF58AE" w:rsidRPr="00CF58AE" w14:paraId="1E278B7B" w14:textId="77777777" w:rsidTr="005A21CA">
        <w:trPr>
          <w:trHeight w:val="346"/>
        </w:trPr>
        <w:tc>
          <w:tcPr>
            <w:tcW w:w="993" w:type="pct"/>
          </w:tcPr>
          <w:p w14:paraId="358B97EF" w14:textId="4CB51221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58AE">
              <w:rPr>
                <w:rFonts w:ascii="Book Antiqua" w:hAnsi="Book Antiqua"/>
              </w:rPr>
              <w:t>Venkat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5F0284" w:rsidRPr="00CF58AE">
              <w:rPr>
                <w:rFonts w:ascii="Book Antiqua" w:hAnsi="Book Antiqua"/>
                <w:vertAlign w:val="superscript"/>
              </w:rPr>
              <w:t>[</w:t>
            </w:r>
            <w:r w:rsidR="00BB6007">
              <w:rPr>
                <w:rFonts w:ascii="Book Antiqua" w:hAnsi="Book Antiqua"/>
                <w:vertAlign w:val="superscript"/>
              </w:rPr>
              <w:t>32</w:t>
            </w:r>
            <w:r w:rsidR="005F0284" w:rsidRPr="00CF58AE">
              <w:rPr>
                <w:rFonts w:ascii="Book Antiqua" w:hAnsi="Book Antiqua"/>
                <w:vertAlign w:val="superscript"/>
              </w:rPr>
              <w:t>]</w:t>
            </w:r>
            <w:r w:rsidR="005F0284" w:rsidRPr="00CF58AE">
              <w:rPr>
                <w:rFonts w:ascii="Book Antiqua" w:hAnsi="Book Antiqua"/>
              </w:rPr>
              <w:t>,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2008</w:t>
            </w:r>
          </w:p>
        </w:tc>
        <w:tc>
          <w:tcPr>
            <w:tcW w:w="997" w:type="pct"/>
          </w:tcPr>
          <w:p w14:paraId="47508104" w14:textId="777777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101</w:t>
            </w:r>
          </w:p>
        </w:tc>
        <w:tc>
          <w:tcPr>
            <w:tcW w:w="902" w:type="pct"/>
          </w:tcPr>
          <w:p w14:paraId="76726472" w14:textId="30AF8CB9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Not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specified</w:t>
            </w:r>
          </w:p>
        </w:tc>
        <w:tc>
          <w:tcPr>
            <w:tcW w:w="1006" w:type="pct"/>
          </w:tcPr>
          <w:p w14:paraId="1D845C22" w14:textId="777777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SD</w:t>
            </w:r>
          </w:p>
        </w:tc>
        <w:tc>
          <w:tcPr>
            <w:tcW w:w="1102" w:type="pct"/>
          </w:tcPr>
          <w:p w14:paraId="79CF3B6C" w14:textId="3640C1DF" w:rsidR="00105B5B" w:rsidRPr="00CF58AE" w:rsidRDefault="00105B5B" w:rsidP="005A21CA">
            <w:pPr>
              <w:tabs>
                <w:tab w:val="left" w:pos="1228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Variations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blood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levels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associated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with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increased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risk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late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allograft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rejection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pediatric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recipients</w:t>
            </w:r>
          </w:p>
        </w:tc>
      </w:tr>
      <w:tr w:rsidR="00CF58AE" w:rsidRPr="00CF58AE" w14:paraId="527FC053" w14:textId="77777777" w:rsidTr="005A21CA">
        <w:trPr>
          <w:trHeight w:val="331"/>
        </w:trPr>
        <w:tc>
          <w:tcPr>
            <w:tcW w:w="993" w:type="pct"/>
          </w:tcPr>
          <w:p w14:paraId="6E1EC13A" w14:textId="598550F5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58AE">
              <w:rPr>
                <w:rFonts w:ascii="Book Antiqua" w:hAnsi="Book Antiqua"/>
              </w:rPr>
              <w:t>Shemesh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5F0284" w:rsidRPr="00CF58AE">
              <w:rPr>
                <w:rFonts w:ascii="Book Antiqua" w:hAnsi="Book Antiqua"/>
                <w:vertAlign w:val="superscript"/>
              </w:rPr>
              <w:t>[</w:t>
            </w:r>
            <w:r w:rsidR="00BB6007">
              <w:rPr>
                <w:rFonts w:ascii="Book Antiqua" w:hAnsi="Book Antiqua"/>
                <w:vertAlign w:val="superscript"/>
              </w:rPr>
              <w:t>33</w:t>
            </w:r>
            <w:r w:rsidR="005F0284" w:rsidRPr="00CF58AE">
              <w:rPr>
                <w:rFonts w:ascii="Book Antiqua" w:hAnsi="Book Antiqua"/>
                <w:vertAlign w:val="superscript"/>
              </w:rPr>
              <w:t>]</w:t>
            </w:r>
            <w:r w:rsidR="005F0284" w:rsidRPr="00CF58AE">
              <w:rPr>
                <w:rFonts w:ascii="Book Antiqua" w:hAnsi="Book Antiqua"/>
              </w:rPr>
              <w:t>,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2017</w:t>
            </w:r>
          </w:p>
        </w:tc>
        <w:tc>
          <w:tcPr>
            <w:tcW w:w="997" w:type="pct"/>
          </w:tcPr>
          <w:p w14:paraId="2CE7BC37" w14:textId="777777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400</w:t>
            </w:r>
          </w:p>
        </w:tc>
        <w:tc>
          <w:tcPr>
            <w:tcW w:w="902" w:type="pct"/>
          </w:tcPr>
          <w:p w14:paraId="512C646B" w14:textId="49181966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06" w:type="pct"/>
          </w:tcPr>
          <w:p w14:paraId="2F153FED" w14:textId="77F670CC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SD;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MLVI</w:t>
            </w:r>
          </w:p>
        </w:tc>
        <w:tc>
          <w:tcPr>
            <w:tcW w:w="1102" w:type="pct"/>
          </w:tcPr>
          <w:p w14:paraId="5D4245E1" w14:textId="007AED79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MLVI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predicts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late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acute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rejection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lastRenderedPageBreak/>
              <w:t>pediatric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liver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transplantation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recipients</w:t>
            </w:r>
          </w:p>
        </w:tc>
      </w:tr>
      <w:tr w:rsidR="00CF58AE" w:rsidRPr="00CF58AE" w14:paraId="34742605" w14:textId="77777777" w:rsidTr="005A21CA">
        <w:trPr>
          <w:trHeight w:val="331"/>
        </w:trPr>
        <w:tc>
          <w:tcPr>
            <w:tcW w:w="993" w:type="pct"/>
          </w:tcPr>
          <w:p w14:paraId="0A020619" w14:textId="6A7FA017" w:rsidR="00105B5B" w:rsidRPr="00CF58AE" w:rsidRDefault="005F0284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lastRenderedPageBreak/>
              <w:t>de Oliveira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Pr="00CF58AE">
              <w:rPr>
                <w:rFonts w:ascii="Book Antiqua" w:hAnsi="Book Antiqua"/>
                <w:vertAlign w:val="superscript"/>
              </w:rPr>
              <w:t>[</w:t>
            </w:r>
            <w:r w:rsidR="00BB6007" w:rsidRPr="00CF58AE">
              <w:rPr>
                <w:rFonts w:ascii="Book Antiqua" w:hAnsi="Book Antiqua"/>
                <w:vertAlign w:val="superscript"/>
              </w:rPr>
              <w:t>3</w:t>
            </w:r>
            <w:r w:rsidR="00BB6007">
              <w:rPr>
                <w:rFonts w:ascii="Book Antiqua" w:hAnsi="Book Antiqua"/>
                <w:vertAlign w:val="superscript"/>
              </w:rPr>
              <w:t>4</w:t>
            </w:r>
            <w:r w:rsidRPr="00CF58AE">
              <w:rPr>
                <w:rFonts w:ascii="Book Antiqua" w:hAnsi="Book Antiqua"/>
                <w:vertAlign w:val="superscript"/>
              </w:rPr>
              <w:t>]</w:t>
            </w:r>
            <w:r w:rsidRPr="00CF58AE">
              <w:rPr>
                <w:rFonts w:ascii="Book Antiqua" w:hAnsi="Book Antiqua"/>
              </w:rPr>
              <w:t>,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="00105B5B" w:rsidRPr="00CF58AE">
              <w:rPr>
                <w:rFonts w:ascii="Book Antiqua" w:hAnsi="Book Antiqua"/>
              </w:rPr>
              <w:t>2017</w:t>
            </w:r>
          </w:p>
        </w:tc>
        <w:tc>
          <w:tcPr>
            <w:tcW w:w="997" w:type="pct"/>
          </w:tcPr>
          <w:p w14:paraId="0AB0ADAC" w14:textId="777777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50</w:t>
            </w:r>
          </w:p>
        </w:tc>
        <w:tc>
          <w:tcPr>
            <w:tcW w:w="902" w:type="pct"/>
          </w:tcPr>
          <w:p w14:paraId="370368FD" w14:textId="052D5A49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06" w:type="pct"/>
          </w:tcPr>
          <w:p w14:paraId="18DF9305" w14:textId="2972ED81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SD;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MLVI</w:t>
            </w:r>
          </w:p>
        </w:tc>
        <w:tc>
          <w:tcPr>
            <w:tcW w:w="1102" w:type="pct"/>
          </w:tcPr>
          <w:p w14:paraId="5417E9E0" w14:textId="2CA79CB0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MLVI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may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be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nice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indicator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the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risk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medication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non-</w:t>
            </w:r>
            <w:r w:rsidR="00FE113D" w:rsidRPr="00CF58AE">
              <w:rPr>
                <w:rFonts w:ascii="Book Antiqua" w:hAnsi="Book Antiqua"/>
              </w:rPr>
              <w:t>adherence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child-age</w:t>
            </w:r>
          </w:p>
        </w:tc>
      </w:tr>
      <w:tr w:rsidR="00CF58AE" w:rsidRPr="00CF58AE" w14:paraId="417EBAA4" w14:textId="77777777" w:rsidTr="005A21CA">
        <w:trPr>
          <w:trHeight w:val="331"/>
        </w:trPr>
        <w:tc>
          <w:tcPr>
            <w:tcW w:w="993" w:type="pct"/>
          </w:tcPr>
          <w:p w14:paraId="66E35A04" w14:textId="3D2D916F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58AE">
              <w:rPr>
                <w:rFonts w:ascii="Book Antiqua" w:hAnsi="Book Antiqua"/>
              </w:rPr>
              <w:t>Defrancq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5F0284" w:rsidRPr="00CF58AE">
              <w:rPr>
                <w:rFonts w:ascii="Book Antiqua" w:hAnsi="Book Antiqua"/>
                <w:vertAlign w:val="superscript"/>
              </w:rPr>
              <w:t>[</w:t>
            </w:r>
            <w:r w:rsidR="00BB6007" w:rsidRPr="00CF58AE">
              <w:rPr>
                <w:rFonts w:ascii="Book Antiqua" w:hAnsi="Book Antiqua"/>
                <w:vertAlign w:val="superscript"/>
              </w:rPr>
              <w:t>3</w:t>
            </w:r>
            <w:r w:rsidR="00BB6007">
              <w:rPr>
                <w:rFonts w:ascii="Book Antiqua" w:hAnsi="Book Antiqua"/>
                <w:vertAlign w:val="superscript"/>
              </w:rPr>
              <w:t>5</w:t>
            </w:r>
            <w:r w:rsidR="005F0284" w:rsidRPr="00CF58AE">
              <w:rPr>
                <w:rFonts w:ascii="Book Antiqua" w:hAnsi="Book Antiqua"/>
                <w:vertAlign w:val="superscript"/>
              </w:rPr>
              <w:t>]</w:t>
            </w:r>
            <w:r w:rsidR="005F0284" w:rsidRPr="00CF58AE">
              <w:rPr>
                <w:rFonts w:ascii="Book Antiqua" w:hAnsi="Book Antiqua"/>
              </w:rPr>
              <w:t>,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2019</w:t>
            </w:r>
          </w:p>
        </w:tc>
        <w:tc>
          <w:tcPr>
            <w:tcW w:w="997" w:type="pct"/>
          </w:tcPr>
          <w:p w14:paraId="3B01413E" w14:textId="777777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41</w:t>
            </w:r>
          </w:p>
        </w:tc>
        <w:tc>
          <w:tcPr>
            <w:tcW w:w="902" w:type="pct"/>
          </w:tcPr>
          <w:p w14:paraId="3A30AFAE" w14:textId="3513C9CC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06" w:type="pct"/>
          </w:tcPr>
          <w:p w14:paraId="78D07CFA" w14:textId="777777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CV</w:t>
            </w:r>
          </w:p>
        </w:tc>
        <w:tc>
          <w:tcPr>
            <w:tcW w:w="1102" w:type="pct"/>
          </w:tcPr>
          <w:p w14:paraId="715769B2" w14:textId="75D32735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High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IPV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may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be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associated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with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adverse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patient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outcomes.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Also,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there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some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impact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biological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factors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IPV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therapy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adherence</w:t>
            </w:r>
          </w:p>
        </w:tc>
      </w:tr>
      <w:tr w:rsidR="00CF58AE" w:rsidRPr="00CF58AE" w14:paraId="495579F3" w14:textId="77777777" w:rsidTr="005A21CA">
        <w:trPr>
          <w:trHeight w:val="331"/>
        </w:trPr>
        <w:tc>
          <w:tcPr>
            <w:tcW w:w="993" w:type="pct"/>
          </w:tcPr>
          <w:p w14:paraId="35CAEB7D" w14:textId="18312B90" w:rsidR="00105B5B" w:rsidRPr="00CF58AE" w:rsidRDefault="001860EA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eastAsia="Book Antiqua" w:hAnsi="Book Antiqua" w:cs="Book Antiqua"/>
              </w:rPr>
              <w:t xml:space="preserve">Christina </w:t>
            </w:r>
            <w:r w:rsidRPr="00CF58AE">
              <w:rPr>
                <w:rFonts w:ascii="Book Antiqua" w:eastAsia="Book Antiqua" w:hAnsi="Book Antiqua" w:cs="Book Antiqua"/>
                <w:i/>
                <w:iCs/>
              </w:rPr>
              <w:t>et al</w:t>
            </w:r>
            <w:r w:rsidRPr="00CF58AE">
              <w:rPr>
                <w:rFonts w:ascii="Book Antiqua" w:eastAsia="Book Antiqua" w:hAnsi="Book Antiqua" w:cs="Book Antiqua"/>
                <w:vertAlign w:val="superscript"/>
              </w:rPr>
              <w:t>[</w:t>
            </w:r>
            <w:r w:rsidR="00BB6007" w:rsidRPr="00CF58AE">
              <w:rPr>
                <w:rFonts w:ascii="Book Antiqua" w:eastAsia="Book Antiqua" w:hAnsi="Book Antiqua" w:cs="Book Antiqua"/>
                <w:vertAlign w:val="superscript"/>
              </w:rPr>
              <w:t>3</w:t>
            </w:r>
            <w:r w:rsidR="00BB6007">
              <w:rPr>
                <w:rFonts w:ascii="Book Antiqua" w:eastAsia="Book Antiqua" w:hAnsi="Book Antiqua" w:cs="Book Antiqua"/>
                <w:vertAlign w:val="superscript"/>
              </w:rPr>
              <w:t>6</w:t>
            </w:r>
            <w:r w:rsidRPr="00CF58AE">
              <w:rPr>
                <w:rFonts w:ascii="Book Antiqua" w:eastAsia="Book Antiqua" w:hAnsi="Book Antiqua" w:cs="Book Antiqua"/>
                <w:vertAlign w:val="superscript"/>
              </w:rPr>
              <w:t>]</w:t>
            </w:r>
            <w:r w:rsidRPr="00CF58AE">
              <w:rPr>
                <w:rFonts w:ascii="Book Antiqua" w:eastAsia="Book Antiqua" w:hAnsi="Book Antiqua" w:cs="Book Antiqua"/>
              </w:rPr>
              <w:t>, 2014</w:t>
            </w:r>
          </w:p>
        </w:tc>
        <w:tc>
          <w:tcPr>
            <w:tcW w:w="997" w:type="pct"/>
          </w:tcPr>
          <w:p w14:paraId="44B8DFF2" w14:textId="777777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150</w:t>
            </w:r>
          </w:p>
        </w:tc>
        <w:tc>
          <w:tcPr>
            <w:tcW w:w="902" w:type="pct"/>
          </w:tcPr>
          <w:p w14:paraId="03740FF9" w14:textId="2F4CCB00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Not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specified</w:t>
            </w:r>
          </w:p>
        </w:tc>
        <w:tc>
          <w:tcPr>
            <w:tcW w:w="1006" w:type="pct"/>
          </w:tcPr>
          <w:p w14:paraId="16957AC2" w14:textId="1DEB27CD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SD;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MLVI</w:t>
            </w:r>
          </w:p>
        </w:tc>
        <w:tc>
          <w:tcPr>
            <w:tcW w:w="1102" w:type="pct"/>
          </w:tcPr>
          <w:p w14:paraId="7F9319E6" w14:textId="409413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The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MLVI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associated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with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can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predict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rejection,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possibly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related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to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non-adherence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adult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recipients</w:t>
            </w:r>
          </w:p>
        </w:tc>
      </w:tr>
      <w:tr w:rsidR="00CF58AE" w:rsidRPr="00CF58AE" w14:paraId="699B6091" w14:textId="77777777" w:rsidTr="005A21CA">
        <w:trPr>
          <w:trHeight w:val="331"/>
        </w:trPr>
        <w:tc>
          <w:tcPr>
            <w:tcW w:w="993" w:type="pct"/>
          </w:tcPr>
          <w:p w14:paraId="6F34409B" w14:textId="3160FDCB" w:rsidR="00105B5B" w:rsidRPr="00CF58AE" w:rsidRDefault="00926C37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Del Bello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Pr="00CF58AE">
              <w:rPr>
                <w:rFonts w:ascii="Book Antiqua" w:hAnsi="Book Antiqua"/>
                <w:vertAlign w:val="superscript"/>
              </w:rPr>
              <w:t>[</w:t>
            </w:r>
            <w:r w:rsidR="00BB6007" w:rsidRPr="00CF58AE">
              <w:rPr>
                <w:rFonts w:ascii="Book Antiqua" w:hAnsi="Book Antiqua"/>
                <w:vertAlign w:val="superscript"/>
              </w:rPr>
              <w:t>3</w:t>
            </w:r>
            <w:r w:rsidR="00BB6007">
              <w:rPr>
                <w:rFonts w:ascii="Book Antiqua" w:hAnsi="Book Antiqua"/>
                <w:vertAlign w:val="superscript"/>
              </w:rPr>
              <w:t>7</w:t>
            </w:r>
            <w:r w:rsidRPr="00CF58AE">
              <w:rPr>
                <w:rFonts w:ascii="Book Antiqua" w:hAnsi="Book Antiqua"/>
                <w:vertAlign w:val="superscript"/>
              </w:rPr>
              <w:t>]</w:t>
            </w:r>
            <w:r w:rsidRPr="00CF58AE">
              <w:rPr>
                <w:rFonts w:ascii="Book Antiqua" w:hAnsi="Book Antiqua"/>
              </w:rPr>
              <w:t xml:space="preserve">, </w:t>
            </w:r>
            <w:r w:rsidR="00105B5B" w:rsidRPr="00CF58AE">
              <w:rPr>
                <w:rFonts w:ascii="Book Antiqua" w:hAnsi="Book Antiqua"/>
              </w:rPr>
              <w:t>2018</w:t>
            </w:r>
          </w:p>
        </w:tc>
        <w:tc>
          <w:tcPr>
            <w:tcW w:w="997" w:type="pct"/>
          </w:tcPr>
          <w:p w14:paraId="429F78A3" w14:textId="777777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116</w:t>
            </w:r>
          </w:p>
        </w:tc>
        <w:tc>
          <w:tcPr>
            <w:tcW w:w="902" w:type="pct"/>
          </w:tcPr>
          <w:p w14:paraId="7AE3E8A4" w14:textId="4B526F84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only</w:t>
            </w:r>
          </w:p>
        </w:tc>
        <w:tc>
          <w:tcPr>
            <w:tcW w:w="1006" w:type="pct"/>
          </w:tcPr>
          <w:p w14:paraId="1460DD35" w14:textId="777777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CV</w:t>
            </w:r>
          </w:p>
        </w:tc>
        <w:tc>
          <w:tcPr>
            <w:tcW w:w="1102" w:type="pct"/>
          </w:tcPr>
          <w:p w14:paraId="6312F705" w14:textId="451C1C73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58AE">
              <w:rPr>
                <w:rFonts w:ascii="Book Antiqua" w:hAnsi="Book Antiqua"/>
              </w:rPr>
              <w:t>Tac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IPV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could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be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useful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to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identify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patients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with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lastRenderedPageBreak/>
              <w:t>greater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risk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graft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rejection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pf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="00FE113D" w:rsidRPr="00CF58AE">
              <w:rPr>
                <w:rFonts w:ascii="Book Antiqua" w:hAnsi="Book Antiqua"/>
              </w:rPr>
              <w:t>developing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="005F0284" w:rsidRPr="00CF58AE">
              <w:rPr>
                <w:rFonts w:ascii="Book Antiqua" w:hAnsi="Book Antiqua"/>
                <w:i/>
                <w:iCs/>
              </w:rPr>
              <w:t>de novo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DSA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after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liver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transplantation</w:t>
            </w:r>
          </w:p>
        </w:tc>
      </w:tr>
      <w:tr w:rsidR="00CF58AE" w:rsidRPr="00CF58AE" w14:paraId="7DF7E4F3" w14:textId="77777777" w:rsidTr="005A21CA">
        <w:trPr>
          <w:trHeight w:val="331"/>
        </w:trPr>
        <w:tc>
          <w:tcPr>
            <w:tcW w:w="993" w:type="pct"/>
          </w:tcPr>
          <w:p w14:paraId="08D48E25" w14:textId="70F51D59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58AE">
              <w:rPr>
                <w:rFonts w:ascii="Book Antiqua" w:hAnsi="Book Antiqua"/>
              </w:rPr>
              <w:lastRenderedPageBreak/>
              <w:t>Rayar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926C37" w:rsidRPr="00CF58AE">
              <w:rPr>
                <w:rFonts w:ascii="Book Antiqua" w:hAnsi="Book Antiqua"/>
                <w:vertAlign w:val="superscript"/>
              </w:rPr>
              <w:t>[</w:t>
            </w:r>
            <w:r w:rsidR="00BB6007" w:rsidRPr="00CF58AE">
              <w:rPr>
                <w:rFonts w:ascii="Book Antiqua" w:hAnsi="Book Antiqua"/>
                <w:vertAlign w:val="superscript"/>
              </w:rPr>
              <w:t>3</w:t>
            </w:r>
            <w:r w:rsidR="00BB6007">
              <w:rPr>
                <w:rFonts w:ascii="Book Antiqua" w:hAnsi="Book Antiqua"/>
                <w:vertAlign w:val="superscript"/>
              </w:rPr>
              <w:t>8</w:t>
            </w:r>
            <w:r w:rsidR="00926C37" w:rsidRPr="00CF58AE">
              <w:rPr>
                <w:rFonts w:ascii="Book Antiqua" w:hAnsi="Book Antiqua"/>
                <w:vertAlign w:val="superscript"/>
              </w:rPr>
              <w:t>]</w:t>
            </w:r>
            <w:r w:rsidR="00926C37" w:rsidRPr="00CF58AE">
              <w:rPr>
                <w:rFonts w:ascii="Book Antiqua" w:hAnsi="Book Antiqua"/>
              </w:rPr>
              <w:t>,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2018</w:t>
            </w:r>
          </w:p>
        </w:tc>
        <w:tc>
          <w:tcPr>
            <w:tcW w:w="997" w:type="pct"/>
          </w:tcPr>
          <w:p w14:paraId="5D5DD165" w14:textId="777777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812</w:t>
            </w:r>
          </w:p>
        </w:tc>
        <w:tc>
          <w:tcPr>
            <w:tcW w:w="902" w:type="pct"/>
          </w:tcPr>
          <w:p w14:paraId="7336F31E" w14:textId="7047A45C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only</w:t>
            </w:r>
          </w:p>
        </w:tc>
        <w:tc>
          <w:tcPr>
            <w:tcW w:w="1006" w:type="pct"/>
          </w:tcPr>
          <w:p w14:paraId="1E19C787" w14:textId="777777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CV</w:t>
            </w:r>
          </w:p>
        </w:tc>
        <w:tc>
          <w:tcPr>
            <w:tcW w:w="1102" w:type="pct"/>
          </w:tcPr>
          <w:p w14:paraId="5E0842CF" w14:textId="7406742E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High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concentrations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was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found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to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be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predictive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</w:t>
            </w:r>
            <w:proofErr w:type="spellEnd"/>
            <w:r w:rsidRPr="00CF58AE">
              <w:rPr>
                <w:rFonts w:ascii="Book Antiqua" w:hAnsi="Book Antiqua"/>
              </w:rPr>
              <w:t>-related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toxicity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poorer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survival</w:t>
            </w:r>
          </w:p>
        </w:tc>
      </w:tr>
      <w:tr w:rsidR="00CF58AE" w:rsidRPr="00CF58AE" w14:paraId="0C158A27" w14:textId="77777777" w:rsidTr="005A21CA">
        <w:trPr>
          <w:trHeight w:val="331"/>
        </w:trPr>
        <w:tc>
          <w:tcPr>
            <w:tcW w:w="993" w:type="pct"/>
          </w:tcPr>
          <w:p w14:paraId="2A1731BE" w14:textId="0673DFEA" w:rsidR="00105B5B" w:rsidRPr="00CF58AE" w:rsidRDefault="00926C37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van der Veer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Pr="00CF58AE">
              <w:rPr>
                <w:rFonts w:ascii="Book Antiqua" w:hAnsi="Book Antiqua"/>
                <w:vertAlign w:val="superscript"/>
              </w:rPr>
              <w:t>[</w:t>
            </w:r>
            <w:r w:rsidR="00BB6007" w:rsidRPr="00CF58AE">
              <w:rPr>
                <w:rFonts w:ascii="Book Antiqua" w:hAnsi="Book Antiqua"/>
                <w:vertAlign w:val="superscript"/>
              </w:rPr>
              <w:t>3</w:t>
            </w:r>
            <w:r w:rsidR="00BB6007">
              <w:rPr>
                <w:rFonts w:ascii="Book Antiqua" w:hAnsi="Book Antiqua"/>
                <w:vertAlign w:val="superscript"/>
              </w:rPr>
              <w:t>9</w:t>
            </w:r>
            <w:r w:rsidRPr="00CF58AE">
              <w:rPr>
                <w:rFonts w:ascii="Book Antiqua" w:hAnsi="Book Antiqua"/>
                <w:vertAlign w:val="superscript"/>
              </w:rPr>
              <w:t>]</w:t>
            </w:r>
            <w:r w:rsidRPr="00CF58AE">
              <w:rPr>
                <w:rFonts w:ascii="Book Antiqua" w:hAnsi="Book Antiqua"/>
              </w:rPr>
              <w:t>,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="00105B5B" w:rsidRPr="00CF58AE">
              <w:rPr>
                <w:rFonts w:ascii="Book Antiqua" w:hAnsi="Book Antiqua"/>
              </w:rPr>
              <w:t>2019</w:t>
            </w:r>
          </w:p>
        </w:tc>
        <w:tc>
          <w:tcPr>
            <w:tcW w:w="997" w:type="pct"/>
          </w:tcPr>
          <w:p w14:paraId="56DC1C6A" w14:textId="777777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326</w:t>
            </w:r>
          </w:p>
        </w:tc>
        <w:tc>
          <w:tcPr>
            <w:tcW w:w="902" w:type="pct"/>
          </w:tcPr>
          <w:p w14:paraId="553AF8E8" w14:textId="5B8CE906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06" w:type="pct"/>
          </w:tcPr>
          <w:p w14:paraId="526BB36C" w14:textId="777777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CV</w:t>
            </w:r>
          </w:p>
        </w:tc>
        <w:tc>
          <w:tcPr>
            <w:tcW w:w="1102" w:type="pct"/>
          </w:tcPr>
          <w:p w14:paraId="08CF1998" w14:textId="525DD9BC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High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IPV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exposure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beyond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6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mo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after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liver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transplantation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was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not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associated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with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imune</w:t>
            </w:r>
            <w:proofErr w:type="spellEnd"/>
            <w:r w:rsidRPr="00CF58AE">
              <w:rPr>
                <w:rFonts w:ascii="Book Antiqua" w:hAnsi="Book Antiqua"/>
              </w:rPr>
              <w:t>-mediated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graft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injury</w:t>
            </w:r>
          </w:p>
        </w:tc>
      </w:tr>
      <w:tr w:rsidR="00CF58AE" w:rsidRPr="00CF58AE" w14:paraId="4A292533" w14:textId="77777777" w:rsidTr="005A21CA">
        <w:trPr>
          <w:trHeight w:val="331"/>
        </w:trPr>
        <w:tc>
          <w:tcPr>
            <w:tcW w:w="993" w:type="pct"/>
          </w:tcPr>
          <w:p w14:paraId="3161BAE8" w14:textId="2661BBCC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58AE">
              <w:rPr>
                <w:rFonts w:ascii="Book Antiqua" w:hAnsi="Book Antiqua"/>
              </w:rPr>
              <w:t>Dopazo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973E46" w:rsidRPr="00CF58AE">
              <w:rPr>
                <w:rFonts w:ascii="Book Antiqua" w:hAnsi="Book Antiqua"/>
                <w:vertAlign w:val="superscript"/>
              </w:rPr>
              <w:t>[</w:t>
            </w:r>
            <w:r w:rsidR="00BB6007">
              <w:rPr>
                <w:rFonts w:ascii="Book Antiqua" w:hAnsi="Book Antiqua"/>
                <w:vertAlign w:val="superscript"/>
              </w:rPr>
              <w:t>40</w:t>
            </w:r>
            <w:r w:rsidR="00973E46" w:rsidRPr="00CF58AE">
              <w:rPr>
                <w:rFonts w:ascii="Book Antiqua" w:hAnsi="Book Antiqua"/>
                <w:vertAlign w:val="superscript"/>
              </w:rPr>
              <w:t>]</w:t>
            </w:r>
            <w:r w:rsidR="00973E46" w:rsidRPr="00CF58AE">
              <w:rPr>
                <w:rFonts w:ascii="Book Antiqua" w:hAnsi="Book Antiqua"/>
              </w:rPr>
              <w:t>,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2022</w:t>
            </w:r>
          </w:p>
        </w:tc>
        <w:tc>
          <w:tcPr>
            <w:tcW w:w="997" w:type="pct"/>
          </w:tcPr>
          <w:p w14:paraId="0D4C2DBA" w14:textId="777777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140</w:t>
            </w:r>
          </w:p>
        </w:tc>
        <w:tc>
          <w:tcPr>
            <w:tcW w:w="902" w:type="pct"/>
          </w:tcPr>
          <w:p w14:paraId="3E82EB13" w14:textId="6B09B31D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only</w:t>
            </w:r>
          </w:p>
        </w:tc>
        <w:tc>
          <w:tcPr>
            <w:tcW w:w="1006" w:type="pct"/>
          </w:tcPr>
          <w:p w14:paraId="3F80FBB6" w14:textId="777777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CV</w:t>
            </w:r>
          </w:p>
        </w:tc>
        <w:tc>
          <w:tcPr>
            <w:tcW w:w="1102" w:type="pct"/>
          </w:tcPr>
          <w:p w14:paraId="52455DB7" w14:textId="43DE9605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High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IPV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between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the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third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sixth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months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appears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to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be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="00FE113D" w:rsidRPr="00CF58AE">
              <w:rPr>
                <w:rFonts w:ascii="Book Antiqua" w:hAnsi="Book Antiqua"/>
              </w:rPr>
              <w:t>an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early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independent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predictor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poorer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liver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lastRenderedPageBreak/>
              <w:t>transplant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outcomes</w:t>
            </w:r>
          </w:p>
        </w:tc>
      </w:tr>
      <w:tr w:rsidR="00CF58AE" w:rsidRPr="00CF58AE" w14:paraId="778D545A" w14:textId="77777777" w:rsidTr="00AA4A90">
        <w:trPr>
          <w:trHeight w:val="331"/>
        </w:trPr>
        <w:tc>
          <w:tcPr>
            <w:tcW w:w="993" w:type="pct"/>
            <w:tcBorders>
              <w:bottom w:val="single" w:sz="4" w:space="0" w:color="auto"/>
            </w:tcBorders>
          </w:tcPr>
          <w:p w14:paraId="2784E8B3" w14:textId="377C324A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lastRenderedPageBreak/>
              <w:t>Kim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973E46" w:rsidRPr="00CF58AE">
              <w:rPr>
                <w:rFonts w:ascii="Book Antiqua" w:hAnsi="Book Antiqua"/>
                <w:vertAlign w:val="superscript"/>
              </w:rPr>
              <w:t>[</w:t>
            </w:r>
            <w:r w:rsidR="00BB6007">
              <w:rPr>
                <w:rFonts w:ascii="Book Antiqua" w:hAnsi="Book Antiqua"/>
                <w:vertAlign w:val="superscript"/>
              </w:rPr>
              <w:t>41</w:t>
            </w:r>
            <w:r w:rsidR="00973E46" w:rsidRPr="00CF58AE">
              <w:rPr>
                <w:rFonts w:ascii="Book Antiqua" w:hAnsi="Book Antiqua"/>
                <w:vertAlign w:val="superscript"/>
              </w:rPr>
              <w:t>]</w:t>
            </w:r>
            <w:r w:rsidR="00973E46" w:rsidRPr="00CF58AE">
              <w:rPr>
                <w:rFonts w:ascii="Book Antiqua" w:hAnsi="Book Antiqua"/>
              </w:rPr>
              <w:t>,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2022</w:t>
            </w: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14:paraId="30DFE655" w14:textId="777777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636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14:paraId="1894136A" w14:textId="7F0D1FEA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14:paraId="03B97665" w14:textId="77777777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CV</w:t>
            </w: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14:paraId="7CFFAC99" w14:textId="7C2E151E" w:rsidR="00105B5B" w:rsidRPr="00CF58AE" w:rsidRDefault="00105B5B" w:rsidP="005A21C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High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IPV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was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associated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with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increased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risks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overall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mortality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HCC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recurrence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liver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transplantation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recipients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with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HCC</w:t>
            </w:r>
          </w:p>
        </w:tc>
      </w:tr>
    </w:tbl>
    <w:p w14:paraId="0248044D" w14:textId="0FCA4B22" w:rsidR="00105B5B" w:rsidRPr="00CF58AE" w:rsidRDefault="00AA4A90" w:rsidP="005A21CA">
      <w:pPr>
        <w:pStyle w:val="a5"/>
        <w:spacing w:before="0" w:line="360" w:lineRule="auto"/>
        <w:ind w:left="0"/>
        <w:rPr>
          <w:rFonts w:ascii="Book Antiqua" w:hAnsi="Book Antiqua"/>
        </w:rPr>
      </w:pPr>
      <w:r w:rsidRPr="00CF58AE">
        <w:rPr>
          <w:rFonts w:ascii="Book Antiqua" w:hAnsi="Book Antiqua" w:cs="Times New Roman"/>
        </w:rPr>
        <w:t>SD:</w:t>
      </w:r>
      <w:r w:rsidRPr="00CF58AE">
        <w:rPr>
          <w:rFonts w:ascii="Book Antiqua" w:hAnsi="Book Antiqua" w:cs="Times New Roman"/>
          <w:b/>
          <w:bCs/>
        </w:rPr>
        <w:t xml:space="preserve"> </w:t>
      </w:r>
      <w:r w:rsidRPr="00CF58AE">
        <w:rPr>
          <w:rFonts w:ascii="Book Antiqua" w:hAnsi="Book Antiqua" w:cs="Times New Roman"/>
        </w:rPr>
        <w:t>Standard</w:t>
      </w:r>
      <w:r w:rsidRPr="00CF58AE">
        <w:rPr>
          <w:rFonts w:ascii="Book Antiqua" w:hAnsi="Book Antiqua" w:cs="Times New Roman"/>
          <w:b/>
          <w:bCs/>
        </w:rPr>
        <w:t xml:space="preserve"> </w:t>
      </w:r>
      <w:r w:rsidRPr="00CF58AE">
        <w:rPr>
          <w:rFonts w:ascii="Book Antiqua" w:hAnsi="Book Antiqua" w:cs="Times New Roman"/>
        </w:rPr>
        <w:t>deviation;</w:t>
      </w:r>
      <w:r w:rsidRPr="00CF58AE">
        <w:rPr>
          <w:rFonts w:ascii="Book Antiqua" w:hAnsi="Book Antiqua" w:cs="Times New Roman"/>
          <w:b/>
          <w:bCs/>
        </w:rPr>
        <w:t xml:space="preserve"> </w:t>
      </w:r>
      <w:r w:rsidRPr="00CF58AE">
        <w:rPr>
          <w:rFonts w:ascii="Book Antiqua" w:hAnsi="Book Antiqua" w:cs="Times New Roman"/>
        </w:rPr>
        <w:t>CV:</w:t>
      </w:r>
      <w:r w:rsidRPr="00CF58AE">
        <w:rPr>
          <w:rFonts w:ascii="Book Antiqua" w:hAnsi="Book Antiqua" w:cs="Times New Roman"/>
          <w:b/>
          <w:bCs/>
        </w:rPr>
        <w:t xml:space="preserve"> </w:t>
      </w:r>
      <w:r w:rsidRPr="00CF58AE">
        <w:rPr>
          <w:rFonts w:ascii="Book Antiqua" w:hAnsi="Book Antiqua" w:cs="Times New Roman"/>
        </w:rPr>
        <w:t>Coefficient</w:t>
      </w:r>
      <w:r w:rsidRPr="00CF58AE">
        <w:rPr>
          <w:rFonts w:ascii="Book Antiqua" w:hAnsi="Book Antiqua" w:cs="Times New Roman"/>
          <w:b/>
          <w:bCs/>
        </w:rPr>
        <w:t xml:space="preserve"> </w:t>
      </w:r>
      <w:r w:rsidRPr="00CF58AE">
        <w:rPr>
          <w:rFonts w:ascii="Book Antiqua" w:hAnsi="Book Antiqua" w:cs="Times New Roman"/>
        </w:rPr>
        <w:t>of</w:t>
      </w:r>
      <w:r w:rsidRPr="00CF58AE">
        <w:rPr>
          <w:rFonts w:ascii="Book Antiqua" w:hAnsi="Book Antiqua" w:cs="Times New Roman"/>
          <w:b/>
          <w:bCs/>
        </w:rPr>
        <w:t xml:space="preserve"> </w:t>
      </w:r>
      <w:r w:rsidRPr="00CF58AE">
        <w:rPr>
          <w:rFonts w:ascii="Book Antiqua" w:hAnsi="Book Antiqua" w:cs="Times New Roman"/>
        </w:rPr>
        <w:t>variation;</w:t>
      </w:r>
      <w:r w:rsidRPr="00CF58AE">
        <w:rPr>
          <w:rFonts w:ascii="Book Antiqua" w:hAnsi="Book Antiqua" w:cs="Times New Roman"/>
          <w:b/>
          <w:bCs/>
        </w:rPr>
        <w:t xml:space="preserve"> </w:t>
      </w:r>
      <w:r w:rsidRPr="00CF58AE">
        <w:rPr>
          <w:rFonts w:ascii="Book Antiqua" w:hAnsi="Book Antiqua" w:cs="Times New Roman"/>
        </w:rPr>
        <w:t>MLVI:</w:t>
      </w:r>
      <w:r w:rsidRPr="00CF58AE">
        <w:rPr>
          <w:rFonts w:ascii="Book Antiqua" w:hAnsi="Book Antiqua" w:cs="Times New Roman"/>
          <w:b/>
          <w:bCs/>
        </w:rPr>
        <w:t xml:space="preserve"> </w:t>
      </w:r>
      <w:r w:rsidRPr="00CF58AE">
        <w:rPr>
          <w:rFonts w:ascii="Book Antiqua" w:hAnsi="Book Antiqua" w:cs="Times New Roman"/>
        </w:rPr>
        <w:t>Medication</w:t>
      </w:r>
      <w:r w:rsidRPr="00CF58AE">
        <w:rPr>
          <w:rFonts w:ascii="Book Antiqua" w:hAnsi="Book Antiqua" w:cs="Times New Roman"/>
          <w:b/>
          <w:bCs/>
        </w:rPr>
        <w:t xml:space="preserve"> </w:t>
      </w:r>
      <w:r w:rsidRPr="00CF58AE">
        <w:rPr>
          <w:rFonts w:ascii="Book Antiqua" w:hAnsi="Book Antiqua" w:cs="Times New Roman"/>
        </w:rPr>
        <w:t>level</w:t>
      </w:r>
      <w:r w:rsidRPr="00CF58AE">
        <w:rPr>
          <w:rFonts w:ascii="Book Antiqua" w:hAnsi="Book Antiqua" w:cs="Times New Roman"/>
          <w:b/>
          <w:bCs/>
        </w:rPr>
        <w:t xml:space="preserve"> </w:t>
      </w:r>
      <w:r w:rsidRPr="00CF58AE">
        <w:rPr>
          <w:rFonts w:ascii="Book Antiqua" w:hAnsi="Book Antiqua" w:cs="Times New Roman"/>
        </w:rPr>
        <w:t>variability</w:t>
      </w:r>
      <w:r w:rsidRPr="00CF58AE">
        <w:rPr>
          <w:rFonts w:ascii="Book Antiqua" w:hAnsi="Book Antiqua" w:cs="Times New Roman"/>
          <w:b/>
          <w:bCs/>
        </w:rPr>
        <w:t xml:space="preserve"> </w:t>
      </w:r>
      <w:r w:rsidRPr="00CF58AE">
        <w:rPr>
          <w:rFonts w:ascii="Book Antiqua" w:hAnsi="Book Antiqua" w:cs="Times New Roman"/>
        </w:rPr>
        <w:t>index;</w:t>
      </w:r>
      <w:r w:rsidRPr="00CF58AE">
        <w:rPr>
          <w:rFonts w:ascii="Book Antiqua" w:hAnsi="Book Antiqua" w:cs="Times New Roman"/>
          <w:b/>
          <w:bCs/>
        </w:rPr>
        <w:t xml:space="preserve"> </w:t>
      </w:r>
      <w:r w:rsidRPr="00CF58AE">
        <w:rPr>
          <w:rFonts w:ascii="Book Antiqua" w:hAnsi="Book Antiqua" w:cs="Times New Roman"/>
        </w:rPr>
        <w:t>DSA:</w:t>
      </w:r>
      <w:r w:rsidRPr="00CF58AE">
        <w:rPr>
          <w:rFonts w:ascii="Book Antiqua" w:hAnsi="Book Antiqua" w:cs="Times New Roman"/>
          <w:b/>
          <w:bCs/>
        </w:rPr>
        <w:t xml:space="preserve"> </w:t>
      </w:r>
      <w:r w:rsidRPr="00CF58AE">
        <w:rPr>
          <w:rFonts w:ascii="Book Antiqua" w:hAnsi="Book Antiqua" w:cs="Times New Roman"/>
        </w:rPr>
        <w:t>Donor-specific</w:t>
      </w:r>
      <w:r w:rsidRPr="00CF58AE">
        <w:rPr>
          <w:rFonts w:ascii="Book Antiqua" w:hAnsi="Book Antiqua" w:cs="Times New Roman"/>
          <w:b/>
          <w:bCs/>
        </w:rPr>
        <w:t xml:space="preserve"> </w:t>
      </w:r>
      <w:r w:rsidRPr="00CF58AE">
        <w:rPr>
          <w:rFonts w:ascii="Book Antiqua" w:hAnsi="Book Antiqua" w:cs="Times New Roman"/>
        </w:rPr>
        <w:t>antibodies;</w:t>
      </w:r>
      <w:r w:rsidRPr="00CF58AE">
        <w:rPr>
          <w:rFonts w:ascii="Book Antiqua" w:hAnsi="Book Antiqua" w:cs="Times New Roman"/>
          <w:b/>
          <w:bCs/>
        </w:rPr>
        <w:t xml:space="preserve"> </w:t>
      </w:r>
      <w:r w:rsidRPr="00CF58AE">
        <w:rPr>
          <w:rFonts w:ascii="Book Antiqua" w:hAnsi="Book Antiqua" w:cs="Times New Roman"/>
        </w:rPr>
        <w:t>HCC:</w:t>
      </w:r>
      <w:r w:rsidRPr="00CF58AE">
        <w:rPr>
          <w:rFonts w:ascii="Book Antiqua" w:hAnsi="Book Antiqua" w:cs="Times New Roman"/>
          <w:b/>
          <w:bCs/>
        </w:rPr>
        <w:t xml:space="preserve"> </w:t>
      </w:r>
      <w:r w:rsidRPr="00CF58AE">
        <w:rPr>
          <w:rFonts w:ascii="Book Antiqua" w:hAnsi="Book Antiqua" w:cs="Times New Roman"/>
        </w:rPr>
        <w:t>Hepatocellular</w:t>
      </w:r>
      <w:r w:rsidRPr="00CF58AE">
        <w:rPr>
          <w:rFonts w:ascii="Book Antiqua" w:hAnsi="Book Antiqua" w:cs="Times New Roman"/>
          <w:b/>
          <w:bCs/>
        </w:rPr>
        <w:t xml:space="preserve"> </w:t>
      </w:r>
      <w:r w:rsidRPr="00CF58AE">
        <w:rPr>
          <w:rFonts w:ascii="Book Antiqua" w:hAnsi="Book Antiqua" w:cs="Times New Roman"/>
        </w:rPr>
        <w:t>carcinoma.</w:t>
      </w:r>
    </w:p>
    <w:p w14:paraId="3B86B3EC" w14:textId="77777777" w:rsidR="00AA4A90" w:rsidRPr="00CF58AE" w:rsidRDefault="00AA4A90" w:rsidP="005A21CA">
      <w:pPr>
        <w:pStyle w:val="a5"/>
        <w:spacing w:before="0" w:line="360" w:lineRule="auto"/>
        <w:ind w:left="0" w:right="174"/>
        <w:rPr>
          <w:rFonts w:ascii="Book Antiqua" w:hAnsi="Book Antiqua"/>
          <w:b/>
          <w:bCs/>
          <w:w w:val="105"/>
        </w:rPr>
        <w:sectPr w:rsidR="00AA4A90" w:rsidRPr="00CF58AE" w:rsidSect="00C87A39">
          <w:pgSz w:w="11910" w:h="16840"/>
          <w:pgMar w:top="1400" w:right="1240" w:bottom="1520" w:left="1200" w:header="0" w:footer="1281" w:gutter="0"/>
          <w:cols w:space="720"/>
        </w:sectPr>
      </w:pPr>
    </w:p>
    <w:p w14:paraId="1FD9A95C" w14:textId="174E8D12" w:rsidR="00105B5B" w:rsidRPr="00CF58AE" w:rsidRDefault="00105B5B" w:rsidP="005A21CA">
      <w:pPr>
        <w:pStyle w:val="a5"/>
        <w:spacing w:before="0" w:line="360" w:lineRule="auto"/>
        <w:ind w:left="0" w:right="174"/>
        <w:rPr>
          <w:rFonts w:ascii="Book Antiqua" w:hAnsi="Book Antiqua"/>
          <w:w w:val="105"/>
        </w:rPr>
      </w:pPr>
      <w:r w:rsidRPr="00CF58AE">
        <w:rPr>
          <w:rFonts w:ascii="Book Antiqua" w:hAnsi="Book Antiqua"/>
          <w:b/>
          <w:bCs/>
          <w:w w:val="105"/>
        </w:rPr>
        <w:lastRenderedPageBreak/>
        <w:t>Table</w:t>
      </w:r>
      <w:r w:rsidR="008A3BB0" w:rsidRPr="00CF58AE">
        <w:rPr>
          <w:rFonts w:ascii="Book Antiqua" w:hAnsi="Book Antiqua"/>
          <w:b/>
          <w:bCs/>
          <w:w w:val="105"/>
        </w:rPr>
        <w:t xml:space="preserve"> </w:t>
      </w:r>
      <w:r w:rsidRPr="00CF58AE">
        <w:rPr>
          <w:rFonts w:ascii="Book Antiqua" w:hAnsi="Book Antiqua"/>
          <w:b/>
          <w:bCs/>
          <w:w w:val="105"/>
        </w:rPr>
        <w:t>4</w:t>
      </w:r>
      <w:r w:rsidR="008A3BB0" w:rsidRPr="00CF58AE">
        <w:rPr>
          <w:rFonts w:ascii="Book Antiqua" w:hAnsi="Book Antiqua"/>
        </w:rPr>
        <w:t xml:space="preserve"> </w:t>
      </w:r>
      <w:proofErr w:type="spellStart"/>
      <w:r w:rsidRPr="00CF58AE">
        <w:rPr>
          <w:rFonts w:ascii="Book Antiqua" w:hAnsi="Book Antiqua"/>
          <w:b/>
          <w:bCs/>
        </w:rPr>
        <w:t>Tacrolimus</w:t>
      </w:r>
      <w:proofErr w:type="spellEnd"/>
      <w:r w:rsidR="008A3BB0" w:rsidRPr="00CF58AE">
        <w:rPr>
          <w:rFonts w:ascii="Book Antiqua" w:hAnsi="Book Antiqua"/>
          <w:b/>
          <w:bCs/>
          <w:spacing w:val="-6"/>
        </w:rPr>
        <w:t xml:space="preserve"> </w:t>
      </w:r>
      <w:r w:rsidRPr="00CF58AE">
        <w:rPr>
          <w:rFonts w:ascii="Book Antiqua" w:hAnsi="Book Antiqua"/>
          <w:b/>
          <w:bCs/>
        </w:rPr>
        <w:t>intra-patient</w:t>
      </w:r>
      <w:r w:rsidR="008A3BB0" w:rsidRPr="00CF58AE">
        <w:rPr>
          <w:rFonts w:ascii="Book Antiqua" w:hAnsi="Book Antiqua"/>
          <w:b/>
          <w:bCs/>
          <w:spacing w:val="-4"/>
        </w:rPr>
        <w:t xml:space="preserve"> </w:t>
      </w:r>
      <w:r w:rsidRPr="00CF58AE">
        <w:rPr>
          <w:rFonts w:ascii="Book Antiqua" w:hAnsi="Book Antiqua"/>
          <w:b/>
          <w:bCs/>
        </w:rPr>
        <w:t>variability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and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kidney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transplantation: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="00AA4A90" w:rsidRPr="00CF58AE">
        <w:rPr>
          <w:rFonts w:ascii="Book Antiqua" w:hAnsi="Book Antiqua"/>
          <w:b/>
          <w:bCs/>
        </w:rPr>
        <w:t>M</w:t>
      </w:r>
      <w:r w:rsidRPr="00CF58AE">
        <w:rPr>
          <w:rFonts w:ascii="Book Antiqua" w:hAnsi="Book Antiqua"/>
          <w:b/>
          <w:bCs/>
        </w:rPr>
        <w:t>ain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findings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922"/>
        <w:gridCol w:w="1736"/>
        <w:gridCol w:w="1937"/>
        <w:gridCol w:w="2170"/>
      </w:tblGrid>
      <w:tr w:rsidR="00CF58AE" w:rsidRPr="00CF58AE" w14:paraId="2DDB31FB" w14:textId="77777777" w:rsidTr="00095F87">
        <w:trPr>
          <w:trHeight w:val="32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42E86A" w14:textId="7AE67855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F58AE">
              <w:rPr>
                <w:rFonts w:ascii="Book Antiqua" w:hAnsi="Book Antiqua"/>
                <w:b/>
                <w:bCs/>
              </w:rPr>
              <w:t>Kidney</w:t>
            </w:r>
            <w:r w:rsidR="008A3BB0" w:rsidRPr="00CF58AE">
              <w:rPr>
                <w:rFonts w:ascii="Book Antiqua" w:hAnsi="Book Antiqua"/>
                <w:b/>
                <w:bCs/>
              </w:rPr>
              <w:t xml:space="preserve"> </w:t>
            </w:r>
            <w:r w:rsidR="00737ADD" w:rsidRPr="00CF58AE">
              <w:rPr>
                <w:rFonts w:ascii="Book Antiqua" w:hAnsi="Book Antiqua"/>
                <w:b/>
                <w:bCs/>
              </w:rPr>
              <w:t>tr</w:t>
            </w:r>
            <w:r w:rsidRPr="00CF58AE">
              <w:rPr>
                <w:rFonts w:ascii="Book Antiqua" w:hAnsi="Book Antiqua"/>
                <w:b/>
                <w:bCs/>
              </w:rPr>
              <w:t>ansplantation</w:t>
            </w:r>
          </w:p>
        </w:tc>
      </w:tr>
      <w:tr w:rsidR="00CF58AE" w:rsidRPr="00CF58AE" w14:paraId="1458E302" w14:textId="77777777" w:rsidTr="00095F87">
        <w:trPr>
          <w:trHeight w:val="329"/>
        </w:trPr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14:paraId="4D192D3E" w14:textId="4035320B" w:rsidR="00105B5B" w:rsidRPr="00CF58AE" w:rsidRDefault="00737ADD" w:rsidP="00095F87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F58AE">
              <w:rPr>
                <w:rFonts w:ascii="Book Antiqua" w:hAnsi="Book Antiqua"/>
                <w:b/>
                <w:bCs/>
              </w:rPr>
              <w:t>R</w:t>
            </w:r>
            <w:r w:rsidR="00D61B8E" w:rsidRPr="00CF58AE">
              <w:rPr>
                <w:rFonts w:ascii="Book Antiqua" w:hAnsi="Book Antiqua" w:hint="eastAsia"/>
                <w:b/>
                <w:bCs/>
                <w:lang w:eastAsia="zh-CN"/>
              </w:rPr>
              <w:t>e</w:t>
            </w:r>
            <w:r w:rsidR="00D61B8E" w:rsidRPr="00CF58AE">
              <w:rPr>
                <w:rFonts w:ascii="Book Antiqua" w:hAnsi="Book Antiqua"/>
                <w:b/>
                <w:bCs/>
                <w:lang w:eastAsia="zh-CN"/>
              </w:rPr>
              <w:t>f.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14:paraId="59E9932A" w14:textId="00A59422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F58AE">
              <w:rPr>
                <w:rFonts w:ascii="Book Antiqua" w:hAnsi="Book Antiqua"/>
                <w:b/>
                <w:bCs/>
              </w:rPr>
              <w:t>Sample</w:t>
            </w:r>
            <w:r w:rsidR="008A3BB0" w:rsidRPr="00CF58AE">
              <w:rPr>
                <w:rFonts w:ascii="Book Antiqua" w:hAnsi="Book Antiqua"/>
                <w:b/>
                <w:bCs/>
              </w:rPr>
              <w:t xml:space="preserve"> </w:t>
            </w:r>
            <w:r w:rsidR="00737ADD" w:rsidRPr="00CF58AE">
              <w:rPr>
                <w:rFonts w:ascii="Book Antiqua" w:hAnsi="Book Antiqua"/>
                <w:b/>
                <w:bCs/>
              </w:rPr>
              <w:t>si</w:t>
            </w:r>
            <w:r w:rsidRPr="00CF58AE">
              <w:rPr>
                <w:rFonts w:ascii="Book Antiqua" w:hAnsi="Book Antiqua"/>
                <w:b/>
                <w:bCs/>
              </w:rPr>
              <w:t>ze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70BFA4D2" w14:textId="05FC7C9B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F58AE">
              <w:rPr>
                <w:rFonts w:ascii="Book Antiqua" w:hAnsi="Book Antiqua"/>
                <w:b/>
                <w:bCs/>
              </w:rPr>
              <w:t>Donor</w:t>
            </w:r>
            <w:r w:rsidR="008A3BB0" w:rsidRPr="00CF58AE">
              <w:rPr>
                <w:rFonts w:ascii="Book Antiqua" w:hAnsi="Book Antiqua"/>
                <w:b/>
                <w:bCs/>
              </w:rPr>
              <w:t xml:space="preserve"> </w:t>
            </w:r>
            <w:r w:rsidRPr="00CF58AE">
              <w:rPr>
                <w:rFonts w:ascii="Book Antiqua" w:hAnsi="Book Antiqua"/>
                <w:b/>
                <w:bCs/>
              </w:rPr>
              <w:t>type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03230215" w14:textId="42049E70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proofErr w:type="spellStart"/>
            <w:r w:rsidRPr="00CF58AE">
              <w:rPr>
                <w:rFonts w:ascii="Book Antiqua" w:hAnsi="Book Antiqua"/>
                <w:b/>
                <w:bCs/>
              </w:rPr>
              <w:t>Tac</w:t>
            </w:r>
            <w:proofErr w:type="spellEnd"/>
            <w:r w:rsidRPr="00CF58AE">
              <w:rPr>
                <w:rFonts w:ascii="Book Antiqua" w:hAnsi="Book Antiqua"/>
                <w:b/>
                <w:bCs/>
              </w:rPr>
              <w:t>-IPV</w:t>
            </w:r>
            <w:r w:rsidR="008A3BB0" w:rsidRPr="00CF58AE">
              <w:rPr>
                <w:rFonts w:ascii="Book Antiqua" w:hAnsi="Book Antiqua"/>
                <w:b/>
                <w:bCs/>
              </w:rPr>
              <w:t xml:space="preserve"> </w:t>
            </w:r>
            <w:r w:rsidR="00737ADD" w:rsidRPr="00CF58AE">
              <w:rPr>
                <w:rFonts w:ascii="Book Antiqua" w:hAnsi="Book Antiqua"/>
                <w:b/>
                <w:bCs/>
              </w:rPr>
              <w:t>a</w:t>
            </w:r>
            <w:r w:rsidRPr="00CF58AE">
              <w:rPr>
                <w:rFonts w:ascii="Book Antiqua" w:hAnsi="Book Antiqua"/>
                <w:b/>
                <w:bCs/>
              </w:rPr>
              <w:t>ssessment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7113816B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F58AE">
              <w:rPr>
                <w:rFonts w:ascii="Book Antiqua" w:hAnsi="Book Antiqua"/>
                <w:b/>
                <w:bCs/>
              </w:rPr>
              <w:t>Outcomes</w:t>
            </w:r>
          </w:p>
        </w:tc>
      </w:tr>
      <w:tr w:rsidR="00CF58AE" w:rsidRPr="00CF58AE" w14:paraId="18324790" w14:textId="77777777" w:rsidTr="00095F87">
        <w:trPr>
          <w:trHeight w:val="329"/>
        </w:trPr>
        <w:tc>
          <w:tcPr>
            <w:tcW w:w="992" w:type="pct"/>
            <w:tcBorders>
              <w:top w:val="single" w:sz="4" w:space="0" w:color="auto"/>
            </w:tcBorders>
            <w:hideMark/>
          </w:tcPr>
          <w:p w14:paraId="52D89B71" w14:textId="75A063AD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58AE">
              <w:rPr>
                <w:rFonts w:ascii="Book Antiqua" w:hAnsi="Book Antiqua"/>
              </w:rPr>
              <w:t>Borra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CF58AE" w:rsidRPr="00CF58AE">
              <w:rPr>
                <w:rFonts w:ascii="Book Antiqua" w:hAnsi="Book Antiqua"/>
                <w:vertAlign w:val="superscript"/>
              </w:rPr>
              <w:t>[47]</w:t>
            </w:r>
            <w:r w:rsidR="00CF58AE" w:rsidRPr="00CF58AE">
              <w:rPr>
                <w:rFonts w:ascii="Book Antiqua" w:hAnsi="Book Antiqua"/>
              </w:rPr>
              <w:t>,</w:t>
            </w:r>
            <w:r w:rsidR="00CF58AE" w:rsidRPr="00CF58AE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CF58AE">
              <w:rPr>
                <w:rFonts w:ascii="Book Antiqua" w:hAnsi="Book Antiqua"/>
              </w:rPr>
              <w:t>2010</w:t>
            </w:r>
          </w:p>
        </w:tc>
        <w:tc>
          <w:tcPr>
            <w:tcW w:w="992" w:type="pct"/>
            <w:tcBorders>
              <w:top w:val="single" w:sz="4" w:space="0" w:color="auto"/>
            </w:tcBorders>
          </w:tcPr>
          <w:p w14:paraId="5AD01FFB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297</w:t>
            </w:r>
          </w:p>
        </w:tc>
        <w:tc>
          <w:tcPr>
            <w:tcW w:w="896" w:type="pct"/>
            <w:tcBorders>
              <w:top w:val="single" w:sz="4" w:space="0" w:color="auto"/>
            </w:tcBorders>
          </w:tcPr>
          <w:p w14:paraId="7D67C988" w14:textId="7EE58816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noWrap/>
            <w:hideMark/>
          </w:tcPr>
          <w:p w14:paraId="11AB4F16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MAD</w:t>
            </w:r>
          </w:p>
        </w:tc>
        <w:tc>
          <w:tcPr>
            <w:tcW w:w="1121" w:type="pct"/>
            <w:tcBorders>
              <w:top w:val="single" w:sz="4" w:space="0" w:color="auto"/>
            </w:tcBorders>
          </w:tcPr>
          <w:p w14:paraId="7405A906" w14:textId="251CE9BF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Significant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relationship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between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high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</w:t>
            </w:r>
            <w:proofErr w:type="spellEnd"/>
            <w:r w:rsidRPr="00CF58AE">
              <w:rPr>
                <w:rFonts w:ascii="Book Antiqua" w:hAnsi="Book Antiqua"/>
              </w:rPr>
              <w:t>-IPV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long-term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graft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failure</w:t>
            </w:r>
          </w:p>
        </w:tc>
      </w:tr>
      <w:tr w:rsidR="00CF58AE" w:rsidRPr="00CF58AE" w14:paraId="4A34275E" w14:textId="77777777" w:rsidTr="00095F87">
        <w:trPr>
          <w:trHeight w:val="329"/>
        </w:trPr>
        <w:tc>
          <w:tcPr>
            <w:tcW w:w="992" w:type="pct"/>
          </w:tcPr>
          <w:p w14:paraId="270FFE66" w14:textId="76DC2443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Ro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CF58AE" w:rsidRPr="00CF58AE">
              <w:rPr>
                <w:rFonts w:ascii="Book Antiqua" w:hAnsi="Book Antiqua"/>
                <w:vertAlign w:val="superscript"/>
              </w:rPr>
              <w:t>[45]</w:t>
            </w:r>
            <w:r w:rsidR="00CF58AE" w:rsidRPr="00CF58AE">
              <w:rPr>
                <w:rFonts w:ascii="Book Antiqua" w:hAnsi="Book Antiqua"/>
              </w:rPr>
              <w:t>,</w:t>
            </w:r>
            <w:r w:rsidR="00CF58AE" w:rsidRPr="00CF58AE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CF58AE">
              <w:rPr>
                <w:rFonts w:ascii="Book Antiqua" w:hAnsi="Book Antiqua"/>
              </w:rPr>
              <w:t>2012</w:t>
            </w:r>
          </w:p>
        </w:tc>
        <w:tc>
          <w:tcPr>
            <w:tcW w:w="992" w:type="pct"/>
          </w:tcPr>
          <w:p w14:paraId="2B9F4A2D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249</w:t>
            </w:r>
          </w:p>
        </w:tc>
        <w:tc>
          <w:tcPr>
            <w:tcW w:w="896" w:type="pct"/>
          </w:tcPr>
          <w:p w14:paraId="18ED5FE4" w14:textId="607B1584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00" w:type="pct"/>
            <w:noWrap/>
          </w:tcPr>
          <w:p w14:paraId="65846280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MAD</w:t>
            </w:r>
          </w:p>
        </w:tc>
        <w:tc>
          <w:tcPr>
            <w:tcW w:w="1121" w:type="pct"/>
          </w:tcPr>
          <w:p w14:paraId="22C3BCF1" w14:textId="61400EA4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TAC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IPV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had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significant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impact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rejection-free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survival.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The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effect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was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influenced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by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CYP3A5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polymorphism</w:t>
            </w:r>
          </w:p>
        </w:tc>
      </w:tr>
      <w:tr w:rsidR="00CF58AE" w:rsidRPr="00CF58AE" w14:paraId="1E1EEF5F" w14:textId="77777777" w:rsidTr="00095F87">
        <w:trPr>
          <w:trHeight w:val="329"/>
        </w:trPr>
        <w:tc>
          <w:tcPr>
            <w:tcW w:w="992" w:type="pct"/>
          </w:tcPr>
          <w:p w14:paraId="4F5B9748" w14:textId="6A7021DB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Sapir-</w:t>
            </w:r>
            <w:proofErr w:type="spellStart"/>
            <w:r w:rsidRPr="00CF58AE">
              <w:rPr>
                <w:rFonts w:ascii="Book Antiqua" w:hAnsi="Book Antiqua"/>
              </w:rPr>
              <w:t>Pichhadze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CF58AE" w:rsidRPr="00CF58AE">
              <w:rPr>
                <w:rFonts w:ascii="Book Antiqua" w:hAnsi="Book Antiqua"/>
                <w:vertAlign w:val="superscript"/>
              </w:rPr>
              <w:t>[44]</w:t>
            </w:r>
            <w:r w:rsidR="00CF58AE" w:rsidRPr="00CF58AE">
              <w:rPr>
                <w:rFonts w:ascii="Book Antiqua" w:hAnsi="Book Antiqua"/>
              </w:rPr>
              <w:t>,</w:t>
            </w:r>
            <w:r w:rsidR="00CF58AE" w:rsidRPr="00CF58AE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CF58AE">
              <w:rPr>
                <w:rFonts w:ascii="Book Antiqua" w:hAnsi="Book Antiqua"/>
              </w:rPr>
              <w:t>2014</w:t>
            </w:r>
          </w:p>
        </w:tc>
        <w:tc>
          <w:tcPr>
            <w:tcW w:w="992" w:type="pct"/>
          </w:tcPr>
          <w:p w14:paraId="07C780B9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356</w:t>
            </w:r>
          </w:p>
        </w:tc>
        <w:tc>
          <w:tcPr>
            <w:tcW w:w="896" w:type="pct"/>
          </w:tcPr>
          <w:p w14:paraId="0BA1EB56" w14:textId="06237910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00" w:type="pct"/>
            <w:noWrap/>
          </w:tcPr>
          <w:p w14:paraId="5DCE0993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MLVI/SD</w:t>
            </w:r>
          </w:p>
        </w:tc>
        <w:tc>
          <w:tcPr>
            <w:tcW w:w="1121" w:type="pct"/>
          </w:tcPr>
          <w:p w14:paraId="4452233F" w14:textId="2A8592FB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Increased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time-dependent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TAC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may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be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independent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risk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factor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for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adverse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kidney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transplant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outcomes</w:t>
            </w:r>
          </w:p>
        </w:tc>
      </w:tr>
      <w:tr w:rsidR="00CF58AE" w:rsidRPr="00CF58AE" w14:paraId="35033981" w14:textId="77777777" w:rsidTr="00095F87">
        <w:trPr>
          <w:trHeight w:val="329"/>
        </w:trPr>
        <w:tc>
          <w:tcPr>
            <w:tcW w:w="992" w:type="pct"/>
          </w:tcPr>
          <w:p w14:paraId="42D5E2B3" w14:textId="4B848339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58AE">
              <w:rPr>
                <w:rFonts w:ascii="Book Antiqua" w:hAnsi="Book Antiqua"/>
              </w:rPr>
              <w:t>O’Regan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CF58AE" w:rsidRPr="00CF58AE">
              <w:rPr>
                <w:rFonts w:ascii="Book Antiqua" w:hAnsi="Book Antiqua" w:hint="eastAsia"/>
                <w:vertAlign w:val="superscript"/>
                <w:lang w:eastAsia="zh-CN"/>
              </w:rPr>
              <w:t>[</w:t>
            </w:r>
            <w:r w:rsidR="00CF58AE" w:rsidRPr="00CF58AE">
              <w:rPr>
                <w:rFonts w:ascii="Book Antiqua" w:hAnsi="Book Antiqua"/>
                <w:vertAlign w:val="superscript"/>
                <w:lang w:eastAsia="zh-CN"/>
              </w:rPr>
              <w:t>49]</w:t>
            </w:r>
            <w:r w:rsidR="00CF58AE" w:rsidRPr="00CF58AE">
              <w:rPr>
                <w:rFonts w:ascii="Book Antiqua" w:hAnsi="Book Antiqua"/>
                <w:lang w:eastAsia="zh-CN"/>
              </w:rPr>
              <w:t xml:space="preserve">, </w:t>
            </w:r>
            <w:r w:rsidRPr="00CF58AE">
              <w:rPr>
                <w:rFonts w:ascii="Book Antiqua" w:hAnsi="Book Antiqua"/>
              </w:rPr>
              <w:t>201</w:t>
            </w:r>
            <w:r w:rsidR="00CF58AE" w:rsidRPr="00CF58AE">
              <w:rPr>
                <w:rFonts w:ascii="Book Antiqua" w:hAnsi="Book Antiqua"/>
              </w:rPr>
              <w:t>6</w:t>
            </w:r>
          </w:p>
        </w:tc>
        <w:tc>
          <w:tcPr>
            <w:tcW w:w="992" w:type="pct"/>
          </w:tcPr>
          <w:p w14:paraId="2266D28F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394</w:t>
            </w:r>
          </w:p>
        </w:tc>
        <w:tc>
          <w:tcPr>
            <w:tcW w:w="896" w:type="pct"/>
          </w:tcPr>
          <w:p w14:paraId="5DA87025" w14:textId="1307B471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00" w:type="pct"/>
            <w:noWrap/>
          </w:tcPr>
          <w:p w14:paraId="21E31E20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CV</w:t>
            </w:r>
          </w:p>
        </w:tc>
        <w:tc>
          <w:tcPr>
            <w:tcW w:w="1121" w:type="pct"/>
          </w:tcPr>
          <w:p w14:paraId="21076D92" w14:textId="6ACFC073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Inferior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renal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allograft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survival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was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observed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recipients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with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higher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</w:t>
            </w:r>
            <w:proofErr w:type="spellEnd"/>
            <w:r w:rsidRPr="00CF58AE">
              <w:rPr>
                <w:rFonts w:ascii="Book Antiqua" w:hAnsi="Book Antiqua"/>
              </w:rPr>
              <w:t>-IPV</w:t>
            </w:r>
          </w:p>
        </w:tc>
      </w:tr>
      <w:tr w:rsidR="00CF58AE" w:rsidRPr="00CF58AE" w14:paraId="7E0AB901" w14:textId="77777777" w:rsidTr="00095F87">
        <w:trPr>
          <w:trHeight w:val="329"/>
        </w:trPr>
        <w:tc>
          <w:tcPr>
            <w:tcW w:w="992" w:type="pct"/>
            <w:hideMark/>
          </w:tcPr>
          <w:p w14:paraId="436BEC05" w14:textId="57F8C7C2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Rodrigo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CF58AE" w:rsidRPr="00CF58AE">
              <w:rPr>
                <w:rFonts w:ascii="Book Antiqua" w:hAnsi="Book Antiqua" w:hint="eastAsia"/>
                <w:vertAlign w:val="superscript"/>
                <w:lang w:eastAsia="zh-CN"/>
              </w:rPr>
              <w:t>[</w:t>
            </w:r>
            <w:r w:rsidR="00CF58AE" w:rsidRPr="00CF58AE">
              <w:rPr>
                <w:rFonts w:ascii="Book Antiqua" w:hAnsi="Book Antiqua"/>
                <w:vertAlign w:val="superscript"/>
                <w:lang w:eastAsia="zh-CN"/>
              </w:rPr>
              <w:t>53]</w:t>
            </w:r>
            <w:r w:rsidR="00CF58AE" w:rsidRPr="00CF58AE">
              <w:rPr>
                <w:rFonts w:ascii="Book Antiqua" w:hAnsi="Book Antiqua"/>
                <w:lang w:eastAsia="zh-CN"/>
              </w:rPr>
              <w:t xml:space="preserve">, </w:t>
            </w:r>
            <w:r w:rsidRPr="00CF58AE">
              <w:rPr>
                <w:rFonts w:ascii="Book Antiqua" w:hAnsi="Book Antiqua"/>
              </w:rPr>
              <w:lastRenderedPageBreak/>
              <w:t>2016</w:t>
            </w:r>
          </w:p>
        </w:tc>
        <w:tc>
          <w:tcPr>
            <w:tcW w:w="992" w:type="pct"/>
          </w:tcPr>
          <w:p w14:paraId="1E4A5FA0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lastRenderedPageBreak/>
              <w:t>310</w:t>
            </w:r>
          </w:p>
        </w:tc>
        <w:tc>
          <w:tcPr>
            <w:tcW w:w="896" w:type="pct"/>
          </w:tcPr>
          <w:p w14:paraId="26432E81" w14:textId="2A862996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lastRenderedPageBreak/>
              <w:t>donor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only</w:t>
            </w:r>
          </w:p>
        </w:tc>
        <w:tc>
          <w:tcPr>
            <w:tcW w:w="1000" w:type="pct"/>
            <w:noWrap/>
            <w:hideMark/>
          </w:tcPr>
          <w:p w14:paraId="7A5BD93C" w14:textId="65B98013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lastRenderedPageBreak/>
              <w:t>CV</w:t>
            </w:r>
          </w:p>
        </w:tc>
        <w:tc>
          <w:tcPr>
            <w:tcW w:w="1121" w:type="pct"/>
          </w:tcPr>
          <w:p w14:paraId="30A9D2DA" w14:textId="19DF2E9B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58AE">
              <w:rPr>
                <w:rFonts w:ascii="Book Antiqua" w:hAnsi="Book Antiqua"/>
              </w:rPr>
              <w:t>Tacrolimus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level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lastRenderedPageBreak/>
              <w:t>variability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strong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risk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factor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for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dnDSA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development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death-censored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graft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loss</w:t>
            </w:r>
          </w:p>
        </w:tc>
      </w:tr>
      <w:tr w:rsidR="00CF58AE" w:rsidRPr="00CF58AE" w14:paraId="4ED73B96" w14:textId="77777777" w:rsidTr="00095F87">
        <w:trPr>
          <w:trHeight w:val="329"/>
        </w:trPr>
        <w:tc>
          <w:tcPr>
            <w:tcW w:w="992" w:type="pct"/>
            <w:hideMark/>
          </w:tcPr>
          <w:p w14:paraId="47042416" w14:textId="0AADA42C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lastRenderedPageBreak/>
              <w:t>Whalen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CF58AE">
              <w:rPr>
                <w:rFonts w:ascii="Book Antiqua" w:hAnsi="Book Antiqua"/>
                <w:vertAlign w:val="superscript"/>
              </w:rPr>
              <w:t>[46]</w:t>
            </w:r>
            <w:r w:rsidR="00CF58AE">
              <w:rPr>
                <w:rFonts w:ascii="Book Antiqua" w:hAnsi="Book Antiqua"/>
              </w:rPr>
              <w:t>,</w:t>
            </w:r>
            <w:r w:rsidR="00CF58AE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CF58AE">
              <w:rPr>
                <w:rFonts w:ascii="Book Antiqua" w:hAnsi="Book Antiqua"/>
              </w:rPr>
              <w:t>201</w:t>
            </w:r>
            <w:r w:rsidR="00CF58AE">
              <w:rPr>
                <w:rFonts w:ascii="Book Antiqua" w:hAnsi="Book Antiqua"/>
              </w:rPr>
              <w:t>7</w:t>
            </w:r>
          </w:p>
        </w:tc>
        <w:tc>
          <w:tcPr>
            <w:tcW w:w="992" w:type="pct"/>
          </w:tcPr>
          <w:p w14:paraId="04E9333E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376</w:t>
            </w:r>
          </w:p>
        </w:tc>
        <w:tc>
          <w:tcPr>
            <w:tcW w:w="896" w:type="pct"/>
          </w:tcPr>
          <w:p w14:paraId="015F7D70" w14:textId="78D5973A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00" w:type="pct"/>
            <w:hideMark/>
          </w:tcPr>
          <w:p w14:paraId="475BCFBC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MAD</w:t>
            </w:r>
          </w:p>
        </w:tc>
        <w:tc>
          <w:tcPr>
            <w:tcW w:w="1121" w:type="pct"/>
          </w:tcPr>
          <w:p w14:paraId="283D32EB" w14:textId="11C6E44D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Highly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variable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tacrolimus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levels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predict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worse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out-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comes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postrenal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transplantation</w:t>
            </w:r>
          </w:p>
        </w:tc>
      </w:tr>
      <w:tr w:rsidR="00CF58AE" w:rsidRPr="00CF58AE" w14:paraId="752C1373" w14:textId="77777777" w:rsidTr="00095F87">
        <w:trPr>
          <w:trHeight w:val="329"/>
        </w:trPr>
        <w:tc>
          <w:tcPr>
            <w:tcW w:w="992" w:type="pct"/>
            <w:hideMark/>
          </w:tcPr>
          <w:p w14:paraId="0632F9BB" w14:textId="612CBF86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58AE">
              <w:rPr>
                <w:rFonts w:ascii="Book Antiqua" w:hAnsi="Book Antiqua"/>
              </w:rPr>
              <w:t>Shuker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CF58AE">
              <w:rPr>
                <w:rFonts w:ascii="Book Antiqua" w:hAnsi="Book Antiqua" w:hint="eastAsia"/>
                <w:vertAlign w:val="superscript"/>
                <w:lang w:eastAsia="zh-CN"/>
              </w:rPr>
              <w:t>[</w:t>
            </w:r>
            <w:r w:rsidR="00CF58AE">
              <w:rPr>
                <w:rFonts w:ascii="Book Antiqua" w:hAnsi="Book Antiqua"/>
                <w:vertAlign w:val="superscript"/>
                <w:lang w:eastAsia="zh-CN"/>
              </w:rPr>
              <w:t>48]</w:t>
            </w:r>
            <w:r w:rsidR="00CF58AE">
              <w:rPr>
                <w:rFonts w:ascii="Book Antiqua" w:hAnsi="Book Antiqua"/>
                <w:lang w:eastAsia="zh-CN"/>
              </w:rPr>
              <w:t xml:space="preserve">, </w:t>
            </w:r>
            <w:r w:rsidRPr="00CF58AE">
              <w:rPr>
                <w:rFonts w:ascii="Book Antiqua" w:hAnsi="Book Antiqua"/>
              </w:rPr>
              <w:t>2016</w:t>
            </w:r>
          </w:p>
        </w:tc>
        <w:tc>
          <w:tcPr>
            <w:tcW w:w="992" w:type="pct"/>
          </w:tcPr>
          <w:p w14:paraId="6CA324AB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808</w:t>
            </w:r>
          </w:p>
        </w:tc>
        <w:tc>
          <w:tcPr>
            <w:tcW w:w="896" w:type="pct"/>
          </w:tcPr>
          <w:p w14:paraId="49C294A1" w14:textId="42B17A40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00" w:type="pct"/>
            <w:noWrap/>
            <w:hideMark/>
          </w:tcPr>
          <w:p w14:paraId="48CCBC87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MAD</w:t>
            </w:r>
          </w:p>
        </w:tc>
        <w:tc>
          <w:tcPr>
            <w:tcW w:w="1121" w:type="pct"/>
          </w:tcPr>
          <w:p w14:paraId="7169714A" w14:textId="16311FD6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A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high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tacrolimus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IPV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independent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risk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factor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for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adverse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kidney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transplant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outcomes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that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can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be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used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easy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monitoring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tool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to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help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identify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high-risk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RTRs</w:t>
            </w:r>
          </w:p>
        </w:tc>
      </w:tr>
      <w:tr w:rsidR="00CF58AE" w:rsidRPr="00CF58AE" w14:paraId="40DB653C" w14:textId="77777777" w:rsidTr="00095F87">
        <w:trPr>
          <w:trHeight w:val="329"/>
        </w:trPr>
        <w:tc>
          <w:tcPr>
            <w:tcW w:w="992" w:type="pct"/>
            <w:hideMark/>
          </w:tcPr>
          <w:p w14:paraId="257E2C5E" w14:textId="584529F4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58AE">
              <w:rPr>
                <w:rFonts w:ascii="Book Antiqua" w:hAnsi="Book Antiqua"/>
              </w:rPr>
              <w:t>Vanhove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CF58AE">
              <w:rPr>
                <w:rFonts w:ascii="Book Antiqua" w:hAnsi="Book Antiqua"/>
                <w:vertAlign w:val="superscript"/>
              </w:rPr>
              <w:t>[56]</w:t>
            </w:r>
            <w:r w:rsidR="00CF58AE">
              <w:rPr>
                <w:rFonts w:ascii="Book Antiqua" w:hAnsi="Book Antiqua"/>
              </w:rPr>
              <w:t>,</w:t>
            </w:r>
            <w:r w:rsidR="00CF58AE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CF58AE">
              <w:rPr>
                <w:rFonts w:ascii="Book Antiqua" w:hAnsi="Book Antiqua"/>
              </w:rPr>
              <w:t>2016</w:t>
            </w:r>
          </w:p>
        </w:tc>
        <w:tc>
          <w:tcPr>
            <w:tcW w:w="992" w:type="pct"/>
          </w:tcPr>
          <w:p w14:paraId="7478DCC6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220</w:t>
            </w:r>
          </w:p>
        </w:tc>
        <w:tc>
          <w:tcPr>
            <w:tcW w:w="896" w:type="pct"/>
          </w:tcPr>
          <w:p w14:paraId="5BBA94D5" w14:textId="25A98CDC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00" w:type="pct"/>
            <w:noWrap/>
            <w:hideMark/>
          </w:tcPr>
          <w:p w14:paraId="1FECA7CA" w14:textId="778CC353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CV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21" w:type="pct"/>
          </w:tcPr>
          <w:p w14:paraId="54EDC640" w14:textId="70675EC4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High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IPV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related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to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accelerated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progression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chronic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histologic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lesions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before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evidence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renal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dysfunction</w:t>
            </w:r>
          </w:p>
        </w:tc>
      </w:tr>
      <w:tr w:rsidR="00CF58AE" w:rsidRPr="00CF58AE" w14:paraId="18AB8149" w14:textId="77777777" w:rsidTr="00095F87">
        <w:trPr>
          <w:trHeight w:val="329"/>
        </w:trPr>
        <w:tc>
          <w:tcPr>
            <w:tcW w:w="992" w:type="pct"/>
          </w:tcPr>
          <w:p w14:paraId="6EFD1BF7" w14:textId="7F25E9C2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58AE">
              <w:rPr>
                <w:rFonts w:ascii="Book Antiqua" w:hAnsi="Book Antiqua"/>
              </w:rPr>
              <w:t>Rozen-Zvi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 xml:space="preserve">et </w:t>
            </w:r>
            <w:r w:rsidR="00FA3733" w:rsidRPr="00CF58AE">
              <w:rPr>
                <w:rFonts w:ascii="Book Antiqua" w:hAnsi="Book Antiqua"/>
                <w:i/>
                <w:iCs/>
              </w:rPr>
              <w:lastRenderedPageBreak/>
              <w:t>al</w:t>
            </w:r>
            <w:r w:rsidR="00CF58AE">
              <w:rPr>
                <w:rFonts w:ascii="Book Antiqua" w:hAnsi="Book Antiqua" w:hint="eastAsia"/>
                <w:vertAlign w:val="superscript"/>
                <w:lang w:eastAsia="zh-CN"/>
              </w:rPr>
              <w:t>[</w:t>
            </w:r>
            <w:r w:rsidR="00CF58AE">
              <w:rPr>
                <w:rFonts w:ascii="Book Antiqua" w:hAnsi="Book Antiqua"/>
                <w:vertAlign w:val="superscript"/>
                <w:lang w:eastAsia="zh-CN"/>
              </w:rPr>
              <w:t>51]</w:t>
            </w:r>
            <w:r w:rsidR="00CF58AE">
              <w:rPr>
                <w:rFonts w:ascii="Book Antiqua" w:hAnsi="Book Antiqua"/>
                <w:lang w:eastAsia="zh-CN"/>
              </w:rPr>
              <w:t xml:space="preserve">, </w:t>
            </w:r>
            <w:r w:rsidRPr="00CF58AE">
              <w:rPr>
                <w:rFonts w:ascii="Book Antiqua" w:hAnsi="Book Antiqua"/>
              </w:rPr>
              <w:t>201</w:t>
            </w:r>
            <w:r w:rsidR="00CF58AE">
              <w:rPr>
                <w:rFonts w:ascii="Book Antiqua" w:hAnsi="Book Antiqua"/>
              </w:rPr>
              <w:t>7</w:t>
            </w:r>
          </w:p>
        </w:tc>
        <w:tc>
          <w:tcPr>
            <w:tcW w:w="992" w:type="pct"/>
          </w:tcPr>
          <w:p w14:paraId="7F26BFAC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lastRenderedPageBreak/>
              <w:t>803</w:t>
            </w:r>
          </w:p>
        </w:tc>
        <w:tc>
          <w:tcPr>
            <w:tcW w:w="896" w:type="pct"/>
          </w:tcPr>
          <w:p w14:paraId="0C942DE3" w14:textId="53186C2F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lastRenderedPageBreak/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00" w:type="pct"/>
            <w:noWrap/>
          </w:tcPr>
          <w:p w14:paraId="2BB10F72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lastRenderedPageBreak/>
              <w:t>CV</w:t>
            </w:r>
          </w:p>
        </w:tc>
        <w:tc>
          <w:tcPr>
            <w:tcW w:w="1121" w:type="pct"/>
          </w:tcPr>
          <w:p w14:paraId="42AA41CF" w14:textId="48AB6FFA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The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combination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lastRenderedPageBreak/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high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exposure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to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low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drug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levels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might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identify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high-risk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patients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the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early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post-transplantation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period</w:t>
            </w:r>
          </w:p>
        </w:tc>
      </w:tr>
      <w:tr w:rsidR="00CF58AE" w:rsidRPr="00CF58AE" w14:paraId="7091B8D7" w14:textId="77777777" w:rsidTr="00095F87">
        <w:trPr>
          <w:trHeight w:val="329"/>
        </w:trPr>
        <w:tc>
          <w:tcPr>
            <w:tcW w:w="992" w:type="pct"/>
          </w:tcPr>
          <w:p w14:paraId="33C34713" w14:textId="7DF5BA60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58AE">
              <w:rPr>
                <w:rFonts w:ascii="Book Antiqua" w:hAnsi="Book Antiqua"/>
              </w:rPr>
              <w:lastRenderedPageBreak/>
              <w:t>Goodall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EC65C9">
              <w:rPr>
                <w:rFonts w:ascii="Book Antiqua" w:hAnsi="Book Antiqua"/>
                <w:vertAlign w:val="superscript"/>
              </w:rPr>
              <w:t>[50]</w:t>
            </w:r>
            <w:r w:rsidR="00EC65C9">
              <w:rPr>
                <w:rFonts w:ascii="Book Antiqua" w:hAnsi="Book Antiqua"/>
              </w:rPr>
              <w:t>,</w:t>
            </w:r>
            <w:r w:rsidR="00EC65C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CF58AE">
              <w:rPr>
                <w:rFonts w:ascii="Book Antiqua" w:hAnsi="Book Antiqua"/>
              </w:rPr>
              <w:t>2017</w:t>
            </w:r>
          </w:p>
        </w:tc>
        <w:tc>
          <w:tcPr>
            <w:tcW w:w="992" w:type="pct"/>
          </w:tcPr>
          <w:p w14:paraId="658A65FD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688</w:t>
            </w:r>
          </w:p>
        </w:tc>
        <w:tc>
          <w:tcPr>
            <w:tcW w:w="896" w:type="pct"/>
          </w:tcPr>
          <w:p w14:paraId="09777CB2" w14:textId="70DE9CCE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00" w:type="pct"/>
            <w:noWrap/>
          </w:tcPr>
          <w:p w14:paraId="47F76DB7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CV</w:t>
            </w:r>
          </w:p>
        </w:tc>
        <w:tc>
          <w:tcPr>
            <w:tcW w:w="1121" w:type="pct"/>
          </w:tcPr>
          <w:p w14:paraId="7A38D008" w14:textId="69E4B98C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High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tacrolimus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IPV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clinic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nonattendance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are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associated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with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inferior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allograft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survival</w:t>
            </w:r>
          </w:p>
        </w:tc>
      </w:tr>
      <w:tr w:rsidR="00CF58AE" w:rsidRPr="00CF58AE" w14:paraId="34DFABDC" w14:textId="77777777" w:rsidTr="00095F87">
        <w:trPr>
          <w:trHeight w:val="329"/>
        </w:trPr>
        <w:tc>
          <w:tcPr>
            <w:tcW w:w="992" w:type="pct"/>
            <w:hideMark/>
          </w:tcPr>
          <w:p w14:paraId="6F8D7EA7" w14:textId="4F08F110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58AE">
              <w:rPr>
                <w:rFonts w:ascii="Book Antiqua" w:hAnsi="Book Antiqua"/>
              </w:rPr>
              <w:t>Sablik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EC65C9">
              <w:rPr>
                <w:rFonts w:ascii="Book Antiqua" w:hAnsi="Book Antiqua"/>
                <w:vertAlign w:val="superscript"/>
              </w:rPr>
              <w:t>[62]</w:t>
            </w:r>
            <w:r w:rsidR="00EC65C9">
              <w:rPr>
                <w:rFonts w:ascii="Book Antiqua" w:hAnsi="Book Antiqua"/>
              </w:rPr>
              <w:t>,</w:t>
            </w:r>
            <w:r w:rsidR="00EC65C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CF58AE">
              <w:rPr>
                <w:rFonts w:ascii="Book Antiqua" w:hAnsi="Book Antiqua"/>
              </w:rPr>
              <w:t>201</w:t>
            </w:r>
            <w:r w:rsidR="00EC65C9">
              <w:rPr>
                <w:rFonts w:ascii="Book Antiqua" w:hAnsi="Book Antiqua"/>
              </w:rPr>
              <w:t>8</w:t>
            </w:r>
          </w:p>
        </w:tc>
        <w:tc>
          <w:tcPr>
            <w:tcW w:w="992" w:type="pct"/>
          </w:tcPr>
          <w:p w14:paraId="2240B306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248</w:t>
            </w:r>
          </w:p>
        </w:tc>
        <w:tc>
          <w:tcPr>
            <w:tcW w:w="896" w:type="pct"/>
          </w:tcPr>
          <w:p w14:paraId="2720A574" w14:textId="5FF84062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00" w:type="pct"/>
            <w:noWrap/>
            <w:hideMark/>
          </w:tcPr>
          <w:p w14:paraId="2A78166E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MAD</w:t>
            </w:r>
          </w:p>
        </w:tc>
        <w:tc>
          <w:tcPr>
            <w:tcW w:w="1121" w:type="pct"/>
          </w:tcPr>
          <w:p w14:paraId="5C0131C8" w14:textId="56FBFC92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A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high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IPV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per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does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not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predispose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to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the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development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chronic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active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antibody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mediated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rejection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(c-</w:t>
            </w:r>
            <w:proofErr w:type="spellStart"/>
            <w:r w:rsidRPr="00CF58AE">
              <w:rPr>
                <w:rFonts w:ascii="Book Antiqua" w:hAnsi="Book Antiqua"/>
              </w:rPr>
              <w:t>aABMR</w:t>
            </w:r>
            <w:proofErr w:type="spellEnd"/>
            <w:r w:rsidRPr="00CF58AE">
              <w:rPr>
                <w:rFonts w:ascii="Book Antiqua" w:hAnsi="Book Antiqua"/>
              </w:rPr>
              <w:t>)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but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associated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with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inferior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graft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survival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once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c-</w:t>
            </w:r>
            <w:proofErr w:type="spellStart"/>
            <w:r w:rsidRPr="00CF58AE">
              <w:rPr>
                <w:rFonts w:ascii="Book Antiqua" w:hAnsi="Book Antiqua"/>
              </w:rPr>
              <w:t>aABMR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diagnosed</w:t>
            </w:r>
          </w:p>
        </w:tc>
      </w:tr>
      <w:tr w:rsidR="00CF58AE" w:rsidRPr="00CF58AE" w14:paraId="5EEA5324" w14:textId="77777777" w:rsidTr="00095F87">
        <w:trPr>
          <w:trHeight w:val="329"/>
        </w:trPr>
        <w:tc>
          <w:tcPr>
            <w:tcW w:w="992" w:type="pct"/>
            <w:hideMark/>
          </w:tcPr>
          <w:p w14:paraId="004CCA8D" w14:textId="538BFF1A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Seibert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EC65C9">
              <w:rPr>
                <w:rFonts w:ascii="Book Antiqua" w:hAnsi="Book Antiqua"/>
                <w:vertAlign w:val="superscript"/>
              </w:rPr>
              <w:t>[57]</w:t>
            </w:r>
            <w:r w:rsidR="00EC65C9">
              <w:rPr>
                <w:rFonts w:ascii="Book Antiqua" w:hAnsi="Book Antiqua"/>
              </w:rPr>
              <w:t>,</w:t>
            </w:r>
            <w:r w:rsidR="00EC65C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CF58AE">
              <w:rPr>
                <w:rFonts w:ascii="Book Antiqua" w:hAnsi="Book Antiqua"/>
              </w:rPr>
              <w:t>2018</w:t>
            </w:r>
          </w:p>
        </w:tc>
        <w:tc>
          <w:tcPr>
            <w:tcW w:w="992" w:type="pct"/>
          </w:tcPr>
          <w:p w14:paraId="1D03428A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1472</w:t>
            </w:r>
          </w:p>
        </w:tc>
        <w:tc>
          <w:tcPr>
            <w:tcW w:w="896" w:type="pct"/>
          </w:tcPr>
          <w:p w14:paraId="211C6E45" w14:textId="19E61D7C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lastRenderedPageBreak/>
              <w:t>donor</w:t>
            </w:r>
          </w:p>
        </w:tc>
        <w:tc>
          <w:tcPr>
            <w:tcW w:w="1000" w:type="pct"/>
            <w:noWrap/>
            <w:hideMark/>
          </w:tcPr>
          <w:p w14:paraId="5ABF0F87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lastRenderedPageBreak/>
              <w:t>CV</w:t>
            </w:r>
          </w:p>
        </w:tc>
        <w:tc>
          <w:tcPr>
            <w:tcW w:w="1121" w:type="pct"/>
          </w:tcPr>
          <w:p w14:paraId="6EC38C4D" w14:textId="2514E561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High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variability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TAC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dose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lastRenderedPageBreak/>
              <w:t>increases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risk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acute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rejection.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High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variability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TAC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trough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increases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risk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graft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failure</w:t>
            </w:r>
          </w:p>
        </w:tc>
      </w:tr>
      <w:tr w:rsidR="00CF58AE" w:rsidRPr="00CF58AE" w14:paraId="45BC7FBB" w14:textId="77777777" w:rsidTr="00095F87">
        <w:trPr>
          <w:trHeight w:val="329"/>
        </w:trPr>
        <w:tc>
          <w:tcPr>
            <w:tcW w:w="992" w:type="pct"/>
            <w:hideMark/>
          </w:tcPr>
          <w:p w14:paraId="1C06CEDA" w14:textId="1BA57722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lastRenderedPageBreak/>
              <w:t>Mo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EC65C9">
              <w:rPr>
                <w:rFonts w:ascii="Book Antiqua" w:hAnsi="Book Antiqua"/>
                <w:vertAlign w:val="superscript"/>
              </w:rPr>
              <w:t>[54]</w:t>
            </w:r>
            <w:r w:rsidR="00EC65C9">
              <w:rPr>
                <w:rFonts w:ascii="Book Antiqua" w:hAnsi="Book Antiqua"/>
              </w:rPr>
              <w:t>,</w:t>
            </w:r>
            <w:r w:rsidR="00EC65C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CF58AE">
              <w:rPr>
                <w:rFonts w:ascii="Book Antiqua" w:hAnsi="Book Antiqua"/>
              </w:rPr>
              <w:t>2019</w:t>
            </w:r>
          </w:p>
        </w:tc>
        <w:tc>
          <w:tcPr>
            <w:tcW w:w="992" w:type="pct"/>
          </w:tcPr>
          <w:p w14:paraId="4C3A38DE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671</w:t>
            </w:r>
          </w:p>
        </w:tc>
        <w:tc>
          <w:tcPr>
            <w:tcW w:w="896" w:type="pct"/>
          </w:tcPr>
          <w:p w14:paraId="70A474E9" w14:textId="05F870FD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00" w:type="pct"/>
            <w:noWrap/>
            <w:hideMark/>
          </w:tcPr>
          <w:p w14:paraId="70260DCC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CV</w:t>
            </w:r>
          </w:p>
        </w:tc>
        <w:tc>
          <w:tcPr>
            <w:tcW w:w="1121" w:type="pct"/>
          </w:tcPr>
          <w:p w14:paraId="7EEC2E63" w14:textId="3CC67C5C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High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IPV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associated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with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early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deterioration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chronic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histologic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lesions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well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poorer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long-term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outcomes</w:t>
            </w:r>
          </w:p>
        </w:tc>
      </w:tr>
      <w:tr w:rsidR="00CF58AE" w:rsidRPr="00CF58AE" w14:paraId="4EA8DDF3" w14:textId="77777777" w:rsidTr="00095F87">
        <w:trPr>
          <w:trHeight w:val="329"/>
        </w:trPr>
        <w:tc>
          <w:tcPr>
            <w:tcW w:w="992" w:type="pct"/>
            <w:hideMark/>
          </w:tcPr>
          <w:p w14:paraId="33C98FA8" w14:textId="7D448926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Song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EC65C9">
              <w:rPr>
                <w:rFonts w:ascii="Book Antiqua" w:hAnsi="Book Antiqua"/>
                <w:vertAlign w:val="superscript"/>
              </w:rPr>
              <w:t>[61]</w:t>
            </w:r>
            <w:r w:rsidR="00EC65C9">
              <w:rPr>
                <w:rFonts w:ascii="Book Antiqua" w:hAnsi="Book Antiqua"/>
              </w:rPr>
              <w:t>,</w:t>
            </w:r>
            <w:r w:rsidR="00EC65C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CF58AE">
              <w:rPr>
                <w:rFonts w:ascii="Book Antiqua" w:hAnsi="Book Antiqua"/>
              </w:rPr>
              <w:t>2019</w:t>
            </w:r>
          </w:p>
        </w:tc>
        <w:tc>
          <w:tcPr>
            <w:tcW w:w="992" w:type="pct"/>
          </w:tcPr>
          <w:p w14:paraId="5698F8AC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1241</w:t>
            </w:r>
          </w:p>
        </w:tc>
        <w:tc>
          <w:tcPr>
            <w:tcW w:w="896" w:type="pct"/>
          </w:tcPr>
          <w:p w14:paraId="4588B3C1" w14:textId="5355B93D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only</w:t>
            </w:r>
          </w:p>
        </w:tc>
        <w:tc>
          <w:tcPr>
            <w:tcW w:w="1000" w:type="pct"/>
            <w:noWrap/>
            <w:hideMark/>
          </w:tcPr>
          <w:p w14:paraId="2864C1B7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TTR</w:t>
            </w:r>
          </w:p>
        </w:tc>
        <w:tc>
          <w:tcPr>
            <w:tcW w:w="1121" w:type="pct"/>
          </w:tcPr>
          <w:p w14:paraId="091390DB" w14:textId="40562D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Increasing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the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TTR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tacrolimus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the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first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year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was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associated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with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improved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long-term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outcomes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kidney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transplants,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TTR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may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be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novel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valuable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strategy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to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monitor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tacrolimus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exposure</w:t>
            </w:r>
          </w:p>
        </w:tc>
      </w:tr>
      <w:tr w:rsidR="00CF58AE" w:rsidRPr="00CF58AE" w14:paraId="4150CFFE" w14:textId="77777777" w:rsidTr="00095F87">
        <w:trPr>
          <w:trHeight w:val="329"/>
        </w:trPr>
        <w:tc>
          <w:tcPr>
            <w:tcW w:w="992" w:type="pct"/>
            <w:hideMark/>
          </w:tcPr>
          <w:p w14:paraId="1F1DAEEE" w14:textId="51961208" w:rsidR="00105B5B" w:rsidRPr="00CF58AE" w:rsidRDefault="00EC65C9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C65C9">
              <w:rPr>
                <w:rFonts w:ascii="Book Antiqua" w:hAnsi="Book Antiqua"/>
              </w:rPr>
              <w:t>Süsal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al</w:t>
            </w:r>
            <w:r>
              <w:rPr>
                <w:rFonts w:ascii="Book Antiqua" w:hAnsi="Book Antiqua"/>
                <w:vertAlign w:val="superscript"/>
              </w:rPr>
              <w:t>[55]</w:t>
            </w:r>
            <w:r>
              <w:rPr>
                <w:rFonts w:ascii="Book Antiqua" w:hAnsi="Book Antiqua"/>
              </w:rPr>
              <w:t xml:space="preserve">, </w:t>
            </w:r>
            <w:r w:rsidR="00105B5B" w:rsidRPr="00CF58AE">
              <w:rPr>
                <w:rFonts w:ascii="Book Antiqua" w:hAnsi="Book Antiqua"/>
              </w:rPr>
              <w:lastRenderedPageBreak/>
              <w:t>2019</w:t>
            </w:r>
          </w:p>
        </w:tc>
        <w:tc>
          <w:tcPr>
            <w:tcW w:w="992" w:type="pct"/>
          </w:tcPr>
          <w:p w14:paraId="50CCB4E8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lastRenderedPageBreak/>
              <w:t>6638</w:t>
            </w:r>
          </w:p>
        </w:tc>
        <w:tc>
          <w:tcPr>
            <w:tcW w:w="896" w:type="pct"/>
          </w:tcPr>
          <w:p w14:paraId="5844F6F4" w14:textId="22DB2334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lastRenderedPageBreak/>
              <w:t>donor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only</w:t>
            </w:r>
          </w:p>
        </w:tc>
        <w:tc>
          <w:tcPr>
            <w:tcW w:w="1000" w:type="pct"/>
            <w:noWrap/>
            <w:hideMark/>
          </w:tcPr>
          <w:p w14:paraId="68C2E433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lastRenderedPageBreak/>
              <w:t>CV</w:t>
            </w:r>
          </w:p>
        </w:tc>
        <w:tc>
          <w:tcPr>
            <w:tcW w:w="1121" w:type="pct"/>
          </w:tcPr>
          <w:p w14:paraId="17B97882" w14:textId="053E995F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Even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patients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lastRenderedPageBreak/>
              <w:t>with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good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outcome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during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the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first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3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post-transplant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years,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high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IPV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was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associated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with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inferior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graft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survival,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indicating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that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fluctuating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tacrolimus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trough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level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years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1,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2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3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post-transplant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major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problem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kidney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transplantation</w:t>
            </w:r>
          </w:p>
        </w:tc>
      </w:tr>
      <w:tr w:rsidR="00CF58AE" w:rsidRPr="00CF58AE" w14:paraId="2C79C8B6" w14:textId="77777777" w:rsidTr="00095F87">
        <w:trPr>
          <w:trHeight w:val="329"/>
        </w:trPr>
        <w:tc>
          <w:tcPr>
            <w:tcW w:w="992" w:type="pct"/>
          </w:tcPr>
          <w:p w14:paraId="6F5ABEA4" w14:textId="608B0502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58AE">
              <w:rPr>
                <w:rFonts w:ascii="Book Antiqua" w:hAnsi="Book Antiqua"/>
              </w:rPr>
              <w:lastRenderedPageBreak/>
              <w:t>Rahamimov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EC65C9">
              <w:rPr>
                <w:rFonts w:ascii="Book Antiqua" w:hAnsi="Book Antiqua"/>
                <w:vertAlign w:val="superscript"/>
              </w:rPr>
              <w:t>[52]</w:t>
            </w:r>
            <w:r w:rsidR="00EC65C9">
              <w:rPr>
                <w:rFonts w:ascii="Book Antiqua" w:hAnsi="Book Antiqua"/>
              </w:rPr>
              <w:t xml:space="preserve">, </w:t>
            </w:r>
            <w:r w:rsidRPr="00CF58AE">
              <w:rPr>
                <w:rFonts w:ascii="Book Antiqua" w:hAnsi="Book Antiqua"/>
              </w:rPr>
              <w:t>2019</w:t>
            </w:r>
          </w:p>
        </w:tc>
        <w:tc>
          <w:tcPr>
            <w:tcW w:w="992" w:type="pct"/>
          </w:tcPr>
          <w:p w14:paraId="07509643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878</w:t>
            </w:r>
          </w:p>
        </w:tc>
        <w:tc>
          <w:tcPr>
            <w:tcW w:w="896" w:type="pct"/>
          </w:tcPr>
          <w:p w14:paraId="39A14568" w14:textId="65132216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00" w:type="pct"/>
            <w:noWrap/>
          </w:tcPr>
          <w:p w14:paraId="7AF0820A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CV</w:t>
            </w:r>
          </w:p>
        </w:tc>
        <w:tc>
          <w:tcPr>
            <w:tcW w:w="1121" w:type="pct"/>
          </w:tcPr>
          <w:p w14:paraId="77B9C2F9" w14:textId="504C0102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Monitoring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can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help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detect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the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high-risk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patients</w:t>
            </w:r>
          </w:p>
        </w:tc>
      </w:tr>
      <w:tr w:rsidR="00CF58AE" w:rsidRPr="00CF58AE" w14:paraId="59C174A0" w14:textId="77777777" w:rsidTr="00095F87">
        <w:trPr>
          <w:trHeight w:val="329"/>
        </w:trPr>
        <w:tc>
          <w:tcPr>
            <w:tcW w:w="992" w:type="pct"/>
            <w:hideMark/>
          </w:tcPr>
          <w:p w14:paraId="7A068F47" w14:textId="22D474B1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Gold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EC65C9">
              <w:rPr>
                <w:rFonts w:ascii="Book Antiqua" w:hAnsi="Book Antiqua"/>
                <w:vertAlign w:val="superscript"/>
              </w:rPr>
              <w:t>[66]</w:t>
            </w:r>
            <w:r w:rsidR="00EC65C9">
              <w:rPr>
                <w:rFonts w:ascii="Book Antiqua" w:hAnsi="Book Antiqua"/>
              </w:rPr>
              <w:t>,</w:t>
            </w:r>
            <w:r w:rsidR="00EC65C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CF58AE">
              <w:rPr>
                <w:rFonts w:ascii="Book Antiqua" w:hAnsi="Book Antiqua"/>
              </w:rPr>
              <w:t>2020</w:t>
            </w:r>
          </w:p>
        </w:tc>
        <w:tc>
          <w:tcPr>
            <w:tcW w:w="992" w:type="pct"/>
          </w:tcPr>
          <w:p w14:paraId="68B37D84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1419</w:t>
            </w:r>
          </w:p>
        </w:tc>
        <w:tc>
          <w:tcPr>
            <w:tcW w:w="896" w:type="pct"/>
          </w:tcPr>
          <w:p w14:paraId="48E3325B" w14:textId="1692C4DC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only</w:t>
            </w:r>
          </w:p>
        </w:tc>
        <w:tc>
          <w:tcPr>
            <w:tcW w:w="1000" w:type="pct"/>
            <w:hideMark/>
          </w:tcPr>
          <w:p w14:paraId="4F0F9B22" w14:textId="0ECF770E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MAD</w:t>
            </w:r>
          </w:p>
        </w:tc>
        <w:tc>
          <w:tcPr>
            <w:tcW w:w="1121" w:type="pct"/>
          </w:tcPr>
          <w:p w14:paraId="24BF4B88" w14:textId="481718F2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A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more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intense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less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variable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exposure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to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tacrolimus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could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improve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graft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survival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strongly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patients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with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high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TAC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IPV</w:t>
            </w:r>
          </w:p>
        </w:tc>
      </w:tr>
      <w:tr w:rsidR="00CF58AE" w:rsidRPr="00CF58AE" w14:paraId="0E3F7EDD" w14:textId="77777777" w:rsidTr="00095F87">
        <w:trPr>
          <w:trHeight w:val="329"/>
        </w:trPr>
        <w:tc>
          <w:tcPr>
            <w:tcW w:w="992" w:type="pct"/>
            <w:hideMark/>
          </w:tcPr>
          <w:p w14:paraId="475E058A" w14:textId="2AF99B8E" w:rsidR="00105B5B" w:rsidRPr="00CF58AE" w:rsidRDefault="00EC65C9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C65C9">
              <w:rPr>
                <w:rFonts w:ascii="Book Antiqua" w:hAnsi="Book Antiqua"/>
              </w:rPr>
              <w:t>Stefanović</w:t>
            </w:r>
            <w:proofErr w:type="spellEnd"/>
            <w:r w:rsidRPr="00EC65C9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 xml:space="preserve">et </w:t>
            </w:r>
            <w:r w:rsidR="00FA3733" w:rsidRPr="00CF58AE">
              <w:rPr>
                <w:rFonts w:ascii="Book Antiqua" w:hAnsi="Book Antiqua"/>
                <w:i/>
                <w:iCs/>
              </w:rPr>
              <w:lastRenderedPageBreak/>
              <w:t>al</w:t>
            </w:r>
            <w:r>
              <w:rPr>
                <w:rFonts w:ascii="Book Antiqua" w:hAnsi="Book Antiqua"/>
                <w:vertAlign w:val="superscript"/>
              </w:rPr>
              <w:t>[58]</w:t>
            </w:r>
            <w:r>
              <w:rPr>
                <w:rFonts w:ascii="Book Antiqua" w:hAnsi="Book Antiqua" w:hint="eastAsia"/>
                <w:lang w:eastAsia="zh-CN"/>
              </w:rPr>
              <w:t>,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="00105B5B" w:rsidRPr="00CF58AE">
              <w:rPr>
                <w:rFonts w:ascii="Book Antiqua" w:hAnsi="Book Antiqua"/>
              </w:rPr>
              <w:t>2020</w:t>
            </w:r>
          </w:p>
        </w:tc>
        <w:tc>
          <w:tcPr>
            <w:tcW w:w="992" w:type="pct"/>
          </w:tcPr>
          <w:p w14:paraId="7D0757C5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lastRenderedPageBreak/>
              <w:t>104</w:t>
            </w:r>
          </w:p>
        </w:tc>
        <w:tc>
          <w:tcPr>
            <w:tcW w:w="896" w:type="pct"/>
          </w:tcPr>
          <w:p w14:paraId="1DBF1C33" w14:textId="40FE8314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lastRenderedPageBreak/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00" w:type="pct"/>
            <w:noWrap/>
            <w:hideMark/>
          </w:tcPr>
          <w:p w14:paraId="47A99F47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lastRenderedPageBreak/>
              <w:t>CV</w:t>
            </w:r>
          </w:p>
        </w:tc>
        <w:tc>
          <w:tcPr>
            <w:tcW w:w="1121" w:type="pct"/>
          </w:tcPr>
          <w:p w14:paraId="51503CF6" w14:textId="4B8D6D10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Combined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lastRenderedPageBreak/>
              <w:t>assessment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tacrolimus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IPV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tacrolimus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C0/D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may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categorize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patients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towards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risk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graft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deterioration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the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long-term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post-transplantation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period</w:t>
            </w:r>
          </w:p>
        </w:tc>
      </w:tr>
      <w:tr w:rsidR="00CF58AE" w:rsidRPr="00CF58AE" w14:paraId="34961E4A" w14:textId="77777777" w:rsidTr="00095F87">
        <w:trPr>
          <w:trHeight w:val="329"/>
        </w:trPr>
        <w:tc>
          <w:tcPr>
            <w:tcW w:w="992" w:type="pct"/>
            <w:hideMark/>
          </w:tcPr>
          <w:p w14:paraId="5B27B4D4" w14:textId="7BE8670A" w:rsidR="00105B5B" w:rsidRPr="00CF58AE" w:rsidRDefault="006D1B34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D1B34">
              <w:rPr>
                <w:rFonts w:ascii="Book Antiqua" w:hAnsi="Book Antiqua"/>
              </w:rPr>
              <w:lastRenderedPageBreak/>
              <w:t>Stefanović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>
              <w:rPr>
                <w:rFonts w:ascii="Book Antiqua" w:hAnsi="Book Antiqua"/>
                <w:vertAlign w:val="superscript"/>
              </w:rPr>
              <w:t>[59]</w:t>
            </w:r>
            <w:r>
              <w:rPr>
                <w:rFonts w:ascii="Book Antiqua" w:hAnsi="Book Antiqua" w:hint="eastAsia"/>
                <w:lang w:eastAsia="zh-CN"/>
              </w:rPr>
              <w:t>,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="00105B5B" w:rsidRPr="00CF58AE">
              <w:rPr>
                <w:rFonts w:ascii="Book Antiqua" w:hAnsi="Book Antiqua"/>
              </w:rPr>
              <w:t>2021</w:t>
            </w:r>
          </w:p>
        </w:tc>
        <w:tc>
          <w:tcPr>
            <w:tcW w:w="992" w:type="pct"/>
          </w:tcPr>
          <w:p w14:paraId="1D5107E1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103</w:t>
            </w:r>
          </w:p>
        </w:tc>
        <w:tc>
          <w:tcPr>
            <w:tcW w:w="896" w:type="pct"/>
          </w:tcPr>
          <w:p w14:paraId="48A7F491" w14:textId="15A612AE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00" w:type="pct"/>
            <w:noWrap/>
            <w:hideMark/>
          </w:tcPr>
          <w:p w14:paraId="6E5E307F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CV</w:t>
            </w:r>
          </w:p>
        </w:tc>
        <w:tc>
          <w:tcPr>
            <w:tcW w:w="1121" w:type="pct"/>
          </w:tcPr>
          <w:p w14:paraId="2E775F77" w14:textId="34B74E11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Simultaneous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assessment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IPV,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C0/D,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CYP3A5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genotype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may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identify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patients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risk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deterioration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graft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function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the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long-term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post-transplantation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period</w:t>
            </w:r>
          </w:p>
        </w:tc>
      </w:tr>
      <w:tr w:rsidR="00CF58AE" w:rsidRPr="00CF58AE" w14:paraId="1078AAC2" w14:textId="77777777" w:rsidTr="00095F87">
        <w:trPr>
          <w:trHeight w:val="329"/>
        </w:trPr>
        <w:tc>
          <w:tcPr>
            <w:tcW w:w="992" w:type="pct"/>
            <w:hideMark/>
          </w:tcPr>
          <w:p w14:paraId="7F89F3DE" w14:textId="7C7D540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Kim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973E46" w:rsidRPr="00CF58AE">
              <w:rPr>
                <w:rFonts w:ascii="Book Antiqua" w:hAnsi="Book Antiqua"/>
                <w:vertAlign w:val="superscript"/>
              </w:rPr>
              <w:t>[65]</w:t>
            </w:r>
            <w:r w:rsidR="00973E46" w:rsidRPr="00CF58AE">
              <w:rPr>
                <w:rFonts w:ascii="Book Antiqua" w:hAnsi="Book Antiqua"/>
              </w:rPr>
              <w:t xml:space="preserve">, </w:t>
            </w:r>
            <w:r w:rsidRPr="00CF58AE">
              <w:rPr>
                <w:rFonts w:ascii="Book Antiqua" w:hAnsi="Book Antiqua"/>
              </w:rPr>
              <w:t>2021</w:t>
            </w:r>
          </w:p>
        </w:tc>
        <w:tc>
          <w:tcPr>
            <w:tcW w:w="992" w:type="pct"/>
          </w:tcPr>
          <w:p w14:paraId="6A5D907E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1080</w:t>
            </w:r>
          </w:p>
        </w:tc>
        <w:tc>
          <w:tcPr>
            <w:tcW w:w="896" w:type="pct"/>
          </w:tcPr>
          <w:p w14:paraId="227D33ED" w14:textId="34E4B220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00" w:type="pct"/>
            <w:hideMark/>
          </w:tcPr>
          <w:p w14:paraId="383DD221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CV</w:t>
            </w:r>
          </w:p>
        </w:tc>
        <w:tc>
          <w:tcPr>
            <w:tcW w:w="1121" w:type="pct"/>
          </w:tcPr>
          <w:p w14:paraId="36B31D52" w14:textId="295EF800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High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tacrolimus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IPV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="006E4F7B" w:rsidRPr="00CF58AE">
              <w:rPr>
                <w:rFonts w:ascii="Book Antiqua" w:hAnsi="Book Antiqua"/>
              </w:rPr>
              <w:t>significantly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increases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the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risk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graft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failure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="002B3C89" w:rsidRPr="00CF58AE">
              <w:rPr>
                <w:rFonts w:ascii="Book Antiqua" w:hAnsi="Book Antiqua"/>
              </w:rPr>
              <w:t>antibody mediated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lastRenderedPageBreak/>
              <w:t>rejection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patients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with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high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immunological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risk</w:t>
            </w:r>
          </w:p>
        </w:tc>
      </w:tr>
      <w:tr w:rsidR="00CF58AE" w:rsidRPr="00CF58AE" w14:paraId="121C0B63" w14:textId="77777777" w:rsidTr="00095F87">
        <w:trPr>
          <w:trHeight w:val="329"/>
        </w:trPr>
        <w:tc>
          <w:tcPr>
            <w:tcW w:w="992" w:type="pct"/>
            <w:hideMark/>
          </w:tcPr>
          <w:p w14:paraId="08459D05" w14:textId="326B76E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lastRenderedPageBreak/>
              <w:t>Park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6E4F7B">
              <w:rPr>
                <w:rFonts w:ascii="Book Antiqua" w:hAnsi="Book Antiqua"/>
                <w:vertAlign w:val="superscript"/>
              </w:rPr>
              <w:t>[63]</w:t>
            </w:r>
            <w:r w:rsidR="006E4F7B">
              <w:rPr>
                <w:rFonts w:ascii="Book Antiqua" w:hAnsi="Book Antiqua"/>
              </w:rPr>
              <w:t>,</w:t>
            </w:r>
            <w:r w:rsidR="006E4F7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CF58AE">
              <w:rPr>
                <w:rFonts w:ascii="Book Antiqua" w:hAnsi="Book Antiqua"/>
              </w:rPr>
              <w:t>2021</w:t>
            </w:r>
          </w:p>
        </w:tc>
        <w:tc>
          <w:tcPr>
            <w:tcW w:w="992" w:type="pct"/>
          </w:tcPr>
          <w:p w14:paraId="71A58DAD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1143</w:t>
            </w:r>
          </w:p>
        </w:tc>
        <w:tc>
          <w:tcPr>
            <w:tcW w:w="896" w:type="pct"/>
          </w:tcPr>
          <w:p w14:paraId="77390B4A" w14:textId="03AD4872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00" w:type="pct"/>
            <w:hideMark/>
          </w:tcPr>
          <w:p w14:paraId="627304B3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CV</w:t>
            </w:r>
          </w:p>
        </w:tc>
        <w:tc>
          <w:tcPr>
            <w:tcW w:w="1121" w:type="pct"/>
          </w:tcPr>
          <w:p w14:paraId="718839BD" w14:textId="5E964AF5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TAC-IPV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can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significantly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affect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allograft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outcomes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even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with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high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mean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TAC-C0</w:t>
            </w:r>
          </w:p>
        </w:tc>
      </w:tr>
      <w:tr w:rsidR="00CF58AE" w:rsidRPr="00CF58AE" w14:paraId="0E34453C" w14:textId="77777777" w:rsidTr="00095F87">
        <w:trPr>
          <w:trHeight w:val="329"/>
        </w:trPr>
        <w:tc>
          <w:tcPr>
            <w:tcW w:w="992" w:type="pct"/>
          </w:tcPr>
          <w:p w14:paraId="2D7B12FF" w14:textId="5A3ECFEA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Yin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6E4F7B">
              <w:rPr>
                <w:rFonts w:ascii="Book Antiqua" w:hAnsi="Book Antiqua" w:hint="eastAsia"/>
                <w:vertAlign w:val="superscript"/>
                <w:lang w:eastAsia="zh-CN"/>
              </w:rPr>
              <w:t>[</w:t>
            </w:r>
            <w:r w:rsidR="006E4F7B">
              <w:rPr>
                <w:rFonts w:ascii="Book Antiqua" w:hAnsi="Book Antiqua"/>
                <w:vertAlign w:val="superscript"/>
                <w:lang w:eastAsia="zh-CN"/>
              </w:rPr>
              <w:t>64]</w:t>
            </w:r>
            <w:r w:rsidR="006E4F7B">
              <w:rPr>
                <w:rFonts w:ascii="Book Antiqua" w:hAnsi="Book Antiqua"/>
                <w:lang w:eastAsia="zh-CN"/>
              </w:rPr>
              <w:t xml:space="preserve">, </w:t>
            </w:r>
            <w:r w:rsidRPr="00CF58AE">
              <w:rPr>
                <w:rFonts w:ascii="Book Antiqua" w:hAnsi="Book Antiqua"/>
              </w:rPr>
              <w:t>202</w:t>
            </w:r>
            <w:r w:rsidR="006E4F7B">
              <w:rPr>
                <w:rFonts w:ascii="Book Antiqua" w:hAnsi="Book Antiqua"/>
              </w:rPr>
              <w:t>2</w:t>
            </w:r>
          </w:p>
        </w:tc>
        <w:tc>
          <w:tcPr>
            <w:tcW w:w="992" w:type="pct"/>
          </w:tcPr>
          <w:p w14:paraId="6594983A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1343</w:t>
            </w:r>
          </w:p>
        </w:tc>
        <w:tc>
          <w:tcPr>
            <w:tcW w:w="896" w:type="pct"/>
          </w:tcPr>
          <w:p w14:paraId="10A0CFE0" w14:textId="1B33A07B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only</w:t>
            </w:r>
          </w:p>
        </w:tc>
        <w:tc>
          <w:tcPr>
            <w:tcW w:w="1000" w:type="pct"/>
          </w:tcPr>
          <w:p w14:paraId="04537FF2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CV</w:t>
            </w:r>
          </w:p>
        </w:tc>
        <w:tc>
          <w:tcPr>
            <w:tcW w:w="1121" w:type="pct"/>
          </w:tcPr>
          <w:p w14:paraId="126029E7" w14:textId="07310092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58AE">
              <w:rPr>
                <w:rFonts w:ascii="Book Antiqua" w:hAnsi="Book Antiqua"/>
              </w:rPr>
              <w:t>Tac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variability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score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novel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measure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IPV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with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higher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correlation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with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graft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survival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more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convenience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clinical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use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than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after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kidney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transplantation</w:t>
            </w:r>
          </w:p>
        </w:tc>
      </w:tr>
      <w:tr w:rsidR="00CF58AE" w:rsidRPr="00CF58AE" w14:paraId="0EA18D8B" w14:textId="77777777" w:rsidTr="00095F87">
        <w:trPr>
          <w:trHeight w:val="329"/>
        </w:trPr>
        <w:tc>
          <w:tcPr>
            <w:tcW w:w="992" w:type="pct"/>
            <w:hideMark/>
          </w:tcPr>
          <w:p w14:paraId="61CCB986" w14:textId="2341AB8C" w:rsidR="00105B5B" w:rsidRPr="00CF58AE" w:rsidRDefault="006E4F7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6E4F7B">
              <w:rPr>
                <w:rFonts w:ascii="Book Antiqua" w:hAnsi="Book Antiqua"/>
              </w:rPr>
              <w:t>Baghai</w:t>
            </w:r>
            <w:proofErr w:type="spellEnd"/>
            <w:r w:rsidRPr="006E4F7B">
              <w:rPr>
                <w:rFonts w:ascii="Book Antiqua" w:hAnsi="Book Antiqua"/>
              </w:rPr>
              <w:t xml:space="preserve"> </w:t>
            </w:r>
            <w:proofErr w:type="spellStart"/>
            <w:r w:rsidRPr="006E4F7B">
              <w:rPr>
                <w:rFonts w:ascii="Book Antiqua" w:hAnsi="Book Antiqua"/>
              </w:rPr>
              <w:t>Arassi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>
              <w:rPr>
                <w:rFonts w:ascii="Book Antiqua" w:hAnsi="Book Antiqua"/>
                <w:vertAlign w:val="superscript"/>
              </w:rPr>
              <w:t>[67]</w:t>
            </w:r>
            <w:r>
              <w:rPr>
                <w:rFonts w:ascii="Book Antiqua" w:hAnsi="Book Antiqua" w:hint="eastAsia"/>
                <w:lang w:eastAsia="zh-CN"/>
              </w:rPr>
              <w:t>,</w:t>
            </w:r>
            <w:r>
              <w:rPr>
                <w:rFonts w:ascii="Book Antiqua" w:hAnsi="Book Antiqua"/>
                <w:lang w:eastAsia="zh-CN"/>
              </w:rPr>
              <w:t xml:space="preserve"> </w:t>
            </w:r>
            <w:r w:rsidR="00105B5B" w:rsidRPr="00CF58AE">
              <w:rPr>
                <w:rFonts w:ascii="Book Antiqua" w:hAnsi="Book Antiqua"/>
              </w:rPr>
              <w:t>2022</w:t>
            </w:r>
          </w:p>
        </w:tc>
        <w:tc>
          <w:tcPr>
            <w:tcW w:w="992" w:type="pct"/>
          </w:tcPr>
          <w:p w14:paraId="05F63BB9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48</w:t>
            </w:r>
          </w:p>
        </w:tc>
        <w:tc>
          <w:tcPr>
            <w:tcW w:w="896" w:type="pct"/>
          </w:tcPr>
          <w:p w14:paraId="525DED37" w14:textId="5EB96F0F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00" w:type="pct"/>
            <w:noWrap/>
            <w:hideMark/>
          </w:tcPr>
          <w:p w14:paraId="78623BFB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CV</w:t>
            </w:r>
          </w:p>
        </w:tc>
        <w:tc>
          <w:tcPr>
            <w:tcW w:w="1121" w:type="pct"/>
          </w:tcPr>
          <w:p w14:paraId="6BA406B0" w14:textId="0D958235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High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IPV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associated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with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increased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risk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dnDSA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development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rejection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episodes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&gt;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year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1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posttransplant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even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patients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lastRenderedPageBreak/>
              <w:t>with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low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immunological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risk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profile</w:t>
            </w:r>
          </w:p>
        </w:tc>
      </w:tr>
      <w:tr w:rsidR="00CF58AE" w:rsidRPr="00CF58AE" w14:paraId="6417C36C" w14:textId="77777777" w:rsidTr="000B7C25">
        <w:trPr>
          <w:trHeight w:val="329"/>
        </w:trPr>
        <w:tc>
          <w:tcPr>
            <w:tcW w:w="992" w:type="pct"/>
            <w:tcBorders>
              <w:bottom w:val="single" w:sz="4" w:space="0" w:color="auto"/>
            </w:tcBorders>
            <w:hideMark/>
          </w:tcPr>
          <w:p w14:paraId="67494BE2" w14:textId="09CFC672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58AE">
              <w:rPr>
                <w:rFonts w:ascii="Book Antiqua" w:hAnsi="Book Antiqua"/>
              </w:rPr>
              <w:lastRenderedPageBreak/>
              <w:t>Nuchjumroon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6E4F7B">
              <w:rPr>
                <w:rFonts w:ascii="Book Antiqua" w:hAnsi="Book Antiqua"/>
                <w:vertAlign w:val="superscript"/>
              </w:rPr>
              <w:t>[60]</w:t>
            </w:r>
            <w:r w:rsidR="006E4F7B">
              <w:rPr>
                <w:rFonts w:ascii="Book Antiqua" w:hAnsi="Book Antiqua"/>
              </w:rPr>
              <w:t>,</w:t>
            </w:r>
            <w:r w:rsidR="006E4F7B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CF58AE">
              <w:rPr>
                <w:rFonts w:ascii="Book Antiqua" w:hAnsi="Book Antiqua"/>
              </w:rPr>
              <w:t>2022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01F10A93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188</w:t>
            </w: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14:paraId="172F6B58" w14:textId="0532FA2E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noWrap/>
            <w:hideMark/>
          </w:tcPr>
          <w:p w14:paraId="1135BC75" w14:textId="77777777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CV</w:t>
            </w: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14:paraId="558B826F" w14:textId="2A1C74EE" w:rsidR="00105B5B" w:rsidRPr="00CF58AE" w:rsidRDefault="00105B5B" w:rsidP="00095F8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No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evidence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that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the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CYP3A5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polymorphisms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significantly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influence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tacrolimus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IPV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during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the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6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to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12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mo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after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kidney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transplantation</w:t>
            </w:r>
          </w:p>
        </w:tc>
      </w:tr>
    </w:tbl>
    <w:p w14:paraId="6CF4A15E" w14:textId="2C8FBE98" w:rsidR="000B7C25" w:rsidRPr="00CF58AE" w:rsidRDefault="000B7C25" w:rsidP="005A21CA">
      <w:pPr>
        <w:pStyle w:val="a5"/>
        <w:spacing w:before="0" w:line="360" w:lineRule="auto"/>
        <w:ind w:left="0" w:right="116"/>
        <w:rPr>
          <w:rFonts w:ascii="Book Antiqua" w:hAnsi="Book Antiqua" w:cs="Times New Roman"/>
        </w:rPr>
      </w:pPr>
      <w:r w:rsidRPr="00CF58AE">
        <w:rPr>
          <w:rFonts w:ascii="Book Antiqua" w:hAnsi="Book Antiqua" w:cs="Times New Roman"/>
        </w:rPr>
        <w:t>SD: Standard deviation; CV: Coefficient of variation; MLVI: Medication level variability index; DSA: Donor-specific antibodies; TTR: Time in therapeutic range.</w:t>
      </w:r>
    </w:p>
    <w:p w14:paraId="29F1C43C" w14:textId="77777777" w:rsidR="000B7C25" w:rsidRPr="00CF58AE" w:rsidRDefault="000B7C25" w:rsidP="005A21CA">
      <w:pPr>
        <w:pStyle w:val="a5"/>
        <w:spacing w:before="0" w:line="360" w:lineRule="auto"/>
        <w:ind w:left="0" w:right="116"/>
        <w:rPr>
          <w:rFonts w:ascii="Book Antiqua" w:hAnsi="Book Antiqua"/>
          <w:b/>
          <w:bCs/>
          <w:w w:val="105"/>
        </w:rPr>
        <w:sectPr w:rsidR="000B7C25" w:rsidRPr="00CF58AE" w:rsidSect="00C87A39">
          <w:pgSz w:w="11910" w:h="16840"/>
          <w:pgMar w:top="1400" w:right="1240" w:bottom="1520" w:left="1200" w:header="0" w:footer="1281" w:gutter="0"/>
          <w:cols w:space="720"/>
        </w:sectPr>
      </w:pPr>
    </w:p>
    <w:p w14:paraId="4175950A" w14:textId="23FCA771" w:rsidR="00105B5B" w:rsidRPr="00CF58AE" w:rsidRDefault="00105B5B" w:rsidP="005A21CA">
      <w:pPr>
        <w:pStyle w:val="a5"/>
        <w:spacing w:before="0" w:line="360" w:lineRule="auto"/>
        <w:ind w:left="0" w:right="116"/>
        <w:rPr>
          <w:rFonts w:ascii="Book Antiqua" w:hAnsi="Book Antiqua"/>
          <w:b/>
          <w:bCs/>
        </w:rPr>
      </w:pPr>
      <w:r w:rsidRPr="00CF58AE">
        <w:rPr>
          <w:rFonts w:ascii="Book Antiqua" w:hAnsi="Book Antiqua"/>
          <w:b/>
          <w:bCs/>
          <w:w w:val="105"/>
        </w:rPr>
        <w:lastRenderedPageBreak/>
        <w:t>Table</w:t>
      </w:r>
      <w:r w:rsidR="008A3BB0" w:rsidRPr="00CF58AE">
        <w:rPr>
          <w:rFonts w:ascii="Book Antiqua" w:hAnsi="Book Antiqua"/>
          <w:b/>
          <w:bCs/>
          <w:w w:val="105"/>
        </w:rPr>
        <w:t xml:space="preserve"> </w:t>
      </w:r>
      <w:r w:rsidRPr="00CF58AE">
        <w:rPr>
          <w:rFonts w:ascii="Book Antiqua" w:hAnsi="Book Antiqua"/>
          <w:b/>
          <w:bCs/>
          <w:w w:val="105"/>
        </w:rPr>
        <w:t>5</w:t>
      </w:r>
      <w:r w:rsidR="008A3BB0" w:rsidRPr="00CF58AE">
        <w:rPr>
          <w:rFonts w:ascii="Book Antiqua" w:hAnsi="Book Antiqua"/>
          <w:b/>
          <w:bCs/>
        </w:rPr>
        <w:t xml:space="preserve"> </w:t>
      </w:r>
      <w:proofErr w:type="spellStart"/>
      <w:r w:rsidRPr="00CF58AE">
        <w:rPr>
          <w:rFonts w:ascii="Book Antiqua" w:hAnsi="Book Antiqua"/>
          <w:b/>
          <w:bCs/>
        </w:rPr>
        <w:t>Tacrolimus</w:t>
      </w:r>
      <w:proofErr w:type="spellEnd"/>
      <w:r w:rsidR="008A3BB0" w:rsidRPr="00CF58AE">
        <w:rPr>
          <w:rFonts w:ascii="Book Antiqua" w:hAnsi="Book Antiqua"/>
          <w:b/>
          <w:bCs/>
          <w:spacing w:val="-6"/>
        </w:rPr>
        <w:t xml:space="preserve"> </w:t>
      </w:r>
      <w:r w:rsidRPr="00CF58AE">
        <w:rPr>
          <w:rFonts w:ascii="Book Antiqua" w:hAnsi="Book Antiqua"/>
          <w:b/>
          <w:bCs/>
        </w:rPr>
        <w:t>intra-patient</w:t>
      </w:r>
      <w:r w:rsidR="008A3BB0" w:rsidRPr="00CF58AE">
        <w:rPr>
          <w:rFonts w:ascii="Book Antiqua" w:hAnsi="Book Antiqua"/>
          <w:b/>
          <w:bCs/>
          <w:spacing w:val="-4"/>
        </w:rPr>
        <w:t xml:space="preserve"> </w:t>
      </w:r>
      <w:r w:rsidRPr="00CF58AE">
        <w:rPr>
          <w:rFonts w:ascii="Book Antiqua" w:hAnsi="Book Antiqua"/>
          <w:b/>
          <w:bCs/>
        </w:rPr>
        <w:t>variability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in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pancreas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and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bone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marrow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transplantation: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="000B7C25" w:rsidRPr="00CF58AE">
        <w:rPr>
          <w:rFonts w:ascii="Book Antiqua" w:hAnsi="Book Antiqua"/>
          <w:b/>
          <w:bCs/>
        </w:rPr>
        <w:t>M</w:t>
      </w:r>
      <w:r w:rsidRPr="00CF58AE">
        <w:rPr>
          <w:rFonts w:ascii="Book Antiqua" w:hAnsi="Book Antiqua"/>
          <w:b/>
          <w:bCs/>
        </w:rPr>
        <w:t>ain</w:t>
      </w:r>
      <w:r w:rsidR="008A3BB0"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  <w:b/>
          <w:bCs/>
        </w:rPr>
        <w:t>findings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1962"/>
        <w:gridCol w:w="1776"/>
        <w:gridCol w:w="1980"/>
        <w:gridCol w:w="2015"/>
      </w:tblGrid>
      <w:tr w:rsidR="00CF58AE" w:rsidRPr="00CF58AE" w14:paraId="71E96E17" w14:textId="77777777" w:rsidTr="008370C3">
        <w:trPr>
          <w:trHeight w:val="33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E3881C" w14:textId="186E6931" w:rsidR="00105B5B" w:rsidRPr="008370C3" w:rsidRDefault="00105B5B" w:rsidP="008370C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0C3">
              <w:rPr>
                <w:rFonts w:ascii="Book Antiqua" w:hAnsi="Book Antiqua"/>
                <w:b/>
                <w:bCs/>
              </w:rPr>
              <w:t>Kidney</w:t>
            </w:r>
            <w:r w:rsidR="008A3BB0" w:rsidRPr="008370C3">
              <w:rPr>
                <w:rFonts w:ascii="Book Antiqua" w:hAnsi="Book Antiqua"/>
                <w:b/>
                <w:bCs/>
              </w:rPr>
              <w:t xml:space="preserve"> </w:t>
            </w:r>
            <w:r w:rsidRPr="008370C3">
              <w:rPr>
                <w:rFonts w:ascii="Book Antiqua" w:hAnsi="Book Antiqua"/>
                <w:b/>
                <w:bCs/>
              </w:rPr>
              <w:t>and</w:t>
            </w:r>
            <w:r w:rsidR="00CF58AE" w:rsidRPr="008370C3">
              <w:rPr>
                <w:rFonts w:ascii="Book Antiqua" w:hAnsi="Book Antiqua"/>
                <w:b/>
                <w:bCs/>
              </w:rPr>
              <w:t xml:space="preserve"> pancreas, and bone marrow tran</w:t>
            </w:r>
            <w:r w:rsidRPr="008370C3">
              <w:rPr>
                <w:rFonts w:ascii="Book Antiqua" w:hAnsi="Book Antiqua"/>
                <w:b/>
                <w:bCs/>
              </w:rPr>
              <w:t>splant</w:t>
            </w:r>
          </w:p>
        </w:tc>
      </w:tr>
      <w:tr w:rsidR="00CF58AE" w:rsidRPr="00CF58AE" w14:paraId="2EAA57B5" w14:textId="77777777" w:rsidTr="008370C3">
        <w:trPr>
          <w:trHeight w:val="501"/>
        </w:trPr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233152FB" w14:textId="5ED8BEF3" w:rsidR="00105B5B" w:rsidRPr="008370C3" w:rsidRDefault="008370C3" w:rsidP="008370C3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/>
                <w:b/>
                <w:bCs/>
              </w:rPr>
              <w:t>R</w:t>
            </w:r>
            <w:r>
              <w:rPr>
                <w:rFonts w:ascii="Book Antiqua" w:hAnsi="Book Antiqua" w:hint="eastAsia"/>
                <w:b/>
                <w:bCs/>
                <w:lang w:eastAsia="zh-CN"/>
              </w:rPr>
              <w:t>e</w:t>
            </w:r>
            <w:r>
              <w:rPr>
                <w:rFonts w:ascii="Book Antiqua" w:hAnsi="Book Antiqua"/>
                <w:b/>
                <w:bCs/>
                <w:lang w:eastAsia="zh-CN"/>
              </w:rPr>
              <w:t>f.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</w:tcPr>
          <w:p w14:paraId="36492CF1" w14:textId="4BCCE7B2" w:rsidR="00105B5B" w:rsidRPr="008370C3" w:rsidRDefault="00105B5B" w:rsidP="008370C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0C3">
              <w:rPr>
                <w:rFonts w:ascii="Book Antiqua" w:hAnsi="Book Antiqua"/>
                <w:b/>
                <w:bCs/>
              </w:rPr>
              <w:t>Sample</w:t>
            </w:r>
            <w:r w:rsidR="008A3BB0" w:rsidRPr="008370C3">
              <w:rPr>
                <w:rFonts w:ascii="Book Antiqua" w:hAnsi="Book Antiqua"/>
                <w:b/>
                <w:bCs/>
              </w:rPr>
              <w:t xml:space="preserve"> </w:t>
            </w:r>
            <w:r w:rsidRPr="008370C3">
              <w:rPr>
                <w:rFonts w:ascii="Book Antiqua" w:hAnsi="Book Antiqua"/>
                <w:b/>
                <w:bCs/>
              </w:rPr>
              <w:t>size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</w:tcPr>
          <w:p w14:paraId="304DF783" w14:textId="79CC3388" w:rsidR="00105B5B" w:rsidRPr="008370C3" w:rsidRDefault="00105B5B" w:rsidP="008370C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0C3">
              <w:rPr>
                <w:rFonts w:ascii="Book Antiqua" w:hAnsi="Book Antiqua"/>
                <w:b/>
                <w:bCs/>
              </w:rPr>
              <w:t>Donor</w:t>
            </w:r>
            <w:r w:rsidR="008A3BB0" w:rsidRPr="008370C3">
              <w:rPr>
                <w:rFonts w:ascii="Book Antiqua" w:hAnsi="Book Antiqua"/>
                <w:b/>
                <w:bCs/>
              </w:rPr>
              <w:t xml:space="preserve"> </w:t>
            </w:r>
            <w:r w:rsidRPr="008370C3">
              <w:rPr>
                <w:rFonts w:ascii="Book Antiqua" w:hAnsi="Book Antiqua"/>
                <w:b/>
                <w:bCs/>
              </w:rPr>
              <w:t>type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3A1D2DE3" w14:textId="5A943B31" w:rsidR="00105B5B" w:rsidRPr="008370C3" w:rsidRDefault="00105B5B" w:rsidP="008370C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proofErr w:type="spellStart"/>
            <w:r w:rsidRPr="008370C3">
              <w:rPr>
                <w:rFonts w:ascii="Book Antiqua" w:hAnsi="Book Antiqua"/>
                <w:b/>
                <w:bCs/>
              </w:rPr>
              <w:t>Tac</w:t>
            </w:r>
            <w:proofErr w:type="spellEnd"/>
            <w:r w:rsidRPr="008370C3">
              <w:rPr>
                <w:rFonts w:ascii="Book Antiqua" w:hAnsi="Book Antiqua"/>
                <w:b/>
                <w:bCs/>
              </w:rPr>
              <w:t>-IPV</w:t>
            </w:r>
            <w:r w:rsidR="008A3BB0" w:rsidRPr="008370C3">
              <w:rPr>
                <w:rFonts w:ascii="Book Antiqua" w:hAnsi="Book Antiqua"/>
                <w:b/>
                <w:bCs/>
              </w:rPr>
              <w:t xml:space="preserve"> </w:t>
            </w:r>
            <w:r w:rsidRPr="008370C3">
              <w:rPr>
                <w:rFonts w:ascii="Book Antiqua" w:hAnsi="Book Antiqua"/>
                <w:b/>
                <w:bCs/>
              </w:rPr>
              <w:t>Assessment</w:t>
            </w: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</w:tcPr>
          <w:p w14:paraId="0C763A61" w14:textId="77777777" w:rsidR="00105B5B" w:rsidRPr="008370C3" w:rsidRDefault="00105B5B" w:rsidP="008370C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370C3">
              <w:rPr>
                <w:rFonts w:ascii="Book Antiqua" w:hAnsi="Book Antiqua"/>
                <w:b/>
                <w:bCs/>
              </w:rPr>
              <w:t>Outcome</w:t>
            </w:r>
          </w:p>
        </w:tc>
      </w:tr>
      <w:tr w:rsidR="00CF58AE" w:rsidRPr="00CF58AE" w14:paraId="05367AA8" w14:textId="77777777" w:rsidTr="00B422CE">
        <w:trPr>
          <w:trHeight w:val="331"/>
        </w:trPr>
        <w:tc>
          <w:tcPr>
            <w:tcW w:w="1008" w:type="pct"/>
            <w:tcBorders>
              <w:top w:val="single" w:sz="4" w:space="0" w:color="auto"/>
            </w:tcBorders>
          </w:tcPr>
          <w:p w14:paraId="57F384A2" w14:textId="6FBFBCFE" w:rsidR="00105B5B" w:rsidRPr="00CF58AE" w:rsidRDefault="00105B5B" w:rsidP="008370C3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F58AE">
              <w:rPr>
                <w:rFonts w:ascii="Book Antiqua" w:hAnsi="Book Antiqua"/>
              </w:rPr>
              <w:t>Torabi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B422CE">
              <w:rPr>
                <w:rFonts w:ascii="Book Antiqua" w:hAnsi="Book Antiqua"/>
                <w:vertAlign w:val="superscript"/>
              </w:rPr>
              <w:t>[69]</w:t>
            </w:r>
            <w:r w:rsidR="00B422CE">
              <w:rPr>
                <w:rFonts w:ascii="Book Antiqua" w:hAnsi="Book Antiqua"/>
              </w:rPr>
              <w:t>,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2020</w:t>
            </w:r>
          </w:p>
        </w:tc>
        <w:tc>
          <w:tcPr>
            <w:tcW w:w="1013" w:type="pct"/>
            <w:tcBorders>
              <w:top w:val="single" w:sz="4" w:space="0" w:color="auto"/>
            </w:tcBorders>
          </w:tcPr>
          <w:p w14:paraId="34341870" w14:textId="77777777" w:rsidR="00105B5B" w:rsidRPr="00CF58AE" w:rsidRDefault="00105B5B" w:rsidP="008370C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39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14:paraId="4D9A5581" w14:textId="4E6F0A4E" w:rsidR="00105B5B" w:rsidRPr="00CF58AE" w:rsidRDefault="00105B5B" w:rsidP="008370C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Both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deceased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</w:p>
        </w:tc>
        <w:tc>
          <w:tcPr>
            <w:tcW w:w="1022" w:type="pct"/>
            <w:tcBorders>
              <w:top w:val="single" w:sz="4" w:space="0" w:color="auto"/>
            </w:tcBorders>
          </w:tcPr>
          <w:p w14:paraId="34CF2761" w14:textId="77777777" w:rsidR="00105B5B" w:rsidRPr="00CF58AE" w:rsidRDefault="00105B5B" w:rsidP="008370C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CV</w:t>
            </w:r>
          </w:p>
        </w:tc>
        <w:tc>
          <w:tcPr>
            <w:tcW w:w="1040" w:type="pct"/>
            <w:tcBorders>
              <w:top w:val="single" w:sz="4" w:space="0" w:color="auto"/>
            </w:tcBorders>
          </w:tcPr>
          <w:p w14:paraId="0A269533" w14:textId="74351755" w:rsidR="00105B5B" w:rsidRPr="00CF58AE" w:rsidRDefault="00105B5B" w:rsidP="008370C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The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once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daily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LCPT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dosing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may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facilitate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medication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adherence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and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result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improved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long-term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outcomes</w:t>
            </w:r>
          </w:p>
        </w:tc>
      </w:tr>
      <w:tr w:rsidR="00CF58AE" w:rsidRPr="00CF58AE" w14:paraId="0A500087" w14:textId="77777777" w:rsidTr="00B422CE">
        <w:trPr>
          <w:trHeight w:val="331"/>
        </w:trPr>
        <w:tc>
          <w:tcPr>
            <w:tcW w:w="1008" w:type="pct"/>
            <w:tcBorders>
              <w:bottom w:val="single" w:sz="4" w:space="0" w:color="auto"/>
            </w:tcBorders>
          </w:tcPr>
          <w:p w14:paraId="160C2A31" w14:textId="093F7556" w:rsidR="00105B5B" w:rsidRPr="00CF58AE" w:rsidRDefault="00105B5B" w:rsidP="008370C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Marco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="00FA3733" w:rsidRPr="00CF58AE">
              <w:rPr>
                <w:rFonts w:ascii="Book Antiqua" w:hAnsi="Book Antiqua"/>
                <w:i/>
                <w:iCs/>
              </w:rPr>
              <w:t>et al</w:t>
            </w:r>
            <w:r w:rsidR="00B422CE">
              <w:rPr>
                <w:rFonts w:ascii="Book Antiqua" w:hAnsi="Book Antiqua"/>
                <w:vertAlign w:val="superscript"/>
              </w:rPr>
              <w:t>[70]</w:t>
            </w:r>
            <w:r w:rsidR="00B422CE">
              <w:rPr>
                <w:rFonts w:ascii="Book Antiqua" w:hAnsi="Book Antiqua"/>
              </w:rPr>
              <w:t>,</w:t>
            </w:r>
            <w:r w:rsidR="00B422CE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2022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14:paraId="6BBB6540" w14:textId="77777777" w:rsidR="00105B5B" w:rsidRPr="00CF58AE" w:rsidRDefault="00105B5B" w:rsidP="008370C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128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14:paraId="0F284515" w14:textId="60730715" w:rsidR="00105B5B" w:rsidRPr="00CF58AE" w:rsidRDefault="00105B5B" w:rsidP="008370C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Living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donor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only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14:paraId="16EF01C9" w14:textId="77777777" w:rsidR="00105B5B" w:rsidRPr="00CF58AE" w:rsidRDefault="00105B5B" w:rsidP="008370C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CV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14:paraId="6A24369C" w14:textId="33CD1203" w:rsidR="00105B5B" w:rsidRPr="00CF58AE" w:rsidRDefault="00105B5B" w:rsidP="008370C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F58AE">
              <w:rPr>
                <w:rFonts w:ascii="Book Antiqua" w:hAnsi="Book Antiqua"/>
              </w:rPr>
              <w:t>Determination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Tac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IPV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soon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after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alloHSCT</w:t>
            </w:r>
            <w:proofErr w:type="spellEnd"/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could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be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useful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in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identifying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greater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risks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r w:rsidRPr="00CF58AE">
              <w:rPr>
                <w:rFonts w:ascii="Book Antiqua" w:hAnsi="Book Antiqua"/>
              </w:rPr>
              <w:t>of</w:t>
            </w:r>
            <w:r w:rsidR="008A3BB0" w:rsidRPr="00CF58AE">
              <w:rPr>
                <w:rFonts w:ascii="Book Antiqua" w:hAnsi="Book Antiqua"/>
              </w:rPr>
              <w:t xml:space="preserve"> </w:t>
            </w:r>
            <w:proofErr w:type="spellStart"/>
            <w:r w:rsidRPr="00CF58AE">
              <w:rPr>
                <w:rFonts w:ascii="Book Antiqua" w:hAnsi="Book Antiqua"/>
              </w:rPr>
              <w:t>aGVHD</w:t>
            </w:r>
            <w:proofErr w:type="spellEnd"/>
          </w:p>
        </w:tc>
      </w:tr>
    </w:tbl>
    <w:p w14:paraId="7463848A" w14:textId="43C3133D" w:rsidR="00A77B3E" w:rsidRDefault="00095F87" w:rsidP="005A21CA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CF58AE">
        <w:rPr>
          <w:rFonts w:ascii="Book Antiqua" w:hAnsi="Book Antiqua"/>
        </w:rPr>
        <w:t>CV:</w:t>
      </w:r>
      <w:r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</w:rPr>
        <w:t>Coefficient</w:t>
      </w:r>
      <w:r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</w:rPr>
        <w:t>of</w:t>
      </w:r>
      <w:r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</w:rPr>
        <w:t>variation;</w:t>
      </w:r>
      <w:r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</w:rPr>
        <w:t>LCPT:</w:t>
      </w:r>
      <w:r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</w:rPr>
        <w:t>LCP-</w:t>
      </w:r>
      <w:proofErr w:type="spellStart"/>
      <w:r w:rsidRPr="00CF58AE">
        <w:rPr>
          <w:rFonts w:ascii="Book Antiqua" w:hAnsi="Book Antiqua"/>
        </w:rPr>
        <w:t>tacrolimus</w:t>
      </w:r>
      <w:proofErr w:type="spellEnd"/>
      <w:r w:rsidRPr="00CF58AE">
        <w:rPr>
          <w:rFonts w:ascii="Book Antiqua" w:hAnsi="Book Antiqua"/>
        </w:rPr>
        <w:t>;</w:t>
      </w:r>
      <w:r w:rsidRPr="00CF58AE">
        <w:rPr>
          <w:rFonts w:ascii="Book Antiqua" w:hAnsi="Book Antiqua"/>
          <w:b/>
          <w:bCs/>
        </w:rPr>
        <w:t xml:space="preserve"> </w:t>
      </w:r>
      <w:proofErr w:type="spellStart"/>
      <w:r w:rsidRPr="00CF58AE">
        <w:rPr>
          <w:rFonts w:ascii="Book Antiqua" w:hAnsi="Book Antiqua"/>
        </w:rPr>
        <w:t>alloHSCT</w:t>
      </w:r>
      <w:proofErr w:type="spellEnd"/>
      <w:r w:rsidRPr="00CF58AE">
        <w:rPr>
          <w:rFonts w:ascii="Book Antiqua" w:hAnsi="Book Antiqua"/>
        </w:rPr>
        <w:t>:</w:t>
      </w:r>
      <w:r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</w:rPr>
        <w:t>Allogeneic</w:t>
      </w:r>
      <w:r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</w:rPr>
        <w:t>stem</w:t>
      </w:r>
      <w:r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</w:rPr>
        <w:t>cell</w:t>
      </w:r>
      <w:r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</w:rPr>
        <w:t>transplantation;</w:t>
      </w:r>
      <w:r w:rsidRPr="00CF58AE">
        <w:rPr>
          <w:rFonts w:ascii="Book Antiqua" w:hAnsi="Book Antiqua"/>
          <w:b/>
          <w:bCs/>
        </w:rPr>
        <w:t xml:space="preserve"> </w:t>
      </w:r>
      <w:proofErr w:type="spellStart"/>
      <w:r w:rsidRPr="00CF58AE">
        <w:rPr>
          <w:rFonts w:ascii="Book Antiqua" w:hAnsi="Book Antiqua"/>
        </w:rPr>
        <w:t>aGVHD</w:t>
      </w:r>
      <w:proofErr w:type="spellEnd"/>
      <w:r w:rsidRPr="00CF58AE">
        <w:rPr>
          <w:rFonts w:ascii="Book Antiqua" w:hAnsi="Book Antiqua"/>
        </w:rPr>
        <w:t>: Acute</w:t>
      </w:r>
      <w:r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</w:rPr>
        <w:t>graft-</w:t>
      </w:r>
      <w:proofErr w:type="spellStart"/>
      <w:r w:rsidRPr="00CF58AE">
        <w:rPr>
          <w:rFonts w:ascii="Book Antiqua" w:hAnsi="Book Antiqua"/>
        </w:rPr>
        <w:t>vesus</w:t>
      </w:r>
      <w:proofErr w:type="spellEnd"/>
      <w:r w:rsidRPr="00CF58AE">
        <w:rPr>
          <w:rFonts w:ascii="Book Antiqua" w:hAnsi="Book Antiqua"/>
        </w:rPr>
        <w:t>-host</w:t>
      </w:r>
      <w:r w:rsidRPr="00CF58AE">
        <w:rPr>
          <w:rFonts w:ascii="Book Antiqua" w:hAnsi="Book Antiqua"/>
          <w:b/>
          <w:bCs/>
        </w:rPr>
        <w:t xml:space="preserve"> </w:t>
      </w:r>
      <w:r w:rsidRPr="00CF58AE">
        <w:rPr>
          <w:rFonts w:ascii="Book Antiqua" w:hAnsi="Book Antiqua"/>
        </w:rPr>
        <w:t>disease.</w:t>
      </w:r>
    </w:p>
    <w:p w14:paraId="7B07A631" w14:textId="77777777" w:rsidR="00FD71F0" w:rsidRDefault="00FD71F0" w:rsidP="005A21CA">
      <w:pPr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6F7F96A4" w14:textId="77777777" w:rsidR="00FD71F0" w:rsidRDefault="00FD71F0" w:rsidP="005A21CA">
      <w:pPr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0CC3008D" w14:textId="77777777" w:rsidR="00FD71F0" w:rsidRDefault="00FD71F0" w:rsidP="005A21CA">
      <w:pPr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2FF8D526" w14:textId="77777777" w:rsidR="00FD71F0" w:rsidRDefault="00FD71F0" w:rsidP="005A21CA">
      <w:pPr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7815E7EC" w14:textId="77777777" w:rsidR="00FD71F0" w:rsidRDefault="00FD71F0" w:rsidP="005A21CA">
      <w:pPr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7B6F2FC2" w14:textId="77777777" w:rsidR="00FD71F0" w:rsidRDefault="00FD71F0" w:rsidP="005A21CA">
      <w:pPr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73881C63" w14:textId="77777777" w:rsidR="00FD71F0" w:rsidRDefault="00FD71F0" w:rsidP="005A21CA">
      <w:pPr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47B5E5FE" w14:textId="77777777" w:rsidR="00FD71F0" w:rsidRDefault="00FD71F0" w:rsidP="005A21CA">
      <w:pPr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28452DFF" w14:textId="77777777" w:rsidR="00FD71F0" w:rsidRDefault="00FD71F0" w:rsidP="005A21CA">
      <w:pPr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0102589F" w14:textId="77777777" w:rsidR="00FD71F0" w:rsidRDefault="00FD71F0" w:rsidP="005A21CA">
      <w:pPr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520E7C17" w14:textId="77777777" w:rsidR="00FD71F0" w:rsidRDefault="00FD71F0" w:rsidP="005A21CA">
      <w:pPr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3874CDA6" w14:textId="77777777" w:rsidR="00FD71F0" w:rsidRDefault="00FD71F0" w:rsidP="00FD71F0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0109BB3" wp14:editId="7831F9FD">
            <wp:extent cx="2499360" cy="1440180"/>
            <wp:effectExtent l="0" t="0" r="0" b="7620"/>
            <wp:docPr id="2" name="图片 2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21CAA" w14:textId="77777777" w:rsidR="00FD71F0" w:rsidRDefault="00FD71F0" w:rsidP="00FD71F0">
      <w:pPr>
        <w:snapToGrid w:val="0"/>
        <w:ind w:leftChars="100" w:left="240"/>
        <w:jc w:val="center"/>
        <w:rPr>
          <w:rFonts w:ascii="Book Antiqua" w:hAnsi="Book Antiqua"/>
        </w:rPr>
      </w:pPr>
    </w:p>
    <w:p w14:paraId="10128AEA" w14:textId="77777777" w:rsidR="00FD71F0" w:rsidRDefault="00FD71F0" w:rsidP="00FD71F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3267EEBA" w14:textId="77777777" w:rsidR="00FD71F0" w:rsidRDefault="00FD71F0" w:rsidP="00FD71F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83E267E" w14:textId="77777777" w:rsidR="00FD71F0" w:rsidRDefault="00FD71F0" w:rsidP="00FD71F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3579034" w14:textId="77777777" w:rsidR="00FD71F0" w:rsidRDefault="00FD71F0" w:rsidP="00FD71F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1441254" w14:textId="77777777" w:rsidR="00FD71F0" w:rsidRDefault="00FD71F0" w:rsidP="00FD71F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B7FE886" w14:textId="77777777" w:rsidR="00FD71F0" w:rsidRDefault="00FD71F0" w:rsidP="00FD71F0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5082583" w14:textId="77777777" w:rsidR="00FD71F0" w:rsidRDefault="00FD71F0" w:rsidP="00FD71F0">
      <w:pPr>
        <w:snapToGrid w:val="0"/>
        <w:ind w:leftChars="100" w:left="240"/>
        <w:jc w:val="center"/>
        <w:rPr>
          <w:rFonts w:ascii="Book Antiqua" w:hAnsi="Book Antiqua"/>
        </w:rPr>
      </w:pPr>
    </w:p>
    <w:p w14:paraId="7493DB58" w14:textId="77777777" w:rsidR="00FD71F0" w:rsidRDefault="00FD71F0" w:rsidP="00FD71F0">
      <w:pPr>
        <w:snapToGrid w:val="0"/>
        <w:ind w:leftChars="100" w:left="240"/>
        <w:jc w:val="center"/>
        <w:rPr>
          <w:rFonts w:ascii="Book Antiqua" w:hAnsi="Book Antiqua"/>
        </w:rPr>
      </w:pPr>
    </w:p>
    <w:p w14:paraId="6752A71E" w14:textId="77777777" w:rsidR="00FD71F0" w:rsidRDefault="00FD71F0" w:rsidP="00FD71F0">
      <w:pPr>
        <w:snapToGrid w:val="0"/>
        <w:ind w:leftChars="100" w:left="240"/>
        <w:jc w:val="center"/>
        <w:rPr>
          <w:rFonts w:ascii="Book Antiqua" w:hAnsi="Book Antiqua"/>
        </w:rPr>
      </w:pPr>
    </w:p>
    <w:p w14:paraId="68E2162B" w14:textId="77777777" w:rsidR="00FD71F0" w:rsidRDefault="00FD71F0" w:rsidP="00FD71F0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050688E" wp14:editId="17C7DCFD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95B85" w14:textId="77777777" w:rsidR="00FD71F0" w:rsidRDefault="00FD71F0" w:rsidP="00FD71F0">
      <w:pPr>
        <w:snapToGrid w:val="0"/>
        <w:ind w:leftChars="100" w:left="240"/>
        <w:jc w:val="center"/>
        <w:rPr>
          <w:rFonts w:ascii="Book Antiqua" w:hAnsi="Book Antiqua"/>
        </w:rPr>
      </w:pPr>
    </w:p>
    <w:p w14:paraId="7EB8C65E" w14:textId="77777777" w:rsidR="00FD71F0" w:rsidRDefault="00FD71F0" w:rsidP="00FD71F0">
      <w:pPr>
        <w:snapToGrid w:val="0"/>
        <w:ind w:leftChars="100" w:left="240"/>
        <w:jc w:val="center"/>
        <w:rPr>
          <w:rFonts w:ascii="Book Antiqua" w:hAnsi="Book Antiqua"/>
        </w:rPr>
      </w:pPr>
    </w:p>
    <w:p w14:paraId="119F082D" w14:textId="77777777" w:rsidR="00FD71F0" w:rsidRDefault="00FD71F0" w:rsidP="00FD71F0">
      <w:pPr>
        <w:snapToGrid w:val="0"/>
        <w:rPr>
          <w:rFonts w:ascii="Book Antiqua" w:hAnsi="Book Antiqua"/>
          <w:lang w:eastAsia="zh-CN"/>
        </w:rPr>
      </w:pPr>
    </w:p>
    <w:p w14:paraId="1D095BC6" w14:textId="77777777" w:rsidR="00FD71F0" w:rsidRDefault="00FD71F0" w:rsidP="00FD71F0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B1281F7" w14:textId="77777777" w:rsidR="00FD71F0" w:rsidRPr="00252596" w:rsidRDefault="00FD71F0" w:rsidP="00FD71F0">
      <w:pPr>
        <w:snapToGrid w:val="0"/>
        <w:jc w:val="center"/>
        <w:rPr>
          <w:rFonts w:ascii="Book Antiqua" w:hAnsi="Book Antiqua"/>
          <w:shd w:val="clear" w:color="auto" w:fill="FFFFFF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  <w:lang w:eastAsia="zh-CN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10BB5E45" w14:textId="77777777" w:rsidR="00FD71F0" w:rsidRPr="00FD71F0" w:rsidRDefault="00FD71F0" w:rsidP="005A21CA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bookmarkStart w:id="0" w:name="_GoBack"/>
      <w:bookmarkEnd w:id="0"/>
    </w:p>
    <w:sectPr w:rsidR="00FD71F0" w:rsidRPr="00FD71F0" w:rsidSect="00C87A39">
      <w:pgSz w:w="11910" w:h="16840"/>
      <w:pgMar w:top="1400" w:right="1240" w:bottom="1520" w:left="1200" w:header="0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00654" w14:textId="77777777" w:rsidR="00A13E2D" w:rsidRDefault="00A13E2D" w:rsidP="00105B5B">
      <w:r>
        <w:separator/>
      </w:r>
    </w:p>
  </w:endnote>
  <w:endnote w:type="continuationSeparator" w:id="0">
    <w:p w14:paraId="5EC550E6" w14:textId="77777777" w:rsidR="00A13E2D" w:rsidRDefault="00A13E2D" w:rsidP="0010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Garamond-Bold"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8379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AB1DE6" w14:textId="1F3E1298" w:rsidR="004B79D2" w:rsidRDefault="004B79D2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1F0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1F0">
              <w:rPr>
                <w:b/>
                <w:bCs/>
                <w:noProof/>
              </w:rPr>
              <w:t>40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000F7" w14:textId="77777777" w:rsidR="004B79D2" w:rsidRDefault="004B79D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52711"/>
      <w:docPartObj>
        <w:docPartGallery w:val="Page Numbers (Bottom of Page)"/>
        <w:docPartUnique/>
      </w:docPartObj>
    </w:sdtPr>
    <w:sdtEndPr/>
    <w:sdtContent>
      <w:sdt>
        <w:sdtPr>
          <w:id w:val="-1771612661"/>
          <w:docPartObj>
            <w:docPartGallery w:val="Page Numbers (Top of Page)"/>
            <w:docPartUnique/>
          </w:docPartObj>
        </w:sdtPr>
        <w:sdtEndPr/>
        <w:sdtContent>
          <w:p w14:paraId="267BD4F6" w14:textId="266B92B8" w:rsidR="00B47BED" w:rsidRDefault="00B47BED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1F0">
              <w:rPr>
                <w:b/>
                <w:bCs/>
                <w:noProof/>
              </w:rPr>
              <w:t>40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1F0">
              <w:rPr>
                <w:b/>
                <w:bCs/>
                <w:noProof/>
              </w:rPr>
              <w:t>41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93BBC" w14:textId="049109DD" w:rsidR="00C24D7B" w:rsidRDefault="00C24D7B">
    <w:pPr>
      <w:pStyle w:val="a5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4D51C" w14:textId="77777777" w:rsidR="00A13E2D" w:rsidRDefault="00A13E2D" w:rsidP="00105B5B">
      <w:r>
        <w:separator/>
      </w:r>
    </w:p>
  </w:footnote>
  <w:footnote w:type="continuationSeparator" w:id="0">
    <w:p w14:paraId="1B3C700F" w14:textId="77777777" w:rsidR="00A13E2D" w:rsidRDefault="00A13E2D" w:rsidP="00105B5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0D50"/>
    <w:rsid w:val="00016727"/>
    <w:rsid w:val="00084E01"/>
    <w:rsid w:val="00091452"/>
    <w:rsid w:val="00095F87"/>
    <w:rsid w:val="000B7C25"/>
    <w:rsid w:val="000D2A47"/>
    <w:rsid w:val="00105B5B"/>
    <w:rsid w:val="001361B3"/>
    <w:rsid w:val="001445B0"/>
    <w:rsid w:val="00156C07"/>
    <w:rsid w:val="00183AEE"/>
    <w:rsid w:val="001860EA"/>
    <w:rsid w:val="001B7A30"/>
    <w:rsid w:val="001D605A"/>
    <w:rsid w:val="001F09D2"/>
    <w:rsid w:val="00223259"/>
    <w:rsid w:val="00225983"/>
    <w:rsid w:val="002523E0"/>
    <w:rsid w:val="00253F82"/>
    <w:rsid w:val="0025654C"/>
    <w:rsid w:val="00271DEE"/>
    <w:rsid w:val="00284258"/>
    <w:rsid w:val="00284AFD"/>
    <w:rsid w:val="002958F7"/>
    <w:rsid w:val="002B3C89"/>
    <w:rsid w:val="002E1274"/>
    <w:rsid w:val="00307C9A"/>
    <w:rsid w:val="00325133"/>
    <w:rsid w:val="003354B3"/>
    <w:rsid w:val="00337588"/>
    <w:rsid w:val="003720EE"/>
    <w:rsid w:val="00391955"/>
    <w:rsid w:val="003A524D"/>
    <w:rsid w:val="0040385C"/>
    <w:rsid w:val="00405278"/>
    <w:rsid w:val="004351DC"/>
    <w:rsid w:val="0045017B"/>
    <w:rsid w:val="00496FE1"/>
    <w:rsid w:val="004A2E92"/>
    <w:rsid w:val="004A33A5"/>
    <w:rsid w:val="004B79D2"/>
    <w:rsid w:val="004C25FC"/>
    <w:rsid w:val="00500C31"/>
    <w:rsid w:val="005737BD"/>
    <w:rsid w:val="005A21CA"/>
    <w:rsid w:val="005B173B"/>
    <w:rsid w:val="005E058C"/>
    <w:rsid w:val="005F0284"/>
    <w:rsid w:val="005F2960"/>
    <w:rsid w:val="00610033"/>
    <w:rsid w:val="00611DCA"/>
    <w:rsid w:val="006315FC"/>
    <w:rsid w:val="00662BEF"/>
    <w:rsid w:val="006A34D8"/>
    <w:rsid w:val="006D1B34"/>
    <w:rsid w:val="006E0937"/>
    <w:rsid w:val="006E4F7B"/>
    <w:rsid w:val="006F1B00"/>
    <w:rsid w:val="00735B95"/>
    <w:rsid w:val="00737ADD"/>
    <w:rsid w:val="00741198"/>
    <w:rsid w:val="007475B0"/>
    <w:rsid w:val="00757644"/>
    <w:rsid w:val="0078025F"/>
    <w:rsid w:val="007D4844"/>
    <w:rsid w:val="008262FE"/>
    <w:rsid w:val="008370C3"/>
    <w:rsid w:val="00855083"/>
    <w:rsid w:val="008756DA"/>
    <w:rsid w:val="00880CC0"/>
    <w:rsid w:val="00882DDE"/>
    <w:rsid w:val="008A3BB0"/>
    <w:rsid w:val="008D3305"/>
    <w:rsid w:val="00911871"/>
    <w:rsid w:val="00926C37"/>
    <w:rsid w:val="00973E46"/>
    <w:rsid w:val="00983209"/>
    <w:rsid w:val="00986981"/>
    <w:rsid w:val="009D2F3F"/>
    <w:rsid w:val="009E69EF"/>
    <w:rsid w:val="009F1480"/>
    <w:rsid w:val="00A13E2D"/>
    <w:rsid w:val="00A17B72"/>
    <w:rsid w:val="00A4684A"/>
    <w:rsid w:val="00A57C8A"/>
    <w:rsid w:val="00A77B3E"/>
    <w:rsid w:val="00AA4A90"/>
    <w:rsid w:val="00AC6AE1"/>
    <w:rsid w:val="00B220C7"/>
    <w:rsid w:val="00B24BD4"/>
    <w:rsid w:val="00B272C4"/>
    <w:rsid w:val="00B422CE"/>
    <w:rsid w:val="00B47BED"/>
    <w:rsid w:val="00B910E5"/>
    <w:rsid w:val="00BA25E1"/>
    <w:rsid w:val="00BB3914"/>
    <w:rsid w:val="00BB6007"/>
    <w:rsid w:val="00BE7360"/>
    <w:rsid w:val="00BE75AC"/>
    <w:rsid w:val="00C102D3"/>
    <w:rsid w:val="00C209FC"/>
    <w:rsid w:val="00C24D7B"/>
    <w:rsid w:val="00C35F7B"/>
    <w:rsid w:val="00C44816"/>
    <w:rsid w:val="00C44862"/>
    <w:rsid w:val="00CA1B80"/>
    <w:rsid w:val="00CA1E7F"/>
    <w:rsid w:val="00CA2A55"/>
    <w:rsid w:val="00CD32B1"/>
    <w:rsid w:val="00CE654C"/>
    <w:rsid w:val="00CF46F7"/>
    <w:rsid w:val="00CF58AE"/>
    <w:rsid w:val="00D61B8E"/>
    <w:rsid w:val="00D764F5"/>
    <w:rsid w:val="00D83E01"/>
    <w:rsid w:val="00E22AA7"/>
    <w:rsid w:val="00E30EC8"/>
    <w:rsid w:val="00E342F1"/>
    <w:rsid w:val="00E35142"/>
    <w:rsid w:val="00E4517E"/>
    <w:rsid w:val="00E47F94"/>
    <w:rsid w:val="00E65B9D"/>
    <w:rsid w:val="00EB73C8"/>
    <w:rsid w:val="00EC65C9"/>
    <w:rsid w:val="00EE765C"/>
    <w:rsid w:val="00EF142C"/>
    <w:rsid w:val="00F65847"/>
    <w:rsid w:val="00F83FD1"/>
    <w:rsid w:val="00F8582C"/>
    <w:rsid w:val="00FA3733"/>
    <w:rsid w:val="00FD71F0"/>
    <w:rsid w:val="00FE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47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5B5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5B5B"/>
    <w:rPr>
      <w:sz w:val="18"/>
      <w:szCs w:val="18"/>
    </w:rPr>
  </w:style>
  <w:style w:type="paragraph" w:styleId="a4">
    <w:name w:val="footer"/>
    <w:basedOn w:val="a"/>
    <w:link w:val="Char0"/>
    <w:uiPriority w:val="99"/>
    <w:rsid w:val="00105B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B5B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05B5B"/>
    <w:pPr>
      <w:spacing w:before="81" w:line="382" w:lineRule="auto"/>
      <w:ind w:right="176"/>
      <w:jc w:val="both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105B5B"/>
    <w:pPr>
      <w:spacing w:before="81" w:line="382" w:lineRule="auto"/>
      <w:ind w:left="218" w:right="176"/>
      <w:jc w:val="both"/>
    </w:pPr>
    <w:rPr>
      <w:rFonts w:ascii="Cambria" w:eastAsia="Cambria" w:hAnsi="Cambria" w:cs="Cambria"/>
    </w:rPr>
  </w:style>
  <w:style w:type="character" w:customStyle="1" w:styleId="Char1">
    <w:name w:val="正文文本 Char"/>
    <w:basedOn w:val="a0"/>
    <w:link w:val="a5"/>
    <w:uiPriority w:val="1"/>
    <w:rsid w:val="00105B5B"/>
    <w:rPr>
      <w:rFonts w:ascii="Cambria" w:eastAsia="Cambria" w:hAnsi="Cambria" w:cs="Cambri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5B5B"/>
    <w:pPr>
      <w:spacing w:before="72" w:line="382" w:lineRule="auto"/>
      <w:ind w:left="117" w:right="176"/>
      <w:jc w:val="both"/>
    </w:pPr>
    <w:rPr>
      <w:rFonts w:ascii="Cambria" w:eastAsia="Cambria" w:hAnsi="Cambria" w:cs="Cambria"/>
      <w:sz w:val="22"/>
      <w:szCs w:val="22"/>
    </w:rPr>
  </w:style>
  <w:style w:type="table" w:customStyle="1" w:styleId="PlainTable2">
    <w:name w:val="Plain Table 2"/>
    <w:basedOn w:val="a1"/>
    <w:uiPriority w:val="42"/>
    <w:rsid w:val="00105B5B"/>
    <w:rPr>
      <w:rFonts w:asciiTheme="minorHAnsi" w:hAnsiTheme="minorHAnsi" w:cstheme="minorBidi"/>
      <w:kern w:val="2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6">
    <w:name w:val="annotation reference"/>
    <w:basedOn w:val="a0"/>
    <w:rsid w:val="009E69EF"/>
    <w:rPr>
      <w:sz w:val="21"/>
      <w:szCs w:val="21"/>
    </w:rPr>
  </w:style>
  <w:style w:type="paragraph" w:styleId="a7">
    <w:name w:val="annotation text"/>
    <w:basedOn w:val="a"/>
    <w:link w:val="Char2"/>
    <w:rsid w:val="009E69EF"/>
  </w:style>
  <w:style w:type="character" w:customStyle="1" w:styleId="Char2">
    <w:name w:val="批注文字 Char"/>
    <w:basedOn w:val="a0"/>
    <w:link w:val="a7"/>
    <w:rsid w:val="009E69EF"/>
    <w:rPr>
      <w:sz w:val="24"/>
      <w:szCs w:val="24"/>
    </w:rPr>
  </w:style>
  <w:style w:type="paragraph" w:styleId="a8">
    <w:name w:val="annotation subject"/>
    <w:basedOn w:val="a7"/>
    <w:next w:val="a7"/>
    <w:link w:val="Char3"/>
    <w:rsid w:val="009E69EF"/>
    <w:rPr>
      <w:b/>
      <w:bCs/>
    </w:rPr>
  </w:style>
  <w:style w:type="character" w:customStyle="1" w:styleId="Char3">
    <w:name w:val="批注主题 Char"/>
    <w:basedOn w:val="Char2"/>
    <w:link w:val="a8"/>
    <w:rsid w:val="009E69EF"/>
    <w:rPr>
      <w:b/>
      <w:bCs/>
      <w:sz w:val="24"/>
      <w:szCs w:val="24"/>
    </w:rPr>
  </w:style>
  <w:style w:type="table" w:styleId="a9">
    <w:name w:val="Table Grid"/>
    <w:basedOn w:val="a1"/>
    <w:rsid w:val="00500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8D3305"/>
    <w:rPr>
      <w:sz w:val="24"/>
      <w:szCs w:val="24"/>
    </w:rPr>
  </w:style>
  <w:style w:type="paragraph" w:styleId="ab">
    <w:name w:val="Balloon Text"/>
    <w:basedOn w:val="a"/>
    <w:link w:val="Char4"/>
    <w:rsid w:val="00FD71F0"/>
    <w:rPr>
      <w:sz w:val="18"/>
      <w:szCs w:val="18"/>
    </w:rPr>
  </w:style>
  <w:style w:type="character" w:customStyle="1" w:styleId="Char4">
    <w:name w:val="批注框文本 Char"/>
    <w:basedOn w:val="a0"/>
    <w:link w:val="ab"/>
    <w:rsid w:val="00FD71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5B5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5B5B"/>
    <w:rPr>
      <w:sz w:val="18"/>
      <w:szCs w:val="18"/>
    </w:rPr>
  </w:style>
  <w:style w:type="paragraph" w:styleId="a4">
    <w:name w:val="footer"/>
    <w:basedOn w:val="a"/>
    <w:link w:val="Char0"/>
    <w:uiPriority w:val="99"/>
    <w:rsid w:val="00105B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B5B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05B5B"/>
    <w:pPr>
      <w:spacing w:before="81" w:line="382" w:lineRule="auto"/>
      <w:ind w:right="176"/>
      <w:jc w:val="both"/>
    </w:pPr>
    <w:rPr>
      <w:rFonts w:ascii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105B5B"/>
    <w:pPr>
      <w:spacing w:before="81" w:line="382" w:lineRule="auto"/>
      <w:ind w:left="218" w:right="176"/>
      <w:jc w:val="both"/>
    </w:pPr>
    <w:rPr>
      <w:rFonts w:ascii="Cambria" w:eastAsia="Cambria" w:hAnsi="Cambria" w:cs="Cambria"/>
    </w:rPr>
  </w:style>
  <w:style w:type="character" w:customStyle="1" w:styleId="Char1">
    <w:name w:val="正文文本 Char"/>
    <w:basedOn w:val="a0"/>
    <w:link w:val="a5"/>
    <w:uiPriority w:val="1"/>
    <w:rsid w:val="00105B5B"/>
    <w:rPr>
      <w:rFonts w:ascii="Cambria" w:eastAsia="Cambria" w:hAnsi="Cambria" w:cs="Cambri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5B5B"/>
    <w:pPr>
      <w:spacing w:before="72" w:line="382" w:lineRule="auto"/>
      <w:ind w:left="117" w:right="176"/>
      <w:jc w:val="both"/>
    </w:pPr>
    <w:rPr>
      <w:rFonts w:ascii="Cambria" w:eastAsia="Cambria" w:hAnsi="Cambria" w:cs="Cambria"/>
      <w:sz w:val="22"/>
      <w:szCs w:val="22"/>
    </w:rPr>
  </w:style>
  <w:style w:type="table" w:customStyle="1" w:styleId="PlainTable2">
    <w:name w:val="Plain Table 2"/>
    <w:basedOn w:val="a1"/>
    <w:uiPriority w:val="42"/>
    <w:rsid w:val="00105B5B"/>
    <w:rPr>
      <w:rFonts w:asciiTheme="minorHAnsi" w:hAnsiTheme="minorHAnsi" w:cstheme="minorBidi"/>
      <w:kern w:val="2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6">
    <w:name w:val="annotation reference"/>
    <w:basedOn w:val="a0"/>
    <w:rsid w:val="009E69EF"/>
    <w:rPr>
      <w:sz w:val="21"/>
      <w:szCs w:val="21"/>
    </w:rPr>
  </w:style>
  <w:style w:type="paragraph" w:styleId="a7">
    <w:name w:val="annotation text"/>
    <w:basedOn w:val="a"/>
    <w:link w:val="Char2"/>
    <w:rsid w:val="009E69EF"/>
  </w:style>
  <w:style w:type="character" w:customStyle="1" w:styleId="Char2">
    <w:name w:val="批注文字 Char"/>
    <w:basedOn w:val="a0"/>
    <w:link w:val="a7"/>
    <w:rsid w:val="009E69EF"/>
    <w:rPr>
      <w:sz w:val="24"/>
      <w:szCs w:val="24"/>
    </w:rPr>
  </w:style>
  <w:style w:type="paragraph" w:styleId="a8">
    <w:name w:val="annotation subject"/>
    <w:basedOn w:val="a7"/>
    <w:next w:val="a7"/>
    <w:link w:val="Char3"/>
    <w:rsid w:val="009E69EF"/>
    <w:rPr>
      <w:b/>
      <w:bCs/>
    </w:rPr>
  </w:style>
  <w:style w:type="character" w:customStyle="1" w:styleId="Char3">
    <w:name w:val="批注主题 Char"/>
    <w:basedOn w:val="Char2"/>
    <w:link w:val="a8"/>
    <w:rsid w:val="009E69EF"/>
    <w:rPr>
      <w:b/>
      <w:bCs/>
      <w:sz w:val="24"/>
      <w:szCs w:val="24"/>
    </w:rPr>
  </w:style>
  <w:style w:type="table" w:styleId="a9">
    <w:name w:val="Table Grid"/>
    <w:basedOn w:val="a1"/>
    <w:rsid w:val="00500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8D3305"/>
    <w:rPr>
      <w:sz w:val="24"/>
      <w:szCs w:val="24"/>
    </w:rPr>
  </w:style>
  <w:style w:type="paragraph" w:styleId="ab">
    <w:name w:val="Balloon Text"/>
    <w:basedOn w:val="a"/>
    <w:link w:val="Char4"/>
    <w:rsid w:val="00FD71F0"/>
    <w:rPr>
      <w:sz w:val="18"/>
      <w:szCs w:val="18"/>
    </w:rPr>
  </w:style>
  <w:style w:type="character" w:customStyle="1" w:styleId="Char4">
    <w:name w:val="批注框文本 Char"/>
    <w:basedOn w:val="a0"/>
    <w:link w:val="ab"/>
    <w:rsid w:val="00FD71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41</Pages>
  <Words>7743</Words>
  <Characters>44141</Characters>
  <Application>Microsoft Office Word</Application>
  <DocSecurity>0</DocSecurity>
  <Lines>367</Lines>
  <Paragraphs>103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Consultorio 08</dc:creator>
  <cp:lastModifiedBy>User</cp:lastModifiedBy>
  <cp:revision>20</cp:revision>
  <dcterms:created xsi:type="dcterms:W3CDTF">2023-08-05T03:54:00Z</dcterms:created>
  <dcterms:modified xsi:type="dcterms:W3CDTF">2023-09-13T06:39:00Z</dcterms:modified>
</cp:coreProperties>
</file>