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05AD" w14:textId="11F9FCA2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</w:rPr>
        <w:t>Name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  <w:b/>
        </w:rPr>
        <w:t>of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  <w:b/>
        </w:rPr>
        <w:t>Journal: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  <w:i/>
        </w:rPr>
        <w:t>World</w:t>
      </w:r>
      <w:r w:rsidR="00C82B8A" w:rsidRPr="00611BFA">
        <w:rPr>
          <w:rFonts w:ascii="Book Antiqua" w:eastAsia="Book Antiqua" w:hAnsi="Book Antiqua" w:cs="Book Antiqua"/>
          <w:i/>
        </w:rPr>
        <w:t xml:space="preserve"> </w:t>
      </w:r>
      <w:r w:rsidRPr="00611BFA">
        <w:rPr>
          <w:rFonts w:ascii="Book Antiqua" w:eastAsia="Book Antiqua" w:hAnsi="Book Antiqua" w:cs="Book Antiqua"/>
          <w:i/>
        </w:rPr>
        <w:t>Journal</w:t>
      </w:r>
      <w:r w:rsidR="00C82B8A" w:rsidRPr="00611BFA">
        <w:rPr>
          <w:rFonts w:ascii="Book Antiqua" w:eastAsia="Book Antiqua" w:hAnsi="Book Antiqua" w:cs="Book Antiqua"/>
          <w:i/>
        </w:rPr>
        <w:t xml:space="preserve"> </w:t>
      </w:r>
      <w:r w:rsidRPr="00611BFA">
        <w:rPr>
          <w:rFonts w:ascii="Book Antiqua" w:eastAsia="Book Antiqua" w:hAnsi="Book Antiqua" w:cs="Book Antiqua"/>
          <w:i/>
        </w:rPr>
        <w:t>of</w:t>
      </w:r>
      <w:r w:rsidR="00C82B8A" w:rsidRPr="00611BFA">
        <w:rPr>
          <w:rFonts w:ascii="Book Antiqua" w:eastAsia="Book Antiqua" w:hAnsi="Book Antiqua" w:cs="Book Antiqua"/>
          <w:i/>
        </w:rPr>
        <w:t xml:space="preserve"> </w:t>
      </w:r>
      <w:r w:rsidRPr="00611BFA">
        <w:rPr>
          <w:rFonts w:ascii="Book Antiqua" w:eastAsia="Book Antiqua" w:hAnsi="Book Antiqua" w:cs="Book Antiqua"/>
          <w:i/>
        </w:rPr>
        <w:t>Orthopedics</w:t>
      </w:r>
    </w:p>
    <w:p w14:paraId="4BDD85B4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</w:rPr>
        <w:t>Manuscript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  <w:b/>
        </w:rPr>
        <w:t>NO: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</w:rPr>
        <w:t>86777</w:t>
      </w:r>
    </w:p>
    <w:p w14:paraId="0C5F2BA7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</w:rPr>
        <w:t>Manuscript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  <w:b/>
        </w:rPr>
        <w:t>Type:</w:t>
      </w:r>
      <w:r w:rsidR="00C82B8A" w:rsidRPr="00611BFA">
        <w:rPr>
          <w:rFonts w:ascii="Book Antiqua" w:eastAsia="Book Antiqua" w:hAnsi="Book Antiqua" w:cs="Book Antiqua"/>
          <w:b/>
        </w:rPr>
        <w:t xml:space="preserve"> </w:t>
      </w:r>
      <w:r w:rsidRPr="00611BFA">
        <w:rPr>
          <w:rFonts w:ascii="Book Antiqua" w:eastAsia="Book Antiqua" w:hAnsi="Book Antiqua" w:cs="Book Antiqua"/>
        </w:rPr>
        <w:t>ORIGINAL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ARTICLE</w:t>
      </w:r>
    </w:p>
    <w:p w14:paraId="3A1A504E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1E878160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</w:rPr>
        <w:t>Observational</w:t>
      </w:r>
      <w:r w:rsidR="00C82B8A" w:rsidRPr="00611BFA">
        <w:rPr>
          <w:rFonts w:ascii="Book Antiqua" w:eastAsia="Book Antiqua" w:hAnsi="Book Antiqua" w:cs="Book Antiqua"/>
          <w:b/>
          <w:i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</w:rPr>
        <w:t>Study</w:t>
      </w:r>
    </w:p>
    <w:p w14:paraId="4F7B0CD3" w14:textId="77777777" w:rsidR="00A77B3E" w:rsidRPr="00611BFA" w:rsidRDefault="00C5187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Importance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computed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tomography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malleolar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fractures: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68B1" w:rsidRPr="00611BFA">
        <w:rPr>
          <w:rFonts w:ascii="Book Antiqua" w:eastAsia="Book Antiqua" w:hAnsi="Book Antiqua" w:cs="Book Antiqua"/>
          <w:b/>
          <w:color w:val="000000"/>
        </w:rPr>
        <w:t>Added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information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b/>
          <w:color w:val="000000"/>
        </w:rPr>
        <w:t>studies</w:t>
      </w:r>
    </w:p>
    <w:p w14:paraId="3EA7E966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4AB1B35D" w14:textId="1B7BA6F6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Neto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5A85" w:rsidRPr="00611BFA">
        <w:rPr>
          <w:rFonts w:ascii="Book Antiqua" w:eastAsia="Book Antiqua" w:hAnsi="Book Antiqua" w:cs="Book Antiqua"/>
          <w:color w:val="000000"/>
        </w:rPr>
        <w:t>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2B8A" w:rsidRPr="00611B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F1745E">
        <w:rPr>
          <w:rFonts w:ascii="Book Antiqua" w:eastAsia="Book Antiqua" w:hAnsi="Book Antiqua" w:cs="Book Antiqua"/>
          <w:color w:val="000000"/>
        </w:rPr>
        <w:t>mportance i</w:t>
      </w:r>
      <w:r w:rsidRPr="00611BFA">
        <w:rPr>
          <w:rFonts w:ascii="Book Antiqua" w:eastAsia="Book Antiqua" w:hAnsi="Book Antiqua" w:cs="Book Antiqua"/>
          <w:color w:val="000000"/>
        </w:rPr>
        <w:t>n</w:t>
      </w:r>
      <w:r w:rsidR="001B37C7">
        <w:rPr>
          <w:rFonts w:ascii="Book Antiqua" w:eastAsia="Book Antiqua" w:hAnsi="Book Antiqua" w:cs="Book Antiqua"/>
          <w:color w:val="000000"/>
        </w:rPr>
        <w:t xml:space="preserve"> posterior 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</w:p>
    <w:p w14:paraId="1E3AD14D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517C3AA2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Noé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Neto,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Pietro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Felice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Tomazini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Nesello,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Jordanna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Maria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Bergamasco,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Marco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Tulio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Costa,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Ralph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Walter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Christian,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Nilson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Roberto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Severino</w:t>
      </w:r>
    </w:p>
    <w:p w14:paraId="25E23384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71DF208C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Noé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Neto,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Pietro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Felice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Tomazini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Nesello,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Jordanna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Bergamasco,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Tulio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Costa,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Ralph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Walter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Christian,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Nilson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5B39" w:rsidRPr="00611BFA">
        <w:rPr>
          <w:rFonts w:ascii="Book Antiqua" w:eastAsia="Book Antiqua" w:hAnsi="Book Antiqua" w:cs="Book Antiqua"/>
          <w:b/>
          <w:bCs/>
          <w:color w:val="000000"/>
        </w:rPr>
        <w:t>Severino,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Department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Orthopedics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Traumatology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Mercy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Hospital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(Santa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–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Fernandinho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Simonsen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Pavillion,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Faculdade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Ciências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Médicas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Santa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-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Brazil,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01221-020,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Brazil</w:t>
      </w:r>
    </w:p>
    <w:p w14:paraId="17F093A6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035CF34B" w14:textId="5F95CF7E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Neto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Christian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RW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11BFA">
        <w:rPr>
          <w:rFonts w:ascii="Book Antiqua" w:eastAsia="Book Antiqua" w:hAnsi="Book Antiqua" w:cs="Book Antiqua"/>
          <w:color w:val="000000"/>
        </w:rPr>
        <w:t xml:space="preserve">and </w:t>
      </w:r>
      <w:r w:rsidR="00B008FE" w:rsidRPr="00611BFA">
        <w:rPr>
          <w:rFonts w:ascii="Book Antiqua" w:eastAsia="Book Antiqua" w:hAnsi="Book Antiqua" w:cs="Book Antiqua"/>
          <w:color w:val="000000"/>
        </w:rPr>
        <w:t>Severino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NR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contributed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to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eastAsia="Book Antiqua" w:hAnsi="Book Antiqua" w:cs="Book Antiqua"/>
          <w:color w:val="000000"/>
        </w:rPr>
        <w:t>c</w:t>
      </w:r>
      <w:r w:rsidRPr="00611BFA">
        <w:rPr>
          <w:rFonts w:ascii="Book Antiqua" w:eastAsia="Book Antiqua" w:hAnsi="Book Antiqua" w:cs="Book Antiqua"/>
          <w:color w:val="000000"/>
        </w:rPr>
        <w:t>onceptualization</w:t>
      </w:r>
      <w:r w:rsidR="001C4586"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Neto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Nesello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008FE" w:rsidRPr="00611BFA">
        <w:rPr>
          <w:rFonts w:ascii="Book Antiqua" w:eastAsia="Book Antiqua" w:hAnsi="Book Antiqua" w:cs="Book Antiqua"/>
          <w:color w:val="000000"/>
        </w:rPr>
        <w:t>PFT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contributed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to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eastAsia="Book Antiqua" w:hAnsi="Book Antiqua" w:cs="Book Antiqua"/>
          <w:color w:val="000000"/>
        </w:rPr>
        <w:t>m</w:t>
      </w:r>
      <w:r w:rsidRPr="00611BFA">
        <w:rPr>
          <w:rFonts w:ascii="Book Antiqua" w:eastAsia="Book Antiqua" w:hAnsi="Book Antiqua" w:cs="Book Antiqua"/>
          <w:color w:val="000000"/>
        </w:rPr>
        <w:t>ethodology</w:t>
      </w:r>
      <w:r w:rsidR="001C4586"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Neto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Nesello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5022BA" w:rsidRPr="00611BFA">
        <w:rPr>
          <w:rFonts w:ascii="Book Antiqua" w:eastAsia="Book Antiqua" w:hAnsi="Book Antiqua" w:cs="Book Antiqua"/>
          <w:color w:val="000000"/>
        </w:rPr>
        <w:t>PFT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contributed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to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eastAsia="Book Antiqua" w:hAnsi="Book Antiqua" w:cs="Book Antiqua"/>
          <w:color w:val="000000"/>
        </w:rPr>
        <w:t>f</w:t>
      </w:r>
      <w:r w:rsidRPr="00611BFA">
        <w:rPr>
          <w:rFonts w:ascii="Book Antiqua" w:eastAsia="Book Antiqua" w:hAnsi="Book Antiqua" w:cs="Book Antiqua"/>
          <w:color w:val="000000"/>
        </w:rPr>
        <w:t>ormal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investigation</w:t>
      </w:r>
      <w:r w:rsidR="001C4586"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Neto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N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hAnsi="Book Antiqua"/>
          <w:lang w:eastAsia="zh-CN"/>
        </w:rPr>
        <w:t>and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Nesello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PFT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contributed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original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draft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preparation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11BFA">
        <w:rPr>
          <w:rFonts w:ascii="Book Antiqua" w:eastAsia="Book Antiqua" w:hAnsi="Book Antiqua" w:cs="Book Antiqua"/>
          <w:color w:val="000000"/>
        </w:rPr>
        <w:t>and</w:t>
      </w:r>
      <w:r w:rsidR="00611BF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figures</w:t>
      </w:r>
      <w:r w:rsidR="001C4586"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Bergamasco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JMP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hAnsi="Book Antiqua"/>
          <w:lang w:eastAsia="zh-CN"/>
        </w:rPr>
        <w:t>and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Costa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MT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contributed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review</w:t>
      </w:r>
      <w:r w:rsidR="00611BFA">
        <w:rPr>
          <w:rFonts w:ascii="Book Antiqua" w:eastAsia="Book Antiqua" w:hAnsi="Book Antiqua" w:cs="Book Antiqua"/>
          <w:color w:val="000000"/>
        </w:rPr>
        <w:t>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editing</w:t>
      </w:r>
      <w:r w:rsidR="001C4586"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Christian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RW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Severino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D2DC2" w:rsidRPr="00611BFA">
        <w:rPr>
          <w:rFonts w:ascii="Book Antiqua" w:eastAsia="Book Antiqua" w:hAnsi="Book Antiqua" w:cs="Book Antiqua"/>
          <w:color w:val="000000"/>
        </w:rPr>
        <w:t>NR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contributed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hAnsi="Book Antiqua"/>
          <w:lang w:eastAsia="zh-CN"/>
        </w:rPr>
        <w:t>to</w:t>
      </w:r>
      <w:r w:rsidR="00C82B8A" w:rsidRPr="00611BFA">
        <w:rPr>
          <w:rFonts w:ascii="Book Antiqua" w:hAnsi="Book Antiqua"/>
          <w:lang w:eastAsia="zh-CN"/>
        </w:rPr>
        <w:t xml:space="preserve"> </w:t>
      </w:r>
      <w:r w:rsidR="001C4586" w:rsidRPr="00611BFA">
        <w:rPr>
          <w:rFonts w:ascii="Book Antiqua" w:eastAsia="Book Antiqua" w:hAnsi="Book Antiqua" w:cs="Book Antiqua"/>
          <w:color w:val="000000"/>
        </w:rPr>
        <w:t>s</w:t>
      </w:r>
      <w:r w:rsidRPr="00611BFA">
        <w:rPr>
          <w:rFonts w:ascii="Book Antiqua" w:eastAsia="Book Antiqua" w:hAnsi="Book Antiqua" w:cs="Book Antiqua"/>
          <w:color w:val="000000"/>
        </w:rPr>
        <w:t>upervision</w:t>
      </w:r>
      <w:r w:rsidR="001C4586" w:rsidRPr="00611BFA">
        <w:rPr>
          <w:rFonts w:ascii="Book Antiqua" w:eastAsia="Book Antiqua" w:hAnsi="Book Antiqua" w:cs="Book Antiqua"/>
          <w:color w:val="000000"/>
        </w:rPr>
        <w:t>.</w:t>
      </w:r>
    </w:p>
    <w:p w14:paraId="1FEE2943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0EB1BED8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Noé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Marchi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Neto,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Department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Orthopedics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Traumatology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Mercy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Hospital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(Santa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–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Fernandinho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Simonsen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Pavillion,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Faculdade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Ciências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Médicas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Santa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de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-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Brazil,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Cesário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Motta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Junior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Street,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61,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São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Paulo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01221-020,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Brazil.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noedemarchineto@gmail.com</w:t>
      </w:r>
    </w:p>
    <w:p w14:paraId="53F30D3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2E4F6315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Received: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</w:rPr>
        <w:t>July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12,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2023</w:t>
      </w:r>
    </w:p>
    <w:p w14:paraId="3698DD85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Revised: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="00002EFA" w:rsidRPr="00611BFA">
        <w:rPr>
          <w:rFonts w:ascii="Book Antiqua" w:eastAsia="Book Antiqua" w:hAnsi="Book Antiqua" w:cs="Book Antiqua"/>
          <w:bCs/>
        </w:rPr>
        <w:t>September</w:t>
      </w:r>
      <w:r w:rsidR="00C82B8A" w:rsidRPr="00611BFA">
        <w:rPr>
          <w:rFonts w:ascii="Book Antiqua" w:eastAsia="Book Antiqua" w:hAnsi="Book Antiqua" w:cs="Book Antiqua"/>
          <w:bCs/>
        </w:rPr>
        <w:t xml:space="preserve"> </w:t>
      </w:r>
      <w:r w:rsidR="00002EFA" w:rsidRPr="00611BFA">
        <w:rPr>
          <w:rFonts w:ascii="Book Antiqua" w:eastAsia="Book Antiqua" w:hAnsi="Book Antiqua" w:cs="Book Antiqua"/>
          <w:bCs/>
        </w:rPr>
        <w:t>18,</w:t>
      </w:r>
      <w:r w:rsidR="00C82B8A" w:rsidRPr="00611BFA">
        <w:rPr>
          <w:rFonts w:ascii="Book Antiqua" w:eastAsia="Book Antiqua" w:hAnsi="Book Antiqua" w:cs="Book Antiqua"/>
          <w:bCs/>
        </w:rPr>
        <w:t xml:space="preserve"> </w:t>
      </w:r>
      <w:r w:rsidR="00002EFA" w:rsidRPr="00611BFA">
        <w:rPr>
          <w:rFonts w:ascii="Book Antiqua" w:eastAsia="Book Antiqua" w:hAnsi="Book Antiqua" w:cs="Book Antiqua"/>
          <w:bCs/>
        </w:rPr>
        <w:t>2023</w:t>
      </w:r>
    </w:p>
    <w:p w14:paraId="2176F655" w14:textId="3EF09ED1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Accepted: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="00A3672A" w:rsidRPr="00611BFA">
        <w:rPr>
          <w:rFonts w:ascii="Book Antiqua" w:eastAsia="Book Antiqua" w:hAnsi="Book Antiqua" w:cs="Book Antiqua"/>
        </w:rPr>
        <w:t>October 16, 2023</w:t>
      </w:r>
    </w:p>
    <w:p w14:paraId="6BD4EB80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Published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online: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</w:p>
    <w:p w14:paraId="4A0920EF" w14:textId="77777777" w:rsidR="000C1B44" w:rsidRDefault="000C1B44" w:rsidP="00611BF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A27A8DD" w14:textId="2BF3FBA1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Abstract</w:t>
      </w:r>
    </w:p>
    <w:p w14:paraId="0E861A21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BACKGROUND</w:t>
      </w:r>
    </w:p>
    <w:p w14:paraId="49A5106C" w14:textId="41D123E2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common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lesions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lower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limbs.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Approximately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40%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(PM).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Historically,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osteosynthesis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greater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Currently,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0C1B44">
        <w:rPr>
          <w:rFonts w:ascii="Book Antiqua" w:eastAsia="Book Antiqua" w:hAnsi="Book Antiqua" w:cs="Book Antiqua"/>
          <w:color w:val="000000"/>
        </w:rPr>
        <w:t xml:space="preserve">computed </w:t>
      </w:r>
      <w:r w:rsidRPr="00611BFA">
        <w:rPr>
          <w:rFonts w:ascii="Book Antiqua" w:eastAsia="Book Antiqua" w:hAnsi="Book Antiqua" w:cs="Book Antiqua"/>
          <w:color w:val="000000"/>
        </w:rPr>
        <w:t>tomography</w:t>
      </w:r>
      <w:r w:rsidR="000C1B44">
        <w:rPr>
          <w:rFonts w:ascii="Book Antiqua" w:eastAsia="Book Antiqua" w:hAnsi="Book Antiqua" w:cs="Book Antiqua"/>
          <w:color w:val="000000"/>
        </w:rPr>
        <w:t xml:space="preserve"> (CT)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gaining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traction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fractures.</w:t>
      </w:r>
    </w:p>
    <w:p w14:paraId="5C73CE0F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61B4F295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AIM</w:t>
      </w:r>
    </w:p>
    <w:p w14:paraId="75CB35DD" w14:textId="588A1EBF" w:rsidR="00A77B3E" w:rsidRPr="00611BFA" w:rsidRDefault="000E39D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</w:t>
      </w:r>
      <w:r w:rsidR="00F8520C" w:rsidRPr="00611BFA">
        <w:rPr>
          <w:rFonts w:ascii="Book Antiqua" w:eastAsia="Book Antiqua" w:hAnsi="Book Antiqua" w:cs="Book Antiqua"/>
          <w:color w:val="000000"/>
        </w:rPr>
        <w:t>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elucidate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F0C">
        <w:rPr>
          <w:rFonts w:ascii="Book Antiqua" w:eastAsia="Book Antiqua" w:hAnsi="Book Antiqua" w:cs="Book Antiqua"/>
          <w:color w:val="000000"/>
        </w:rPr>
        <w:t xml:space="preserve">the </w:t>
      </w:r>
      <w:r w:rsidR="00F8520C" w:rsidRPr="00611BFA">
        <w:rPr>
          <w:rFonts w:ascii="Book Antiqua" w:eastAsia="Book Antiqua" w:hAnsi="Book Antiqua" w:cs="Book Antiqua"/>
          <w:color w:val="000000"/>
        </w:rPr>
        <w:t>similarity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dimensions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F0C">
        <w:rPr>
          <w:rFonts w:ascii="Book Antiqua" w:eastAsia="Book Antiqua" w:hAnsi="Book Antiqua" w:cs="Book Antiqua"/>
          <w:color w:val="000000"/>
        </w:rPr>
        <w:t xml:space="preserve">to </w:t>
      </w:r>
      <w:r w:rsidR="00F8520C" w:rsidRPr="00611BFA">
        <w:rPr>
          <w:rFonts w:ascii="Book Antiqua" w:eastAsia="Book Antiqua" w:hAnsi="Book Antiqua" w:cs="Book Antiqua"/>
          <w:color w:val="000000"/>
        </w:rPr>
        <w:t>correlate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view</w:t>
      </w:r>
      <w:r w:rsidR="008A7F0C">
        <w:rPr>
          <w:rFonts w:ascii="Book Antiqua" w:eastAsia="Book Antiqua" w:hAnsi="Book Antiqua" w:cs="Book Antiqua"/>
          <w:color w:val="000000"/>
        </w:rPr>
        <w:t xml:space="preserve"> on </w:t>
      </w:r>
      <w:r w:rsidR="00CC4A6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(AXCT)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74722">
        <w:rPr>
          <w:rFonts w:ascii="Book Antiqua" w:eastAsia="Book Antiqua" w:hAnsi="Book Antiqua" w:cs="Book Antiqua"/>
          <w:color w:val="000000"/>
        </w:rPr>
        <w:t xml:space="preserve">a </w:t>
      </w:r>
      <w:r w:rsidR="00F8520C"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fracture.</w:t>
      </w:r>
    </w:p>
    <w:p w14:paraId="0FDE432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5CC3810A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METHODS</w:t>
      </w:r>
    </w:p>
    <w:p w14:paraId="533A5438" w14:textId="037123A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Eighty-one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age</w:t>
      </w:r>
      <w:r w:rsidR="00CC4A6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39.4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±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13.5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years)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74722">
        <w:rPr>
          <w:rFonts w:ascii="Book Antiqua" w:eastAsia="Book Antiqua" w:hAnsi="Book Antiqua" w:cs="Book Antiqua"/>
          <w:color w:val="000000"/>
        </w:rPr>
        <w:t>(</w:t>
      </w:r>
      <w:r w:rsidRPr="00611BFA">
        <w:rPr>
          <w:rFonts w:ascii="Book Antiqua" w:eastAsia="Book Antiqua" w:hAnsi="Book Antiqua" w:cs="Book Antiqua"/>
          <w:color w:val="000000"/>
        </w:rPr>
        <w:t>54.3%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</w:t>
      </w:r>
      <w:r w:rsidR="00E74722">
        <w:rPr>
          <w:rFonts w:ascii="Book Antiqua" w:eastAsia="Book Antiqua" w:hAnsi="Book Antiqua" w:cs="Book Antiqua"/>
          <w:color w:val="000000"/>
        </w:rPr>
        <w:t>ale)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independent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profile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(PMXR)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CC7AEE"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74722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CC7AEE" w:rsidRPr="00611BFA">
        <w:rPr>
          <w:rFonts w:ascii="Book Antiqua" w:eastAsia="Book Antiqua" w:hAnsi="Book Antiqua" w:cs="Book Antiqua"/>
          <w:color w:val="000000"/>
        </w:rPr>
        <w:t>(SAGCT)</w:t>
      </w:r>
      <w:r w:rsidR="00E74722">
        <w:rPr>
          <w:rFonts w:ascii="Book Antiqua" w:eastAsia="Book Antiqua" w:hAnsi="Book Antiqua" w:cs="Book Antiqua"/>
          <w:color w:val="000000"/>
        </w:rPr>
        <w:t xml:space="preserve"> slices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Next,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762213">
        <w:rPr>
          <w:rFonts w:ascii="Book Antiqua" w:eastAsia="Book Antiqua" w:hAnsi="Book Antiqua" w:cs="Book Antiqua"/>
          <w:color w:val="000000"/>
        </w:rPr>
        <w:t xml:space="preserve"> 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</w:t>
      </w:r>
      <w:r w:rsidR="00762213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classification.</w:t>
      </w:r>
    </w:p>
    <w:p w14:paraId="7FBDBE48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2D39DD79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RESULTS</w:t>
      </w:r>
    </w:p>
    <w:p w14:paraId="1FF2349D" w14:textId="1BD19564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rates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0.93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0.94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996354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2.12%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=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0.018).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762213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56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762213">
        <w:rPr>
          <w:rFonts w:ascii="Book Antiqua" w:eastAsia="Book Antiqua" w:hAnsi="Book Antiqua" w:cs="Book Antiqua"/>
          <w:color w:val="000000"/>
        </w:rPr>
        <w:t xml:space="preserve"> 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corresponded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10.13%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762213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762213">
        <w:rPr>
          <w:rFonts w:ascii="Book Antiqua" w:eastAsia="Book Antiqua" w:hAnsi="Book Antiqua" w:cs="Book Antiqua"/>
          <w:color w:val="000000"/>
        </w:rPr>
        <w:t>W</w:t>
      </w:r>
      <w:r w:rsidRPr="00611BFA">
        <w:rPr>
          <w:rFonts w:ascii="Book Antiqua" w:eastAsia="Book Antiqua" w:hAnsi="Book Antiqua" w:cs="Book Antiqua"/>
          <w:color w:val="000000"/>
        </w:rPr>
        <w:t>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762213">
        <w:rPr>
          <w:rFonts w:ascii="Book Antiqua" w:eastAsia="Book Antiqua" w:hAnsi="Book Antiqua" w:cs="Book Antiqua"/>
          <w:color w:val="000000"/>
        </w:rPr>
        <w:t xml:space="preserve"> 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24.52%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996354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greater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those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analyzing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three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&gt;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&gt;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FE6EE1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</w:p>
    <w:p w14:paraId="29D933B8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0CA1D4AA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CONCLUSION</w:t>
      </w:r>
    </w:p>
    <w:p w14:paraId="376847CA" w14:textId="0CCBD841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762213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762213">
        <w:rPr>
          <w:rFonts w:ascii="Book Antiqua" w:eastAsia="Book Antiqua" w:hAnsi="Book Antiqua" w:cs="Book Antiqua"/>
          <w:color w:val="000000"/>
        </w:rPr>
        <w:t>C</w:t>
      </w:r>
      <w:r w:rsidRPr="00611BFA">
        <w:rPr>
          <w:rFonts w:ascii="Book Antiqua" w:eastAsia="Book Antiqua" w:hAnsi="Book Antiqua" w:cs="Book Antiqua"/>
          <w:color w:val="000000"/>
        </w:rPr>
        <w:t>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1D4AD5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allow</w:t>
      </w:r>
      <w:r w:rsidR="001D4AD5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visualization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dimensions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surface.</w:t>
      </w:r>
    </w:p>
    <w:p w14:paraId="3696D58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538B0212" w14:textId="208B0B0B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Key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Words: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</w:rPr>
        <w:t>Ankle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fracture;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Posterior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malleolar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fracture;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1D4AD5">
        <w:rPr>
          <w:rFonts w:ascii="Book Antiqua" w:eastAsia="Book Antiqua" w:hAnsi="Book Antiqua" w:cs="Book Antiqua"/>
        </w:rPr>
        <w:t>Computed t</w:t>
      </w:r>
      <w:r w:rsidRPr="00611BFA">
        <w:rPr>
          <w:rFonts w:ascii="Book Antiqua" w:eastAsia="Book Antiqua" w:hAnsi="Book Antiqua" w:cs="Book Antiqua"/>
        </w:rPr>
        <w:t>omography;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X-ray</w:t>
      </w:r>
      <w:r w:rsidR="001B37C7">
        <w:rPr>
          <w:rFonts w:ascii="Book Antiqua" w:eastAsia="Book Antiqua" w:hAnsi="Book Antiqua" w:cs="Book Antiqua"/>
        </w:rPr>
        <w:t>; Posterior malleolus fracture</w:t>
      </w:r>
      <w:r w:rsidR="00CC4A6A">
        <w:rPr>
          <w:rFonts w:ascii="Book Antiqua" w:eastAsia="Book Antiqua" w:hAnsi="Book Antiqua" w:cs="Book Antiqua"/>
        </w:rPr>
        <w:t>;</w:t>
      </w:r>
      <w:r w:rsidR="001B37C7">
        <w:rPr>
          <w:rFonts w:ascii="Book Antiqua" w:eastAsia="Book Antiqua" w:hAnsi="Book Antiqua" w:cs="Book Antiqua"/>
        </w:rPr>
        <w:t xml:space="preserve"> Trimalleolar facture</w:t>
      </w:r>
      <w:r w:rsidR="00CC4A6A">
        <w:rPr>
          <w:rFonts w:ascii="Book Antiqua" w:eastAsia="Book Antiqua" w:hAnsi="Book Antiqua" w:cs="Book Antiqua"/>
        </w:rPr>
        <w:t xml:space="preserve"> </w:t>
      </w:r>
    </w:p>
    <w:p w14:paraId="16DB5ECF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78D0DEBF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</w:rPr>
        <w:t>De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Marchi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Neto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Nesello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PFT,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Bergamasco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JM,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Costa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MT,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Christian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RW,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Severino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NR.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394E7F" w:rsidRPr="00611BFA">
        <w:rPr>
          <w:rFonts w:ascii="Book Antiqua" w:eastAsia="Book Antiqua" w:hAnsi="Book Antiqua" w:cs="Book Antiqua"/>
        </w:rPr>
        <w:t>Importance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of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computed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tomography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posterior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malleolar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fractures: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C53CF1" w:rsidRPr="00611BFA">
        <w:rPr>
          <w:rFonts w:ascii="Book Antiqua" w:eastAsia="Book Antiqua" w:hAnsi="Book Antiqua" w:cs="Book Antiqua"/>
        </w:rPr>
        <w:t>Added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information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preoperative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X-ray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studies.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</w:rPr>
        <w:t>World</w:t>
      </w:r>
      <w:r w:rsidR="00C82B8A" w:rsidRPr="00611BFA">
        <w:rPr>
          <w:rFonts w:ascii="Book Antiqua" w:eastAsia="Book Antiqua" w:hAnsi="Book Antiqua" w:cs="Book Antiqua"/>
          <w:i/>
          <w:iCs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</w:rPr>
        <w:t>J</w:t>
      </w:r>
      <w:r w:rsidR="00C82B8A" w:rsidRPr="00611BFA">
        <w:rPr>
          <w:rFonts w:ascii="Book Antiqua" w:eastAsia="Book Antiqua" w:hAnsi="Book Antiqua" w:cs="Book Antiqua"/>
          <w:i/>
          <w:iCs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</w:rPr>
        <w:t>Orthop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2023;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press</w:t>
      </w:r>
    </w:p>
    <w:p w14:paraId="7FFE4463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589285AC" w14:textId="08170B6E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Core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Tip: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="000636AE" w:rsidRPr="00611BFA">
        <w:rPr>
          <w:rFonts w:ascii="Book Antiqua" w:eastAsia="Book Antiqua" w:hAnsi="Book Antiqua" w:cs="Book Antiqua"/>
        </w:rPr>
        <w:t xml:space="preserve">The </w:t>
      </w:r>
      <w:r w:rsidRPr="00611BFA">
        <w:rPr>
          <w:rFonts w:ascii="Book Antiqua" w:eastAsia="Book Antiqua" w:hAnsi="Book Antiqua" w:cs="Book Antiqua"/>
        </w:rPr>
        <w:t>study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show</w:t>
      </w:r>
      <w:r w:rsidR="001D4AD5">
        <w:rPr>
          <w:rFonts w:ascii="Book Antiqua" w:eastAsia="Book Antiqua" w:hAnsi="Book Antiqua" w:cs="Book Antiqua"/>
        </w:rPr>
        <w:t>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fractures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of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posterior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malleolus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(PM)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742C8A">
        <w:rPr>
          <w:rFonts w:ascii="Book Antiqua" w:eastAsia="Book Antiqua" w:hAnsi="Book Antiqua" w:cs="Book Antiqua"/>
        </w:rPr>
        <w:t>were</w:t>
      </w:r>
      <w:r w:rsidR="00742C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different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sizes</w:t>
      </w:r>
      <w:r w:rsidR="00742C8A">
        <w:rPr>
          <w:rFonts w:ascii="Book Antiqua" w:eastAsia="Book Antiqua" w:hAnsi="Book Antiqua" w:cs="Book Antiqua"/>
        </w:rPr>
        <w:t xml:space="preserve"> on X-ray and computed tomography (CT) images</w:t>
      </w:r>
      <w:r w:rsidRPr="00611BFA">
        <w:rPr>
          <w:rFonts w:ascii="Book Antiqua" w:eastAsia="Book Antiqua" w:hAnsi="Book Antiqua" w:cs="Book Antiqua"/>
        </w:rPr>
        <w:t>.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661143" w:rsidRPr="00611BFA">
        <w:rPr>
          <w:rFonts w:ascii="Book Antiqua" w:eastAsia="Book Antiqua" w:hAnsi="Book Antiqua" w:cs="Book Antiqua"/>
        </w:rPr>
        <w:t>It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possible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see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that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some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PM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patterns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considered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small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radiographs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affect</w:t>
      </w:r>
      <w:r w:rsidR="00742C8A">
        <w:rPr>
          <w:rFonts w:ascii="Book Antiqua" w:eastAsia="Book Antiqua" w:hAnsi="Book Antiqua" w:cs="Book Antiqua"/>
        </w:rPr>
        <w:t>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significant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joint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area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when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D2275D" w:rsidRPr="00611BFA">
        <w:rPr>
          <w:rFonts w:ascii="Book Antiqua" w:eastAsia="Book Antiqua" w:hAnsi="Book Antiqua" w:cs="Book Antiqua"/>
        </w:rPr>
        <w:t>CT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scans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742C8A">
        <w:rPr>
          <w:rFonts w:ascii="Book Antiqua" w:eastAsia="Book Antiqua" w:hAnsi="Book Antiqua" w:cs="Book Antiqua"/>
        </w:rPr>
        <w:t>we</w:t>
      </w:r>
      <w:r w:rsidRPr="00611BFA">
        <w:rPr>
          <w:rFonts w:ascii="Book Antiqua" w:eastAsia="Book Antiqua" w:hAnsi="Book Antiqua" w:cs="Book Antiqua"/>
        </w:rPr>
        <w:t>re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performed.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scans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also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show</w:t>
      </w:r>
      <w:r w:rsidR="00742C8A">
        <w:rPr>
          <w:rFonts w:ascii="Book Antiqua" w:eastAsia="Book Antiqua" w:hAnsi="Book Antiqua" w:cs="Book Antiqua"/>
        </w:rPr>
        <w:t>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that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actual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size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of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PM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fragment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="00742C8A">
        <w:rPr>
          <w:rFonts w:ascii="Book Antiqua" w:eastAsia="Book Antiqua" w:hAnsi="Book Antiqua" w:cs="Book Antiqua"/>
        </w:rPr>
        <w:t>wa</w:t>
      </w:r>
      <w:r w:rsidRPr="00611BFA">
        <w:rPr>
          <w:rFonts w:ascii="Book Antiqua" w:eastAsia="Book Antiqua" w:hAnsi="Book Antiqua" w:cs="Book Antiqua"/>
        </w:rPr>
        <w:t>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larger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than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that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seen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radiographs</w:t>
      </w:r>
      <w:r w:rsidR="00774B2F" w:rsidRPr="00611BFA">
        <w:rPr>
          <w:rFonts w:ascii="Book Antiqua" w:eastAsia="Book Antiqua" w:hAnsi="Book Antiqua" w:cs="Book Antiqua"/>
        </w:rPr>
        <w:t>.</w:t>
      </w:r>
    </w:p>
    <w:p w14:paraId="081EED22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257BD612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AD0242B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common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among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those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load-bearing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Approximately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40%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trimalleolar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11BFA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affect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edge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addition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lateral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medial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malleoli,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specifically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portion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known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Volkmann’s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triangle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(PM)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cause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incongruity,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instability,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worse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unimalleolar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bimalleolar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[4-7]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5D609BCB" w14:textId="5BC7B9F1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Since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Nelson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Jensen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513267">
        <w:rPr>
          <w:rFonts w:ascii="Book Antiqua" w:eastAsia="Book Antiqua" w:hAnsi="Book Antiqua" w:cs="Book Antiqua"/>
          <w:color w:val="000000"/>
        </w:rPr>
        <w:t xml:space="preserve"> in 1940,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internal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one-third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lateral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authors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stipulated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915516">
        <w:rPr>
          <w:rFonts w:ascii="Book Antiqua" w:eastAsia="Book Antiqua" w:hAnsi="Book Antiqua" w:cs="Book Antiqua"/>
          <w:color w:val="000000"/>
        </w:rPr>
        <w:t xml:space="preserve">the </w:t>
      </w:r>
      <w:r w:rsidRPr="00611BFA">
        <w:rPr>
          <w:rFonts w:ascii="Book Antiqua" w:eastAsia="Book Antiqua" w:hAnsi="Book Antiqua" w:cs="Book Antiqua"/>
          <w:color w:val="000000"/>
        </w:rPr>
        <w:t>determinant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restore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congruity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915516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currently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controversial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[11-14]</w:t>
      </w:r>
      <w:r w:rsidRPr="00611BFA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clinical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trimalleolar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radiological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E4689F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theoretically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improves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congruence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reduces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risk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post-traumatic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arthritis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hand,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some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authors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report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various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including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(&lt;</w:t>
      </w:r>
      <w:r w:rsidR="004C2174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justification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providing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stability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functional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328100B4" w14:textId="4C5939F7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diagnosing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lateral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visualization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frequently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impaired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overlapping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plaster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immobilizations,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external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fixators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Moreover,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difficult,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underestimation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leads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inaccurate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interpretation,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turn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interferes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treatment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[20-22]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A54DDE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computed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tomography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(CT)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increasingly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especially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[14,23]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allows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interpretation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particularly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regarding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morphology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also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aids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planning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patterns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observed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depending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anatomical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location,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impaction,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relationship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</w:t>
      </w:r>
      <w:r w:rsidR="00A54DDE">
        <w:rPr>
          <w:rFonts w:ascii="Book Antiqua" w:eastAsia="Book Antiqua" w:hAnsi="Book Antiqua" w:cs="Book Antiqua"/>
          <w:color w:val="000000"/>
        </w:rPr>
        <w:t>y</w:t>
      </w:r>
      <w:r w:rsidRPr="00611BFA">
        <w:rPr>
          <w:rFonts w:ascii="Book Antiqua" w:eastAsia="Book Antiqua" w:hAnsi="Book Antiqua" w:cs="Book Antiqua"/>
          <w:color w:val="000000"/>
        </w:rPr>
        <w:t>ndesmosis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[15,23]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Specific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created,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associated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recommendations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each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[2,26-28]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1A04C286" w14:textId="394812B2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However,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clear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relationship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actual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slices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fracture.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aim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plafond.</w:t>
      </w:r>
    </w:p>
    <w:p w14:paraId="43A74CF2" w14:textId="77777777" w:rsidR="00A77B3E" w:rsidRPr="00611BFA" w:rsidRDefault="00A77B3E" w:rsidP="005A2358">
      <w:pPr>
        <w:spacing w:line="360" w:lineRule="auto"/>
        <w:jc w:val="both"/>
        <w:rPr>
          <w:rFonts w:ascii="Book Antiqua" w:hAnsi="Book Antiqua"/>
        </w:rPr>
      </w:pPr>
    </w:p>
    <w:p w14:paraId="043FB796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82B8A"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82B8A"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B72968A" w14:textId="1B16B12B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Over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2C5E90">
        <w:rPr>
          <w:rFonts w:ascii="Book Antiqua" w:eastAsia="Book Antiqua" w:hAnsi="Book Antiqua" w:cs="Book Antiqua"/>
          <w:color w:val="000000"/>
        </w:rPr>
        <w:t>5</w:t>
      </w:r>
      <w:r w:rsidRPr="00611BFA">
        <w:rPr>
          <w:rFonts w:ascii="Book Antiqua" w:eastAsia="Book Antiqua" w:hAnsi="Book Antiqua" w:cs="Book Antiqua"/>
          <w:color w:val="000000"/>
        </w:rPr>
        <w:t>-year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period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2016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2021,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370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diagnosed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our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hospital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level</w:t>
      </w:r>
      <w:r w:rsidR="002C5E90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trauma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center).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144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included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aged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18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years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older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fracture-dislocation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97B4B" w:rsidRPr="00611BFA">
        <w:rPr>
          <w:rFonts w:ascii="Book Antiqua" w:eastAsia="Book Antiqua" w:hAnsi="Book Antiqua" w:cs="Book Antiqua"/>
          <w:color w:val="000000"/>
        </w:rPr>
        <w:t>[</w:t>
      </w:r>
      <w:r w:rsidRPr="00611BFA">
        <w:rPr>
          <w:rFonts w:ascii="Book Antiqua" w:eastAsia="Book Antiqua" w:hAnsi="Book Antiqua" w:cs="Book Antiqua"/>
          <w:color w:val="000000"/>
        </w:rPr>
        <w:t>AO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Foundation/Orthopedic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Trauma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Association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97B4B" w:rsidRPr="00611BFA">
        <w:rPr>
          <w:rFonts w:ascii="Book Antiqua" w:eastAsia="Book Antiqua" w:hAnsi="Book Antiqua" w:cs="Book Antiqua"/>
          <w:color w:val="000000"/>
        </w:rPr>
        <w:t>(</w:t>
      </w:r>
      <w:r w:rsidRPr="00611BFA">
        <w:rPr>
          <w:rFonts w:ascii="Book Antiqua" w:eastAsia="Book Antiqua" w:hAnsi="Book Antiqua" w:cs="Book Antiqua"/>
          <w:color w:val="000000"/>
        </w:rPr>
        <w:t>AO/OTA</w:t>
      </w:r>
      <w:r w:rsidR="00B97B4B" w:rsidRPr="00611BFA">
        <w:rPr>
          <w:rFonts w:ascii="Book Antiqua" w:eastAsia="Book Antiqua" w:hAnsi="Book Antiqua" w:cs="Book Antiqua"/>
          <w:color w:val="000000"/>
        </w:rPr>
        <w:t>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44-A3,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44-B3,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44-C1/2</w:t>
      </w:r>
      <w:r w:rsidR="00B97B4B" w:rsidRPr="00611BFA">
        <w:rPr>
          <w:rFonts w:ascii="Book Antiqua" w:eastAsia="Book Antiqua" w:hAnsi="Book Antiqua" w:cs="Book Antiqua"/>
          <w:color w:val="000000"/>
        </w:rPr>
        <w:t>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associated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hindfoot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incomplete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data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medical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records,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absence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appropriate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excluded.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81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inclusion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criteria.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approved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our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Institutional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Ethics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Committee.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categorized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AO/OTA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</w:t>
      </w:r>
      <w:r w:rsidR="003A66BE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specifically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1605E395" w14:textId="5CB63E1D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Enterprise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XERO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Viewer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software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(Agfa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HealthCare,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Mortsel,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Belgium)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version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8.1.2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select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RadiAnt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DICOM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Viewer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software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(Medixant,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Poznań,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Poland)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version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2.3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lateral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(PMXR)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independent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(herein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named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based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relationship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(Figure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(SAGCT)</w:t>
      </w:r>
      <w:r w:rsidR="00A60FAA" w:rsidRPr="00A60FAA">
        <w:rPr>
          <w:rFonts w:ascii="Book Antiqua" w:eastAsia="Book Antiqua" w:hAnsi="Book Antiqua" w:cs="Book Antiqua"/>
          <w:color w:val="000000"/>
        </w:rPr>
        <w:t xml:space="preserve"> </w:t>
      </w:r>
      <w:r w:rsidR="00A60FAA" w:rsidRPr="00611BFA">
        <w:rPr>
          <w:rFonts w:ascii="Book Antiqua" w:eastAsia="Book Antiqua" w:hAnsi="Book Antiqua" w:cs="Book Antiqua"/>
          <w:color w:val="000000"/>
        </w:rPr>
        <w:t>slices</w:t>
      </w:r>
      <w:r w:rsidRPr="00611BFA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selected,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latter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proportion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length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(Figure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second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determine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above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highest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marked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corresponding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(AXCT)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222CAE" w:rsidRPr="00611BFA">
        <w:rPr>
          <w:rFonts w:ascii="Book Antiqua" w:eastAsia="Book Antiqua" w:hAnsi="Book Antiqua" w:cs="Book Antiqua"/>
          <w:color w:val="000000"/>
        </w:rPr>
        <w:t xml:space="preserve">slice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selected.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RadiAnt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DICOM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Viewer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2.3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software</w:t>
      </w:r>
      <w:r w:rsidR="00222CAE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calculated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(Figure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3).</w:t>
      </w:r>
    </w:p>
    <w:p w14:paraId="2C7F3691" w14:textId="3A897C6D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categorized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</w:t>
      </w:r>
      <w:r w:rsidR="00D30827" w:rsidRPr="00D30827">
        <w:rPr>
          <w:rFonts w:ascii="Book Antiqua" w:eastAsia="Book Antiqua" w:hAnsi="Book Antiqua" w:cs="Book Antiqua"/>
          <w:color w:val="000000"/>
        </w:rPr>
        <w:t xml:space="preserve"> </w:t>
      </w:r>
      <w:r w:rsidR="00D30827" w:rsidRPr="00611BFA">
        <w:rPr>
          <w:rFonts w:ascii="Book Antiqua" w:eastAsia="Book Antiqua" w:hAnsi="Book Antiqua" w:cs="Book Antiqua"/>
          <w:color w:val="000000"/>
        </w:rPr>
        <w:t>based on the PMXR measurement</w:t>
      </w:r>
      <w:r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D30827">
        <w:rPr>
          <w:rFonts w:ascii="Book Antiqua" w:eastAsia="Book Antiqua" w:hAnsi="Book Antiqua" w:cs="Book Antiqua"/>
          <w:color w:val="000000"/>
        </w:rPr>
        <w:t>1</w:t>
      </w:r>
      <w:r w:rsidRPr="00611BFA">
        <w:rPr>
          <w:rFonts w:ascii="Book Antiqua" w:eastAsia="Book Antiqua" w:hAnsi="Book Antiqua" w:cs="Book Antiqua"/>
          <w:color w:val="000000"/>
        </w:rPr>
        <w:t>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402F43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D30827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D30827">
        <w:rPr>
          <w:rFonts w:ascii="Book Antiqua" w:eastAsia="Book Antiqua" w:hAnsi="Book Antiqua" w:cs="Book Antiqua"/>
          <w:color w:val="000000"/>
        </w:rPr>
        <w:t>2</w:t>
      </w:r>
      <w:r w:rsidRPr="00611BFA">
        <w:rPr>
          <w:rFonts w:ascii="Book Antiqua" w:eastAsia="Book Antiqua" w:hAnsi="Book Antiqua" w:cs="Book Antiqua"/>
          <w:color w:val="000000"/>
        </w:rPr>
        <w:t>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402F43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cutoff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D30827">
        <w:rPr>
          <w:rFonts w:ascii="Book Antiqua" w:eastAsia="Book Antiqua" w:hAnsi="Book Antiqua" w:cs="Book Antiqua"/>
          <w:color w:val="000000"/>
        </w:rPr>
        <w:t xml:space="preserve">the </w:t>
      </w:r>
      <w:r w:rsidRPr="00611BFA">
        <w:rPr>
          <w:rFonts w:ascii="Book Antiqua" w:eastAsia="Book Antiqua" w:hAnsi="Book Antiqua" w:cs="Book Antiqua"/>
          <w:color w:val="000000"/>
        </w:rPr>
        <w:t>consensus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literature.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Based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examiners’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considered.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second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performed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determine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based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namely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A53E1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15%–19.9%,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20%–24.9%,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25%–29.9%,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CA53E1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30%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surface.</w:t>
      </w:r>
      <w:r w:rsidR="00B91979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B)</w:t>
      </w:r>
      <w:r w:rsidR="00B91979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morphological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categories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proposed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B91979">
        <w:rPr>
          <w:rFonts w:ascii="Book Antiqua" w:eastAsia="Book Antiqua" w:hAnsi="Book Antiqua" w:cs="Book Antiqua"/>
          <w:color w:val="000000"/>
        </w:rPr>
        <w:t xml:space="preserve"> </w:t>
      </w:r>
      <w:r w:rsidR="00B91979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275D148C" w14:textId="212BF495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statistical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performed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SPSS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Statistics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software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(IBM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Corporation,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Armonk,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3C7273" w:rsidRPr="00611BFA">
        <w:rPr>
          <w:rFonts w:ascii="Book Antiqua" w:eastAsia="Book Antiqua" w:hAnsi="Book Antiqua" w:cs="Book Antiqua"/>
          <w:color w:val="000000"/>
        </w:rPr>
        <w:t>United States</w:t>
      </w:r>
      <w:r w:rsidRPr="00611BFA">
        <w:rPr>
          <w:rFonts w:ascii="Book Antiqua" w:eastAsia="Book Antiqua" w:hAnsi="Book Antiqua" w:cs="Book Antiqua"/>
          <w:color w:val="000000"/>
        </w:rPr>
        <w:t>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version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23,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Data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normality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tested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quantitative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Kolmogorov–Smirnov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test.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Interobserver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reliability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assessed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Kappa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method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qualitative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Pearson’s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quantitative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direct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comparison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paired-sample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611BFA">
        <w:rPr>
          <w:rFonts w:ascii="Book Antiqua" w:eastAsia="Book Antiqua" w:hAnsi="Book Antiqua" w:cs="Book Antiqua"/>
          <w:color w:val="000000"/>
        </w:rPr>
        <w:t>-test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Wilcoxon,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Mann–Whitney,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Kruskal–Wallis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tests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depending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data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normality,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number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level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43D3E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0.05,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95%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confidence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interval.</w:t>
      </w:r>
    </w:p>
    <w:p w14:paraId="38E9F75B" w14:textId="77777777" w:rsidR="00A77B3E" w:rsidRPr="00611BFA" w:rsidRDefault="00A77B3E" w:rsidP="005A2358">
      <w:pPr>
        <w:spacing w:line="360" w:lineRule="auto"/>
        <w:jc w:val="both"/>
        <w:rPr>
          <w:rFonts w:ascii="Book Antiqua" w:hAnsi="Book Antiqua"/>
        </w:rPr>
      </w:pPr>
    </w:p>
    <w:p w14:paraId="02C33641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6050713" w14:textId="6EBA432C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81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participated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</w:t>
      </w:r>
      <w:r w:rsidR="00B91979">
        <w:rPr>
          <w:rFonts w:ascii="Book Antiqua" w:eastAsia="Book Antiqua" w:hAnsi="Book Antiqua" w:cs="Book Antiqua"/>
          <w:color w:val="000000"/>
        </w:rPr>
        <w:t>ale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(54.3%)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37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B91979">
        <w:rPr>
          <w:rFonts w:ascii="Book Antiqua" w:eastAsia="Book Antiqua" w:hAnsi="Book Antiqua" w:cs="Book Antiqua"/>
          <w:color w:val="000000"/>
        </w:rPr>
        <w:t>female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(45.6%),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39.4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years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(±</w:t>
      </w:r>
      <w:r w:rsidR="00EB7212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13.5).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(1.2%)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AO/OTA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51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(62.9%)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29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(35.8%)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observed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line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22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(27.2%)</w:t>
      </w:r>
      <w:r w:rsidR="00C35F8E">
        <w:rPr>
          <w:rFonts w:ascii="Book Antiqua" w:eastAsia="Book Antiqua" w:hAnsi="Book Antiqua" w:cs="Book Antiqua"/>
          <w:color w:val="000000"/>
        </w:rPr>
        <w:t>, 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described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literature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chondral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intercalary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center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metaphysis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cortex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(Table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1).</w:t>
      </w:r>
    </w:p>
    <w:p w14:paraId="59ED24DE" w14:textId="279C8E33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21.15%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20.46%,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20.81%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Pearson’s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index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0.93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B61891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regard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23.45%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22.39%,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22.92%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Pearson’s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index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0.94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EC172C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interobserver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excellent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(Table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regardless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good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interobserver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proposed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method.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2.12%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B91979">
        <w:rPr>
          <w:rFonts w:ascii="Book Antiqua" w:eastAsia="Book Antiqua" w:hAnsi="Book Antiqua" w:cs="Book Antiqua"/>
          <w:color w:val="000000"/>
        </w:rPr>
        <w:t>95% confidence interval: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0.3–3.8)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greater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=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0.018).</w:t>
      </w:r>
    </w:p>
    <w:p w14:paraId="79AC35A2" w14:textId="71F3F17E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sample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divided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(&lt;</w:t>
      </w:r>
      <w:r w:rsidR="007C43B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(≥</w:t>
      </w:r>
      <w:r w:rsidR="007C43B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56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69.13%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30.86%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sample,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analyzing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14.57%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but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10.13%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24.52%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(&lt;</w:t>
      </w:r>
      <w:r w:rsidR="007C43B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(≥</w:t>
      </w:r>
      <w:r w:rsidR="007C43B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7C43BA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(Table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subdivision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7C43B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</w:t>
      </w:r>
      <w:r w:rsidR="00771FC0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</w:t>
      </w:r>
      <w:r w:rsidR="00771FC0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%–19.9%,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</w:t>
      </w:r>
      <w:r w:rsidR="00771FC0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%–24.9%,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</w:t>
      </w:r>
      <w:r w:rsidR="00771FC0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%–29.9%,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7C43B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30</w:t>
      </w:r>
      <w:r w:rsidR="00771FC0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their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(Table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performed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gradual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increase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among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subgroups,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namely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gradual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increase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increase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</w:t>
      </w:r>
      <w:r w:rsidR="00771FC0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%–24.9%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statistical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previous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subgroup.</w:t>
      </w:r>
    </w:p>
    <w:p w14:paraId="331ED96D" w14:textId="3C08084E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29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(35.8%)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33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(40.7%)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19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(23.4%)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21,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16,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19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whereas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8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17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respectively.</w:t>
      </w:r>
      <w:r w:rsidR="00932C80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(21.6%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24.8%)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shell-shaped)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C5037F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</w:p>
    <w:p w14:paraId="1ABD2740" w14:textId="1B3360A5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overall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among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categories,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12.24%,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22.80%,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3.84%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respectively,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&gt;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&gt;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6B1EDC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(Table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4).</w:t>
      </w:r>
      <w:r w:rsidR="0090769C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(AXCT)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subtypes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A3411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=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0.002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(Table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5).</w:t>
      </w:r>
    </w:p>
    <w:p w14:paraId="659778CC" w14:textId="77777777" w:rsidR="00A77B3E" w:rsidRPr="00611BFA" w:rsidRDefault="00A77B3E" w:rsidP="00611BFA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7F020CF0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CB7436F" w14:textId="70BAA0CA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Historically,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widely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technique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diagnosis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consequently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mostly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associated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although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consensus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emerged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requires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surgery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[8,30,31]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6DA2B0B2" w14:textId="2DF84C4D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fact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forms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considered.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addition,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factors,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quality,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immobilizations,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interfere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Several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parameters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interpret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good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interexaminer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reproducibility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controversy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regarding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lateral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moreover,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interobserver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agreement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Currently,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many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authors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essential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adequate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understanding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limitations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because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aids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surgical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planning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providing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information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morphology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relationship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syndesmosis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[20-22,32,33]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15617F6C" w14:textId="5EB82CC5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interobserver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0.93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E61CC2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excellent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higher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Meijer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2B8A" w:rsidRPr="00611B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446D" w:rsidRPr="00611BFA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number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examiners.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suggests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good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quality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fundamental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adequate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interpretation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findings.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0.94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0E12B4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also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achieved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performed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accurate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achieved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simple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method,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regardless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complementary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exam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used.</w:t>
      </w:r>
    </w:p>
    <w:p w14:paraId="5862154B" w14:textId="0D236077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Most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(56;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69.1%)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Therefore,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considered,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choice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[13,16,34]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Stringfellow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2B8A" w:rsidRPr="00611B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7BAF" w:rsidRPr="00611BFA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slices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92%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2.12%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=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0.018)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considering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cutoff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indication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borderline,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values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close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probably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fail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adequately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diagnosis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based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solely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reason,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decades,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several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authors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started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4A4F48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because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feared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underestimate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125D2C">
        <w:rPr>
          <w:rFonts w:ascii="Book Antiqua" w:eastAsia="Book Antiqua" w:hAnsi="Book Antiqua" w:cs="Book Antiqua"/>
          <w:color w:val="000000"/>
        </w:rPr>
        <w:t>CT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[10,21]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45D7CDE4" w14:textId="3EFA0B02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Another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concern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adequate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visualization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osteochondral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impaction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[23,29,30,36]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series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supports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concern,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osteochondral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intermediate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27.1%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0E7126" w:rsidRPr="00611BFA">
        <w:rPr>
          <w:rFonts w:ascii="Book Antiqua" w:eastAsia="Book Antiqua" w:hAnsi="Book Antiqua" w:cs="Book Antiqua"/>
          <w:color w:val="000000"/>
        </w:rPr>
        <w:t>Büchler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82B8A" w:rsidRPr="00611B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297B" w:rsidRPr="00611BF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194693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reported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23%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osteochondral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identified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but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slices,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suggesting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low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sensitivity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diagnosing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intermediate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further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hindrance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reduction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[21,23,30]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03027009" w14:textId="19F7682D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slices,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possible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determine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initial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D23ECD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D23ECD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percentage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10.13%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5A23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24.52%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D23ECD" w:rsidRPr="00611BFA">
        <w:rPr>
          <w:rFonts w:ascii="Book Antiqua" w:eastAsia="Book Antiqua" w:hAnsi="Book Antiqua" w:cs="Book Antiqua"/>
          <w:i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0.001).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Previous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proposed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random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predetermined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clinical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congruity,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post-traumatic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arthritis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determining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(&lt;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</w:t>
      </w:r>
      <w:r w:rsidR="002851EF">
        <w:rPr>
          <w:rFonts w:ascii="Book Antiqua" w:eastAsia="Book Antiqua" w:hAnsi="Book Antiqua" w:cs="Book Antiqua"/>
          <w:color w:val="000000"/>
        </w:rPr>
        <w:t>-</w:t>
      </w:r>
      <w:r w:rsidRPr="00611BFA">
        <w:rPr>
          <w:rFonts w:ascii="Book Antiqua" w:eastAsia="Book Antiqua" w:hAnsi="Book Antiqua" w:cs="Book Antiqua"/>
          <w:color w:val="000000"/>
        </w:rPr>
        <w:t>19.9%,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</w:t>
      </w:r>
      <w:r w:rsidR="002851EF">
        <w:rPr>
          <w:rFonts w:ascii="Book Antiqua" w:eastAsia="Book Antiqua" w:hAnsi="Book Antiqua" w:cs="Book Antiqua"/>
          <w:color w:val="000000"/>
        </w:rPr>
        <w:t>-</w:t>
      </w:r>
      <w:r w:rsidRPr="00611BFA">
        <w:rPr>
          <w:rFonts w:ascii="Book Antiqua" w:eastAsia="Book Antiqua" w:hAnsi="Book Antiqua" w:cs="Book Antiqua"/>
          <w:color w:val="000000"/>
        </w:rPr>
        <w:t>24.9%,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</w:t>
      </w:r>
      <w:r w:rsidR="002851EF">
        <w:rPr>
          <w:rFonts w:ascii="Book Antiqua" w:eastAsia="Book Antiqua" w:hAnsi="Book Antiqua" w:cs="Book Antiqua"/>
          <w:color w:val="000000"/>
        </w:rPr>
        <w:t>-</w:t>
      </w:r>
      <w:r w:rsidRPr="00611BFA">
        <w:rPr>
          <w:rFonts w:ascii="Book Antiqua" w:eastAsia="Book Antiqua" w:hAnsi="Book Antiqua" w:cs="Book Antiqua"/>
          <w:color w:val="000000"/>
        </w:rPr>
        <w:t>29.9%,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≥</w:t>
      </w:r>
      <w:r w:rsidR="00E70438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30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possible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gradual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increase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percentage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each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previous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intervals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15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</w:t>
      </w:r>
      <w:r w:rsidR="002851EF">
        <w:rPr>
          <w:rFonts w:ascii="Book Antiqua" w:eastAsia="Book Antiqua" w:hAnsi="Book Antiqua" w:cs="Book Antiqua"/>
          <w:color w:val="000000"/>
        </w:rPr>
        <w:t>-</w:t>
      </w:r>
      <w:r w:rsidRPr="00611BFA">
        <w:rPr>
          <w:rFonts w:ascii="Book Antiqua" w:eastAsia="Book Antiqua" w:hAnsi="Book Antiqua" w:cs="Book Antiqua"/>
          <w:color w:val="000000"/>
        </w:rPr>
        <w:t>19.9%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20</w:t>
      </w:r>
      <w:r w:rsidR="002851EF">
        <w:rPr>
          <w:rFonts w:ascii="Book Antiqua" w:eastAsia="Book Antiqua" w:hAnsi="Book Antiqua" w:cs="Book Antiqua"/>
          <w:color w:val="000000"/>
        </w:rPr>
        <w:t>.0</w:t>
      </w:r>
      <w:r w:rsidRPr="00611BFA">
        <w:rPr>
          <w:rFonts w:ascii="Book Antiqua" w:eastAsia="Book Antiqua" w:hAnsi="Book Antiqua" w:cs="Book Antiqua"/>
          <w:color w:val="000000"/>
        </w:rPr>
        <w:t>%</w:t>
      </w:r>
      <w:r w:rsidR="002851EF">
        <w:rPr>
          <w:rFonts w:ascii="Book Antiqua" w:eastAsia="Book Antiqua" w:hAnsi="Book Antiqua" w:cs="Book Antiqua"/>
          <w:color w:val="000000"/>
        </w:rPr>
        <w:t>-</w:t>
      </w:r>
      <w:r w:rsidRPr="00611BFA">
        <w:rPr>
          <w:rFonts w:ascii="Book Antiqua" w:eastAsia="Book Antiqua" w:hAnsi="Book Antiqua" w:cs="Book Antiqua"/>
          <w:color w:val="000000"/>
        </w:rPr>
        <w:t>24.9%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indicate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relatively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surface.</w:t>
      </w:r>
    </w:p>
    <w:p w14:paraId="0F90B255" w14:textId="77C8DCC9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their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differentiated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shell)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however,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each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42442D">
        <w:rPr>
          <w:rFonts w:ascii="Book Antiqua" w:eastAsia="Book Antiqua" w:hAnsi="Book Antiqua" w:cs="Book Antiqua"/>
          <w:color w:val="000000"/>
        </w:rPr>
        <w:t xml:space="preserve">the </w:t>
      </w:r>
      <w:r w:rsidRPr="00611BFA">
        <w:rPr>
          <w:rFonts w:ascii="Book Antiqua" w:eastAsia="Book Antiqua" w:hAnsi="Book Antiqua" w:cs="Book Antiqua"/>
          <w:color w:val="000000"/>
        </w:rPr>
        <w:t>descriptive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42442D">
        <w:rPr>
          <w:rFonts w:ascii="Book Antiqua" w:eastAsia="Book Antiqua" w:hAnsi="Book Antiqua" w:cs="Book Antiqua"/>
          <w:color w:val="000000"/>
        </w:rPr>
        <w:t xml:space="preserve"> of Haraguchi </w:t>
      </w:r>
      <w:r w:rsidR="0042442D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also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emphasize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(Figure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5).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although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deemed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(&lt;</w:t>
      </w:r>
      <w:r w:rsidR="001027F6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25%),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information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from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exclusive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planning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associated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risk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expected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treated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inadequately,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interfere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patient’s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results.</w:t>
      </w:r>
    </w:p>
    <w:p w14:paraId="3D162F0A" w14:textId="0B236224" w:rsidR="00A77B3E" w:rsidRPr="00611BFA" w:rsidRDefault="00F8520C" w:rsidP="00611BFA">
      <w:pPr>
        <w:spacing w:line="360" w:lineRule="auto"/>
        <w:ind w:firstLine="284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achieved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relevant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sample,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same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subject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[26-28]</w:t>
      </w:r>
      <w:r w:rsidRPr="00611BFA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variables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excellent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interobserver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agreement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Landis</w:t>
      </w:r>
      <w:r w:rsidR="0073691B">
        <w:rPr>
          <w:rFonts w:ascii="Book Antiqua" w:eastAsia="Book Antiqua" w:hAnsi="Book Antiqua" w:cs="Book Antiqua"/>
          <w:color w:val="000000"/>
        </w:rPr>
        <w:t xml:space="preserve"> and Koch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611BFA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</w:t>
      </w:r>
      <w:r w:rsidR="0073691B">
        <w:rPr>
          <w:rFonts w:ascii="Book Antiqua" w:eastAsia="Book Antiqua" w:hAnsi="Book Antiqua" w:cs="Book Antiqua"/>
          <w:color w:val="000000"/>
        </w:rPr>
        <w:t>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demonstrate</w:t>
      </w:r>
      <w:r w:rsidR="0073691B">
        <w:rPr>
          <w:rFonts w:ascii="Book Antiqua" w:eastAsia="Book Antiqua" w:hAnsi="Book Antiqua" w:cs="Book Antiqua"/>
          <w:color w:val="000000"/>
        </w:rPr>
        <w:t>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applicability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method.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However,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also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some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limitations.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distribution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among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three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categories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satisfactory</w:t>
      </w:r>
      <w:r w:rsidR="00E42DDB">
        <w:rPr>
          <w:rFonts w:ascii="Book Antiqua" w:eastAsia="Book Antiqua" w:hAnsi="Book Antiqua" w:cs="Book Antiqua"/>
          <w:color w:val="000000"/>
        </w:rPr>
        <w:t>. However,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sample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loss,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distribution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based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solely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some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also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3D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Pr="00611BFA">
        <w:rPr>
          <w:rFonts w:ascii="Book Antiqua" w:eastAsia="Book Antiqua" w:hAnsi="Book Antiqua" w:cs="Book Antiqua"/>
          <w:color w:val="000000"/>
          <w:vertAlign w:val="superscript"/>
        </w:rPr>
        <w:t>[22,33]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Finally,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findings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add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new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information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topic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involvement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hopefully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aid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analysis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clinical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results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patients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future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studies.</w:t>
      </w:r>
    </w:p>
    <w:p w14:paraId="17175A0B" w14:textId="77777777" w:rsidR="00A77B3E" w:rsidRPr="00611BFA" w:rsidRDefault="00A77B3E" w:rsidP="005A2358">
      <w:pPr>
        <w:spacing w:line="360" w:lineRule="auto"/>
        <w:jc w:val="both"/>
        <w:rPr>
          <w:rFonts w:ascii="Book Antiqua" w:hAnsi="Book Antiqua"/>
        </w:rPr>
      </w:pPr>
    </w:p>
    <w:p w14:paraId="75E60F71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EB4BC7" w14:textId="6BF27D98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42DDB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varies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42DDB">
        <w:rPr>
          <w:rFonts w:ascii="Book Antiqua" w:eastAsia="Book Antiqua" w:hAnsi="Book Antiqua" w:cs="Book Antiqua"/>
          <w:color w:val="000000"/>
        </w:rPr>
        <w:t>CT</w:t>
      </w:r>
      <w:r w:rsidRPr="00611BFA">
        <w:rPr>
          <w:rFonts w:ascii="Book Antiqua" w:eastAsia="Book Antiqua" w:hAnsi="Book Antiqua" w:cs="Book Antiqua"/>
          <w:color w:val="000000"/>
        </w:rPr>
        <w:t>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studies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42DDB">
        <w:rPr>
          <w:rFonts w:ascii="Book Antiqua" w:eastAsia="Book Antiqua" w:hAnsi="Book Antiqua" w:cs="Book Antiqua"/>
          <w:color w:val="000000"/>
        </w:rPr>
        <w:t>PMXR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E42DDB">
        <w:rPr>
          <w:rFonts w:ascii="Book Antiqua" w:eastAsia="Book Antiqua" w:hAnsi="Book Antiqua" w:cs="Book Antiqua"/>
          <w:color w:val="000000"/>
        </w:rPr>
        <w:t>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also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allow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466350">
        <w:rPr>
          <w:rFonts w:ascii="Book Antiqua" w:eastAsia="Book Antiqua" w:hAnsi="Book Antiqua" w:cs="Book Antiqua"/>
          <w:color w:val="000000"/>
        </w:rPr>
        <w:t xml:space="preserve">the </w:t>
      </w:r>
      <w:r w:rsidRPr="00611BFA">
        <w:rPr>
          <w:rFonts w:ascii="Book Antiqua" w:eastAsia="Book Antiqua" w:hAnsi="Book Antiqua" w:cs="Book Antiqua"/>
          <w:color w:val="000000"/>
        </w:rPr>
        <w:t>identif</w:t>
      </w:r>
      <w:r w:rsidR="00466350">
        <w:rPr>
          <w:rFonts w:ascii="Book Antiqua" w:eastAsia="Book Antiqua" w:hAnsi="Book Antiqua" w:cs="Book Antiqua"/>
          <w:color w:val="000000"/>
        </w:rPr>
        <w:t>ication 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presence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intermediate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chondral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makes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possible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determine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which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underestimated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used.</w:t>
      </w:r>
    </w:p>
    <w:p w14:paraId="7EC6D028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2C2C7795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82B8A"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11BF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0F45C15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97D5A02" w14:textId="38BA4C30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many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decades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(PM)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diagnosed,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radiographs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always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taken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consideration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time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lastRenderedPageBreak/>
        <w:t>treatment.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Therefore,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fixation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greater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25%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466350">
        <w:rPr>
          <w:rFonts w:ascii="Book Antiqua" w:eastAsia="Book Antiqua" w:hAnsi="Book Antiqua" w:cs="Book Antiqua"/>
          <w:color w:val="000000"/>
        </w:rPr>
        <w:t xml:space="preserve"> was involved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58F2EA66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7A1725A4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6D8B896" w14:textId="37BE714D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aim</w:t>
      </w:r>
      <w:r w:rsidR="00466350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8A79A9">
        <w:rPr>
          <w:rFonts w:ascii="Book Antiqua" w:eastAsia="Book Antiqua" w:hAnsi="Book Antiqua" w:cs="Book Antiqua"/>
          <w:color w:val="000000"/>
        </w:rPr>
        <w:t xml:space="preserve"> and determine whether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9A9">
        <w:rPr>
          <w:rFonts w:ascii="Book Antiqua" w:eastAsia="Book Antiqua" w:hAnsi="Book Antiqua" w:cs="Book Antiqua"/>
          <w:color w:val="000000"/>
        </w:rPr>
        <w:t>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9A9">
        <w:rPr>
          <w:rFonts w:ascii="Book Antiqua" w:eastAsia="Book Antiqua" w:hAnsi="Book Antiqua" w:cs="Book Antiqua"/>
          <w:color w:val="000000"/>
        </w:rPr>
        <w:t xml:space="preserve">image would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sufficient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8A79A9">
        <w:rPr>
          <w:rFonts w:ascii="Book Antiqua" w:eastAsia="Book Antiqua" w:hAnsi="Book Antiqua" w:cs="Book Antiqua"/>
          <w:color w:val="000000"/>
        </w:rPr>
        <w:t>. It is also unknown if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9A9">
        <w:rPr>
          <w:rFonts w:ascii="Book Antiqua" w:eastAsia="Book Antiqua" w:hAnsi="Book Antiqua" w:cs="Book Antiqua"/>
          <w:color w:val="000000"/>
        </w:rPr>
        <w:t xml:space="preserve">is </w:t>
      </w:r>
      <w:r w:rsidRPr="00611BFA">
        <w:rPr>
          <w:rFonts w:ascii="Book Antiqua" w:eastAsia="Book Antiqua" w:hAnsi="Book Antiqua" w:cs="Book Antiqua"/>
          <w:color w:val="000000"/>
        </w:rPr>
        <w:t>any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correlation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9A9">
        <w:rPr>
          <w:rFonts w:ascii="Book Antiqua" w:eastAsia="Book Antiqua" w:hAnsi="Book Antiqua" w:cs="Book Antiqua"/>
          <w:color w:val="000000"/>
        </w:rPr>
        <w:t>X</w:t>
      </w:r>
      <w:r w:rsidRPr="00611BFA">
        <w:rPr>
          <w:rFonts w:ascii="Book Antiqua" w:eastAsia="Book Antiqua" w:hAnsi="Book Antiqua" w:cs="Book Antiqua"/>
          <w:color w:val="000000"/>
        </w:rPr>
        <w:t>-rays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8A79A9">
        <w:rPr>
          <w:rFonts w:ascii="Book Antiqua" w:eastAsia="Book Antiqua" w:hAnsi="Book Antiqua" w:cs="Book Antiqua"/>
          <w:color w:val="000000"/>
        </w:rPr>
        <w:t>c</w:t>
      </w:r>
      <w:r w:rsidR="00B864BD" w:rsidRPr="00611BFA">
        <w:rPr>
          <w:rFonts w:ascii="Book Antiqua" w:eastAsia="Book Antiqua" w:hAnsi="Book Antiqua" w:cs="Book Antiqua"/>
          <w:color w:val="000000"/>
        </w:rPr>
        <w:t>omputed tomography (CT)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scans</w:t>
      </w:r>
      <w:r w:rsidR="008A79A9">
        <w:rPr>
          <w:rFonts w:ascii="Book Antiqua" w:eastAsia="Book Antiqua" w:hAnsi="Book Antiqua" w:cs="Book Antiqua"/>
          <w:color w:val="000000"/>
        </w:rPr>
        <w:t>.</w:t>
      </w:r>
    </w:p>
    <w:p w14:paraId="132DFE1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6679FA58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BD83427" w14:textId="786A4D99" w:rsidR="00A77B3E" w:rsidRPr="00611BFA" w:rsidRDefault="008A79A9" w:rsidP="00611BF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 c</w:t>
      </w:r>
      <w:r w:rsidR="00F8520C" w:rsidRPr="00611BFA">
        <w:rPr>
          <w:rFonts w:ascii="Book Antiqua" w:eastAsia="Book Antiqua" w:hAnsi="Book Antiqua" w:cs="Book Antiqua"/>
          <w:color w:val="000000"/>
        </w:rPr>
        <w:t>ompare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F8520C" w:rsidRPr="00611BFA">
        <w:rPr>
          <w:rFonts w:ascii="Book Antiqua" w:eastAsia="Book Antiqua" w:hAnsi="Book Antiqua" w:cs="Book Antiqua"/>
          <w:color w:val="000000"/>
        </w:rPr>
        <w:t>-rays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scans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see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hAnsi="Book Antiqua"/>
          <w:lang w:eastAsia="zh-CN"/>
        </w:rPr>
        <w:t xml:space="preserve"> and to</w:t>
      </w:r>
      <w:r>
        <w:rPr>
          <w:rFonts w:ascii="Book Antiqua" w:eastAsia="Book Antiqua" w:hAnsi="Book Antiqua" w:cs="Book Antiqua"/>
          <w:color w:val="000000"/>
        </w:rPr>
        <w:t xml:space="preserve"> e</w:t>
      </w:r>
      <w:r w:rsidR="00F8520C" w:rsidRPr="00611BFA">
        <w:rPr>
          <w:rFonts w:ascii="Book Antiqua" w:eastAsia="Book Antiqua" w:hAnsi="Book Antiqua" w:cs="Book Antiqua"/>
          <w:color w:val="000000"/>
        </w:rPr>
        <w:t>valuate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involved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F8520C" w:rsidRPr="00611BFA">
        <w:rPr>
          <w:rFonts w:ascii="Book Antiqua" w:eastAsia="Book Antiqua" w:hAnsi="Book Antiqua" w:cs="Book Antiqua"/>
          <w:color w:val="000000"/>
        </w:rPr>
        <w:t>fracture.</w:t>
      </w:r>
    </w:p>
    <w:p w14:paraId="1055A080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3FFB0A4B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E6C9608" w14:textId="1FAB1CA2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Two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foot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ankle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specialists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radiographs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with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scans.</w:t>
      </w:r>
      <w:r w:rsidR="002E4233" w:rsidRPr="00611BFA">
        <w:rPr>
          <w:rFonts w:ascii="Book Antiqua" w:hAnsi="Book Antiqua"/>
          <w:lang w:eastAsia="zh-CN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joint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compared.</w:t>
      </w:r>
    </w:p>
    <w:p w14:paraId="76C45BFD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6609E3C2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4736437" w14:textId="2B381546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We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12A5E">
        <w:rPr>
          <w:rFonts w:ascii="Book Antiqua" w:eastAsia="Book Antiqua" w:hAnsi="Book Antiqua" w:cs="Book Antiqua"/>
          <w:color w:val="000000"/>
        </w:rPr>
        <w:t>f</w:t>
      </w:r>
      <w:r w:rsidRPr="00611BFA">
        <w:rPr>
          <w:rFonts w:ascii="Book Antiqua" w:eastAsia="Book Antiqua" w:hAnsi="Book Antiqua" w:cs="Book Antiqua"/>
          <w:color w:val="000000"/>
        </w:rPr>
        <w:t>ragments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were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2.12%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12A5E">
        <w:rPr>
          <w:rFonts w:ascii="Book Antiqua" w:eastAsia="Book Antiqua" w:hAnsi="Book Antiqua" w:cs="Book Antiqua"/>
          <w:color w:val="000000"/>
        </w:rPr>
        <w:t>X</w:t>
      </w:r>
      <w:r w:rsidRPr="00611BFA">
        <w:rPr>
          <w:rFonts w:ascii="Book Antiqua" w:eastAsia="Book Antiqua" w:hAnsi="Book Antiqua" w:cs="Book Antiqua"/>
          <w:color w:val="000000"/>
        </w:rPr>
        <w:t>-rays.</w:t>
      </w:r>
      <w:r w:rsidR="00612A5E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analyzing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scans,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significant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three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types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B45AF4" w:rsidRPr="00611BFA">
        <w:rPr>
          <w:rFonts w:ascii="Book Antiqua" w:eastAsia="Book Antiqua" w:hAnsi="Book Antiqua" w:cs="Book Antiqua"/>
          <w:color w:val="000000"/>
        </w:rPr>
        <w:t>.</w:t>
      </w:r>
    </w:p>
    <w:p w14:paraId="79D86A8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7E7C4B28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15C36B2" w14:textId="7E4DD0C0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612A5E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different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612A5E">
        <w:rPr>
          <w:rFonts w:ascii="Book Antiqua" w:eastAsia="Book Antiqua" w:hAnsi="Book Antiqua" w:cs="Book Antiqua"/>
          <w:color w:val="000000"/>
        </w:rPr>
        <w:t xml:space="preserve">CT </w:t>
      </w:r>
      <w:r w:rsidRPr="00611BFA">
        <w:rPr>
          <w:rFonts w:ascii="Book Antiqua" w:eastAsia="Book Antiqua" w:hAnsi="Book Antiqua" w:cs="Book Antiqua"/>
          <w:color w:val="000000"/>
        </w:rPr>
        <w:t>images.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085932">
        <w:rPr>
          <w:rFonts w:ascii="Book Antiqua" w:eastAsia="Book Antiqua" w:hAnsi="Book Antiqua" w:cs="Book Antiqua"/>
          <w:color w:val="000000"/>
        </w:rPr>
        <w:t>C</w:t>
      </w:r>
      <w:r w:rsidRPr="00611BFA">
        <w:rPr>
          <w:rFonts w:ascii="Book Antiqua" w:eastAsia="Book Antiqua" w:hAnsi="Book Antiqua" w:cs="Book Antiqua"/>
          <w:color w:val="000000"/>
        </w:rPr>
        <w:t>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085932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plane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allow</w:t>
      </w:r>
      <w:r w:rsidR="00085932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visualization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dimensions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surface.</w:t>
      </w:r>
    </w:p>
    <w:p w14:paraId="49AAF333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3E40CFA2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82B8A" w:rsidRPr="00611BF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808BB7C" w14:textId="783EDAAA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show</w:t>
      </w:r>
      <w:r w:rsidR="00085932">
        <w:rPr>
          <w:rFonts w:ascii="Book Antiqua" w:eastAsia="Book Antiqua" w:hAnsi="Book Antiqua" w:cs="Book Antiqua"/>
          <w:color w:val="000000"/>
        </w:rPr>
        <w:t>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better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understand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085932">
        <w:rPr>
          <w:rFonts w:ascii="Book Antiqua" w:eastAsia="Book Antiqua" w:hAnsi="Book Antiqua" w:cs="Book Antiqua"/>
          <w:color w:val="000000"/>
        </w:rPr>
        <w:t xml:space="preserve"> 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PM.</w:t>
      </w:r>
      <w:r w:rsidR="00CA6C87" w:rsidRPr="00611BFA">
        <w:rPr>
          <w:rFonts w:ascii="Book Antiqua" w:hAnsi="Book Antiqua"/>
          <w:lang w:eastAsia="zh-CN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085932">
        <w:rPr>
          <w:rFonts w:ascii="Book Antiqua" w:eastAsia="Book Antiqua" w:hAnsi="Book Antiqua" w:cs="Book Antiqua"/>
          <w:color w:val="000000"/>
        </w:rPr>
        <w:t>X</w:t>
      </w:r>
      <w:r w:rsidRPr="00611BFA">
        <w:rPr>
          <w:rFonts w:ascii="Book Antiqua" w:eastAsia="Book Antiqua" w:hAnsi="Book Antiqua" w:cs="Book Antiqua"/>
          <w:color w:val="000000"/>
        </w:rPr>
        <w:t>-rays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can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affect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large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portion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surface.</w:t>
      </w:r>
      <w:r w:rsidR="00CA6C87" w:rsidRPr="00611BFA">
        <w:rPr>
          <w:rFonts w:ascii="Book Antiqua" w:hAnsi="Book Antiqua"/>
          <w:lang w:eastAsia="zh-CN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would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recommended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underestimate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small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always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perform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preoperative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evaluation</w:t>
      </w:r>
      <w:r w:rsidR="00AA2DB0" w:rsidRPr="00611BFA">
        <w:rPr>
          <w:rFonts w:ascii="Book Antiqua" w:eastAsia="Book Antiqua" w:hAnsi="Book Antiqua" w:cs="Book Antiqua"/>
          <w:color w:val="000000"/>
        </w:rPr>
        <w:t>.</w:t>
      </w:r>
    </w:p>
    <w:p w14:paraId="320D7304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49023AAB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6542F7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 </w:t>
      </w:r>
      <w:r w:rsidRPr="00611BFA">
        <w:rPr>
          <w:rFonts w:ascii="Book Antiqua" w:hAnsi="Book Antiqua"/>
          <w:b/>
          <w:bCs/>
        </w:rPr>
        <w:t>Palmanovich E</w:t>
      </w:r>
      <w:r w:rsidRPr="00611BFA">
        <w:rPr>
          <w:rFonts w:ascii="Book Antiqua" w:hAnsi="Book Antiqua"/>
        </w:rPr>
        <w:t xml:space="preserve">, Brin YS, Laver L, Kish B, Nyska M, Hetsroni I. The effect of minimally displaced posterior malleolar fractures on decision making in minimally displaced lateral malleolus fractures. </w:t>
      </w:r>
      <w:r w:rsidRPr="00611BFA">
        <w:rPr>
          <w:rFonts w:ascii="Book Antiqua" w:hAnsi="Book Antiqua"/>
          <w:i/>
          <w:iCs/>
        </w:rPr>
        <w:t>Int Orthop</w:t>
      </w:r>
      <w:r w:rsidRPr="00611BFA">
        <w:rPr>
          <w:rFonts w:ascii="Book Antiqua" w:hAnsi="Book Antiqua"/>
        </w:rPr>
        <w:t xml:space="preserve"> 2014; </w:t>
      </w:r>
      <w:r w:rsidRPr="00611BFA">
        <w:rPr>
          <w:rFonts w:ascii="Book Antiqua" w:hAnsi="Book Antiqua"/>
          <w:b/>
          <w:bCs/>
        </w:rPr>
        <w:t>38</w:t>
      </w:r>
      <w:r w:rsidRPr="00611BFA">
        <w:rPr>
          <w:rFonts w:ascii="Book Antiqua" w:hAnsi="Book Antiqua"/>
        </w:rPr>
        <w:t>: 1051-1056 [PMID: 24346511 DOI: 10.1007/s00264-013-2224-7]</w:t>
      </w:r>
    </w:p>
    <w:p w14:paraId="69C6C5E2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 </w:t>
      </w:r>
      <w:r w:rsidRPr="00611BFA">
        <w:rPr>
          <w:rFonts w:ascii="Book Antiqua" w:hAnsi="Book Antiqua"/>
          <w:b/>
          <w:bCs/>
        </w:rPr>
        <w:t>Klammer G</w:t>
      </w:r>
      <w:r w:rsidRPr="00611BFA">
        <w:rPr>
          <w:rFonts w:ascii="Book Antiqua" w:hAnsi="Book Antiqua"/>
        </w:rPr>
        <w:t xml:space="preserve">, Kadakia AR, Joos DA, Seybold JD, Espinosa N. Posterior pilon fractures: a retrospective case series and proposed classification system. </w:t>
      </w:r>
      <w:r w:rsidRPr="00611BFA">
        <w:rPr>
          <w:rFonts w:ascii="Book Antiqua" w:hAnsi="Book Antiqua"/>
          <w:i/>
          <w:iCs/>
        </w:rPr>
        <w:t>Foot Ankle Int</w:t>
      </w:r>
      <w:r w:rsidRPr="00611BFA">
        <w:rPr>
          <w:rFonts w:ascii="Book Antiqua" w:hAnsi="Book Antiqua"/>
        </w:rPr>
        <w:t xml:space="preserve"> 2013; </w:t>
      </w:r>
      <w:r w:rsidRPr="00611BFA">
        <w:rPr>
          <w:rFonts w:ascii="Book Antiqua" w:hAnsi="Book Antiqua"/>
          <w:b/>
          <w:bCs/>
        </w:rPr>
        <w:t>34</w:t>
      </w:r>
      <w:r w:rsidRPr="00611BFA">
        <w:rPr>
          <w:rFonts w:ascii="Book Antiqua" w:hAnsi="Book Antiqua"/>
        </w:rPr>
        <w:t>: 189-199 [PMID: 23413057 DOI: 10.1177/1071100712469334]</w:t>
      </w:r>
    </w:p>
    <w:p w14:paraId="09A26C3C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 Volkmann R. Report on the disease cases treated at the halle surgical clinic in the year of 1873. </w:t>
      </w:r>
      <w:r w:rsidRPr="00611BFA">
        <w:rPr>
          <w:rFonts w:ascii="Book Antiqua" w:hAnsi="Book Antiqua"/>
          <w:i/>
        </w:rPr>
        <w:t>Beitr Chir</w:t>
      </w:r>
      <w:r w:rsidRPr="00611BFA">
        <w:rPr>
          <w:rFonts w:ascii="Book Antiqua" w:hAnsi="Book Antiqua"/>
        </w:rPr>
        <w:t xml:space="preserve"> 1875: 104-109. In German</w:t>
      </w:r>
    </w:p>
    <w:p w14:paraId="371EFA50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4 </w:t>
      </w:r>
      <w:r w:rsidRPr="00611BFA">
        <w:rPr>
          <w:rFonts w:ascii="Book Antiqua" w:hAnsi="Book Antiqua"/>
          <w:b/>
          <w:bCs/>
        </w:rPr>
        <w:t>Jaskulka RA</w:t>
      </w:r>
      <w:r w:rsidRPr="00611BFA">
        <w:rPr>
          <w:rFonts w:ascii="Book Antiqua" w:hAnsi="Book Antiqua"/>
        </w:rPr>
        <w:t xml:space="preserve">, Ittner G, Schedl R. Fractures of the posterior tibial margin: their role in the prognosis of malleolar fractures. </w:t>
      </w:r>
      <w:r w:rsidRPr="00611BFA">
        <w:rPr>
          <w:rFonts w:ascii="Book Antiqua" w:hAnsi="Book Antiqua"/>
          <w:i/>
          <w:iCs/>
        </w:rPr>
        <w:t>J Trauma</w:t>
      </w:r>
      <w:r w:rsidRPr="00611BFA">
        <w:rPr>
          <w:rFonts w:ascii="Book Antiqua" w:hAnsi="Book Antiqua"/>
        </w:rPr>
        <w:t xml:space="preserve"> 1989; </w:t>
      </w:r>
      <w:r w:rsidRPr="00611BFA">
        <w:rPr>
          <w:rFonts w:ascii="Book Antiqua" w:hAnsi="Book Antiqua"/>
          <w:b/>
          <w:bCs/>
        </w:rPr>
        <w:t>29</w:t>
      </w:r>
      <w:r w:rsidRPr="00611BFA">
        <w:rPr>
          <w:rFonts w:ascii="Book Antiqua" w:hAnsi="Book Antiqua"/>
        </w:rPr>
        <w:t>: 1565-1570 [PMID: 2585569 DOI: 10.1097/00005373-198911000-00018]</w:t>
      </w:r>
    </w:p>
    <w:p w14:paraId="3A759199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5 </w:t>
      </w:r>
      <w:r w:rsidRPr="00611BFA">
        <w:rPr>
          <w:rFonts w:ascii="Book Antiqua" w:hAnsi="Book Antiqua"/>
          <w:b/>
          <w:bCs/>
        </w:rPr>
        <w:t>Irwin TA</w:t>
      </w:r>
      <w:r w:rsidRPr="00611BFA">
        <w:rPr>
          <w:rFonts w:ascii="Book Antiqua" w:hAnsi="Book Antiqua"/>
        </w:rPr>
        <w:t xml:space="preserve">, Lien J, Kadakia AR. Posterior malleolus fracture. </w:t>
      </w:r>
      <w:r w:rsidRPr="00611BFA">
        <w:rPr>
          <w:rFonts w:ascii="Book Antiqua" w:hAnsi="Book Antiqua"/>
          <w:i/>
          <w:iCs/>
        </w:rPr>
        <w:t>J Am Acad Orthop Surg</w:t>
      </w:r>
      <w:r w:rsidRPr="00611BFA">
        <w:rPr>
          <w:rFonts w:ascii="Book Antiqua" w:hAnsi="Book Antiqua"/>
        </w:rPr>
        <w:t xml:space="preserve"> 2013; </w:t>
      </w:r>
      <w:r w:rsidRPr="00611BFA">
        <w:rPr>
          <w:rFonts w:ascii="Book Antiqua" w:hAnsi="Book Antiqua"/>
          <w:b/>
          <w:bCs/>
        </w:rPr>
        <w:t>21</w:t>
      </w:r>
      <w:r w:rsidRPr="00611BFA">
        <w:rPr>
          <w:rFonts w:ascii="Book Antiqua" w:hAnsi="Book Antiqua"/>
        </w:rPr>
        <w:t>: 32-40 [PMID: 23281469 DOI: 10.5435/JAAOS-21-01-32]</w:t>
      </w:r>
    </w:p>
    <w:p w14:paraId="4B5F7FCF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6 </w:t>
      </w:r>
      <w:r w:rsidRPr="00611BFA">
        <w:rPr>
          <w:rFonts w:ascii="Book Antiqua" w:hAnsi="Book Antiqua"/>
          <w:b/>
          <w:bCs/>
        </w:rPr>
        <w:t>Danford NC</w:t>
      </w:r>
      <w:r w:rsidRPr="00611BFA">
        <w:rPr>
          <w:rFonts w:ascii="Book Antiqua" w:hAnsi="Book Antiqua"/>
        </w:rPr>
        <w:t xml:space="preserve">, Hellwinkel JE, Nocek MJ, Boddapati V, Greisberg JK, Trofa DP. Fractures of the posterior malleolus: a systematic review and analysis of patient-reported outcome scale selection. </w:t>
      </w:r>
      <w:r w:rsidRPr="00611BFA">
        <w:rPr>
          <w:rFonts w:ascii="Book Antiqua" w:hAnsi="Book Antiqua"/>
          <w:i/>
          <w:iCs/>
        </w:rPr>
        <w:t>Eur J Orthop Surg Traumatol</w:t>
      </w:r>
      <w:r w:rsidRPr="00611BFA">
        <w:rPr>
          <w:rFonts w:ascii="Book Antiqua" w:hAnsi="Book Antiqua"/>
        </w:rPr>
        <w:t xml:space="preserve"> 2023; </w:t>
      </w:r>
      <w:r w:rsidRPr="00611BFA">
        <w:rPr>
          <w:rFonts w:ascii="Book Antiqua" w:hAnsi="Book Antiqua"/>
          <w:b/>
          <w:bCs/>
        </w:rPr>
        <w:t>33</w:t>
      </w:r>
      <w:r w:rsidRPr="00611BFA">
        <w:rPr>
          <w:rFonts w:ascii="Book Antiqua" w:hAnsi="Book Antiqua"/>
        </w:rPr>
        <w:t>: 1125-1131 [PMID: 35430691 DOI: 10.1007/s00590-022-03261-8]</w:t>
      </w:r>
    </w:p>
    <w:p w14:paraId="29B71140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7 </w:t>
      </w:r>
      <w:r w:rsidRPr="00611BFA">
        <w:rPr>
          <w:rFonts w:ascii="Book Antiqua" w:hAnsi="Book Antiqua"/>
          <w:b/>
          <w:bCs/>
        </w:rPr>
        <w:t>Nelson M,</w:t>
      </w:r>
      <w:r w:rsidRPr="00611BFA">
        <w:rPr>
          <w:rFonts w:ascii="Book Antiqua" w:hAnsi="Book Antiqua"/>
        </w:rPr>
        <w:t xml:space="preserve"> Jensen N. The treatment of trimalleolar fractures of the ankle. </w:t>
      </w:r>
      <w:r w:rsidRPr="00611BFA">
        <w:rPr>
          <w:rFonts w:ascii="Book Antiqua" w:hAnsi="Book Antiqua"/>
          <w:i/>
        </w:rPr>
        <w:t>Surg Gynecol Obstet</w:t>
      </w:r>
      <w:r w:rsidRPr="00611BFA">
        <w:rPr>
          <w:rFonts w:ascii="Book Antiqua" w:hAnsi="Book Antiqua"/>
        </w:rPr>
        <w:t xml:space="preserve"> 1940;</w:t>
      </w:r>
      <w:r w:rsidRPr="00611BFA">
        <w:rPr>
          <w:rFonts w:ascii="Book Antiqua" w:hAnsi="Book Antiqua"/>
          <w:b/>
        </w:rPr>
        <w:t xml:space="preserve"> 71:</w:t>
      </w:r>
      <w:r w:rsidRPr="00611BFA">
        <w:rPr>
          <w:rFonts w:ascii="Book Antiqua" w:hAnsi="Book Antiqua"/>
        </w:rPr>
        <w:t xml:space="preserve"> 509-514</w:t>
      </w:r>
    </w:p>
    <w:p w14:paraId="6F1D910D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8 </w:t>
      </w:r>
      <w:r w:rsidRPr="00611BFA">
        <w:rPr>
          <w:rFonts w:ascii="Book Antiqua" w:hAnsi="Book Antiqua"/>
          <w:b/>
          <w:bCs/>
        </w:rPr>
        <w:t>Heim D</w:t>
      </w:r>
      <w:r w:rsidRPr="00611BFA">
        <w:rPr>
          <w:rFonts w:ascii="Book Antiqua" w:hAnsi="Book Antiqua"/>
        </w:rPr>
        <w:t xml:space="preserve">, Niederhauser K, Simbrey N. The Volkmann dogma: a retrospective, long-term, single-center study. </w:t>
      </w:r>
      <w:r w:rsidRPr="00611BFA">
        <w:rPr>
          <w:rFonts w:ascii="Book Antiqua" w:hAnsi="Book Antiqua"/>
          <w:i/>
          <w:iCs/>
        </w:rPr>
        <w:t>Eur J Trauma Emerg Surg</w:t>
      </w:r>
      <w:r w:rsidRPr="00611BFA">
        <w:rPr>
          <w:rFonts w:ascii="Book Antiqua" w:hAnsi="Book Antiqua"/>
        </w:rPr>
        <w:t xml:space="preserve"> 2010; </w:t>
      </w:r>
      <w:r w:rsidRPr="00611BFA">
        <w:rPr>
          <w:rFonts w:ascii="Book Antiqua" w:hAnsi="Book Antiqua"/>
          <w:b/>
          <w:bCs/>
        </w:rPr>
        <w:t>36</w:t>
      </w:r>
      <w:r w:rsidRPr="00611BFA">
        <w:rPr>
          <w:rFonts w:ascii="Book Antiqua" w:hAnsi="Book Antiqua"/>
        </w:rPr>
        <w:t>: 515-519 [PMID: 26816305 DOI: 10.1007/s00068-010-0061-6]</w:t>
      </w:r>
    </w:p>
    <w:p w14:paraId="5C528087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lastRenderedPageBreak/>
        <w:t xml:space="preserve">9 </w:t>
      </w:r>
      <w:r w:rsidRPr="00611BFA">
        <w:rPr>
          <w:rFonts w:ascii="Book Antiqua" w:hAnsi="Book Antiqua"/>
          <w:b/>
          <w:bCs/>
        </w:rPr>
        <w:t>Evers J</w:t>
      </w:r>
      <w:r w:rsidRPr="00611BFA">
        <w:rPr>
          <w:rFonts w:ascii="Book Antiqua" w:hAnsi="Book Antiqua"/>
        </w:rPr>
        <w:t xml:space="preserve">, Barz L, Wähnert D, Grüneweller N, Raschke MJ, Ochman S. Size matters: The influence of the posterior fragment on patient outcomes in trimalleolar ankle fractures. </w:t>
      </w:r>
      <w:r w:rsidRPr="00611BFA">
        <w:rPr>
          <w:rFonts w:ascii="Book Antiqua" w:hAnsi="Book Antiqua"/>
          <w:i/>
          <w:iCs/>
        </w:rPr>
        <w:t>Injury</w:t>
      </w:r>
      <w:r w:rsidRPr="00611BFA">
        <w:rPr>
          <w:rFonts w:ascii="Book Antiqua" w:hAnsi="Book Antiqua"/>
        </w:rPr>
        <w:t xml:space="preserve"> 2015; </w:t>
      </w:r>
      <w:r w:rsidRPr="00611BFA">
        <w:rPr>
          <w:rFonts w:ascii="Book Antiqua" w:hAnsi="Book Antiqua"/>
          <w:b/>
          <w:bCs/>
        </w:rPr>
        <w:t>46 Suppl 4</w:t>
      </w:r>
      <w:r w:rsidRPr="00611BFA">
        <w:rPr>
          <w:rFonts w:ascii="Book Antiqua" w:hAnsi="Book Antiqua"/>
        </w:rPr>
        <w:t>: S109-S113 [PMID: 26542855 DOI: 10.1016/S0020-1383(15)30028-0]</w:t>
      </w:r>
    </w:p>
    <w:p w14:paraId="6419AEF5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10 </w:t>
      </w:r>
      <w:r w:rsidRPr="00611BFA">
        <w:rPr>
          <w:rFonts w:ascii="Book Antiqua" w:hAnsi="Book Antiqua"/>
          <w:b/>
          <w:bCs/>
        </w:rPr>
        <w:t>Langenhuijsen JF</w:t>
      </w:r>
      <w:r w:rsidRPr="00611BFA">
        <w:rPr>
          <w:rFonts w:ascii="Book Antiqua" w:hAnsi="Book Antiqua"/>
        </w:rPr>
        <w:t xml:space="preserve">, Heetveld MJ, Ultee JM, Steller EP, Butzelaar RM. Results of ankle fractures with involvement of the posterior tibial margin. </w:t>
      </w:r>
      <w:r w:rsidRPr="00611BFA">
        <w:rPr>
          <w:rFonts w:ascii="Book Antiqua" w:hAnsi="Book Antiqua"/>
          <w:i/>
          <w:iCs/>
        </w:rPr>
        <w:t>J Trauma</w:t>
      </w:r>
      <w:r w:rsidRPr="00611BFA">
        <w:rPr>
          <w:rFonts w:ascii="Book Antiqua" w:hAnsi="Book Antiqua"/>
        </w:rPr>
        <w:t xml:space="preserve"> 2002; </w:t>
      </w:r>
      <w:r w:rsidRPr="00611BFA">
        <w:rPr>
          <w:rFonts w:ascii="Book Antiqua" w:hAnsi="Book Antiqua"/>
          <w:b/>
          <w:bCs/>
        </w:rPr>
        <w:t>53</w:t>
      </w:r>
      <w:r w:rsidRPr="00611BFA">
        <w:rPr>
          <w:rFonts w:ascii="Book Antiqua" w:hAnsi="Book Antiqua"/>
        </w:rPr>
        <w:t>: 55-60 [PMID: 12131390 DOI: 10.1097/00005373-200207000-00012]</w:t>
      </w:r>
    </w:p>
    <w:p w14:paraId="4859C6C5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11 </w:t>
      </w:r>
      <w:r w:rsidRPr="00611BFA">
        <w:rPr>
          <w:rFonts w:ascii="Book Antiqua" w:hAnsi="Book Antiqua"/>
          <w:b/>
          <w:bCs/>
        </w:rPr>
        <w:t>Bartoníček J</w:t>
      </w:r>
      <w:r w:rsidRPr="00611BFA">
        <w:rPr>
          <w:rFonts w:ascii="Book Antiqua" w:hAnsi="Book Antiqua"/>
        </w:rPr>
        <w:t xml:space="preserve">, Rammelt S, Tuček M. Posterior Malleolar Fractures: Changing Concepts and Recent Developments. </w:t>
      </w:r>
      <w:r w:rsidRPr="00611BFA">
        <w:rPr>
          <w:rFonts w:ascii="Book Antiqua" w:hAnsi="Book Antiqua"/>
          <w:i/>
          <w:iCs/>
        </w:rPr>
        <w:t>Foot Ankle Clin</w:t>
      </w:r>
      <w:r w:rsidRPr="00611BFA">
        <w:rPr>
          <w:rFonts w:ascii="Book Antiqua" w:hAnsi="Book Antiqua"/>
        </w:rPr>
        <w:t xml:space="preserve"> 2017; </w:t>
      </w:r>
      <w:r w:rsidRPr="00611BFA">
        <w:rPr>
          <w:rFonts w:ascii="Book Antiqua" w:hAnsi="Book Antiqua"/>
          <w:b/>
          <w:bCs/>
        </w:rPr>
        <w:t>22</w:t>
      </w:r>
      <w:r w:rsidRPr="00611BFA">
        <w:rPr>
          <w:rFonts w:ascii="Book Antiqua" w:hAnsi="Book Antiqua"/>
        </w:rPr>
        <w:t>: 125-145 [PMID: 28167058 DOI: 10.1016/j.fcl.2016.09.009]</w:t>
      </w:r>
    </w:p>
    <w:p w14:paraId="372B3E45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12 </w:t>
      </w:r>
      <w:r w:rsidRPr="00611BFA">
        <w:rPr>
          <w:rFonts w:ascii="Book Antiqua" w:hAnsi="Book Antiqua"/>
          <w:b/>
          <w:bCs/>
        </w:rPr>
        <w:t>Carr D</w:t>
      </w:r>
      <w:r w:rsidRPr="00611BFA">
        <w:rPr>
          <w:rFonts w:ascii="Book Antiqua" w:hAnsi="Book Antiqua"/>
        </w:rPr>
        <w:t xml:space="preserve">, Vannabouathong C, Petrisor BA, Parekh SG, Bhandari M. Posterior-Based Approaches to Open Reduction Internal Fixation of Bimalleolar and Trimalleolar Fractures: A Systematic Review and Meta-analysis. </w:t>
      </w:r>
      <w:r w:rsidRPr="00611BFA">
        <w:rPr>
          <w:rFonts w:ascii="Book Antiqua" w:hAnsi="Book Antiqua"/>
          <w:i/>
          <w:iCs/>
        </w:rPr>
        <w:t>J Foot Ankle Surg</w:t>
      </w:r>
      <w:r w:rsidRPr="00611BFA">
        <w:rPr>
          <w:rFonts w:ascii="Book Antiqua" w:hAnsi="Book Antiqua"/>
        </w:rPr>
        <w:t xml:space="preserve"> 2020; </w:t>
      </w:r>
      <w:r w:rsidRPr="00611BFA">
        <w:rPr>
          <w:rFonts w:ascii="Book Antiqua" w:hAnsi="Book Antiqua"/>
          <w:b/>
          <w:bCs/>
        </w:rPr>
        <w:t>59</w:t>
      </w:r>
      <w:r w:rsidRPr="00611BFA">
        <w:rPr>
          <w:rFonts w:ascii="Book Antiqua" w:hAnsi="Book Antiqua"/>
        </w:rPr>
        <w:t>: 373-378 [PMID: 32131005 DOI: 10.1053/j.jfas.2019.09.004]</w:t>
      </w:r>
    </w:p>
    <w:p w14:paraId="1100BA95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13 </w:t>
      </w:r>
      <w:r w:rsidRPr="00611BFA">
        <w:rPr>
          <w:rFonts w:ascii="Book Antiqua" w:hAnsi="Book Antiqua"/>
          <w:b/>
          <w:bCs/>
        </w:rPr>
        <w:t>De Vries JS</w:t>
      </w:r>
      <w:r w:rsidRPr="00611BFA">
        <w:rPr>
          <w:rFonts w:ascii="Book Antiqua" w:hAnsi="Book Antiqua"/>
        </w:rPr>
        <w:t xml:space="preserve">, Wijgman AJ, Sierevelt IN, Schaap GR. Long-term results of ankle fractures with a posterior malleolar fragment. </w:t>
      </w:r>
      <w:r w:rsidRPr="00611BFA">
        <w:rPr>
          <w:rFonts w:ascii="Book Antiqua" w:hAnsi="Book Antiqua"/>
          <w:i/>
          <w:iCs/>
        </w:rPr>
        <w:t>J Foot Ankle Surg</w:t>
      </w:r>
      <w:r w:rsidRPr="00611BFA">
        <w:rPr>
          <w:rFonts w:ascii="Book Antiqua" w:hAnsi="Book Antiqua"/>
        </w:rPr>
        <w:t xml:space="preserve"> 2005; </w:t>
      </w:r>
      <w:r w:rsidRPr="00611BFA">
        <w:rPr>
          <w:rFonts w:ascii="Book Antiqua" w:hAnsi="Book Antiqua"/>
          <w:b/>
          <w:bCs/>
        </w:rPr>
        <w:t>44</w:t>
      </w:r>
      <w:r w:rsidRPr="00611BFA">
        <w:rPr>
          <w:rFonts w:ascii="Book Antiqua" w:hAnsi="Book Antiqua"/>
        </w:rPr>
        <w:t>: 211-217 [PMID: 15940600 DOI: 10.1053/j.jfas.2005.02.002]</w:t>
      </w:r>
    </w:p>
    <w:p w14:paraId="64028D9D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14 </w:t>
      </w:r>
      <w:r w:rsidRPr="00611BFA">
        <w:rPr>
          <w:rFonts w:ascii="Book Antiqua" w:hAnsi="Book Antiqua"/>
          <w:b/>
          <w:bCs/>
        </w:rPr>
        <w:t>Bergman C</w:t>
      </w:r>
      <w:r w:rsidRPr="00611BFA">
        <w:rPr>
          <w:rFonts w:ascii="Book Antiqua" w:hAnsi="Book Antiqua"/>
        </w:rPr>
        <w:t xml:space="preserve">, Morin M, Lawson K. Anatomy, Classification, and Management of Ankle Fractures Involving the Posterior Malleolar Fragment: A Literature Review. </w:t>
      </w:r>
      <w:r w:rsidRPr="00611BFA">
        <w:rPr>
          <w:rFonts w:ascii="Book Antiqua" w:hAnsi="Book Antiqua"/>
          <w:i/>
          <w:iCs/>
        </w:rPr>
        <w:t>Foot Ankle Orthop</w:t>
      </w:r>
      <w:r w:rsidRPr="00611BFA">
        <w:rPr>
          <w:rFonts w:ascii="Book Antiqua" w:hAnsi="Book Antiqua"/>
        </w:rPr>
        <w:t xml:space="preserve"> 2019; </w:t>
      </w:r>
      <w:r w:rsidRPr="00611BFA">
        <w:rPr>
          <w:rFonts w:ascii="Book Antiqua" w:hAnsi="Book Antiqua"/>
          <w:b/>
          <w:bCs/>
        </w:rPr>
        <w:t>4</w:t>
      </w:r>
      <w:r w:rsidRPr="00611BFA">
        <w:rPr>
          <w:rFonts w:ascii="Book Antiqua" w:hAnsi="Book Antiqua"/>
        </w:rPr>
        <w:t>: 2473011419887724 [PMID: 35097350 DOI: 10.1177/2473011419887724]</w:t>
      </w:r>
    </w:p>
    <w:p w14:paraId="50FFB5AC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15 </w:t>
      </w:r>
      <w:r w:rsidRPr="00611BFA">
        <w:rPr>
          <w:rFonts w:ascii="Book Antiqua" w:hAnsi="Book Antiqua"/>
          <w:b/>
          <w:bCs/>
        </w:rPr>
        <w:t>Neumann AP</w:t>
      </w:r>
      <w:r w:rsidRPr="00611BFA">
        <w:rPr>
          <w:rFonts w:ascii="Book Antiqua" w:hAnsi="Book Antiqua"/>
        </w:rPr>
        <w:t xml:space="preserve">, Rammelt S. Ankle fractures involving the posterior malleolus: patient characteristics and 7-year results in 100 cases. </w:t>
      </w:r>
      <w:r w:rsidRPr="00611BFA">
        <w:rPr>
          <w:rFonts w:ascii="Book Antiqua" w:hAnsi="Book Antiqua"/>
          <w:i/>
          <w:iCs/>
        </w:rPr>
        <w:t>Arch Orthop Trauma Surg</w:t>
      </w:r>
      <w:r w:rsidRPr="00611BFA">
        <w:rPr>
          <w:rFonts w:ascii="Book Antiqua" w:hAnsi="Book Antiqua"/>
        </w:rPr>
        <w:t xml:space="preserve"> 2022; </w:t>
      </w:r>
      <w:r w:rsidRPr="00611BFA">
        <w:rPr>
          <w:rFonts w:ascii="Book Antiqua" w:hAnsi="Book Antiqua"/>
          <w:b/>
          <w:bCs/>
        </w:rPr>
        <w:t>142</w:t>
      </w:r>
      <w:r w:rsidRPr="00611BFA">
        <w:rPr>
          <w:rFonts w:ascii="Book Antiqua" w:hAnsi="Book Antiqua"/>
        </w:rPr>
        <w:t>: 1823-1834 [PMID: 33835195 DOI: 10.1007/s00402-021-03875-3]</w:t>
      </w:r>
    </w:p>
    <w:p w14:paraId="7CE96810" w14:textId="13E6C388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16 </w:t>
      </w:r>
      <w:r w:rsidRPr="00611BFA">
        <w:rPr>
          <w:rFonts w:ascii="Book Antiqua" w:hAnsi="Book Antiqua"/>
          <w:b/>
          <w:bCs/>
        </w:rPr>
        <w:t>McDaniel WJ,</w:t>
      </w:r>
      <w:r w:rsidRPr="00611BFA">
        <w:rPr>
          <w:rFonts w:ascii="Book Antiqua" w:hAnsi="Book Antiqua"/>
        </w:rPr>
        <w:t xml:space="preserve"> Wilson FC. Trimalleolar fractures of the ankle. An end result study. </w:t>
      </w:r>
      <w:r w:rsidRPr="00611BFA">
        <w:rPr>
          <w:rFonts w:ascii="Book Antiqua" w:hAnsi="Book Antiqua"/>
          <w:i/>
        </w:rPr>
        <w:t>Clin Orthop Relat Res</w:t>
      </w:r>
      <w:r w:rsidRPr="00611BFA">
        <w:rPr>
          <w:rFonts w:ascii="Book Antiqua" w:hAnsi="Book Antiqua"/>
        </w:rPr>
        <w:t xml:space="preserve"> 1977</w:t>
      </w:r>
      <w:r w:rsidR="00D2371D" w:rsidRPr="00611BFA">
        <w:rPr>
          <w:rFonts w:ascii="Book Antiqua" w:hAnsi="Book Antiqua"/>
        </w:rPr>
        <w:t>;</w:t>
      </w:r>
      <w:r w:rsidRPr="00611BFA">
        <w:rPr>
          <w:rFonts w:ascii="Book Antiqua" w:hAnsi="Book Antiqua"/>
        </w:rPr>
        <w:t xml:space="preserve"> 37-45 [DOI: 10.1097/00003086-197701000-00006]</w:t>
      </w:r>
    </w:p>
    <w:p w14:paraId="214A3330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17 </w:t>
      </w:r>
      <w:r w:rsidRPr="00611BFA">
        <w:rPr>
          <w:rFonts w:ascii="Book Antiqua" w:hAnsi="Book Antiqua"/>
          <w:b/>
          <w:bCs/>
        </w:rPr>
        <w:t>Verhage SM</w:t>
      </w:r>
      <w:r w:rsidRPr="00611BFA">
        <w:rPr>
          <w:rFonts w:ascii="Book Antiqua" w:hAnsi="Book Antiqua"/>
        </w:rPr>
        <w:t xml:space="preserve">, Krijnen P, Schipper IB, Hoogendoorn JM. Persistent postoperative step-off of the posterior malleolus leads to higher incidence of post-traumatic osteoarthritis in trimalleolar fractures. </w:t>
      </w:r>
      <w:r w:rsidRPr="00611BFA">
        <w:rPr>
          <w:rFonts w:ascii="Book Antiqua" w:hAnsi="Book Antiqua"/>
          <w:i/>
          <w:iCs/>
        </w:rPr>
        <w:t>Arch Orthop Trauma Surg</w:t>
      </w:r>
      <w:r w:rsidRPr="00611BFA">
        <w:rPr>
          <w:rFonts w:ascii="Book Antiqua" w:hAnsi="Book Antiqua"/>
        </w:rPr>
        <w:t xml:space="preserve"> 2019; </w:t>
      </w:r>
      <w:r w:rsidRPr="00611BFA">
        <w:rPr>
          <w:rFonts w:ascii="Book Antiqua" w:hAnsi="Book Antiqua"/>
          <w:b/>
          <w:bCs/>
        </w:rPr>
        <w:t>139</w:t>
      </w:r>
      <w:r w:rsidRPr="00611BFA">
        <w:rPr>
          <w:rFonts w:ascii="Book Antiqua" w:hAnsi="Book Antiqua"/>
        </w:rPr>
        <w:t>: 323-329 [PMID: 30430238 DOI: 10.1007/s00402-018-3056-0]</w:t>
      </w:r>
    </w:p>
    <w:p w14:paraId="369A7834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lastRenderedPageBreak/>
        <w:t xml:space="preserve">18 </w:t>
      </w:r>
      <w:r w:rsidRPr="00611BFA">
        <w:rPr>
          <w:rFonts w:ascii="Book Antiqua" w:hAnsi="Book Antiqua"/>
          <w:b/>
          <w:bCs/>
        </w:rPr>
        <w:t>Mason LW</w:t>
      </w:r>
      <w:r w:rsidRPr="00611BFA">
        <w:rPr>
          <w:rFonts w:ascii="Book Antiqua" w:hAnsi="Book Antiqua"/>
        </w:rPr>
        <w:t xml:space="preserve">, Marlow WJ, Widnall J, Molloy AP. Pathoanatomy and Associated Injuries of Posterior Malleolus Fracture of the Ankle. </w:t>
      </w:r>
      <w:r w:rsidRPr="00611BFA">
        <w:rPr>
          <w:rFonts w:ascii="Book Antiqua" w:hAnsi="Book Antiqua"/>
          <w:i/>
          <w:iCs/>
        </w:rPr>
        <w:t>Foot Ankle Int</w:t>
      </w:r>
      <w:r w:rsidRPr="00611BFA">
        <w:rPr>
          <w:rFonts w:ascii="Book Antiqua" w:hAnsi="Book Antiqua"/>
        </w:rPr>
        <w:t xml:space="preserve"> 2017; </w:t>
      </w:r>
      <w:r w:rsidRPr="00611BFA">
        <w:rPr>
          <w:rFonts w:ascii="Book Antiqua" w:hAnsi="Book Antiqua"/>
          <w:b/>
          <w:bCs/>
        </w:rPr>
        <w:t>38</w:t>
      </w:r>
      <w:r w:rsidRPr="00611BFA">
        <w:rPr>
          <w:rFonts w:ascii="Book Antiqua" w:hAnsi="Book Antiqua"/>
        </w:rPr>
        <w:t>: 1229-1235 [PMID: 28758439 DOI: 10.1177/1071100717719533]</w:t>
      </w:r>
    </w:p>
    <w:p w14:paraId="5F022C78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19 </w:t>
      </w:r>
      <w:r w:rsidRPr="00611BFA">
        <w:rPr>
          <w:rFonts w:ascii="Book Antiqua" w:hAnsi="Book Antiqua"/>
          <w:b/>
          <w:bCs/>
        </w:rPr>
        <w:t>Evers J</w:t>
      </w:r>
      <w:r w:rsidRPr="00611BFA">
        <w:rPr>
          <w:rFonts w:ascii="Book Antiqua" w:hAnsi="Book Antiqua"/>
        </w:rPr>
        <w:t xml:space="preserve">, Fischer M, Raschke M, Riesenbeck O, Milstrey A, Gehweiler D, Gueorguiev B, Ochman S. Leave it or fix it? How fixation of a small posterior malleolar fragment neutralizes rotational forces in trimalleolar fractures. </w:t>
      </w:r>
      <w:r w:rsidRPr="00611BFA">
        <w:rPr>
          <w:rFonts w:ascii="Book Antiqua" w:hAnsi="Book Antiqua"/>
          <w:i/>
          <w:iCs/>
        </w:rPr>
        <w:t>Arch Orthop Trauma Surg</w:t>
      </w:r>
      <w:r w:rsidRPr="00611BFA">
        <w:rPr>
          <w:rFonts w:ascii="Book Antiqua" w:hAnsi="Book Antiqua"/>
        </w:rPr>
        <w:t xml:space="preserve"> 2022; </w:t>
      </w:r>
      <w:r w:rsidRPr="00611BFA">
        <w:rPr>
          <w:rFonts w:ascii="Book Antiqua" w:hAnsi="Book Antiqua"/>
          <w:b/>
          <w:bCs/>
        </w:rPr>
        <w:t>142</w:t>
      </w:r>
      <w:r w:rsidRPr="00611BFA">
        <w:rPr>
          <w:rFonts w:ascii="Book Antiqua" w:hAnsi="Book Antiqua"/>
        </w:rPr>
        <w:t>: 1031-1037 [PMID: 33507380 DOI: 10.1007/s00402-021-03772-9]</w:t>
      </w:r>
    </w:p>
    <w:p w14:paraId="7170DFAB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20 </w:t>
      </w:r>
      <w:r w:rsidRPr="00611BFA">
        <w:rPr>
          <w:rFonts w:ascii="Book Antiqua" w:hAnsi="Book Antiqua"/>
          <w:b/>
          <w:bCs/>
        </w:rPr>
        <w:t>Ferries JS</w:t>
      </w:r>
      <w:r w:rsidRPr="00611BFA">
        <w:rPr>
          <w:rFonts w:ascii="Book Antiqua" w:hAnsi="Book Antiqua"/>
        </w:rPr>
        <w:t xml:space="preserve">, DeCoster TA, Firoozbakhsh KK, Garcia JF, Miller RA. Plain radiographic interpretation in trimalleolar ankle fractures poorly assesses posterior fragment size. </w:t>
      </w:r>
      <w:r w:rsidRPr="00611BFA">
        <w:rPr>
          <w:rFonts w:ascii="Book Antiqua" w:hAnsi="Book Antiqua"/>
          <w:i/>
          <w:iCs/>
        </w:rPr>
        <w:t>J Orthop Trauma</w:t>
      </w:r>
      <w:r w:rsidRPr="00611BFA">
        <w:rPr>
          <w:rFonts w:ascii="Book Antiqua" w:hAnsi="Book Antiqua"/>
        </w:rPr>
        <w:t xml:space="preserve"> 1994; </w:t>
      </w:r>
      <w:r w:rsidRPr="00611BFA">
        <w:rPr>
          <w:rFonts w:ascii="Book Antiqua" w:hAnsi="Book Antiqua"/>
          <w:b/>
          <w:bCs/>
        </w:rPr>
        <w:t>8</w:t>
      </w:r>
      <w:r w:rsidRPr="00611BFA">
        <w:rPr>
          <w:rFonts w:ascii="Book Antiqua" w:hAnsi="Book Antiqua"/>
        </w:rPr>
        <w:t>: 328-331 [PMID: 7965295 DOI: 10.1097/00005131-199408000-00009]</w:t>
      </w:r>
    </w:p>
    <w:p w14:paraId="1241886D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21 </w:t>
      </w:r>
      <w:r w:rsidRPr="00611BFA">
        <w:rPr>
          <w:rFonts w:ascii="Book Antiqua" w:hAnsi="Book Antiqua"/>
          <w:b/>
          <w:bCs/>
        </w:rPr>
        <w:t>Büchler L</w:t>
      </w:r>
      <w:r w:rsidRPr="00611BFA">
        <w:rPr>
          <w:rFonts w:ascii="Book Antiqua" w:hAnsi="Book Antiqua"/>
        </w:rPr>
        <w:t xml:space="preserve">, Tannast M, Bonel HM, Weber M. Reliability of radiologic assessment of the fracture anatomy at the posterior tibial plafond in malleolar fractures. </w:t>
      </w:r>
      <w:r w:rsidRPr="00611BFA">
        <w:rPr>
          <w:rFonts w:ascii="Book Antiqua" w:hAnsi="Book Antiqua"/>
          <w:i/>
          <w:iCs/>
        </w:rPr>
        <w:t>J Orthop Trauma</w:t>
      </w:r>
      <w:r w:rsidRPr="00611BFA">
        <w:rPr>
          <w:rFonts w:ascii="Book Antiqua" w:hAnsi="Book Antiqua"/>
        </w:rPr>
        <w:t xml:space="preserve"> 2009; </w:t>
      </w:r>
      <w:r w:rsidRPr="00611BFA">
        <w:rPr>
          <w:rFonts w:ascii="Book Antiqua" w:hAnsi="Book Antiqua"/>
          <w:b/>
          <w:bCs/>
        </w:rPr>
        <w:t>23</w:t>
      </w:r>
      <w:r w:rsidRPr="00611BFA">
        <w:rPr>
          <w:rFonts w:ascii="Book Antiqua" w:hAnsi="Book Antiqua"/>
        </w:rPr>
        <w:t>: 208-212 [PMID: 19516096 DOI: 10.1097/BOT.0b013e31819b0b23]</w:t>
      </w:r>
    </w:p>
    <w:p w14:paraId="771B8740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22 </w:t>
      </w:r>
      <w:r w:rsidRPr="00611BFA">
        <w:rPr>
          <w:rFonts w:ascii="Book Antiqua" w:hAnsi="Book Antiqua"/>
          <w:b/>
          <w:bCs/>
        </w:rPr>
        <w:t>Meijer DT</w:t>
      </w:r>
      <w:r w:rsidRPr="00611BFA">
        <w:rPr>
          <w:rFonts w:ascii="Book Antiqua" w:hAnsi="Book Antiqua"/>
        </w:rPr>
        <w:t xml:space="preserve">, Doornberg JN, Sierevelt IN, Mallee WH, van Dijk CN, Kerkhoffs GM, Stufkens SA; Ankle Platform Study Collaborative – Science of Variation Group; Ankle Platform Study Collaborative - Science of Variation Group. Guesstimation of posterior malleolar fractures on lateral plain radiographs. </w:t>
      </w:r>
      <w:r w:rsidRPr="00611BFA">
        <w:rPr>
          <w:rFonts w:ascii="Book Antiqua" w:hAnsi="Book Antiqua"/>
          <w:i/>
          <w:iCs/>
        </w:rPr>
        <w:t>Injury</w:t>
      </w:r>
      <w:r w:rsidRPr="00611BFA">
        <w:rPr>
          <w:rFonts w:ascii="Book Antiqua" w:hAnsi="Book Antiqua"/>
        </w:rPr>
        <w:t xml:space="preserve"> 2015; </w:t>
      </w:r>
      <w:r w:rsidRPr="00611BFA">
        <w:rPr>
          <w:rFonts w:ascii="Book Antiqua" w:hAnsi="Book Antiqua"/>
          <w:b/>
          <w:bCs/>
        </w:rPr>
        <w:t>46</w:t>
      </w:r>
      <w:r w:rsidRPr="00611BFA">
        <w:rPr>
          <w:rFonts w:ascii="Book Antiqua" w:hAnsi="Book Antiqua"/>
        </w:rPr>
        <w:t>: 2024-2029 [PMID: 26253385 DOI: 10.1016/j.injury.2015.07.019]</w:t>
      </w:r>
    </w:p>
    <w:p w14:paraId="7620914A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23 </w:t>
      </w:r>
      <w:r w:rsidRPr="00611BFA">
        <w:rPr>
          <w:rFonts w:ascii="Book Antiqua" w:hAnsi="Book Antiqua"/>
          <w:b/>
          <w:bCs/>
        </w:rPr>
        <w:t>Seo J</w:t>
      </w:r>
      <w:r w:rsidRPr="00611BFA">
        <w:rPr>
          <w:rFonts w:ascii="Book Antiqua" w:hAnsi="Book Antiqua"/>
        </w:rPr>
        <w:t xml:space="preserve">, Yang KH, Shim DW, Cho H, Park YC. Marginal impaction associated with posterior malleolar fracture in rotational ankle injury. </w:t>
      </w:r>
      <w:r w:rsidRPr="00611BFA">
        <w:rPr>
          <w:rFonts w:ascii="Book Antiqua" w:hAnsi="Book Antiqua"/>
          <w:i/>
          <w:iCs/>
        </w:rPr>
        <w:t>Injury</w:t>
      </w:r>
      <w:r w:rsidRPr="00611BFA">
        <w:rPr>
          <w:rFonts w:ascii="Book Antiqua" w:hAnsi="Book Antiqua"/>
        </w:rPr>
        <w:t xml:space="preserve"> 2022; </w:t>
      </w:r>
      <w:r w:rsidRPr="00611BFA">
        <w:rPr>
          <w:rFonts w:ascii="Book Antiqua" w:hAnsi="Book Antiqua"/>
          <w:b/>
          <w:bCs/>
        </w:rPr>
        <w:t>53</w:t>
      </w:r>
      <w:r w:rsidRPr="00611BFA">
        <w:rPr>
          <w:rFonts w:ascii="Book Antiqua" w:hAnsi="Book Antiqua"/>
        </w:rPr>
        <w:t>: 756-761 [PMID: 34924191 DOI: 10.1016/j.injury.2021.12.013]</w:t>
      </w:r>
    </w:p>
    <w:p w14:paraId="5A72CB94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24 </w:t>
      </w:r>
      <w:r w:rsidRPr="00611BFA">
        <w:rPr>
          <w:rFonts w:ascii="Book Antiqua" w:hAnsi="Book Antiqua"/>
          <w:b/>
          <w:bCs/>
        </w:rPr>
        <w:t>Kumar A</w:t>
      </w:r>
      <w:r w:rsidRPr="00611BFA">
        <w:rPr>
          <w:rFonts w:ascii="Book Antiqua" w:hAnsi="Book Antiqua"/>
        </w:rPr>
        <w:t xml:space="preserve">, Mishra P, Tandon A, Arora R, Chadha M. Effect of CT on Management Plan in Malleolar Ankle Fractures. </w:t>
      </w:r>
      <w:r w:rsidRPr="00611BFA">
        <w:rPr>
          <w:rFonts w:ascii="Book Antiqua" w:hAnsi="Book Antiqua"/>
          <w:i/>
          <w:iCs/>
        </w:rPr>
        <w:t>Foot Ankle Int</w:t>
      </w:r>
      <w:r w:rsidRPr="00611BFA">
        <w:rPr>
          <w:rFonts w:ascii="Book Antiqua" w:hAnsi="Book Antiqua"/>
        </w:rPr>
        <w:t xml:space="preserve"> 2018; </w:t>
      </w:r>
      <w:r w:rsidRPr="00611BFA">
        <w:rPr>
          <w:rFonts w:ascii="Book Antiqua" w:hAnsi="Book Antiqua"/>
          <w:b/>
          <w:bCs/>
        </w:rPr>
        <w:t>39</w:t>
      </w:r>
      <w:r w:rsidRPr="00611BFA">
        <w:rPr>
          <w:rFonts w:ascii="Book Antiqua" w:hAnsi="Book Antiqua"/>
        </w:rPr>
        <w:t>: 59-66 [PMID: 29232164 DOI: 10.1177/1071100717732746]</w:t>
      </w:r>
    </w:p>
    <w:p w14:paraId="00F8C4CF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25 </w:t>
      </w:r>
      <w:r w:rsidRPr="00611BFA">
        <w:rPr>
          <w:rFonts w:ascii="Book Antiqua" w:hAnsi="Book Antiqua"/>
          <w:b/>
          <w:bCs/>
        </w:rPr>
        <w:t>Bouche PA</w:t>
      </w:r>
      <w:r w:rsidRPr="00611BFA">
        <w:rPr>
          <w:rFonts w:ascii="Book Antiqua" w:hAnsi="Book Antiqua"/>
        </w:rPr>
        <w:t xml:space="preserve">, Gaujac N, Corsia S, Leclerc P, Anract P, Auberger G. Ankle CT scan allows better management of posterior malleolus fractures than X-rays. </w:t>
      </w:r>
      <w:r w:rsidRPr="00611BFA">
        <w:rPr>
          <w:rFonts w:ascii="Book Antiqua" w:hAnsi="Book Antiqua"/>
          <w:i/>
          <w:iCs/>
        </w:rPr>
        <w:t>Eur J Orthop Surg Traumatol</w:t>
      </w:r>
      <w:r w:rsidRPr="00611BFA">
        <w:rPr>
          <w:rFonts w:ascii="Book Antiqua" w:hAnsi="Book Antiqua"/>
        </w:rPr>
        <w:t xml:space="preserve"> 2022; </w:t>
      </w:r>
      <w:r w:rsidRPr="00611BFA">
        <w:rPr>
          <w:rFonts w:ascii="Book Antiqua" w:hAnsi="Book Antiqua"/>
          <w:b/>
          <w:bCs/>
        </w:rPr>
        <w:t>32</w:t>
      </w:r>
      <w:r w:rsidRPr="00611BFA">
        <w:rPr>
          <w:rFonts w:ascii="Book Antiqua" w:hAnsi="Book Antiqua"/>
        </w:rPr>
        <w:t>: 1301-1309 [PMID: 34468840 DOI: 10.1007/s00590-021-03104-y]</w:t>
      </w:r>
    </w:p>
    <w:p w14:paraId="62A2FD15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26 </w:t>
      </w:r>
      <w:r w:rsidRPr="00611BFA">
        <w:rPr>
          <w:rFonts w:ascii="Book Antiqua" w:hAnsi="Book Antiqua"/>
          <w:b/>
          <w:bCs/>
        </w:rPr>
        <w:t>Haraguchi N</w:t>
      </w:r>
      <w:r w:rsidRPr="00611BFA">
        <w:rPr>
          <w:rFonts w:ascii="Book Antiqua" w:hAnsi="Book Antiqua"/>
        </w:rPr>
        <w:t xml:space="preserve">, Haruyama H, Toga H, Kato F. Pathoanatomy of posterior malleolar fractures of the ankle. </w:t>
      </w:r>
      <w:r w:rsidRPr="00611BFA">
        <w:rPr>
          <w:rFonts w:ascii="Book Antiqua" w:hAnsi="Book Antiqua"/>
          <w:i/>
          <w:iCs/>
        </w:rPr>
        <w:t>J Bone Joint Surg Am</w:t>
      </w:r>
      <w:r w:rsidRPr="00611BFA">
        <w:rPr>
          <w:rFonts w:ascii="Book Antiqua" w:hAnsi="Book Antiqua"/>
        </w:rPr>
        <w:t xml:space="preserve"> 2006; </w:t>
      </w:r>
      <w:r w:rsidRPr="00611BFA">
        <w:rPr>
          <w:rFonts w:ascii="Book Antiqua" w:hAnsi="Book Antiqua"/>
          <w:b/>
          <w:bCs/>
        </w:rPr>
        <w:t>88</w:t>
      </w:r>
      <w:r w:rsidRPr="00611BFA">
        <w:rPr>
          <w:rFonts w:ascii="Book Antiqua" w:hAnsi="Book Antiqua"/>
        </w:rPr>
        <w:t>: 1085-1092 [PMID: 16651584 DOI: 10.2106/JBJS.E.00856]</w:t>
      </w:r>
    </w:p>
    <w:p w14:paraId="21D3FE33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lastRenderedPageBreak/>
        <w:t xml:space="preserve">27 </w:t>
      </w:r>
      <w:r w:rsidRPr="00611BFA">
        <w:rPr>
          <w:rFonts w:ascii="Book Antiqua" w:hAnsi="Book Antiqua"/>
          <w:b/>
          <w:bCs/>
        </w:rPr>
        <w:t>Bartoníček J</w:t>
      </w:r>
      <w:r w:rsidRPr="00611BFA">
        <w:rPr>
          <w:rFonts w:ascii="Book Antiqua" w:hAnsi="Book Antiqua"/>
        </w:rPr>
        <w:t xml:space="preserve">, Rammelt S, Kostlivý K, Vaněček V, Klika D, Trešl I. Anatomy and classification of the posterior tibial fragment in ankle fractures. </w:t>
      </w:r>
      <w:r w:rsidRPr="00611BFA">
        <w:rPr>
          <w:rFonts w:ascii="Book Antiqua" w:hAnsi="Book Antiqua"/>
          <w:i/>
          <w:iCs/>
        </w:rPr>
        <w:t>Arch Orthop Trauma Surg</w:t>
      </w:r>
      <w:r w:rsidRPr="00611BFA">
        <w:rPr>
          <w:rFonts w:ascii="Book Antiqua" w:hAnsi="Book Antiqua"/>
        </w:rPr>
        <w:t xml:space="preserve"> 2015; </w:t>
      </w:r>
      <w:r w:rsidRPr="00611BFA">
        <w:rPr>
          <w:rFonts w:ascii="Book Antiqua" w:hAnsi="Book Antiqua"/>
          <w:b/>
          <w:bCs/>
        </w:rPr>
        <w:t>135</w:t>
      </w:r>
      <w:r w:rsidRPr="00611BFA">
        <w:rPr>
          <w:rFonts w:ascii="Book Antiqua" w:hAnsi="Book Antiqua"/>
        </w:rPr>
        <w:t>: 505-516 [PMID: 25708027 DOI: 10.1007/s00402-015-2171-4]</w:t>
      </w:r>
    </w:p>
    <w:p w14:paraId="5CCBBB39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28 </w:t>
      </w:r>
      <w:r w:rsidRPr="00611BFA">
        <w:rPr>
          <w:rFonts w:ascii="Book Antiqua" w:hAnsi="Book Antiqua"/>
          <w:b/>
          <w:bCs/>
        </w:rPr>
        <w:t>Mason LW</w:t>
      </w:r>
      <w:r w:rsidRPr="00611BFA">
        <w:rPr>
          <w:rFonts w:ascii="Book Antiqua" w:hAnsi="Book Antiqua"/>
        </w:rPr>
        <w:t xml:space="preserve">, Kaye A, Widnall J, Redfern J, Molloy A. Posterior Malleolar Ankle Fractures: An Effort at Improving Outcomes. </w:t>
      </w:r>
      <w:r w:rsidRPr="00611BFA">
        <w:rPr>
          <w:rFonts w:ascii="Book Antiqua" w:hAnsi="Book Antiqua"/>
          <w:i/>
          <w:iCs/>
        </w:rPr>
        <w:t>JB JS Open Access</w:t>
      </w:r>
      <w:r w:rsidRPr="00611BFA">
        <w:rPr>
          <w:rFonts w:ascii="Book Antiqua" w:hAnsi="Book Antiqua"/>
        </w:rPr>
        <w:t xml:space="preserve"> 2019; </w:t>
      </w:r>
      <w:r w:rsidRPr="00611BFA">
        <w:rPr>
          <w:rFonts w:ascii="Book Antiqua" w:hAnsi="Book Antiqua"/>
          <w:b/>
          <w:bCs/>
        </w:rPr>
        <w:t>4</w:t>
      </w:r>
      <w:r w:rsidRPr="00611BFA">
        <w:rPr>
          <w:rFonts w:ascii="Book Antiqua" w:hAnsi="Book Antiqua"/>
        </w:rPr>
        <w:t>: e0058 [PMID: 31334465 DOI: 10.2106/JBJS.OA.18.00058]</w:t>
      </w:r>
    </w:p>
    <w:p w14:paraId="0EDA6B9A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29 </w:t>
      </w:r>
      <w:r w:rsidRPr="00611BFA">
        <w:rPr>
          <w:rFonts w:ascii="Book Antiqua" w:hAnsi="Book Antiqua"/>
          <w:b/>
          <w:bCs/>
        </w:rPr>
        <w:t>Sultan F</w:t>
      </w:r>
      <w:r w:rsidRPr="00611BFA">
        <w:rPr>
          <w:rFonts w:ascii="Book Antiqua" w:hAnsi="Book Antiqua"/>
        </w:rPr>
        <w:t xml:space="preserve">, Zheng X, Pan Z, Zheng Q, Li H, Wang J. Characteristics of intercalary fragment in posterior malleolus fractures. </w:t>
      </w:r>
      <w:r w:rsidRPr="00611BFA">
        <w:rPr>
          <w:rFonts w:ascii="Book Antiqua" w:hAnsi="Book Antiqua"/>
          <w:i/>
          <w:iCs/>
        </w:rPr>
        <w:t>Foot Ankle Surg</w:t>
      </w:r>
      <w:r w:rsidRPr="00611BFA">
        <w:rPr>
          <w:rFonts w:ascii="Book Antiqua" w:hAnsi="Book Antiqua"/>
        </w:rPr>
        <w:t xml:space="preserve"> 2020; </w:t>
      </w:r>
      <w:r w:rsidRPr="00611BFA">
        <w:rPr>
          <w:rFonts w:ascii="Book Antiqua" w:hAnsi="Book Antiqua"/>
          <w:b/>
          <w:bCs/>
        </w:rPr>
        <w:t>26</w:t>
      </w:r>
      <w:r w:rsidRPr="00611BFA">
        <w:rPr>
          <w:rFonts w:ascii="Book Antiqua" w:hAnsi="Book Antiqua"/>
        </w:rPr>
        <w:t>: 289-294 [PMID: 31027877 DOI: 10.1016/j.fas.2019.03.011]</w:t>
      </w:r>
    </w:p>
    <w:p w14:paraId="6C5EAA04" w14:textId="45F433C4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30 </w:t>
      </w:r>
      <w:r w:rsidR="000E746C" w:rsidRPr="00611BFA">
        <w:rPr>
          <w:rFonts w:ascii="Book Antiqua" w:hAnsi="Book Antiqua"/>
          <w:b/>
          <w:bCs/>
        </w:rPr>
        <w:t>Bartoníček J</w:t>
      </w:r>
      <w:r w:rsidR="000E746C" w:rsidRPr="00611BFA">
        <w:rPr>
          <w:rFonts w:ascii="Book Antiqua" w:hAnsi="Book Antiqua"/>
          <w:bCs/>
        </w:rPr>
        <w:t xml:space="preserve">, Rammelt S, Tuček M, Naňka O. Posterior malleolar fractures of the ankle. </w:t>
      </w:r>
      <w:r w:rsidR="000E746C" w:rsidRPr="00611BFA">
        <w:rPr>
          <w:rFonts w:ascii="Book Antiqua" w:hAnsi="Book Antiqua"/>
          <w:bCs/>
          <w:i/>
        </w:rPr>
        <w:t>Eur J Trauma Emerg Surg</w:t>
      </w:r>
      <w:r w:rsidR="000E746C" w:rsidRPr="00611BFA">
        <w:rPr>
          <w:rFonts w:ascii="Book Antiqua" w:hAnsi="Book Antiqua"/>
          <w:bCs/>
        </w:rPr>
        <w:t xml:space="preserve"> 2015;</w:t>
      </w:r>
      <w:r w:rsidR="000E746C" w:rsidRPr="00611BFA">
        <w:rPr>
          <w:rFonts w:ascii="Book Antiqua" w:hAnsi="Book Antiqua"/>
          <w:b/>
          <w:bCs/>
        </w:rPr>
        <w:t xml:space="preserve"> 41:</w:t>
      </w:r>
      <w:r w:rsidR="000E746C" w:rsidRPr="00611BFA">
        <w:rPr>
          <w:rFonts w:ascii="Book Antiqua" w:hAnsi="Book Antiqua"/>
          <w:bCs/>
        </w:rPr>
        <w:t xml:space="preserve"> 587-600 [PMID: 26253884 DOI: 10.1007/s00068-015-0560-6]</w:t>
      </w:r>
    </w:p>
    <w:p w14:paraId="06AD48B4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31 </w:t>
      </w:r>
      <w:r w:rsidRPr="00611BFA">
        <w:rPr>
          <w:rFonts w:ascii="Book Antiqua" w:hAnsi="Book Antiqua"/>
          <w:b/>
          <w:bCs/>
        </w:rPr>
        <w:t>White TO</w:t>
      </w:r>
      <w:r w:rsidRPr="00611BFA">
        <w:rPr>
          <w:rFonts w:ascii="Book Antiqua" w:hAnsi="Book Antiqua"/>
        </w:rPr>
        <w:t xml:space="preserve">. In defence of the posterior malleolus. </w:t>
      </w:r>
      <w:r w:rsidRPr="00611BFA">
        <w:rPr>
          <w:rFonts w:ascii="Book Antiqua" w:hAnsi="Book Antiqua"/>
          <w:i/>
          <w:iCs/>
        </w:rPr>
        <w:t>Bone Joint J</w:t>
      </w:r>
      <w:r w:rsidRPr="00611BFA">
        <w:rPr>
          <w:rFonts w:ascii="Book Antiqua" w:hAnsi="Book Antiqua"/>
        </w:rPr>
        <w:t xml:space="preserve"> 2018; </w:t>
      </w:r>
      <w:r w:rsidRPr="00611BFA">
        <w:rPr>
          <w:rFonts w:ascii="Book Antiqua" w:hAnsi="Book Antiqua"/>
          <w:b/>
          <w:bCs/>
        </w:rPr>
        <w:t>100-B</w:t>
      </w:r>
      <w:r w:rsidRPr="00611BFA">
        <w:rPr>
          <w:rFonts w:ascii="Book Antiqua" w:hAnsi="Book Antiqua"/>
        </w:rPr>
        <w:t>: 566-569 [PMID: 29701100 DOI: 10.1302/0301-620X.100B5.BJJ-2017-1440.R1]</w:t>
      </w:r>
    </w:p>
    <w:p w14:paraId="40CACE93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32 </w:t>
      </w:r>
      <w:r w:rsidRPr="00611BFA">
        <w:rPr>
          <w:rFonts w:ascii="Book Antiqua" w:hAnsi="Book Antiqua"/>
          <w:b/>
          <w:bCs/>
        </w:rPr>
        <w:t>Donohoe S</w:t>
      </w:r>
      <w:r w:rsidRPr="00611BFA">
        <w:rPr>
          <w:rFonts w:ascii="Book Antiqua" w:hAnsi="Book Antiqua"/>
        </w:rPr>
        <w:t xml:space="preserve">, Alluri RK, Hill JR, Fleming M, Tan E, Marecek G. Impact of Computed Tomography on Operative Planning for Ankle Fractures Involving the Posterior Malleolus. </w:t>
      </w:r>
      <w:r w:rsidRPr="00611BFA">
        <w:rPr>
          <w:rFonts w:ascii="Book Antiqua" w:hAnsi="Book Antiqua"/>
          <w:i/>
          <w:iCs/>
        </w:rPr>
        <w:t>Foot Ankle Int</w:t>
      </w:r>
      <w:r w:rsidRPr="00611BFA">
        <w:rPr>
          <w:rFonts w:ascii="Book Antiqua" w:hAnsi="Book Antiqua"/>
        </w:rPr>
        <w:t xml:space="preserve"> 2017; </w:t>
      </w:r>
      <w:r w:rsidRPr="00611BFA">
        <w:rPr>
          <w:rFonts w:ascii="Book Antiqua" w:hAnsi="Book Antiqua"/>
          <w:b/>
          <w:bCs/>
        </w:rPr>
        <w:t>38</w:t>
      </w:r>
      <w:r w:rsidRPr="00611BFA">
        <w:rPr>
          <w:rFonts w:ascii="Book Antiqua" w:hAnsi="Book Antiqua"/>
        </w:rPr>
        <w:t>: 1337-1342 [PMID: 28954524 DOI: 10.1177/1071100717731568]</w:t>
      </w:r>
    </w:p>
    <w:p w14:paraId="3F63A52F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33 </w:t>
      </w:r>
      <w:r w:rsidRPr="00611BFA">
        <w:rPr>
          <w:rFonts w:ascii="Book Antiqua" w:hAnsi="Book Antiqua"/>
          <w:b/>
          <w:bCs/>
        </w:rPr>
        <w:t>Zhang K</w:t>
      </w:r>
      <w:r w:rsidRPr="00611BFA">
        <w:rPr>
          <w:rFonts w:ascii="Book Antiqua" w:hAnsi="Book Antiqua"/>
        </w:rPr>
        <w:t xml:space="preserve">, Jia X, Qiang M, Chen S, Wang S, Wang D, Chen Y. Quantitative Evaluation of Articular Involvement of Posterior Malleolus Associated with Operative Indication: A Comparative Study of Six Methods Based on Radiography and CT. </w:t>
      </w:r>
      <w:r w:rsidRPr="00611BFA">
        <w:rPr>
          <w:rFonts w:ascii="Book Antiqua" w:hAnsi="Book Antiqua"/>
          <w:i/>
          <w:iCs/>
        </w:rPr>
        <w:t>Biomed Res Int</w:t>
      </w:r>
      <w:r w:rsidRPr="00611BFA">
        <w:rPr>
          <w:rFonts w:ascii="Book Antiqua" w:hAnsi="Book Antiqua"/>
        </w:rPr>
        <w:t xml:space="preserve"> 2020; </w:t>
      </w:r>
      <w:r w:rsidRPr="00611BFA">
        <w:rPr>
          <w:rFonts w:ascii="Book Antiqua" w:hAnsi="Book Antiqua"/>
          <w:b/>
          <w:bCs/>
        </w:rPr>
        <w:t>2020</w:t>
      </w:r>
      <w:r w:rsidRPr="00611BFA">
        <w:rPr>
          <w:rFonts w:ascii="Book Antiqua" w:hAnsi="Book Antiqua"/>
        </w:rPr>
        <w:t>: 6745626 [PMID: 31998795 DOI: 10.1155/2020/6745626]</w:t>
      </w:r>
    </w:p>
    <w:p w14:paraId="6CC4D65C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34 </w:t>
      </w:r>
      <w:r w:rsidRPr="00611BFA">
        <w:rPr>
          <w:rFonts w:ascii="Book Antiqua" w:hAnsi="Book Antiqua"/>
          <w:b/>
          <w:bCs/>
        </w:rPr>
        <w:t>Tejwani NC</w:t>
      </w:r>
      <w:r w:rsidRPr="00611BFA">
        <w:rPr>
          <w:rFonts w:ascii="Book Antiqua" w:hAnsi="Book Antiqua"/>
        </w:rPr>
        <w:t xml:space="preserve">, Pahk B, Egol KA. Effect of posterior malleolus fracture on outcome after unstable ankle fracture. </w:t>
      </w:r>
      <w:r w:rsidRPr="00611BFA">
        <w:rPr>
          <w:rFonts w:ascii="Book Antiqua" w:hAnsi="Book Antiqua"/>
          <w:i/>
          <w:iCs/>
        </w:rPr>
        <w:t>J Trauma</w:t>
      </w:r>
      <w:r w:rsidRPr="00611BFA">
        <w:rPr>
          <w:rFonts w:ascii="Book Antiqua" w:hAnsi="Book Antiqua"/>
        </w:rPr>
        <w:t xml:space="preserve"> 2010; </w:t>
      </w:r>
      <w:r w:rsidRPr="00611BFA">
        <w:rPr>
          <w:rFonts w:ascii="Book Antiqua" w:hAnsi="Book Antiqua"/>
          <w:b/>
          <w:bCs/>
        </w:rPr>
        <w:t>69</w:t>
      </w:r>
      <w:r w:rsidRPr="00611BFA">
        <w:rPr>
          <w:rFonts w:ascii="Book Antiqua" w:hAnsi="Book Antiqua"/>
        </w:rPr>
        <w:t>: 666-669 [PMID: 20838137 DOI: 10.1097/TA.0b013e3181e4f81e]</w:t>
      </w:r>
    </w:p>
    <w:p w14:paraId="566082E7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35 </w:t>
      </w:r>
      <w:r w:rsidRPr="00611BFA">
        <w:rPr>
          <w:rFonts w:ascii="Book Antiqua" w:hAnsi="Book Antiqua"/>
          <w:b/>
          <w:bCs/>
        </w:rPr>
        <w:t>Stringfellow TD</w:t>
      </w:r>
      <w:r w:rsidRPr="00611BFA">
        <w:rPr>
          <w:rFonts w:ascii="Book Antiqua" w:hAnsi="Book Antiqua"/>
        </w:rPr>
        <w:t xml:space="preserve">, Walters ST, Nash W, Ahluwalia R; Posterior Malleolus Study Group. Management of posterior malleolus fractures: A multicentre cohort study in the United Kingdom. </w:t>
      </w:r>
      <w:r w:rsidRPr="00611BFA">
        <w:rPr>
          <w:rFonts w:ascii="Book Antiqua" w:hAnsi="Book Antiqua"/>
          <w:i/>
          <w:iCs/>
        </w:rPr>
        <w:t>Foot Ankle Surg</w:t>
      </w:r>
      <w:r w:rsidRPr="00611BFA">
        <w:rPr>
          <w:rFonts w:ascii="Book Antiqua" w:hAnsi="Book Antiqua"/>
        </w:rPr>
        <w:t xml:space="preserve"> 2021; </w:t>
      </w:r>
      <w:r w:rsidRPr="00611BFA">
        <w:rPr>
          <w:rFonts w:ascii="Book Antiqua" w:hAnsi="Book Antiqua"/>
          <w:b/>
          <w:bCs/>
        </w:rPr>
        <w:t>27</w:t>
      </w:r>
      <w:r w:rsidRPr="00611BFA">
        <w:rPr>
          <w:rFonts w:ascii="Book Antiqua" w:hAnsi="Book Antiqua"/>
        </w:rPr>
        <w:t>: 629-635 [PMID: 32878722 DOI: 10.1016/j.fas.2020.08.003]</w:t>
      </w:r>
    </w:p>
    <w:p w14:paraId="4F8ABEF2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lastRenderedPageBreak/>
        <w:t xml:space="preserve">36 </w:t>
      </w:r>
      <w:r w:rsidRPr="00611BFA">
        <w:rPr>
          <w:rFonts w:ascii="Book Antiqua" w:hAnsi="Book Antiqua"/>
          <w:b/>
          <w:bCs/>
        </w:rPr>
        <w:t>Alluri RK</w:t>
      </w:r>
      <w:r w:rsidRPr="00611BFA">
        <w:rPr>
          <w:rFonts w:ascii="Book Antiqua" w:hAnsi="Book Antiqua"/>
        </w:rPr>
        <w:t xml:space="preserve">, Hill JR, Donohoe S, Fleming M, Tan E, Marecek G. Radiographic Detection of Marginal Impaction in Supination-Adduction Ankle Fractures. </w:t>
      </w:r>
      <w:r w:rsidRPr="00611BFA">
        <w:rPr>
          <w:rFonts w:ascii="Book Antiqua" w:hAnsi="Book Antiqua"/>
          <w:i/>
          <w:iCs/>
        </w:rPr>
        <w:t>Foot Ankle Int</w:t>
      </w:r>
      <w:r w:rsidRPr="00611BFA">
        <w:rPr>
          <w:rFonts w:ascii="Book Antiqua" w:hAnsi="Book Antiqua"/>
        </w:rPr>
        <w:t xml:space="preserve"> 2017; </w:t>
      </w:r>
      <w:r w:rsidRPr="00611BFA">
        <w:rPr>
          <w:rFonts w:ascii="Book Antiqua" w:hAnsi="Book Antiqua"/>
          <w:b/>
          <w:bCs/>
        </w:rPr>
        <w:t>38</w:t>
      </w:r>
      <w:r w:rsidRPr="00611BFA">
        <w:rPr>
          <w:rFonts w:ascii="Book Antiqua" w:hAnsi="Book Antiqua"/>
        </w:rPr>
        <w:t>: 1005-1010 [PMID: 28617051 DOI: 10.1177/1071100717709565]</w:t>
      </w:r>
    </w:p>
    <w:p w14:paraId="18CC1A64" w14:textId="77777777" w:rsidR="00BD7CCB" w:rsidRPr="00611BFA" w:rsidRDefault="00BD7CC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</w:rPr>
        <w:t xml:space="preserve">37 </w:t>
      </w:r>
      <w:r w:rsidRPr="00611BFA">
        <w:rPr>
          <w:rFonts w:ascii="Book Antiqua" w:hAnsi="Book Antiqua"/>
          <w:b/>
          <w:bCs/>
        </w:rPr>
        <w:t>Landis JR</w:t>
      </w:r>
      <w:r w:rsidRPr="00611BFA">
        <w:rPr>
          <w:rFonts w:ascii="Book Antiqua" w:hAnsi="Book Antiqua"/>
        </w:rPr>
        <w:t xml:space="preserve">, Koch GG. An application of hierarchical kappa-type statistics in the assessment of majority agreement among multiple observers. </w:t>
      </w:r>
      <w:r w:rsidRPr="00611BFA">
        <w:rPr>
          <w:rFonts w:ascii="Book Antiqua" w:hAnsi="Book Antiqua"/>
          <w:i/>
          <w:iCs/>
        </w:rPr>
        <w:t>Biometrics</w:t>
      </w:r>
      <w:r w:rsidRPr="00611BFA">
        <w:rPr>
          <w:rFonts w:ascii="Book Antiqua" w:hAnsi="Book Antiqua"/>
        </w:rPr>
        <w:t xml:space="preserve"> 1977; </w:t>
      </w:r>
      <w:r w:rsidRPr="00611BFA">
        <w:rPr>
          <w:rFonts w:ascii="Book Antiqua" w:hAnsi="Book Antiqua"/>
          <w:b/>
          <w:bCs/>
        </w:rPr>
        <w:t>33</w:t>
      </w:r>
      <w:r w:rsidRPr="00611BFA">
        <w:rPr>
          <w:rFonts w:ascii="Book Antiqua" w:hAnsi="Book Antiqua"/>
        </w:rPr>
        <w:t>: 363-374 [PMID: 884196 DOI: 10.2307/2529786]</w:t>
      </w:r>
    </w:p>
    <w:p w14:paraId="78B20D35" w14:textId="35AEB512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74E2BEE8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Footnotes</w:t>
      </w:r>
    </w:p>
    <w:p w14:paraId="39C2C8E9" w14:textId="00663AD4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Institutional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review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board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statement: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Pr="005A2358">
        <w:rPr>
          <w:rFonts w:ascii="Book Antiqua" w:eastAsia="Book Antiqua" w:hAnsi="Book Antiqua" w:cs="Book Antiqua"/>
          <w:b/>
          <w:bCs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This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study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protocol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reviewed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approved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Bioethics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Committee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authors’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institution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(5.117.984)</w:t>
      </w:r>
      <w:r w:rsidR="002A4B17" w:rsidRPr="00611BFA">
        <w:rPr>
          <w:rFonts w:ascii="Book Antiqua" w:eastAsia="Book Antiqua" w:hAnsi="Book Antiqua" w:cs="Book Antiqua"/>
          <w:color w:val="000000"/>
        </w:rPr>
        <w:t>.</w:t>
      </w:r>
    </w:p>
    <w:p w14:paraId="00A26B97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12159CE2" w14:textId="77777777" w:rsidR="004A1BAF" w:rsidRPr="00611BFA" w:rsidRDefault="004A1BAF" w:rsidP="00611BF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611BFA">
        <w:rPr>
          <w:rFonts w:ascii="Book Antiqua" w:hAnsi="Book Antiqua"/>
          <w:b/>
          <w:color w:val="000000"/>
        </w:rPr>
        <w:t>Informed consent statement</w:t>
      </w:r>
      <w:r w:rsidRPr="00611BFA">
        <w:rPr>
          <w:rFonts w:ascii="Book Antiqua" w:hAnsi="Book Antiqua"/>
          <w:b/>
          <w:bCs/>
          <w:iCs/>
          <w:color w:val="000000"/>
        </w:rPr>
        <w:t xml:space="preserve">: </w:t>
      </w:r>
      <w:r w:rsidRPr="00611BFA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40E625AB" w14:textId="77777777" w:rsidR="004A1BAF" w:rsidRPr="00611BFA" w:rsidRDefault="004A1BAF" w:rsidP="00611BFA">
      <w:pPr>
        <w:spacing w:line="360" w:lineRule="auto"/>
        <w:jc w:val="both"/>
        <w:rPr>
          <w:rFonts w:ascii="Book Antiqua" w:hAnsi="Book Antiqua"/>
        </w:rPr>
      </w:pPr>
    </w:p>
    <w:p w14:paraId="72062445" w14:textId="7BDD22CA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Conflict-of-interest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statement: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="007A45B9" w:rsidRPr="00611BFA">
        <w:rPr>
          <w:rFonts w:ascii="Book Antiqua" w:eastAsia="Book Antiqua" w:hAnsi="Book Antiqua" w:cs="Book Antiqua"/>
          <w:bCs/>
        </w:rPr>
        <w:t xml:space="preserve">All </w:t>
      </w:r>
      <w:r w:rsidR="007A45B9" w:rsidRPr="00611BFA">
        <w:rPr>
          <w:rFonts w:ascii="Book Antiqua" w:eastAsia="Book Antiqua" w:hAnsi="Book Antiqua" w:cs="Book Antiqua"/>
          <w:color w:val="000000"/>
        </w:rPr>
        <w:t>t</w:t>
      </w:r>
      <w:r w:rsidRPr="00611BFA">
        <w:rPr>
          <w:rFonts w:ascii="Book Antiqua" w:eastAsia="Book Antiqua" w:hAnsi="Book Antiqua" w:cs="Book Antiqua"/>
          <w:color w:val="000000"/>
        </w:rPr>
        <w:t>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authors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declare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no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competing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interests.</w:t>
      </w:r>
    </w:p>
    <w:p w14:paraId="70AA4F8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50BA8334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Data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sharing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</w:rPr>
        <w:t>statement: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82B8A"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C82B8A"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82B8A"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82B8A"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1E483789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08C257D3" w14:textId="3AD0BCC3" w:rsidR="00A77B3E" w:rsidRPr="00611BFA" w:rsidRDefault="007519E2" w:rsidP="00611BFA">
      <w:pPr>
        <w:spacing w:line="360" w:lineRule="auto"/>
        <w:jc w:val="both"/>
        <w:rPr>
          <w:rFonts w:ascii="Book Antiqua" w:hAnsi="Book Antiqua" w:cs="Garamond-Bold"/>
          <w:bCs/>
          <w:color w:val="000000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611BFA">
        <w:rPr>
          <w:rFonts w:ascii="Book Antiqua" w:hAnsi="Book Antiqua"/>
          <w:b/>
          <w:color w:val="000000"/>
        </w:rPr>
        <w:t xml:space="preserve">STROBE statement: </w:t>
      </w:r>
      <w:r w:rsidRPr="00611BFA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0"/>
      <w:bookmarkEnd w:id="1"/>
      <w:bookmarkEnd w:id="2"/>
      <w:bookmarkEnd w:id="3"/>
    </w:p>
    <w:p w14:paraId="74E668F1" w14:textId="77777777" w:rsidR="007519E2" w:rsidRPr="00611BFA" w:rsidRDefault="007519E2" w:rsidP="00611BFA">
      <w:pPr>
        <w:spacing w:line="360" w:lineRule="auto"/>
        <w:jc w:val="both"/>
        <w:rPr>
          <w:rFonts w:ascii="Book Antiqua" w:hAnsi="Book Antiqua"/>
        </w:rPr>
      </w:pPr>
    </w:p>
    <w:p w14:paraId="22AFF2E6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</w:rPr>
        <w:t>Open-Access:</w:t>
      </w:r>
      <w:r w:rsidR="00C82B8A" w:rsidRPr="00611BFA">
        <w:rPr>
          <w:rFonts w:ascii="Book Antiqua" w:eastAsia="Book Antiqua" w:hAnsi="Book Antiqua" w:cs="Book Antiqua"/>
          <w:b/>
          <w:bCs/>
        </w:rPr>
        <w:t xml:space="preserve"> </w:t>
      </w:r>
      <w:r w:rsidRPr="00611BFA">
        <w:rPr>
          <w:rFonts w:ascii="Book Antiqua" w:eastAsia="Book Antiqua" w:hAnsi="Book Antiqua" w:cs="Book Antiqua"/>
        </w:rPr>
        <w:t>This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article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open-access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article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that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was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selected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in-house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editor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and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fully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peer-reviewed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external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reviewers.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distributed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accordance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with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Creative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Commons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Attribution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NonCommercial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(CC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BY-NC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4.0)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license,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which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permits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others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to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distribute,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remix,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adapt,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build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upon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work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non-commercially,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and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license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their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derivative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works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on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different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terms,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provided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original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work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properly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cited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and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the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use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is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non-commercial.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See: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https://creativecommons.org/Licenses/by-nc/4.0/</w:t>
      </w:r>
    </w:p>
    <w:p w14:paraId="530632B4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2FD3F25E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Provenance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peer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review: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Unsolicited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article;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Externally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peer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reviewed.</w:t>
      </w:r>
    </w:p>
    <w:p w14:paraId="7105C4DB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Peer-review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model: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Single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blind</w:t>
      </w:r>
    </w:p>
    <w:p w14:paraId="055DF50E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008ED85B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Peer-review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started: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July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12,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2023</w:t>
      </w:r>
    </w:p>
    <w:p w14:paraId="030ECC5E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First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decision: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August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31,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2023</w:t>
      </w:r>
    </w:p>
    <w:p w14:paraId="69C2D331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Article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press: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2CE81B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3FD15B94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Specialty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type: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Orthopedics</w:t>
      </w:r>
    </w:p>
    <w:p w14:paraId="5DB31BB3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Country/Territory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origin: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Brazil</w:t>
      </w:r>
    </w:p>
    <w:p w14:paraId="3B3A8130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Peer-review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report’s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scientific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quality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7ADC23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</w:rPr>
        <w:t>Grade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(Excellent):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0</w:t>
      </w:r>
    </w:p>
    <w:p w14:paraId="5A5C126A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</w:rPr>
        <w:t>Grade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(Very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good):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B</w:t>
      </w:r>
    </w:p>
    <w:p w14:paraId="193B5556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</w:rPr>
        <w:t>Grade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C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(Good):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0</w:t>
      </w:r>
    </w:p>
    <w:p w14:paraId="14457C24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</w:rPr>
        <w:t>Grade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D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(Fair):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0</w:t>
      </w:r>
    </w:p>
    <w:p w14:paraId="48B837E3" w14:textId="7777777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</w:rPr>
        <w:t>Grade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E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(Poor):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0</w:t>
      </w:r>
    </w:p>
    <w:p w14:paraId="5E44CBE4" w14:textId="77777777" w:rsidR="00A77B3E" w:rsidRPr="00611BFA" w:rsidRDefault="00A77B3E" w:rsidP="00611BFA">
      <w:pPr>
        <w:spacing w:line="360" w:lineRule="auto"/>
        <w:jc w:val="both"/>
        <w:rPr>
          <w:rFonts w:ascii="Book Antiqua" w:hAnsi="Book Antiqua"/>
        </w:rPr>
      </w:pPr>
    </w:p>
    <w:p w14:paraId="04143945" w14:textId="77777777" w:rsidR="001B3781" w:rsidRDefault="00F8520C" w:rsidP="00611BF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P-Reviewer: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</w:rPr>
        <w:t>Ankrah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AO,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Netherlands;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Khalifa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AA,</w:t>
      </w:r>
      <w:r w:rsidR="00C82B8A" w:rsidRPr="00611BFA">
        <w:rPr>
          <w:rFonts w:ascii="Book Antiqua" w:eastAsia="Book Antiqua" w:hAnsi="Book Antiqua" w:cs="Book Antiqua"/>
        </w:rPr>
        <w:t xml:space="preserve"> </w:t>
      </w:r>
      <w:r w:rsidRPr="00611BFA">
        <w:rPr>
          <w:rFonts w:ascii="Book Antiqua" w:eastAsia="Book Antiqua" w:hAnsi="Book Antiqua" w:cs="Book Antiqua"/>
        </w:rPr>
        <w:t>Egypt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S-Editor: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34DA" w:rsidRPr="00611BFA">
        <w:rPr>
          <w:rFonts w:ascii="Book Antiqua" w:eastAsia="Book Antiqua" w:hAnsi="Book Antiqua" w:cs="Book Antiqua"/>
          <w:color w:val="000000"/>
        </w:rPr>
        <w:t>Liu JH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L-Editor: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7C4F" w:rsidRPr="00611BFA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611BFA">
        <w:rPr>
          <w:rFonts w:ascii="Book Antiqua" w:eastAsia="Book Antiqua" w:hAnsi="Book Antiqua" w:cs="Book Antiqua"/>
          <w:b/>
          <w:color w:val="000000"/>
        </w:rPr>
        <w:t>P-Editor: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958AC8" w14:textId="77777777" w:rsidR="001B3781" w:rsidRDefault="001B3781" w:rsidP="00611BF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A47B6B0" w14:textId="16E5D127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Legends</w:t>
      </w:r>
    </w:p>
    <w:p w14:paraId="6BE33868" w14:textId="3B50D2D2" w:rsidR="00CF5F94" w:rsidRPr="00611BFA" w:rsidRDefault="00CA4F43" w:rsidP="00611B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11BFA">
        <w:rPr>
          <w:rFonts w:ascii="Book Antiqua" w:hAnsi="Book Antiqua"/>
          <w:noProof/>
          <w:lang w:val="pt-BR" w:eastAsia="pt-BR"/>
        </w:rPr>
        <w:lastRenderedPageBreak/>
        <w:drawing>
          <wp:inline distT="0" distB="0" distL="0" distR="0" wp14:anchorId="26B4923D" wp14:editId="466DA99A">
            <wp:extent cx="2575560" cy="452769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668" cy="45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55D3" w14:textId="07051746" w:rsidR="00A77B3E" w:rsidRPr="00611BFA" w:rsidRDefault="00F8520C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1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Measurement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profile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image.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proportion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1B3781">
        <w:rPr>
          <w:rFonts w:ascii="Book Antiqua" w:eastAsia="Book Antiqua" w:hAnsi="Book Antiqua" w:cs="Book Antiqua"/>
          <w:color w:val="000000"/>
        </w:rPr>
        <w:t xml:space="preserve">, </w:t>
      </w:r>
      <w:r w:rsidRPr="00611BFA">
        <w:rPr>
          <w:rFonts w:ascii="Book Antiqua" w:eastAsia="Book Antiqua" w:hAnsi="Book Antiqua" w:cs="Book Antiqua"/>
          <w:i/>
          <w:color w:val="000000"/>
        </w:rPr>
        <w:t>i.e.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a/(a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+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ratio</w:t>
      </w:r>
      <w:r w:rsidR="001B3781">
        <w:rPr>
          <w:rFonts w:ascii="Book Antiqua" w:eastAsia="Book Antiqua" w:hAnsi="Book Antiqua" w:cs="Book Antiqua"/>
          <w:color w:val="000000"/>
        </w:rPr>
        <w:t xml:space="preserve">,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evaluated</w:t>
      </w:r>
      <w:r w:rsidR="001B3781">
        <w:rPr>
          <w:rFonts w:ascii="Book Antiqua" w:eastAsia="Book Antiqua" w:hAnsi="Book Antiqua" w:cs="Book Antiqua"/>
          <w:color w:val="000000"/>
        </w:rPr>
        <w:t>.</w:t>
      </w:r>
    </w:p>
    <w:p w14:paraId="25DA3D2E" w14:textId="2A9FF4AE" w:rsidR="00CF042F" w:rsidRPr="00611BFA" w:rsidRDefault="006F7AC6" w:rsidP="00611B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11BFA">
        <w:rPr>
          <w:rFonts w:ascii="Book Antiqua" w:hAnsi="Book Antiqua"/>
          <w:noProof/>
          <w:lang w:val="pt-BR" w:eastAsia="pt-BR"/>
        </w:rPr>
        <w:lastRenderedPageBreak/>
        <w:drawing>
          <wp:inline distT="0" distB="0" distL="0" distR="0" wp14:anchorId="557A81FD" wp14:editId="67AF1CFA">
            <wp:extent cx="3742606" cy="453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114" cy="45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8254" w14:textId="0198486E" w:rsidR="00A77B3E" w:rsidRPr="00611BFA" w:rsidRDefault="00F8520C" w:rsidP="00611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2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Measurement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fragment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tomography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slice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R.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Similarly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what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222CAE">
        <w:rPr>
          <w:rFonts w:ascii="Book Antiqua" w:eastAsia="Book Antiqua" w:hAnsi="Book Antiqua" w:cs="Book Antiqua"/>
          <w:color w:val="000000"/>
        </w:rPr>
        <w:t>completed</w:t>
      </w:r>
      <w:r w:rsidR="00222CAE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proportion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/>
          <w:color w:val="000000"/>
        </w:rPr>
        <w:t>i.e.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a/(a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+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ratio,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evaluated</w:t>
      </w:r>
      <w:r w:rsidR="00A62F7F" w:rsidRPr="00611BFA">
        <w:rPr>
          <w:rFonts w:ascii="Book Antiqua" w:eastAsia="Book Antiqua" w:hAnsi="Book Antiqua" w:cs="Book Antiqua"/>
          <w:color w:val="000000"/>
        </w:rPr>
        <w:t>.</w:t>
      </w:r>
    </w:p>
    <w:p w14:paraId="318A163C" w14:textId="00DC21FB" w:rsidR="00A62F7F" w:rsidRPr="00611BFA" w:rsidRDefault="00CE57C1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  <w:noProof/>
          <w:lang w:val="pt-BR" w:eastAsia="pt-BR"/>
        </w:rPr>
        <w:lastRenderedPageBreak/>
        <w:drawing>
          <wp:inline distT="0" distB="0" distL="0" distR="0" wp14:anchorId="77B5BBF7" wp14:editId="2E2D2A8E">
            <wp:extent cx="5829300" cy="3297895"/>
            <wp:effectExtent l="0" t="0" r="0" b="0"/>
            <wp:docPr id="2" name="Picture 2" descr="SSD:Users:noedemarchi:Desktop:86777 figures: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noedemarchi:Desktop:86777 figures:Sli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4" t="20053" r="10349" b="19584"/>
                    <a:stretch/>
                  </pic:blipFill>
                  <pic:spPr bwMode="auto">
                    <a:xfrm>
                      <a:off x="0" y="0"/>
                      <a:ext cx="5831782" cy="32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1A1F7" w14:textId="7AB3DECD" w:rsidR="00A77B3E" w:rsidRPr="00611BFA" w:rsidRDefault="00F8520C" w:rsidP="00611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3</w:t>
      </w:r>
      <w:r w:rsidR="000C2675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4A6A">
        <w:rPr>
          <w:rFonts w:ascii="Book Antiqua" w:hAnsi="Book Antiqua"/>
          <w:b/>
        </w:rPr>
        <w:t>A</w:t>
      </w:r>
      <w:r w:rsidR="00D563C5" w:rsidRPr="00611BFA">
        <w:rPr>
          <w:rFonts w:ascii="Book Antiqua" w:hAnsi="Book Antiqua"/>
          <w:b/>
        </w:rPr>
        <w:t xml:space="preserve">xial </w:t>
      </w:r>
      <w:r w:rsidR="00F4570E" w:rsidRPr="00611BFA">
        <w:rPr>
          <w:rFonts w:ascii="Book Antiqua" w:hAnsi="Book Antiqua"/>
          <w:b/>
        </w:rPr>
        <w:t>computed tomography</w:t>
      </w:r>
      <w:r w:rsidR="00C67331" w:rsidRPr="00611BFA">
        <w:rPr>
          <w:rFonts w:ascii="Book Antiqua" w:hAnsi="Book Antiqua"/>
          <w:b/>
        </w:rPr>
        <w:t xml:space="preserve"> </w:t>
      </w:r>
      <w:r w:rsidR="00D563C5" w:rsidRPr="00611BFA">
        <w:rPr>
          <w:rFonts w:ascii="Book Antiqua" w:hAnsi="Book Antiqua"/>
          <w:b/>
        </w:rPr>
        <w:t>scan posterior malleolus</w:t>
      </w:r>
      <w:r w:rsidR="00C67331" w:rsidRPr="00611BFA">
        <w:rPr>
          <w:rFonts w:ascii="Book Antiqua" w:hAnsi="Book Antiqua"/>
          <w:b/>
        </w:rPr>
        <w:t xml:space="preserve"> me</w:t>
      </w:r>
      <w:r w:rsidR="00222CAE">
        <w:rPr>
          <w:rFonts w:ascii="Book Antiqua" w:hAnsi="Book Antiqua"/>
          <w:b/>
        </w:rPr>
        <w:t>a</w:t>
      </w:r>
      <w:r w:rsidR="00C67331" w:rsidRPr="00611BFA">
        <w:rPr>
          <w:rFonts w:ascii="Book Antiqua" w:hAnsi="Book Antiqua"/>
          <w:b/>
        </w:rPr>
        <w:t>sure</w:t>
      </w:r>
      <w:r w:rsidR="00F4570E" w:rsidRPr="00611BFA">
        <w:rPr>
          <w:rFonts w:ascii="Book Antiqua" w:hAnsi="Book Antiqua"/>
          <w:b/>
        </w:rPr>
        <w:t>.</w:t>
      </w:r>
      <w:r w:rsidR="00C67331" w:rsidRPr="00611BFA" w:rsidDel="00C673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E679C8"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sagittal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222CAE">
        <w:rPr>
          <w:rFonts w:ascii="Book Antiqua" w:eastAsia="Book Antiqua" w:hAnsi="Book Antiqua" w:cs="Book Antiqua"/>
          <w:color w:val="000000"/>
        </w:rPr>
        <w:t>plane</w:t>
      </w:r>
      <w:r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E679C8"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679C8" w:rsidRPr="00611BFA">
        <w:rPr>
          <w:rFonts w:ascii="Book Antiqua" w:eastAsia="Book Antiqua" w:hAnsi="Book Antiqua" w:cs="Book Antiqua"/>
          <w:color w:val="000000"/>
        </w:rPr>
        <w:t xml:space="preserve">The </w:t>
      </w:r>
      <w:r w:rsidRPr="00611BFA">
        <w:rPr>
          <w:rFonts w:ascii="Book Antiqua" w:eastAsia="Book Antiqua" w:hAnsi="Book Antiqua" w:cs="Book Antiqua"/>
          <w:color w:val="000000"/>
        </w:rPr>
        <w:t>corresponding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slice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selected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5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mm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above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highest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point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</w:t>
      </w:r>
      <w:r w:rsidR="007B471A"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articular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D</w:t>
      </w:r>
      <w:r w:rsidR="004E2EBB"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corresponding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</w:t>
      </w:r>
      <w:r w:rsidR="00293FA5">
        <w:rPr>
          <w:rFonts w:ascii="Book Antiqua" w:eastAsia="Book Antiqua" w:hAnsi="Book Antiqua" w:cs="Book Antiqua"/>
          <w:color w:val="000000"/>
        </w:rPr>
        <w:t>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</w:t>
      </w:r>
      <w:r w:rsidR="00AB7EED" w:rsidRPr="00611BFA">
        <w:rPr>
          <w:rFonts w:ascii="Book Antiqua" w:eastAsia="Book Antiqua" w:hAnsi="Book Antiqua" w:cs="Book Antiqua"/>
          <w:color w:val="000000"/>
        </w:rPr>
        <w:t>asured</w:t>
      </w:r>
      <w:r w:rsidRPr="00611BFA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E</w:t>
      </w:r>
      <w:r w:rsidR="003735CA"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Thus,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x/(x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+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y)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ratio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used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obtain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percentage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surface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(</w:t>
      </w:r>
      <w:r w:rsidR="00222CAE">
        <w:rPr>
          <w:rFonts w:ascii="Book Antiqua" w:eastAsia="Book Antiqua" w:hAnsi="Book Antiqua" w:cs="Book Antiqua"/>
          <w:color w:val="000000"/>
        </w:rPr>
        <w:t>axial</w:t>
      </w:r>
      <w:r w:rsidR="00293FA5">
        <w:rPr>
          <w:rFonts w:ascii="Book Antiqua" w:eastAsia="Book Antiqua" w:hAnsi="Book Antiqua" w:cs="Book Antiqua"/>
          <w:color w:val="000000"/>
        </w:rPr>
        <w:t xml:space="preserve"> view</w:t>
      </w:r>
      <w:r w:rsidRPr="00611BFA">
        <w:rPr>
          <w:rFonts w:ascii="Book Antiqua" w:eastAsia="Book Antiqua" w:hAnsi="Book Antiqua" w:cs="Book Antiqua"/>
          <w:color w:val="000000"/>
        </w:rPr>
        <w:t>)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involved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293FA5">
        <w:rPr>
          <w:rFonts w:ascii="Book Antiqua" w:eastAsia="Book Antiqua" w:hAnsi="Book Antiqua" w:cs="Book Antiqua"/>
          <w:color w:val="000000"/>
        </w:rPr>
        <w:t>posterior malleolus</w:t>
      </w:r>
      <w:r w:rsidRPr="00611BFA">
        <w:rPr>
          <w:rFonts w:ascii="Book Antiqua" w:eastAsia="Book Antiqua" w:hAnsi="Book Antiqua" w:cs="Book Antiqua"/>
          <w:color w:val="000000"/>
        </w:rPr>
        <w:t>.</w:t>
      </w:r>
    </w:p>
    <w:p w14:paraId="3967ACDE" w14:textId="77777777" w:rsidR="002604C8" w:rsidRPr="00611BFA" w:rsidRDefault="002604C8" w:rsidP="00611BF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32802CA" w14:textId="1FFC4471" w:rsidR="00F57D9E" w:rsidRPr="00611BFA" w:rsidRDefault="00BD3DE8" w:rsidP="00611B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11BFA">
        <w:rPr>
          <w:rFonts w:ascii="Book Antiqua" w:hAnsi="Book Antiqua"/>
          <w:noProof/>
          <w:lang w:val="pt-BR" w:eastAsia="pt-BR"/>
        </w:rPr>
        <w:lastRenderedPageBreak/>
        <w:drawing>
          <wp:inline distT="0" distB="0" distL="0" distR="0" wp14:anchorId="41C4CC57" wp14:editId="6DBB1369">
            <wp:extent cx="4858672" cy="511925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6657" cy="512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ADD9" w14:textId="6B731B07" w:rsidR="006D49B6" w:rsidRPr="00611BFA" w:rsidRDefault="00F8520C" w:rsidP="006D49B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4</w:t>
      </w:r>
      <w:r w:rsidR="000201D0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6FDF" w:rsidRPr="00611BFA">
        <w:rPr>
          <w:rFonts w:ascii="Book Antiqua" w:eastAsia="Book Antiqua" w:hAnsi="Book Antiqua" w:cs="Book Antiqua"/>
          <w:b/>
        </w:rPr>
        <w:t xml:space="preserve">Comparative size of </w:t>
      </w:r>
      <w:r w:rsidR="000201D0" w:rsidRPr="00611BFA">
        <w:rPr>
          <w:rFonts w:ascii="Book Antiqua" w:eastAsia="Book Antiqua" w:hAnsi="Book Antiqua" w:cs="Book Antiqua"/>
          <w:b/>
        </w:rPr>
        <w:t>posterior malleolus</w:t>
      </w:r>
      <w:r w:rsidR="004C6FDF" w:rsidRPr="00611BFA">
        <w:rPr>
          <w:rFonts w:ascii="Book Antiqua" w:eastAsia="Book Antiqua" w:hAnsi="Book Antiqua" w:cs="Book Antiqua"/>
          <w:b/>
        </w:rPr>
        <w:t xml:space="preserve"> on X-rays and </w:t>
      </w:r>
      <w:r w:rsidR="000201D0" w:rsidRPr="00611BFA">
        <w:rPr>
          <w:rFonts w:ascii="Book Antiqua" w:eastAsia="Book Antiqua" w:hAnsi="Book Antiqua" w:cs="Book Antiqua"/>
          <w:b/>
        </w:rPr>
        <w:t>axial</w:t>
      </w:r>
      <w:r w:rsidR="004C6FDF" w:rsidRPr="00611BFA">
        <w:rPr>
          <w:rFonts w:ascii="Book Antiqua" w:eastAsia="Book Antiqua" w:hAnsi="Book Antiqua" w:cs="Book Antiqua"/>
          <w:b/>
        </w:rPr>
        <w:t xml:space="preserve"> </w:t>
      </w:r>
      <w:r w:rsidR="000201D0" w:rsidRPr="00611BFA">
        <w:rPr>
          <w:rFonts w:ascii="Book Antiqua" w:eastAsia="Book Antiqua" w:hAnsi="Book Antiqua" w:cs="Book Antiqua"/>
          <w:b/>
        </w:rPr>
        <w:t>computed tomography</w:t>
      </w:r>
      <w:r w:rsidR="004C6FDF" w:rsidRPr="00611BFA">
        <w:rPr>
          <w:rFonts w:ascii="Book Antiqua" w:eastAsia="Book Antiqua" w:hAnsi="Book Antiqua" w:cs="Book Antiqua"/>
          <w:b/>
        </w:rPr>
        <w:t xml:space="preserve"> </w:t>
      </w:r>
      <w:r w:rsidR="000201D0" w:rsidRPr="00611BFA">
        <w:rPr>
          <w:rFonts w:ascii="Book Antiqua" w:eastAsia="Book Antiqua" w:hAnsi="Book Antiqua" w:cs="Book Antiqua"/>
          <w:b/>
        </w:rPr>
        <w:t>s</w:t>
      </w:r>
      <w:r w:rsidR="004C6FDF" w:rsidRPr="00611BFA">
        <w:rPr>
          <w:rFonts w:ascii="Book Antiqua" w:eastAsia="Book Antiqua" w:hAnsi="Book Antiqua" w:cs="Book Antiqua"/>
          <w:b/>
        </w:rPr>
        <w:t xml:space="preserve">can according to </w:t>
      </w:r>
      <w:r w:rsidR="0090769C">
        <w:rPr>
          <w:rFonts w:ascii="Book Antiqua" w:eastAsia="Book Antiqua" w:hAnsi="Book Antiqua" w:cs="Book Antiqua"/>
          <w:b/>
        </w:rPr>
        <w:t xml:space="preserve">the </w:t>
      </w:r>
      <w:r w:rsidR="004C6FDF" w:rsidRPr="00611BFA">
        <w:rPr>
          <w:rFonts w:ascii="Book Antiqua" w:eastAsia="Book Antiqua" w:hAnsi="Book Antiqua" w:cs="Book Antiqua"/>
          <w:b/>
        </w:rPr>
        <w:t xml:space="preserve">Haraguchi </w:t>
      </w:r>
      <w:r w:rsidR="000201D0" w:rsidRPr="00611BFA">
        <w:rPr>
          <w:rFonts w:ascii="Book Antiqua" w:eastAsia="Book Antiqua" w:hAnsi="Book Antiqua" w:cs="Book Antiqua"/>
          <w:b/>
        </w:rPr>
        <w:t>c</w:t>
      </w:r>
      <w:r w:rsidR="004C6FDF" w:rsidRPr="00611BFA">
        <w:rPr>
          <w:rFonts w:ascii="Book Antiqua" w:eastAsia="Book Antiqua" w:hAnsi="Book Antiqua" w:cs="Book Antiqua"/>
          <w:b/>
        </w:rPr>
        <w:t>lassification</w:t>
      </w:r>
      <w:r w:rsidR="00CC4A6A">
        <w:rPr>
          <w:rFonts w:ascii="Book Antiqua" w:eastAsia="Book Antiqua" w:hAnsi="Book Antiqua" w:cs="Book Antiqua"/>
          <w:b/>
        </w:rPr>
        <w:t>.</w:t>
      </w:r>
      <w:r w:rsidR="00662F70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90769C">
        <w:rPr>
          <w:rFonts w:ascii="Book Antiqua" w:eastAsia="Book Antiqua" w:hAnsi="Book Antiqua" w:cs="Book Antiqua"/>
          <w:color w:val="000000"/>
        </w:rPr>
        <w:t>T</w:t>
      </w:r>
      <w:r w:rsidRPr="00611BFA">
        <w:rPr>
          <w:rFonts w:ascii="Book Antiqua" w:eastAsia="Book Antiqua" w:hAnsi="Book Antiqua" w:cs="Book Antiqua"/>
          <w:color w:val="000000"/>
        </w:rPr>
        <w:t>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percent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profile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X-ray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CD1037" w:rsidRPr="00611BFA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90769C">
        <w:rPr>
          <w:rFonts w:ascii="Book Antiqua" w:eastAsia="Book Antiqua" w:hAnsi="Book Antiqua" w:cs="Book Antiqua"/>
          <w:color w:val="000000"/>
        </w:rPr>
        <w:t>T</w:t>
      </w:r>
      <w:r w:rsidRPr="00611BFA">
        <w:rPr>
          <w:rFonts w:ascii="Book Antiqua" w:eastAsia="Book Antiqua" w:hAnsi="Book Antiqua" w:cs="Book Antiqua"/>
          <w:color w:val="000000"/>
        </w:rPr>
        <w:t>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percent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size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90769C">
        <w:rPr>
          <w:rFonts w:ascii="Book Antiqua" w:eastAsia="Book Antiqua" w:hAnsi="Book Antiqua" w:cs="Book Antiqua"/>
          <w:color w:val="000000"/>
        </w:rPr>
        <w:t>posterior malleolus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measured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in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axial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tomography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images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to</w:t>
      </w:r>
      <w:r w:rsidR="0090769C">
        <w:rPr>
          <w:rFonts w:ascii="Book Antiqua" w:eastAsia="Book Antiqua" w:hAnsi="Book Antiqua" w:cs="Book Antiqua"/>
          <w:color w:val="000000"/>
        </w:rPr>
        <w:t xml:space="preserve"> the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classification</w:t>
      </w:r>
      <w:r w:rsidR="00F1538D" w:rsidRPr="00611BFA">
        <w:rPr>
          <w:rFonts w:ascii="Book Antiqua" w:hAnsi="Book Antiqua"/>
          <w:lang w:eastAsia="zh-CN"/>
        </w:rPr>
        <w:t xml:space="preserve">. </w:t>
      </w:r>
      <w:r w:rsidR="0090769C">
        <w:rPr>
          <w:rFonts w:ascii="Book Antiqua" w:hAnsi="Book Antiqua"/>
          <w:lang w:eastAsia="zh-CN"/>
        </w:rPr>
        <w:t>A s</w:t>
      </w:r>
      <w:r w:rsidR="00AF52C3" w:rsidRPr="00611BFA">
        <w:rPr>
          <w:rFonts w:ascii="Book Antiqua" w:eastAsia="Book Antiqua" w:hAnsi="Book Antiqua" w:cs="Book Antiqua"/>
          <w:iCs/>
          <w:color w:val="000000"/>
        </w:rPr>
        <w:t xml:space="preserve">tatistically </w:t>
      </w:r>
      <w:r w:rsidRPr="00611BFA">
        <w:rPr>
          <w:rFonts w:ascii="Book Antiqua" w:eastAsia="Book Antiqua" w:hAnsi="Book Antiqua" w:cs="Book Antiqua"/>
          <w:iCs/>
          <w:color w:val="000000"/>
        </w:rPr>
        <w:t>significant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only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when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compared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3.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No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difference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was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found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between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1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and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2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(</w:t>
      </w:r>
      <w:r w:rsidR="00B05D72" w:rsidRPr="00611BFA">
        <w:rPr>
          <w:rFonts w:ascii="Book Antiqua" w:eastAsia="Book Antiqua" w:hAnsi="Book Antiqua" w:cs="Book Antiqua"/>
          <w:i/>
          <w:iCs/>
          <w:color w:val="000000"/>
        </w:rPr>
        <w:t>P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&lt;</w:t>
      </w:r>
      <w:r w:rsidR="00C82B8A" w:rsidRPr="00611BF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iCs/>
          <w:color w:val="000000"/>
        </w:rPr>
        <w:t>0.001</w:t>
      </w:r>
      <w:r w:rsidR="001648E6" w:rsidRPr="00611BFA">
        <w:rPr>
          <w:rFonts w:ascii="Book Antiqua" w:eastAsia="Book Antiqua" w:hAnsi="Book Antiqua" w:cs="Book Antiqua"/>
          <w:iCs/>
          <w:color w:val="000000"/>
        </w:rPr>
        <w:t>).</w:t>
      </w:r>
      <w:r w:rsidR="006D49B6">
        <w:rPr>
          <w:rFonts w:ascii="Book Antiqua" w:eastAsia="Book Antiqua" w:hAnsi="Book Antiqua" w:cs="Book Antiqua"/>
          <w:iCs/>
          <w:color w:val="000000"/>
        </w:rPr>
        <w:t xml:space="preserve"> PMXR: </w:t>
      </w:r>
      <w:r w:rsidR="006D49B6" w:rsidRPr="00611BFA">
        <w:rPr>
          <w:rFonts w:ascii="Book Antiqua" w:eastAsia="Book Antiqua" w:hAnsi="Book Antiqua" w:cs="Book Antiqua"/>
          <w:color w:val="000000"/>
        </w:rPr>
        <w:t>Posterior malleolus size in profile X-ray images</w:t>
      </w:r>
      <w:r w:rsidR="006D49B6">
        <w:rPr>
          <w:rFonts w:ascii="Book Antiqua" w:eastAsia="Book Antiqua" w:hAnsi="Book Antiqua" w:cs="Book Antiqua"/>
          <w:color w:val="000000"/>
        </w:rPr>
        <w:t xml:space="preserve">; AXCT: </w:t>
      </w:r>
      <w:r w:rsidR="006D49B6" w:rsidRPr="00611BFA">
        <w:rPr>
          <w:rFonts w:ascii="Book Antiqua" w:hAnsi="Book Antiqua"/>
          <w:snapToGrid w:val="0"/>
        </w:rPr>
        <w:t>Axial computed tomography slice of the posterior malleolus</w:t>
      </w:r>
      <w:r w:rsidR="006D49B6" w:rsidRPr="00611BFA">
        <w:rPr>
          <w:rFonts w:ascii="Book Antiqua" w:eastAsia="Book Antiqua" w:hAnsi="Book Antiqua" w:cs="Book Antiqua"/>
          <w:color w:val="000000"/>
        </w:rPr>
        <w:t>.</w:t>
      </w:r>
    </w:p>
    <w:p w14:paraId="2EA52B2A" w14:textId="77777777" w:rsidR="00EF0A10" w:rsidRPr="00611BFA" w:rsidRDefault="00EF0A10" w:rsidP="00611B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000FC57" w14:textId="2A158B13" w:rsidR="00D97D7E" w:rsidRPr="00611BFA" w:rsidRDefault="00432416" w:rsidP="00611BF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11BFA">
        <w:rPr>
          <w:rFonts w:ascii="Book Antiqua" w:hAnsi="Book Antiqua"/>
          <w:noProof/>
          <w:lang w:val="pt-BR" w:eastAsia="pt-BR"/>
        </w:rPr>
        <w:lastRenderedPageBreak/>
        <w:drawing>
          <wp:inline distT="0" distB="0" distL="0" distR="0" wp14:anchorId="1785198B" wp14:editId="74E5A0A0">
            <wp:extent cx="5943600" cy="40811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57C2" w14:textId="610ADA76" w:rsidR="00EC26A6" w:rsidRPr="00611BFA" w:rsidRDefault="00F8520C" w:rsidP="00EC26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11BF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82B8A" w:rsidRPr="00611B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bCs/>
          <w:color w:val="000000"/>
        </w:rPr>
        <w:t>5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49B6">
        <w:rPr>
          <w:rFonts w:ascii="Book Antiqua" w:eastAsia="Book Antiqua" w:hAnsi="Book Antiqua" w:cs="Book Antiqua"/>
          <w:b/>
          <w:color w:val="000000"/>
        </w:rPr>
        <w:t>T</w:t>
      </w:r>
      <w:r w:rsidRPr="00611BFA">
        <w:rPr>
          <w:rFonts w:ascii="Book Antiqua" w:eastAsia="Book Antiqua" w:hAnsi="Book Antiqua" w:cs="Book Antiqua"/>
          <w:b/>
          <w:color w:val="000000"/>
        </w:rPr>
        <w:t>he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distribution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percent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area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tibial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plafond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of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posterior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malleolus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fracture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according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to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the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various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Haraguchi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classification</w:t>
      </w:r>
      <w:r w:rsidR="00C82B8A" w:rsidRPr="00611B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b/>
          <w:color w:val="000000"/>
        </w:rPr>
        <w:t>types.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Blue</w:t>
      </w:r>
      <w:r w:rsidR="00EC26A6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C26A6">
        <w:rPr>
          <w:rFonts w:ascii="Book Antiqua" w:eastAsia="Book Antiqua" w:hAnsi="Book Antiqua" w:cs="Book Antiqua"/>
          <w:color w:val="000000"/>
        </w:rPr>
        <w:t>G</w:t>
      </w:r>
      <w:r w:rsidRPr="00611BFA">
        <w:rPr>
          <w:rFonts w:ascii="Book Antiqua" w:eastAsia="Book Antiqua" w:hAnsi="Book Antiqua" w:cs="Book Antiqua"/>
          <w:color w:val="000000"/>
        </w:rPr>
        <w:t>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A</w:t>
      </w:r>
      <w:r w:rsidR="00EC26A6">
        <w:rPr>
          <w:rFonts w:ascii="Book Antiqua" w:eastAsia="Book Antiqua" w:hAnsi="Book Antiqua" w:cs="Book Antiqua"/>
          <w:color w:val="000000"/>
        </w:rPr>
        <w:t>;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C26A6">
        <w:rPr>
          <w:rFonts w:ascii="Book Antiqua" w:eastAsia="Book Antiqua" w:hAnsi="Book Antiqua" w:cs="Book Antiqua"/>
          <w:color w:val="000000"/>
        </w:rPr>
        <w:t>R</w:t>
      </w:r>
      <w:r w:rsidRPr="00611BFA">
        <w:rPr>
          <w:rFonts w:ascii="Book Antiqua" w:eastAsia="Book Antiqua" w:hAnsi="Book Antiqua" w:cs="Book Antiqua"/>
          <w:color w:val="000000"/>
        </w:rPr>
        <w:t>ed</w:t>
      </w:r>
      <w:r w:rsidR="00EC26A6">
        <w:rPr>
          <w:rFonts w:ascii="Book Antiqua" w:eastAsia="Book Antiqua" w:hAnsi="Book Antiqua" w:cs="Book Antiqua"/>
          <w:color w:val="000000"/>
        </w:rPr>
        <w:t>: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EC26A6">
        <w:rPr>
          <w:rFonts w:ascii="Book Antiqua" w:eastAsia="Book Antiqua" w:hAnsi="Book Antiqua" w:cs="Book Antiqua"/>
          <w:color w:val="000000"/>
        </w:rPr>
        <w:t>G</w:t>
      </w:r>
      <w:r w:rsidRPr="00611BFA">
        <w:rPr>
          <w:rFonts w:ascii="Book Antiqua" w:eastAsia="Book Antiqua" w:hAnsi="Book Antiqua" w:cs="Book Antiqua"/>
          <w:color w:val="000000"/>
        </w:rPr>
        <w:t>roup</w:t>
      </w:r>
      <w:r w:rsidR="00C82B8A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Pr="00611BFA">
        <w:rPr>
          <w:rFonts w:ascii="Book Antiqua" w:eastAsia="Book Antiqua" w:hAnsi="Book Antiqua" w:cs="Book Antiqua"/>
          <w:color w:val="000000"/>
        </w:rPr>
        <w:t>B</w:t>
      </w:r>
      <w:r w:rsidR="00EC26A6">
        <w:rPr>
          <w:rFonts w:ascii="Book Antiqua" w:eastAsia="Book Antiqua" w:hAnsi="Book Antiqua" w:cs="Book Antiqua"/>
          <w:color w:val="000000"/>
        </w:rPr>
        <w:t>;</w:t>
      </w:r>
      <w:r w:rsidR="00BF5C18" w:rsidRPr="00611BFA">
        <w:rPr>
          <w:rFonts w:ascii="Book Antiqua" w:eastAsia="Book Antiqua" w:hAnsi="Book Antiqua" w:cs="Book Antiqua"/>
          <w:color w:val="000000"/>
        </w:rPr>
        <w:t xml:space="preserve"> PMXR:</w:t>
      </w:r>
      <w:r w:rsidR="00401C76" w:rsidRPr="00611BFA">
        <w:rPr>
          <w:rFonts w:ascii="Book Antiqua" w:eastAsia="Book Antiqua" w:hAnsi="Book Antiqua" w:cs="Book Antiqua"/>
          <w:color w:val="000000"/>
        </w:rPr>
        <w:t xml:space="preserve"> </w:t>
      </w:r>
      <w:r w:rsidR="00077E36" w:rsidRPr="00611BFA">
        <w:rPr>
          <w:rFonts w:ascii="Book Antiqua" w:eastAsia="Book Antiqua" w:hAnsi="Book Antiqua" w:cs="Book Antiqua"/>
          <w:color w:val="000000"/>
        </w:rPr>
        <w:t>Posterior malleolus</w:t>
      </w:r>
      <w:r w:rsidR="00401C76" w:rsidRPr="00611BFA">
        <w:rPr>
          <w:rFonts w:ascii="Book Antiqua" w:eastAsia="Book Antiqua" w:hAnsi="Book Antiqua" w:cs="Book Antiqua"/>
          <w:color w:val="000000"/>
        </w:rPr>
        <w:t xml:space="preserve"> size in profile X-ray images</w:t>
      </w:r>
      <w:r w:rsidR="00EC26A6">
        <w:rPr>
          <w:rFonts w:ascii="Book Antiqua" w:eastAsia="Book Antiqua" w:hAnsi="Book Antiqua" w:cs="Book Antiqua"/>
          <w:color w:val="000000"/>
        </w:rPr>
        <w:t>;</w:t>
      </w:r>
      <w:r w:rsidR="00EC26A6" w:rsidRPr="00EC26A6">
        <w:rPr>
          <w:rFonts w:ascii="Book Antiqua" w:eastAsia="Book Antiqua" w:hAnsi="Book Antiqua" w:cs="Book Antiqua"/>
          <w:color w:val="000000"/>
        </w:rPr>
        <w:t xml:space="preserve"> </w:t>
      </w:r>
      <w:r w:rsidR="00EC26A6">
        <w:rPr>
          <w:rFonts w:ascii="Book Antiqua" w:eastAsia="Book Antiqua" w:hAnsi="Book Antiqua" w:cs="Book Antiqua"/>
          <w:color w:val="000000"/>
        </w:rPr>
        <w:t xml:space="preserve">AXCT: </w:t>
      </w:r>
      <w:r w:rsidR="00EC26A6" w:rsidRPr="00611BFA">
        <w:rPr>
          <w:rFonts w:ascii="Book Antiqua" w:hAnsi="Book Antiqua"/>
          <w:snapToGrid w:val="0"/>
        </w:rPr>
        <w:t>Axial computed tomography slice of the posterior malleolus</w:t>
      </w:r>
      <w:r w:rsidR="00EC26A6">
        <w:rPr>
          <w:rFonts w:ascii="Book Antiqua" w:hAnsi="Book Antiqua"/>
          <w:snapToGrid w:val="0"/>
        </w:rPr>
        <w:t>; PM: Posterior malleolus</w:t>
      </w:r>
      <w:r w:rsidR="00EC26A6" w:rsidRPr="00611BFA">
        <w:rPr>
          <w:rFonts w:ascii="Book Antiqua" w:eastAsia="Book Antiqua" w:hAnsi="Book Antiqua" w:cs="Book Antiqua"/>
          <w:color w:val="000000"/>
        </w:rPr>
        <w:t>.</w:t>
      </w:r>
    </w:p>
    <w:p w14:paraId="7AF2FADD" w14:textId="77777777" w:rsidR="001B3781" w:rsidRDefault="001B3781" w:rsidP="005A2358">
      <w:pPr>
        <w:spacing w:line="360" w:lineRule="auto"/>
        <w:jc w:val="both"/>
        <w:rPr>
          <w:rFonts w:ascii="Book Antiqua" w:hAnsi="Book Antiqua"/>
          <w:b/>
          <w:snapToGrid w:val="0"/>
        </w:rPr>
      </w:pPr>
    </w:p>
    <w:p w14:paraId="3420886B" w14:textId="2EB9D37F" w:rsidR="008F3249" w:rsidRPr="00611BFA" w:rsidRDefault="00BE7843" w:rsidP="00611BFA">
      <w:pPr>
        <w:snapToGrid w:val="0"/>
        <w:spacing w:line="360" w:lineRule="auto"/>
        <w:jc w:val="both"/>
        <w:rPr>
          <w:rFonts w:ascii="Book Antiqua" w:hAnsi="Book Antiqua"/>
          <w:b/>
          <w:snapToGrid w:val="0"/>
        </w:rPr>
      </w:pPr>
      <w:r w:rsidRPr="00611BFA">
        <w:rPr>
          <w:rFonts w:ascii="Book Antiqua" w:hAnsi="Book Antiqua"/>
          <w:b/>
          <w:snapToGrid w:val="0"/>
        </w:rPr>
        <w:t>Table 1</w:t>
      </w:r>
      <w:r w:rsidR="008F3249" w:rsidRPr="00611BFA">
        <w:rPr>
          <w:rFonts w:ascii="Book Antiqua" w:hAnsi="Book Antiqua"/>
          <w:b/>
          <w:snapToGrid w:val="0"/>
        </w:rPr>
        <w:t xml:space="preserve"> Demographic and lesion characteristics</w:t>
      </w:r>
      <w:r w:rsidR="00CC4A6A">
        <w:rPr>
          <w:rFonts w:ascii="Book Antiqua" w:hAnsi="Book Antiqua"/>
          <w:b/>
          <w:snapToGrid w:val="0"/>
        </w:rPr>
        <w:t>,</w:t>
      </w:r>
      <w:r w:rsidR="008F3249" w:rsidRPr="00611BFA">
        <w:rPr>
          <w:rFonts w:ascii="Book Antiqua" w:hAnsi="Book Antiqua"/>
          <w:b/>
          <w:snapToGrid w:val="0"/>
        </w:rPr>
        <w:t xml:space="preserve"> </w:t>
      </w:r>
      <w:r w:rsidR="008F3249" w:rsidRPr="00611BFA">
        <w:rPr>
          <w:rFonts w:ascii="Book Antiqua" w:hAnsi="Book Antiqua"/>
          <w:b/>
          <w:i/>
          <w:snapToGrid w:val="0"/>
        </w:rPr>
        <w:t>n</w:t>
      </w:r>
      <w:r w:rsidR="008F3249" w:rsidRPr="00611BFA">
        <w:rPr>
          <w:rFonts w:ascii="Book Antiqua" w:hAnsi="Book Antiqua"/>
          <w:b/>
          <w:snapToGrid w:val="0"/>
        </w:rPr>
        <w:t xml:space="preserve"> = 81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2681"/>
        <w:gridCol w:w="2555"/>
      </w:tblGrid>
      <w:tr w:rsidR="008F3249" w:rsidRPr="00611BFA" w14:paraId="0C4533B4" w14:textId="77777777" w:rsidTr="00A60FAA"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</w:tcPr>
          <w:p w14:paraId="5F1E2E16" w14:textId="57F442D6" w:rsidR="008F3249" w:rsidRPr="005A2358" w:rsidRDefault="00C35F8E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A2358">
              <w:rPr>
                <w:rFonts w:ascii="Book Antiqua" w:hAnsi="Book Antiqua"/>
                <w:color w:val="000000" w:themeColor="text1"/>
              </w:rPr>
              <w:t>Characteristic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</w:tcPr>
          <w:p w14:paraId="23DAEB32" w14:textId="721A042E" w:rsidR="008F3249" w:rsidRPr="005A2358" w:rsidRDefault="00CC4A6A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A2358">
              <w:rPr>
                <w:rFonts w:ascii="Book Antiqua" w:hAnsi="Book Antiqua"/>
                <w:color w:val="000000" w:themeColor="text1"/>
              </w:rPr>
              <w:t>Subcategory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207D918B" w14:textId="67184804" w:rsidR="008F3249" w:rsidRPr="005A2358" w:rsidRDefault="00C35F8E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A2358">
              <w:rPr>
                <w:rFonts w:ascii="Book Antiqua" w:hAnsi="Book Antiqua"/>
                <w:i/>
                <w:snapToGrid w:val="0"/>
              </w:rPr>
              <w:t>n</w:t>
            </w:r>
            <w:r w:rsidRPr="005A2358">
              <w:rPr>
                <w:rFonts w:ascii="Book Antiqua" w:hAnsi="Book Antiqua"/>
                <w:snapToGrid w:val="0"/>
              </w:rPr>
              <w:t xml:space="preserve"> (%)</w:t>
            </w:r>
          </w:p>
        </w:tc>
      </w:tr>
      <w:tr w:rsidR="00A60FAA" w:rsidRPr="00611BFA" w14:paraId="0718C80D" w14:textId="77777777" w:rsidTr="00A60FAA">
        <w:tc>
          <w:tcPr>
            <w:tcW w:w="2203" w:type="pct"/>
            <w:tcBorders>
              <w:top w:val="single" w:sz="4" w:space="0" w:color="auto"/>
              <w:bottom w:val="nil"/>
            </w:tcBorders>
          </w:tcPr>
          <w:p w14:paraId="46A46269" w14:textId="4D577FE3" w:rsidR="00A60FAA" w:rsidRPr="00CC4A6A" w:rsidRDefault="00A60FAA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snapToGrid w:val="0"/>
                <w:color w:val="000000" w:themeColor="text1"/>
              </w:rPr>
            </w:pPr>
            <w:r w:rsidRPr="005A2358">
              <w:rPr>
                <w:rFonts w:ascii="Book Antiqua" w:hAnsi="Book Antiqua"/>
                <w:bCs/>
                <w:color w:val="000000" w:themeColor="text1"/>
              </w:rPr>
              <w:t>Age</w:t>
            </w:r>
            <w:r w:rsidRPr="005A2358">
              <w:rPr>
                <w:rFonts w:ascii="Book Antiqua" w:hAnsi="Book Antiqua"/>
                <w:bCs/>
                <w:color w:val="000000" w:themeColor="text1"/>
                <w:vertAlign w:val="superscript"/>
              </w:rPr>
              <w:t>a</w:t>
            </w:r>
          </w:p>
        </w:tc>
        <w:tc>
          <w:tcPr>
            <w:tcW w:w="1432" w:type="pct"/>
            <w:tcBorders>
              <w:top w:val="single" w:sz="4" w:space="0" w:color="auto"/>
              <w:bottom w:val="nil"/>
            </w:tcBorders>
          </w:tcPr>
          <w:p w14:paraId="2B6033E2" w14:textId="77777777" w:rsidR="00A60FAA" w:rsidRPr="00611BFA" w:rsidRDefault="00A60FAA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14:paraId="24B3217F" w14:textId="0FFD91B9" w:rsidR="00A60FAA" w:rsidRPr="00CC4A6A" w:rsidRDefault="00A60FAA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snapToGrid w:val="0"/>
                <w:color w:val="000000" w:themeColor="text1"/>
              </w:rPr>
            </w:pPr>
            <w:r w:rsidRPr="005A2358">
              <w:rPr>
                <w:rFonts w:ascii="Book Antiqua" w:hAnsi="Book Antiqua"/>
                <w:bCs/>
                <w:color w:val="000000" w:themeColor="text1"/>
              </w:rPr>
              <w:t>39.48 (± 13.59)</w:t>
            </w:r>
          </w:p>
        </w:tc>
      </w:tr>
      <w:tr w:rsidR="008F3249" w:rsidRPr="00611BFA" w14:paraId="00166FB7" w14:textId="77777777" w:rsidTr="00A60FAA">
        <w:tc>
          <w:tcPr>
            <w:tcW w:w="2203" w:type="pct"/>
            <w:tcBorders>
              <w:top w:val="nil"/>
            </w:tcBorders>
          </w:tcPr>
          <w:p w14:paraId="55DD2854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Sex</w:t>
            </w:r>
          </w:p>
        </w:tc>
        <w:tc>
          <w:tcPr>
            <w:tcW w:w="1432" w:type="pct"/>
            <w:tcBorders>
              <w:top w:val="nil"/>
            </w:tcBorders>
          </w:tcPr>
          <w:p w14:paraId="2060F13D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Male</w:t>
            </w:r>
          </w:p>
        </w:tc>
        <w:tc>
          <w:tcPr>
            <w:tcW w:w="1365" w:type="pct"/>
            <w:tcBorders>
              <w:top w:val="nil"/>
            </w:tcBorders>
          </w:tcPr>
          <w:p w14:paraId="42137904" w14:textId="230DB22E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44 (54.32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7FB9D2A9" w14:textId="77777777" w:rsidTr="002604C8">
        <w:trPr>
          <w:trHeight w:val="600"/>
        </w:trPr>
        <w:tc>
          <w:tcPr>
            <w:tcW w:w="2203" w:type="pct"/>
          </w:tcPr>
          <w:p w14:paraId="77C86A1D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5E9BC1F0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Female</w:t>
            </w:r>
          </w:p>
        </w:tc>
        <w:tc>
          <w:tcPr>
            <w:tcW w:w="1365" w:type="pct"/>
          </w:tcPr>
          <w:p w14:paraId="186BEEEE" w14:textId="4E428B30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37 (45.67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1EE80241" w14:textId="77777777" w:rsidTr="002604C8">
        <w:tc>
          <w:tcPr>
            <w:tcW w:w="2203" w:type="pct"/>
          </w:tcPr>
          <w:p w14:paraId="16D39210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Diagnosis</w:t>
            </w:r>
          </w:p>
        </w:tc>
        <w:tc>
          <w:tcPr>
            <w:tcW w:w="1432" w:type="pct"/>
          </w:tcPr>
          <w:p w14:paraId="4D971C3F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Fracture</w:t>
            </w:r>
          </w:p>
        </w:tc>
        <w:tc>
          <w:tcPr>
            <w:tcW w:w="1365" w:type="pct"/>
          </w:tcPr>
          <w:p w14:paraId="39236BB6" w14:textId="35E1F4CE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42 (51.85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28150BF4" w14:textId="77777777" w:rsidTr="002604C8">
        <w:tc>
          <w:tcPr>
            <w:tcW w:w="2203" w:type="pct"/>
          </w:tcPr>
          <w:p w14:paraId="45AB48FC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571BCF6D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Fracture + dislocation</w:t>
            </w:r>
          </w:p>
        </w:tc>
        <w:tc>
          <w:tcPr>
            <w:tcW w:w="1365" w:type="pct"/>
          </w:tcPr>
          <w:p w14:paraId="60F1674E" w14:textId="240A5D55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39 (48.14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1B35539D" w14:textId="77777777" w:rsidTr="002604C8">
        <w:tc>
          <w:tcPr>
            <w:tcW w:w="2203" w:type="pct"/>
          </w:tcPr>
          <w:p w14:paraId="4A7869B4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AO/OTA 44</w:t>
            </w:r>
          </w:p>
        </w:tc>
        <w:tc>
          <w:tcPr>
            <w:tcW w:w="1432" w:type="pct"/>
          </w:tcPr>
          <w:p w14:paraId="087C04F9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A</w:t>
            </w:r>
          </w:p>
        </w:tc>
        <w:tc>
          <w:tcPr>
            <w:tcW w:w="1365" w:type="pct"/>
          </w:tcPr>
          <w:p w14:paraId="18D76B1F" w14:textId="0FF227AA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 (1.23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700CD044" w14:textId="77777777" w:rsidTr="002604C8">
        <w:tc>
          <w:tcPr>
            <w:tcW w:w="2203" w:type="pct"/>
          </w:tcPr>
          <w:p w14:paraId="67D56F38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0218B899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B</w:t>
            </w:r>
          </w:p>
        </w:tc>
        <w:tc>
          <w:tcPr>
            <w:tcW w:w="1365" w:type="pct"/>
          </w:tcPr>
          <w:p w14:paraId="096E85B9" w14:textId="091A75A0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51 (62.96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0543DD7E" w14:textId="77777777" w:rsidTr="002604C8">
        <w:tc>
          <w:tcPr>
            <w:tcW w:w="2203" w:type="pct"/>
          </w:tcPr>
          <w:p w14:paraId="369EAB2B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00195F86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C</w:t>
            </w:r>
          </w:p>
        </w:tc>
        <w:tc>
          <w:tcPr>
            <w:tcW w:w="1365" w:type="pct"/>
          </w:tcPr>
          <w:p w14:paraId="6872556B" w14:textId="633D10C1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29 (35.80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5287BC1F" w14:textId="77777777" w:rsidTr="002604C8">
        <w:tc>
          <w:tcPr>
            <w:tcW w:w="2203" w:type="pct"/>
          </w:tcPr>
          <w:p w14:paraId="1794CFF1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Haraguchi</w:t>
            </w:r>
          </w:p>
        </w:tc>
        <w:tc>
          <w:tcPr>
            <w:tcW w:w="1432" w:type="pct"/>
          </w:tcPr>
          <w:p w14:paraId="42FA07A0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</w:t>
            </w:r>
          </w:p>
        </w:tc>
        <w:tc>
          <w:tcPr>
            <w:tcW w:w="1365" w:type="pct"/>
          </w:tcPr>
          <w:p w14:paraId="0D034C03" w14:textId="1C29C5A5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29 (35.80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190A2459" w14:textId="77777777" w:rsidTr="002604C8">
        <w:tc>
          <w:tcPr>
            <w:tcW w:w="2203" w:type="pct"/>
          </w:tcPr>
          <w:p w14:paraId="3C48D178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5098CB20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</w:t>
            </w:r>
          </w:p>
        </w:tc>
        <w:tc>
          <w:tcPr>
            <w:tcW w:w="1365" w:type="pct"/>
          </w:tcPr>
          <w:p w14:paraId="10B55EFF" w14:textId="73AD25B7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33 (40.74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65CA4700" w14:textId="77777777" w:rsidTr="002604C8">
        <w:tc>
          <w:tcPr>
            <w:tcW w:w="2203" w:type="pct"/>
          </w:tcPr>
          <w:p w14:paraId="3521174A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51874B1F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</w:t>
            </w:r>
          </w:p>
        </w:tc>
        <w:tc>
          <w:tcPr>
            <w:tcW w:w="1365" w:type="pct"/>
          </w:tcPr>
          <w:p w14:paraId="4E59CAEA" w14:textId="370543A8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19 (23.45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7A06BC13" w14:textId="77777777" w:rsidTr="002604C8">
        <w:tc>
          <w:tcPr>
            <w:tcW w:w="2203" w:type="pct"/>
          </w:tcPr>
          <w:p w14:paraId="1C12BC98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Intermediate fragment</w:t>
            </w:r>
          </w:p>
        </w:tc>
        <w:tc>
          <w:tcPr>
            <w:tcW w:w="1432" w:type="pct"/>
          </w:tcPr>
          <w:p w14:paraId="15D9D4C9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Yes</w:t>
            </w:r>
          </w:p>
        </w:tc>
        <w:tc>
          <w:tcPr>
            <w:tcW w:w="1365" w:type="pct"/>
          </w:tcPr>
          <w:p w14:paraId="60C4D405" w14:textId="2C8707B3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22 (27.16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  <w:tr w:rsidR="008F3249" w:rsidRPr="00611BFA" w14:paraId="35420C8A" w14:textId="77777777" w:rsidTr="002604C8">
        <w:tc>
          <w:tcPr>
            <w:tcW w:w="2203" w:type="pct"/>
          </w:tcPr>
          <w:p w14:paraId="6F6A1332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432" w:type="pct"/>
          </w:tcPr>
          <w:p w14:paraId="536F4D63" w14:textId="77777777" w:rsidR="008F3249" w:rsidRPr="00611BFA" w:rsidRDefault="008F3249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No</w:t>
            </w:r>
          </w:p>
        </w:tc>
        <w:tc>
          <w:tcPr>
            <w:tcW w:w="1365" w:type="pct"/>
          </w:tcPr>
          <w:p w14:paraId="6FF8C247" w14:textId="36F0E3A1" w:rsidR="008F3249" w:rsidRPr="00611BFA" w:rsidRDefault="000435C7" w:rsidP="00611BFA">
            <w:pPr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59 (72.83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</w:tr>
    </w:tbl>
    <w:p w14:paraId="41E7CF97" w14:textId="0F00106F" w:rsidR="008F3249" w:rsidRPr="00611BFA" w:rsidRDefault="008F3249" w:rsidP="00611BFA">
      <w:pPr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611BFA">
        <w:rPr>
          <w:rFonts w:ascii="Book Antiqua" w:hAnsi="Book Antiqua"/>
          <w:snapToGrid w:val="0"/>
          <w:color w:val="000000" w:themeColor="text1"/>
          <w:vertAlign w:val="superscript"/>
        </w:rPr>
        <w:t>a</w:t>
      </w:r>
      <w:r w:rsidRPr="00611BFA">
        <w:rPr>
          <w:rFonts w:ascii="Book Antiqua" w:hAnsi="Book Antiqua"/>
          <w:snapToGrid w:val="0"/>
          <w:color w:val="000000" w:themeColor="text1"/>
        </w:rPr>
        <w:t>Mean (standard deviation)</w:t>
      </w:r>
      <w:r w:rsidR="008B4A1B" w:rsidRPr="00611BFA">
        <w:rPr>
          <w:rFonts w:ascii="Book Antiqua" w:hAnsi="Book Antiqua"/>
          <w:snapToGrid w:val="0"/>
          <w:color w:val="000000" w:themeColor="text1"/>
        </w:rPr>
        <w:t>.</w:t>
      </w:r>
      <w:r w:rsidR="000717DA" w:rsidRPr="00611BFA">
        <w:rPr>
          <w:rFonts w:ascii="Book Antiqua" w:hAnsi="Book Antiqua"/>
          <w:snapToGrid w:val="0"/>
          <w:color w:val="000000" w:themeColor="text1"/>
        </w:rPr>
        <w:t xml:space="preserve"> </w:t>
      </w:r>
      <w:r w:rsidR="00C268A2">
        <w:rPr>
          <w:rFonts w:ascii="Book Antiqua" w:hAnsi="Book Antiqua"/>
          <w:snapToGrid w:val="0"/>
          <w:color w:val="000000" w:themeColor="text1"/>
        </w:rPr>
        <w:t>AO/</w:t>
      </w:r>
      <w:r w:rsidR="00D67BF7" w:rsidRPr="00611BFA">
        <w:rPr>
          <w:rFonts w:ascii="Book Antiqua" w:hAnsi="Book Antiqua"/>
          <w:snapToGrid w:val="0"/>
          <w:color w:val="000000" w:themeColor="text1"/>
        </w:rPr>
        <w:t xml:space="preserve">OTA: </w:t>
      </w:r>
      <w:r w:rsidR="00C268A2" w:rsidRPr="00611BFA">
        <w:rPr>
          <w:rFonts w:ascii="Book Antiqua" w:eastAsia="Book Antiqua" w:hAnsi="Book Antiqua" w:cs="Book Antiqua"/>
          <w:color w:val="000000"/>
        </w:rPr>
        <w:t>AO Foundation/</w:t>
      </w:r>
      <w:r w:rsidR="00D67BF7" w:rsidRPr="00611BFA">
        <w:rPr>
          <w:rFonts w:ascii="Book Antiqua" w:hAnsi="Book Antiqua"/>
          <w:snapToGrid w:val="0"/>
          <w:color w:val="000000" w:themeColor="text1"/>
        </w:rPr>
        <w:t>Orthopedic Trauma Associatio</w:t>
      </w:r>
      <w:r w:rsidR="00C268A2">
        <w:rPr>
          <w:rFonts w:ascii="Book Antiqua" w:hAnsi="Book Antiqua"/>
          <w:snapToGrid w:val="0"/>
          <w:color w:val="000000" w:themeColor="text1"/>
        </w:rPr>
        <w:t>n</w:t>
      </w:r>
      <w:r w:rsidR="00D67BF7" w:rsidRPr="00611BFA">
        <w:rPr>
          <w:rFonts w:ascii="Book Antiqua" w:hAnsi="Book Antiqua"/>
          <w:snapToGrid w:val="0"/>
          <w:color w:val="000000" w:themeColor="text1"/>
        </w:rPr>
        <w:t>.</w:t>
      </w:r>
    </w:p>
    <w:p w14:paraId="7513BC4D" w14:textId="77777777" w:rsidR="008F3249" w:rsidRPr="00611BFA" w:rsidRDefault="008F3249" w:rsidP="00611BFA">
      <w:pPr>
        <w:spacing w:line="360" w:lineRule="auto"/>
        <w:jc w:val="both"/>
        <w:rPr>
          <w:rFonts w:ascii="Book Antiqua" w:hAnsi="Book Antiqua"/>
        </w:rPr>
      </w:pPr>
    </w:p>
    <w:p w14:paraId="5AF50062" w14:textId="596B727C" w:rsidR="008F3249" w:rsidRPr="00611BFA" w:rsidRDefault="00F62A34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  <w:b/>
          <w:snapToGrid w:val="0"/>
        </w:rPr>
        <w:t>Table 2</w:t>
      </w:r>
      <w:r w:rsidR="008F3249" w:rsidRPr="00611BFA">
        <w:rPr>
          <w:rFonts w:ascii="Book Antiqua" w:hAnsi="Book Antiqua"/>
          <w:b/>
          <w:snapToGrid w:val="0"/>
        </w:rPr>
        <w:t xml:space="preserve"> Interobserver reliability of posterior malleolus size measurements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750"/>
        <w:gridCol w:w="1692"/>
        <w:gridCol w:w="1264"/>
        <w:gridCol w:w="1468"/>
      </w:tblGrid>
      <w:tr w:rsidR="008F3249" w:rsidRPr="00611BFA" w14:paraId="24B2FC1A" w14:textId="77777777" w:rsidTr="002604C8"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14:paraId="041CA77E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X-ray measurement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5A5231DD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Examiner X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1E4FC1C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Examiner 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74C8D41D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Pearson’s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577E55EB" w14:textId="5EAA6850" w:rsidR="008F3249" w:rsidRPr="00611BFA" w:rsidRDefault="002C5FB0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8F3249" w:rsidRPr="00611BFA">
              <w:rPr>
                <w:rFonts w:ascii="Book Antiqua" w:hAnsi="Book Antiqua"/>
                <w:color w:val="000000" w:themeColor="text1"/>
              </w:rPr>
              <w:t xml:space="preserve"> value</w:t>
            </w:r>
          </w:p>
        </w:tc>
      </w:tr>
      <w:tr w:rsidR="008F3249" w:rsidRPr="00611BFA" w14:paraId="62EEED40" w14:textId="77777777" w:rsidTr="002604C8">
        <w:tc>
          <w:tcPr>
            <w:tcW w:w="1702" w:type="pct"/>
            <w:tcBorders>
              <w:top w:val="single" w:sz="4" w:space="0" w:color="auto"/>
            </w:tcBorders>
          </w:tcPr>
          <w:p w14:paraId="017E423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Absolute size of the tibia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63BF30D7" w14:textId="5F7268D9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5.28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0.83)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38C1816C" w14:textId="510F8F4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5.09 (±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0.82)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728EDEF4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0.88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6E0C24DC" w14:textId="0D946132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741ADC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4D173739" w14:textId="77777777" w:rsidTr="002604C8">
        <w:tc>
          <w:tcPr>
            <w:tcW w:w="1702" w:type="pct"/>
          </w:tcPr>
          <w:p w14:paraId="0310AEA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Absolute size of the PM</w:t>
            </w:r>
          </w:p>
        </w:tc>
        <w:tc>
          <w:tcPr>
            <w:tcW w:w="935" w:type="pct"/>
          </w:tcPr>
          <w:p w14:paraId="320926EB" w14:textId="432D4684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1.43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0.75)</w:t>
            </w:r>
          </w:p>
        </w:tc>
        <w:tc>
          <w:tcPr>
            <w:tcW w:w="904" w:type="pct"/>
          </w:tcPr>
          <w:p w14:paraId="2426CE95" w14:textId="5CF91C5E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1.32 (±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0.69)</w:t>
            </w:r>
          </w:p>
        </w:tc>
        <w:tc>
          <w:tcPr>
            <w:tcW w:w="675" w:type="pct"/>
          </w:tcPr>
          <w:p w14:paraId="7FCFE000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0.92</w:t>
            </w:r>
          </w:p>
        </w:tc>
        <w:tc>
          <w:tcPr>
            <w:tcW w:w="784" w:type="pct"/>
          </w:tcPr>
          <w:p w14:paraId="64D150D7" w14:textId="10617709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741ADC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046924C0" w14:textId="77777777" w:rsidTr="002604C8">
        <w:tc>
          <w:tcPr>
            <w:tcW w:w="1702" w:type="pct"/>
          </w:tcPr>
          <w:p w14:paraId="0EAE6DDC" w14:textId="613368C2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MP size (PMXR)</w:t>
            </w:r>
            <w:r w:rsidR="003A4A75" w:rsidRPr="00611BFA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935" w:type="pct"/>
          </w:tcPr>
          <w:p w14:paraId="54B956D4" w14:textId="572C8D2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21.15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10.2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>0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  <w:tc>
          <w:tcPr>
            <w:tcW w:w="904" w:type="pct"/>
          </w:tcPr>
          <w:p w14:paraId="6544EEE9" w14:textId="5BC2201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20.46 (±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9.66)</w:t>
            </w:r>
          </w:p>
        </w:tc>
        <w:tc>
          <w:tcPr>
            <w:tcW w:w="675" w:type="pct"/>
          </w:tcPr>
          <w:p w14:paraId="208E501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0.93</w:t>
            </w:r>
          </w:p>
        </w:tc>
        <w:tc>
          <w:tcPr>
            <w:tcW w:w="784" w:type="pct"/>
          </w:tcPr>
          <w:p w14:paraId="0EA2537A" w14:textId="06204CC5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741ADC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7549C76E" w14:textId="77777777" w:rsidTr="002604C8">
        <w:tc>
          <w:tcPr>
            <w:tcW w:w="1702" w:type="pct"/>
            <w:tcBorders>
              <w:bottom w:val="single" w:sz="4" w:space="0" w:color="auto"/>
            </w:tcBorders>
          </w:tcPr>
          <w:p w14:paraId="50B37A6B" w14:textId="636EE37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Mean PM size</w:t>
            </w:r>
            <w:r w:rsidR="003A4A75" w:rsidRPr="00611BFA">
              <w:rPr>
                <w:rFonts w:ascii="Book Antiqua" w:hAnsi="Book Antiqua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39" w:type="pct"/>
            <w:gridSpan w:val="2"/>
            <w:tcBorders>
              <w:bottom w:val="single" w:sz="4" w:space="0" w:color="auto"/>
            </w:tcBorders>
          </w:tcPr>
          <w:p w14:paraId="106C3C35" w14:textId="632FEB74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20.81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9.7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>0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34E6EDC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-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12FFAAD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-</w:t>
            </w:r>
          </w:p>
        </w:tc>
      </w:tr>
      <w:tr w:rsidR="008F3249" w:rsidRPr="00611BFA" w14:paraId="4D0ED874" w14:textId="77777777" w:rsidTr="002604C8"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14:paraId="2A74B22F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CT measurement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59E48C3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Examiner X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FE3FD56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Examiner 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587AA08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Pearson’s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736D8EDE" w14:textId="62AC9E6F" w:rsidR="008F3249" w:rsidRPr="00611BFA" w:rsidRDefault="003963CB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i/>
                <w:snapToGrid w:val="0"/>
                <w:color w:val="000000" w:themeColor="text1"/>
              </w:rPr>
              <w:t>P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value</w:t>
            </w:r>
          </w:p>
        </w:tc>
      </w:tr>
      <w:tr w:rsidR="008F3249" w:rsidRPr="00611BFA" w14:paraId="1527C594" w14:textId="77777777" w:rsidTr="002604C8">
        <w:tc>
          <w:tcPr>
            <w:tcW w:w="1702" w:type="pct"/>
            <w:tcBorders>
              <w:top w:val="single" w:sz="4" w:space="0" w:color="auto"/>
            </w:tcBorders>
          </w:tcPr>
          <w:p w14:paraId="4D92B314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Absolute size of the tibia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0FECF769" w14:textId="55BA8322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3.23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0.65)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10DC3543" w14:textId="1B06058C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3.13 (±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0.62)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14:paraId="6AF4151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0.95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30D92330" w14:textId="245515B4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3963CB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3502B7FA" w14:textId="77777777" w:rsidTr="002604C8">
        <w:tc>
          <w:tcPr>
            <w:tcW w:w="1702" w:type="pct"/>
          </w:tcPr>
          <w:p w14:paraId="31D369C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Absolute size of the PM</w:t>
            </w:r>
          </w:p>
        </w:tc>
        <w:tc>
          <w:tcPr>
            <w:tcW w:w="935" w:type="pct"/>
          </w:tcPr>
          <w:p w14:paraId="168DB4D0" w14:textId="6F45A0F1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0.97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0.38)</w:t>
            </w:r>
          </w:p>
        </w:tc>
        <w:tc>
          <w:tcPr>
            <w:tcW w:w="904" w:type="pct"/>
          </w:tcPr>
          <w:p w14:paraId="555E47E8" w14:textId="142643DC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0.88 (±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0.37)</w:t>
            </w:r>
          </w:p>
        </w:tc>
        <w:tc>
          <w:tcPr>
            <w:tcW w:w="675" w:type="pct"/>
          </w:tcPr>
          <w:p w14:paraId="1CF97FE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0.89</w:t>
            </w:r>
          </w:p>
        </w:tc>
        <w:tc>
          <w:tcPr>
            <w:tcW w:w="784" w:type="pct"/>
          </w:tcPr>
          <w:p w14:paraId="2AAC749F" w14:textId="6FC99B3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3963CB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52AFEB76" w14:textId="77777777" w:rsidTr="002604C8">
        <w:tc>
          <w:tcPr>
            <w:tcW w:w="1702" w:type="pct"/>
          </w:tcPr>
          <w:p w14:paraId="4458BED9" w14:textId="6CD99946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</w:t>
            </w:r>
            <w:r w:rsidR="001B37C7">
              <w:rPr>
                <w:rFonts w:ascii="Book Antiqua" w:hAnsi="Book Antiqua"/>
                <w:color w:val="000000" w:themeColor="text1"/>
              </w:rPr>
              <w:t>M</w:t>
            </w:r>
            <w:r w:rsidRPr="00611BFA">
              <w:rPr>
                <w:rFonts w:ascii="Book Antiqua" w:hAnsi="Book Antiqua"/>
                <w:color w:val="000000" w:themeColor="text1"/>
              </w:rPr>
              <w:t xml:space="preserve"> size (SAGCT</w:t>
            </w:r>
            <w:r w:rsidR="00741ADC" w:rsidRPr="00611BFA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935" w:type="pct"/>
          </w:tcPr>
          <w:p w14:paraId="1B9E5A2F" w14:textId="5D3C257A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23.45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9.51)</w:t>
            </w:r>
          </w:p>
        </w:tc>
        <w:tc>
          <w:tcPr>
            <w:tcW w:w="904" w:type="pct"/>
          </w:tcPr>
          <w:p w14:paraId="24F67E44" w14:textId="0D1906C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22.39 (±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9.96)</w:t>
            </w:r>
          </w:p>
        </w:tc>
        <w:tc>
          <w:tcPr>
            <w:tcW w:w="675" w:type="pct"/>
          </w:tcPr>
          <w:p w14:paraId="1F56AB3B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0.94</w:t>
            </w:r>
          </w:p>
        </w:tc>
        <w:tc>
          <w:tcPr>
            <w:tcW w:w="784" w:type="pct"/>
          </w:tcPr>
          <w:p w14:paraId="5AF3B692" w14:textId="32332971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3963CB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3A6BCA1A" w14:textId="77777777" w:rsidTr="002604C8">
        <w:tc>
          <w:tcPr>
            <w:tcW w:w="1702" w:type="pct"/>
            <w:tcBorders>
              <w:bottom w:val="single" w:sz="4" w:space="0" w:color="auto"/>
            </w:tcBorders>
          </w:tcPr>
          <w:p w14:paraId="41E8E156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Mean PM size</w:t>
            </w:r>
          </w:p>
        </w:tc>
        <w:tc>
          <w:tcPr>
            <w:tcW w:w="1839" w:type="pct"/>
            <w:gridSpan w:val="2"/>
            <w:tcBorders>
              <w:bottom w:val="single" w:sz="4" w:space="0" w:color="auto"/>
            </w:tcBorders>
          </w:tcPr>
          <w:p w14:paraId="1E19876C" w14:textId="4068BC9F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22.92 (±</w:t>
            </w:r>
            <w:r w:rsidR="003C51E4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9.6</w:t>
            </w:r>
            <w:r w:rsidR="00AA3D49">
              <w:rPr>
                <w:rFonts w:ascii="Book Antiqua" w:hAnsi="Book Antiqua"/>
                <w:snapToGrid w:val="0"/>
                <w:color w:val="000000" w:themeColor="text1"/>
              </w:rPr>
              <w:t>0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)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46CF24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729788E6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</w:tr>
      <w:tr w:rsidR="008F3249" w:rsidRPr="00611BFA" w14:paraId="7C531B5D" w14:textId="77777777" w:rsidTr="002604C8"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14:paraId="54352CAC" w14:textId="29F36BE8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Interobserver agreement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14:paraId="16FFAB8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Examiner X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69647392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Examiner 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4DB288D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Kappa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5538BA62" w14:textId="6C5D2090" w:rsidR="008F3249" w:rsidRPr="00611BFA" w:rsidRDefault="003C51E4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i/>
                <w:snapToGrid w:val="0"/>
                <w:color w:val="000000" w:themeColor="text1"/>
              </w:rPr>
              <w:t>P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value</w:t>
            </w:r>
          </w:p>
        </w:tc>
      </w:tr>
      <w:tr w:rsidR="008F3249" w:rsidRPr="00611BFA" w14:paraId="2F7D9D7F" w14:textId="77777777" w:rsidTr="002604C8">
        <w:tc>
          <w:tcPr>
            <w:tcW w:w="1702" w:type="pct"/>
            <w:tcBorders>
              <w:top w:val="single" w:sz="4" w:space="0" w:color="auto"/>
            </w:tcBorders>
          </w:tcPr>
          <w:p w14:paraId="1B4DAFDB" w14:textId="6C5442E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PM &lt;</w:t>
            </w:r>
            <w:r w:rsidR="00741ADC" w:rsidRPr="00611BF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color w:val="000000" w:themeColor="text1"/>
              </w:rPr>
              <w:t>25% in X-ray images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0E601BC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56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18169C7A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58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367DBF7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0.88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14:paraId="112765EB" w14:textId="202DD365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741ADC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3D525D1B" w14:textId="77777777" w:rsidTr="002604C8">
        <w:tc>
          <w:tcPr>
            <w:tcW w:w="1702" w:type="pct"/>
          </w:tcPr>
          <w:p w14:paraId="010FE2AA" w14:textId="30D2F8FC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PM ≥</w:t>
            </w:r>
            <w:r w:rsidR="00741ADC" w:rsidRPr="00611BF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color w:val="000000" w:themeColor="text1"/>
              </w:rPr>
              <w:t>25% in X-ray images</w:t>
            </w:r>
            <w:r w:rsidR="007C4792" w:rsidRPr="00611BFA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935" w:type="pct"/>
          </w:tcPr>
          <w:p w14:paraId="597738D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25</w:t>
            </w:r>
          </w:p>
        </w:tc>
        <w:tc>
          <w:tcPr>
            <w:tcW w:w="904" w:type="pct"/>
          </w:tcPr>
          <w:p w14:paraId="4DCCB34D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23</w:t>
            </w:r>
          </w:p>
        </w:tc>
        <w:tc>
          <w:tcPr>
            <w:tcW w:w="675" w:type="pct"/>
            <w:vMerge/>
          </w:tcPr>
          <w:p w14:paraId="4107677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784" w:type="pct"/>
            <w:vMerge/>
          </w:tcPr>
          <w:p w14:paraId="5418250E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</w:tr>
      <w:tr w:rsidR="008F3249" w:rsidRPr="00611BFA" w14:paraId="1FD00C56" w14:textId="77777777" w:rsidTr="002604C8">
        <w:tc>
          <w:tcPr>
            <w:tcW w:w="1702" w:type="pct"/>
          </w:tcPr>
          <w:p w14:paraId="1BCAB88A" w14:textId="4A15A746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PM &lt;</w:t>
            </w:r>
            <w:r w:rsidR="00741ADC" w:rsidRPr="00611BF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color w:val="000000" w:themeColor="text1"/>
              </w:rPr>
              <w:t>25% in CT</w:t>
            </w:r>
            <w:r w:rsidR="007C4792" w:rsidRPr="00611BFA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935" w:type="pct"/>
          </w:tcPr>
          <w:p w14:paraId="4B1656E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51</w:t>
            </w:r>
          </w:p>
        </w:tc>
        <w:tc>
          <w:tcPr>
            <w:tcW w:w="904" w:type="pct"/>
          </w:tcPr>
          <w:p w14:paraId="3310D4C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56</w:t>
            </w:r>
          </w:p>
        </w:tc>
        <w:tc>
          <w:tcPr>
            <w:tcW w:w="675" w:type="pct"/>
            <w:vMerge w:val="restart"/>
          </w:tcPr>
          <w:p w14:paraId="27BFAF9C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0.76</w:t>
            </w:r>
          </w:p>
        </w:tc>
        <w:tc>
          <w:tcPr>
            <w:tcW w:w="784" w:type="pct"/>
            <w:vMerge w:val="restart"/>
          </w:tcPr>
          <w:p w14:paraId="7FC0BAED" w14:textId="19139B84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741ADC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6A497708" w14:textId="77777777" w:rsidTr="002604C8">
        <w:tc>
          <w:tcPr>
            <w:tcW w:w="1702" w:type="pct"/>
          </w:tcPr>
          <w:p w14:paraId="0B760B00" w14:textId="4D97EEBA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PM ≥</w:t>
            </w:r>
            <w:r w:rsidR="00741ADC" w:rsidRPr="00611BFA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color w:val="000000" w:themeColor="text1"/>
              </w:rPr>
              <w:t>25% in CT</w:t>
            </w:r>
            <w:r w:rsidR="007C4792" w:rsidRPr="00611BFA">
              <w:rPr>
                <w:rFonts w:ascii="Book Antiqua" w:hAnsi="Book Antiqua"/>
                <w:color w:val="000000" w:themeColor="text1"/>
                <w:vertAlign w:val="superscript"/>
              </w:rPr>
              <w:t>b</w:t>
            </w:r>
          </w:p>
        </w:tc>
        <w:tc>
          <w:tcPr>
            <w:tcW w:w="935" w:type="pct"/>
          </w:tcPr>
          <w:p w14:paraId="4A90A49D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30</w:t>
            </w:r>
          </w:p>
        </w:tc>
        <w:tc>
          <w:tcPr>
            <w:tcW w:w="904" w:type="pct"/>
          </w:tcPr>
          <w:p w14:paraId="2A07FBEB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25</w:t>
            </w:r>
          </w:p>
        </w:tc>
        <w:tc>
          <w:tcPr>
            <w:tcW w:w="675" w:type="pct"/>
            <w:vMerge/>
          </w:tcPr>
          <w:p w14:paraId="0F583AE5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784" w:type="pct"/>
            <w:vMerge/>
          </w:tcPr>
          <w:p w14:paraId="46D81279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</w:tr>
    </w:tbl>
    <w:p w14:paraId="1F686E43" w14:textId="72DA0930" w:rsidR="008F3249" w:rsidRPr="00611BFA" w:rsidRDefault="0009771B" w:rsidP="00611BFA">
      <w:pPr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611BFA">
        <w:rPr>
          <w:rFonts w:ascii="Book Antiqua" w:hAnsi="Book Antiqua"/>
          <w:color w:val="000000" w:themeColor="text1"/>
          <w:vertAlign w:val="superscript"/>
        </w:rPr>
        <w:t>a</w:t>
      </w:r>
      <w:r w:rsidR="00C01852" w:rsidRPr="00611BFA">
        <w:rPr>
          <w:rFonts w:ascii="Book Antiqua" w:hAnsi="Book Antiqua"/>
          <w:color w:val="000000" w:themeColor="text1"/>
        </w:rPr>
        <w:t>P</w:t>
      </w:r>
      <w:r w:rsidRPr="00611BFA">
        <w:rPr>
          <w:rFonts w:ascii="Book Antiqua" w:hAnsi="Book Antiqua"/>
          <w:color w:val="000000" w:themeColor="text1"/>
        </w:rPr>
        <w:t xml:space="preserve">ercentage; </w:t>
      </w:r>
      <w:r w:rsidRPr="00611BFA">
        <w:rPr>
          <w:rFonts w:ascii="Book Antiqua" w:hAnsi="Book Antiqua"/>
          <w:color w:val="000000" w:themeColor="text1"/>
          <w:vertAlign w:val="superscript"/>
        </w:rPr>
        <w:t>b</w:t>
      </w:r>
      <w:r w:rsidRPr="00611BFA">
        <w:rPr>
          <w:rFonts w:ascii="Book Antiqua" w:hAnsi="Book Antiqua"/>
          <w:color w:val="000000" w:themeColor="text1"/>
        </w:rPr>
        <w:t>Cases (absolute frequency).</w:t>
      </w:r>
      <w:r w:rsidR="00742D95">
        <w:rPr>
          <w:rFonts w:ascii="Book Antiqua" w:hAnsi="Book Antiqua"/>
          <w:color w:val="000000" w:themeColor="text1"/>
        </w:rPr>
        <w:t xml:space="preserve"> </w:t>
      </w:r>
      <w:r w:rsidR="00CC4A6A">
        <w:rPr>
          <w:rFonts w:ascii="Book Antiqua" w:hAnsi="Book Antiqua"/>
          <w:color w:val="000000" w:themeColor="text1"/>
        </w:rPr>
        <w:t xml:space="preserve">CT: Computed tomography; </w:t>
      </w:r>
      <w:r w:rsidR="008F3249" w:rsidRPr="00611BFA">
        <w:rPr>
          <w:rFonts w:ascii="Book Antiqua" w:hAnsi="Book Antiqua"/>
          <w:color w:val="000000" w:themeColor="text1"/>
        </w:rPr>
        <w:t xml:space="preserve">PM: </w:t>
      </w:r>
      <w:r w:rsidR="004F13FB" w:rsidRPr="00611BFA">
        <w:rPr>
          <w:rFonts w:ascii="Book Antiqua" w:hAnsi="Book Antiqua"/>
          <w:color w:val="000000" w:themeColor="text1"/>
        </w:rPr>
        <w:t xml:space="preserve">Posterior </w:t>
      </w:r>
      <w:r w:rsidR="008F3249" w:rsidRPr="00611BFA">
        <w:rPr>
          <w:rFonts w:ascii="Book Antiqua" w:hAnsi="Book Antiqua"/>
          <w:color w:val="000000" w:themeColor="text1"/>
        </w:rPr>
        <w:t xml:space="preserve">malleolus; PMXR: </w:t>
      </w:r>
      <w:r w:rsidR="004F13FB" w:rsidRPr="00611BFA">
        <w:rPr>
          <w:rFonts w:ascii="Book Antiqua" w:hAnsi="Book Antiqua"/>
          <w:color w:val="000000" w:themeColor="text1"/>
        </w:rPr>
        <w:t xml:space="preserve">Profile </w:t>
      </w:r>
      <w:r w:rsidR="008F3249" w:rsidRPr="00611BFA">
        <w:rPr>
          <w:rFonts w:ascii="Book Antiqua" w:hAnsi="Book Antiqua"/>
          <w:color w:val="000000" w:themeColor="text1"/>
        </w:rPr>
        <w:t xml:space="preserve">X-ray images of the posterior malleolus; SAGCT: </w:t>
      </w:r>
      <w:r w:rsidR="003964C7" w:rsidRPr="00611BFA">
        <w:rPr>
          <w:rFonts w:ascii="Book Antiqua" w:hAnsi="Book Antiqua"/>
          <w:color w:val="000000" w:themeColor="text1"/>
        </w:rPr>
        <w:t xml:space="preserve">Sagittal </w:t>
      </w:r>
      <w:r w:rsidR="004F13FB" w:rsidRPr="00611BFA">
        <w:rPr>
          <w:rFonts w:ascii="Book Antiqua" w:hAnsi="Book Antiqua"/>
          <w:color w:val="000000" w:themeColor="text1"/>
        </w:rPr>
        <w:t>computed tomography</w:t>
      </w:r>
      <w:r w:rsidR="008F3249" w:rsidRPr="00611BFA">
        <w:rPr>
          <w:rFonts w:ascii="Book Antiqua" w:hAnsi="Book Antiqua"/>
          <w:color w:val="000000" w:themeColor="text1"/>
        </w:rPr>
        <w:t xml:space="preserve"> images of the posterior malleolus</w:t>
      </w:r>
      <w:r w:rsidR="00CC4A6A">
        <w:rPr>
          <w:rFonts w:ascii="Book Antiqua" w:hAnsi="Book Antiqua"/>
          <w:color w:val="000000" w:themeColor="text1"/>
        </w:rPr>
        <w:t>.</w:t>
      </w:r>
      <w:r w:rsidR="00742D95">
        <w:rPr>
          <w:rFonts w:ascii="Book Antiqua" w:hAnsi="Book Antiqua"/>
          <w:color w:val="000000" w:themeColor="text1"/>
        </w:rPr>
        <w:t xml:space="preserve"> </w:t>
      </w:r>
    </w:p>
    <w:p w14:paraId="045AB997" w14:textId="77777777" w:rsidR="008F3249" w:rsidRPr="00611BFA" w:rsidRDefault="008F3249" w:rsidP="00611BFA">
      <w:pPr>
        <w:spacing w:line="360" w:lineRule="auto"/>
        <w:jc w:val="both"/>
        <w:rPr>
          <w:rFonts w:ascii="Book Antiqua" w:hAnsi="Book Antiqua"/>
        </w:rPr>
      </w:pPr>
    </w:p>
    <w:p w14:paraId="20E9E28E" w14:textId="0A13D418" w:rsidR="008F3249" w:rsidRPr="00611BFA" w:rsidRDefault="00360F8B" w:rsidP="00611BFA">
      <w:pPr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  <w:b/>
          <w:snapToGrid w:val="0"/>
        </w:rPr>
        <w:lastRenderedPageBreak/>
        <w:t>Table 3</w:t>
      </w:r>
      <w:r w:rsidR="008F3249" w:rsidRPr="00611BFA">
        <w:rPr>
          <w:rFonts w:ascii="Book Antiqua" w:hAnsi="Book Antiqua"/>
          <w:b/>
          <w:snapToGrid w:val="0"/>
        </w:rPr>
        <w:t xml:space="preserve"> Analysis of the articular surface of the ankle affected by the posterior malleolar fracture in axial </w:t>
      </w:r>
      <w:r w:rsidR="00FA7D78" w:rsidRPr="00611BFA">
        <w:rPr>
          <w:rFonts w:ascii="Book Antiqua" w:hAnsi="Book Antiqua"/>
          <w:b/>
          <w:snapToGrid w:val="0"/>
        </w:rPr>
        <w:t>computed tomography</w:t>
      </w:r>
      <w:r w:rsidR="008F3249" w:rsidRPr="00611BFA">
        <w:rPr>
          <w:rFonts w:ascii="Book Antiqua" w:hAnsi="Book Antiqua"/>
          <w:b/>
          <w:snapToGrid w:val="0"/>
        </w:rPr>
        <w:t xml:space="preserve"> slices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385"/>
        <w:gridCol w:w="1383"/>
        <w:gridCol w:w="1484"/>
        <w:gridCol w:w="1494"/>
        <w:gridCol w:w="1219"/>
      </w:tblGrid>
      <w:tr w:rsidR="008F3249" w:rsidRPr="00611BFA" w14:paraId="2964D2D6" w14:textId="77777777" w:rsidTr="002604C8"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14:paraId="47A5264C" w14:textId="4E5CDD4D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Grouping according to PMXR &lt;</w:t>
            </w:r>
            <w:r w:rsidR="00360F8B" w:rsidRPr="00611BFA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25% and ≥</w:t>
            </w:r>
            <w:r w:rsidR="00360F8B" w:rsidRPr="00611BFA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25% (cases)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25BAFABE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All cases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28156FA2" w14:textId="6B23953C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Group A</w:t>
            </w:r>
            <w:r w:rsidR="00360F8B" w:rsidRPr="00611BFA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&lt;</w:t>
            </w:r>
            <w:r w:rsidR="00C96ECD" w:rsidRPr="00611BFA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25%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1203BA56" w14:textId="4F210AE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Group B</w:t>
            </w:r>
            <w:r w:rsidR="00360F8B" w:rsidRPr="00611BFA">
              <w:rPr>
                <w:rFonts w:ascii="Book Antiqua" w:hAnsi="Book Antiqua"/>
                <w:b/>
                <w:color w:val="000000" w:themeColor="text1"/>
                <w:lang w:eastAsia="zh-CN"/>
              </w:rPr>
              <w:t xml:space="preserve">,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≥</w:t>
            </w:r>
            <w:r w:rsidR="00C96ECD" w:rsidRPr="00611BFA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25%</w:t>
            </w: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14:paraId="34103408" w14:textId="74D65D64" w:rsidR="008F3249" w:rsidRPr="00611BFA" w:rsidRDefault="00360F8B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8F3249" w:rsidRPr="00611BFA">
              <w:rPr>
                <w:rFonts w:ascii="Book Antiqua" w:hAnsi="Book Antiqua"/>
                <w:b/>
                <w:color w:val="000000" w:themeColor="text1"/>
              </w:rPr>
              <w:t>value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14:paraId="6CA8F8FC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8F3249" w:rsidRPr="00611BFA" w14:paraId="14BA4CDC" w14:textId="77777777" w:rsidTr="002604C8">
        <w:tc>
          <w:tcPr>
            <w:tcW w:w="1279" w:type="pct"/>
            <w:tcBorders>
              <w:top w:val="single" w:sz="4" w:space="0" w:color="auto"/>
            </w:tcBorders>
          </w:tcPr>
          <w:p w14:paraId="1BF915D0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14:paraId="079A3E3A" w14:textId="11E234DD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14.57% (81)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  <w:lang w:eastAsia="zh-CN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9.84)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36134BE4" w14:textId="2E12BFE1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10.13% (56)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  <w:lang w:eastAsia="zh-CN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6.71)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1ABD124F" w14:textId="2057DA0E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24.52% (25)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  <w:lang w:eastAsia="zh-CN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8.40)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14:paraId="6274263B" w14:textId="797FD844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1CEB94DB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</w:tr>
      <w:tr w:rsidR="008F3249" w:rsidRPr="00611BFA" w14:paraId="73616538" w14:textId="77777777" w:rsidTr="002604C8">
        <w:tc>
          <w:tcPr>
            <w:tcW w:w="1279" w:type="pct"/>
          </w:tcPr>
          <w:p w14:paraId="4A234958" w14:textId="661C7C90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Subdivision of PMXR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>, %</w:t>
            </w:r>
          </w:p>
        </w:tc>
        <w:tc>
          <w:tcPr>
            <w:tcW w:w="740" w:type="pct"/>
          </w:tcPr>
          <w:p w14:paraId="46C1A25D" w14:textId="49FFDBA5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14.9</w:t>
            </w:r>
          </w:p>
        </w:tc>
        <w:tc>
          <w:tcPr>
            <w:tcW w:w="739" w:type="pct"/>
          </w:tcPr>
          <w:p w14:paraId="0D7EAB1F" w14:textId="2D905E50" w:rsidR="008F3249" w:rsidRPr="00611BFA" w:rsidRDefault="00617D52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15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>.0-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19.9</w:t>
            </w:r>
          </w:p>
        </w:tc>
        <w:tc>
          <w:tcPr>
            <w:tcW w:w="793" w:type="pct"/>
          </w:tcPr>
          <w:p w14:paraId="4F7775DD" w14:textId="167EF7CF" w:rsidR="008F3249" w:rsidRPr="00611BFA" w:rsidRDefault="00617D52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20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>.0-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24.9</w:t>
            </w:r>
          </w:p>
        </w:tc>
        <w:tc>
          <w:tcPr>
            <w:tcW w:w="798" w:type="pct"/>
          </w:tcPr>
          <w:p w14:paraId="34F18291" w14:textId="1FF58463" w:rsidR="008F3249" w:rsidRPr="00611BFA" w:rsidRDefault="00617D52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25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>.0-</w:t>
            </w:r>
            <w:r w:rsidR="008F3249" w:rsidRPr="00611BFA">
              <w:rPr>
                <w:rFonts w:ascii="Book Antiqua" w:hAnsi="Book Antiqua"/>
                <w:snapToGrid w:val="0"/>
                <w:color w:val="000000" w:themeColor="text1"/>
              </w:rPr>
              <w:t>29.9</w:t>
            </w:r>
          </w:p>
        </w:tc>
        <w:tc>
          <w:tcPr>
            <w:tcW w:w="651" w:type="pct"/>
          </w:tcPr>
          <w:p w14:paraId="302AC201" w14:textId="6CBE035D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≥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30</w:t>
            </w:r>
            <w:r w:rsidR="00AE0C21">
              <w:rPr>
                <w:rFonts w:ascii="Book Antiqua" w:hAnsi="Book Antiqua"/>
                <w:snapToGrid w:val="0"/>
                <w:color w:val="000000" w:themeColor="text1"/>
              </w:rPr>
              <w:t>.0</w:t>
            </w:r>
          </w:p>
        </w:tc>
      </w:tr>
      <w:tr w:rsidR="008F3249" w:rsidRPr="00611BFA" w14:paraId="0832A51F" w14:textId="77777777" w:rsidTr="002604C8">
        <w:tc>
          <w:tcPr>
            <w:tcW w:w="1279" w:type="pct"/>
          </w:tcPr>
          <w:p w14:paraId="7A7512C5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Affected articular surface % (cases)</w:t>
            </w:r>
          </w:p>
        </w:tc>
        <w:tc>
          <w:tcPr>
            <w:tcW w:w="740" w:type="pct"/>
          </w:tcPr>
          <w:p w14:paraId="4BF745A8" w14:textId="775E62F3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7.65 (26)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  <w:lang w:eastAsia="zh-CN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6.92)</w:t>
            </w:r>
          </w:p>
        </w:tc>
        <w:tc>
          <w:tcPr>
            <w:tcW w:w="739" w:type="pct"/>
          </w:tcPr>
          <w:p w14:paraId="4CB90382" w14:textId="6791B731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11.03</w:t>
            </w:r>
            <w:r w:rsidR="009E606B"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  <w:r w:rsidR="00B4278E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(18)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  <w:lang w:eastAsia="zh-CN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5.57)</w:t>
            </w:r>
          </w:p>
        </w:tc>
        <w:tc>
          <w:tcPr>
            <w:tcW w:w="793" w:type="pct"/>
          </w:tcPr>
          <w:p w14:paraId="5539CA96" w14:textId="66CF8A79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14.31 (11)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  <w:lang w:eastAsia="zh-CN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6.34)</w:t>
            </w:r>
          </w:p>
        </w:tc>
        <w:tc>
          <w:tcPr>
            <w:tcW w:w="798" w:type="pct"/>
          </w:tcPr>
          <w:p w14:paraId="251DC252" w14:textId="05744E5F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20.79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  <w:r w:rsidRPr="00611BFA" w:rsidDel="00E42E35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(14)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(±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4.19)</w:t>
            </w:r>
          </w:p>
        </w:tc>
        <w:tc>
          <w:tcPr>
            <w:tcW w:w="651" w:type="pct"/>
          </w:tcPr>
          <w:p w14:paraId="01B497DD" w14:textId="59EF4A68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27.87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  <w:r w:rsidRPr="00611BFA" w:rsidDel="00E42E35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(12) (±</w:t>
            </w:r>
            <w:r w:rsidR="00617D52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10.78)</w:t>
            </w:r>
          </w:p>
        </w:tc>
      </w:tr>
    </w:tbl>
    <w:p w14:paraId="19F553B5" w14:textId="625C5652" w:rsidR="008F3249" w:rsidRPr="00611BFA" w:rsidRDefault="004241A0" w:rsidP="00611BFA">
      <w:pPr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611BFA">
        <w:rPr>
          <w:rFonts w:ascii="Book Antiqua" w:hAnsi="Book Antiqua"/>
          <w:snapToGrid w:val="0"/>
          <w:color w:val="000000" w:themeColor="text1"/>
          <w:vertAlign w:val="superscript"/>
        </w:rPr>
        <w:t>a</w:t>
      </w:r>
      <w:r w:rsidR="00932C80">
        <w:rPr>
          <w:rFonts w:ascii="Book Antiqua" w:hAnsi="Book Antiqua"/>
          <w:snapToGrid w:val="0"/>
          <w:color w:val="000000" w:themeColor="text1"/>
        </w:rPr>
        <w:t>S</w:t>
      </w:r>
      <w:r w:rsidRPr="00611BFA">
        <w:rPr>
          <w:rFonts w:ascii="Book Antiqua" w:hAnsi="Book Antiqua"/>
          <w:snapToGrid w:val="0"/>
          <w:color w:val="000000" w:themeColor="text1"/>
        </w:rPr>
        <w:t>tatistically significant (</w:t>
      </w:r>
      <w:r w:rsidR="00D4520E" w:rsidRPr="00611BFA">
        <w:rPr>
          <w:rFonts w:ascii="Book Antiqua" w:hAnsi="Book Antiqua"/>
          <w:i/>
          <w:snapToGrid w:val="0"/>
          <w:color w:val="000000" w:themeColor="text1"/>
        </w:rPr>
        <w:t>P</w:t>
      </w:r>
      <w:r w:rsidRPr="00611BFA">
        <w:rPr>
          <w:rFonts w:ascii="Book Antiqua" w:hAnsi="Book Antiqua"/>
          <w:snapToGrid w:val="0"/>
          <w:color w:val="000000" w:themeColor="text1"/>
        </w:rPr>
        <w:t xml:space="preserve"> &lt; 0.05) when compared to the previous group.</w:t>
      </w:r>
      <w:r w:rsidR="00932C80">
        <w:rPr>
          <w:rFonts w:ascii="Book Antiqua" w:hAnsi="Book Antiqua"/>
          <w:snapToGrid w:val="0"/>
          <w:color w:val="000000" w:themeColor="text1"/>
        </w:rPr>
        <w:t xml:space="preserve"> </w:t>
      </w:r>
      <w:r w:rsidR="008F3249" w:rsidRPr="00611BFA">
        <w:rPr>
          <w:rFonts w:ascii="Book Antiqua" w:hAnsi="Book Antiqua"/>
          <w:snapToGrid w:val="0"/>
          <w:color w:val="000000" w:themeColor="text1"/>
        </w:rPr>
        <w:t xml:space="preserve">PMXR: </w:t>
      </w:r>
      <w:r w:rsidR="00017A39" w:rsidRPr="00611BFA">
        <w:rPr>
          <w:rFonts w:ascii="Book Antiqua" w:hAnsi="Book Antiqua"/>
          <w:snapToGrid w:val="0"/>
          <w:color w:val="000000" w:themeColor="text1"/>
        </w:rPr>
        <w:t xml:space="preserve">Profile </w:t>
      </w:r>
      <w:r w:rsidR="008F3249" w:rsidRPr="00611BFA">
        <w:rPr>
          <w:rFonts w:ascii="Book Antiqua" w:hAnsi="Book Antiqua"/>
          <w:snapToGrid w:val="0"/>
          <w:color w:val="000000" w:themeColor="text1"/>
        </w:rPr>
        <w:t>X-ray images of the posterior malleolus</w:t>
      </w:r>
      <w:r w:rsidR="00D102ED" w:rsidRPr="00611BFA">
        <w:rPr>
          <w:rFonts w:ascii="Book Antiqua" w:hAnsi="Book Antiqua"/>
          <w:snapToGrid w:val="0"/>
          <w:color w:val="000000" w:themeColor="text1"/>
        </w:rPr>
        <w:t>.</w:t>
      </w:r>
    </w:p>
    <w:p w14:paraId="1E06C30F" w14:textId="77777777" w:rsidR="00A60FAA" w:rsidRDefault="00A60FAA" w:rsidP="00611BF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napToGrid w:val="0"/>
        </w:rPr>
      </w:pPr>
    </w:p>
    <w:p w14:paraId="51E61B0C" w14:textId="0B688333" w:rsidR="008F3249" w:rsidRPr="00611BFA" w:rsidRDefault="003F0718" w:rsidP="00611BF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  <w:b/>
          <w:snapToGrid w:val="0"/>
        </w:rPr>
        <w:t>Table 4</w:t>
      </w:r>
      <w:r w:rsidR="008F3249" w:rsidRPr="00611BFA">
        <w:rPr>
          <w:rFonts w:ascii="Book Antiqua" w:hAnsi="Book Antiqua"/>
          <w:b/>
          <w:snapToGrid w:val="0"/>
        </w:rPr>
        <w:t xml:space="preserve"> Relationship between the size of the posterior malleolus and the affected articular surface according to </w:t>
      </w:r>
      <w:r w:rsidR="00605FF4">
        <w:rPr>
          <w:rFonts w:ascii="Book Antiqua" w:hAnsi="Book Antiqua"/>
          <w:b/>
          <w:snapToGrid w:val="0"/>
        </w:rPr>
        <w:t xml:space="preserve">the </w:t>
      </w:r>
      <w:r w:rsidR="008F3249" w:rsidRPr="00611BFA">
        <w:rPr>
          <w:rFonts w:ascii="Book Antiqua" w:hAnsi="Book Antiqua"/>
          <w:b/>
          <w:snapToGrid w:val="0"/>
        </w:rPr>
        <w:t>Haraguchi classification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708"/>
        <w:gridCol w:w="1707"/>
        <w:gridCol w:w="1595"/>
        <w:gridCol w:w="1045"/>
      </w:tblGrid>
      <w:tr w:rsidR="008F3249" w:rsidRPr="00611BFA" w14:paraId="29B95742" w14:textId="77777777" w:rsidTr="00702D43">
        <w:tc>
          <w:tcPr>
            <w:tcW w:w="1765" w:type="pct"/>
            <w:tcBorders>
              <w:top w:val="single" w:sz="4" w:space="0" w:color="auto"/>
              <w:bottom w:val="nil"/>
            </w:tcBorders>
          </w:tcPr>
          <w:p w14:paraId="03A88A7B" w14:textId="5235604D" w:rsidR="008F3249" w:rsidRPr="00611BFA" w:rsidRDefault="001F7AB2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Classification</w:t>
            </w:r>
          </w:p>
        </w:tc>
        <w:tc>
          <w:tcPr>
            <w:tcW w:w="2676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D5527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Haraguchi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59C9B1DD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8F3249" w:rsidRPr="00611BFA" w14:paraId="0A554DA0" w14:textId="77777777" w:rsidTr="00702D43">
        <w:tc>
          <w:tcPr>
            <w:tcW w:w="1765" w:type="pct"/>
            <w:tcBorders>
              <w:top w:val="nil"/>
              <w:bottom w:val="single" w:sz="4" w:space="0" w:color="auto"/>
            </w:tcBorders>
          </w:tcPr>
          <w:p w14:paraId="46554F00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C48C8A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I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50664B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II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71351F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III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0FB311" w14:textId="38D4ABC3" w:rsidR="008F3249" w:rsidRPr="00611BFA" w:rsidRDefault="00602BCD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="008F3249" w:rsidRPr="00611BFA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</w:tr>
      <w:tr w:rsidR="008F3249" w:rsidRPr="00611BFA" w14:paraId="6524B6AE" w14:textId="77777777" w:rsidTr="00702D43">
        <w:tc>
          <w:tcPr>
            <w:tcW w:w="1765" w:type="pct"/>
            <w:tcBorders>
              <w:top w:val="single" w:sz="4" w:space="0" w:color="auto"/>
            </w:tcBorders>
            <w:hideMark/>
          </w:tcPr>
          <w:p w14:paraId="058F9A5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Cases (%)</w:t>
            </w:r>
          </w:p>
        </w:tc>
        <w:tc>
          <w:tcPr>
            <w:tcW w:w="912" w:type="pct"/>
            <w:tcBorders>
              <w:top w:val="single" w:sz="4" w:space="0" w:color="auto"/>
            </w:tcBorders>
            <w:hideMark/>
          </w:tcPr>
          <w:p w14:paraId="711FC8D3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29 (35.8)</w:t>
            </w:r>
          </w:p>
        </w:tc>
        <w:tc>
          <w:tcPr>
            <w:tcW w:w="912" w:type="pct"/>
            <w:tcBorders>
              <w:top w:val="single" w:sz="4" w:space="0" w:color="auto"/>
            </w:tcBorders>
            <w:hideMark/>
          </w:tcPr>
          <w:p w14:paraId="6B6837B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33 (40.7)</w:t>
            </w:r>
          </w:p>
        </w:tc>
        <w:tc>
          <w:tcPr>
            <w:tcW w:w="852" w:type="pct"/>
            <w:tcBorders>
              <w:top w:val="single" w:sz="4" w:space="0" w:color="auto"/>
            </w:tcBorders>
            <w:hideMark/>
          </w:tcPr>
          <w:p w14:paraId="182E6B6F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19 (23.4)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hideMark/>
          </w:tcPr>
          <w:p w14:paraId="47DC2FDB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N/A</w:t>
            </w:r>
          </w:p>
        </w:tc>
      </w:tr>
      <w:tr w:rsidR="008F3249" w:rsidRPr="00611BFA" w14:paraId="14C1304D" w14:textId="77777777" w:rsidTr="00702D43">
        <w:tc>
          <w:tcPr>
            <w:tcW w:w="1765" w:type="pct"/>
            <w:hideMark/>
          </w:tcPr>
          <w:p w14:paraId="4C810E0C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X-ray</w:t>
            </w:r>
          </w:p>
        </w:tc>
        <w:tc>
          <w:tcPr>
            <w:tcW w:w="912" w:type="pct"/>
          </w:tcPr>
          <w:p w14:paraId="0E04BE3A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912" w:type="pct"/>
          </w:tcPr>
          <w:p w14:paraId="67025EB5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852" w:type="pct"/>
          </w:tcPr>
          <w:p w14:paraId="60F822F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558" w:type="pct"/>
          </w:tcPr>
          <w:p w14:paraId="2A623613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</w:tr>
      <w:tr w:rsidR="008F3249" w:rsidRPr="00611BFA" w14:paraId="70EB47EB" w14:textId="77777777" w:rsidTr="00702D43">
        <w:tc>
          <w:tcPr>
            <w:tcW w:w="1765" w:type="pct"/>
            <w:hideMark/>
          </w:tcPr>
          <w:p w14:paraId="5266B2B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PM size % (PMXR)</w:t>
            </w:r>
          </w:p>
        </w:tc>
        <w:tc>
          <w:tcPr>
            <w:tcW w:w="912" w:type="pct"/>
            <w:hideMark/>
          </w:tcPr>
          <w:p w14:paraId="48E21D65" w14:textId="71D001B4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21.66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(±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9.91)</w:t>
            </w:r>
          </w:p>
        </w:tc>
        <w:tc>
          <w:tcPr>
            <w:tcW w:w="912" w:type="pct"/>
            <w:hideMark/>
          </w:tcPr>
          <w:p w14:paraId="258E9784" w14:textId="17561B7A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24.84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(±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9.03)</w:t>
            </w:r>
          </w:p>
        </w:tc>
        <w:tc>
          <w:tcPr>
            <w:tcW w:w="852" w:type="pct"/>
            <w:hideMark/>
          </w:tcPr>
          <w:p w14:paraId="6A57650A" w14:textId="026FD54A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12.45 (±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4.17)</w:t>
            </w:r>
          </w:p>
        </w:tc>
        <w:tc>
          <w:tcPr>
            <w:tcW w:w="558" w:type="pct"/>
            <w:hideMark/>
          </w:tcPr>
          <w:p w14:paraId="35CC126A" w14:textId="6B14C535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  <w:tr w:rsidR="008F3249" w:rsidRPr="00611BFA" w14:paraId="5013A555" w14:textId="77777777" w:rsidTr="00702D43">
        <w:tc>
          <w:tcPr>
            <w:tcW w:w="1765" w:type="pct"/>
            <w:hideMark/>
          </w:tcPr>
          <w:p w14:paraId="0D32F34B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CT</w:t>
            </w:r>
          </w:p>
        </w:tc>
        <w:tc>
          <w:tcPr>
            <w:tcW w:w="912" w:type="pct"/>
          </w:tcPr>
          <w:p w14:paraId="76AC2D87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912" w:type="pct"/>
          </w:tcPr>
          <w:p w14:paraId="465B977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852" w:type="pct"/>
          </w:tcPr>
          <w:p w14:paraId="42CEA126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558" w:type="pct"/>
          </w:tcPr>
          <w:p w14:paraId="0C08FE62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</w:tr>
      <w:tr w:rsidR="008F3249" w:rsidRPr="00611BFA" w14:paraId="3475437A" w14:textId="77777777" w:rsidTr="00702D43">
        <w:tc>
          <w:tcPr>
            <w:tcW w:w="1765" w:type="pct"/>
            <w:hideMark/>
          </w:tcPr>
          <w:p w14:paraId="1CBA7C6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11BFA">
              <w:rPr>
                <w:rFonts w:ascii="Book Antiqua" w:hAnsi="Book Antiqua"/>
                <w:color w:val="000000" w:themeColor="text1"/>
              </w:rPr>
              <w:t>Articular surface of the tibial plafond % (AXCT)</w:t>
            </w:r>
          </w:p>
        </w:tc>
        <w:tc>
          <w:tcPr>
            <w:tcW w:w="912" w:type="pct"/>
            <w:hideMark/>
          </w:tcPr>
          <w:p w14:paraId="3943630B" w14:textId="19D3EA4B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12.24 (±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5.47)</w:t>
            </w:r>
          </w:p>
        </w:tc>
        <w:tc>
          <w:tcPr>
            <w:tcW w:w="912" w:type="pct"/>
            <w:hideMark/>
          </w:tcPr>
          <w:p w14:paraId="693B7EDA" w14:textId="5D68D583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22.80 (±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8.28)</w:t>
            </w:r>
          </w:p>
        </w:tc>
        <w:tc>
          <w:tcPr>
            <w:tcW w:w="852" w:type="pct"/>
            <w:hideMark/>
          </w:tcPr>
          <w:p w14:paraId="2A7E5394" w14:textId="6DCA3C15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3.84 (±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2.78)</w:t>
            </w:r>
          </w:p>
        </w:tc>
        <w:tc>
          <w:tcPr>
            <w:tcW w:w="558" w:type="pct"/>
            <w:hideMark/>
          </w:tcPr>
          <w:p w14:paraId="4B591B33" w14:textId="16DE6B62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&lt;</w:t>
            </w:r>
            <w:r w:rsidR="001F7FE3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0.001</w:t>
            </w:r>
          </w:p>
        </w:tc>
      </w:tr>
    </w:tbl>
    <w:p w14:paraId="11AA71E5" w14:textId="53166F7F" w:rsidR="008F3249" w:rsidRPr="00611BFA" w:rsidRDefault="00702D43" w:rsidP="00611BF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snapToGrid w:val="0"/>
        </w:rPr>
      </w:pPr>
      <w:r w:rsidRPr="00611BFA">
        <w:rPr>
          <w:rFonts w:ascii="Book Antiqua" w:hAnsi="Book Antiqua"/>
          <w:snapToGrid w:val="0"/>
          <w:vertAlign w:val="superscript"/>
        </w:rPr>
        <w:t>a</w:t>
      </w:r>
      <w:r w:rsidRPr="00611BFA">
        <w:rPr>
          <w:rFonts w:ascii="Book Antiqua" w:hAnsi="Book Antiqua"/>
          <w:snapToGrid w:val="0"/>
        </w:rPr>
        <w:t xml:space="preserve">There was a statistically significant difference only when compared to Haraguchi </w:t>
      </w:r>
      <w:r w:rsidR="00605FF4">
        <w:rPr>
          <w:rFonts w:ascii="Book Antiqua" w:hAnsi="Book Antiqua"/>
          <w:snapToGrid w:val="0"/>
        </w:rPr>
        <w:t>III</w:t>
      </w:r>
      <w:r w:rsidRPr="00611BFA">
        <w:rPr>
          <w:rFonts w:ascii="Book Antiqua" w:hAnsi="Book Antiqua"/>
          <w:snapToGrid w:val="0"/>
        </w:rPr>
        <w:t xml:space="preserve">. There was no significant difference between Haraguchi </w:t>
      </w:r>
      <w:r w:rsidR="00605FF4">
        <w:rPr>
          <w:rFonts w:ascii="Book Antiqua" w:hAnsi="Book Antiqua"/>
          <w:snapToGrid w:val="0"/>
        </w:rPr>
        <w:t>I</w:t>
      </w:r>
      <w:r w:rsidRPr="00611BFA">
        <w:rPr>
          <w:rFonts w:ascii="Book Antiqua" w:hAnsi="Book Antiqua"/>
          <w:snapToGrid w:val="0"/>
        </w:rPr>
        <w:t xml:space="preserve"> and </w:t>
      </w:r>
      <w:r w:rsidR="00605FF4">
        <w:rPr>
          <w:rFonts w:ascii="Book Antiqua" w:hAnsi="Book Antiqua"/>
          <w:snapToGrid w:val="0"/>
        </w:rPr>
        <w:t>II</w:t>
      </w:r>
      <w:r w:rsidRPr="00611BFA">
        <w:rPr>
          <w:rFonts w:ascii="Book Antiqua" w:hAnsi="Book Antiqua"/>
          <w:snapToGrid w:val="0"/>
        </w:rPr>
        <w:t>; there was a statistically significant difference when all categories were compared</w:t>
      </w:r>
      <w:r w:rsidR="005761E9">
        <w:rPr>
          <w:rFonts w:ascii="Book Antiqua" w:hAnsi="Book Antiqua"/>
          <w:snapToGrid w:val="0"/>
        </w:rPr>
        <w:t>. The</w:t>
      </w:r>
      <w:r w:rsidR="005761E9" w:rsidRPr="005761E9">
        <w:rPr>
          <w:rFonts w:ascii="Book Antiqua" w:hAnsi="Book Antiqua"/>
          <w:i/>
          <w:snapToGrid w:val="0"/>
        </w:rPr>
        <w:t xml:space="preserve"> </w:t>
      </w:r>
      <w:r w:rsidR="005761E9" w:rsidRPr="00611BFA">
        <w:rPr>
          <w:rFonts w:ascii="Book Antiqua" w:hAnsi="Book Antiqua"/>
          <w:i/>
          <w:snapToGrid w:val="0"/>
        </w:rPr>
        <w:t>P</w:t>
      </w:r>
      <w:r w:rsidR="005761E9" w:rsidRPr="00611BFA">
        <w:rPr>
          <w:rFonts w:ascii="Book Antiqua" w:hAnsi="Book Antiqua"/>
          <w:snapToGrid w:val="0"/>
        </w:rPr>
        <w:t xml:space="preserve"> &lt; 0.001 value </w:t>
      </w:r>
      <w:r w:rsidR="005761E9">
        <w:rPr>
          <w:rFonts w:ascii="Book Antiqua" w:hAnsi="Book Antiqua"/>
          <w:snapToGrid w:val="0"/>
        </w:rPr>
        <w:t>wa</w:t>
      </w:r>
      <w:r w:rsidR="005761E9" w:rsidRPr="00611BFA">
        <w:rPr>
          <w:rFonts w:ascii="Book Antiqua" w:hAnsi="Book Antiqua"/>
          <w:snapToGrid w:val="0"/>
        </w:rPr>
        <w:t xml:space="preserve">s found </w:t>
      </w:r>
      <w:r w:rsidR="005761E9" w:rsidRPr="00611BFA">
        <w:rPr>
          <w:rFonts w:ascii="Book Antiqua" w:hAnsi="Book Antiqua"/>
          <w:snapToGrid w:val="0"/>
        </w:rPr>
        <w:lastRenderedPageBreak/>
        <w:t>when comparing the three groups and indicates a significant statistical difference</w:t>
      </w:r>
      <w:r w:rsidRPr="00611BFA">
        <w:rPr>
          <w:rFonts w:ascii="Book Antiqua" w:hAnsi="Book Antiqua"/>
          <w:snapToGrid w:val="0"/>
        </w:rPr>
        <w:t>.</w:t>
      </w:r>
      <w:r w:rsidRPr="00611BFA">
        <w:rPr>
          <w:rFonts w:ascii="Book Antiqua" w:hAnsi="Book Antiqua"/>
          <w:snapToGrid w:val="0"/>
          <w:lang w:eastAsia="zh-CN"/>
        </w:rPr>
        <w:t xml:space="preserve"> </w:t>
      </w:r>
      <w:r w:rsidR="00CC4A6A" w:rsidRPr="00611BFA">
        <w:rPr>
          <w:rFonts w:ascii="Book Antiqua" w:hAnsi="Book Antiqua"/>
          <w:snapToGrid w:val="0"/>
        </w:rPr>
        <w:t xml:space="preserve">AXCT: Axial computed tomography slice of the posterior malleolus; </w:t>
      </w:r>
      <w:r w:rsidR="00CC4A6A">
        <w:rPr>
          <w:rFonts w:ascii="Book Antiqua" w:hAnsi="Book Antiqua"/>
          <w:snapToGrid w:val="0"/>
        </w:rPr>
        <w:t xml:space="preserve">CT: Computed tomography; </w:t>
      </w:r>
      <w:r w:rsidR="00CC4A6A" w:rsidRPr="00611BFA">
        <w:rPr>
          <w:rFonts w:ascii="Book Antiqua" w:hAnsi="Book Antiqua"/>
          <w:snapToGrid w:val="0"/>
        </w:rPr>
        <w:t>N/A: Not applicable</w:t>
      </w:r>
      <w:r w:rsidR="00CC4A6A">
        <w:rPr>
          <w:rFonts w:ascii="Book Antiqua" w:hAnsi="Book Antiqua"/>
          <w:snapToGrid w:val="0"/>
        </w:rPr>
        <w:t>; PM: Posterior malleolus;</w:t>
      </w:r>
      <w:r w:rsidR="00CC4A6A" w:rsidRPr="00611BFA">
        <w:rPr>
          <w:rFonts w:ascii="Book Antiqua" w:hAnsi="Book Antiqua"/>
          <w:snapToGrid w:val="0"/>
        </w:rPr>
        <w:t xml:space="preserve"> </w:t>
      </w:r>
      <w:r w:rsidR="008F3249" w:rsidRPr="00611BFA">
        <w:rPr>
          <w:rFonts w:ascii="Book Antiqua" w:hAnsi="Book Antiqua"/>
          <w:snapToGrid w:val="0"/>
        </w:rPr>
        <w:t xml:space="preserve">PMXR: </w:t>
      </w:r>
      <w:r w:rsidRPr="00611BFA">
        <w:rPr>
          <w:rFonts w:ascii="Book Antiqua" w:hAnsi="Book Antiqua"/>
          <w:snapToGrid w:val="0"/>
        </w:rPr>
        <w:t xml:space="preserve">Profile </w:t>
      </w:r>
      <w:r w:rsidR="008F3249" w:rsidRPr="00611BFA">
        <w:rPr>
          <w:rFonts w:ascii="Book Antiqua" w:hAnsi="Book Antiqua"/>
          <w:snapToGrid w:val="0"/>
        </w:rPr>
        <w:t>X-ray images of the posterior malleolus.</w:t>
      </w:r>
    </w:p>
    <w:p w14:paraId="52E0181C" w14:textId="77777777" w:rsidR="008F3249" w:rsidRPr="00611BFA" w:rsidRDefault="008F3249" w:rsidP="00611BF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0A3DBB" w14:textId="558FC8F3" w:rsidR="008F3249" w:rsidRPr="00611BFA" w:rsidRDefault="005E74C7" w:rsidP="00611BF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  <w:b/>
          <w:snapToGrid w:val="0"/>
        </w:rPr>
        <w:t>Table 5</w:t>
      </w:r>
      <w:r w:rsidR="008F3249" w:rsidRPr="00611BFA">
        <w:rPr>
          <w:rFonts w:ascii="Book Antiqua" w:hAnsi="Book Antiqua"/>
          <w:b/>
          <w:snapToGrid w:val="0"/>
        </w:rPr>
        <w:t xml:space="preserve"> Articular surface of the posterior malleolus in axial </w:t>
      </w:r>
      <w:r w:rsidR="00457929" w:rsidRPr="00611BFA">
        <w:rPr>
          <w:rFonts w:ascii="Book Antiqua" w:hAnsi="Book Antiqua"/>
          <w:b/>
          <w:snapToGrid w:val="0"/>
        </w:rPr>
        <w:t>computed tomography</w:t>
      </w:r>
      <w:r w:rsidR="008F3249" w:rsidRPr="00611BFA">
        <w:rPr>
          <w:rFonts w:ascii="Book Antiqua" w:hAnsi="Book Antiqua"/>
          <w:b/>
          <w:snapToGrid w:val="0"/>
        </w:rPr>
        <w:t xml:space="preserve"> slices according to</w:t>
      </w:r>
      <w:r w:rsidR="005761E9">
        <w:rPr>
          <w:rFonts w:ascii="Book Antiqua" w:hAnsi="Book Antiqua"/>
          <w:b/>
          <w:snapToGrid w:val="0"/>
        </w:rPr>
        <w:t xml:space="preserve"> the</w:t>
      </w:r>
      <w:r w:rsidR="008F3249" w:rsidRPr="00611BFA">
        <w:rPr>
          <w:rFonts w:ascii="Book Antiqua" w:hAnsi="Book Antiqua"/>
          <w:b/>
          <w:snapToGrid w:val="0"/>
        </w:rPr>
        <w:t xml:space="preserve"> Haraguchi classification</w:t>
      </w: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386"/>
        <w:gridCol w:w="3585"/>
      </w:tblGrid>
      <w:tr w:rsidR="008F3249" w:rsidRPr="00611BFA" w14:paraId="51A0C828" w14:textId="77777777" w:rsidTr="002604C8">
        <w:trPr>
          <w:trHeight w:val="567"/>
        </w:trPr>
        <w:tc>
          <w:tcPr>
            <w:tcW w:w="127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EF1D74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Haraguchi (</w:t>
            </w:r>
            <w:r w:rsidRPr="00A60FAA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3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9C1E8" w14:textId="501BDCB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color w:val="000000" w:themeColor="text1"/>
              </w:rPr>
              <w:t>Size of the posterior malleolus</w:t>
            </w:r>
            <w:r w:rsidR="00CC4A6A">
              <w:rPr>
                <w:rFonts w:ascii="Book Antiqua" w:hAnsi="Book Antiqua"/>
                <w:b/>
                <w:color w:val="000000" w:themeColor="text1"/>
              </w:rPr>
              <w:t>,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C4A6A">
              <w:rPr>
                <w:rFonts w:ascii="Book Antiqua" w:hAnsi="Book Antiqua"/>
                <w:b/>
                <w:color w:val="000000" w:themeColor="text1"/>
              </w:rPr>
              <w:t xml:space="preserve">by </w:t>
            </w:r>
            <w:r w:rsidRPr="00611BFA">
              <w:rPr>
                <w:rFonts w:ascii="Book Antiqua" w:hAnsi="Book Antiqua"/>
                <w:b/>
                <w:color w:val="000000" w:themeColor="text1"/>
              </w:rPr>
              <w:t>X-ray</w:t>
            </w:r>
          </w:p>
        </w:tc>
      </w:tr>
      <w:tr w:rsidR="008F3249" w:rsidRPr="00611BFA" w14:paraId="4C88EE36" w14:textId="77777777" w:rsidTr="002604C8">
        <w:tc>
          <w:tcPr>
            <w:tcW w:w="12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2B8F6F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</w:p>
        </w:tc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14:paraId="422A5430" w14:textId="0DBDCD39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>&lt;</w:t>
            </w:r>
            <w:r w:rsidR="00876BD6"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>25%</w:t>
            </w:r>
            <w:r w:rsidR="00CC4A6A">
              <w:rPr>
                <w:rFonts w:ascii="Book Antiqua" w:hAnsi="Book Antiqua"/>
                <w:b/>
                <w:snapToGrid w:val="0"/>
                <w:color w:val="000000" w:themeColor="text1"/>
              </w:rPr>
              <w:t>,</w:t>
            </w: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i/>
                <w:snapToGrid w:val="0"/>
                <w:color w:val="000000" w:themeColor="text1"/>
              </w:rPr>
              <w:t>n</w:t>
            </w: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 xml:space="preserve"> = 56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6CEC9E7C" w14:textId="78DC7B08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>≥</w:t>
            </w:r>
            <w:r w:rsidR="00876BD6"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>25%</w:t>
            </w:r>
            <w:r w:rsidR="00CC4A6A">
              <w:rPr>
                <w:rFonts w:ascii="Book Antiqua" w:hAnsi="Book Antiqua"/>
                <w:b/>
                <w:snapToGrid w:val="0"/>
                <w:color w:val="000000" w:themeColor="text1"/>
              </w:rPr>
              <w:t>,</w:t>
            </w: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 xml:space="preserve"> </w:t>
            </w:r>
            <w:r w:rsidR="00876BD6" w:rsidRPr="00611BFA">
              <w:rPr>
                <w:rFonts w:ascii="Book Antiqua" w:hAnsi="Book Antiqua"/>
                <w:b/>
                <w:i/>
                <w:snapToGrid w:val="0"/>
                <w:color w:val="000000" w:themeColor="text1"/>
              </w:rPr>
              <w:t>n</w:t>
            </w:r>
            <w:r w:rsidRPr="00611BFA">
              <w:rPr>
                <w:rFonts w:ascii="Book Antiqua" w:hAnsi="Book Antiqua"/>
                <w:b/>
                <w:snapToGrid w:val="0"/>
                <w:color w:val="000000" w:themeColor="text1"/>
              </w:rPr>
              <w:t xml:space="preserve"> = 25</w:t>
            </w:r>
          </w:p>
        </w:tc>
      </w:tr>
      <w:tr w:rsidR="008F3249" w:rsidRPr="00611BFA" w14:paraId="433A1BF2" w14:textId="77777777" w:rsidTr="002604C8">
        <w:tc>
          <w:tcPr>
            <w:tcW w:w="1276" w:type="pct"/>
            <w:tcBorders>
              <w:top w:val="single" w:sz="4" w:space="0" w:color="auto"/>
            </w:tcBorders>
          </w:tcPr>
          <w:p w14:paraId="3C276E80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I (29)</w:t>
            </w:r>
          </w:p>
        </w:tc>
        <w:tc>
          <w:tcPr>
            <w:tcW w:w="1809" w:type="pct"/>
            <w:tcBorders>
              <w:top w:val="single" w:sz="4" w:space="0" w:color="auto"/>
            </w:tcBorders>
          </w:tcPr>
          <w:p w14:paraId="4FC6F905" w14:textId="2491AFD1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10.84% (±</w:t>
            </w:r>
            <w:r w:rsidR="00796381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3.74)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</w:p>
        </w:tc>
        <w:tc>
          <w:tcPr>
            <w:tcW w:w="1915" w:type="pct"/>
            <w:tcBorders>
              <w:top w:val="single" w:sz="4" w:space="0" w:color="auto"/>
            </w:tcBorders>
          </w:tcPr>
          <w:p w14:paraId="1F4C0A76" w14:textId="1B06004E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15.29% (±</w:t>
            </w:r>
            <w:r w:rsidR="00796381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7.62)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b</w:t>
            </w:r>
          </w:p>
        </w:tc>
      </w:tr>
      <w:tr w:rsidR="008F3249" w:rsidRPr="00611BFA" w14:paraId="795A43C6" w14:textId="77777777" w:rsidTr="002604C8">
        <w:tc>
          <w:tcPr>
            <w:tcW w:w="1276" w:type="pct"/>
          </w:tcPr>
          <w:p w14:paraId="274EECE8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II (33)</w:t>
            </w:r>
          </w:p>
        </w:tc>
        <w:tc>
          <w:tcPr>
            <w:tcW w:w="1809" w:type="pct"/>
          </w:tcPr>
          <w:p w14:paraId="19E33987" w14:textId="0412AB23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17.99% (±</w:t>
            </w:r>
            <w:r w:rsidR="00796381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5.79)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</w:p>
        </w:tc>
        <w:tc>
          <w:tcPr>
            <w:tcW w:w="1915" w:type="pct"/>
          </w:tcPr>
          <w:p w14:paraId="3D22C131" w14:textId="2B8EA96A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27.33% (±</w:t>
            </w:r>
            <w:r w:rsidR="00796381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7.81)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b</w:t>
            </w:r>
            <w:r w:rsidRPr="00611BFA" w:rsidDel="009C589B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</w:p>
        </w:tc>
      </w:tr>
      <w:tr w:rsidR="008F3249" w:rsidRPr="00611BFA" w14:paraId="3C5EEBFA" w14:textId="77777777" w:rsidTr="002604C8">
        <w:tc>
          <w:tcPr>
            <w:tcW w:w="1276" w:type="pct"/>
            <w:tcBorders>
              <w:bottom w:val="single" w:sz="4" w:space="0" w:color="auto"/>
            </w:tcBorders>
          </w:tcPr>
          <w:p w14:paraId="16E6EE01" w14:textId="77777777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III (19)</w:t>
            </w:r>
          </w:p>
        </w:tc>
        <w:tc>
          <w:tcPr>
            <w:tcW w:w="1809" w:type="pct"/>
            <w:tcBorders>
              <w:bottom w:val="single" w:sz="4" w:space="0" w:color="auto"/>
            </w:tcBorders>
          </w:tcPr>
          <w:p w14:paraId="34456592" w14:textId="5B3C18C2" w:rsidR="008F3249" w:rsidRPr="00611BFA" w:rsidRDefault="008F3249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3.84% (±</w:t>
            </w:r>
            <w:r w:rsidR="00796381" w:rsidRPr="00611BFA">
              <w:rPr>
                <w:rFonts w:ascii="Book Antiqua" w:hAnsi="Book Antiqua"/>
                <w:snapToGrid w:val="0"/>
                <w:color w:val="000000" w:themeColor="text1"/>
              </w:rPr>
              <w:t xml:space="preserve"> 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</w:rPr>
              <w:t>2.78)</w:t>
            </w:r>
            <w:r w:rsidRPr="00611BFA">
              <w:rPr>
                <w:rFonts w:ascii="Book Antiqua" w:hAnsi="Book Antiqua"/>
                <w:snapToGrid w:val="0"/>
                <w:color w:val="000000" w:themeColor="text1"/>
                <w:vertAlign w:val="superscript"/>
              </w:rPr>
              <w:t>a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14:paraId="65565745" w14:textId="6A500746" w:rsidR="008F3249" w:rsidRPr="00611BFA" w:rsidRDefault="00A60FAA" w:rsidP="00611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napToGrid w:val="0"/>
                <w:color w:val="000000" w:themeColor="text1"/>
              </w:rPr>
            </w:pPr>
            <w:r>
              <w:rPr>
                <w:rFonts w:ascii="Book Antiqua" w:hAnsi="Book Antiqua"/>
                <w:snapToGrid w:val="0"/>
                <w:color w:val="000000" w:themeColor="text1"/>
              </w:rPr>
              <w:t>-</w:t>
            </w:r>
          </w:p>
        </w:tc>
      </w:tr>
    </w:tbl>
    <w:p w14:paraId="06916E4E" w14:textId="18B36649" w:rsidR="00427057" w:rsidRPr="00611BFA" w:rsidRDefault="008F3249" w:rsidP="00611BF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11BFA">
        <w:rPr>
          <w:rFonts w:ascii="Book Antiqua" w:hAnsi="Book Antiqua"/>
          <w:snapToGrid w:val="0"/>
          <w:color w:val="000000" w:themeColor="text1"/>
          <w:vertAlign w:val="superscript"/>
        </w:rPr>
        <w:t>a</w:t>
      </w:r>
      <w:r w:rsidR="00D8189D" w:rsidRPr="00611BFA">
        <w:rPr>
          <w:rFonts w:ascii="Book Antiqua" w:hAnsi="Book Antiqua"/>
          <w:i/>
          <w:snapToGrid w:val="0"/>
          <w:color w:val="000000" w:themeColor="text1"/>
        </w:rPr>
        <w:t>P</w:t>
      </w:r>
      <w:r w:rsidRPr="00611BFA">
        <w:rPr>
          <w:rFonts w:ascii="Book Antiqua" w:hAnsi="Book Antiqua"/>
          <w:snapToGrid w:val="0"/>
          <w:color w:val="000000" w:themeColor="text1"/>
        </w:rPr>
        <w:t xml:space="preserve"> &lt; 0.001; </w:t>
      </w:r>
      <w:r w:rsidRPr="00611BFA">
        <w:rPr>
          <w:rFonts w:ascii="Book Antiqua" w:hAnsi="Book Antiqua"/>
          <w:snapToGrid w:val="0"/>
          <w:color w:val="000000" w:themeColor="text1"/>
          <w:vertAlign w:val="superscript"/>
        </w:rPr>
        <w:t>b</w:t>
      </w:r>
      <w:r w:rsidR="00D90307" w:rsidRPr="00611BFA">
        <w:rPr>
          <w:rFonts w:ascii="Book Antiqua" w:hAnsi="Book Antiqua"/>
          <w:i/>
          <w:snapToGrid w:val="0"/>
          <w:color w:val="000000" w:themeColor="text1"/>
        </w:rPr>
        <w:t>P</w:t>
      </w:r>
      <w:r w:rsidRPr="00611BFA">
        <w:rPr>
          <w:rFonts w:ascii="Book Antiqua" w:hAnsi="Book Antiqua"/>
          <w:snapToGrid w:val="0"/>
          <w:color w:val="000000" w:themeColor="text1"/>
        </w:rPr>
        <w:t xml:space="preserve"> = 0.002</w:t>
      </w:r>
      <w:r w:rsidR="00BF0DCE" w:rsidRPr="00611BFA">
        <w:rPr>
          <w:rFonts w:ascii="Book Antiqua" w:hAnsi="Book Antiqua"/>
          <w:snapToGrid w:val="0"/>
          <w:color w:val="000000" w:themeColor="text1"/>
        </w:rPr>
        <w:t>.</w:t>
      </w:r>
    </w:p>
    <w:sectPr w:rsidR="00427057" w:rsidRPr="00611BFA" w:rsidSect="00611BF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C15E" w14:textId="77777777" w:rsidR="00725CE9" w:rsidRDefault="00725CE9" w:rsidP="004A34CE">
      <w:r>
        <w:separator/>
      </w:r>
    </w:p>
  </w:endnote>
  <w:endnote w:type="continuationSeparator" w:id="0">
    <w:p w14:paraId="5656A687" w14:textId="77777777" w:rsidR="00725CE9" w:rsidRDefault="00725CE9" w:rsidP="004A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7372226"/>
      <w:docPartObj>
        <w:docPartGallery w:val="Page Numbers (Bottom of Page)"/>
        <w:docPartUnique/>
      </w:docPartObj>
    </w:sdtPr>
    <w:sdtContent>
      <w:p w14:paraId="4A525C01" w14:textId="270273FB" w:rsidR="006905FE" w:rsidRDefault="006905FE" w:rsidP="001C64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1C206" w14:textId="77777777" w:rsidR="006905FE" w:rsidRDefault="006905FE" w:rsidP="005A2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8507489"/>
      <w:docPartObj>
        <w:docPartGallery w:val="Page Numbers (Bottom of Page)"/>
        <w:docPartUnique/>
      </w:docPartObj>
    </w:sdtPr>
    <w:sdtEndPr>
      <w:rPr>
        <w:rStyle w:val="PageNumber"/>
        <w:rFonts w:ascii="Book Antiqua" w:hAnsi="Book Antiqua"/>
        <w:sz w:val="24"/>
        <w:szCs w:val="24"/>
      </w:rPr>
    </w:sdtEndPr>
    <w:sdtContent>
      <w:p w14:paraId="1227B84C" w14:textId="7165DF3F" w:rsidR="006905FE" w:rsidRPr="006905FE" w:rsidRDefault="006905FE" w:rsidP="006905FE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6905FE">
          <w:rPr>
            <w:rStyle w:val="PageNumber"/>
            <w:rFonts w:ascii="Book Antiqua" w:hAnsi="Book Antiqua"/>
            <w:sz w:val="24"/>
            <w:szCs w:val="24"/>
          </w:rPr>
          <w:fldChar w:fldCharType="begin"/>
        </w:r>
        <w:r w:rsidRPr="006905FE">
          <w:rPr>
            <w:rStyle w:val="PageNumber"/>
            <w:rFonts w:ascii="Book Antiqua" w:hAnsi="Book Antiqua"/>
            <w:sz w:val="24"/>
            <w:szCs w:val="24"/>
          </w:rPr>
          <w:instrText xml:space="preserve"> PAGE </w:instrText>
        </w:r>
        <w:r w:rsidRPr="006905FE">
          <w:rPr>
            <w:rStyle w:val="PageNumber"/>
            <w:rFonts w:ascii="Book Antiqua" w:hAnsi="Book Antiqua"/>
            <w:sz w:val="24"/>
            <w:szCs w:val="24"/>
          </w:rPr>
          <w:fldChar w:fldCharType="separate"/>
        </w:r>
        <w:r w:rsidR="001F7AB2">
          <w:rPr>
            <w:rStyle w:val="PageNumber"/>
            <w:rFonts w:ascii="Book Antiqua" w:hAnsi="Book Antiqua"/>
            <w:noProof/>
            <w:sz w:val="24"/>
            <w:szCs w:val="24"/>
          </w:rPr>
          <w:t>24</w:t>
        </w:r>
        <w:r w:rsidRPr="006905FE">
          <w:rPr>
            <w:rStyle w:val="PageNumber"/>
            <w:rFonts w:ascii="Book Antiqua" w:hAnsi="Book Antiqua"/>
            <w:sz w:val="24"/>
            <w:szCs w:val="24"/>
          </w:rPr>
          <w:fldChar w:fldCharType="end"/>
        </w:r>
        <w:r w:rsidRPr="006905FE">
          <w:rPr>
            <w:rStyle w:val="PageNumber"/>
            <w:rFonts w:ascii="Book Antiqua" w:hAnsi="Book Antiqua"/>
            <w:sz w:val="24"/>
            <w:szCs w:val="24"/>
          </w:rPr>
          <w:t xml:space="preserve"> / </w:t>
        </w:r>
        <w:sdt>
          <w:sdtPr>
            <w:rPr>
              <w:rStyle w:val="PageNumber"/>
              <w:rFonts w:ascii="Book Antiqua" w:hAnsi="Book Antiqua"/>
              <w:sz w:val="24"/>
              <w:szCs w:val="24"/>
            </w:rPr>
            <w:id w:val="2085092685"/>
            <w:docPartObj>
              <w:docPartGallery w:val="Page Numbers (Bottom of Page)"/>
              <w:docPartUnique/>
            </w:docPartObj>
          </w:sdtPr>
          <w:sdtContent>
            <w:r w:rsidRPr="006905FE">
              <w:rPr>
                <w:rStyle w:val="PageNumber"/>
                <w:rFonts w:ascii="Book Antiqua" w:hAnsi="Book Antiqua"/>
                <w:sz w:val="24"/>
                <w:szCs w:val="24"/>
              </w:rPr>
              <w:fldChar w:fldCharType="begin"/>
            </w:r>
            <w:r w:rsidRPr="006905FE">
              <w:rPr>
                <w:rStyle w:val="PageNumber"/>
                <w:rFonts w:ascii="Book Antiqua" w:hAnsi="Book Antiqua"/>
                <w:sz w:val="24"/>
                <w:szCs w:val="24"/>
              </w:rPr>
              <w:instrText xml:space="preserve"> NUMPAGES </w:instrText>
            </w:r>
            <w:r w:rsidRPr="006905FE">
              <w:rPr>
                <w:rStyle w:val="PageNumber"/>
                <w:rFonts w:ascii="Book Antiqua" w:hAnsi="Book Antiqua"/>
                <w:sz w:val="24"/>
                <w:szCs w:val="24"/>
              </w:rPr>
              <w:fldChar w:fldCharType="separate"/>
            </w:r>
            <w:r w:rsidR="001F7AB2">
              <w:rPr>
                <w:rStyle w:val="PageNumber"/>
                <w:rFonts w:ascii="Book Antiqua" w:hAnsi="Book Antiqua"/>
                <w:noProof/>
                <w:sz w:val="24"/>
                <w:szCs w:val="24"/>
              </w:rPr>
              <w:t>25</w:t>
            </w:r>
            <w:r w:rsidRPr="006905FE">
              <w:rPr>
                <w:rStyle w:val="PageNumber"/>
                <w:rFonts w:ascii="Book Antiqua" w:hAnsi="Book Antiqua"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7700" w14:textId="77777777" w:rsidR="00725CE9" w:rsidRDefault="00725CE9" w:rsidP="004A34CE">
      <w:r>
        <w:separator/>
      </w:r>
    </w:p>
  </w:footnote>
  <w:footnote w:type="continuationSeparator" w:id="0">
    <w:p w14:paraId="5CC618E6" w14:textId="77777777" w:rsidR="00725CE9" w:rsidRDefault="00725CE9" w:rsidP="004A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2EFA"/>
    <w:rsid w:val="00014EBD"/>
    <w:rsid w:val="00017A39"/>
    <w:rsid w:val="000201D0"/>
    <w:rsid w:val="00031950"/>
    <w:rsid w:val="00037EB1"/>
    <w:rsid w:val="000435C7"/>
    <w:rsid w:val="00050CB9"/>
    <w:rsid w:val="000636AE"/>
    <w:rsid w:val="000717DA"/>
    <w:rsid w:val="00077E36"/>
    <w:rsid w:val="00085932"/>
    <w:rsid w:val="0009771B"/>
    <w:rsid w:val="000A70DE"/>
    <w:rsid w:val="000C1B44"/>
    <w:rsid w:val="000C2675"/>
    <w:rsid w:val="000D2A6F"/>
    <w:rsid w:val="000D446D"/>
    <w:rsid w:val="000D6CE4"/>
    <w:rsid w:val="000E0E24"/>
    <w:rsid w:val="000E12B4"/>
    <w:rsid w:val="000E39DB"/>
    <w:rsid w:val="000E4C50"/>
    <w:rsid w:val="000E7126"/>
    <w:rsid w:val="000E746C"/>
    <w:rsid w:val="001027F6"/>
    <w:rsid w:val="001109FC"/>
    <w:rsid w:val="00111CF4"/>
    <w:rsid w:val="00116BF5"/>
    <w:rsid w:val="001242BF"/>
    <w:rsid w:val="00125D2C"/>
    <w:rsid w:val="001357FC"/>
    <w:rsid w:val="00137C2C"/>
    <w:rsid w:val="00145CDE"/>
    <w:rsid w:val="00162B6B"/>
    <w:rsid w:val="001648E6"/>
    <w:rsid w:val="0017548A"/>
    <w:rsid w:val="00194693"/>
    <w:rsid w:val="001B3781"/>
    <w:rsid w:val="001B37C7"/>
    <w:rsid w:val="001C3439"/>
    <w:rsid w:val="001C34C9"/>
    <w:rsid w:val="001C4586"/>
    <w:rsid w:val="001D4AD5"/>
    <w:rsid w:val="001E7076"/>
    <w:rsid w:val="001F377B"/>
    <w:rsid w:val="001F7AB2"/>
    <w:rsid w:val="001F7FE3"/>
    <w:rsid w:val="0020206E"/>
    <w:rsid w:val="00222CAE"/>
    <w:rsid w:val="002515BE"/>
    <w:rsid w:val="0025297B"/>
    <w:rsid w:val="00257B9D"/>
    <w:rsid w:val="002604C8"/>
    <w:rsid w:val="002630AD"/>
    <w:rsid w:val="00281F04"/>
    <w:rsid w:val="002851EF"/>
    <w:rsid w:val="002906E2"/>
    <w:rsid w:val="00293308"/>
    <w:rsid w:val="00293FA5"/>
    <w:rsid w:val="002979C3"/>
    <w:rsid w:val="002A4B17"/>
    <w:rsid w:val="002B0A14"/>
    <w:rsid w:val="002C0662"/>
    <w:rsid w:val="002C123C"/>
    <w:rsid w:val="002C3AAD"/>
    <w:rsid w:val="002C5E90"/>
    <w:rsid w:val="002C5FB0"/>
    <w:rsid w:val="002D2B42"/>
    <w:rsid w:val="002D34DA"/>
    <w:rsid w:val="002D7783"/>
    <w:rsid w:val="002E4233"/>
    <w:rsid w:val="002E4BE3"/>
    <w:rsid w:val="002F1EFB"/>
    <w:rsid w:val="002F550C"/>
    <w:rsid w:val="0032003A"/>
    <w:rsid w:val="00325211"/>
    <w:rsid w:val="003267E5"/>
    <w:rsid w:val="00350704"/>
    <w:rsid w:val="00360F8B"/>
    <w:rsid w:val="003620D5"/>
    <w:rsid w:val="003735CA"/>
    <w:rsid w:val="00377CC0"/>
    <w:rsid w:val="00394E7F"/>
    <w:rsid w:val="003963CB"/>
    <w:rsid w:val="003964C7"/>
    <w:rsid w:val="003A0D82"/>
    <w:rsid w:val="003A2361"/>
    <w:rsid w:val="003A4A75"/>
    <w:rsid w:val="003A66BE"/>
    <w:rsid w:val="003C51E4"/>
    <w:rsid w:val="003C7273"/>
    <w:rsid w:val="003D129B"/>
    <w:rsid w:val="003F0718"/>
    <w:rsid w:val="003F4114"/>
    <w:rsid w:val="00401C76"/>
    <w:rsid w:val="00402F43"/>
    <w:rsid w:val="00423A8E"/>
    <w:rsid w:val="004241A0"/>
    <w:rsid w:val="0042442D"/>
    <w:rsid w:val="004253E9"/>
    <w:rsid w:val="00427057"/>
    <w:rsid w:val="0043176D"/>
    <w:rsid w:val="00432416"/>
    <w:rsid w:val="00457929"/>
    <w:rsid w:val="0046240F"/>
    <w:rsid w:val="00466350"/>
    <w:rsid w:val="00494DC0"/>
    <w:rsid w:val="0049523D"/>
    <w:rsid w:val="004A1BAF"/>
    <w:rsid w:val="004A34CE"/>
    <w:rsid w:val="004A4F48"/>
    <w:rsid w:val="004B22CE"/>
    <w:rsid w:val="004C2174"/>
    <w:rsid w:val="004C259D"/>
    <w:rsid w:val="004C6FDF"/>
    <w:rsid w:val="004D5E31"/>
    <w:rsid w:val="004E2EBB"/>
    <w:rsid w:val="004F13FB"/>
    <w:rsid w:val="005022BA"/>
    <w:rsid w:val="00513267"/>
    <w:rsid w:val="00517130"/>
    <w:rsid w:val="0052321D"/>
    <w:rsid w:val="0052356F"/>
    <w:rsid w:val="00532DE7"/>
    <w:rsid w:val="00543697"/>
    <w:rsid w:val="00546422"/>
    <w:rsid w:val="00550DF6"/>
    <w:rsid w:val="00564AEC"/>
    <w:rsid w:val="005761E9"/>
    <w:rsid w:val="00576B02"/>
    <w:rsid w:val="00582BC2"/>
    <w:rsid w:val="005830B9"/>
    <w:rsid w:val="00592F04"/>
    <w:rsid w:val="005A2358"/>
    <w:rsid w:val="005D3A09"/>
    <w:rsid w:val="005D629C"/>
    <w:rsid w:val="005E74C7"/>
    <w:rsid w:val="00602BCD"/>
    <w:rsid w:val="00605FF4"/>
    <w:rsid w:val="00611BFA"/>
    <w:rsid w:val="00612A5E"/>
    <w:rsid w:val="00617D52"/>
    <w:rsid w:val="00624540"/>
    <w:rsid w:val="00643D3E"/>
    <w:rsid w:val="00652DDE"/>
    <w:rsid w:val="00661143"/>
    <w:rsid w:val="00662F70"/>
    <w:rsid w:val="006905FE"/>
    <w:rsid w:val="006A3411"/>
    <w:rsid w:val="006A3D60"/>
    <w:rsid w:val="006B1C1B"/>
    <w:rsid w:val="006B1EDC"/>
    <w:rsid w:val="006B2C82"/>
    <w:rsid w:val="006D3303"/>
    <w:rsid w:val="006D49B6"/>
    <w:rsid w:val="006D7308"/>
    <w:rsid w:val="006F181C"/>
    <w:rsid w:val="006F7AC6"/>
    <w:rsid w:val="00702D43"/>
    <w:rsid w:val="00725CE9"/>
    <w:rsid w:val="0073691B"/>
    <w:rsid w:val="00737C4F"/>
    <w:rsid w:val="00741ADC"/>
    <w:rsid w:val="00742C8A"/>
    <w:rsid w:val="00742D95"/>
    <w:rsid w:val="007519E2"/>
    <w:rsid w:val="0075795B"/>
    <w:rsid w:val="00762213"/>
    <w:rsid w:val="00762A4E"/>
    <w:rsid w:val="00771FC0"/>
    <w:rsid w:val="00774B2F"/>
    <w:rsid w:val="007843FE"/>
    <w:rsid w:val="007853EE"/>
    <w:rsid w:val="007866EA"/>
    <w:rsid w:val="007906BC"/>
    <w:rsid w:val="00796381"/>
    <w:rsid w:val="007A45B9"/>
    <w:rsid w:val="007B471A"/>
    <w:rsid w:val="007C43BA"/>
    <w:rsid w:val="007C4792"/>
    <w:rsid w:val="007C68B1"/>
    <w:rsid w:val="007F7ED2"/>
    <w:rsid w:val="008257CA"/>
    <w:rsid w:val="008309B4"/>
    <w:rsid w:val="00831D25"/>
    <w:rsid w:val="00842A0D"/>
    <w:rsid w:val="00850F3D"/>
    <w:rsid w:val="00860D1A"/>
    <w:rsid w:val="0086780E"/>
    <w:rsid w:val="00876BD6"/>
    <w:rsid w:val="00886169"/>
    <w:rsid w:val="00890F9E"/>
    <w:rsid w:val="0089613C"/>
    <w:rsid w:val="008A44E6"/>
    <w:rsid w:val="008A5A85"/>
    <w:rsid w:val="008A79A9"/>
    <w:rsid w:val="008A7F0C"/>
    <w:rsid w:val="008B4A1B"/>
    <w:rsid w:val="008C6ADF"/>
    <w:rsid w:val="008E3794"/>
    <w:rsid w:val="008F096D"/>
    <w:rsid w:val="008F3249"/>
    <w:rsid w:val="00904723"/>
    <w:rsid w:val="0090649F"/>
    <w:rsid w:val="0090769C"/>
    <w:rsid w:val="00915516"/>
    <w:rsid w:val="009167C7"/>
    <w:rsid w:val="00932C80"/>
    <w:rsid w:val="00935380"/>
    <w:rsid w:val="00937E2F"/>
    <w:rsid w:val="009509C5"/>
    <w:rsid w:val="00951FC9"/>
    <w:rsid w:val="00953E94"/>
    <w:rsid w:val="00961CB9"/>
    <w:rsid w:val="009755FB"/>
    <w:rsid w:val="00986440"/>
    <w:rsid w:val="00996354"/>
    <w:rsid w:val="009A68A5"/>
    <w:rsid w:val="009B6689"/>
    <w:rsid w:val="009C36BE"/>
    <w:rsid w:val="009C6A1F"/>
    <w:rsid w:val="009D6FA5"/>
    <w:rsid w:val="009E606B"/>
    <w:rsid w:val="00A27ED3"/>
    <w:rsid w:val="00A323A1"/>
    <w:rsid w:val="00A3672A"/>
    <w:rsid w:val="00A423B1"/>
    <w:rsid w:val="00A54DDE"/>
    <w:rsid w:val="00A60FAA"/>
    <w:rsid w:val="00A62A0C"/>
    <w:rsid w:val="00A62F7F"/>
    <w:rsid w:val="00A63756"/>
    <w:rsid w:val="00A63AF3"/>
    <w:rsid w:val="00A673E0"/>
    <w:rsid w:val="00A77B3E"/>
    <w:rsid w:val="00A95C63"/>
    <w:rsid w:val="00AA2DB0"/>
    <w:rsid w:val="00AA2EBB"/>
    <w:rsid w:val="00AA3D49"/>
    <w:rsid w:val="00AA426A"/>
    <w:rsid w:val="00AA58F8"/>
    <w:rsid w:val="00AA63EF"/>
    <w:rsid w:val="00AB2635"/>
    <w:rsid w:val="00AB7EED"/>
    <w:rsid w:val="00AC141B"/>
    <w:rsid w:val="00AD3F2F"/>
    <w:rsid w:val="00AD6D00"/>
    <w:rsid w:val="00AE0C21"/>
    <w:rsid w:val="00AF52C3"/>
    <w:rsid w:val="00AF5EFE"/>
    <w:rsid w:val="00B008FE"/>
    <w:rsid w:val="00B05D72"/>
    <w:rsid w:val="00B26A6F"/>
    <w:rsid w:val="00B4278E"/>
    <w:rsid w:val="00B45AF4"/>
    <w:rsid w:val="00B50CC5"/>
    <w:rsid w:val="00B61891"/>
    <w:rsid w:val="00B628F1"/>
    <w:rsid w:val="00B82CA8"/>
    <w:rsid w:val="00B864BD"/>
    <w:rsid w:val="00B91979"/>
    <w:rsid w:val="00B94A6C"/>
    <w:rsid w:val="00B97B4B"/>
    <w:rsid w:val="00BB5E4F"/>
    <w:rsid w:val="00BC2FE6"/>
    <w:rsid w:val="00BC42D3"/>
    <w:rsid w:val="00BD2DC2"/>
    <w:rsid w:val="00BD3318"/>
    <w:rsid w:val="00BD3DE8"/>
    <w:rsid w:val="00BD7CCB"/>
    <w:rsid w:val="00BE7843"/>
    <w:rsid w:val="00BF0DCE"/>
    <w:rsid w:val="00BF245A"/>
    <w:rsid w:val="00BF5C18"/>
    <w:rsid w:val="00BF7D0C"/>
    <w:rsid w:val="00C01852"/>
    <w:rsid w:val="00C04B6E"/>
    <w:rsid w:val="00C15B39"/>
    <w:rsid w:val="00C17BAF"/>
    <w:rsid w:val="00C266F8"/>
    <w:rsid w:val="00C268A2"/>
    <w:rsid w:val="00C35F8E"/>
    <w:rsid w:val="00C44E81"/>
    <w:rsid w:val="00C5037F"/>
    <w:rsid w:val="00C5187C"/>
    <w:rsid w:val="00C53CF1"/>
    <w:rsid w:val="00C54814"/>
    <w:rsid w:val="00C67331"/>
    <w:rsid w:val="00C67514"/>
    <w:rsid w:val="00C82B8A"/>
    <w:rsid w:val="00C96ECD"/>
    <w:rsid w:val="00CA232C"/>
    <w:rsid w:val="00CA2A55"/>
    <w:rsid w:val="00CA45D6"/>
    <w:rsid w:val="00CA4F43"/>
    <w:rsid w:val="00CA53E1"/>
    <w:rsid w:val="00CA6C87"/>
    <w:rsid w:val="00CB29D0"/>
    <w:rsid w:val="00CC2EE5"/>
    <w:rsid w:val="00CC4A6A"/>
    <w:rsid w:val="00CC7AEE"/>
    <w:rsid w:val="00CD00FA"/>
    <w:rsid w:val="00CD1037"/>
    <w:rsid w:val="00CD141F"/>
    <w:rsid w:val="00CE3FA8"/>
    <w:rsid w:val="00CE57C1"/>
    <w:rsid w:val="00CF042F"/>
    <w:rsid w:val="00CF5F94"/>
    <w:rsid w:val="00D102ED"/>
    <w:rsid w:val="00D16BCA"/>
    <w:rsid w:val="00D2275D"/>
    <w:rsid w:val="00D2371D"/>
    <w:rsid w:val="00D23ECD"/>
    <w:rsid w:val="00D30827"/>
    <w:rsid w:val="00D360C2"/>
    <w:rsid w:val="00D4520E"/>
    <w:rsid w:val="00D563C5"/>
    <w:rsid w:val="00D67BF7"/>
    <w:rsid w:val="00D80222"/>
    <w:rsid w:val="00D8189D"/>
    <w:rsid w:val="00D86A13"/>
    <w:rsid w:val="00D90307"/>
    <w:rsid w:val="00D97D7E"/>
    <w:rsid w:val="00DC0C78"/>
    <w:rsid w:val="00DC1914"/>
    <w:rsid w:val="00DC4F75"/>
    <w:rsid w:val="00DE7F2E"/>
    <w:rsid w:val="00E41742"/>
    <w:rsid w:val="00E42985"/>
    <w:rsid w:val="00E42DDB"/>
    <w:rsid w:val="00E44BA8"/>
    <w:rsid w:val="00E4689F"/>
    <w:rsid w:val="00E61CC2"/>
    <w:rsid w:val="00E674C9"/>
    <w:rsid w:val="00E679C8"/>
    <w:rsid w:val="00E70438"/>
    <w:rsid w:val="00E74722"/>
    <w:rsid w:val="00EA7AB6"/>
    <w:rsid w:val="00EB7212"/>
    <w:rsid w:val="00EC172C"/>
    <w:rsid w:val="00EC26A6"/>
    <w:rsid w:val="00EC632B"/>
    <w:rsid w:val="00EF0A10"/>
    <w:rsid w:val="00F1538D"/>
    <w:rsid w:val="00F1745E"/>
    <w:rsid w:val="00F32C0A"/>
    <w:rsid w:val="00F4570E"/>
    <w:rsid w:val="00F53794"/>
    <w:rsid w:val="00F57D9E"/>
    <w:rsid w:val="00F607F1"/>
    <w:rsid w:val="00F62A34"/>
    <w:rsid w:val="00F64C48"/>
    <w:rsid w:val="00F740E2"/>
    <w:rsid w:val="00F8520C"/>
    <w:rsid w:val="00FA7D78"/>
    <w:rsid w:val="00FB5D80"/>
    <w:rsid w:val="00FC23E4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8CF5D"/>
  <w15:docId w15:val="{B0568B36-2853-E84F-AAB2-FF42D041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nhideWhenUsed/>
    <w:rsid w:val="004A3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A34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34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34CE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853EE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7853EE"/>
  </w:style>
  <w:style w:type="character" w:customStyle="1" w:styleId="CommentTextChar">
    <w:name w:val="Comment Text Char"/>
    <w:basedOn w:val="DefaultParagraphFont"/>
    <w:link w:val="CommentText"/>
    <w:semiHidden/>
    <w:rsid w:val="007853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3E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853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53EE"/>
    <w:rPr>
      <w:sz w:val="18"/>
      <w:szCs w:val="18"/>
    </w:rPr>
  </w:style>
  <w:style w:type="character" w:styleId="Hyperlink">
    <w:name w:val="Hyperlink"/>
    <w:basedOn w:val="DefaultParagraphFont"/>
    <w:unhideWhenUsed/>
    <w:rsid w:val="0054642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3AF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380"/>
    <w:rPr>
      <w:rFonts w:ascii="Courier" w:hAnsi="Courier" w:cs="Courier"/>
    </w:rPr>
  </w:style>
  <w:style w:type="character" w:customStyle="1" w:styleId="y2iqfc">
    <w:name w:val="y2iqfc"/>
    <w:basedOn w:val="DefaultParagraphFont"/>
    <w:rsid w:val="00935380"/>
  </w:style>
  <w:style w:type="character" w:styleId="PageNumber">
    <w:name w:val="page number"/>
    <w:basedOn w:val="DefaultParagraphFont"/>
    <w:semiHidden/>
    <w:unhideWhenUsed/>
    <w:rsid w:val="0069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5682</Words>
  <Characters>32390</Characters>
  <Application>Microsoft Office Word</Application>
  <DocSecurity>0</DocSecurity>
  <Lines>269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百世登</dc:creator>
  <cp:keywords/>
  <dc:description/>
  <cp:lastModifiedBy>Jennifer van Velkinburgh</cp:lastModifiedBy>
  <cp:revision>2</cp:revision>
  <dcterms:created xsi:type="dcterms:W3CDTF">2023-10-26T20:07:00Z</dcterms:created>
  <dcterms:modified xsi:type="dcterms:W3CDTF">2023-10-26T20:07:00Z</dcterms:modified>
</cp:coreProperties>
</file>