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66104" w14:textId="77777777" w:rsidR="00DE3F5E"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0F448AE8" w14:textId="77777777" w:rsidR="00DE3F5E"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87022</w:t>
      </w:r>
    </w:p>
    <w:p w14:paraId="53919F73" w14:textId="77777777" w:rsidR="00DE3F5E"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49EEF53" w14:textId="77777777" w:rsidR="00DE3F5E" w:rsidRDefault="00DE3F5E">
      <w:pPr>
        <w:spacing w:line="360" w:lineRule="auto"/>
        <w:jc w:val="both"/>
        <w:rPr>
          <w:rFonts w:ascii="Book Antiqua" w:hAnsi="Book Antiqua"/>
        </w:rPr>
      </w:pPr>
    </w:p>
    <w:p w14:paraId="304FEFE3" w14:textId="77777777" w:rsidR="00DE3F5E" w:rsidRDefault="00000000">
      <w:pPr>
        <w:spacing w:line="360" w:lineRule="auto"/>
        <w:jc w:val="both"/>
        <w:rPr>
          <w:rFonts w:ascii="Book Antiqua" w:hAnsi="Book Antiqua"/>
        </w:rPr>
      </w:pPr>
      <w:r>
        <w:rPr>
          <w:rFonts w:ascii="Book Antiqua" w:eastAsia="Book Antiqua" w:hAnsi="Book Antiqua" w:cs="Book Antiqua"/>
          <w:b/>
          <w:i/>
        </w:rPr>
        <w:t>Basic Study</w:t>
      </w:r>
    </w:p>
    <w:p w14:paraId="05B29BCE"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Hub genes and their key effects on prognosis of Burkitt lymphoma</w:t>
      </w:r>
    </w:p>
    <w:p w14:paraId="300FD420" w14:textId="77777777" w:rsidR="00DE3F5E" w:rsidRDefault="00DE3F5E">
      <w:pPr>
        <w:spacing w:line="360" w:lineRule="auto"/>
        <w:jc w:val="both"/>
        <w:rPr>
          <w:rFonts w:ascii="Book Antiqua" w:hAnsi="Book Antiqua"/>
        </w:rPr>
      </w:pPr>
    </w:p>
    <w:p w14:paraId="6A49A27E"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Xu YF </w:t>
      </w:r>
      <w:r>
        <w:rPr>
          <w:rFonts w:ascii="Book Antiqua" w:eastAsia="Book Antiqua" w:hAnsi="Book Antiqua" w:cs="Book Antiqua"/>
          <w:i/>
          <w:iCs/>
          <w:color w:val="000000"/>
        </w:rPr>
        <w:t xml:space="preserve">et al. </w:t>
      </w:r>
      <w:r>
        <w:rPr>
          <w:rFonts w:ascii="Book Antiqua" w:eastAsia="Book Antiqua" w:hAnsi="Book Antiqua" w:cs="Book Antiqua"/>
          <w:color w:val="000000"/>
        </w:rPr>
        <w:t>Prognosis-related genes in Burkitt lymphoma</w:t>
      </w:r>
    </w:p>
    <w:p w14:paraId="25EBB7EE" w14:textId="77777777" w:rsidR="00DE3F5E" w:rsidRDefault="00DE3F5E">
      <w:pPr>
        <w:spacing w:line="360" w:lineRule="auto"/>
        <w:jc w:val="both"/>
        <w:rPr>
          <w:rFonts w:ascii="Book Antiqua" w:hAnsi="Book Antiqua"/>
        </w:rPr>
      </w:pPr>
    </w:p>
    <w:p w14:paraId="5EFBFE79"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Yan-Feng Xu, Guan-Yun Wang, Ming-Yu Zhang, Ji-Gang Yang</w:t>
      </w:r>
    </w:p>
    <w:p w14:paraId="045E6012" w14:textId="77777777" w:rsidR="00DE3F5E" w:rsidRDefault="00DE3F5E">
      <w:pPr>
        <w:spacing w:line="360" w:lineRule="auto"/>
        <w:jc w:val="both"/>
        <w:rPr>
          <w:rFonts w:ascii="Book Antiqua" w:hAnsi="Book Antiqua"/>
        </w:rPr>
      </w:pPr>
    </w:p>
    <w:p w14:paraId="33984C89" w14:textId="77777777" w:rsidR="00DE3F5E" w:rsidRDefault="00000000">
      <w:pPr>
        <w:spacing w:line="360" w:lineRule="auto"/>
        <w:jc w:val="both"/>
        <w:rPr>
          <w:rFonts w:ascii="Book Antiqua" w:hAnsi="Book Antiqua"/>
        </w:rPr>
      </w:pPr>
      <w:r>
        <w:rPr>
          <w:rFonts w:ascii="Book Antiqua" w:eastAsia="Book Antiqua" w:hAnsi="Book Antiqua" w:cs="Book Antiqua"/>
          <w:b/>
          <w:bCs/>
          <w:color w:val="000000"/>
        </w:rPr>
        <w:t xml:space="preserve">Yan-Feng Xu, Guan-Yun Wang, Ming-Yu Zhang, Ji-Gang Yang, </w:t>
      </w:r>
      <w:r>
        <w:rPr>
          <w:rFonts w:ascii="Book Antiqua" w:eastAsia="Book Antiqua" w:hAnsi="Book Antiqua" w:cs="Book Antiqua"/>
          <w:color w:val="000000"/>
        </w:rPr>
        <w:t>Department of Nuclear Medicine, Beijing Friendship Hospital, Capital Medical University, Beijing 100050, China</w:t>
      </w:r>
    </w:p>
    <w:p w14:paraId="74BCEDDF" w14:textId="77777777" w:rsidR="00DE3F5E" w:rsidRDefault="00DE3F5E">
      <w:pPr>
        <w:spacing w:line="360" w:lineRule="auto"/>
        <w:jc w:val="both"/>
        <w:rPr>
          <w:rFonts w:ascii="Book Antiqua" w:hAnsi="Book Antiqua"/>
        </w:rPr>
      </w:pPr>
    </w:p>
    <w:p w14:paraId="0EFE7681" w14:textId="77777777" w:rsidR="00DE3F5E" w:rsidRPr="007F19AE" w:rsidRDefault="0000000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YF and Yang JG designed the research;</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Xu YF, Wang </w:t>
      </w:r>
      <w:proofErr w:type="gramStart"/>
      <w:r>
        <w:rPr>
          <w:rFonts w:ascii="Book Antiqua" w:eastAsia="Book Antiqua" w:hAnsi="Book Antiqua" w:cs="Book Antiqua"/>
          <w:color w:val="000000"/>
        </w:rPr>
        <w:t>GY</w:t>
      </w:r>
      <w:proofErr w:type="gramEnd"/>
      <w:r>
        <w:rPr>
          <w:rFonts w:ascii="Book Antiqua" w:eastAsia="Book Antiqua" w:hAnsi="Book Antiqua" w:cs="Book Antiqua"/>
          <w:color w:val="000000"/>
        </w:rPr>
        <w:t xml:space="preserve"> and Zhang MY </w:t>
      </w:r>
      <w:r>
        <w:rPr>
          <w:rFonts w:ascii="Book Antiqua" w:hAnsi="Book Antiqua"/>
        </w:rPr>
        <w:t>performed the research</w:t>
      </w:r>
      <w:r>
        <w:rPr>
          <w:rFonts w:ascii="Book Antiqua" w:eastAsia="Book Antiqua" w:hAnsi="Book Antiqua" w:cs="Book Antiqua"/>
          <w:color w:val="000000"/>
        </w:rPr>
        <w: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Xu YF, Wang GY contributed new reagents/analytic tools;</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Xu YF analyzed the data;</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Xu YF, Zhang MY, Wang GY and Yang JG </w:t>
      </w:r>
      <w:r>
        <w:rPr>
          <w:rFonts w:ascii="Book Antiqua" w:hAnsi="Book Antiqua"/>
        </w:rPr>
        <w:t>wrote the paper</w:t>
      </w:r>
      <w:r>
        <w:rPr>
          <w:rFonts w:ascii="Book Antiqua" w:eastAsia="Book Antiqua" w:hAnsi="Book Antiqua" w:cs="Book Antiqua"/>
          <w:color w:val="000000"/>
        </w:rPr>
        <w:t>.</w:t>
      </w:r>
    </w:p>
    <w:p w14:paraId="5314FB51" w14:textId="77777777" w:rsidR="00DE3F5E" w:rsidRDefault="00DE3F5E">
      <w:pPr>
        <w:spacing w:line="360" w:lineRule="auto"/>
        <w:jc w:val="both"/>
        <w:rPr>
          <w:rFonts w:ascii="Book Antiqua" w:hAnsi="Book Antiqua"/>
        </w:rPr>
      </w:pPr>
    </w:p>
    <w:p w14:paraId="66FA4510" w14:textId="77777777" w:rsidR="00DE3F5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National Natural Science Foundation of China (General Program), No.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82272034.</w:t>
      </w:r>
    </w:p>
    <w:p w14:paraId="2A387392" w14:textId="77777777" w:rsidR="00DE3F5E" w:rsidRDefault="00DE3F5E">
      <w:pPr>
        <w:spacing w:line="360" w:lineRule="auto"/>
        <w:jc w:val="both"/>
        <w:rPr>
          <w:rFonts w:ascii="Book Antiqua" w:hAnsi="Book Antiqua"/>
        </w:rPr>
      </w:pPr>
    </w:p>
    <w:p w14:paraId="52B66C13" w14:textId="77777777" w:rsidR="00DE3F5E"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Ji-Gang Yang, MD, PhD, Chief Doctor, Professor, Researcher, </w:t>
      </w:r>
      <w:r>
        <w:rPr>
          <w:rFonts w:ascii="Book Antiqua" w:eastAsia="Book Antiqua" w:hAnsi="Book Antiqua" w:cs="Book Antiqua"/>
          <w:color w:val="000000"/>
        </w:rPr>
        <w:t xml:space="preserve">Department of Nuclear Medicine, Beijing Friendship Hospital, Capital Medical University, No. 95 Yong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Road, Xicheng District, Beijing 100050, China. yangjigang@ccmu.edu.cn</w:t>
      </w:r>
    </w:p>
    <w:p w14:paraId="3B5CEC0B" w14:textId="77777777" w:rsidR="00DE3F5E" w:rsidRDefault="00DE3F5E">
      <w:pPr>
        <w:spacing w:line="360" w:lineRule="auto"/>
        <w:jc w:val="both"/>
        <w:rPr>
          <w:rFonts w:ascii="Book Antiqua" w:hAnsi="Book Antiqua"/>
        </w:rPr>
      </w:pPr>
    </w:p>
    <w:p w14:paraId="76D84559"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19, 2023</w:t>
      </w:r>
    </w:p>
    <w:p w14:paraId="61E961FD"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September 6, 2023</w:t>
      </w:r>
    </w:p>
    <w:p w14:paraId="51610E16" w14:textId="4C5A70E1" w:rsidR="00DE3F5E"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Accepted: </w:t>
      </w:r>
      <w:r w:rsidR="001868E2" w:rsidRPr="001868E2">
        <w:rPr>
          <w:rFonts w:ascii="Book Antiqua" w:eastAsia="Book Antiqua" w:hAnsi="Book Antiqua" w:cs="Book Antiqua"/>
        </w:rPr>
        <w:t>September 18, 2023</w:t>
      </w:r>
    </w:p>
    <w:p w14:paraId="13664068" w14:textId="0F691FA1" w:rsidR="00DE3F5E"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sidR="00186B1D">
        <w:rPr>
          <w:rFonts w:ascii="Book Antiqua" w:hAnsi="Book Antiqua"/>
          <w:color w:val="000000"/>
          <w:shd w:val="clear" w:color="auto" w:fill="FFFFFF"/>
        </w:rPr>
        <w:t>October 24, 2023</w:t>
      </w:r>
    </w:p>
    <w:p w14:paraId="54C18429" w14:textId="77777777" w:rsidR="00DE3F5E" w:rsidRDefault="00DE3F5E">
      <w:pPr>
        <w:spacing w:line="360" w:lineRule="auto"/>
        <w:jc w:val="both"/>
        <w:rPr>
          <w:rFonts w:ascii="Book Antiqua" w:hAnsi="Book Antiqua"/>
        </w:rPr>
        <w:sectPr w:rsidR="00DE3F5E">
          <w:footerReference w:type="default" r:id="rId6"/>
          <w:pgSz w:w="12240" w:h="15840"/>
          <w:pgMar w:top="1440" w:right="1440" w:bottom="1440" w:left="1440" w:header="720" w:footer="720" w:gutter="0"/>
          <w:cols w:space="720"/>
          <w:docGrid w:linePitch="360"/>
        </w:sectPr>
      </w:pPr>
    </w:p>
    <w:p w14:paraId="1EF80372"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BA8EB21"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0A512C1B"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Burkitt lymphoma (BL) is an exceptionally aggressive malignant neoplasm that arises from either the germinal center or post-germinal center B cells. Patients with BL often present with rapid tumor growth and require high-intensity multi-drug therapy combined with adequate intrathecal chemotherapy prophylaxis, however, a standard treatment program for BL has not yet been established. It is important to identify biomarkers for predicting the prognosis of BLs and discriminating patients who might benefit from the therapy. Microarray data and sequencing information from public databases could offer opportunities for the discovery of new diagnostic or therapeutic targets.</w:t>
      </w:r>
    </w:p>
    <w:p w14:paraId="6715B67D" w14:textId="77777777" w:rsidR="00DE3F5E" w:rsidRDefault="00DE3F5E">
      <w:pPr>
        <w:spacing w:line="360" w:lineRule="auto"/>
        <w:jc w:val="both"/>
        <w:rPr>
          <w:rFonts w:ascii="Book Antiqua" w:hAnsi="Book Antiqua"/>
        </w:rPr>
      </w:pPr>
    </w:p>
    <w:p w14:paraId="4706B978"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AIM</w:t>
      </w:r>
    </w:p>
    <w:p w14:paraId="68060530"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To identify hub genes and perform gene ontology (GO) and survival analysis in BL.</w:t>
      </w:r>
    </w:p>
    <w:p w14:paraId="4A01DF0C" w14:textId="77777777" w:rsidR="00DE3F5E" w:rsidRDefault="00DE3F5E">
      <w:pPr>
        <w:spacing w:line="360" w:lineRule="auto"/>
        <w:jc w:val="both"/>
        <w:rPr>
          <w:rFonts w:ascii="Book Antiqua" w:hAnsi="Book Antiqua"/>
        </w:rPr>
      </w:pPr>
    </w:p>
    <w:p w14:paraId="44D6BCAE"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D113992" w14:textId="0C361D94"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Gene expression profiles and </w:t>
      </w:r>
      <w:r w:rsidR="007F19AE" w:rsidRPr="007F19AE">
        <w:rPr>
          <w:rFonts w:ascii="Book Antiqua" w:eastAsia="Book Antiqua" w:hAnsi="Book Antiqua" w:cs="Book Antiqua"/>
          <w:color w:val="000000"/>
        </w:rPr>
        <w:t>clinical</w:t>
      </w:r>
      <w:r w:rsidR="007F19AE">
        <w:rPr>
          <w:rFonts w:ascii="Book Antiqua" w:eastAsia="Book Antiqua" w:hAnsi="Book Antiqua" w:cs="Book Antiqua"/>
          <w:color w:val="000000"/>
        </w:rPr>
        <w:t xml:space="preserve"> </w:t>
      </w:r>
      <w:r>
        <w:rPr>
          <w:rFonts w:ascii="Book Antiqua" w:eastAsia="Book Antiqua" w:hAnsi="Book Antiqua" w:cs="Book Antiqua"/>
          <w:color w:val="000000"/>
        </w:rPr>
        <w:t xml:space="preserve">traits of BL patients were collected from the Gene Expression Omnibus database. </w:t>
      </w:r>
      <w:bookmarkStart w:id="0" w:name="_Hlk145355402"/>
      <w:r>
        <w:rPr>
          <w:rFonts w:ascii="Book Antiqua" w:eastAsia="Book Antiqua" w:hAnsi="Book Antiqua" w:cs="Book Antiqua"/>
          <w:color w:val="000000"/>
        </w:rPr>
        <w:t>Weighted gene co-expression network analysis</w:t>
      </w:r>
      <w:bookmarkEnd w:id="0"/>
      <w:r>
        <w:rPr>
          <w:rFonts w:ascii="Book Antiqua" w:eastAsia="Book Antiqua" w:hAnsi="Book Antiqua" w:cs="Book Antiqua"/>
          <w:color w:val="000000"/>
        </w:rPr>
        <w:t xml:space="preserve"> (WGCNA) was applied to construct gene co-expression modules, and the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was used to find the hub genes. Then, the hub genes were analyzed using GO and Kyoto Encyclopedia of Genes and Genomes analysis. Additionally, a Protein-Protein Interaction network and a Genetic Interaction network were constructed. Prognostic candidate genes were identified through overall survival analysis. Finally, a nomogram was established to assess the predictive value of hub genes, and drug-gene interactions were also constructed.</w:t>
      </w:r>
    </w:p>
    <w:p w14:paraId="18DA987E" w14:textId="77777777" w:rsidR="00DE3F5E" w:rsidRDefault="00DE3F5E">
      <w:pPr>
        <w:spacing w:line="360" w:lineRule="auto"/>
        <w:jc w:val="both"/>
        <w:rPr>
          <w:rFonts w:ascii="Book Antiqua" w:hAnsi="Book Antiqua"/>
        </w:rPr>
      </w:pPr>
    </w:p>
    <w:p w14:paraId="1518D665"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RESULTS</w:t>
      </w:r>
    </w:p>
    <w:p w14:paraId="74E59224"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this study, we obtained 8 modules through WGCNA analysis, and there was a significant correlation between the yellow module and age. Then we identified 10 hub genes (</w:t>
      </w:r>
      <w:r>
        <w:rPr>
          <w:rFonts w:ascii="Book Antiqua" w:eastAsia="Book Antiqua" w:hAnsi="Book Antiqua" w:cs="Book Antiqua"/>
          <w:i/>
          <w:iCs/>
          <w:color w:val="000000"/>
        </w:rPr>
        <w:t>SRC</w:t>
      </w:r>
      <w:r>
        <w:rPr>
          <w:rFonts w:ascii="Book Antiqua" w:eastAsia="Book Antiqua" w:hAnsi="Book Antiqua" w:cs="Book Antiqua"/>
          <w:color w:val="000000"/>
        </w:rPr>
        <w:t xml:space="preserve">, </w:t>
      </w:r>
      <w:r>
        <w:rPr>
          <w:rFonts w:ascii="Book Antiqua" w:eastAsia="Book Antiqua" w:hAnsi="Book Antiqua" w:cs="Book Antiqua"/>
          <w:i/>
          <w:iCs/>
          <w:color w:val="000000"/>
        </w:rPr>
        <w:t>TLR4</w:t>
      </w:r>
      <w:r>
        <w:rPr>
          <w:rFonts w:ascii="Book Antiqua" w:eastAsia="Book Antiqua" w:hAnsi="Book Antiqua" w:cs="Book Antiqua"/>
          <w:color w:val="000000"/>
        </w:rPr>
        <w:t xml:space="preserve">, </w:t>
      </w:r>
      <w:r>
        <w:rPr>
          <w:rFonts w:ascii="Book Antiqua" w:eastAsia="Book Antiqua" w:hAnsi="Book Antiqua" w:cs="Book Antiqua"/>
          <w:i/>
          <w:iCs/>
          <w:color w:val="000000"/>
        </w:rPr>
        <w:t>CD40</w:t>
      </w:r>
      <w:r>
        <w:rPr>
          <w:rFonts w:ascii="Book Antiqua" w:eastAsia="Book Antiqua" w:hAnsi="Book Antiqua" w:cs="Book Antiqua"/>
          <w:color w:val="000000"/>
        </w:rPr>
        <w:t xml:space="preserve">, </w:t>
      </w:r>
      <w:r>
        <w:rPr>
          <w:rFonts w:ascii="Book Antiqua" w:eastAsia="Book Antiqua" w:hAnsi="Book Antiqua" w:cs="Book Antiqua"/>
          <w:i/>
          <w:iCs/>
          <w:color w:val="000000"/>
        </w:rPr>
        <w:t>STAT3</w:t>
      </w:r>
      <w:r>
        <w:rPr>
          <w:rFonts w:ascii="Book Antiqua" w:eastAsia="Book Antiqua" w:hAnsi="Book Antiqua" w:cs="Book Antiqua"/>
          <w:color w:val="000000"/>
        </w:rPr>
        <w:t xml:space="preserve">, </w:t>
      </w:r>
      <w:r>
        <w:rPr>
          <w:rFonts w:ascii="Book Antiqua" w:eastAsia="Book Antiqua" w:hAnsi="Book Antiqua" w:cs="Book Antiqua"/>
          <w:i/>
          <w:iCs/>
          <w:color w:val="000000"/>
        </w:rPr>
        <w:t>SELL</w:t>
      </w:r>
      <w:r>
        <w:rPr>
          <w:rFonts w:ascii="Book Antiqua" w:eastAsia="Book Antiqua" w:hAnsi="Book Antiqua" w:cs="Book Antiqua"/>
          <w:color w:val="000000"/>
        </w:rPr>
        <w:t xml:space="preserve">,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CCR7</w:t>
      </w:r>
      <w:r>
        <w:rPr>
          <w:rFonts w:ascii="Book Antiqua" w:eastAsia="Book Antiqua" w:hAnsi="Book Antiqua" w:cs="Book Antiqua"/>
          <w:color w:val="000000"/>
        </w:rPr>
        <w:t xml:space="preserve"> and </w:t>
      </w:r>
      <w:r>
        <w:rPr>
          <w:rFonts w:ascii="Book Antiqua" w:eastAsia="Book Antiqua" w:hAnsi="Book Antiqua" w:cs="Book Antiqua"/>
          <w:i/>
          <w:iCs/>
          <w:color w:val="000000"/>
        </w:rPr>
        <w:t>FCGR2B</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lastRenderedPageBreak/>
        <w:t>cytoHubba</w:t>
      </w:r>
      <w:proofErr w:type="spellEnd"/>
      <w:r>
        <w:rPr>
          <w:rFonts w:ascii="Book Antiqua" w:eastAsia="Book Antiqua" w:hAnsi="Book Antiqua" w:cs="Book Antiqua"/>
          <w:color w:val="000000"/>
        </w:rPr>
        <w:t xml:space="preserve"> tool. Within these hubs, two genes were found to be associated with OS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0.0066) by survival analysis. Additionally, we combined these two hub genes and age to build a nomogram. Moreover, the drugs related to </w:t>
      </w:r>
      <w:r>
        <w:rPr>
          <w:rFonts w:ascii="Book Antiqua" w:eastAsia="Book Antiqua" w:hAnsi="Book Antiqua" w:cs="Book Antiqua"/>
          <w:i/>
          <w:iCs/>
          <w:color w:val="000000"/>
        </w:rPr>
        <w:t>IL2RA</w:t>
      </w:r>
      <w:r>
        <w:rPr>
          <w:rFonts w:ascii="Book Antiqua" w:eastAsia="Book Antiqua" w:hAnsi="Book Antiqua" w:cs="Book Antiqua"/>
          <w:color w:val="000000"/>
        </w:rPr>
        <w:t xml:space="preserve"> and </w:t>
      </w:r>
      <w:r>
        <w:rPr>
          <w:rFonts w:ascii="Book Antiqua" w:eastAsia="Book Antiqua" w:hAnsi="Book Antiqua" w:cs="Book Antiqua"/>
          <w:i/>
          <w:iCs/>
          <w:color w:val="000000"/>
        </w:rPr>
        <w:t>CXCL10</w:t>
      </w:r>
      <w:r>
        <w:rPr>
          <w:rFonts w:ascii="Book Antiqua" w:eastAsia="Book Antiqua" w:hAnsi="Book Antiqua" w:cs="Book Antiqua"/>
          <w:color w:val="000000"/>
        </w:rPr>
        <w:t xml:space="preserve"> might have a potential therapeutic role in relapsed and refractory BL.</w:t>
      </w:r>
    </w:p>
    <w:p w14:paraId="26246AC9" w14:textId="77777777" w:rsidR="00DE3F5E" w:rsidRDefault="00DE3F5E">
      <w:pPr>
        <w:spacing w:line="360" w:lineRule="auto"/>
        <w:jc w:val="both"/>
        <w:rPr>
          <w:rFonts w:ascii="Book Antiqua" w:hAnsi="Book Antiqua"/>
        </w:rPr>
      </w:pPr>
    </w:p>
    <w:p w14:paraId="5E2176A9"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44D222D6"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From WGCNA and survival analysis, we identified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that might be prognostic markers for BL.</w:t>
      </w:r>
    </w:p>
    <w:p w14:paraId="4C8F45BB" w14:textId="77777777" w:rsidR="00DE3F5E" w:rsidRDefault="00DE3F5E">
      <w:pPr>
        <w:spacing w:line="360" w:lineRule="auto"/>
        <w:jc w:val="both"/>
        <w:rPr>
          <w:rFonts w:ascii="Book Antiqua" w:hAnsi="Book Antiqua"/>
        </w:rPr>
      </w:pPr>
    </w:p>
    <w:p w14:paraId="2F72F68B"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Burkitt lymphoma; Weighted gene co-expression network analysis; Microarray data; Functional enrichment analysis; Prognosis; Therapeutic target</w:t>
      </w:r>
    </w:p>
    <w:p w14:paraId="686903A4" w14:textId="77777777" w:rsidR="00DE3F5E" w:rsidRDefault="00DE3F5E">
      <w:pPr>
        <w:spacing w:line="360" w:lineRule="auto"/>
        <w:jc w:val="both"/>
        <w:rPr>
          <w:rFonts w:ascii="Book Antiqua" w:hAnsi="Book Antiqua"/>
        </w:rPr>
      </w:pPr>
    </w:p>
    <w:p w14:paraId="303CCBA8" w14:textId="77777777" w:rsidR="001424FF" w:rsidRDefault="001424FF" w:rsidP="001424F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BEF8E8E" w14:textId="77777777" w:rsidR="001424FF" w:rsidRDefault="001424FF">
      <w:pPr>
        <w:spacing w:line="360" w:lineRule="auto"/>
        <w:jc w:val="both"/>
        <w:rPr>
          <w:rFonts w:ascii="Book Antiqua" w:hAnsi="Book Antiqua"/>
        </w:rPr>
      </w:pPr>
    </w:p>
    <w:p w14:paraId="4B0E9FE4" w14:textId="407C9C97" w:rsidR="00186B1D" w:rsidRPr="00186B1D" w:rsidRDefault="001424FF" w:rsidP="00186B1D">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Xu YF, Wang GY, Zhang MY, Yang JG. Hub genes and their key effects on prognosis of Burkitt lymphoma. </w:t>
      </w:r>
      <w:r>
        <w:rPr>
          <w:rFonts w:ascii="Book Antiqua" w:eastAsia="Book Antiqua" w:hAnsi="Book Antiqua" w:cs="Book Antiqua"/>
          <w:i/>
          <w:iCs/>
        </w:rPr>
        <w:t>World J Clin Oncol</w:t>
      </w:r>
      <w:r>
        <w:rPr>
          <w:rFonts w:ascii="Book Antiqua" w:eastAsia="Book Antiqua" w:hAnsi="Book Antiqua" w:cs="Book Antiqua"/>
        </w:rPr>
        <w:t xml:space="preserve"> 2023; </w:t>
      </w:r>
      <w:r w:rsidR="00186B1D" w:rsidRPr="00186B1D">
        <w:rPr>
          <w:rFonts w:ascii="Book Antiqua" w:eastAsia="Book Antiqua" w:hAnsi="Book Antiqua" w:cs="Book Antiqua"/>
        </w:rPr>
        <w:t xml:space="preserve">14(10): </w:t>
      </w:r>
      <w:r w:rsidRPr="001424FF">
        <w:rPr>
          <w:rFonts w:ascii="Book Antiqua" w:eastAsia="Book Antiqua" w:hAnsi="Book Antiqua" w:cs="Book Antiqua"/>
        </w:rPr>
        <w:t>357-372</w:t>
      </w:r>
    </w:p>
    <w:p w14:paraId="0B18D096" w14:textId="27823A6D" w:rsidR="00186B1D" w:rsidRPr="00186B1D" w:rsidRDefault="00186B1D" w:rsidP="00186B1D">
      <w:pPr>
        <w:spacing w:line="360" w:lineRule="auto"/>
        <w:jc w:val="both"/>
        <w:rPr>
          <w:rFonts w:ascii="Book Antiqua" w:eastAsia="Book Antiqua" w:hAnsi="Book Antiqua" w:cs="Book Antiqua"/>
        </w:rPr>
      </w:pPr>
      <w:r w:rsidRPr="00186B1D">
        <w:rPr>
          <w:rFonts w:ascii="Book Antiqua" w:eastAsia="Book Antiqua" w:hAnsi="Book Antiqua" w:cs="Book Antiqua"/>
          <w:b/>
          <w:bCs/>
        </w:rPr>
        <w:t>URL</w:t>
      </w:r>
      <w:r w:rsidRPr="00186B1D">
        <w:rPr>
          <w:rFonts w:ascii="Book Antiqua" w:eastAsia="Book Antiqua" w:hAnsi="Book Antiqua" w:cs="Book Antiqua"/>
        </w:rPr>
        <w:t>: https://www.wjgnet.com/2218-4333/full/v14/i10/</w:t>
      </w:r>
      <w:r w:rsidR="001424FF" w:rsidRPr="001424FF">
        <w:rPr>
          <w:rFonts w:ascii="Book Antiqua" w:eastAsia="Book Antiqua" w:hAnsi="Book Antiqua" w:cs="Book Antiqua"/>
        </w:rPr>
        <w:t>357</w:t>
      </w:r>
      <w:r w:rsidRPr="00186B1D">
        <w:rPr>
          <w:rFonts w:ascii="Book Antiqua" w:eastAsia="Book Antiqua" w:hAnsi="Book Antiqua" w:cs="Book Antiqua"/>
        </w:rPr>
        <w:t>.htm</w:t>
      </w:r>
    </w:p>
    <w:p w14:paraId="1FBD9FEB" w14:textId="56122315" w:rsidR="00DE3F5E" w:rsidRDefault="00186B1D" w:rsidP="00186B1D">
      <w:pPr>
        <w:spacing w:line="360" w:lineRule="auto"/>
        <w:jc w:val="both"/>
        <w:rPr>
          <w:rFonts w:ascii="Book Antiqua" w:hAnsi="Book Antiqua"/>
        </w:rPr>
      </w:pPr>
      <w:r w:rsidRPr="00186B1D">
        <w:rPr>
          <w:rFonts w:ascii="Book Antiqua" w:eastAsia="Book Antiqua" w:hAnsi="Book Antiqua" w:cs="Book Antiqua"/>
          <w:b/>
          <w:bCs/>
        </w:rPr>
        <w:t>DOI</w:t>
      </w:r>
      <w:r w:rsidRPr="00186B1D">
        <w:rPr>
          <w:rFonts w:ascii="Book Antiqua" w:eastAsia="Book Antiqua" w:hAnsi="Book Antiqua" w:cs="Book Antiqua"/>
        </w:rPr>
        <w:t>: https://dx.doi.org/10.5306/wjco.v14.i10.</w:t>
      </w:r>
      <w:r w:rsidR="001424FF" w:rsidRPr="001424FF">
        <w:rPr>
          <w:rFonts w:ascii="Book Antiqua" w:eastAsia="Book Antiqua" w:hAnsi="Book Antiqua" w:cs="Book Antiqua"/>
        </w:rPr>
        <w:t>357</w:t>
      </w:r>
    </w:p>
    <w:p w14:paraId="48ACBF15" w14:textId="77777777" w:rsidR="00DE3F5E" w:rsidRDefault="00DE3F5E">
      <w:pPr>
        <w:spacing w:line="360" w:lineRule="auto"/>
        <w:jc w:val="both"/>
        <w:rPr>
          <w:rFonts w:ascii="Book Antiqua" w:hAnsi="Book Antiqua"/>
        </w:rPr>
      </w:pPr>
    </w:p>
    <w:p w14:paraId="262B51C3"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Core Tip: </w:t>
      </w:r>
      <w:r>
        <w:rPr>
          <w:rFonts w:ascii="Book Antiqua" w:eastAsia="Book Antiqua" w:hAnsi="Book Antiqua" w:cs="Book Antiqua"/>
          <w:color w:val="000000"/>
        </w:rPr>
        <w:t xml:space="preserve">This study represents the pioneering investigation of gene expression in Burkitt lymphoma (BL) using weighted gene co-expression network analysis, coupled with functional enrichment analysis. In this study, we have successfully identified and validated 10 hub genes. Survival analysis has demonstrated that the overexpression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BL may serve as robust prognostic indicators. Furthermore, an integrated mRNA signature and age nomogram potentially provide valuable prognostic insights for patients with BLs.</w:t>
      </w:r>
    </w:p>
    <w:p w14:paraId="15C9377A" w14:textId="77777777" w:rsidR="00DE3F5E" w:rsidRDefault="00DE3F5E">
      <w:pPr>
        <w:spacing w:line="360" w:lineRule="auto"/>
        <w:jc w:val="both"/>
        <w:rPr>
          <w:rFonts w:ascii="Book Antiqua" w:hAnsi="Book Antiqua"/>
        </w:rPr>
      </w:pPr>
    </w:p>
    <w:p w14:paraId="63620ABA"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3425F61"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Burkitt lymphoma (BL) is a highly aggressive B-cell non-Hodgkin's lymphoma characterized by the </w:t>
      </w:r>
      <w:r>
        <w:rPr>
          <w:rFonts w:ascii="Book Antiqua" w:eastAsia="Book Antiqua" w:hAnsi="Book Antiqua" w:cs="Book Antiqua"/>
          <w:i/>
          <w:iCs/>
          <w:color w:val="000000"/>
        </w:rPr>
        <w:t>t</w:t>
      </w:r>
      <w:r>
        <w:rPr>
          <w:rFonts w:ascii="Book Antiqua" w:eastAsia="Book Antiqua" w:hAnsi="Book Antiqua" w:cs="Book Antiqua"/>
          <w:color w:val="000000"/>
        </w:rPr>
        <w:t xml:space="preserve"> (8; 14) chromosomal translocation involving the </w:t>
      </w:r>
      <w:r>
        <w:rPr>
          <w:rFonts w:ascii="Book Antiqua" w:eastAsia="Book Antiqua" w:hAnsi="Book Antiqua" w:cs="Book Antiqua"/>
          <w:i/>
          <w:iCs/>
          <w:color w:val="000000"/>
        </w:rPr>
        <w:t>MYC</w:t>
      </w:r>
      <w:r>
        <w:rPr>
          <w:rFonts w:ascii="Book Antiqua" w:eastAsia="Book Antiqua" w:hAnsi="Book Antiqua" w:cs="Book Antiqua"/>
          <w:color w:val="000000"/>
        </w:rPr>
        <w:t xml:space="preserve"> oncogene and the immunoglobulin heavy chain gene (IGH</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Three distinct clinical subtypes of BL have been identified: Namely endemic (African), sporadic (non-endemic), and </w:t>
      </w:r>
      <w:proofErr w:type="gramStart"/>
      <w:r>
        <w:rPr>
          <w:rFonts w:ascii="Book Antiqua" w:eastAsia="Book Antiqua" w:hAnsi="Book Antiqua" w:cs="Book Antiqua"/>
          <w:color w:val="000000"/>
        </w:rPr>
        <w:t>immunodeficiency-associated</w:t>
      </w:r>
      <w:proofErr w:type="gramEnd"/>
      <w:r>
        <w:rPr>
          <w:rFonts w:ascii="Book Antiqua" w:eastAsia="Book Antiqua" w:hAnsi="Book Antiqua" w:cs="Book Antiqua"/>
          <w:color w:val="000000"/>
        </w:rPr>
        <w:t xml:space="preserve">. Notably, chronic Epstein-Barr virus infection plays a pivotal role in the pathogenesis of BL, particularly in the endemic </w:t>
      </w:r>
      <w:proofErr w:type="gramStart"/>
      <w:r>
        <w:rPr>
          <w:rFonts w:ascii="Book Antiqua" w:eastAsia="Book Antiqua" w:hAnsi="Book Antiqua" w:cs="Book Antiqua"/>
          <w:color w:val="000000"/>
        </w:rPr>
        <w:t>subtype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Endemic BL is primarily found in countries located near the equator in Africa. The estimated annual incidence of endemic BL is 3-6 cases per 100000 children in African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which is approximately 50 times higher than that in the United States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Sporadic BL predominantly occurs in the United States and Western Europe. The annual incidence of BL in the United States is approximately 3 cases per 1 million individuals, while in Europe it stands at around 2.2 cases per 1 million </w:t>
      </w:r>
      <w:proofErr w:type="gramStart"/>
      <w:r>
        <w:rPr>
          <w:rFonts w:ascii="Book Antiqua" w:eastAsia="Book Antiqua" w:hAnsi="Book Antiqua" w:cs="Book Antiqua"/>
          <w:color w:val="000000"/>
        </w:rPr>
        <w:t>people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Immunodeficiency-associated BL primarily affects individuals with HIV infection, typically those with relatively high CD4 counts and no opportunistic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6451F5F6"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Patients with BL frequently exhibit rapid tumor growth, spontaneous tumor lysis, and elevated levels of serum lactate dehydrogenase. Currently, patients with BL necessitate a high-intensity multi-drug regimen in conjunction with adequate intrathecal central nervous system prophylaxis. However, the absence of an established standard treatment protocol for BL </w:t>
      </w:r>
      <w:proofErr w:type="gramStart"/>
      <w:r>
        <w:rPr>
          <w:rFonts w:ascii="Book Antiqua" w:eastAsia="Book Antiqua" w:hAnsi="Book Antiqua" w:cs="Book Antiqua"/>
          <w:color w:val="000000"/>
        </w:rPr>
        <w:t>persists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BL is an aggressive lymphoma, which can potentially be cured; however, patients with refractory and relapsed disease have an extremely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Therefore, it is important to identify robust biomarkers for predicting the prognosis of BLs and discriminating patients who might benefit from therapy. The development of BL depends on the constitutive expression of the MYC gene located on chromosome 8q24, which encodes the transcription factor protein </w:t>
      </w:r>
      <w:proofErr w:type="gramStart"/>
      <w:r>
        <w:rPr>
          <w:rFonts w:ascii="Book Antiqua" w:eastAsia="Book Antiqua" w:hAnsi="Book Antiqua" w:cs="Book Antiqua"/>
          <w:color w:val="000000"/>
        </w:rPr>
        <w:t>MYC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MYC orchestrates the expression of target genes, regulating a variety of cellular processes, including cell growth, division, apoptosis, metabolism, adhesion, and </w:t>
      </w:r>
      <w:proofErr w:type="gramStart"/>
      <w:r>
        <w:rPr>
          <w:rFonts w:ascii="Book Antiqua" w:eastAsia="Book Antiqua" w:hAnsi="Book Antiqua" w:cs="Book Antiqua"/>
          <w:color w:val="000000"/>
        </w:rPr>
        <w:t>motility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MYC gene rearrangements are seen in </w:t>
      </w:r>
      <w:proofErr w:type="gramStart"/>
      <w:r>
        <w:rPr>
          <w:rFonts w:ascii="Book Antiqua" w:eastAsia="Book Antiqua" w:hAnsi="Book Antiqua" w:cs="Book Antiqua"/>
          <w:color w:val="000000"/>
        </w:rPr>
        <w:t>the vast majority of</w:t>
      </w:r>
      <w:proofErr w:type="gramEnd"/>
      <w:r>
        <w:rPr>
          <w:rFonts w:ascii="Book Antiqua" w:eastAsia="Book Antiqua" w:hAnsi="Book Antiqua" w:cs="Book Antiqua"/>
          <w:color w:val="000000"/>
        </w:rPr>
        <w:t xml:space="preserve"> BLs, and factors other than MYC translocation need to be present in the process of BL. However, it is not clear why and how B cells develop genetic alterations that result in increased MYC expression and ultimately lead to BL.</w:t>
      </w:r>
    </w:p>
    <w:p w14:paraId="3755C385" w14:textId="77777777" w:rsidR="00DE3F5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Gene Expression Omnibus (GEO) is an international public repository constructed and maintained by the National Center for Biotechnology </w:t>
      </w:r>
      <w:proofErr w:type="gramStart"/>
      <w:r>
        <w:rPr>
          <w:rFonts w:ascii="Book Antiqua" w:eastAsia="Book Antiqua" w:hAnsi="Book Antiqua" w:cs="Book Antiqua"/>
          <w:color w:val="000000"/>
        </w:rPr>
        <w:t>Information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At the time of writing, the GEO database hosts more than 194000 public series. Weighted gene co-expression network analysis (WGCNA) is a widely used systematic biological method for generating gene co-expression </w:t>
      </w:r>
      <w:proofErr w:type="gramStart"/>
      <w:r>
        <w:rPr>
          <w:rFonts w:ascii="Book Antiqua" w:eastAsia="Book Antiqua" w:hAnsi="Book Antiqua" w:cs="Book Antiqua"/>
          <w:color w:val="000000"/>
        </w:rPr>
        <w:t>networks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In this study, WGCNA was first used to analyze genes of BL samples mined from the GEO database. Subsequently, we identified these hub genes and conducted a functional enrichment analysis. Additionally, a survival analysis was conducted to identify an mRNA signature that exhibits a significant association with prognosis. Finally, a prognostic nomogram was established based on the combination of gene signature and clinical characteristics.</w:t>
      </w:r>
    </w:p>
    <w:p w14:paraId="703AA765" w14:textId="77777777" w:rsidR="00DE3F5E" w:rsidRDefault="00DE3F5E">
      <w:pPr>
        <w:spacing w:line="360" w:lineRule="auto"/>
        <w:jc w:val="both"/>
        <w:rPr>
          <w:rFonts w:ascii="Book Antiqua" w:hAnsi="Book Antiqua"/>
        </w:rPr>
      </w:pPr>
    </w:p>
    <w:p w14:paraId="1534C4FB"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4758B41"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Data collection and preprocessing</w:t>
      </w:r>
    </w:p>
    <w:p w14:paraId="4C6C0DAF"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raw gene expressions and the corresponding clinical follow-up data of GSE4475 and GSE69051 were downloaded from the GEO database (http://www.ncbi.nlm.nih.gov/geo/. Accessed Jan 20, </w:t>
      </w:r>
      <w:proofErr w:type="gramStart"/>
      <w:r>
        <w:rPr>
          <w:rFonts w:ascii="Book Antiqua" w:eastAsia="Book Antiqua" w:hAnsi="Book Antiqua" w:cs="Book Antiqua"/>
          <w:color w:val="000000"/>
        </w:rPr>
        <w:t>2023)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the two datasets were built based on the GPL96 platform (HG-U133A) and GPL14951 platform (Illumina HumanHT-12 WG-DASL V4.0 R2 expression </w:t>
      </w:r>
      <w:proofErr w:type="spellStart"/>
      <w:r>
        <w:rPr>
          <w:rFonts w:ascii="Book Antiqua" w:eastAsia="Book Antiqua" w:hAnsi="Book Antiqua" w:cs="Book Antiqua"/>
          <w:color w:val="000000"/>
        </w:rPr>
        <w:t>beadchip</w:t>
      </w:r>
      <w:proofErr w:type="spellEnd"/>
      <w:r>
        <w:rPr>
          <w:rFonts w:ascii="Book Antiqua" w:eastAsia="Book Antiqua" w:hAnsi="Book Antiqua" w:cs="Book Antiqua"/>
          <w:color w:val="000000"/>
        </w:rPr>
        <w:t>) respectively. Analysis was performed on the raw gene expression data of the BL datasets and the corresponding clinical follow-up obtained from GSE4475, which included a total of 36 BL samples. The survival data of the hub genes was verified by downloading another dataset, GSE69051, which included 77 BL samples. The mRNA sequencing data annotation information was used to match the probe with the corresponding gene and transform the gene name into a gene symbol. Probes that corresponded to more than one gene were excluded from the dataset.</w:t>
      </w:r>
    </w:p>
    <w:p w14:paraId="6855E0F1" w14:textId="77777777" w:rsidR="00DE3F5E" w:rsidRDefault="00DE3F5E">
      <w:pPr>
        <w:spacing w:line="360" w:lineRule="auto"/>
        <w:jc w:val="both"/>
        <w:rPr>
          <w:rFonts w:ascii="Book Antiqua" w:hAnsi="Book Antiqua"/>
        </w:rPr>
      </w:pPr>
    </w:p>
    <w:p w14:paraId="41A36CBF"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Co-expression network construction</w:t>
      </w:r>
    </w:p>
    <w:p w14:paraId="358FA425"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WGCNA converts gene expression data into co-expression modules, establishing relationships between genes and focusing on gene modules rather than individual </w:t>
      </w:r>
      <w:proofErr w:type="gramStart"/>
      <w:r>
        <w:rPr>
          <w:rFonts w:ascii="Book Antiqua" w:eastAsia="Book Antiqua" w:hAnsi="Book Antiqua" w:cs="Book Antiqua"/>
          <w:color w:val="000000"/>
        </w:rPr>
        <w:lastRenderedPageBreak/>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Besides, WGCNA can identify the gene modules related to clinical traits and has been widely used in cancer research. In this study, the top 5000 most variable genes were used to construct a co-expression network by using the package of WGCNA in </w:t>
      </w:r>
      <w:proofErr w:type="gramStart"/>
      <w:r>
        <w:rPr>
          <w:rFonts w:ascii="Book Antiqua" w:eastAsia="Book Antiqua" w:hAnsi="Book Antiqua" w:cs="Book Antiqua"/>
          <w:color w:val="000000"/>
        </w:rPr>
        <w:t>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The power value was filtered out during the module construction process using the WGCNA algorithm. The mean connectivity and scale independence of network modules were analyzed using the gradient test under different power values, which ranged from 1 to 20. When the degree of independence was 0.85, the appropriate power value was determined. Then, the soft threshold test was performed. In this study, the soft threshold β was 12, and the network type was “signed”. The WGCNA algorithm further identified co-expression modules under these conditions. The minimum size of the gene group was set at 100 to ensure the reliability of the results for this module. Then, the correlation between the characteristics of the module-trait association module and clinical traits was visually expressed. The relationship between the expression profile and traits was analyzed to make a scatter plot between gene significance and module membership.</w:t>
      </w:r>
    </w:p>
    <w:p w14:paraId="6298E13A" w14:textId="77777777" w:rsidR="00DE3F5E" w:rsidRDefault="00DE3F5E">
      <w:pPr>
        <w:spacing w:line="360" w:lineRule="auto"/>
        <w:jc w:val="both"/>
        <w:rPr>
          <w:rFonts w:ascii="Book Antiqua" w:hAnsi="Book Antiqua"/>
        </w:rPr>
      </w:pPr>
    </w:p>
    <w:p w14:paraId="1E055A58"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Hub genes identification and functional analysis</w:t>
      </w:r>
    </w:p>
    <w:p w14:paraId="4E67A780"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Protein-Protein Interaction (PPI) network of the interested module was constructed using the Search Tool for the Retrieval of Interacting Genes/Proteins (STRING) database (available from https://cn.string-db.org/. Accessed 25 Jan </w:t>
      </w:r>
      <w:proofErr w:type="gramStart"/>
      <w:r>
        <w:rPr>
          <w:rFonts w:ascii="Book Antiqua" w:eastAsia="Book Antiqua" w:hAnsi="Book Antiqua" w:cs="Book Antiqua"/>
          <w:color w:val="000000"/>
        </w:rPr>
        <w:t>2023)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and presented by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The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was used to screen the hub genes. Then, the selected hub genes were analyzed by Gene Ontology (GO) and Kyoto Encyclopedia of Genes and Genomes (KEGG) analysis using Database for Annotation, Visualization, and Integrated Discovery (DAVID v.6.8: available from</w:t>
      </w:r>
      <w:r>
        <w:rPr>
          <w:rFonts w:ascii="Book Antiqua" w:hAnsi="Book Antiqua"/>
        </w:rPr>
        <w:t xml:space="preserve"> </w:t>
      </w:r>
      <w:hyperlink r:id="rId7" w:history="1">
        <w:r>
          <w:rPr>
            <w:rFonts w:ascii="Book Antiqua" w:eastAsia="Book Antiqua" w:hAnsi="Book Antiqua" w:cs="Book Antiqua"/>
            <w:color w:val="000000"/>
            <w:u w:color="000000"/>
          </w:rPr>
          <w:t>https://david.ncifcrf.gov/</w:t>
        </w:r>
      </w:hyperlink>
      <w:r>
        <w:rPr>
          <w:rFonts w:ascii="Book Antiqua" w:eastAsia="Book Antiqua" w:hAnsi="Book Antiqua" w:cs="Book Antiqua"/>
          <w:color w:val="000000"/>
        </w:rPr>
        <w:t xml:space="preserve">. Accessed Jan 29, </w:t>
      </w:r>
      <w:proofErr w:type="gramStart"/>
      <w:r>
        <w:rPr>
          <w:rFonts w:ascii="Book Antiqua" w:eastAsia="Book Antiqua" w:hAnsi="Book Antiqua" w:cs="Book Antiqua"/>
          <w:color w:val="000000"/>
        </w:rPr>
        <w:t>2023)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The possible functions were analyzed by biological processes, cellular components, and molecular functions, while the potential signal pathways were analyzed using KEGG.</w:t>
      </w:r>
    </w:p>
    <w:p w14:paraId="7991C8EA" w14:textId="77777777" w:rsidR="00DE3F5E" w:rsidRDefault="00DE3F5E">
      <w:pPr>
        <w:spacing w:line="360" w:lineRule="auto"/>
        <w:jc w:val="both"/>
        <w:rPr>
          <w:rFonts w:ascii="Book Antiqua" w:hAnsi="Book Antiqua"/>
        </w:rPr>
      </w:pPr>
    </w:p>
    <w:p w14:paraId="68D5BD08"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Construction of hub genes PPI and genetic interaction network</w:t>
      </w:r>
    </w:p>
    <w:p w14:paraId="6AC1B7D7"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The PPI network was used to analyze the hub genes at the protein level, and the STRING database (available from https://string-db.org/. Accessed Jan 31, 2023) was used to check and predict the interaction between </w:t>
      </w:r>
      <w:proofErr w:type="gramStart"/>
      <w:r>
        <w:rPr>
          <w:rFonts w:ascii="Book Antiqua" w:eastAsia="Book Antiqua" w:hAnsi="Book Antiqua" w:cs="Book Antiqua"/>
          <w:color w:val="000000"/>
        </w:rPr>
        <w:t>proteins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 genetic interaction (GI) network, constructed using gene function prediction, aims to understand the complex interactions between genes. We used the Gene Multiple Association Network Integration Algorithm (</w:t>
      </w:r>
      <w:proofErr w:type="spellStart"/>
      <w:r>
        <w:rPr>
          <w:rFonts w:ascii="Book Antiqua" w:eastAsia="Book Antiqua" w:hAnsi="Book Antiqua" w:cs="Book Antiqua"/>
          <w:color w:val="000000"/>
        </w:rPr>
        <w:t>GeneMANIA</w:t>
      </w:r>
      <w:proofErr w:type="spellEnd"/>
      <w:r>
        <w:rPr>
          <w:rFonts w:ascii="Book Antiqua" w:eastAsia="Book Antiqua" w:hAnsi="Book Antiqua" w:cs="Book Antiqua"/>
          <w:color w:val="000000"/>
        </w:rPr>
        <w:t xml:space="preserve">, available from </w:t>
      </w:r>
      <w:hyperlink r:id="rId8" w:history="1">
        <w:r>
          <w:rPr>
            <w:rFonts w:ascii="Book Antiqua" w:eastAsia="Book Antiqua" w:hAnsi="Book Antiqua" w:cs="Book Antiqua"/>
            <w:color w:val="000000"/>
            <w:u w:color="000000"/>
          </w:rPr>
          <w:t>https://genemania.org/</w:t>
        </w:r>
      </w:hyperlink>
      <w:r>
        <w:rPr>
          <w:rFonts w:ascii="Book Antiqua" w:eastAsia="Book Antiqua" w:hAnsi="Book Antiqua" w:cs="Book Antiqua"/>
          <w:color w:val="000000"/>
        </w:rPr>
        <w:t xml:space="preserve">. Accessed Jan 31, 2023) to analyze the hub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The threshold of a collective score of 0.15 was implemented.</w:t>
      </w:r>
    </w:p>
    <w:p w14:paraId="24B6AE70" w14:textId="77777777" w:rsidR="00DE3F5E" w:rsidRDefault="00DE3F5E">
      <w:pPr>
        <w:spacing w:line="360" w:lineRule="auto"/>
        <w:jc w:val="both"/>
        <w:rPr>
          <w:rFonts w:ascii="Book Antiqua" w:hAnsi="Book Antiqua"/>
        </w:rPr>
      </w:pPr>
    </w:p>
    <w:p w14:paraId="0F4ED7C8"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Statistical analysis</w:t>
      </w:r>
    </w:p>
    <w:p w14:paraId="5EB8C602"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Based on the 50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cut-off value of each hub gene mRNA, patients were divided into high-expression and low-expression groups. Log-rank test and Kaplan-Meier estimation were performed to obtain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and evaluate hub genes in overall survival (OS). Cox regression analysis was conducted to examine the association between the risk score and clinical information, and a nomogram was generated. The survival curve and nomogram were carried out by R version 4.2.1. Additionally,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statistically significant.</w:t>
      </w:r>
    </w:p>
    <w:p w14:paraId="719116F6" w14:textId="77777777" w:rsidR="00DE3F5E" w:rsidRDefault="00DE3F5E">
      <w:pPr>
        <w:spacing w:line="360" w:lineRule="auto"/>
        <w:jc w:val="both"/>
        <w:rPr>
          <w:rFonts w:ascii="Book Antiqua" w:hAnsi="Book Antiqua"/>
        </w:rPr>
      </w:pPr>
    </w:p>
    <w:p w14:paraId="662ACC35"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Drug-gene interaction</w:t>
      </w:r>
    </w:p>
    <w:p w14:paraId="12E8FC60"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DGIdb</w:t>
      </w:r>
      <w:proofErr w:type="spellEnd"/>
      <w:r>
        <w:rPr>
          <w:rFonts w:ascii="Book Antiqua" w:eastAsia="Book Antiqua" w:hAnsi="Book Antiqua" w:cs="Book Antiqua"/>
          <w:color w:val="000000"/>
        </w:rPr>
        <w:t xml:space="preserve"> database (available from</w:t>
      </w:r>
      <w:r>
        <w:rPr>
          <w:rFonts w:ascii="Book Antiqua" w:hAnsi="Book Antiqua"/>
        </w:rPr>
        <w:t xml:space="preserve"> </w:t>
      </w:r>
      <w:hyperlink r:id="rId9" w:history="1">
        <w:r>
          <w:rPr>
            <w:rFonts w:ascii="Book Antiqua" w:eastAsia="Book Antiqua" w:hAnsi="Book Antiqua" w:cs="Book Antiqua"/>
            <w:color w:val="000000"/>
            <w:u w:color="000000"/>
          </w:rPr>
          <w:t>https://dgidb.org/</w:t>
        </w:r>
      </w:hyperlink>
      <w:r>
        <w:rPr>
          <w:rFonts w:ascii="Book Antiqua" w:eastAsia="Book Antiqua" w:hAnsi="Book Antiqua" w:cs="Book Antiqua"/>
          <w:color w:val="000000"/>
        </w:rPr>
        <w:t xml:space="preserve">. Accessed Feb 20, 2023) was used to investigate drug-gene interaction to identify drugs associated with hub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interaction network was visualized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w:t>
      </w:r>
    </w:p>
    <w:p w14:paraId="0F26B0AA" w14:textId="77777777" w:rsidR="00DE3F5E" w:rsidRDefault="00DE3F5E">
      <w:pPr>
        <w:spacing w:line="360" w:lineRule="auto"/>
        <w:jc w:val="both"/>
        <w:rPr>
          <w:rFonts w:ascii="Book Antiqua" w:hAnsi="Book Antiqua"/>
        </w:rPr>
      </w:pPr>
    </w:p>
    <w:p w14:paraId="5A542FAA"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AB578A7"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Construction and screening of BL co-expression module</w:t>
      </w:r>
    </w:p>
    <w:p w14:paraId="4EE28E16"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this study, we obtained the BL dataset from GSE4475, resulting in a total of 13514 gene expression values. The clinical features of the BL samples are listed in Table 1. Then, we selected a total of 5000 genes with the highest average expression values for cluster analysis. Firstly, the clustering tree of 36 samples of BL was extracted from GSE4475 (Figure 1). Secondly, we calculated the soft threshold (power value), and when </w:t>
      </w:r>
      <w:r>
        <w:rPr>
          <w:rFonts w:ascii="Book Antiqua" w:eastAsia="Book Antiqua" w:hAnsi="Book Antiqua" w:cs="Book Antiqua"/>
          <w:color w:val="000000"/>
        </w:rPr>
        <w:lastRenderedPageBreak/>
        <w:t xml:space="preserve">the weight was equal to 12, the independence exceeded 0.85, indicating higher average connectivity (Supplementary Figure 1). By utilizing this power value for hierarchical clustering analysis and combining similar analysis results, a total of 8 modules were identified, including black (1073 genes), blue (967 genes), brown (853 genes), </w:t>
      </w:r>
      <w:proofErr w:type="gramStart"/>
      <w:r>
        <w:rPr>
          <w:rFonts w:ascii="Book Antiqua" w:eastAsia="Book Antiqua" w:hAnsi="Book Antiqua" w:cs="Book Antiqua"/>
          <w:color w:val="000000"/>
        </w:rPr>
        <w:t>green yellow</w:t>
      </w:r>
      <w:proofErr w:type="gramEnd"/>
      <w:r>
        <w:rPr>
          <w:rFonts w:ascii="Book Antiqua" w:eastAsia="Book Antiqua" w:hAnsi="Book Antiqua" w:cs="Book Antiqua"/>
          <w:color w:val="000000"/>
        </w:rPr>
        <w:t xml:space="preserve"> (140 genes), grey (1019 genes), magenta (219 genes), pink (267 genes) and yellow (462 genes) (Figure 2A). Genes in grey were not included in any module, thus we analyzed the interactive relationships underlying the 7 co-expression modules (Figure 2B). Given the well-established association between age and prognosis in BL patients, we opted to investigate the module that exhibited the strongest correlation with age for subsequent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A significant correlation between the yellow module and age was discovered (Figure 3). The correlation between modules and samples is shown in Supplementary Figure 2. Finally, we conducted a scatter diagram of the correlation between the yellow module and age (Figure 4).</w:t>
      </w:r>
    </w:p>
    <w:p w14:paraId="6471BFA7" w14:textId="77777777" w:rsidR="00DE3F5E" w:rsidRDefault="00DE3F5E">
      <w:pPr>
        <w:spacing w:line="360" w:lineRule="auto"/>
        <w:jc w:val="both"/>
        <w:rPr>
          <w:rFonts w:ascii="Book Antiqua" w:hAnsi="Book Antiqua"/>
        </w:rPr>
      </w:pPr>
    </w:p>
    <w:p w14:paraId="5ACB0B15" w14:textId="77777777" w:rsidR="00C25569" w:rsidRDefault="00C25569" w:rsidP="00C25569">
      <w:pPr>
        <w:spacing w:line="360" w:lineRule="auto"/>
        <w:jc w:val="both"/>
        <w:rPr>
          <w:rFonts w:ascii="Book Antiqua" w:hAnsi="Book Antiqua"/>
          <w:i/>
          <w:iCs/>
        </w:rPr>
      </w:pPr>
      <w:r>
        <w:rPr>
          <w:rFonts w:ascii="Book Antiqua" w:eastAsia="Book Antiqua" w:hAnsi="Book Antiqua" w:cs="Book Antiqua"/>
          <w:b/>
          <w:bCs/>
          <w:i/>
          <w:iCs/>
          <w:color w:val="000000"/>
        </w:rPr>
        <w:t>Hub genes identification</w:t>
      </w:r>
    </w:p>
    <w:p w14:paraId="3A750A3B" w14:textId="77777777" w:rsidR="00C25569" w:rsidRDefault="00C25569" w:rsidP="00C25569">
      <w:pPr>
        <w:spacing w:line="360" w:lineRule="auto"/>
        <w:jc w:val="both"/>
        <w:rPr>
          <w:rFonts w:ascii="Book Antiqua" w:hAnsi="Book Antiqua"/>
        </w:rPr>
      </w:pP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genes from the yellow module were uploaded to the STRING database, and a PPI network was constructed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(Supplementary Figure 3). And the top 10 hub genes (</w:t>
      </w:r>
      <w:r>
        <w:rPr>
          <w:rFonts w:ascii="Book Antiqua" w:eastAsia="Book Antiqua" w:hAnsi="Book Antiqua" w:cs="Book Antiqua"/>
          <w:i/>
          <w:iCs/>
          <w:color w:val="000000"/>
        </w:rPr>
        <w:t>SRC</w:t>
      </w:r>
      <w:r>
        <w:rPr>
          <w:rFonts w:ascii="Book Antiqua" w:eastAsia="Book Antiqua" w:hAnsi="Book Antiqua" w:cs="Book Antiqua"/>
          <w:color w:val="000000"/>
        </w:rPr>
        <w:t xml:space="preserve">, </w:t>
      </w:r>
      <w:r>
        <w:rPr>
          <w:rFonts w:ascii="Book Antiqua" w:eastAsia="Book Antiqua" w:hAnsi="Book Antiqua" w:cs="Book Antiqua"/>
          <w:i/>
          <w:iCs/>
          <w:color w:val="000000"/>
        </w:rPr>
        <w:t>TLR4</w:t>
      </w:r>
      <w:r>
        <w:rPr>
          <w:rFonts w:ascii="Book Antiqua" w:eastAsia="Book Antiqua" w:hAnsi="Book Antiqua" w:cs="Book Antiqua"/>
          <w:color w:val="000000"/>
        </w:rPr>
        <w:t xml:space="preserve">, </w:t>
      </w:r>
      <w:r>
        <w:rPr>
          <w:rFonts w:ascii="Book Antiqua" w:eastAsia="Book Antiqua" w:hAnsi="Book Antiqua" w:cs="Book Antiqua"/>
          <w:i/>
          <w:iCs/>
          <w:color w:val="000000"/>
        </w:rPr>
        <w:t>CD40</w:t>
      </w:r>
      <w:r>
        <w:rPr>
          <w:rFonts w:ascii="Book Antiqua" w:eastAsia="Book Antiqua" w:hAnsi="Book Antiqua" w:cs="Book Antiqua"/>
          <w:color w:val="000000"/>
        </w:rPr>
        <w:t xml:space="preserve">, </w:t>
      </w:r>
      <w:r>
        <w:rPr>
          <w:rFonts w:ascii="Book Antiqua" w:eastAsia="Book Antiqua" w:hAnsi="Book Antiqua" w:cs="Book Antiqua"/>
          <w:i/>
          <w:iCs/>
          <w:color w:val="000000"/>
        </w:rPr>
        <w:t>STAT3</w:t>
      </w:r>
      <w:r>
        <w:rPr>
          <w:rFonts w:ascii="Book Antiqua" w:eastAsia="Book Antiqua" w:hAnsi="Book Antiqua" w:cs="Book Antiqua"/>
          <w:color w:val="000000"/>
        </w:rPr>
        <w:t xml:space="preserve">, </w:t>
      </w:r>
      <w:r>
        <w:rPr>
          <w:rFonts w:ascii="Book Antiqua" w:eastAsia="Book Antiqua" w:hAnsi="Book Antiqua" w:cs="Book Antiqua"/>
          <w:i/>
          <w:iCs/>
          <w:color w:val="000000"/>
        </w:rPr>
        <w:t>SELL</w:t>
      </w:r>
      <w:r>
        <w:rPr>
          <w:rFonts w:ascii="Book Antiqua" w:eastAsia="Book Antiqua" w:hAnsi="Book Antiqua" w:cs="Book Antiqua"/>
          <w:color w:val="000000"/>
        </w:rPr>
        <w:t xml:space="preserve">,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CCR7</w:t>
      </w:r>
      <w:r>
        <w:rPr>
          <w:rFonts w:ascii="Book Antiqua" w:eastAsia="Book Antiqua" w:hAnsi="Book Antiqua" w:cs="Book Antiqua"/>
          <w:color w:val="000000"/>
        </w:rPr>
        <w:t xml:space="preserve"> and </w:t>
      </w:r>
      <w:r>
        <w:rPr>
          <w:rFonts w:ascii="Book Antiqua" w:eastAsia="Book Antiqua" w:hAnsi="Book Antiqua" w:cs="Book Antiqua"/>
          <w:i/>
          <w:iCs/>
          <w:color w:val="000000"/>
        </w:rPr>
        <w:t>FCGR2B</w:t>
      </w:r>
      <w:r>
        <w:rPr>
          <w:rFonts w:ascii="Book Antiqua" w:eastAsia="Book Antiqua" w:hAnsi="Book Antiqua" w:cs="Book Antiqua"/>
          <w:color w:val="000000"/>
        </w:rPr>
        <w:t xml:space="preserve">) were screened out by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t>
      </w:r>
      <w:proofErr w:type="spellStart"/>
      <w:r>
        <w:rPr>
          <w:rFonts w:ascii="Book Antiqua" w:eastAsia="Book Antiqua" w:hAnsi="Book Antiqua" w:cs="Book Antiqua"/>
          <w:color w:val="000000"/>
        </w:rPr>
        <w:t>GeneMANIA</w:t>
      </w:r>
      <w:proofErr w:type="spellEnd"/>
      <w:r>
        <w:rPr>
          <w:rFonts w:ascii="Book Antiqua" w:eastAsia="Book Antiqua" w:hAnsi="Book Antiqua" w:cs="Book Antiqua"/>
          <w:color w:val="000000"/>
        </w:rPr>
        <w:t xml:space="preserve"> showed the GI network of hub genes interaction at the mRNA expression level (Figure 5A). The STRING database generated the PPI co-expression network by analyzing the hub genes at the protein level (Figure 5B). </w:t>
      </w:r>
    </w:p>
    <w:p w14:paraId="1BE7491B" w14:textId="77777777" w:rsidR="00DE3F5E" w:rsidRDefault="00DE3F5E">
      <w:pPr>
        <w:spacing w:line="360" w:lineRule="auto"/>
        <w:jc w:val="both"/>
        <w:rPr>
          <w:rFonts w:ascii="Book Antiqua" w:hAnsi="Book Antiqua"/>
        </w:rPr>
      </w:pPr>
    </w:p>
    <w:p w14:paraId="12EC427D"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Functional and pathway enrichment analysis</w:t>
      </w:r>
    </w:p>
    <w:p w14:paraId="0CBF794C"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Enrichment analyses of GO and KEGG were conducted to explore potential pathways of the hub genes. Forty-five GO-enriched terms were shown in Supplementary Table 1. The top 10 GO terms (Figure 6A) included inflammatory response, external side of plasma membrane, plasma membrane, cellular response to lipopolysaccharide, positive regulation of interleukin-12 production, receptor binding, positive regulation of MAP kinase activity, positive regulation of JNK cascade, immune </w:t>
      </w:r>
      <w:proofErr w:type="gramStart"/>
      <w:r>
        <w:rPr>
          <w:rFonts w:ascii="Book Antiqua" w:eastAsia="Book Antiqua" w:hAnsi="Book Antiqua" w:cs="Book Antiqua"/>
          <w:color w:val="000000"/>
        </w:rPr>
        <w:t>response</w:t>
      </w:r>
      <w:proofErr w:type="gramEnd"/>
      <w:r>
        <w:rPr>
          <w:rFonts w:ascii="Book Antiqua" w:eastAsia="Book Antiqua" w:hAnsi="Book Antiqua" w:cs="Book Antiqua"/>
          <w:color w:val="000000"/>
        </w:rPr>
        <w:t xml:space="preserve"> and positive </w:t>
      </w:r>
      <w:r>
        <w:rPr>
          <w:rFonts w:ascii="Book Antiqua" w:eastAsia="Book Antiqua" w:hAnsi="Book Antiqua" w:cs="Book Antiqua"/>
          <w:color w:val="000000"/>
        </w:rPr>
        <w:lastRenderedPageBreak/>
        <w:t>regulation of humoral immune response. In the KEGG analysis, 14 pathways enriched by genes in the yellow module were shown in Supplementary Table 2, and the top 10 KEGG terms (Figure 6B) included viral protein interaction with cytokine and cytokine receptor, cytokine-cytokine receptor interaction, toxoplasmosis, measles, tuberculosis, chemokine signaling pathway, lipid and atherosclerosis, Toll-like receptor signaling pathway, Hepatitis B and JAK-STAT signaling pathway.</w:t>
      </w:r>
    </w:p>
    <w:p w14:paraId="289D21D1" w14:textId="77777777" w:rsidR="00DE3F5E" w:rsidRDefault="00DE3F5E">
      <w:pPr>
        <w:spacing w:line="360" w:lineRule="auto"/>
        <w:jc w:val="both"/>
        <w:rPr>
          <w:rFonts w:ascii="Book Antiqua" w:hAnsi="Book Antiqua"/>
        </w:rPr>
      </w:pPr>
    </w:p>
    <w:p w14:paraId="2F271429"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Survival analysis</w:t>
      </w:r>
    </w:p>
    <w:p w14:paraId="093D3C71"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Additional survival analysis was conducted on the hub genes to evaluate their impact on BL patients' survival. Due to the small sample size of GSE4475, we opted for GSE69051 for survival analysis (Figure 7). Two of the 10 hub genes were significantly associated with OS: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Figure 7F)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0.0066, Figure 7G).</w:t>
      </w:r>
    </w:p>
    <w:p w14:paraId="0D4482D6" w14:textId="77777777" w:rsidR="00DE3F5E" w:rsidRDefault="00DE3F5E">
      <w:pPr>
        <w:spacing w:line="360" w:lineRule="auto"/>
        <w:jc w:val="both"/>
        <w:rPr>
          <w:rFonts w:ascii="Book Antiqua" w:hAnsi="Book Antiqua"/>
        </w:rPr>
      </w:pPr>
    </w:p>
    <w:p w14:paraId="185BFFAC"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Establishment of the nomogram and assessment of predictive value</w:t>
      </w:r>
    </w:p>
    <w:p w14:paraId="1C6C183E"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Based on the hub genes and clinical data of the patients, a nomogram was developed to predict the 1- and 3-year OS of BL patients (Figure 8A). The model had a c-index of 0.84, and the calibration curve demonstrated strong agreement between predicted and observed survival times for both 1- and 3-year OS probabilities in the BL cohort (Figure 8B).</w:t>
      </w:r>
    </w:p>
    <w:p w14:paraId="79EAC32F" w14:textId="77777777" w:rsidR="00DE3F5E" w:rsidRDefault="00DE3F5E">
      <w:pPr>
        <w:spacing w:line="360" w:lineRule="auto"/>
        <w:jc w:val="both"/>
        <w:rPr>
          <w:rFonts w:ascii="Book Antiqua" w:hAnsi="Book Antiqua"/>
        </w:rPr>
      </w:pPr>
    </w:p>
    <w:p w14:paraId="3E4ED8E9"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Identification of associated drugs</w:t>
      </w:r>
    </w:p>
    <w:p w14:paraId="71E43FC7"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drugs related to </w:t>
      </w:r>
      <w:r>
        <w:rPr>
          <w:rFonts w:ascii="Book Antiqua" w:eastAsia="Book Antiqua" w:hAnsi="Book Antiqua" w:cs="Book Antiqua"/>
          <w:i/>
          <w:iCs/>
          <w:color w:val="000000"/>
        </w:rPr>
        <w:t xml:space="preserve">IL2RA </w:t>
      </w:r>
      <w:r>
        <w:rPr>
          <w:rFonts w:ascii="Book Antiqua" w:eastAsia="Book Antiqua" w:hAnsi="Book Antiqua" w:cs="Book Antiqua"/>
          <w:color w:val="000000"/>
        </w:rPr>
        <w:t>and</w:t>
      </w:r>
      <w:r>
        <w:rPr>
          <w:rFonts w:ascii="Book Antiqua" w:eastAsia="Book Antiqua" w:hAnsi="Book Antiqua" w:cs="Book Antiqua"/>
          <w:i/>
          <w:iCs/>
          <w:color w:val="000000"/>
        </w:rPr>
        <w:t xml:space="preserve"> CXCL10</w:t>
      </w:r>
      <w:r>
        <w:rPr>
          <w:rFonts w:ascii="Book Antiqua" w:eastAsia="Book Antiqua" w:hAnsi="Book Antiqua" w:cs="Book Antiqua"/>
          <w:color w:val="000000"/>
        </w:rPr>
        <w:t xml:space="preserve"> were identified by the </w:t>
      </w:r>
      <w:proofErr w:type="spellStart"/>
      <w:r>
        <w:rPr>
          <w:rFonts w:ascii="Book Antiqua" w:eastAsia="Book Antiqua" w:hAnsi="Book Antiqua" w:cs="Book Antiqua"/>
          <w:color w:val="000000"/>
        </w:rPr>
        <w:t>DGIdb</w:t>
      </w:r>
      <w:proofErr w:type="spellEnd"/>
      <w:r>
        <w:rPr>
          <w:rFonts w:ascii="Book Antiqua" w:eastAsia="Book Antiqua" w:hAnsi="Book Antiqua" w:cs="Book Antiqua"/>
          <w:color w:val="000000"/>
        </w:rPr>
        <w:t xml:space="preserve"> database, as these were the only significant results from survival analysis (Figure 9). These results may provide new ideas for the treatment of BL with poor prognosis.</w:t>
      </w:r>
    </w:p>
    <w:p w14:paraId="5C6FAD07" w14:textId="77777777" w:rsidR="00DE3F5E" w:rsidRDefault="00DE3F5E">
      <w:pPr>
        <w:spacing w:line="360" w:lineRule="auto"/>
        <w:jc w:val="both"/>
        <w:rPr>
          <w:rFonts w:ascii="Book Antiqua" w:hAnsi="Book Antiqua"/>
        </w:rPr>
      </w:pPr>
    </w:p>
    <w:p w14:paraId="434DC993"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A3AD2B0"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BL, a highly aggressive lymphoma identified and described by Denis Burkitt in the last century, continues to be the most common childhood malignancy in Africa </w:t>
      </w:r>
      <w:proofErr w:type="gramStart"/>
      <w:r>
        <w:rPr>
          <w:rFonts w:ascii="Book Antiqua" w:eastAsia="Book Antiqua" w:hAnsi="Book Antiqua" w:cs="Book Antiqua"/>
          <w:color w:val="000000"/>
        </w:rPr>
        <w:t>nowadays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 defining feature of BL is the translocation between the </w:t>
      </w:r>
      <w:r>
        <w:rPr>
          <w:rFonts w:ascii="Book Antiqua" w:eastAsia="Book Antiqua" w:hAnsi="Book Antiqua" w:cs="Book Antiqua"/>
          <w:i/>
          <w:iCs/>
          <w:color w:val="000000"/>
        </w:rPr>
        <w:t>c-MYC</w:t>
      </w:r>
      <w:r>
        <w:rPr>
          <w:rFonts w:ascii="Book Antiqua" w:eastAsia="Book Antiqua" w:hAnsi="Book Antiqua" w:cs="Book Antiqua"/>
          <w:color w:val="000000"/>
        </w:rPr>
        <w:t xml:space="preserve"> gene and the </w:t>
      </w:r>
      <w:proofErr w:type="spellStart"/>
      <w:r>
        <w:rPr>
          <w:rFonts w:ascii="Book Antiqua" w:eastAsia="Book Antiqua" w:hAnsi="Book Antiqua" w:cs="Book Antiqua"/>
          <w:i/>
          <w:iCs/>
          <w:color w:val="000000"/>
        </w:rPr>
        <w:t>IgH</w:t>
      </w:r>
      <w:proofErr w:type="spellEnd"/>
      <w:r>
        <w:rPr>
          <w:rFonts w:ascii="Book Antiqua" w:eastAsia="Book Antiqua" w:hAnsi="Book Antiqua" w:cs="Book Antiqua"/>
          <w:color w:val="000000"/>
        </w:rPr>
        <w:t xml:space="preserve"> gene, which is found in 80% of cases [</w:t>
      </w:r>
      <w:r>
        <w:rPr>
          <w:rFonts w:ascii="Book Antiqua" w:eastAsia="Book Antiqua" w:hAnsi="Book Antiqua" w:cs="Book Antiqua"/>
          <w:i/>
          <w:iCs/>
          <w:color w:val="000000"/>
        </w:rPr>
        <w:t>t</w:t>
      </w:r>
      <w:r>
        <w:rPr>
          <w:rFonts w:ascii="Book Antiqua" w:eastAsia="Book Antiqua" w:hAnsi="Book Antiqua" w:cs="Book Antiqua"/>
          <w:color w:val="000000"/>
        </w:rPr>
        <w:t xml:space="preserve"> (8; 14)], or between </w:t>
      </w:r>
      <w:r>
        <w:rPr>
          <w:rFonts w:ascii="Book Antiqua" w:eastAsia="Book Antiqua" w:hAnsi="Book Antiqua" w:cs="Book Antiqua"/>
          <w:i/>
          <w:iCs/>
          <w:color w:val="000000"/>
        </w:rPr>
        <w:t>c-MYC</w:t>
      </w:r>
      <w:r>
        <w:rPr>
          <w:rFonts w:ascii="Book Antiqua" w:eastAsia="Book Antiqua" w:hAnsi="Book Antiqua" w:cs="Book Antiqua"/>
          <w:color w:val="000000"/>
        </w:rPr>
        <w:t xml:space="preserve"> and either the kappa or </w:t>
      </w:r>
      <w:r>
        <w:rPr>
          <w:rFonts w:ascii="Book Antiqua" w:eastAsia="Book Antiqua" w:hAnsi="Book Antiqua" w:cs="Book Antiqua"/>
          <w:color w:val="000000"/>
        </w:rPr>
        <w:lastRenderedPageBreak/>
        <w:t>lambda light chain gene, which is found in the remaining 20% [</w:t>
      </w:r>
      <w:r>
        <w:rPr>
          <w:rFonts w:ascii="Book Antiqua" w:eastAsia="Book Antiqua" w:hAnsi="Book Antiqua" w:cs="Book Antiqua"/>
          <w:i/>
          <w:iCs/>
          <w:color w:val="000000"/>
        </w:rPr>
        <w:t>t</w:t>
      </w:r>
      <w:r>
        <w:rPr>
          <w:rFonts w:ascii="Book Antiqua" w:eastAsia="Book Antiqua" w:hAnsi="Book Antiqua" w:cs="Book Antiqua"/>
          <w:color w:val="000000"/>
        </w:rPr>
        <w:t xml:space="preserve"> (2; 8) or </w:t>
      </w:r>
      <w:r>
        <w:rPr>
          <w:rFonts w:ascii="Book Antiqua" w:eastAsia="Book Antiqua" w:hAnsi="Book Antiqua" w:cs="Book Antiqua"/>
          <w:i/>
          <w:iCs/>
          <w:color w:val="000000"/>
        </w:rPr>
        <w:t>t</w:t>
      </w:r>
      <w:r>
        <w:rPr>
          <w:rFonts w:ascii="Book Antiqua" w:eastAsia="Book Antiqua" w:hAnsi="Book Antiqua" w:cs="Book Antiqua"/>
          <w:color w:val="000000"/>
        </w:rPr>
        <w:t xml:space="preserve"> (8; 22)]</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proliferation rate and apoptosis rate of BL tumor cells are extremely high, indicating that nearly 100% of the cells are positive for Ki-67. Intensive, short-course combination chemotherapy is recommended for most BL patients. DA-EPOCH (dose-adjusted etoposide, doxorubicin, cyclophosphamide, vincristine, prednisone) + rituximab may be an option for patients who cannot tolerate more aggressive </w:t>
      </w:r>
      <w:proofErr w:type="gramStart"/>
      <w:r>
        <w:rPr>
          <w:rFonts w:ascii="Book Antiqua" w:eastAsia="Book Antiqua" w:hAnsi="Book Antiqua" w:cs="Book Antiqua"/>
          <w:color w:val="000000"/>
        </w:rPr>
        <w:t>regimens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As the standard of treatment for BL has not yet been established, strictly controlled clinical trials are also recommended. The prognosis of BL patients is associated with both clinical and laboratory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8,24]</w:t>
      </w:r>
      <w:r>
        <w:rPr>
          <w:rFonts w:ascii="Book Antiqua" w:eastAsia="Book Antiqua" w:hAnsi="Book Antiqua" w:cs="Book Antiqua"/>
          <w:color w:val="000000"/>
        </w:rPr>
        <w:t xml:space="preserve">. The BL international prognostic index can be used to assess the prognosis of adult patients with disseminated or immunodeficiency-related BL, but it is not currently used for stratifying BL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Previous studies have demonstrated associations between </w:t>
      </w:r>
      <w:r>
        <w:rPr>
          <w:rFonts w:ascii="Book Antiqua" w:eastAsia="Book Antiqua" w:hAnsi="Book Antiqua" w:cs="Book Antiqua"/>
          <w:i/>
          <w:iCs/>
          <w:color w:val="000000"/>
        </w:rPr>
        <w:t>MYC</w:t>
      </w:r>
      <w:r>
        <w:rPr>
          <w:rFonts w:ascii="Book Antiqua" w:eastAsia="Book Antiqua" w:hAnsi="Book Antiqua" w:cs="Book Antiqua"/>
          <w:color w:val="000000"/>
        </w:rPr>
        <w:t xml:space="preserve"> rearrangements, </w:t>
      </w:r>
      <w:r>
        <w:rPr>
          <w:rFonts w:ascii="Book Antiqua" w:eastAsia="Book Antiqua" w:hAnsi="Book Antiqua" w:cs="Book Antiqua"/>
          <w:i/>
          <w:iCs/>
          <w:color w:val="000000"/>
        </w:rPr>
        <w:t>TCF3</w:t>
      </w:r>
      <w:r>
        <w:rPr>
          <w:rFonts w:ascii="Book Antiqua" w:eastAsia="Book Antiqua" w:hAnsi="Book Antiqua" w:cs="Book Antiqua"/>
          <w:color w:val="000000"/>
        </w:rPr>
        <w:t xml:space="preserve"> mutations or </w:t>
      </w:r>
      <w:r>
        <w:rPr>
          <w:rFonts w:ascii="Book Antiqua" w:eastAsia="Book Antiqua" w:hAnsi="Book Antiqua" w:cs="Book Antiqua"/>
          <w:i/>
          <w:iCs/>
          <w:color w:val="000000"/>
        </w:rPr>
        <w:t xml:space="preserve">ID3 </w:t>
      </w:r>
      <w:r>
        <w:rPr>
          <w:rFonts w:ascii="Book Antiqua" w:eastAsia="Book Antiqua" w:hAnsi="Book Antiqua" w:cs="Book Antiqua"/>
          <w:color w:val="000000"/>
        </w:rPr>
        <w:t xml:space="preserve">alterations (its negative regulator), </w:t>
      </w:r>
      <w:r>
        <w:rPr>
          <w:rFonts w:ascii="Book Antiqua" w:eastAsia="Book Antiqua" w:hAnsi="Book Antiqua" w:cs="Book Antiqua"/>
          <w:i/>
          <w:iCs/>
          <w:color w:val="000000"/>
        </w:rPr>
        <w:t>TP53</w:t>
      </w:r>
      <w:r>
        <w:rPr>
          <w:rFonts w:ascii="Book Antiqua" w:eastAsia="Book Antiqua" w:hAnsi="Book Antiqua" w:cs="Book Antiqua"/>
          <w:color w:val="000000"/>
        </w:rPr>
        <w:t xml:space="preserve"> modifications, </w:t>
      </w:r>
      <w:r>
        <w:rPr>
          <w:rFonts w:ascii="Book Antiqua" w:eastAsia="Book Antiqua" w:hAnsi="Book Antiqua" w:cs="Book Antiqua"/>
          <w:i/>
          <w:iCs/>
          <w:color w:val="000000"/>
        </w:rPr>
        <w:t>CCND3</w:t>
      </w:r>
      <w:r>
        <w:rPr>
          <w:rFonts w:ascii="Book Antiqua" w:eastAsia="Book Antiqua" w:hAnsi="Book Antiqua" w:cs="Book Antiqua"/>
          <w:color w:val="000000"/>
        </w:rPr>
        <w:t xml:space="preserve"> and </w:t>
      </w:r>
      <w:r>
        <w:rPr>
          <w:rFonts w:ascii="Book Antiqua" w:eastAsia="Book Antiqua" w:hAnsi="Book Antiqua" w:cs="Book Antiqua"/>
          <w:i/>
          <w:iCs/>
          <w:color w:val="000000"/>
        </w:rPr>
        <w:t>CDKN2A</w:t>
      </w:r>
      <w:r>
        <w:rPr>
          <w:rFonts w:ascii="Book Antiqua" w:eastAsia="Book Antiqua" w:hAnsi="Book Antiqua" w:cs="Book Antiqua"/>
          <w:color w:val="000000"/>
        </w:rPr>
        <w:t xml:space="preserve"> changes, as well as non-antigen-dependent B cell receptor signaling (tonic B cell receptor signaling) with the development and prognosis of BL; however, a comprehensive investigation into the prognostic significance of molecular events associated with BL is </w:t>
      </w:r>
      <w:proofErr w:type="gramStart"/>
      <w:r>
        <w:rPr>
          <w:rFonts w:ascii="Book Antiqua" w:eastAsia="Book Antiqua" w:hAnsi="Book Antiqua" w:cs="Book Antiqua"/>
          <w:color w:val="000000"/>
        </w:rPr>
        <w:t>lacking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p>
    <w:p w14:paraId="5DB16BF3"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As a bioinformatics algorithm, WGCNA offers numerous advantages over conventional methods for differential expression analysis. It primarily focuses on elucidating co-expression patterns, facilitating the identification of biologically relevant modules comprising interconnected genes, and enabling the detection of pivotal hub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26-28]</w:t>
      </w:r>
      <w:r>
        <w:rPr>
          <w:rFonts w:ascii="Book Antiqua" w:eastAsia="Book Antiqua" w:hAnsi="Book Antiqua" w:cs="Book Antiqua"/>
          <w:color w:val="000000"/>
        </w:rPr>
        <w:t xml:space="preserve">. So far, gene modules related to several cancers have been analyzed and verified using </w:t>
      </w:r>
      <w:proofErr w:type="gramStart"/>
      <w:r>
        <w:rPr>
          <w:rFonts w:ascii="Book Antiqua" w:eastAsia="Book Antiqua" w:hAnsi="Book Antiqua" w:cs="Book Antiqua"/>
          <w:color w:val="000000"/>
        </w:rPr>
        <w:t>WGCNA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w:t>
      </w:r>
    </w:p>
    <w:p w14:paraId="7A872416"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study, 8 modules were obtained through WGCNA. As many prior studies have shown a strong correlation between age and the prognosis of BL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we chose the yellow module that had the strongest correlation with age for further analysis. Ten hub genes (</w:t>
      </w:r>
      <w:r>
        <w:rPr>
          <w:rFonts w:ascii="Book Antiqua" w:eastAsia="Book Antiqua" w:hAnsi="Book Antiqua" w:cs="Book Antiqua"/>
          <w:i/>
          <w:iCs/>
          <w:color w:val="000000"/>
        </w:rPr>
        <w:t>SRC</w:t>
      </w:r>
      <w:r>
        <w:rPr>
          <w:rFonts w:ascii="Book Antiqua" w:eastAsia="Book Antiqua" w:hAnsi="Book Antiqua" w:cs="Book Antiqua"/>
          <w:color w:val="000000"/>
        </w:rPr>
        <w:t xml:space="preserve">, </w:t>
      </w:r>
      <w:r>
        <w:rPr>
          <w:rFonts w:ascii="Book Antiqua" w:eastAsia="Book Antiqua" w:hAnsi="Book Antiqua" w:cs="Book Antiqua"/>
          <w:i/>
          <w:iCs/>
          <w:color w:val="000000"/>
        </w:rPr>
        <w:t>TLR4</w:t>
      </w:r>
      <w:r>
        <w:rPr>
          <w:rFonts w:ascii="Book Antiqua" w:eastAsia="Book Antiqua" w:hAnsi="Book Antiqua" w:cs="Book Antiqua"/>
          <w:color w:val="000000"/>
        </w:rPr>
        <w:t xml:space="preserve">, </w:t>
      </w:r>
      <w:r>
        <w:rPr>
          <w:rFonts w:ascii="Book Antiqua" w:eastAsia="Book Antiqua" w:hAnsi="Book Antiqua" w:cs="Book Antiqua"/>
          <w:i/>
          <w:iCs/>
          <w:color w:val="000000"/>
        </w:rPr>
        <w:t>CD40</w:t>
      </w:r>
      <w:r>
        <w:rPr>
          <w:rFonts w:ascii="Book Antiqua" w:eastAsia="Book Antiqua" w:hAnsi="Book Antiqua" w:cs="Book Antiqua"/>
          <w:color w:val="000000"/>
        </w:rPr>
        <w:t xml:space="preserve">, </w:t>
      </w:r>
      <w:r>
        <w:rPr>
          <w:rFonts w:ascii="Book Antiqua" w:eastAsia="Book Antiqua" w:hAnsi="Book Antiqua" w:cs="Book Antiqua"/>
          <w:i/>
          <w:iCs/>
          <w:color w:val="000000"/>
        </w:rPr>
        <w:t>STAT3</w:t>
      </w:r>
      <w:r>
        <w:rPr>
          <w:rFonts w:ascii="Book Antiqua" w:eastAsia="Book Antiqua" w:hAnsi="Book Antiqua" w:cs="Book Antiqua"/>
          <w:color w:val="000000"/>
        </w:rPr>
        <w:t xml:space="preserve">, </w:t>
      </w:r>
      <w:r>
        <w:rPr>
          <w:rFonts w:ascii="Book Antiqua" w:eastAsia="Book Antiqua" w:hAnsi="Book Antiqua" w:cs="Book Antiqua"/>
          <w:i/>
          <w:iCs/>
          <w:color w:val="000000"/>
        </w:rPr>
        <w:t>SELL</w:t>
      </w:r>
      <w:r>
        <w:rPr>
          <w:rFonts w:ascii="Book Antiqua" w:eastAsia="Book Antiqua" w:hAnsi="Book Antiqua" w:cs="Book Antiqua"/>
          <w:color w:val="000000"/>
        </w:rPr>
        <w:t xml:space="preserve">,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CCR7</w:t>
      </w:r>
      <w:r>
        <w:rPr>
          <w:rFonts w:ascii="Book Antiqua" w:eastAsia="Book Antiqua" w:hAnsi="Book Antiqua" w:cs="Book Antiqua"/>
          <w:color w:val="000000"/>
        </w:rPr>
        <w:t xml:space="preserve"> and </w:t>
      </w:r>
      <w:r>
        <w:rPr>
          <w:rFonts w:ascii="Book Antiqua" w:eastAsia="Book Antiqua" w:hAnsi="Book Antiqua" w:cs="Book Antiqua"/>
          <w:i/>
          <w:iCs/>
          <w:color w:val="000000"/>
        </w:rPr>
        <w:t>FCGR2B</w:t>
      </w:r>
      <w:r>
        <w:rPr>
          <w:rFonts w:ascii="Book Antiqua" w:eastAsia="Book Antiqua" w:hAnsi="Book Antiqua" w:cs="Book Antiqua"/>
          <w:color w:val="000000"/>
        </w:rPr>
        <w:t xml:space="preserve">) were identified using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GO and KEGG functional analyses were conducted on hub genes, and the PPI and GI analysis of these hub genes revealed their related biological functions. Based on survival analysis, CXCL10 and IL2RA have been </w:t>
      </w:r>
      <w:r>
        <w:rPr>
          <w:rFonts w:ascii="Book Antiqua" w:eastAsia="Book Antiqua" w:hAnsi="Book Antiqua" w:cs="Book Antiqua"/>
          <w:color w:val="000000"/>
        </w:rPr>
        <w:lastRenderedPageBreak/>
        <w:t xml:space="preserve">identified as genes that affect survival. Afterward, we used a nomogram to develop a new risk assessment system for BL patients based on the </w:t>
      </w:r>
      <w:proofErr w:type="gramStart"/>
      <w:r>
        <w:rPr>
          <w:rFonts w:ascii="Book Antiqua" w:eastAsia="Book Antiqua" w:hAnsi="Book Antiqua" w:cs="Book Antiqua"/>
          <w:color w:val="000000"/>
        </w:rPr>
        <w:t>aforementioned genes</w:t>
      </w:r>
      <w:proofErr w:type="gramEnd"/>
      <w:r>
        <w:rPr>
          <w:rFonts w:ascii="Book Antiqua" w:eastAsia="Book Antiqua" w:hAnsi="Book Antiqua" w:cs="Book Antiqua"/>
          <w:color w:val="000000"/>
        </w:rPr>
        <w:t xml:space="preserve"> and age, aiming to aid in identifying high-risk groups for this disease.</w:t>
      </w:r>
    </w:p>
    <w:p w14:paraId="2D8065E4"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i/>
          <w:iCs/>
          <w:color w:val="000000"/>
        </w:rPr>
        <w:t>CXCL10</w:t>
      </w:r>
      <w:r>
        <w:rPr>
          <w:rFonts w:ascii="Book Antiqua" w:eastAsia="Book Antiqua" w:hAnsi="Book Antiqua" w:cs="Book Antiqua"/>
          <w:color w:val="000000"/>
        </w:rPr>
        <w:t xml:space="preserve"> is one of the three ligands for </w:t>
      </w:r>
      <w:r>
        <w:rPr>
          <w:rFonts w:ascii="Book Antiqua" w:eastAsia="Book Antiqua" w:hAnsi="Book Antiqua" w:cs="Book Antiqua"/>
          <w:i/>
          <w:iCs/>
          <w:color w:val="000000"/>
        </w:rPr>
        <w:t>CXCR3</w:t>
      </w:r>
      <w:r>
        <w:rPr>
          <w:rFonts w:ascii="Book Antiqua" w:eastAsia="Book Antiqua" w:hAnsi="Book Antiqua" w:cs="Book Antiqua"/>
          <w:color w:val="000000"/>
        </w:rPr>
        <w:t xml:space="preserve">, which is a chemokine </w:t>
      </w:r>
      <w:proofErr w:type="gramStart"/>
      <w:r>
        <w:rPr>
          <w:rFonts w:ascii="Book Antiqua" w:eastAsia="Book Antiqua" w:hAnsi="Book Antiqua" w:cs="Book Antiqua"/>
          <w:color w:val="000000"/>
        </w:rPr>
        <w:t>receptor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Various studies have demonstrated that in addition to attracting CD8+ and CD4+ effector T cells to tumor sites and sites of inflammation,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also governs the polarization and enhances the biological functionality of these cells. This makes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 key chemokine driver and a valid target for the therapy of autoimmune diseases such as Inflammatory Bowel Disease, Multiple Sclerosis, Rheumatoid arthritis, and others. Previous studies have also found that chemokines and their receptors are involved in supporting tumor development and metastatic </w:t>
      </w:r>
      <w:proofErr w:type="gramStart"/>
      <w:r>
        <w:rPr>
          <w:rFonts w:ascii="Book Antiqua" w:eastAsia="Book Antiqua" w:hAnsi="Book Antiqua" w:cs="Book Antiqua"/>
          <w:color w:val="000000"/>
        </w:rPr>
        <w:t>spread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32-35]</w:t>
      </w:r>
      <w:r>
        <w:rPr>
          <w:rFonts w:ascii="Book Antiqua" w:eastAsia="Book Antiqua" w:hAnsi="Book Antiqua" w:cs="Book Antiqua"/>
          <w:color w:val="000000"/>
        </w:rPr>
        <w:t xml:space="preserve">. In addition to inducing effector TH1 cells,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has recently been proven to be associated with the recruitment of CXCR3+ CD8+ T cells to the tumor site and the induction of Granzyme B production by these cells, thereby enhancing their anti-tumor </w:t>
      </w:r>
      <w:proofErr w:type="gramStart"/>
      <w:r>
        <w:rPr>
          <w:rFonts w:ascii="Book Antiqua" w:eastAsia="Book Antiqua" w:hAnsi="Book Antiqua" w:cs="Book Antiqua"/>
          <w:color w:val="000000"/>
        </w:rPr>
        <w:t>activities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Barreira</w:t>
      </w:r>
      <w:proofErr w:type="spellEnd"/>
      <w:r>
        <w:rPr>
          <w:rFonts w:ascii="Book Antiqua" w:eastAsia="Book Antiqua" w:hAnsi="Book Antiqua" w:cs="Book Antiqua"/>
          <w:color w:val="000000"/>
        </w:rPr>
        <w:t xml:space="preserve"> da Silva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used Dipeptidyl peptidase 4 inhibitors to increase the endogenous level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thereby suppressing experimental melanoma. It has also been demonstrated that the combination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gene therapy and radiotherapy improves therapeutic efficacy in cervical cancer using a HeLa cell murine xenograft tumor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Numerous studies have demonstrated a positive correlation between increased 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at the tumor site and improved prognosis in various human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39-41]</w:t>
      </w:r>
      <w:r>
        <w:rPr>
          <w:rFonts w:ascii="Book Antiqua" w:eastAsia="Book Antiqua" w:hAnsi="Book Antiqua" w:cs="Book Antiqua"/>
          <w:color w:val="000000"/>
        </w:rPr>
        <w:t xml:space="preserve">. However, the biological functions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in BL have not been addressed so far. Our study initially discovered that the high 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appeared to be associated with a better prognosis. In our prognostic model, </w:t>
      </w:r>
      <w:r>
        <w:rPr>
          <w:rFonts w:ascii="Book Antiqua" w:eastAsia="Book Antiqua" w:hAnsi="Book Antiqua" w:cs="Book Antiqua"/>
          <w:i/>
          <w:iCs/>
          <w:color w:val="000000"/>
        </w:rPr>
        <w:t>CXCL10</w:t>
      </w:r>
      <w:r>
        <w:rPr>
          <w:rFonts w:ascii="Book Antiqua" w:eastAsia="Book Antiqua" w:hAnsi="Book Antiqua" w:cs="Book Antiqua"/>
          <w:color w:val="000000"/>
        </w:rPr>
        <w:t xml:space="preserve"> outperforms age, which is an accepted prognostic factor for BL. Further studies are required to investigate and validate the mechanism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in BL.</w:t>
      </w:r>
    </w:p>
    <w:p w14:paraId="31D1A615" w14:textId="77777777" w:rsidR="00DE3F5E" w:rsidRDefault="00000000">
      <w:pPr>
        <w:spacing w:line="360" w:lineRule="auto"/>
        <w:ind w:firstLineChars="200" w:firstLine="480"/>
        <w:jc w:val="both"/>
        <w:rPr>
          <w:rFonts w:ascii="Book Antiqua" w:hAnsi="Book Antiqua"/>
          <w:lang w:eastAsia="zh-CN"/>
        </w:rPr>
      </w:pPr>
      <w:r>
        <w:rPr>
          <w:rFonts w:ascii="Book Antiqua" w:eastAsia="Book Antiqua" w:hAnsi="Book Antiqua" w:cs="Book Antiqua"/>
          <w:i/>
          <w:iCs/>
          <w:color w:val="000000"/>
        </w:rPr>
        <w:t xml:space="preserve">IL2RA </w:t>
      </w:r>
      <w:r>
        <w:rPr>
          <w:rFonts w:ascii="Book Antiqua" w:eastAsia="Book Antiqua" w:hAnsi="Book Antiqua" w:cs="Book Antiqua"/>
          <w:color w:val="000000"/>
        </w:rPr>
        <w:t xml:space="preserve">(CD25) is a low-affinity receptor for its ligand interleukin 2 (IL2), but when combined with </w:t>
      </w:r>
      <w:r>
        <w:rPr>
          <w:rFonts w:ascii="Book Antiqua" w:eastAsia="Book Antiqua" w:hAnsi="Book Antiqua" w:cs="Book Antiqua"/>
          <w:i/>
          <w:iCs/>
          <w:color w:val="000000"/>
        </w:rPr>
        <w:t xml:space="preserve">IL2RB </w:t>
      </w:r>
      <w:r>
        <w:rPr>
          <w:rFonts w:ascii="Book Antiqua" w:eastAsia="Book Antiqua" w:hAnsi="Book Antiqua" w:cs="Book Antiqua"/>
          <w:color w:val="000000"/>
        </w:rPr>
        <w:t xml:space="preserve">(CD122) and </w:t>
      </w:r>
      <w:r>
        <w:rPr>
          <w:rFonts w:ascii="Book Antiqua" w:eastAsia="Book Antiqua" w:hAnsi="Book Antiqua" w:cs="Book Antiqua"/>
          <w:i/>
          <w:iCs/>
          <w:color w:val="000000"/>
        </w:rPr>
        <w:t>IL2RG</w:t>
      </w:r>
      <w:r>
        <w:rPr>
          <w:rFonts w:ascii="Book Antiqua" w:eastAsia="Book Antiqua" w:hAnsi="Book Antiqua" w:cs="Book Antiqua"/>
          <w:color w:val="000000"/>
        </w:rPr>
        <w:t xml:space="preserve"> (CD133), it forms the high-affinity IL2 </w:t>
      </w:r>
      <w:proofErr w:type="gramStart"/>
      <w:r>
        <w:rPr>
          <w:rFonts w:ascii="Book Antiqua" w:eastAsia="Book Antiqua" w:hAnsi="Book Antiqua" w:cs="Book Antiqua"/>
          <w:color w:val="000000"/>
        </w:rPr>
        <w:t>receptor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The binding of IL2 to IL2 receptor activates JAK1 and JAK3, which in turn activate several pathways that regulate cell survival and proliferation, including the PI3K/AKT, RAS/RAF/MEK/ERK, and STAT5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expression is </w:t>
      </w:r>
      <w:r>
        <w:rPr>
          <w:rFonts w:ascii="Book Antiqua" w:eastAsia="Book Antiqua" w:hAnsi="Book Antiqua" w:cs="Book Antiqua"/>
          <w:color w:val="000000"/>
        </w:rPr>
        <w:lastRenderedPageBreak/>
        <w:t xml:space="preserve">elevated in a variety of cancers, especially hematologic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44-46]</w:t>
      </w:r>
      <w:r>
        <w:rPr>
          <w:rFonts w:ascii="Book Antiqua" w:eastAsia="Book Antiqua" w:hAnsi="Book Antiqua" w:cs="Book Antiqua"/>
          <w:color w:val="000000"/>
        </w:rPr>
        <w:t xml:space="preserve">. Fell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studied 69 patients with leukemia, lymphoma, or multiple myeloma and found that the expression of </w:t>
      </w:r>
      <w:r>
        <w:rPr>
          <w:rFonts w:ascii="Book Antiqua" w:eastAsia="Book Antiqua" w:hAnsi="Book Antiqua" w:cs="Book Antiqua"/>
          <w:i/>
          <w:iCs/>
          <w:color w:val="000000"/>
        </w:rPr>
        <w:t xml:space="preserve">IL2RA </w:t>
      </w:r>
      <w:r>
        <w:rPr>
          <w:rFonts w:ascii="Book Antiqua" w:eastAsia="Book Antiqua" w:hAnsi="Book Antiqua" w:cs="Book Antiqua"/>
          <w:color w:val="000000"/>
        </w:rPr>
        <w:t>in T cells was associated with frailty independent of age. This means that patients with high</w:t>
      </w:r>
      <w:r>
        <w:rPr>
          <w:rFonts w:ascii="Book Antiqua" w:eastAsia="Book Antiqua" w:hAnsi="Book Antiqua" w:cs="Book Antiqua"/>
          <w:i/>
          <w:iCs/>
          <w:color w:val="000000"/>
        </w:rPr>
        <w:t xml:space="preserve"> IL2RA</w:t>
      </w:r>
      <w:r>
        <w:rPr>
          <w:rFonts w:ascii="Book Antiqua" w:eastAsia="Book Antiqua" w:hAnsi="Book Antiqua" w:cs="Book Antiqua"/>
          <w:color w:val="000000"/>
        </w:rPr>
        <w:t xml:space="preserve"> expression showed better tolerance to chemotherapy and thus might have a superior prognosis. However, another study demonstrated that high </w:t>
      </w:r>
      <w:r>
        <w:rPr>
          <w:rFonts w:ascii="Book Antiqua" w:eastAsia="Book Antiqua" w:hAnsi="Book Antiqua" w:cs="Book Antiqua"/>
          <w:i/>
          <w:iCs/>
          <w:color w:val="000000"/>
        </w:rPr>
        <w:t>IL2RA</w:t>
      </w:r>
      <w:r>
        <w:rPr>
          <w:rFonts w:ascii="Book Antiqua" w:eastAsia="Book Antiqua" w:hAnsi="Book Antiqua" w:cs="Book Antiqua"/>
          <w:color w:val="000000"/>
        </w:rPr>
        <w:t xml:space="preserve"> mRNA expression was an independent and adverse prognostic factor in acute myeloid leukemia, specifically stratifying patients into a worse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while reports on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chronic myelogenous leukemia (CML) were controversial, they described it as either a promoter or an inhibitor of CML cell proliferation and disease aggressiveness</w:t>
      </w:r>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This study demonstrated that BL patients with high expression of </w:t>
      </w:r>
      <w:r>
        <w:rPr>
          <w:rFonts w:ascii="Book Antiqua" w:eastAsia="Book Antiqua" w:hAnsi="Book Antiqua" w:cs="Book Antiqua"/>
          <w:i/>
          <w:iCs/>
          <w:color w:val="000000"/>
        </w:rPr>
        <w:t>IL2RA</w:t>
      </w:r>
      <w:r>
        <w:rPr>
          <w:rFonts w:ascii="Book Antiqua" w:eastAsia="Book Antiqua" w:hAnsi="Book Antiqua" w:cs="Book Antiqua"/>
          <w:color w:val="000000"/>
        </w:rPr>
        <w:t xml:space="preserve"> exhibited a better prognosis. Due to the controversial reports on the function of </w:t>
      </w:r>
      <w:r>
        <w:rPr>
          <w:rFonts w:ascii="Book Antiqua" w:eastAsia="Book Antiqua" w:hAnsi="Book Antiqua" w:cs="Book Antiqua"/>
          <w:i/>
          <w:iCs/>
          <w:color w:val="000000"/>
        </w:rPr>
        <w:t xml:space="preserve">IL2RA </w:t>
      </w:r>
      <w:r>
        <w:rPr>
          <w:rFonts w:ascii="Book Antiqua" w:eastAsia="Book Antiqua" w:hAnsi="Book Antiqua" w:cs="Book Antiqua"/>
          <w:color w:val="000000"/>
        </w:rPr>
        <w:t xml:space="preserve">and the lack of research on BL, further studies are required to validate the prognostic value of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BL.</w:t>
      </w:r>
    </w:p>
    <w:p w14:paraId="52DD4DB1"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As a predictive statistical tool, a nomogram visually displays the significant factors that impact outcomes in multifactor regression analyses and simplifies survival probability prediction through an easy-to-understand graphical </w:t>
      </w:r>
      <w:proofErr w:type="gramStart"/>
      <w:r>
        <w:rPr>
          <w:rFonts w:ascii="Book Antiqua" w:eastAsia="Book Antiqua" w:hAnsi="Book Antiqua" w:cs="Book Antiqua"/>
          <w:color w:val="000000"/>
        </w:rPr>
        <w:t>representation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The construction of the nomogram model in this study is based on age, </w:t>
      </w:r>
      <w:r>
        <w:rPr>
          <w:rFonts w:ascii="Book Antiqua" w:eastAsia="Book Antiqua" w:hAnsi="Book Antiqua" w:cs="Book Antiqua"/>
          <w:i/>
          <w:iCs/>
          <w:color w:val="000000"/>
        </w:rPr>
        <w:t>IL2RA</w:t>
      </w:r>
      <w:r>
        <w:rPr>
          <w:rFonts w:ascii="Book Antiqua" w:eastAsia="Book Antiqua" w:hAnsi="Book Antiqua" w:cs="Book Antiqua"/>
          <w:color w:val="000000"/>
        </w:rPr>
        <w:t xml:space="preserve">, and </w:t>
      </w:r>
      <w:r>
        <w:rPr>
          <w:rFonts w:ascii="Book Antiqua" w:eastAsia="Book Antiqua" w:hAnsi="Book Antiqua" w:cs="Book Antiqua"/>
          <w:i/>
          <w:iCs/>
          <w:color w:val="000000"/>
        </w:rPr>
        <w:t>CXCL10</w:t>
      </w:r>
      <w:r>
        <w:rPr>
          <w:rFonts w:ascii="Book Antiqua" w:eastAsia="Book Antiqua" w:hAnsi="Book Antiqua" w:cs="Book Antiqua"/>
          <w:color w:val="000000"/>
        </w:rPr>
        <w:t>. The nomogram effectively visualizes the impact of identified hub genes and facilitates survival prediction, with the multivariate regression analysis serving as the fundamental component of this model. However, the nomogram would benefit from a validation cohort to enhance its current model. Therefore, it is recommended that additional patients with long-term follow-up be included in future studies.</w:t>
      </w:r>
    </w:p>
    <w:p w14:paraId="0EFA65E2" w14:textId="77777777" w:rsidR="00DE3F5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Based on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we have also identified some drugs that may potentially play a therapeutic role in relapsed and refractory BL, which require further research on pharmacology and treatment protocols. There are also some limitations of the present study. Firstly, the sample size may not be sufficient and could result in selection bias. Secondly, the three different clinical types of BL have the same histological features and similar clinical behavior but differ in epidemiology, clinical presentation, and genetic characteristics, which might need to be classified and analyzed separately. What's more, additional genetic and experimental studies are </w:t>
      </w:r>
      <w:r>
        <w:rPr>
          <w:rFonts w:ascii="Book Antiqua" w:eastAsia="Book Antiqua" w:hAnsi="Book Antiqua" w:cs="Book Antiqua"/>
          <w:color w:val="000000"/>
        </w:rPr>
        <w:lastRenderedPageBreak/>
        <w:t>required to explain the mechanism and the function of these hub genes in the carcinogenesis and progression of BLs. Due to the limited experimental conditions, our study exclusively utilized data sourced from publicly available databases. However, further validation is needed in larger samples or more external datasets.</w:t>
      </w:r>
    </w:p>
    <w:p w14:paraId="372335C4" w14:textId="77777777" w:rsidR="00DE3F5E" w:rsidRDefault="00DE3F5E">
      <w:pPr>
        <w:spacing w:line="360" w:lineRule="auto"/>
        <w:jc w:val="both"/>
        <w:rPr>
          <w:rFonts w:ascii="Book Antiqua" w:hAnsi="Book Antiqua"/>
        </w:rPr>
      </w:pPr>
    </w:p>
    <w:p w14:paraId="5CD26F8D"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00E5BC7"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In conclusion, this study is the first to investigate gene expression in BL using WGCNA. These findings provide a framework for identifying co-expression gene modules and discriminating key pathways and hub genes in BL. In the present study, we identified and verified 10 hub genes. Survival analysis showed that overexpression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BL may serve as superior prognostic indicators. Additionally, an integrated mRNA signature and age nomogram potentially offer prognostic value for patients with BLs.</w:t>
      </w:r>
    </w:p>
    <w:p w14:paraId="11E395D2" w14:textId="77777777" w:rsidR="00DE3F5E" w:rsidRDefault="00DE3F5E">
      <w:pPr>
        <w:spacing w:line="360" w:lineRule="auto"/>
        <w:jc w:val="both"/>
        <w:rPr>
          <w:rFonts w:ascii="Book Antiqua" w:hAnsi="Book Antiqua"/>
        </w:rPr>
      </w:pPr>
    </w:p>
    <w:p w14:paraId="62F7596D"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62E9705"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04646E4A"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Burkitt lymphoma (BL) is an exceptionally aggressive malignant neoplasm originating from either the germinal center or post-germinal center B cells. However, a standardized treatment regimen for BL has yet to be established. The utilization of microarray data and sequencing information retrieved from public databases presents promising prospects for the identification of novel diagnostic or therapeutic targets.</w:t>
      </w:r>
    </w:p>
    <w:p w14:paraId="1BE7CDB3" w14:textId="77777777" w:rsidR="00DE3F5E" w:rsidRDefault="00DE3F5E">
      <w:pPr>
        <w:spacing w:line="360" w:lineRule="auto"/>
        <w:jc w:val="both"/>
        <w:rPr>
          <w:rFonts w:ascii="Book Antiqua" w:hAnsi="Book Antiqua"/>
        </w:rPr>
      </w:pPr>
    </w:p>
    <w:p w14:paraId="26CB0413"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556821A5"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It is crucial to identify biomarkers that can predict the prognosis of BLs and distinguish patients who would benefit from specific therapies.</w:t>
      </w:r>
    </w:p>
    <w:p w14:paraId="16DFA17E" w14:textId="77777777" w:rsidR="00DE3F5E" w:rsidRDefault="00DE3F5E">
      <w:pPr>
        <w:spacing w:line="360" w:lineRule="auto"/>
        <w:jc w:val="both"/>
        <w:rPr>
          <w:rFonts w:ascii="Book Antiqua" w:hAnsi="Book Antiqua"/>
        </w:rPr>
      </w:pPr>
    </w:p>
    <w:p w14:paraId="1C431D7E"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5CF1F86"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aim of our study was to identify hub genes and conduct gene ontology analysis specifically in BL, as well as perform functional enrichment analysis. Additionally, we </w:t>
      </w:r>
      <w:r>
        <w:rPr>
          <w:rFonts w:ascii="Book Antiqua" w:eastAsia="Book Antiqua" w:hAnsi="Book Antiqua" w:cs="Book Antiqua"/>
          <w:color w:val="000000"/>
        </w:rPr>
        <w:lastRenderedPageBreak/>
        <w:t>performed survival analysis and developed a novel prognostic model incorporating candidate genes along with clinical features.</w:t>
      </w:r>
    </w:p>
    <w:p w14:paraId="05F92CBA" w14:textId="77777777" w:rsidR="00DE3F5E" w:rsidRDefault="00DE3F5E">
      <w:pPr>
        <w:spacing w:line="360" w:lineRule="auto"/>
        <w:jc w:val="both"/>
        <w:rPr>
          <w:rFonts w:ascii="Book Antiqua" w:hAnsi="Book Antiqua"/>
        </w:rPr>
      </w:pPr>
    </w:p>
    <w:p w14:paraId="43359544"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79AC264B"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gene expression </w:t>
      </w:r>
      <w:proofErr w:type="gramStart"/>
      <w:r>
        <w:rPr>
          <w:rFonts w:ascii="Book Antiqua" w:eastAsia="Book Antiqua" w:hAnsi="Book Antiqua" w:cs="Book Antiqua"/>
          <w:color w:val="000000"/>
        </w:rPr>
        <w:t>profiles</w:t>
      </w:r>
      <w:proofErr w:type="gramEnd"/>
      <w:r>
        <w:rPr>
          <w:rFonts w:ascii="Book Antiqua" w:eastAsia="Book Antiqua" w:hAnsi="Book Antiqua" w:cs="Book Antiqua"/>
          <w:color w:val="000000"/>
        </w:rPr>
        <w:t xml:space="preserve"> and clinical traits of BL patients were obtained from the Gene Expression Omnibus database. Weighted gene co-expression network analysis (WGCNA) was employed to construct gene co-expression modules, while the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was utilized to identify hub genes. Prognostic candidate genes were identified through overall survival (OS) analysis. A nomogram was developed to evaluate the predictive value of the hub genes.</w:t>
      </w:r>
    </w:p>
    <w:p w14:paraId="5C460E38" w14:textId="77777777" w:rsidR="00DE3F5E" w:rsidRDefault="00DE3F5E">
      <w:pPr>
        <w:spacing w:line="360" w:lineRule="auto"/>
        <w:jc w:val="both"/>
        <w:rPr>
          <w:rFonts w:ascii="Book Antiqua" w:hAnsi="Book Antiqua"/>
        </w:rPr>
      </w:pPr>
    </w:p>
    <w:p w14:paraId="069C67AB"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941BF1F"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In this study, we identified 8 modules through WGCNA analysis and found a significant correlation between the yellow module and age. By using the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we identified 10 hub genes (</w:t>
      </w:r>
      <w:r>
        <w:rPr>
          <w:rFonts w:ascii="Book Antiqua" w:eastAsia="Book Antiqua" w:hAnsi="Book Antiqua" w:cs="Book Antiqua"/>
          <w:i/>
          <w:iCs/>
          <w:color w:val="000000"/>
        </w:rPr>
        <w:t>SRC</w:t>
      </w:r>
      <w:r>
        <w:rPr>
          <w:rFonts w:ascii="Book Antiqua" w:eastAsia="Book Antiqua" w:hAnsi="Book Antiqua" w:cs="Book Antiqua"/>
          <w:color w:val="000000"/>
        </w:rPr>
        <w:t xml:space="preserve">, </w:t>
      </w:r>
      <w:r>
        <w:rPr>
          <w:rFonts w:ascii="Book Antiqua" w:eastAsia="Book Antiqua" w:hAnsi="Book Antiqua" w:cs="Book Antiqua"/>
          <w:i/>
          <w:iCs/>
          <w:color w:val="000000"/>
        </w:rPr>
        <w:t>TLR4</w:t>
      </w:r>
      <w:r>
        <w:rPr>
          <w:rFonts w:ascii="Book Antiqua" w:eastAsia="Book Antiqua" w:hAnsi="Book Antiqua" w:cs="Book Antiqua"/>
          <w:color w:val="000000"/>
        </w:rPr>
        <w:t xml:space="preserve">, </w:t>
      </w:r>
      <w:r>
        <w:rPr>
          <w:rFonts w:ascii="Book Antiqua" w:eastAsia="Book Antiqua" w:hAnsi="Book Antiqua" w:cs="Book Antiqua"/>
          <w:i/>
          <w:iCs/>
          <w:color w:val="000000"/>
        </w:rPr>
        <w:t>CD40</w:t>
      </w:r>
      <w:r>
        <w:rPr>
          <w:rFonts w:ascii="Book Antiqua" w:eastAsia="Book Antiqua" w:hAnsi="Book Antiqua" w:cs="Book Antiqua"/>
          <w:color w:val="000000"/>
        </w:rPr>
        <w:t xml:space="preserve">, </w:t>
      </w:r>
      <w:r>
        <w:rPr>
          <w:rFonts w:ascii="Book Antiqua" w:eastAsia="Book Antiqua" w:hAnsi="Book Antiqua" w:cs="Book Antiqua"/>
          <w:i/>
          <w:iCs/>
          <w:color w:val="000000"/>
        </w:rPr>
        <w:t>STAT3</w:t>
      </w:r>
      <w:r>
        <w:rPr>
          <w:rFonts w:ascii="Book Antiqua" w:eastAsia="Book Antiqua" w:hAnsi="Book Antiqua" w:cs="Book Antiqua"/>
          <w:color w:val="000000"/>
        </w:rPr>
        <w:t xml:space="preserve">, </w:t>
      </w:r>
      <w:r>
        <w:rPr>
          <w:rFonts w:ascii="Book Antiqua" w:eastAsia="Book Antiqua" w:hAnsi="Book Antiqua" w:cs="Book Antiqua"/>
          <w:i/>
          <w:iCs/>
          <w:color w:val="000000"/>
        </w:rPr>
        <w:t>SELL</w:t>
      </w:r>
      <w:r>
        <w:rPr>
          <w:rFonts w:ascii="Book Antiqua" w:eastAsia="Book Antiqua" w:hAnsi="Book Antiqua" w:cs="Book Antiqua"/>
          <w:color w:val="000000"/>
        </w:rPr>
        <w:t xml:space="preserve">,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CCR7</w:t>
      </w:r>
      <w:r>
        <w:rPr>
          <w:rFonts w:ascii="Book Antiqua" w:eastAsia="Book Antiqua" w:hAnsi="Book Antiqua" w:cs="Book Antiqua"/>
          <w:color w:val="000000"/>
        </w:rPr>
        <w:t xml:space="preserve">, and </w:t>
      </w:r>
      <w:r>
        <w:rPr>
          <w:rFonts w:ascii="Book Antiqua" w:eastAsia="Book Antiqua" w:hAnsi="Book Antiqua" w:cs="Book Antiqua"/>
          <w:i/>
          <w:iCs/>
          <w:color w:val="000000"/>
        </w:rPr>
        <w:t>FCGR2B</w:t>
      </w:r>
      <w:r>
        <w:rPr>
          <w:rFonts w:ascii="Book Antiqua" w:eastAsia="Book Antiqua" w:hAnsi="Book Antiqua" w:cs="Book Antiqua"/>
          <w:color w:val="000000"/>
        </w:rPr>
        <w:t>). Among these hubs, two genes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with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with </w:t>
      </w:r>
      <w:r>
        <w:rPr>
          <w:rFonts w:ascii="Book Antiqua" w:eastAsia="Book Antiqua" w:hAnsi="Book Antiqua" w:cs="Book Antiqua"/>
          <w:i/>
          <w:iCs/>
          <w:color w:val="000000"/>
        </w:rPr>
        <w:t>P</w:t>
      </w:r>
      <w:r>
        <w:rPr>
          <w:rFonts w:ascii="Book Antiqua" w:eastAsia="Book Antiqua" w:hAnsi="Book Antiqua" w:cs="Book Antiqua"/>
          <w:color w:val="000000"/>
        </w:rPr>
        <w:t xml:space="preserve"> = 0.0066) were associated with OS based on our survival analysis.</w:t>
      </w:r>
    </w:p>
    <w:p w14:paraId="2A4DE45A" w14:textId="77777777" w:rsidR="00DE3F5E" w:rsidRDefault="00DE3F5E">
      <w:pPr>
        <w:spacing w:line="360" w:lineRule="auto"/>
        <w:jc w:val="both"/>
        <w:rPr>
          <w:rFonts w:ascii="Book Antiqua" w:hAnsi="Book Antiqua"/>
        </w:rPr>
      </w:pPr>
    </w:p>
    <w:p w14:paraId="093E0D3E"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2C8EAE02"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This study is the first to investigate gene expression in BL using WGCNA. We have identified and validated 10 hub genes, demonstrating that the overexpression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BL can serve as robust prognostic indicators. Furthermore, the integration of an mRNA signature with age nomogram holds promising potential for predicting patient outcomes in BLs.</w:t>
      </w:r>
    </w:p>
    <w:p w14:paraId="78B65C30" w14:textId="77777777" w:rsidR="00DE3F5E" w:rsidRDefault="00DE3F5E">
      <w:pPr>
        <w:spacing w:line="360" w:lineRule="auto"/>
        <w:jc w:val="both"/>
        <w:rPr>
          <w:rFonts w:ascii="Book Antiqua" w:hAnsi="Book Antiqua"/>
        </w:rPr>
      </w:pPr>
    </w:p>
    <w:p w14:paraId="06FB9900"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D293657"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Further genetic and experimental investigations are imperative to elucidate the underlying mechanism and functional significance of these hub genes in the carcinogenesis and progression of BLs.</w:t>
      </w:r>
    </w:p>
    <w:p w14:paraId="3116A14A" w14:textId="77777777" w:rsidR="00DE3F5E" w:rsidRDefault="00DE3F5E">
      <w:pPr>
        <w:spacing w:line="360" w:lineRule="auto"/>
        <w:jc w:val="both"/>
        <w:rPr>
          <w:rFonts w:ascii="Book Antiqua" w:hAnsi="Book Antiqua"/>
        </w:rPr>
      </w:pPr>
    </w:p>
    <w:p w14:paraId="4C366D1F"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lastRenderedPageBreak/>
        <w:t>REFERENCES</w:t>
      </w:r>
    </w:p>
    <w:p w14:paraId="5F0524E9"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Bishop PC</w:t>
      </w:r>
      <w:r>
        <w:rPr>
          <w:rFonts w:ascii="Book Antiqua" w:eastAsia="Book Antiqua" w:hAnsi="Book Antiqua" w:cs="Book Antiqua"/>
        </w:rPr>
        <w:t xml:space="preserve">, Rao VK, Wilson WH. Burkitt's lymphoma: molecular pathogenesis and treatment. </w:t>
      </w:r>
      <w:r>
        <w:rPr>
          <w:rFonts w:ascii="Book Antiqua" w:eastAsia="Book Antiqua" w:hAnsi="Book Antiqua" w:cs="Book Antiqua"/>
          <w:i/>
          <w:iCs/>
        </w:rPr>
        <w:t>Cancer Invest</w:t>
      </w:r>
      <w:r>
        <w:rPr>
          <w:rFonts w:ascii="Book Antiqua" w:eastAsia="Book Antiqua" w:hAnsi="Book Antiqua" w:cs="Book Antiqua"/>
        </w:rPr>
        <w:t xml:space="preserve"> 2000; </w:t>
      </w:r>
      <w:r>
        <w:rPr>
          <w:rFonts w:ascii="Book Antiqua" w:eastAsia="Book Antiqua" w:hAnsi="Book Antiqua" w:cs="Book Antiqua"/>
          <w:b/>
          <w:bCs/>
        </w:rPr>
        <w:t>18</w:t>
      </w:r>
      <w:r>
        <w:rPr>
          <w:rFonts w:ascii="Book Antiqua" w:eastAsia="Book Antiqua" w:hAnsi="Book Antiqua" w:cs="Book Antiqua"/>
        </w:rPr>
        <w:t>: 574-583 [PMID: 10923106 DOI: 10.3109/07357900009012197]</w:t>
      </w:r>
    </w:p>
    <w:p w14:paraId="6365F900"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Sall</w:t>
      </w:r>
      <w:proofErr w:type="spellEnd"/>
      <w:r>
        <w:rPr>
          <w:rFonts w:ascii="Book Antiqua" w:eastAsia="Book Antiqua" w:hAnsi="Book Antiqua" w:cs="Book Antiqua"/>
          <w:b/>
          <w:bCs/>
        </w:rPr>
        <w:t xml:space="preserve"> FB</w:t>
      </w:r>
      <w:r>
        <w:rPr>
          <w:rFonts w:ascii="Book Antiqua" w:eastAsia="Book Antiqua" w:hAnsi="Book Antiqua" w:cs="Book Antiqua"/>
        </w:rPr>
        <w:t xml:space="preserve">, </w:t>
      </w:r>
      <w:proofErr w:type="spellStart"/>
      <w:r>
        <w:rPr>
          <w:rFonts w:ascii="Book Antiqua" w:eastAsia="Book Antiqua" w:hAnsi="Book Antiqua" w:cs="Book Antiqua"/>
        </w:rPr>
        <w:t>Shmakova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Karpukhina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Tsfasman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Lomov</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Canoy</w:t>
      </w:r>
      <w:proofErr w:type="spellEnd"/>
      <w:r>
        <w:rPr>
          <w:rFonts w:ascii="Book Antiqua" w:eastAsia="Book Antiqua" w:hAnsi="Book Antiqua" w:cs="Book Antiqua"/>
        </w:rPr>
        <w:t xml:space="preserve"> RJ, </w:t>
      </w:r>
      <w:proofErr w:type="spellStart"/>
      <w:r>
        <w:rPr>
          <w:rFonts w:ascii="Book Antiqua" w:eastAsia="Book Antiqua" w:hAnsi="Book Antiqua" w:cs="Book Antiqua"/>
        </w:rPr>
        <w:t>Boutboul</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Oksenhendler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Toure</w:t>
      </w:r>
      <w:proofErr w:type="spellEnd"/>
      <w:r>
        <w:rPr>
          <w:rFonts w:ascii="Book Antiqua" w:eastAsia="Book Antiqua" w:hAnsi="Book Antiqua" w:cs="Book Antiqua"/>
        </w:rPr>
        <w:t xml:space="preserve"> AO, Lipinski M, </w:t>
      </w:r>
      <w:proofErr w:type="spellStart"/>
      <w:r>
        <w:rPr>
          <w:rFonts w:ascii="Book Antiqua" w:eastAsia="Book Antiqua" w:hAnsi="Book Antiqua" w:cs="Book Antiqua"/>
        </w:rPr>
        <w:t>Wiels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Germini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Vassetzky</w:t>
      </w:r>
      <w:proofErr w:type="spellEnd"/>
      <w:r>
        <w:rPr>
          <w:rFonts w:ascii="Book Antiqua" w:eastAsia="Book Antiqua" w:hAnsi="Book Antiqua" w:cs="Book Antiqua"/>
        </w:rPr>
        <w:t xml:space="preserve"> Y. Epstein-Barr virus reactivation induces MYC-IGH spatial proximity and </w:t>
      </w:r>
      <w:proofErr w:type="gramStart"/>
      <w:r>
        <w:rPr>
          <w:rFonts w:ascii="Book Antiqua" w:eastAsia="Book Antiqua" w:hAnsi="Book Antiqua" w:cs="Book Antiqua"/>
        </w:rPr>
        <w:t>t(</w:t>
      </w:r>
      <w:proofErr w:type="gramEnd"/>
      <w:r>
        <w:rPr>
          <w:rFonts w:ascii="Book Antiqua" w:eastAsia="Book Antiqua" w:hAnsi="Book Antiqua" w:cs="Book Antiqua"/>
        </w:rPr>
        <w:t xml:space="preserve">8;14) in B cells. </w:t>
      </w:r>
      <w:r>
        <w:rPr>
          <w:rFonts w:ascii="Book Antiqua" w:eastAsia="Book Antiqua" w:hAnsi="Book Antiqua" w:cs="Book Antiqua"/>
          <w:i/>
          <w:iCs/>
        </w:rPr>
        <w:t xml:space="preserve">J Med </w:t>
      </w:r>
      <w:proofErr w:type="spellStart"/>
      <w:r>
        <w:rPr>
          <w:rFonts w:ascii="Book Antiqua" w:eastAsia="Book Antiqua" w:hAnsi="Book Antiqua" w:cs="Book Antiqua"/>
          <w:i/>
          <w:iCs/>
        </w:rPr>
        <w:t>Virol</w:t>
      </w:r>
      <w:proofErr w:type="spellEnd"/>
      <w:r>
        <w:rPr>
          <w:rFonts w:ascii="Book Antiqua" w:eastAsia="Book Antiqua" w:hAnsi="Book Antiqua" w:cs="Book Antiqua"/>
        </w:rPr>
        <w:t xml:space="preserve"> 2023; </w:t>
      </w:r>
      <w:r>
        <w:rPr>
          <w:rFonts w:ascii="Book Antiqua" w:eastAsia="Book Antiqua" w:hAnsi="Book Antiqua" w:cs="Book Antiqua"/>
          <w:b/>
          <w:bCs/>
        </w:rPr>
        <w:t>95</w:t>
      </w:r>
      <w:r>
        <w:rPr>
          <w:rFonts w:ascii="Book Antiqua" w:eastAsia="Book Antiqua" w:hAnsi="Book Antiqua" w:cs="Book Antiqua"/>
        </w:rPr>
        <w:t>: e28633 [PMID: 36866703 DOI: 10.1002/jmv.28633]</w:t>
      </w:r>
    </w:p>
    <w:p w14:paraId="5A0E6697"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Magrath I</w:t>
      </w:r>
      <w:r>
        <w:rPr>
          <w:rFonts w:ascii="Book Antiqua" w:eastAsia="Book Antiqua" w:hAnsi="Book Antiqua" w:cs="Book Antiqua"/>
        </w:rPr>
        <w:t xml:space="preserve">. Epidemiology: clues to the pathogenesis of Burkitt lymphoma.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2012; </w:t>
      </w:r>
      <w:r>
        <w:rPr>
          <w:rFonts w:ascii="Book Antiqua" w:eastAsia="Book Antiqua" w:hAnsi="Book Antiqua" w:cs="Book Antiqua"/>
          <w:b/>
          <w:bCs/>
        </w:rPr>
        <w:t>156</w:t>
      </w:r>
      <w:r>
        <w:rPr>
          <w:rFonts w:ascii="Book Antiqua" w:eastAsia="Book Antiqua" w:hAnsi="Book Antiqua" w:cs="Book Antiqua"/>
        </w:rPr>
        <w:t>: 744-756 [PMID: 22260300 DOI: 10.1111/j.1365-2141.</w:t>
      </w:r>
      <w:proofErr w:type="gramStart"/>
      <w:r>
        <w:rPr>
          <w:rFonts w:ascii="Book Antiqua" w:eastAsia="Book Antiqua" w:hAnsi="Book Antiqua" w:cs="Book Antiqua"/>
        </w:rPr>
        <w:t>2011.09013.x</w:t>
      </w:r>
      <w:proofErr w:type="gramEnd"/>
      <w:r>
        <w:rPr>
          <w:rFonts w:ascii="Book Antiqua" w:eastAsia="Book Antiqua" w:hAnsi="Book Antiqua" w:cs="Book Antiqua"/>
        </w:rPr>
        <w:t>]</w:t>
      </w:r>
    </w:p>
    <w:p w14:paraId="758296C7"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Ogwang</w:t>
      </w:r>
      <w:proofErr w:type="spellEnd"/>
      <w:r>
        <w:rPr>
          <w:rFonts w:ascii="Book Antiqua" w:eastAsia="Book Antiqua" w:hAnsi="Book Antiqua" w:cs="Book Antiqua"/>
          <w:b/>
          <w:bCs/>
        </w:rPr>
        <w:t xml:space="preserve"> MD</w:t>
      </w:r>
      <w:r>
        <w:rPr>
          <w:rFonts w:ascii="Book Antiqua" w:eastAsia="Book Antiqua" w:hAnsi="Book Antiqua" w:cs="Book Antiqua"/>
        </w:rPr>
        <w:t xml:space="preserve">, Bhatia K, </w:t>
      </w:r>
      <w:proofErr w:type="spellStart"/>
      <w:r>
        <w:rPr>
          <w:rFonts w:ascii="Book Antiqua" w:eastAsia="Book Antiqua" w:hAnsi="Book Antiqua" w:cs="Book Antiqua"/>
        </w:rPr>
        <w:t>Biggar</w:t>
      </w:r>
      <w:proofErr w:type="spellEnd"/>
      <w:r>
        <w:rPr>
          <w:rFonts w:ascii="Book Antiqua" w:eastAsia="Book Antiqua" w:hAnsi="Book Antiqua" w:cs="Book Antiqua"/>
        </w:rPr>
        <w:t xml:space="preserve"> RJ, </w:t>
      </w:r>
      <w:proofErr w:type="spellStart"/>
      <w:r>
        <w:rPr>
          <w:rFonts w:ascii="Book Antiqua" w:eastAsia="Book Antiqua" w:hAnsi="Book Antiqua" w:cs="Book Antiqua"/>
        </w:rPr>
        <w:t>Mbulaiteye</w:t>
      </w:r>
      <w:proofErr w:type="spellEnd"/>
      <w:r>
        <w:rPr>
          <w:rFonts w:ascii="Book Antiqua" w:eastAsia="Book Antiqua" w:hAnsi="Book Antiqua" w:cs="Book Antiqua"/>
        </w:rPr>
        <w:t xml:space="preserve"> SM. Incidence and geographic distribution of endemic Burkitt lymphoma in northern Uganda revisited. </w:t>
      </w:r>
      <w:r>
        <w:rPr>
          <w:rFonts w:ascii="Book Antiqua" w:eastAsia="Book Antiqua" w:hAnsi="Book Antiqua" w:cs="Book Antiqua"/>
          <w:i/>
          <w:iCs/>
        </w:rPr>
        <w:t>Int J Cancer</w:t>
      </w:r>
      <w:r>
        <w:rPr>
          <w:rFonts w:ascii="Book Antiqua" w:eastAsia="Book Antiqua" w:hAnsi="Book Antiqua" w:cs="Book Antiqua"/>
        </w:rPr>
        <w:t xml:space="preserve"> 2008; </w:t>
      </w:r>
      <w:r>
        <w:rPr>
          <w:rFonts w:ascii="Book Antiqua" w:eastAsia="Book Antiqua" w:hAnsi="Book Antiqua" w:cs="Book Antiqua"/>
          <w:b/>
          <w:bCs/>
        </w:rPr>
        <w:t>123</w:t>
      </w:r>
      <w:r>
        <w:rPr>
          <w:rFonts w:ascii="Book Antiqua" w:eastAsia="Book Antiqua" w:hAnsi="Book Antiqua" w:cs="Book Antiqua"/>
        </w:rPr>
        <w:t>: 2658-2663 [PMID: 18767045 DOI: 10.1002/ijc.23800]</w:t>
      </w:r>
    </w:p>
    <w:p w14:paraId="2DDF4E0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Sant M</w:t>
      </w:r>
      <w:r>
        <w:rPr>
          <w:rFonts w:ascii="Book Antiqua" w:eastAsia="Book Antiqua" w:hAnsi="Book Antiqua" w:cs="Book Antiqua"/>
        </w:rPr>
        <w:t xml:space="preserve">, </w:t>
      </w:r>
      <w:proofErr w:type="spellStart"/>
      <w:r>
        <w:rPr>
          <w:rFonts w:ascii="Book Antiqua" w:eastAsia="Book Antiqua" w:hAnsi="Book Antiqua" w:cs="Book Antiqua"/>
        </w:rPr>
        <w:t>Allemani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Tereanu</w:t>
      </w:r>
      <w:proofErr w:type="spellEnd"/>
      <w:r>
        <w:rPr>
          <w:rFonts w:ascii="Book Antiqua" w:eastAsia="Book Antiqua" w:hAnsi="Book Antiqua" w:cs="Book Antiqua"/>
        </w:rPr>
        <w:t xml:space="preserve"> C, De Angelis R, </w:t>
      </w:r>
      <w:proofErr w:type="spellStart"/>
      <w:r>
        <w:rPr>
          <w:rFonts w:ascii="Book Antiqua" w:eastAsia="Book Antiqua" w:hAnsi="Book Antiqua" w:cs="Book Antiqua"/>
        </w:rPr>
        <w:t>Capocaccia</w:t>
      </w:r>
      <w:proofErr w:type="spellEnd"/>
      <w:r>
        <w:rPr>
          <w:rFonts w:ascii="Book Antiqua" w:eastAsia="Book Antiqua" w:hAnsi="Book Antiqua" w:cs="Book Antiqua"/>
        </w:rPr>
        <w:t xml:space="preserve"> R, Visser O, Marcos-</w:t>
      </w:r>
      <w:proofErr w:type="spellStart"/>
      <w:r>
        <w:rPr>
          <w:rFonts w:ascii="Book Antiqua" w:eastAsia="Book Antiqua" w:hAnsi="Book Antiqua" w:cs="Book Antiqua"/>
        </w:rPr>
        <w:t>Gragera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Maynadié</w:t>
      </w:r>
      <w:proofErr w:type="spellEnd"/>
      <w:r>
        <w:rPr>
          <w:rFonts w:ascii="Book Antiqua" w:eastAsia="Book Antiqua" w:hAnsi="Book Antiqua" w:cs="Book Antiqua"/>
        </w:rPr>
        <w:t xml:space="preserve"> M, Simonetti A, Lutz JM, </w:t>
      </w:r>
      <w:proofErr w:type="spellStart"/>
      <w:r>
        <w:rPr>
          <w:rFonts w:ascii="Book Antiqua" w:eastAsia="Book Antiqua" w:hAnsi="Book Antiqua" w:cs="Book Antiqua"/>
        </w:rPr>
        <w:t>Berrino</w:t>
      </w:r>
      <w:proofErr w:type="spellEnd"/>
      <w:r>
        <w:rPr>
          <w:rFonts w:ascii="Book Antiqua" w:eastAsia="Book Antiqua" w:hAnsi="Book Antiqua" w:cs="Book Antiqua"/>
        </w:rPr>
        <w:t xml:space="preserve"> F; HAEMACARE Working Group. Incidence of hematologic malignancies in Europe by morphologic subtype: results of the HAEMACARE project. </w:t>
      </w:r>
      <w:r>
        <w:rPr>
          <w:rFonts w:ascii="Book Antiqua" w:eastAsia="Book Antiqua" w:hAnsi="Book Antiqua" w:cs="Book Antiqua"/>
          <w:i/>
          <w:iCs/>
        </w:rPr>
        <w:t>Blood</w:t>
      </w:r>
      <w:r>
        <w:rPr>
          <w:rFonts w:ascii="Book Antiqua" w:eastAsia="Book Antiqua" w:hAnsi="Book Antiqua" w:cs="Book Antiqua"/>
        </w:rPr>
        <w:t xml:space="preserve"> 2010; </w:t>
      </w:r>
      <w:r>
        <w:rPr>
          <w:rFonts w:ascii="Book Antiqua" w:eastAsia="Book Antiqua" w:hAnsi="Book Antiqua" w:cs="Book Antiqua"/>
          <w:b/>
          <w:bCs/>
        </w:rPr>
        <w:t>116</w:t>
      </w:r>
      <w:r>
        <w:rPr>
          <w:rFonts w:ascii="Book Antiqua" w:eastAsia="Book Antiqua" w:hAnsi="Book Antiqua" w:cs="Book Antiqua"/>
        </w:rPr>
        <w:t>: 3724-3734 [PMID: 20664057 DOI: 10.1182/blood-2010-05-282632]</w:t>
      </w:r>
    </w:p>
    <w:p w14:paraId="6AC10E39"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Guech-Ongey</w:t>
      </w:r>
      <w:proofErr w:type="spellEnd"/>
      <w:r>
        <w:rPr>
          <w:rFonts w:ascii="Book Antiqua" w:eastAsia="Book Antiqua" w:hAnsi="Book Antiqua" w:cs="Book Antiqua"/>
          <w:b/>
          <w:bCs/>
        </w:rPr>
        <w:t xml:space="preserve"> M</w:t>
      </w:r>
      <w:r>
        <w:rPr>
          <w:rFonts w:ascii="Book Antiqua" w:eastAsia="Book Antiqua" w:hAnsi="Book Antiqua" w:cs="Book Antiqua"/>
        </w:rPr>
        <w:t xml:space="preserve">, Simard EP, Anderson WF, Engels EA, Bhatia K, </w:t>
      </w:r>
      <w:proofErr w:type="spellStart"/>
      <w:r>
        <w:rPr>
          <w:rFonts w:ascii="Book Antiqua" w:eastAsia="Book Antiqua" w:hAnsi="Book Antiqua" w:cs="Book Antiqua"/>
        </w:rPr>
        <w:t>Devesa</w:t>
      </w:r>
      <w:proofErr w:type="spellEnd"/>
      <w:r>
        <w:rPr>
          <w:rFonts w:ascii="Book Antiqua" w:eastAsia="Book Antiqua" w:hAnsi="Book Antiqua" w:cs="Book Antiqua"/>
        </w:rPr>
        <w:t xml:space="preserve"> SS, </w:t>
      </w:r>
      <w:proofErr w:type="spellStart"/>
      <w:r>
        <w:rPr>
          <w:rFonts w:ascii="Book Antiqua" w:eastAsia="Book Antiqua" w:hAnsi="Book Antiqua" w:cs="Book Antiqua"/>
        </w:rPr>
        <w:t>Mbulaiteye</w:t>
      </w:r>
      <w:proofErr w:type="spellEnd"/>
      <w:r>
        <w:rPr>
          <w:rFonts w:ascii="Book Antiqua" w:eastAsia="Book Antiqua" w:hAnsi="Book Antiqua" w:cs="Book Antiqua"/>
        </w:rPr>
        <w:t xml:space="preserve"> SM. AIDS-related Burkitt lymphoma in the United States: what do age and CD4 Lymphocyte patterns tell us about etiology and/or biology? </w:t>
      </w:r>
      <w:r>
        <w:rPr>
          <w:rFonts w:ascii="Book Antiqua" w:eastAsia="Book Antiqua" w:hAnsi="Book Antiqua" w:cs="Book Antiqua"/>
          <w:i/>
          <w:iCs/>
        </w:rPr>
        <w:t>Blood</w:t>
      </w:r>
      <w:r>
        <w:rPr>
          <w:rFonts w:ascii="Book Antiqua" w:eastAsia="Book Antiqua" w:hAnsi="Book Antiqua" w:cs="Book Antiqua"/>
        </w:rPr>
        <w:t xml:space="preserve"> 2010; </w:t>
      </w:r>
      <w:r>
        <w:rPr>
          <w:rFonts w:ascii="Book Antiqua" w:eastAsia="Book Antiqua" w:hAnsi="Book Antiqua" w:cs="Book Antiqua"/>
          <w:b/>
          <w:bCs/>
        </w:rPr>
        <w:t>116</w:t>
      </w:r>
      <w:r>
        <w:rPr>
          <w:rFonts w:ascii="Book Antiqua" w:eastAsia="Book Antiqua" w:hAnsi="Book Antiqua" w:cs="Book Antiqua"/>
        </w:rPr>
        <w:t>: 5600-5604 [PMID: 20813897 DOI: 10.1182/blood-2010-03-275917]</w:t>
      </w:r>
    </w:p>
    <w:p w14:paraId="0B4B9CF1" w14:textId="77777777" w:rsidR="00DE3F5E" w:rsidRDefault="00000000">
      <w:pPr>
        <w:spacing w:line="360" w:lineRule="auto"/>
        <w:jc w:val="both"/>
        <w:rPr>
          <w:rFonts w:ascii="Book Antiqua" w:hAnsi="Book Antiqua"/>
        </w:rPr>
      </w:pPr>
      <w:bookmarkStart w:id="1" w:name="OLE_LINK164"/>
      <w:r>
        <w:rPr>
          <w:rFonts w:ascii="Book Antiqua" w:eastAsia="Book Antiqua" w:hAnsi="Book Antiqua" w:cs="Book Antiqua"/>
        </w:rPr>
        <w:t xml:space="preserve">7 </w:t>
      </w:r>
      <w:proofErr w:type="spellStart"/>
      <w:r>
        <w:rPr>
          <w:rFonts w:ascii="Book Antiqua" w:eastAsia="Book Antiqua" w:hAnsi="Book Antiqua" w:cs="Book Antiqua"/>
          <w:b/>
          <w:bCs/>
        </w:rPr>
        <w:t>Smeland</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Blystad</w:t>
      </w:r>
      <w:proofErr w:type="spellEnd"/>
      <w:r>
        <w:rPr>
          <w:rFonts w:ascii="Book Antiqua" w:eastAsia="Book Antiqua" w:hAnsi="Book Antiqua" w:cs="Book Antiqua"/>
        </w:rPr>
        <w:t xml:space="preserve"> AK, </w:t>
      </w:r>
      <w:proofErr w:type="spellStart"/>
      <w:r>
        <w:rPr>
          <w:rFonts w:ascii="Book Antiqua" w:eastAsia="Book Antiqua" w:hAnsi="Book Antiqua" w:cs="Book Antiqua"/>
        </w:rPr>
        <w:t>Kvaløy</w:t>
      </w:r>
      <w:proofErr w:type="spellEnd"/>
      <w:r>
        <w:rPr>
          <w:rFonts w:ascii="Book Antiqua" w:eastAsia="Book Antiqua" w:hAnsi="Book Antiqua" w:cs="Book Antiqua"/>
        </w:rPr>
        <w:t xml:space="preserve"> SO, </w:t>
      </w:r>
      <w:proofErr w:type="spellStart"/>
      <w:r>
        <w:rPr>
          <w:rFonts w:ascii="Book Antiqua" w:eastAsia="Book Antiqua" w:hAnsi="Book Antiqua" w:cs="Book Antiqua"/>
        </w:rPr>
        <w:t>Ikonomou</w:t>
      </w:r>
      <w:proofErr w:type="spellEnd"/>
      <w:r>
        <w:rPr>
          <w:rFonts w:ascii="Book Antiqua" w:eastAsia="Book Antiqua" w:hAnsi="Book Antiqua" w:cs="Book Antiqua"/>
        </w:rPr>
        <w:t xml:space="preserve"> IM, </w:t>
      </w:r>
      <w:proofErr w:type="spellStart"/>
      <w:r>
        <w:rPr>
          <w:rFonts w:ascii="Book Antiqua" w:eastAsia="Book Antiqua" w:hAnsi="Book Antiqua" w:cs="Book Antiqua"/>
        </w:rPr>
        <w:t>Delabie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Kvalheim</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Hammerstrøm</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Lauritzsen</w:t>
      </w:r>
      <w:proofErr w:type="spellEnd"/>
      <w:r>
        <w:rPr>
          <w:rFonts w:ascii="Book Antiqua" w:eastAsia="Book Antiqua" w:hAnsi="Book Antiqua" w:cs="Book Antiqua"/>
        </w:rPr>
        <w:t xml:space="preserve"> GF, </w:t>
      </w:r>
      <w:proofErr w:type="spellStart"/>
      <w:r>
        <w:rPr>
          <w:rFonts w:ascii="Book Antiqua" w:eastAsia="Book Antiqua" w:hAnsi="Book Antiqua" w:cs="Book Antiqua"/>
        </w:rPr>
        <w:t>Holte</w:t>
      </w:r>
      <w:proofErr w:type="spellEnd"/>
      <w:r>
        <w:rPr>
          <w:rFonts w:ascii="Book Antiqua" w:eastAsia="Book Antiqua" w:hAnsi="Book Antiqua" w:cs="Book Antiqua"/>
        </w:rPr>
        <w:t xml:space="preserve"> H. Treatment of Burkitt's/Burkitt-like lymphoma in adolescents and adults: a 20-year experience from the Norwegian Radium Hospital with the use of three successive regimens. </w:t>
      </w:r>
      <w:r>
        <w:rPr>
          <w:rFonts w:ascii="Book Antiqua" w:eastAsia="Book Antiqua" w:hAnsi="Book Antiqua" w:cs="Book Antiqua"/>
          <w:i/>
          <w:iCs/>
        </w:rPr>
        <w:t>Ann Oncol</w:t>
      </w:r>
      <w:r>
        <w:rPr>
          <w:rFonts w:ascii="Book Antiqua" w:eastAsia="Book Antiqua" w:hAnsi="Book Antiqua" w:cs="Book Antiqua"/>
        </w:rPr>
        <w:t xml:space="preserve"> 2004; </w:t>
      </w:r>
      <w:r>
        <w:rPr>
          <w:rFonts w:ascii="Book Antiqua" w:eastAsia="Book Antiqua" w:hAnsi="Book Antiqua" w:cs="Book Antiqua"/>
          <w:b/>
          <w:bCs/>
        </w:rPr>
        <w:t>15</w:t>
      </w:r>
      <w:r>
        <w:rPr>
          <w:rFonts w:ascii="Book Antiqua" w:eastAsia="Book Antiqua" w:hAnsi="Book Antiqua" w:cs="Book Antiqua"/>
        </w:rPr>
        <w:t>: 1072-1078 [PMID: 15205201 DOI: 10.1093/</w:t>
      </w:r>
      <w:proofErr w:type="spellStart"/>
      <w:r>
        <w:rPr>
          <w:rFonts w:ascii="Book Antiqua" w:eastAsia="Book Antiqua" w:hAnsi="Book Antiqua" w:cs="Book Antiqua"/>
        </w:rPr>
        <w:t>annonc</w:t>
      </w:r>
      <w:proofErr w:type="spellEnd"/>
      <w:r>
        <w:rPr>
          <w:rFonts w:ascii="Book Antiqua" w:eastAsia="Book Antiqua" w:hAnsi="Book Antiqua" w:cs="Book Antiqua"/>
        </w:rPr>
        <w:t>/mdh262]</w:t>
      </w:r>
    </w:p>
    <w:bookmarkEnd w:id="1"/>
    <w:p w14:paraId="6ED0832B"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Castillo JJ</w:t>
      </w:r>
      <w:r>
        <w:rPr>
          <w:rFonts w:ascii="Book Antiqua" w:eastAsia="Book Antiqua" w:hAnsi="Book Antiqua" w:cs="Book Antiqua"/>
        </w:rPr>
        <w:t xml:space="preserve">, Winer ES, Olszewski AJ. Population-based prognostic factors for survival in patients with Burkitt lymphoma: an analysis from the Surveillance, Epidemiology, </w:t>
      </w:r>
      <w:r>
        <w:rPr>
          <w:rFonts w:ascii="Book Antiqua" w:eastAsia="Book Antiqua" w:hAnsi="Book Antiqua" w:cs="Book Antiqua"/>
        </w:rPr>
        <w:lastRenderedPageBreak/>
        <w:t xml:space="preserve">and End Results database. </w:t>
      </w:r>
      <w:r>
        <w:rPr>
          <w:rFonts w:ascii="Book Antiqua" w:eastAsia="Book Antiqua" w:hAnsi="Book Antiqua" w:cs="Book Antiqua"/>
          <w:i/>
          <w:iCs/>
        </w:rPr>
        <w:t>Cancer</w:t>
      </w:r>
      <w:r>
        <w:rPr>
          <w:rFonts w:ascii="Book Antiqua" w:eastAsia="Book Antiqua" w:hAnsi="Book Antiqua" w:cs="Book Antiqua"/>
        </w:rPr>
        <w:t xml:space="preserve"> 2013; </w:t>
      </w:r>
      <w:r>
        <w:rPr>
          <w:rFonts w:ascii="Book Antiqua" w:eastAsia="Book Antiqua" w:hAnsi="Book Antiqua" w:cs="Book Antiqua"/>
          <w:b/>
          <w:bCs/>
        </w:rPr>
        <w:t>119</w:t>
      </w:r>
      <w:r>
        <w:rPr>
          <w:rFonts w:ascii="Book Antiqua" w:eastAsia="Book Antiqua" w:hAnsi="Book Antiqua" w:cs="Book Antiqua"/>
        </w:rPr>
        <w:t>: 3672-3679 [PMID: 23913575 DOI: 10.1002/cncr.28264]</w:t>
      </w:r>
    </w:p>
    <w:p w14:paraId="5044FC9C"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Saleh K</w:t>
      </w:r>
      <w:r>
        <w:rPr>
          <w:rFonts w:ascii="Book Antiqua" w:eastAsia="Book Antiqua" w:hAnsi="Book Antiqua" w:cs="Book Antiqua"/>
        </w:rPr>
        <w:t xml:space="preserve">, </w:t>
      </w:r>
      <w:proofErr w:type="spellStart"/>
      <w:r>
        <w:rPr>
          <w:rFonts w:ascii="Book Antiqua" w:eastAsia="Book Antiqua" w:hAnsi="Book Antiqua" w:cs="Book Antiqua"/>
        </w:rPr>
        <w:t>Michot</w:t>
      </w:r>
      <w:proofErr w:type="spellEnd"/>
      <w:r>
        <w:rPr>
          <w:rFonts w:ascii="Book Antiqua" w:eastAsia="Book Antiqua" w:hAnsi="Book Antiqua" w:cs="Book Antiqua"/>
        </w:rPr>
        <w:t xml:space="preserve"> JM, Camara-</w:t>
      </w:r>
      <w:proofErr w:type="spellStart"/>
      <w:r>
        <w:rPr>
          <w:rFonts w:ascii="Book Antiqua" w:eastAsia="Book Antiqua" w:hAnsi="Book Antiqua" w:cs="Book Antiqua"/>
        </w:rPr>
        <w:t>Clayette</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Vassetsky</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Ribrag</w:t>
      </w:r>
      <w:proofErr w:type="spellEnd"/>
      <w:r>
        <w:rPr>
          <w:rFonts w:ascii="Book Antiqua" w:eastAsia="Book Antiqua" w:hAnsi="Book Antiqua" w:cs="Book Antiqua"/>
        </w:rPr>
        <w:t xml:space="preserve"> V. Burkitt and Burkitt-Like Lymphomas: </w:t>
      </w:r>
      <w:proofErr w:type="gramStart"/>
      <w:r>
        <w:rPr>
          <w:rFonts w:ascii="Book Antiqua" w:eastAsia="Book Antiqua" w:hAnsi="Book Antiqua" w:cs="Book Antiqua"/>
        </w:rPr>
        <w:t>a</w:t>
      </w:r>
      <w:proofErr w:type="gramEnd"/>
      <w:r>
        <w:rPr>
          <w:rFonts w:ascii="Book Antiqua" w:eastAsia="Book Antiqua" w:hAnsi="Book Antiqua" w:cs="Book Antiqua"/>
        </w:rPr>
        <w:t xml:space="preserve"> Systematic Review.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Oncol Rep</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33 [PMID: 32144513 DOI: 10.1007/s11912-020-0898-8]</w:t>
      </w:r>
    </w:p>
    <w:p w14:paraId="019BCD69"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Hecht JL</w:t>
      </w:r>
      <w:r>
        <w:rPr>
          <w:rFonts w:ascii="Book Antiqua" w:eastAsia="Book Antiqua" w:hAnsi="Book Antiqua" w:cs="Book Antiqua"/>
        </w:rPr>
        <w:t xml:space="preserve">, Aster JC. Molecular biology of Burkitt's lymphoma. </w:t>
      </w:r>
      <w:r>
        <w:rPr>
          <w:rFonts w:ascii="Book Antiqua" w:eastAsia="Book Antiqua" w:hAnsi="Book Antiqua" w:cs="Book Antiqua"/>
          <w:i/>
          <w:iCs/>
        </w:rPr>
        <w:t>J Clin Oncol</w:t>
      </w:r>
      <w:r>
        <w:rPr>
          <w:rFonts w:ascii="Book Antiqua" w:eastAsia="Book Antiqua" w:hAnsi="Book Antiqua" w:cs="Book Antiqua"/>
        </w:rPr>
        <w:t xml:space="preserve"> 2000; </w:t>
      </w:r>
      <w:r>
        <w:rPr>
          <w:rFonts w:ascii="Book Antiqua" w:eastAsia="Book Antiqua" w:hAnsi="Book Antiqua" w:cs="Book Antiqua"/>
          <w:b/>
          <w:bCs/>
        </w:rPr>
        <w:t>18</w:t>
      </w:r>
      <w:r>
        <w:rPr>
          <w:rFonts w:ascii="Book Antiqua" w:eastAsia="Book Antiqua" w:hAnsi="Book Antiqua" w:cs="Book Antiqua"/>
        </w:rPr>
        <w:t>: 3707-3721 [PMID: 11054444 DOI: 10.1200/JCO.2000.18.21.3707]</w:t>
      </w:r>
    </w:p>
    <w:p w14:paraId="5123D55D"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Edgar R</w:t>
      </w:r>
      <w:r>
        <w:rPr>
          <w:rFonts w:ascii="Book Antiqua" w:eastAsia="Book Antiqua" w:hAnsi="Book Antiqua" w:cs="Book Antiqua"/>
        </w:rPr>
        <w:t xml:space="preserve">, </w:t>
      </w:r>
      <w:proofErr w:type="spellStart"/>
      <w:r>
        <w:rPr>
          <w:rFonts w:ascii="Book Antiqua" w:eastAsia="Book Antiqua" w:hAnsi="Book Antiqua" w:cs="Book Antiqua"/>
        </w:rPr>
        <w:t>Domrachev</w:t>
      </w:r>
      <w:proofErr w:type="spellEnd"/>
      <w:r>
        <w:rPr>
          <w:rFonts w:ascii="Book Antiqua" w:eastAsia="Book Antiqua" w:hAnsi="Book Antiqua" w:cs="Book Antiqua"/>
        </w:rPr>
        <w:t xml:space="preserve"> M, Lash AE. Gene Expression Omnibus: NCBI gene expression and hybridization array data repository. </w:t>
      </w:r>
      <w:r>
        <w:rPr>
          <w:rFonts w:ascii="Book Antiqua" w:eastAsia="Book Antiqua" w:hAnsi="Book Antiqua" w:cs="Book Antiqua"/>
          <w:i/>
          <w:iCs/>
        </w:rPr>
        <w:t>Nucleic Acids Res</w:t>
      </w:r>
      <w:r>
        <w:rPr>
          <w:rFonts w:ascii="Book Antiqua" w:eastAsia="Book Antiqua" w:hAnsi="Book Antiqua" w:cs="Book Antiqua"/>
        </w:rPr>
        <w:t xml:space="preserve"> 2002; </w:t>
      </w:r>
      <w:r>
        <w:rPr>
          <w:rFonts w:ascii="Book Antiqua" w:eastAsia="Book Antiqua" w:hAnsi="Book Antiqua" w:cs="Book Antiqua"/>
          <w:b/>
          <w:bCs/>
        </w:rPr>
        <w:t>30</w:t>
      </w:r>
      <w:r>
        <w:rPr>
          <w:rFonts w:ascii="Book Antiqua" w:eastAsia="Book Antiqua" w:hAnsi="Book Antiqua" w:cs="Book Antiqua"/>
        </w:rPr>
        <w:t>: 207-210 [PMID: 11752295 DOI: 10.1093/</w:t>
      </w:r>
      <w:proofErr w:type="spellStart"/>
      <w:r>
        <w:rPr>
          <w:rFonts w:ascii="Book Antiqua" w:eastAsia="Book Antiqua" w:hAnsi="Book Antiqua" w:cs="Book Antiqua"/>
        </w:rPr>
        <w:t>nar</w:t>
      </w:r>
      <w:proofErr w:type="spellEnd"/>
      <w:r>
        <w:rPr>
          <w:rFonts w:ascii="Book Antiqua" w:eastAsia="Book Antiqua" w:hAnsi="Book Antiqua" w:cs="Book Antiqua"/>
        </w:rPr>
        <w:t>/30.1.207]</w:t>
      </w:r>
    </w:p>
    <w:p w14:paraId="66BD2EAB"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Botía</w:t>
      </w:r>
      <w:proofErr w:type="spellEnd"/>
      <w:r>
        <w:rPr>
          <w:rFonts w:ascii="Book Antiqua" w:eastAsia="Book Antiqua" w:hAnsi="Book Antiqua" w:cs="Book Antiqua"/>
          <w:b/>
          <w:bCs/>
        </w:rPr>
        <w:t xml:space="preserve"> JA</w:t>
      </w:r>
      <w:r>
        <w:rPr>
          <w:rFonts w:ascii="Book Antiqua" w:eastAsia="Book Antiqua" w:hAnsi="Book Antiqua" w:cs="Book Antiqua"/>
        </w:rPr>
        <w:t xml:space="preserve">, </w:t>
      </w:r>
      <w:proofErr w:type="spellStart"/>
      <w:r>
        <w:rPr>
          <w:rFonts w:ascii="Book Antiqua" w:eastAsia="Book Antiqua" w:hAnsi="Book Antiqua" w:cs="Book Antiqua"/>
        </w:rPr>
        <w:t>Vandrovcova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Forabosco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Guelfi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D'Sa</w:t>
      </w:r>
      <w:proofErr w:type="spellEnd"/>
      <w:r>
        <w:rPr>
          <w:rFonts w:ascii="Book Antiqua" w:eastAsia="Book Antiqua" w:hAnsi="Book Antiqua" w:cs="Book Antiqua"/>
        </w:rPr>
        <w:t xml:space="preserve"> K; United Kingdom Brain Expression Consortium, Hardy J, Lewis CM, </w:t>
      </w:r>
      <w:proofErr w:type="spellStart"/>
      <w:r>
        <w:rPr>
          <w:rFonts w:ascii="Book Antiqua" w:eastAsia="Book Antiqua" w:hAnsi="Book Antiqua" w:cs="Book Antiqua"/>
        </w:rPr>
        <w:t>Ryten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Weale</w:t>
      </w:r>
      <w:proofErr w:type="spellEnd"/>
      <w:r>
        <w:rPr>
          <w:rFonts w:ascii="Book Antiqua" w:eastAsia="Book Antiqua" w:hAnsi="Book Antiqua" w:cs="Book Antiqua"/>
        </w:rPr>
        <w:t xml:space="preserve"> ME. An additional k-means clustering step improves the biological features of WGCNA gene co-expression networks. </w:t>
      </w:r>
      <w:r>
        <w:rPr>
          <w:rFonts w:ascii="Book Antiqua" w:eastAsia="Book Antiqua" w:hAnsi="Book Antiqua" w:cs="Book Antiqua"/>
          <w:i/>
          <w:iCs/>
        </w:rPr>
        <w:t>BMC Syst Biol</w:t>
      </w:r>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47 [PMID: 28403906 DOI: 10.1186/s12918-017-0420-6]</w:t>
      </w:r>
    </w:p>
    <w:p w14:paraId="02B45248"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Langfelder P</w:t>
      </w:r>
      <w:r>
        <w:rPr>
          <w:rFonts w:ascii="Book Antiqua" w:eastAsia="Book Antiqua" w:hAnsi="Book Antiqua" w:cs="Book Antiqua"/>
        </w:rPr>
        <w:t xml:space="preserve">, Horvath S. WGCNA: an R package for weighted correlation network analysis. </w:t>
      </w:r>
      <w:r>
        <w:rPr>
          <w:rFonts w:ascii="Book Antiqua" w:eastAsia="Book Antiqua" w:hAnsi="Book Antiqua" w:cs="Book Antiqua"/>
          <w:i/>
          <w:iCs/>
        </w:rPr>
        <w:t>BMC Bioinformatics</w:t>
      </w:r>
      <w:r>
        <w:rPr>
          <w:rFonts w:ascii="Book Antiqua" w:eastAsia="Book Antiqua" w:hAnsi="Book Antiqua" w:cs="Book Antiqua"/>
        </w:rPr>
        <w:t xml:space="preserve"> 2008; </w:t>
      </w:r>
      <w:r>
        <w:rPr>
          <w:rFonts w:ascii="Book Antiqua" w:eastAsia="Book Antiqua" w:hAnsi="Book Antiqua" w:cs="Book Antiqua"/>
          <w:b/>
          <w:bCs/>
        </w:rPr>
        <w:t>9</w:t>
      </w:r>
      <w:r>
        <w:rPr>
          <w:rFonts w:ascii="Book Antiqua" w:eastAsia="Book Antiqua" w:hAnsi="Book Antiqua" w:cs="Book Antiqua"/>
        </w:rPr>
        <w:t>: 559 [PMID: 19114008 DOI: 10.1186/1471-2105-9-559]</w:t>
      </w:r>
    </w:p>
    <w:p w14:paraId="5AC546CE"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Barrett T</w:t>
      </w:r>
      <w:r>
        <w:rPr>
          <w:rFonts w:ascii="Book Antiqua" w:eastAsia="Book Antiqua" w:hAnsi="Book Antiqua" w:cs="Book Antiqua"/>
        </w:rPr>
        <w:t xml:space="preserve">, Wilhite SE, Ledoux P, Evangelista C, Kim IF, </w:t>
      </w:r>
      <w:proofErr w:type="spellStart"/>
      <w:r>
        <w:rPr>
          <w:rFonts w:ascii="Book Antiqua" w:eastAsia="Book Antiqua" w:hAnsi="Book Antiqua" w:cs="Book Antiqua"/>
        </w:rPr>
        <w:t>Tomashevsky</w:t>
      </w:r>
      <w:proofErr w:type="spellEnd"/>
      <w:r>
        <w:rPr>
          <w:rFonts w:ascii="Book Antiqua" w:eastAsia="Book Antiqua" w:hAnsi="Book Antiqua" w:cs="Book Antiqua"/>
        </w:rPr>
        <w:t xml:space="preserve"> M, Marshall KA, </w:t>
      </w:r>
      <w:proofErr w:type="spellStart"/>
      <w:r>
        <w:rPr>
          <w:rFonts w:ascii="Book Antiqua" w:eastAsia="Book Antiqua" w:hAnsi="Book Antiqua" w:cs="Book Antiqua"/>
        </w:rPr>
        <w:t>Phillippy</w:t>
      </w:r>
      <w:proofErr w:type="spellEnd"/>
      <w:r>
        <w:rPr>
          <w:rFonts w:ascii="Book Antiqua" w:eastAsia="Book Antiqua" w:hAnsi="Book Antiqua" w:cs="Book Antiqua"/>
        </w:rPr>
        <w:t xml:space="preserve"> KH, Sherman PM, Holko M, </w:t>
      </w:r>
      <w:proofErr w:type="spellStart"/>
      <w:r>
        <w:rPr>
          <w:rFonts w:ascii="Book Antiqua" w:eastAsia="Book Antiqua" w:hAnsi="Book Antiqua" w:cs="Book Antiqua"/>
        </w:rPr>
        <w:t>Yefanov</w:t>
      </w:r>
      <w:proofErr w:type="spellEnd"/>
      <w:r>
        <w:rPr>
          <w:rFonts w:ascii="Book Antiqua" w:eastAsia="Book Antiqua" w:hAnsi="Book Antiqua" w:cs="Book Antiqua"/>
        </w:rPr>
        <w:t xml:space="preserve"> A, Lee H, Zhang N, Robertson CL, Serova N, Davis S, Soboleva A. NCBI GEO: archive for functional genomics data sets--update. </w:t>
      </w:r>
      <w:r>
        <w:rPr>
          <w:rFonts w:ascii="Book Antiqua" w:eastAsia="Book Antiqua" w:hAnsi="Book Antiqua" w:cs="Book Antiqua"/>
          <w:i/>
          <w:iCs/>
        </w:rPr>
        <w:t>Nucleic Acids Res</w:t>
      </w:r>
      <w:r>
        <w:rPr>
          <w:rFonts w:ascii="Book Antiqua" w:eastAsia="Book Antiqua" w:hAnsi="Book Antiqua" w:cs="Book Antiqua"/>
        </w:rPr>
        <w:t xml:space="preserve"> 2013; </w:t>
      </w:r>
      <w:r>
        <w:rPr>
          <w:rFonts w:ascii="Book Antiqua" w:eastAsia="Book Antiqua" w:hAnsi="Book Antiqua" w:cs="Book Antiqua"/>
          <w:b/>
          <w:bCs/>
        </w:rPr>
        <w:t>41</w:t>
      </w:r>
      <w:r>
        <w:rPr>
          <w:rFonts w:ascii="Book Antiqua" w:eastAsia="Book Antiqua" w:hAnsi="Book Antiqua" w:cs="Book Antiqua"/>
        </w:rPr>
        <w:t>: D991-D995 [PMID: 23193258 DOI: 10.1093/</w:t>
      </w:r>
      <w:proofErr w:type="spellStart"/>
      <w:r>
        <w:rPr>
          <w:rFonts w:ascii="Book Antiqua" w:eastAsia="Book Antiqua" w:hAnsi="Book Antiqua" w:cs="Book Antiqua"/>
        </w:rPr>
        <w:t>nar</w:t>
      </w:r>
      <w:proofErr w:type="spellEnd"/>
      <w:r>
        <w:rPr>
          <w:rFonts w:ascii="Book Antiqua" w:eastAsia="Book Antiqua" w:hAnsi="Book Antiqua" w:cs="Book Antiqua"/>
        </w:rPr>
        <w:t>/gks1193]</w:t>
      </w:r>
    </w:p>
    <w:p w14:paraId="5D3A44F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Niemira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Collin F, </w:t>
      </w:r>
      <w:proofErr w:type="spellStart"/>
      <w:r>
        <w:rPr>
          <w:rFonts w:ascii="Book Antiqua" w:eastAsia="Book Antiqua" w:hAnsi="Book Antiqua" w:cs="Book Antiqua"/>
        </w:rPr>
        <w:t>Szalkowska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Bielska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Chwialkowska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Reszec</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Niklinski</w:t>
      </w:r>
      <w:proofErr w:type="spellEnd"/>
      <w:r>
        <w:rPr>
          <w:rFonts w:ascii="Book Antiqua" w:eastAsia="Book Antiqua" w:hAnsi="Book Antiqua" w:cs="Book Antiqua"/>
        </w:rPr>
        <w:t xml:space="preserve"> J, Kwasniewski M, </w:t>
      </w:r>
      <w:proofErr w:type="spellStart"/>
      <w:r>
        <w:rPr>
          <w:rFonts w:ascii="Book Antiqua" w:eastAsia="Book Antiqua" w:hAnsi="Book Antiqua" w:cs="Book Antiqua"/>
        </w:rPr>
        <w:t>Kretowski</w:t>
      </w:r>
      <w:proofErr w:type="spellEnd"/>
      <w:r>
        <w:rPr>
          <w:rFonts w:ascii="Book Antiqua" w:eastAsia="Book Antiqua" w:hAnsi="Book Antiqua" w:cs="Book Antiqua"/>
        </w:rPr>
        <w:t xml:space="preserve"> A. Molecular Signature of Subtypes of Non-Small-Cell Lung Cancer by Large-Scale Transcriptional Profiling: Identification of Key Modules and Genes by Weighted Gene Co-Expression Network Analysis (WGCNA). </w:t>
      </w:r>
      <w:r>
        <w:rPr>
          <w:rFonts w:ascii="Book Antiqua" w:eastAsia="Book Antiqua" w:hAnsi="Book Antiqua" w:cs="Book Antiqua"/>
          <w:i/>
          <w:iCs/>
        </w:rPr>
        <w:t>Cancers (Basel)</w:t>
      </w:r>
      <w:r>
        <w:rPr>
          <w:rFonts w:ascii="Book Antiqua" w:eastAsia="Book Antiqua" w:hAnsi="Book Antiqua" w:cs="Book Antiqua"/>
        </w:rPr>
        <w:t xml:space="preserve"> 2019; </w:t>
      </w:r>
      <w:r>
        <w:rPr>
          <w:rFonts w:ascii="Book Antiqua" w:eastAsia="Book Antiqua" w:hAnsi="Book Antiqua" w:cs="Book Antiqua"/>
          <w:b/>
          <w:bCs/>
        </w:rPr>
        <w:t>12</w:t>
      </w:r>
      <w:r>
        <w:rPr>
          <w:rFonts w:ascii="Book Antiqua" w:eastAsia="Book Antiqua" w:hAnsi="Book Antiqua" w:cs="Book Antiqua"/>
        </w:rPr>
        <w:t xml:space="preserve"> [PMID: 31877723 DOI: 10.3390/cancers12010037]</w:t>
      </w:r>
    </w:p>
    <w:p w14:paraId="1F73EF47"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Szklarczyk</w:t>
      </w:r>
      <w:proofErr w:type="spellEnd"/>
      <w:r>
        <w:rPr>
          <w:rFonts w:ascii="Book Antiqua" w:eastAsia="Book Antiqua" w:hAnsi="Book Antiqua" w:cs="Book Antiqua"/>
          <w:b/>
          <w:bCs/>
        </w:rPr>
        <w:t xml:space="preserve"> D</w:t>
      </w:r>
      <w:r>
        <w:rPr>
          <w:rFonts w:ascii="Book Antiqua" w:eastAsia="Book Antiqua" w:hAnsi="Book Antiqua" w:cs="Book Antiqua"/>
        </w:rPr>
        <w:t xml:space="preserve">, Gable AL, </w:t>
      </w:r>
      <w:proofErr w:type="spellStart"/>
      <w:r>
        <w:rPr>
          <w:rFonts w:ascii="Book Antiqua" w:eastAsia="Book Antiqua" w:hAnsi="Book Antiqua" w:cs="Book Antiqua"/>
        </w:rPr>
        <w:t>Nastou</w:t>
      </w:r>
      <w:proofErr w:type="spellEnd"/>
      <w:r>
        <w:rPr>
          <w:rFonts w:ascii="Book Antiqua" w:eastAsia="Book Antiqua" w:hAnsi="Book Antiqua" w:cs="Book Antiqua"/>
        </w:rPr>
        <w:t xml:space="preserve"> KC, Lyon D, Kirsch R, </w:t>
      </w:r>
      <w:proofErr w:type="spellStart"/>
      <w:r>
        <w:rPr>
          <w:rFonts w:ascii="Book Antiqua" w:eastAsia="Book Antiqua" w:hAnsi="Book Antiqua" w:cs="Book Antiqua"/>
        </w:rPr>
        <w:t>Pyysalo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Doncheva</w:t>
      </w:r>
      <w:proofErr w:type="spellEnd"/>
      <w:r>
        <w:rPr>
          <w:rFonts w:ascii="Book Antiqua" w:eastAsia="Book Antiqua" w:hAnsi="Book Antiqua" w:cs="Book Antiqua"/>
        </w:rPr>
        <w:t xml:space="preserve"> NT, </w:t>
      </w:r>
      <w:proofErr w:type="spellStart"/>
      <w:r>
        <w:rPr>
          <w:rFonts w:ascii="Book Antiqua" w:eastAsia="Book Antiqua" w:hAnsi="Book Antiqua" w:cs="Book Antiqua"/>
        </w:rPr>
        <w:t>Legeay</w:t>
      </w:r>
      <w:proofErr w:type="spellEnd"/>
      <w:r>
        <w:rPr>
          <w:rFonts w:ascii="Book Antiqua" w:eastAsia="Book Antiqua" w:hAnsi="Book Antiqua" w:cs="Book Antiqua"/>
        </w:rPr>
        <w:t xml:space="preserve"> M, Fang T, Bork P, Jensen LJ, von Mering C. The STRING database in 2021: customizable protein-protein networks, and functional characterization of user-</w:t>
      </w:r>
      <w:r>
        <w:rPr>
          <w:rFonts w:ascii="Book Antiqua" w:eastAsia="Book Antiqua" w:hAnsi="Book Antiqua" w:cs="Book Antiqua"/>
        </w:rPr>
        <w:lastRenderedPageBreak/>
        <w:t xml:space="preserve">uploaded gene/measurement sets. </w:t>
      </w:r>
      <w:r>
        <w:rPr>
          <w:rFonts w:ascii="Book Antiqua" w:eastAsia="Book Antiqua" w:hAnsi="Book Antiqua" w:cs="Book Antiqua"/>
          <w:i/>
          <w:iCs/>
        </w:rPr>
        <w:t>Nucleic Acids Res</w:t>
      </w:r>
      <w:r>
        <w:rPr>
          <w:rFonts w:ascii="Book Antiqua" w:eastAsia="Book Antiqua" w:hAnsi="Book Antiqua" w:cs="Book Antiqua"/>
        </w:rPr>
        <w:t xml:space="preserve"> 2021; </w:t>
      </w:r>
      <w:r>
        <w:rPr>
          <w:rFonts w:ascii="Book Antiqua" w:eastAsia="Book Antiqua" w:hAnsi="Book Antiqua" w:cs="Book Antiqua"/>
          <w:b/>
          <w:bCs/>
        </w:rPr>
        <w:t>49</w:t>
      </w:r>
      <w:r>
        <w:rPr>
          <w:rFonts w:ascii="Book Antiqua" w:eastAsia="Book Antiqua" w:hAnsi="Book Antiqua" w:cs="Book Antiqua"/>
        </w:rPr>
        <w:t>: D605-D612 [PMID: 33237311 DOI: 10.1093/</w:t>
      </w:r>
      <w:proofErr w:type="spellStart"/>
      <w:r>
        <w:rPr>
          <w:rFonts w:ascii="Book Antiqua" w:eastAsia="Book Antiqua" w:hAnsi="Book Antiqua" w:cs="Book Antiqua"/>
        </w:rPr>
        <w:t>nar</w:t>
      </w:r>
      <w:proofErr w:type="spellEnd"/>
      <w:r>
        <w:rPr>
          <w:rFonts w:ascii="Book Antiqua" w:eastAsia="Book Antiqua" w:hAnsi="Book Antiqua" w:cs="Book Antiqua"/>
        </w:rPr>
        <w:t>/gkaa1074]</w:t>
      </w:r>
    </w:p>
    <w:p w14:paraId="3DAF37D5"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Huang da W</w:t>
      </w:r>
      <w:r>
        <w:rPr>
          <w:rFonts w:ascii="Book Antiqua" w:eastAsia="Book Antiqua" w:hAnsi="Book Antiqua" w:cs="Book Antiqua"/>
        </w:rPr>
        <w:t xml:space="preserve">, Sherman BT, </w:t>
      </w:r>
      <w:proofErr w:type="spellStart"/>
      <w:r>
        <w:rPr>
          <w:rFonts w:ascii="Book Antiqua" w:eastAsia="Book Antiqua" w:hAnsi="Book Antiqua" w:cs="Book Antiqua"/>
        </w:rPr>
        <w:t>Lempicki</w:t>
      </w:r>
      <w:proofErr w:type="spellEnd"/>
      <w:r>
        <w:rPr>
          <w:rFonts w:ascii="Book Antiqua" w:eastAsia="Book Antiqua" w:hAnsi="Book Antiqua" w:cs="Book Antiqua"/>
        </w:rPr>
        <w:t xml:space="preserve"> RA. Bioinformatics enrichment tools: paths toward the comprehensive functional analysis of large gene lists. </w:t>
      </w:r>
      <w:r>
        <w:rPr>
          <w:rFonts w:ascii="Book Antiqua" w:eastAsia="Book Antiqua" w:hAnsi="Book Antiqua" w:cs="Book Antiqua"/>
          <w:i/>
          <w:iCs/>
        </w:rPr>
        <w:t>Nucleic Acids Res</w:t>
      </w:r>
      <w:r>
        <w:rPr>
          <w:rFonts w:ascii="Book Antiqua" w:eastAsia="Book Antiqua" w:hAnsi="Book Antiqua" w:cs="Book Antiqua"/>
        </w:rPr>
        <w:t xml:space="preserve"> 2009; </w:t>
      </w:r>
      <w:r>
        <w:rPr>
          <w:rFonts w:ascii="Book Antiqua" w:eastAsia="Book Antiqua" w:hAnsi="Book Antiqua" w:cs="Book Antiqua"/>
          <w:b/>
          <w:bCs/>
        </w:rPr>
        <w:t>37</w:t>
      </w:r>
      <w:r>
        <w:rPr>
          <w:rFonts w:ascii="Book Antiqua" w:eastAsia="Book Antiqua" w:hAnsi="Book Antiqua" w:cs="Book Antiqua"/>
        </w:rPr>
        <w:t>: 1-13 [PMID: 19033363 DOI: 10.1093/</w:t>
      </w:r>
      <w:proofErr w:type="spellStart"/>
      <w:r>
        <w:rPr>
          <w:rFonts w:ascii="Book Antiqua" w:eastAsia="Book Antiqua" w:hAnsi="Book Antiqua" w:cs="Book Antiqua"/>
        </w:rPr>
        <w:t>nar</w:t>
      </w:r>
      <w:proofErr w:type="spellEnd"/>
      <w:r>
        <w:rPr>
          <w:rFonts w:ascii="Book Antiqua" w:eastAsia="Book Antiqua" w:hAnsi="Book Antiqua" w:cs="Book Antiqua"/>
        </w:rPr>
        <w:t>/gkn923]</w:t>
      </w:r>
    </w:p>
    <w:p w14:paraId="05FDB35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Warde</w:t>
      </w:r>
      <w:proofErr w:type="spellEnd"/>
      <w:r>
        <w:rPr>
          <w:rFonts w:ascii="Book Antiqua" w:eastAsia="Book Antiqua" w:hAnsi="Book Antiqua" w:cs="Book Antiqua"/>
          <w:b/>
          <w:bCs/>
        </w:rPr>
        <w:t>-Farley D</w:t>
      </w:r>
      <w:r>
        <w:rPr>
          <w:rFonts w:ascii="Book Antiqua" w:eastAsia="Book Antiqua" w:hAnsi="Book Antiqua" w:cs="Book Antiqua"/>
        </w:rPr>
        <w:t xml:space="preserve">, Donaldson SL, Comes O, Zuberi K, </w:t>
      </w:r>
      <w:proofErr w:type="spellStart"/>
      <w:r>
        <w:rPr>
          <w:rFonts w:ascii="Book Antiqua" w:eastAsia="Book Antiqua" w:hAnsi="Book Antiqua" w:cs="Book Antiqua"/>
        </w:rPr>
        <w:t>Badrawi</w:t>
      </w:r>
      <w:proofErr w:type="spellEnd"/>
      <w:r>
        <w:rPr>
          <w:rFonts w:ascii="Book Antiqua" w:eastAsia="Book Antiqua" w:hAnsi="Book Antiqua" w:cs="Book Antiqua"/>
        </w:rPr>
        <w:t xml:space="preserve"> R, Chao P, Franz M, </w:t>
      </w:r>
      <w:proofErr w:type="spellStart"/>
      <w:r>
        <w:rPr>
          <w:rFonts w:ascii="Book Antiqua" w:eastAsia="Book Antiqua" w:hAnsi="Book Antiqua" w:cs="Book Antiqua"/>
        </w:rPr>
        <w:t>Grouios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Kazi</w:t>
      </w:r>
      <w:proofErr w:type="spellEnd"/>
      <w:r>
        <w:rPr>
          <w:rFonts w:ascii="Book Antiqua" w:eastAsia="Book Antiqua" w:hAnsi="Book Antiqua" w:cs="Book Antiqua"/>
        </w:rPr>
        <w:t xml:space="preserve"> F, Lopes CT, Maitland A, </w:t>
      </w:r>
      <w:proofErr w:type="spellStart"/>
      <w:r>
        <w:rPr>
          <w:rFonts w:ascii="Book Antiqua" w:eastAsia="Book Antiqua" w:hAnsi="Book Antiqua" w:cs="Book Antiqua"/>
        </w:rPr>
        <w:t>Mostafavi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Montojo</w:t>
      </w:r>
      <w:proofErr w:type="spellEnd"/>
      <w:r>
        <w:rPr>
          <w:rFonts w:ascii="Book Antiqua" w:eastAsia="Book Antiqua" w:hAnsi="Book Antiqua" w:cs="Book Antiqua"/>
        </w:rPr>
        <w:t xml:space="preserve"> J, Shao Q, Wright G, Bader GD, Morris Q. The </w:t>
      </w:r>
      <w:proofErr w:type="spellStart"/>
      <w:r>
        <w:rPr>
          <w:rFonts w:ascii="Book Antiqua" w:eastAsia="Book Antiqua" w:hAnsi="Book Antiqua" w:cs="Book Antiqua"/>
        </w:rPr>
        <w:t>GeneMANIA</w:t>
      </w:r>
      <w:proofErr w:type="spellEnd"/>
      <w:r>
        <w:rPr>
          <w:rFonts w:ascii="Book Antiqua" w:eastAsia="Book Antiqua" w:hAnsi="Book Antiqua" w:cs="Book Antiqua"/>
        </w:rPr>
        <w:t xml:space="preserve"> prediction server: biological network integration for gene prioritization and predicting gene function. </w:t>
      </w:r>
      <w:r>
        <w:rPr>
          <w:rFonts w:ascii="Book Antiqua" w:eastAsia="Book Antiqua" w:hAnsi="Book Antiqua" w:cs="Book Antiqua"/>
          <w:i/>
          <w:iCs/>
        </w:rPr>
        <w:t>Nucleic Acids Res</w:t>
      </w:r>
      <w:r>
        <w:rPr>
          <w:rFonts w:ascii="Book Antiqua" w:eastAsia="Book Antiqua" w:hAnsi="Book Antiqua" w:cs="Book Antiqua"/>
        </w:rPr>
        <w:t xml:space="preserve"> 2010; </w:t>
      </w:r>
      <w:r>
        <w:rPr>
          <w:rFonts w:ascii="Book Antiqua" w:eastAsia="Book Antiqua" w:hAnsi="Book Antiqua" w:cs="Book Antiqua"/>
          <w:b/>
          <w:bCs/>
        </w:rPr>
        <w:t>38</w:t>
      </w:r>
      <w:r>
        <w:rPr>
          <w:rFonts w:ascii="Book Antiqua" w:eastAsia="Book Antiqua" w:hAnsi="Book Antiqua" w:cs="Book Antiqua"/>
        </w:rPr>
        <w:t>: W214-W220 [PMID: 20576703 DOI: 10.1093/</w:t>
      </w:r>
      <w:proofErr w:type="spellStart"/>
      <w:r>
        <w:rPr>
          <w:rFonts w:ascii="Book Antiqua" w:eastAsia="Book Antiqua" w:hAnsi="Book Antiqua" w:cs="Book Antiqua"/>
        </w:rPr>
        <w:t>nar</w:t>
      </w:r>
      <w:proofErr w:type="spellEnd"/>
      <w:r>
        <w:rPr>
          <w:rFonts w:ascii="Book Antiqua" w:eastAsia="Book Antiqua" w:hAnsi="Book Antiqua" w:cs="Book Antiqua"/>
        </w:rPr>
        <w:t>/gkq537]</w:t>
      </w:r>
    </w:p>
    <w:p w14:paraId="70D58C4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Wagner AH</w:t>
      </w:r>
      <w:r>
        <w:rPr>
          <w:rFonts w:ascii="Book Antiqua" w:eastAsia="Book Antiqua" w:hAnsi="Book Antiqua" w:cs="Book Antiqua"/>
        </w:rPr>
        <w:t xml:space="preserve">, Coffman AC, Ainscough BJ, Spies NC, Skidmore ZL, Campbell KM, </w:t>
      </w:r>
      <w:proofErr w:type="spellStart"/>
      <w:r>
        <w:rPr>
          <w:rFonts w:ascii="Book Antiqua" w:eastAsia="Book Antiqua" w:hAnsi="Book Antiqua" w:cs="Book Antiqua"/>
        </w:rPr>
        <w:t>Krysiak</w:t>
      </w:r>
      <w:proofErr w:type="spellEnd"/>
      <w:r>
        <w:rPr>
          <w:rFonts w:ascii="Book Antiqua" w:eastAsia="Book Antiqua" w:hAnsi="Book Antiqua" w:cs="Book Antiqua"/>
        </w:rPr>
        <w:t xml:space="preserve"> K, Pan D, McMichael JF, Eldred JM, Walker JR, Wilson RK, </w:t>
      </w:r>
      <w:proofErr w:type="spellStart"/>
      <w:r>
        <w:rPr>
          <w:rFonts w:ascii="Book Antiqua" w:eastAsia="Book Antiqua" w:hAnsi="Book Antiqua" w:cs="Book Antiqua"/>
        </w:rPr>
        <w:t>Mardis</w:t>
      </w:r>
      <w:proofErr w:type="spellEnd"/>
      <w:r>
        <w:rPr>
          <w:rFonts w:ascii="Book Antiqua" w:eastAsia="Book Antiqua" w:hAnsi="Book Antiqua" w:cs="Book Antiqua"/>
        </w:rPr>
        <w:t xml:space="preserve"> ER, Griffith M, Griffith OL. </w:t>
      </w:r>
      <w:proofErr w:type="spellStart"/>
      <w:r>
        <w:rPr>
          <w:rFonts w:ascii="Book Antiqua" w:eastAsia="Book Antiqua" w:hAnsi="Book Antiqua" w:cs="Book Antiqua"/>
        </w:rPr>
        <w:t>DGIdb</w:t>
      </w:r>
      <w:proofErr w:type="spellEnd"/>
      <w:r>
        <w:rPr>
          <w:rFonts w:ascii="Book Antiqua" w:eastAsia="Book Antiqua" w:hAnsi="Book Antiqua" w:cs="Book Antiqua"/>
        </w:rPr>
        <w:t xml:space="preserve"> 2.0: mining clinically relevant drug-gene interactions. </w:t>
      </w:r>
      <w:r>
        <w:rPr>
          <w:rFonts w:ascii="Book Antiqua" w:eastAsia="Book Antiqua" w:hAnsi="Book Antiqua" w:cs="Book Antiqua"/>
          <w:i/>
          <w:iCs/>
        </w:rPr>
        <w:t>Nucleic Acids Res</w:t>
      </w:r>
      <w:r>
        <w:rPr>
          <w:rFonts w:ascii="Book Antiqua" w:eastAsia="Book Antiqua" w:hAnsi="Book Antiqua" w:cs="Book Antiqua"/>
        </w:rPr>
        <w:t xml:space="preserve"> 2016; </w:t>
      </w:r>
      <w:r>
        <w:rPr>
          <w:rFonts w:ascii="Book Antiqua" w:eastAsia="Book Antiqua" w:hAnsi="Book Antiqua" w:cs="Book Antiqua"/>
          <w:b/>
          <w:bCs/>
        </w:rPr>
        <w:t>44</w:t>
      </w:r>
      <w:r>
        <w:rPr>
          <w:rFonts w:ascii="Book Antiqua" w:eastAsia="Book Antiqua" w:hAnsi="Book Antiqua" w:cs="Book Antiqua"/>
        </w:rPr>
        <w:t>: D1036-D1044 [PMID: 26531824 DOI: 10.1093/</w:t>
      </w:r>
      <w:proofErr w:type="spellStart"/>
      <w:r>
        <w:rPr>
          <w:rFonts w:ascii="Book Antiqua" w:eastAsia="Book Antiqua" w:hAnsi="Book Antiqua" w:cs="Book Antiqua"/>
        </w:rPr>
        <w:t>nar</w:t>
      </w:r>
      <w:proofErr w:type="spellEnd"/>
      <w:r>
        <w:rPr>
          <w:rFonts w:ascii="Book Antiqua" w:eastAsia="Book Antiqua" w:hAnsi="Book Antiqua" w:cs="Book Antiqua"/>
        </w:rPr>
        <w:t>/gkv1165]</w:t>
      </w:r>
    </w:p>
    <w:p w14:paraId="4B72ABA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Olszewski AJ</w:t>
      </w:r>
      <w:r>
        <w:rPr>
          <w:rFonts w:ascii="Book Antiqua" w:eastAsia="Book Antiqua" w:hAnsi="Book Antiqua" w:cs="Book Antiqua"/>
        </w:rPr>
        <w:t xml:space="preserve">, Jakobsen LH, Collins GP, </w:t>
      </w:r>
      <w:proofErr w:type="spellStart"/>
      <w:r>
        <w:rPr>
          <w:rFonts w:ascii="Book Antiqua" w:eastAsia="Book Antiqua" w:hAnsi="Book Antiqua" w:cs="Book Antiqua"/>
        </w:rPr>
        <w:t>Cwynarski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Bachanova</w:t>
      </w:r>
      <w:proofErr w:type="spellEnd"/>
      <w:r>
        <w:rPr>
          <w:rFonts w:ascii="Book Antiqua" w:eastAsia="Book Antiqua" w:hAnsi="Book Antiqua" w:cs="Book Antiqua"/>
        </w:rPr>
        <w:t xml:space="preserve"> V, Blum KA, </w:t>
      </w:r>
      <w:proofErr w:type="spellStart"/>
      <w:r>
        <w:rPr>
          <w:rFonts w:ascii="Book Antiqua" w:eastAsia="Book Antiqua" w:hAnsi="Book Antiqua" w:cs="Book Antiqua"/>
        </w:rPr>
        <w:t>Boughan</w:t>
      </w:r>
      <w:proofErr w:type="spellEnd"/>
      <w:r>
        <w:rPr>
          <w:rFonts w:ascii="Book Antiqua" w:eastAsia="Book Antiqua" w:hAnsi="Book Antiqua" w:cs="Book Antiqua"/>
        </w:rPr>
        <w:t xml:space="preserve"> KM, Bower M, Dalla </w:t>
      </w:r>
      <w:proofErr w:type="spellStart"/>
      <w:r>
        <w:rPr>
          <w:rFonts w:ascii="Book Antiqua" w:eastAsia="Book Antiqua" w:hAnsi="Book Antiqua" w:cs="Book Antiqua"/>
        </w:rPr>
        <w:t>Pria</w:t>
      </w:r>
      <w:proofErr w:type="spellEnd"/>
      <w:r>
        <w:rPr>
          <w:rFonts w:ascii="Book Antiqua" w:eastAsia="Book Antiqua" w:hAnsi="Book Antiqua" w:cs="Book Antiqua"/>
        </w:rPr>
        <w:t xml:space="preserve"> A, Danilov A, David KA, </w:t>
      </w:r>
      <w:proofErr w:type="spellStart"/>
      <w:r>
        <w:rPr>
          <w:rFonts w:ascii="Book Antiqua" w:eastAsia="Book Antiqua" w:hAnsi="Book Antiqua" w:cs="Book Antiqua"/>
        </w:rPr>
        <w:t>Diefenbach</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Ellin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Epperla</w:t>
      </w:r>
      <w:proofErr w:type="spellEnd"/>
      <w:r>
        <w:rPr>
          <w:rFonts w:ascii="Book Antiqua" w:eastAsia="Book Antiqua" w:hAnsi="Book Antiqua" w:cs="Book Antiqua"/>
        </w:rPr>
        <w:t xml:space="preserve"> N, Farooq U, Feldman TA, Gerrie AS, Jagadeesh D, </w:t>
      </w:r>
      <w:proofErr w:type="spellStart"/>
      <w:r>
        <w:rPr>
          <w:rFonts w:ascii="Book Antiqua" w:eastAsia="Book Antiqua" w:hAnsi="Book Antiqua" w:cs="Book Antiqua"/>
        </w:rPr>
        <w:t>Kamdar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Karmali</w:t>
      </w:r>
      <w:proofErr w:type="spellEnd"/>
      <w:r>
        <w:rPr>
          <w:rFonts w:ascii="Book Antiqua" w:eastAsia="Book Antiqua" w:hAnsi="Book Antiqua" w:cs="Book Antiqua"/>
        </w:rPr>
        <w:t xml:space="preserve"> R, Kassam S, </w:t>
      </w:r>
      <w:proofErr w:type="spellStart"/>
      <w:r>
        <w:rPr>
          <w:rFonts w:ascii="Book Antiqua" w:eastAsia="Book Antiqua" w:hAnsi="Book Antiqua" w:cs="Book Antiqua"/>
        </w:rPr>
        <w:t>Kenkre</w:t>
      </w:r>
      <w:proofErr w:type="spellEnd"/>
      <w:r>
        <w:rPr>
          <w:rFonts w:ascii="Book Antiqua" w:eastAsia="Book Antiqua" w:hAnsi="Book Antiqua" w:cs="Book Antiqua"/>
        </w:rPr>
        <w:t xml:space="preserve"> VP, Khan N, Kim SH, Klein AK, </w:t>
      </w:r>
      <w:proofErr w:type="spellStart"/>
      <w:r>
        <w:rPr>
          <w:rFonts w:ascii="Book Antiqua" w:eastAsia="Book Antiqua" w:hAnsi="Book Antiqua" w:cs="Book Antiqua"/>
        </w:rPr>
        <w:t>Lossos</w:t>
      </w:r>
      <w:proofErr w:type="spellEnd"/>
      <w:r>
        <w:rPr>
          <w:rFonts w:ascii="Book Antiqua" w:eastAsia="Book Antiqua" w:hAnsi="Book Antiqua" w:cs="Book Antiqua"/>
        </w:rPr>
        <w:t xml:space="preserve"> IS, </w:t>
      </w:r>
      <w:proofErr w:type="spellStart"/>
      <w:r>
        <w:rPr>
          <w:rFonts w:ascii="Book Antiqua" w:eastAsia="Book Antiqua" w:hAnsi="Book Antiqua" w:cs="Book Antiqua"/>
        </w:rPr>
        <w:t>Lunning</w:t>
      </w:r>
      <w:proofErr w:type="spellEnd"/>
      <w:r>
        <w:rPr>
          <w:rFonts w:ascii="Book Antiqua" w:eastAsia="Book Antiqua" w:hAnsi="Book Antiqua" w:cs="Book Antiqua"/>
        </w:rPr>
        <w:t xml:space="preserve"> MA, Martin P, Martinez-Calle N, </w:t>
      </w:r>
      <w:proofErr w:type="spellStart"/>
      <w:r>
        <w:rPr>
          <w:rFonts w:ascii="Book Antiqua" w:eastAsia="Book Antiqua" w:hAnsi="Book Antiqua" w:cs="Book Antiqua"/>
        </w:rPr>
        <w:t>Montoto</w:t>
      </w:r>
      <w:proofErr w:type="spellEnd"/>
      <w:r>
        <w:rPr>
          <w:rFonts w:ascii="Book Antiqua" w:eastAsia="Book Antiqua" w:hAnsi="Book Antiqua" w:cs="Book Antiqua"/>
        </w:rPr>
        <w:t xml:space="preserve"> S, Naik S, </w:t>
      </w:r>
      <w:proofErr w:type="spellStart"/>
      <w:r>
        <w:rPr>
          <w:rFonts w:ascii="Book Antiqua" w:eastAsia="Book Antiqua" w:hAnsi="Book Antiqua" w:cs="Book Antiqua"/>
        </w:rPr>
        <w:t>Palmisiano</w:t>
      </w:r>
      <w:proofErr w:type="spellEnd"/>
      <w:r>
        <w:rPr>
          <w:rFonts w:ascii="Book Antiqua" w:eastAsia="Book Antiqua" w:hAnsi="Book Antiqua" w:cs="Book Antiqua"/>
        </w:rPr>
        <w:t xml:space="preserve"> N, Peace D, Phillips EH, Phillips TJ, </w:t>
      </w:r>
      <w:proofErr w:type="spellStart"/>
      <w:r>
        <w:rPr>
          <w:rFonts w:ascii="Book Antiqua" w:eastAsia="Book Antiqua" w:hAnsi="Book Antiqua" w:cs="Book Antiqua"/>
        </w:rPr>
        <w:t>Portell</w:t>
      </w:r>
      <w:proofErr w:type="spellEnd"/>
      <w:r>
        <w:rPr>
          <w:rFonts w:ascii="Book Antiqua" w:eastAsia="Book Antiqua" w:hAnsi="Book Antiqua" w:cs="Book Antiqua"/>
        </w:rPr>
        <w:t xml:space="preserve"> CA, Reddy N, </w:t>
      </w:r>
      <w:proofErr w:type="spellStart"/>
      <w:r>
        <w:rPr>
          <w:rFonts w:ascii="Book Antiqua" w:eastAsia="Book Antiqua" w:hAnsi="Book Antiqua" w:cs="Book Antiqua"/>
        </w:rPr>
        <w:t>Santarsieri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Sarraf</w:t>
      </w:r>
      <w:proofErr w:type="spellEnd"/>
      <w:r>
        <w:rPr>
          <w:rFonts w:ascii="Book Antiqua" w:eastAsia="Book Antiqua" w:hAnsi="Book Antiqua" w:cs="Book Antiqua"/>
        </w:rPr>
        <w:t xml:space="preserve"> </w:t>
      </w:r>
      <w:proofErr w:type="spellStart"/>
      <w:r>
        <w:rPr>
          <w:rFonts w:ascii="Book Antiqua" w:eastAsia="Book Antiqua" w:hAnsi="Book Antiqua" w:cs="Book Antiqua"/>
        </w:rPr>
        <w:t>Yazdy</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Smeland</w:t>
      </w:r>
      <w:proofErr w:type="spellEnd"/>
      <w:r>
        <w:rPr>
          <w:rFonts w:ascii="Book Antiqua" w:eastAsia="Book Antiqua" w:hAnsi="Book Antiqua" w:cs="Book Antiqua"/>
        </w:rPr>
        <w:t xml:space="preserve"> KB, Smith SE, Smith SD, Sundaram S, </w:t>
      </w:r>
      <w:proofErr w:type="spellStart"/>
      <w:r>
        <w:rPr>
          <w:rFonts w:ascii="Book Antiqua" w:eastAsia="Book Antiqua" w:hAnsi="Book Antiqua" w:cs="Book Antiqua"/>
        </w:rPr>
        <w:t>Zayac</w:t>
      </w:r>
      <w:proofErr w:type="spellEnd"/>
      <w:r>
        <w:rPr>
          <w:rFonts w:ascii="Book Antiqua" w:eastAsia="Book Antiqua" w:hAnsi="Book Antiqua" w:cs="Book Antiqua"/>
        </w:rPr>
        <w:t xml:space="preserve"> AS, Zhang XY, Zhu C, Cheah CY, El-</w:t>
      </w:r>
      <w:proofErr w:type="spellStart"/>
      <w:r>
        <w:rPr>
          <w:rFonts w:ascii="Book Antiqua" w:eastAsia="Book Antiqua" w:hAnsi="Book Antiqua" w:cs="Book Antiqua"/>
        </w:rPr>
        <w:t>Galaly</w:t>
      </w:r>
      <w:proofErr w:type="spellEnd"/>
      <w:r>
        <w:rPr>
          <w:rFonts w:ascii="Book Antiqua" w:eastAsia="Book Antiqua" w:hAnsi="Book Antiqua" w:cs="Book Antiqua"/>
        </w:rPr>
        <w:t xml:space="preserve"> TC, Evens AM. Burkitt Lymphoma International Prognostic Index. </w:t>
      </w:r>
      <w:r>
        <w:rPr>
          <w:rFonts w:ascii="Book Antiqua" w:eastAsia="Book Antiqua" w:hAnsi="Book Antiqua" w:cs="Book Antiqua"/>
          <w:i/>
          <w:iCs/>
        </w:rPr>
        <w:t>J Clin Oncol</w:t>
      </w:r>
      <w:r>
        <w:rPr>
          <w:rFonts w:ascii="Book Antiqua" w:eastAsia="Book Antiqua" w:hAnsi="Book Antiqua" w:cs="Book Antiqua"/>
        </w:rPr>
        <w:t xml:space="preserve"> 2021; </w:t>
      </w:r>
      <w:r>
        <w:rPr>
          <w:rFonts w:ascii="Book Antiqua" w:eastAsia="Book Antiqua" w:hAnsi="Book Antiqua" w:cs="Book Antiqua"/>
          <w:b/>
          <w:bCs/>
        </w:rPr>
        <w:t>39</w:t>
      </w:r>
      <w:r>
        <w:rPr>
          <w:rFonts w:ascii="Book Antiqua" w:eastAsia="Book Antiqua" w:hAnsi="Book Antiqua" w:cs="Book Antiqua"/>
        </w:rPr>
        <w:t>: 1129-1138 [PMID: 33502927 DOI: 10.1200/JCO.20.03288]</w:t>
      </w:r>
    </w:p>
    <w:p w14:paraId="092FD9E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Lu J</w:t>
      </w:r>
      <w:r>
        <w:rPr>
          <w:rFonts w:ascii="Book Antiqua" w:eastAsia="Book Antiqua" w:hAnsi="Book Antiqua" w:cs="Book Antiqua"/>
        </w:rPr>
        <w:t xml:space="preserve">, Tan H, Li B, Chen S, Xu L, Zou Y. </w:t>
      </w:r>
      <w:proofErr w:type="gramStart"/>
      <w:r>
        <w:rPr>
          <w:rFonts w:ascii="Book Antiqua" w:eastAsia="Book Antiqua" w:hAnsi="Book Antiqua" w:cs="Book Antiqua"/>
        </w:rPr>
        <w:t>Status</w:t>
      </w:r>
      <w:proofErr w:type="gramEnd"/>
      <w:r>
        <w:rPr>
          <w:rFonts w:ascii="Book Antiqua" w:eastAsia="Book Antiqua" w:hAnsi="Book Antiqua" w:cs="Book Antiqua"/>
        </w:rPr>
        <w:t xml:space="preserve"> and prognostic nomogram of patients with Burkitt lymphoma. </w:t>
      </w:r>
      <w:r>
        <w:rPr>
          <w:rFonts w:ascii="Book Antiqua" w:eastAsia="Book Antiqua" w:hAnsi="Book Antiqua" w:cs="Book Antiqua"/>
          <w:i/>
          <w:iCs/>
        </w:rPr>
        <w:t>Oncol Lett</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972-984 [PMID: 31897210 DOI: 10.3892/ol.2019.11155]</w:t>
      </w:r>
    </w:p>
    <w:p w14:paraId="0BC6F0D3"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Ferry JA</w:t>
      </w:r>
      <w:r>
        <w:rPr>
          <w:rFonts w:ascii="Book Antiqua" w:eastAsia="Book Antiqua" w:hAnsi="Book Antiqua" w:cs="Book Antiqua"/>
        </w:rPr>
        <w:t xml:space="preserve">. Burkitt's lymphoma: clinicopathologic features and differential diagnosis. </w:t>
      </w:r>
      <w:r>
        <w:rPr>
          <w:rFonts w:ascii="Book Antiqua" w:eastAsia="Book Antiqua" w:hAnsi="Book Antiqua" w:cs="Book Antiqua"/>
          <w:i/>
          <w:iCs/>
        </w:rPr>
        <w:t>Oncologist</w:t>
      </w:r>
      <w:r>
        <w:rPr>
          <w:rFonts w:ascii="Book Antiqua" w:eastAsia="Book Antiqua" w:hAnsi="Book Antiqua" w:cs="Book Antiqua"/>
        </w:rPr>
        <w:t xml:space="preserve"> 2006; </w:t>
      </w:r>
      <w:r>
        <w:rPr>
          <w:rFonts w:ascii="Book Antiqua" w:eastAsia="Book Antiqua" w:hAnsi="Book Antiqua" w:cs="Book Antiqua"/>
          <w:b/>
          <w:bCs/>
        </w:rPr>
        <w:t>11</w:t>
      </w:r>
      <w:r>
        <w:rPr>
          <w:rFonts w:ascii="Book Antiqua" w:eastAsia="Book Antiqua" w:hAnsi="Book Antiqua" w:cs="Book Antiqua"/>
        </w:rPr>
        <w:t>: 375-383 [PMID: 16614233 DOI: 10.1634/theoncologist.11-4-375]</w:t>
      </w:r>
    </w:p>
    <w:p w14:paraId="6A117ED4" w14:textId="77777777" w:rsidR="00DE3F5E"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Burmeister T</w:t>
      </w:r>
      <w:r>
        <w:rPr>
          <w:rFonts w:ascii="Book Antiqua" w:eastAsia="Book Antiqua" w:hAnsi="Book Antiqua" w:cs="Book Antiqua"/>
        </w:rPr>
        <w:t xml:space="preserve">, Schwartz S, Horst HA, Rieder H, </w:t>
      </w:r>
      <w:proofErr w:type="spellStart"/>
      <w:r>
        <w:rPr>
          <w:rFonts w:ascii="Book Antiqua" w:eastAsia="Book Antiqua" w:hAnsi="Book Antiqua" w:cs="Book Antiqua"/>
        </w:rPr>
        <w:t>Gökbuget</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Hoelzer</w:t>
      </w:r>
      <w:proofErr w:type="spellEnd"/>
      <w:r>
        <w:rPr>
          <w:rFonts w:ascii="Book Antiqua" w:eastAsia="Book Antiqua" w:hAnsi="Book Antiqua" w:cs="Book Antiqua"/>
        </w:rPr>
        <w:t xml:space="preserve"> D, Thiel E. Molecular heterogeneity of sporadic adult Burkitt-type leukemia/Lymphoma as </w:t>
      </w:r>
      <w:r>
        <w:rPr>
          <w:rFonts w:ascii="Book Antiqua" w:eastAsia="Book Antiqua" w:hAnsi="Book Antiqua" w:cs="Book Antiqua"/>
        </w:rPr>
        <w:lastRenderedPageBreak/>
        <w:t xml:space="preserve">revealed by PCR and cytogenetics: correlation with morphology, </w:t>
      </w:r>
      <w:proofErr w:type="gramStart"/>
      <w:r>
        <w:rPr>
          <w:rFonts w:ascii="Book Antiqua" w:eastAsia="Book Antiqua" w:hAnsi="Book Antiqua" w:cs="Book Antiqua"/>
        </w:rPr>
        <w:t>immunology</w:t>
      </w:r>
      <w:proofErr w:type="gramEnd"/>
      <w:r>
        <w:rPr>
          <w:rFonts w:ascii="Book Antiqua" w:eastAsia="Book Antiqua" w:hAnsi="Book Antiqua" w:cs="Book Antiqua"/>
        </w:rPr>
        <w:t xml:space="preserve"> and clinical features. </w:t>
      </w:r>
      <w:r>
        <w:rPr>
          <w:rFonts w:ascii="Book Antiqua" w:eastAsia="Book Antiqua" w:hAnsi="Book Antiqua" w:cs="Book Antiqua"/>
          <w:i/>
          <w:iCs/>
        </w:rPr>
        <w:t>Leukemia</w:t>
      </w:r>
      <w:r>
        <w:rPr>
          <w:rFonts w:ascii="Book Antiqua" w:eastAsia="Book Antiqua" w:hAnsi="Book Antiqua" w:cs="Book Antiqua"/>
        </w:rPr>
        <w:t xml:space="preserve"> 2005; </w:t>
      </w:r>
      <w:r>
        <w:rPr>
          <w:rFonts w:ascii="Book Antiqua" w:eastAsia="Book Antiqua" w:hAnsi="Book Antiqua" w:cs="Book Antiqua"/>
          <w:b/>
          <w:bCs/>
        </w:rPr>
        <w:t>19</w:t>
      </w:r>
      <w:r>
        <w:rPr>
          <w:rFonts w:ascii="Book Antiqua" w:eastAsia="Book Antiqua" w:hAnsi="Book Antiqua" w:cs="Book Antiqua"/>
        </w:rPr>
        <w:t>: 1391-1398 [PMID: 15973450 DOI: 10.1038/sj.leu.2403847]</w:t>
      </w:r>
    </w:p>
    <w:p w14:paraId="3C3B835A"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Wästerlid</w:t>
      </w:r>
      <w:proofErr w:type="spellEnd"/>
      <w:r>
        <w:rPr>
          <w:rFonts w:ascii="Book Antiqua" w:eastAsia="Book Antiqua" w:hAnsi="Book Antiqua" w:cs="Book Antiqua"/>
          <w:b/>
          <w:bCs/>
        </w:rPr>
        <w:t xml:space="preserve"> T</w:t>
      </w:r>
      <w:r>
        <w:rPr>
          <w:rFonts w:ascii="Book Antiqua" w:eastAsia="Book Antiqua" w:hAnsi="Book Antiqua" w:cs="Book Antiqua"/>
        </w:rPr>
        <w:t xml:space="preserve">, Jonsson B, Hagberg H, </w:t>
      </w:r>
      <w:proofErr w:type="spellStart"/>
      <w:r>
        <w:rPr>
          <w:rFonts w:ascii="Book Antiqua" w:eastAsia="Book Antiqua" w:hAnsi="Book Antiqua" w:cs="Book Antiqua"/>
        </w:rPr>
        <w:t>Jerkeman</w:t>
      </w:r>
      <w:proofErr w:type="spellEnd"/>
      <w:r>
        <w:rPr>
          <w:rFonts w:ascii="Book Antiqua" w:eastAsia="Book Antiqua" w:hAnsi="Book Antiqua" w:cs="Book Antiqua"/>
        </w:rPr>
        <w:t xml:space="preserve"> M. Population based study of prognostic factors and treatment in adult Burkitt lymphoma: a Swedish Lymphoma Registry study. </w:t>
      </w:r>
      <w:r>
        <w:rPr>
          <w:rFonts w:ascii="Book Antiqua" w:eastAsia="Book Antiqua" w:hAnsi="Book Antiqua" w:cs="Book Antiqua"/>
          <w:i/>
          <w:iCs/>
        </w:rPr>
        <w:t>Leuk Lymphoma</w:t>
      </w:r>
      <w:r>
        <w:rPr>
          <w:rFonts w:ascii="Book Antiqua" w:eastAsia="Book Antiqua" w:hAnsi="Book Antiqua" w:cs="Book Antiqua"/>
        </w:rPr>
        <w:t xml:space="preserve"> 2011; </w:t>
      </w:r>
      <w:r>
        <w:rPr>
          <w:rFonts w:ascii="Book Antiqua" w:eastAsia="Book Antiqua" w:hAnsi="Book Antiqua" w:cs="Book Antiqua"/>
          <w:b/>
          <w:bCs/>
        </w:rPr>
        <w:t>52</w:t>
      </w:r>
      <w:r>
        <w:rPr>
          <w:rFonts w:ascii="Book Antiqua" w:eastAsia="Book Antiqua" w:hAnsi="Book Antiqua" w:cs="Book Antiqua"/>
        </w:rPr>
        <w:t>: 2090-2096 [PMID: 21718134 DOI: 10.3109/10428194.2011.593274]</w:t>
      </w:r>
    </w:p>
    <w:p w14:paraId="522AE298"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Schmitz R</w:t>
      </w:r>
      <w:r>
        <w:rPr>
          <w:rFonts w:ascii="Book Antiqua" w:eastAsia="Book Antiqua" w:hAnsi="Book Antiqua" w:cs="Book Antiqua"/>
        </w:rPr>
        <w:t xml:space="preserve">, </w:t>
      </w:r>
      <w:proofErr w:type="spellStart"/>
      <w:r>
        <w:rPr>
          <w:rFonts w:ascii="Book Antiqua" w:eastAsia="Book Antiqua" w:hAnsi="Book Antiqua" w:cs="Book Antiqua"/>
        </w:rPr>
        <w:t>Ceribelli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Pittaluga</w:t>
      </w:r>
      <w:proofErr w:type="spellEnd"/>
      <w:r>
        <w:rPr>
          <w:rFonts w:ascii="Book Antiqua" w:eastAsia="Book Antiqua" w:hAnsi="Book Antiqua" w:cs="Book Antiqua"/>
        </w:rPr>
        <w:t xml:space="preserve"> S, Wright G, Staudt LM. Oncogenic mechanisms in Burkitt lymphoma. </w:t>
      </w:r>
      <w:r>
        <w:rPr>
          <w:rFonts w:ascii="Book Antiqua" w:eastAsia="Book Antiqua" w:hAnsi="Book Antiqua" w:cs="Book Antiqua"/>
          <w:i/>
          <w:iCs/>
        </w:rPr>
        <w:t xml:space="preserve">Cold Spring </w:t>
      </w:r>
      <w:proofErr w:type="spellStart"/>
      <w:r>
        <w:rPr>
          <w:rFonts w:ascii="Book Antiqua" w:eastAsia="Book Antiqua" w:hAnsi="Book Antiqua" w:cs="Book Antiqua"/>
          <w:i/>
          <w:iCs/>
        </w:rPr>
        <w:t>Harb</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Perspect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2014; </w:t>
      </w:r>
      <w:r>
        <w:rPr>
          <w:rFonts w:ascii="Book Antiqua" w:eastAsia="Book Antiqua" w:hAnsi="Book Antiqua" w:cs="Book Antiqua"/>
          <w:b/>
          <w:bCs/>
        </w:rPr>
        <w:t>4</w:t>
      </w:r>
      <w:r>
        <w:rPr>
          <w:rFonts w:ascii="Book Antiqua" w:eastAsia="Book Antiqua" w:hAnsi="Book Antiqua" w:cs="Book Antiqua"/>
        </w:rPr>
        <w:t xml:space="preserve"> [PMID: 24492847 DOI: 10.1101/</w:t>
      </w:r>
      <w:proofErr w:type="gramStart"/>
      <w:r>
        <w:rPr>
          <w:rFonts w:ascii="Book Antiqua" w:eastAsia="Book Antiqua" w:hAnsi="Book Antiqua" w:cs="Book Antiqua"/>
        </w:rPr>
        <w:t>cshperspect.a</w:t>
      </w:r>
      <w:proofErr w:type="gramEnd"/>
      <w:r>
        <w:rPr>
          <w:rFonts w:ascii="Book Antiqua" w:eastAsia="Book Antiqua" w:hAnsi="Book Antiqua" w:cs="Book Antiqua"/>
        </w:rPr>
        <w:t>014282]</w:t>
      </w:r>
    </w:p>
    <w:p w14:paraId="5243C55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Fuller TF</w:t>
      </w:r>
      <w:r>
        <w:rPr>
          <w:rFonts w:ascii="Book Antiqua" w:eastAsia="Book Antiqua" w:hAnsi="Book Antiqua" w:cs="Book Antiqua"/>
        </w:rPr>
        <w:t xml:space="preserve">, </w:t>
      </w:r>
      <w:proofErr w:type="spellStart"/>
      <w:r>
        <w:rPr>
          <w:rFonts w:ascii="Book Antiqua" w:eastAsia="Book Antiqua" w:hAnsi="Book Antiqua" w:cs="Book Antiqua"/>
        </w:rPr>
        <w:t>Ghazalpour</w:t>
      </w:r>
      <w:proofErr w:type="spellEnd"/>
      <w:r>
        <w:rPr>
          <w:rFonts w:ascii="Book Antiqua" w:eastAsia="Book Antiqua" w:hAnsi="Book Antiqua" w:cs="Book Antiqua"/>
        </w:rPr>
        <w:t xml:space="preserve"> A, Aten JE, Drake TA, </w:t>
      </w:r>
      <w:proofErr w:type="spellStart"/>
      <w:r>
        <w:rPr>
          <w:rFonts w:ascii="Book Antiqua" w:eastAsia="Book Antiqua" w:hAnsi="Book Antiqua" w:cs="Book Antiqua"/>
        </w:rPr>
        <w:t>Lusis</w:t>
      </w:r>
      <w:proofErr w:type="spellEnd"/>
      <w:r>
        <w:rPr>
          <w:rFonts w:ascii="Book Antiqua" w:eastAsia="Book Antiqua" w:hAnsi="Book Antiqua" w:cs="Book Antiqua"/>
        </w:rPr>
        <w:t xml:space="preserve"> AJ, Horvath S. Weighted gene </w:t>
      </w:r>
      <w:proofErr w:type="spellStart"/>
      <w:r>
        <w:rPr>
          <w:rFonts w:ascii="Book Antiqua" w:eastAsia="Book Antiqua" w:hAnsi="Book Antiqua" w:cs="Book Antiqua"/>
        </w:rPr>
        <w:t>coexpression</w:t>
      </w:r>
      <w:proofErr w:type="spellEnd"/>
      <w:r>
        <w:rPr>
          <w:rFonts w:ascii="Book Antiqua" w:eastAsia="Book Antiqua" w:hAnsi="Book Antiqua" w:cs="Book Antiqua"/>
        </w:rPr>
        <w:t xml:space="preserve"> network analysis strategies applied to mouse weight. </w:t>
      </w:r>
      <w:proofErr w:type="spellStart"/>
      <w:r>
        <w:rPr>
          <w:rFonts w:ascii="Book Antiqua" w:eastAsia="Book Antiqua" w:hAnsi="Book Antiqua" w:cs="Book Antiqua"/>
          <w:i/>
          <w:iCs/>
        </w:rPr>
        <w:t>Mamm</w:t>
      </w:r>
      <w:proofErr w:type="spellEnd"/>
      <w:r>
        <w:rPr>
          <w:rFonts w:ascii="Book Antiqua" w:eastAsia="Book Antiqua" w:hAnsi="Book Antiqua" w:cs="Book Antiqua"/>
          <w:i/>
          <w:iCs/>
        </w:rPr>
        <w:t xml:space="preserve"> Genome</w:t>
      </w:r>
      <w:r>
        <w:rPr>
          <w:rFonts w:ascii="Book Antiqua" w:eastAsia="Book Antiqua" w:hAnsi="Book Antiqua" w:cs="Book Antiqua"/>
        </w:rPr>
        <w:t xml:space="preserve"> 2007; </w:t>
      </w:r>
      <w:r>
        <w:rPr>
          <w:rFonts w:ascii="Book Antiqua" w:eastAsia="Book Antiqua" w:hAnsi="Book Antiqua" w:cs="Book Antiqua"/>
          <w:b/>
          <w:bCs/>
        </w:rPr>
        <w:t>18</w:t>
      </w:r>
      <w:r>
        <w:rPr>
          <w:rFonts w:ascii="Book Antiqua" w:eastAsia="Book Antiqua" w:hAnsi="Book Antiqua" w:cs="Book Antiqua"/>
        </w:rPr>
        <w:t>: 463-472 [PMID: 17668265 DOI: 10.1007/s00335-007-9043-3]</w:t>
      </w:r>
    </w:p>
    <w:p w14:paraId="0CF5CE68"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Mason MJ</w:t>
      </w:r>
      <w:r>
        <w:rPr>
          <w:rFonts w:ascii="Book Antiqua" w:eastAsia="Book Antiqua" w:hAnsi="Book Antiqua" w:cs="Book Antiqua"/>
        </w:rPr>
        <w:t xml:space="preserve">, Fan G, Plath K, Zhou Q, Horvath S. Signed weighted gene co-expression network analysis of transcriptional regulation in murine embryonic stem cells. </w:t>
      </w:r>
      <w:r>
        <w:rPr>
          <w:rFonts w:ascii="Book Antiqua" w:eastAsia="Book Antiqua" w:hAnsi="Book Antiqua" w:cs="Book Antiqua"/>
          <w:i/>
          <w:iCs/>
        </w:rPr>
        <w:t>BMC Genomics</w:t>
      </w:r>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327 [PMID: 19619308 DOI: 10.1186/1471-2164-10-327]</w:t>
      </w:r>
    </w:p>
    <w:p w14:paraId="4CFC29AC"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Saris CG</w:t>
      </w:r>
      <w:r>
        <w:rPr>
          <w:rFonts w:ascii="Book Antiqua" w:eastAsia="Book Antiqua" w:hAnsi="Book Antiqua" w:cs="Book Antiqua"/>
        </w:rPr>
        <w:t xml:space="preserve">, Horvath S, van </w:t>
      </w:r>
      <w:proofErr w:type="spellStart"/>
      <w:r>
        <w:rPr>
          <w:rFonts w:ascii="Book Antiqua" w:eastAsia="Book Antiqua" w:hAnsi="Book Antiqua" w:cs="Book Antiqua"/>
        </w:rPr>
        <w:t>Vught</w:t>
      </w:r>
      <w:proofErr w:type="spellEnd"/>
      <w:r>
        <w:rPr>
          <w:rFonts w:ascii="Book Antiqua" w:eastAsia="Book Antiqua" w:hAnsi="Book Antiqua" w:cs="Book Antiqua"/>
        </w:rPr>
        <w:t xml:space="preserve"> PW, van Es MA, </w:t>
      </w:r>
      <w:proofErr w:type="spellStart"/>
      <w:r>
        <w:rPr>
          <w:rFonts w:ascii="Book Antiqua" w:eastAsia="Book Antiqua" w:hAnsi="Book Antiqua" w:cs="Book Antiqua"/>
        </w:rPr>
        <w:t>Blauw</w:t>
      </w:r>
      <w:proofErr w:type="spellEnd"/>
      <w:r>
        <w:rPr>
          <w:rFonts w:ascii="Book Antiqua" w:eastAsia="Book Antiqua" w:hAnsi="Book Antiqua" w:cs="Book Antiqua"/>
        </w:rPr>
        <w:t xml:space="preserve"> HM, Fuller TF, Langfelder P, DeYoung J, </w:t>
      </w:r>
      <w:proofErr w:type="spellStart"/>
      <w:r>
        <w:rPr>
          <w:rFonts w:ascii="Book Antiqua" w:eastAsia="Book Antiqua" w:hAnsi="Book Antiqua" w:cs="Book Antiqua"/>
        </w:rPr>
        <w:t>Wokke</w:t>
      </w:r>
      <w:proofErr w:type="spellEnd"/>
      <w:r>
        <w:rPr>
          <w:rFonts w:ascii="Book Antiqua" w:eastAsia="Book Antiqua" w:hAnsi="Book Antiqua" w:cs="Book Antiqua"/>
        </w:rPr>
        <w:t xml:space="preserve"> JH, </w:t>
      </w:r>
      <w:proofErr w:type="spellStart"/>
      <w:r>
        <w:rPr>
          <w:rFonts w:ascii="Book Antiqua" w:eastAsia="Book Antiqua" w:hAnsi="Book Antiqua" w:cs="Book Antiqua"/>
        </w:rPr>
        <w:t>Veldink</w:t>
      </w:r>
      <w:proofErr w:type="spellEnd"/>
      <w:r>
        <w:rPr>
          <w:rFonts w:ascii="Book Antiqua" w:eastAsia="Book Antiqua" w:hAnsi="Book Antiqua" w:cs="Book Antiqua"/>
        </w:rPr>
        <w:t xml:space="preserve"> JH, van den Berg LH, </w:t>
      </w:r>
      <w:proofErr w:type="spellStart"/>
      <w:r>
        <w:rPr>
          <w:rFonts w:ascii="Book Antiqua" w:eastAsia="Book Antiqua" w:hAnsi="Book Antiqua" w:cs="Book Antiqua"/>
        </w:rPr>
        <w:t>Ophoff</w:t>
      </w:r>
      <w:proofErr w:type="spellEnd"/>
      <w:r>
        <w:rPr>
          <w:rFonts w:ascii="Book Antiqua" w:eastAsia="Book Antiqua" w:hAnsi="Book Antiqua" w:cs="Book Antiqua"/>
        </w:rPr>
        <w:t xml:space="preserve"> RA. Weighted gene co-expression network analysis of the peripheral blood from Amyotrophic Lateral Sclerosis patients. </w:t>
      </w:r>
      <w:r>
        <w:rPr>
          <w:rFonts w:ascii="Book Antiqua" w:eastAsia="Book Antiqua" w:hAnsi="Book Antiqua" w:cs="Book Antiqua"/>
          <w:i/>
          <w:iCs/>
        </w:rPr>
        <w:t>BMC Genomics</w:t>
      </w:r>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405 [PMID: 19712483 DOI: 10.1186/1471-2164-10-405]</w:t>
      </w:r>
    </w:p>
    <w:p w14:paraId="00D786AD"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Chou WC</w:t>
      </w:r>
      <w:r>
        <w:rPr>
          <w:rFonts w:ascii="Book Antiqua" w:eastAsia="Book Antiqua" w:hAnsi="Book Antiqua" w:cs="Book Antiqua"/>
        </w:rPr>
        <w:t xml:space="preserve">, Cheng AL, </w:t>
      </w:r>
      <w:proofErr w:type="spellStart"/>
      <w:r>
        <w:rPr>
          <w:rFonts w:ascii="Book Antiqua" w:eastAsia="Book Antiqua" w:hAnsi="Book Antiqua" w:cs="Book Antiqua"/>
        </w:rPr>
        <w:t>Brotto</w:t>
      </w:r>
      <w:proofErr w:type="spellEnd"/>
      <w:r>
        <w:rPr>
          <w:rFonts w:ascii="Book Antiqua" w:eastAsia="Book Antiqua" w:hAnsi="Book Antiqua" w:cs="Book Antiqua"/>
        </w:rPr>
        <w:t xml:space="preserve"> M, Chuang CY. Visual gene-network analysis reveals the cancer gene co-expression in human endometrial cancer. </w:t>
      </w:r>
      <w:r>
        <w:rPr>
          <w:rFonts w:ascii="Book Antiqua" w:eastAsia="Book Antiqua" w:hAnsi="Book Antiqua" w:cs="Book Antiqua"/>
          <w:i/>
          <w:iCs/>
        </w:rPr>
        <w:t>BMC Genomics</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300 [PMID: 24758163 DOI: 10.1186/1471-2164-15-300]</w:t>
      </w:r>
    </w:p>
    <w:p w14:paraId="6756507F"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Liu R</w:t>
      </w:r>
      <w:r>
        <w:rPr>
          <w:rFonts w:ascii="Book Antiqua" w:eastAsia="Book Antiqua" w:hAnsi="Book Antiqua" w:cs="Book Antiqua"/>
        </w:rPr>
        <w:t xml:space="preserve">, Cheng Y, Yu J,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QL, Zhou HH. Identification and validation of gene module associated with lung cancer through </w:t>
      </w:r>
      <w:proofErr w:type="spellStart"/>
      <w:r>
        <w:rPr>
          <w:rFonts w:ascii="Book Antiqua" w:eastAsia="Book Antiqua" w:hAnsi="Book Antiqua" w:cs="Book Antiqua"/>
        </w:rPr>
        <w:t>coexpression</w:t>
      </w:r>
      <w:proofErr w:type="spellEnd"/>
      <w:r>
        <w:rPr>
          <w:rFonts w:ascii="Book Antiqua" w:eastAsia="Book Antiqua" w:hAnsi="Book Antiqua" w:cs="Book Antiqua"/>
        </w:rPr>
        <w:t xml:space="preserve"> network analysis. </w:t>
      </w:r>
      <w:r>
        <w:rPr>
          <w:rFonts w:ascii="Book Antiqua" w:eastAsia="Book Antiqua" w:hAnsi="Book Antiqua" w:cs="Book Antiqua"/>
          <w:i/>
          <w:iCs/>
        </w:rPr>
        <w:t>Gene</w:t>
      </w:r>
      <w:r>
        <w:rPr>
          <w:rFonts w:ascii="Book Antiqua" w:eastAsia="Book Antiqua" w:hAnsi="Book Antiqua" w:cs="Book Antiqua"/>
        </w:rPr>
        <w:t xml:space="preserve"> 2015; </w:t>
      </w:r>
      <w:r>
        <w:rPr>
          <w:rFonts w:ascii="Book Antiqua" w:eastAsia="Book Antiqua" w:hAnsi="Book Antiqua" w:cs="Book Antiqua"/>
          <w:b/>
          <w:bCs/>
        </w:rPr>
        <w:t>563</w:t>
      </w:r>
      <w:r>
        <w:rPr>
          <w:rFonts w:ascii="Book Antiqua" w:eastAsia="Book Antiqua" w:hAnsi="Book Antiqua" w:cs="Book Antiqua"/>
        </w:rPr>
        <w:t>: 56-62 [PMID: 25752287 DOI: 10.1016/j.gene.2015.03.008]</w:t>
      </w:r>
    </w:p>
    <w:p w14:paraId="755AF41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Karin N</w:t>
      </w:r>
      <w:r>
        <w:rPr>
          <w:rFonts w:ascii="Book Antiqua" w:eastAsia="Book Antiqua" w:hAnsi="Book Antiqua" w:cs="Book Antiqua"/>
        </w:rPr>
        <w:t xml:space="preserve">, Razon H. Chemokines beyond chemo-attraction: CXCL10 and its significant role in cancer and autoimmunity. </w:t>
      </w:r>
      <w:r>
        <w:rPr>
          <w:rFonts w:ascii="Book Antiqua" w:eastAsia="Book Antiqua" w:hAnsi="Book Antiqua" w:cs="Book Antiqua"/>
          <w:i/>
          <w:iCs/>
        </w:rPr>
        <w:t>Cytokine</w:t>
      </w:r>
      <w:r>
        <w:rPr>
          <w:rFonts w:ascii="Book Antiqua" w:eastAsia="Book Antiqua" w:hAnsi="Book Antiqua" w:cs="Book Antiqua"/>
        </w:rPr>
        <w:t xml:space="preserve"> 2018; </w:t>
      </w:r>
      <w:r>
        <w:rPr>
          <w:rFonts w:ascii="Book Antiqua" w:eastAsia="Book Antiqua" w:hAnsi="Book Antiqua" w:cs="Book Antiqua"/>
          <w:b/>
          <w:bCs/>
        </w:rPr>
        <w:t>109</w:t>
      </w:r>
      <w:r>
        <w:rPr>
          <w:rFonts w:ascii="Book Antiqua" w:eastAsia="Book Antiqua" w:hAnsi="Book Antiqua" w:cs="Book Antiqua"/>
        </w:rPr>
        <w:t>: 24-28 [PMID: 29449068 DOI: 10.1016/j.cyto.2018.02.012]</w:t>
      </w:r>
    </w:p>
    <w:p w14:paraId="3D525D56" w14:textId="77777777" w:rsidR="00DE3F5E" w:rsidRDefault="00000000">
      <w:pPr>
        <w:spacing w:line="360" w:lineRule="auto"/>
        <w:jc w:val="both"/>
        <w:rPr>
          <w:rFonts w:ascii="Book Antiqua" w:hAnsi="Book Antiqua"/>
        </w:rPr>
      </w:pPr>
      <w:r>
        <w:rPr>
          <w:rFonts w:ascii="Book Antiqua" w:eastAsia="Book Antiqua" w:hAnsi="Book Antiqua" w:cs="Book Antiqua"/>
        </w:rPr>
        <w:lastRenderedPageBreak/>
        <w:t xml:space="preserve">32 </w:t>
      </w:r>
      <w:proofErr w:type="spellStart"/>
      <w:r>
        <w:rPr>
          <w:rFonts w:ascii="Book Antiqua" w:eastAsia="Book Antiqua" w:hAnsi="Book Antiqua" w:cs="Book Antiqua"/>
          <w:b/>
          <w:bCs/>
        </w:rPr>
        <w:t>Nagarsheth</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Wicha</w:t>
      </w:r>
      <w:proofErr w:type="spellEnd"/>
      <w:r>
        <w:rPr>
          <w:rFonts w:ascii="Book Antiqua" w:eastAsia="Book Antiqua" w:hAnsi="Book Antiqua" w:cs="Book Antiqua"/>
        </w:rPr>
        <w:t xml:space="preserve"> MS, Zou W. Chemokines in the cancer microenvironment and their relevance in cancer immunotherapy. </w:t>
      </w:r>
      <w:r>
        <w:rPr>
          <w:rFonts w:ascii="Book Antiqua" w:eastAsia="Book Antiqua" w:hAnsi="Book Antiqua" w:cs="Book Antiqua"/>
          <w:i/>
          <w:iCs/>
        </w:rPr>
        <w:t>Nat Rev Immunol</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559-572 [PMID: 28555670 DOI: 10.1038/nri.2017.49]</w:t>
      </w:r>
    </w:p>
    <w:p w14:paraId="1BD37D64"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Reymond N</w:t>
      </w:r>
      <w:r>
        <w:rPr>
          <w:rFonts w:ascii="Book Antiqua" w:eastAsia="Book Antiqua" w:hAnsi="Book Antiqua" w:cs="Book Antiqua"/>
        </w:rPr>
        <w:t xml:space="preserve">, </w:t>
      </w:r>
      <w:proofErr w:type="spellStart"/>
      <w:r>
        <w:rPr>
          <w:rFonts w:ascii="Book Antiqua" w:eastAsia="Book Antiqua" w:hAnsi="Book Antiqua" w:cs="Book Antiqua"/>
        </w:rPr>
        <w:t>d'Água</w:t>
      </w:r>
      <w:proofErr w:type="spellEnd"/>
      <w:r>
        <w:rPr>
          <w:rFonts w:ascii="Book Antiqua" w:eastAsia="Book Antiqua" w:hAnsi="Book Antiqua" w:cs="Book Antiqua"/>
        </w:rPr>
        <w:t xml:space="preserve"> BB, Ridley AJ. Crossing the endothelial barrier during metastasis. </w:t>
      </w:r>
      <w:r>
        <w:rPr>
          <w:rFonts w:ascii="Book Antiqua" w:eastAsia="Book Antiqua" w:hAnsi="Book Antiqua" w:cs="Book Antiqua"/>
          <w:i/>
          <w:iCs/>
        </w:rPr>
        <w:t>Nat Rev Cancer</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858-870 [PMID: 24263189 DOI: 10.1038/nrc3628]</w:t>
      </w:r>
    </w:p>
    <w:p w14:paraId="1B7E344E"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Nibbs</w:t>
      </w:r>
      <w:proofErr w:type="spellEnd"/>
      <w:r>
        <w:rPr>
          <w:rFonts w:ascii="Book Antiqua" w:eastAsia="Book Antiqua" w:hAnsi="Book Antiqua" w:cs="Book Antiqua"/>
          <w:b/>
          <w:bCs/>
        </w:rPr>
        <w:t xml:space="preserve"> RJ</w:t>
      </w:r>
      <w:r>
        <w:rPr>
          <w:rFonts w:ascii="Book Antiqua" w:eastAsia="Book Antiqua" w:hAnsi="Book Antiqua" w:cs="Book Antiqua"/>
        </w:rPr>
        <w:t xml:space="preserve">, Graham GJ. Immune regulation by atypical chemokine receptors. </w:t>
      </w:r>
      <w:r>
        <w:rPr>
          <w:rFonts w:ascii="Book Antiqua" w:eastAsia="Book Antiqua" w:hAnsi="Book Antiqua" w:cs="Book Antiqua"/>
          <w:i/>
          <w:iCs/>
        </w:rPr>
        <w:t>Nat Rev Immunol</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815-829 [PMID: 24319779 DOI: 10.1038/nri3544]</w:t>
      </w:r>
    </w:p>
    <w:p w14:paraId="53A9590B"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Murdoch C</w:t>
      </w:r>
      <w:r>
        <w:rPr>
          <w:rFonts w:ascii="Book Antiqua" w:eastAsia="Book Antiqua" w:hAnsi="Book Antiqua" w:cs="Book Antiqua"/>
        </w:rPr>
        <w:t xml:space="preserve">, </w:t>
      </w:r>
      <w:proofErr w:type="spellStart"/>
      <w:r>
        <w:rPr>
          <w:rFonts w:ascii="Book Antiqua" w:eastAsia="Book Antiqua" w:hAnsi="Book Antiqua" w:cs="Book Antiqua"/>
        </w:rPr>
        <w:t>Muthana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Coffelt</w:t>
      </w:r>
      <w:proofErr w:type="spellEnd"/>
      <w:r>
        <w:rPr>
          <w:rFonts w:ascii="Book Antiqua" w:eastAsia="Book Antiqua" w:hAnsi="Book Antiqua" w:cs="Book Antiqua"/>
        </w:rPr>
        <w:t xml:space="preserve"> SB, Lewis CE. The role of myeloid cells in the promotion of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angiogenesis. </w:t>
      </w:r>
      <w:r>
        <w:rPr>
          <w:rFonts w:ascii="Book Antiqua" w:eastAsia="Book Antiqua" w:hAnsi="Book Antiqua" w:cs="Book Antiqua"/>
          <w:i/>
          <w:iCs/>
        </w:rPr>
        <w:t>Nat Rev Cancer</w:t>
      </w:r>
      <w:r>
        <w:rPr>
          <w:rFonts w:ascii="Book Antiqua" w:eastAsia="Book Antiqua" w:hAnsi="Book Antiqua" w:cs="Book Antiqua"/>
        </w:rPr>
        <w:t xml:space="preserve"> 2008; </w:t>
      </w:r>
      <w:r>
        <w:rPr>
          <w:rFonts w:ascii="Book Antiqua" w:eastAsia="Book Antiqua" w:hAnsi="Book Antiqua" w:cs="Book Antiqua"/>
          <w:b/>
          <w:bCs/>
        </w:rPr>
        <w:t>8</w:t>
      </w:r>
      <w:r>
        <w:rPr>
          <w:rFonts w:ascii="Book Antiqua" w:eastAsia="Book Antiqua" w:hAnsi="Book Antiqua" w:cs="Book Antiqua"/>
        </w:rPr>
        <w:t>: 618-631 [PMID: 18633355 DOI: 10.1038/nrc2444]</w:t>
      </w:r>
    </w:p>
    <w:p w14:paraId="22C9EA7E"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Zumwalt TJ</w:t>
      </w:r>
      <w:r>
        <w:rPr>
          <w:rFonts w:ascii="Book Antiqua" w:eastAsia="Book Antiqua" w:hAnsi="Book Antiqua" w:cs="Book Antiqua"/>
        </w:rPr>
        <w:t xml:space="preserve">, Arnold M, Goel A, Boland CR. Active secretion of CXCL10 and CCL5 from colorectal cancer microenvironments associates with </w:t>
      </w:r>
      <w:proofErr w:type="spellStart"/>
      <w:r>
        <w:rPr>
          <w:rFonts w:ascii="Book Antiqua" w:eastAsia="Book Antiqua" w:hAnsi="Book Antiqua" w:cs="Book Antiqua"/>
        </w:rPr>
        <w:t>GranzymeB</w:t>
      </w:r>
      <w:proofErr w:type="spellEnd"/>
      <w:r>
        <w:rPr>
          <w:rFonts w:ascii="Book Antiqua" w:eastAsia="Book Antiqua" w:hAnsi="Book Antiqua" w:cs="Book Antiqua"/>
        </w:rPr>
        <w:t xml:space="preserve">+ CD8+ T-cell infiltration.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2981-2991 [PMID: 25671296 DOI: 10.18632/oncotarget.3205]</w:t>
      </w:r>
    </w:p>
    <w:p w14:paraId="3735A20A"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37 </w:t>
      </w:r>
      <w:proofErr w:type="spellStart"/>
      <w:r>
        <w:rPr>
          <w:rFonts w:ascii="Book Antiqua" w:eastAsia="Book Antiqua" w:hAnsi="Book Antiqua" w:cs="Book Antiqua"/>
          <w:b/>
          <w:bCs/>
        </w:rPr>
        <w:t>Barreira</w:t>
      </w:r>
      <w:proofErr w:type="spellEnd"/>
      <w:r>
        <w:rPr>
          <w:rFonts w:ascii="Book Antiqua" w:eastAsia="Book Antiqua" w:hAnsi="Book Antiqua" w:cs="Book Antiqua"/>
          <w:b/>
          <w:bCs/>
        </w:rPr>
        <w:t xml:space="preserve"> da Silva R</w:t>
      </w:r>
      <w:r>
        <w:rPr>
          <w:rFonts w:ascii="Book Antiqua" w:eastAsia="Book Antiqua" w:hAnsi="Book Antiqua" w:cs="Book Antiqua"/>
        </w:rPr>
        <w:t xml:space="preserve">, Laird ME, Yatim N, </w:t>
      </w:r>
      <w:proofErr w:type="spellStart"/>
      <w:r>
        <w:rPr>
          <w:rFonts w:ascii="Book Antiqua" w:eastAsia="Book Antiqua" w:hAnsi="Book Antiqua" w:cs="Book Antiqua"/>
        </w:rPr>
        <w:t>Fiette</w:t>
      </w:r>
      <w:proofErr w:type="spellEnd"/>
      <w:r>
        <w:rPr>
          <w:rFonts w:ascii="Book Antiqua" w:eastAsia="Book Antiqua" w:hAnsi="Book Antiqua" w:cs="Book Antiqua"/>
        </w:rPr>
        <w:t xml:space="preserve"> L, Ingersoll MA, Albert ML. </w:t>
      </w:r>
      <w:proofErr w:type="spellStart"/>
      <w:r>
        <w:rPr>
          <w:rFonts w:ascii="Book Antiqua" w:eastAsia="Book Antiqua" w:hAnsi="Book Antiqua" w:cs="Book Antiqua"/>
        </w:rPr>
        <w:t>Dipeptidylpeptidase</w:t>
      </w:r>
      <w:proofErr w:type="spellEnd"/>
      <w:r>
        <w:rPr>
          <w:rFonts w:ascii="Book Antiqua" w:eastAsia="Book Antiqua" w:hAnsi="Book Antiqua" w:cs="Book Antiqua"/>
        </w:rPr>
        <w:t xml:space="preserve"> 4 inhibition enhances lymphocyte trafficking, improving both naturally occurring tumor immunity and immunotherapy. </w:t>
      </w:r>
      <w:r>
        <w:rPr>
          <w:rFonts w:ascii="Book Antiqua" w:eastAsia="Book Antiqua" w:hAnsi="Book Antiqua" w:cs="Book Antiqua"/>
          <w:i/>
          <w:iCs/>
        </w:rPr>
        <w:t>Nat Immunol</w:t>
      </w:r>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850-858 [PMID: 26075911 DOI: 10.1038/ni.3201]</w:t>
      </w:r>
    </w:p>
    <w:p w14:paraId="1F96314D"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Zhao M</w:t>
      </w:r>
      <w:r>
        <w:rPr>
          <w:rFonts w:ascii="Book Antiqua" w:eastAsia="Book Antiqua" w:hAnsi="Book Antiqua" w:cs="Book Antiqua"/>
        </w:rPr>
        <w:t xml:space="preserve">, Ma Q, Xu J, Fu S, Chen L, Wang B, Wu J, Yang L. Combining CXCL10 gene therapy and radiotherapy improved therapeutic efficacy in cervical cancer HeLa cell xenograft tumor models. </w:t>
      </w:r>
      <w:r>
        <w:rPr>
          <w:rFonts w:ascii="Book Antiqua" w:eastAsia="Book Antiqua" w:hAnsi="Book Antiqua" w:cs="Book Antiqua"/>
          <w:i/>
          <w:iCs/>
        </w:rPr>
        <w:t>Oncol Lett</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768-772 [PMID: 26622567 DOI: 10.3892/ol.2015.3281]</w:t>
      </w:r>
    </w:p>
    <w:p w14:paraId="5FEE1E61"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39 </w:t>
      </w:r>
      <w:proofErr w:type="spellStart"/>
      <w:r>
        <w:rPr>
          <w:rFonts w:ascii="Book Antiqua" w:eastAsia="Book Antiqua" w:hAnsi="Book Antiqua" w:cs="Book Antiqua"/>
          <w:b/>
          <w:bCs/>
        </w:rPr>
        <w:t>Bronger</w:t>
      </w:r>
      <w:proofErr w:type="spellEnd"/>
      <w:r>
        <w:rPr>
          <w:rFonts w:ascii="Book Antiqua" w:eastAsia="Book Antiqua" w:hAnsi="Book Antiqua" w:cs="Book Antiqua"/>
          <w:b/>
          <w:bCs/>
        </w:rPr>
        <w:t xml:space="preserve"> H</w:t>
      </w:r>
      <w:r>
        <w:rPr>
          <w:rFonts w:ascii="Book Antiqua" w:eastAsia="Book Antiqua" w:hAnsi="Book Antiqua" w:cs="Book Antiqua"/>
        </w:rPr>
        <w:t xml:space="preserve">, Singer J, </w:t>
      </w:r>
      <w:proofErr w:type="spellStart"/>
      <w:r>
        <w:rPr>
          <w:rFonts w:ascii="Book Antiqua" w:eastAsia="Book Antiqua" w:hAnsi="Book Antiqua" w:cs="Book Antiqua"/>
        </w:rPr>
        <w:t>Windmüller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Reuning</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Zech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Delbridge</w:t>
      </w:r>
      <w:proofErr w:type="spellEnd"/>
      <w:r>
        <w:rPr>
          <w:rFonts w:ascii="Book Antiqua" w:eastAsia="Book Antiqua" w:hAnsi="Book Antiqua" w:cs="Book Antiqua"/>
        </w:rPr>
        <w:t xml:space="preserve"> C, Dorn J, </w:t>
      </w:r>
      <w:proofErr w:type="spellStart"/>
      <w:r>
        <w:rPr>
          <w:rFonts w:ascii="Book Antiqua" w:eastAsia="Book Antiqua" w:hAnsi="Book Antiqua" w:cs="Book Antiqua"/>
        </w:rPr>
        <w:t>Kiechle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Schmalfeldt</w:t>
      </w:r>
      <w:proofErr w:type="spellEnd"/>
      <w:r>
        <w:rPr>
          <w:rFonts w:ascii="Book Antiqua" w:eastAsia="Book Antiqua" w:hAnsi="Book Antiqua" w:cs="Book Antiqua"/>
        </w:rPr>
        <w:t xml:space="preserve"> B, Schmitt M, Avril S. CXCL9 and CXCL10 predict survival and are regulated by cyclooxygenase inhibition in advanced serous ovarian cancer. </w:t>
      </w:r>
      <w:r>
        <w:rPr>
          <w:rFonts w:ascii="Book Antiqua" w:eastAsia="Book Antiqua" w:hAnsi="Book Antiqua" w:cs="Book Antiqua"/>
          <w:i/>
          <w:iCs/>
        </w:rPr>
        <w:t>Br J Cancer</w:t>
      </w:r>
      <w:r>
        <w:rPr>
          <w:rFonts w:ascii="Book Antiqua" w:eastAsia="Book Antiqua" w:hAnsi="Book Antiqua" w:cs="Book Antiqua"/>
        </w:rPr>
        <w:t xml:space="preserve"> 2016; </w:t>
      </w:r>
      <w:r>
        <w:rPr>
          <w:rFonts w:ascii="Book Antiqua" w:eastAsia="Book Antiqua" w:hAnsi="Book Antiqua" w:cs="Book Antiqua"/>
          <w:b/>
          <w:bCs/>
        </w:rPr>
        <w:t>115</w:t>
      </w:r>
      <w:r>
        <w:rPr>
          <w:rFonts w:ascii="Book Antiqua" w:eastAsia="Book Antiqua" w:hAnsi="Book Antiqua" w:cs="Book Antiqua"/>
        </w:rPr>
        <w:t>: 553-563 [PMID: 27490802 DOI: 10.1038/bjc.2016.172]</w:t>
      </w:r>
    </w:p>
    <w:p w14:paraId="4D104D0C"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40 </w:t>
      </w:r>
      <w:proofErr w:type="spellStart"/>
      <w:r>
        <w:rPr>
          <w:rFonts w:ascii="Book Antiqua" w:eastAsia="Book Antiqua" w:hAnsi="Book Antiqua" w:cs="Book Antiqua"/>
          <w:b/>
          <w:bCs/>
        </w:rPr>
        <w:t>Toiyama</w:t>
      </w:r>
      <w:proofErr w:type="spellEnd"/>
      <w:r>
        <w:rPr>
          <w:rFonts w:ascii="Book Antiqua" w:eastAsia="Book Antiqua" w:hAnsi="Book Antiqua" w:cs="Book Antiqua"/>
          <w:b/>
          <w:bCs/>
        </w:rPr>
        <w:t xml:space="preserve"> Y</w:t>
      </w:r>
      <w:r>
        <w:rPr>
          <w:rFonts w:ascii="Book Antiqua" w:eastAsia="Book Antiqua" w:hAnsi="Book Antiqua" w:cs="Book Antiqua"/>
        </w:rPr>
        <w:t xml:space="preserve">, Fujikawa H, Kawamura M, Matsushita K, </w:t>
      </w:r>
      <w:proofErr w:type="spellStart"/>
      <w:r>
        <w:rPr>
          <w:rFonts w:ascii="Book Antiqua" w:eastAsia="Book Antiqua" w:hAnsi="Book Antiqua" w:cs="Book Antiqua"/>
        </w:rPr>
        <w:t>Saigusa</w:t>
      </w:r>
      <w:proofErr w:type="spellEnd"/>
      <w:r>
        <w:rPr>
          <w:rFonts w:ascii="Book Antiqua" w:eastAsia="Book Antiqua" w:hAnsi="Book Antiqua" w:cs="Book Antiqua"/>
        </w:rPr>
        <w:t xml:space="preserve"> S, Tanaka K, Inoue Y, Uchida K, </w:t>
      </w:r>
      <w:proofErr w:type="spellStart"/>
      <w:r>
        <w:rPr>
          <w:rFonts w:ascii="Book Antiqua" w:eastAsia="Book Antiqua" w:hAnsi="Book Antiqua" w:cs="Book Antiqua"/>
        </w:rPr>
        <w:t>Mohri</w:t>
      </w:r>
      <w:proofErr w:type="spellEnd"/>
      <w:r>
        <w:rPr>
          <w:rFonts w:ascii="Book Antiqua" w:eastAsia="Book Antiqua" w:hAnsi="Book Antiqua" w:cs="Book Antiqua"/>
        </w:rPr>
        <w:t xml:space="preserve"> Y, Kusunoki M. Evaluation of CXCL10 as a novel serum marker for predicting liver metastasis and prognosis in colorectal cancer. </w:t>
      </w:r>
      <w:r>
        <w:rPr>
          <w:rFonts w:ascii="Book Antiqua" w:eastAsia="Book Antiqua" w:hAnsi="Book Antiqua" w:cs="Book Antiqua"/>
          <w:i/>
          <w:iCs/>
        </w:rPr>
        <w:t>Int J Oncol</w:t>
      </w:r>
      <w:r>
        <w:rPr>
          <w:rFonts w:ascii="Book Antiqua" w:eastAsia="Book Antiqua" w:hAnsi="Book Antiqua" w:cs="Book Antiqua"/>
        </w:rPr>
        <w:t xml:space="preserve"> 2012; </w:t>
      </w:r>
      <w:r>
        <w:rPr>
          <w:rFonts w:ascii="Book Antiqua" w:eastAsia="Book Antiqua" w:hAnsi="Book Antiqua" w:cs="Book Antiqua"/>
          <w:b/>
          <w:bCs/>
        </w:rPr>
        <w:t>40</w:t>
      </w:r>
      <w:r>
        <w:rPr>
          <w:rFonts w:ascii="Book Antiqua" w:eastAsia="Book Antiqua" w:hAnsi="Book Antiqua" w:cs="Book Antiqua"/>
        </w:rPr>
        <w:t>: 560-566 [PMID: 22038159 DOI: 10.3892/ijo.2011.1247]</w:t>
      </w:r>
    </w:p>
    <w:p w14:paraId="0568AF16" w14:textId="77777777" w:rsidR="00DE3F5E" w:rsidRDefault="00000000">
      <w:pPr>
        <w:spacing w:line="360" w:lineRule="auto"/>
        <w:jc w:val="both"/>
        <w:rPr>
          <w:rFonts w:ascii="Book Antiqua" w:hAnsi="Book Antiqua"/>
        </w:rPr>
      </w:pPr>
      <w:r>
        <w:rPr>
          <w:rFonts w:ascii="Book Antiqua" w:eastAsia="Book Antiqua" w:hAnsi="Book Antiqua" w:cs="Book Antiqua"/>
        </w:rPr>
        <w:lastRenderedPageBreak/>
        <w:t xml:space="preserve">41 </w:t>
      </w:r>
      <w:r>
        <w:rPr>
          <w:rFonts w:ascii="Book Antiqua" w:eastAsia="Book Antiqua" w:hAnsi="Book Antiqua" w:cs="Book Antiqua"/>
          <w:b/>
          <w:bCs/>
        </w:rPr>
        <w:t>Liu M</w:t>
      </w:r>
      <w:r>
        <w:rPr>
          <w:rFonts w:ascii="Book Antiqua" w:eastAsia="Book Antiqua" w:hAnsi="Book Antiqua" w:cs="Book Antiqua"/>
        </w:rPr>
        <w:t xml:space="preserve">, Guo S, Stiles JK. The emerging role of CXCL10 in cancer (Review). </w:t>
      </w:r>
      <w:r>
        <w:rPr>
          <w:rFonts w:ascii="Book Antiqua" w:eastAsia="Book Antiqua" w:hAnsi="Book Antiqua" w:cs="Book Antiqua"/>
          <w:i/>
          <w:iCs/>
        </w:rPr>
        <w:t>Oncol Lett</w:t>
      </w:r>
      <w:r>
        <w:rPr>
          <w:rFonts w:ascii="Book Antiqua" w:eastAsia="Book Antiqua" w:hAnsi="Book Antiqua" w:cs="Book Antiqua"/>
        </w:rPr>
        <w:t xml:space="preserve"> 2011; </w:t>
      </w:r>
      <w:r>
        <w:rPr>
          <w:rFonts w:ascii="Book Antiqua" w:eastAsia="Book Antiqua" w:hAnsi="Book Antiqua" w:cs="Book Antiqua"/>
          <w:b/>
          <w:bCs/>
        </w:rPr>
        <w:t>2</w:t>
      </w:r>
      <w:r>
        <w:rPr>
          <w:rFonts w:ascii="Book Antiqua" w:eastAsia="Book Antiqua" w:hAnsi="Book Antiqua" w:cs="Book Antiqua"/>
        </w:rPr>
        <w:t>: 583-589 [PMID: 22848232 DOI: 10.3892/ol.2011.300]</w:t>
      </w:r>
    </w:p>
    <w:p w14:paraId="1C119DC9"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Flynn MJ</w:t>
      </w:r>
      <w:r>
        <w:rPr>
          <w:rFonts w:ascii="Book Antiqua" w:eastAsia="Book Antiqua" w:hAnsi="Book Antiqua" w:cs="Book Antiqua"/>
        </w:rPr>
        <w:t xml:space="preserve">, Hartley JA. The emerging role of anti-CD25 directed therapies as both immune modulators and targeted agents in cancer.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2017; </w:t>
      </w:r>
      <w:r>
        <w:rPr>
          <w:rFonts w:ascii="Book Antiqua" w:eastAsia="Book Antiqua" w:hAnsi="Book Antiqua" w:cs="Book Antiqua"/>
          <w:b/>
          <w:bCs/>
        </w:rPr>
        <w:t>179</w:t>
      </w:r>
      <w:r>
        <w:rPr>
          <w:rFonts w:ascii="Book Antiqua" w:eastAsia="Book Antiqua" w:hAnsi="Book Antiqua" w:cs="Book Antiqua"/>
        </w:rPr>
        <w:t>: 20-35 [PMID: 28556984 DOI: 10.1111/bjh.14770]</w:t>
      </w:r>
    </w:p>
    <w:p w14:paraId="6ADEE3BC"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43 </w:t>
      </w:r>
      <w:proofErr w:type="spellStart"/>
      <w:r>
        <w:rPr>
          <w:rFonts w:ascii="Book Antiqua" w:eastAsia="Book Antiqua" w:hAnsi="Book Antiqua" w:cs="Book Antiqua"/>
          <w:b/>
          <w:bCs/>
        </w:rPr>
        <w:t>Olejniczak</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Kasprzak</w:t>
      </w:r>
      <w:proofErr w:type="spellEnd"/>
      <w:r>
        <w:rPr>
          <w:rFonts w:ascii="Book Antiqua" w:eastAsia="Book Antiqua" w:hAnsi="Book Antiqua" w:cs="Book Antiqua"/>
        </w:rPr>
        <w:t xml:space="preserve"> A. Biological properties of interleukin 2 and its role in pathogenesis of selected diseases--a review. </w:t>
      </w:r>
      <w:r>
        <w:rPr>
          <w:rFonts w:ascii="Book Antiqua" w:eastAsia="Book Antiqua" w:hAnsi="Book Antiqua" w:cs="Book Antiqua"/>
          <w:i/>
          <w:iCs/>
        </w:rPr>
        <w:t xml:space="preserve">Med Sci </w:t>
      </w:r>
      <w:proofErr w:type="spellStart"/>
      <w:r>
        <w:rPr>
          <w:rFonts w:ascii="Book Antiqua" w:eastAsia="Book Antiqua" w:hAnsi="Book Antiqua" w:cs="Book Antiqua"/>
          <w:i/>
          <w:iCs/>
        </w:rPr>
        <w:t>Monit</w:t>
      </w:r>
      <w:proofErr w:type="spellEnd"/>
      <w:r>
        <w:rPr>
          <w:rFonts w:ascii="Book Antiqua" w:eastAsia="Book Antiqua" w:hAnsi="Book Antiqua" w:cs="Book Antiqua"/>
        </w:rPr>
        <w:t xml:space="preserve"> 2008; </w:t>
      </w:r>
      <w:r>
        <w:rPr>
          <w:rFonts w:ascii="Book Antiqua" w:eastAsia="Book Antiqua" w:hAnsi="Book Antiqua" w:cs="Book Antiqua"/>
          <w:b/>
          <w:bCs/>
        </w:rPr>
        <w:t>14</w:t>
      </w:r>
      <w:r>
        <w:rPr>
          <w:rFonts w:ascii="Book Antiqua" w:eastAsia="Book Antiqua" w:hAnsi="Book Antiqua" w:cs="Book Antiqua"/>
        </w:rPr>
        <w:t>: RA179-RA189 [PMID: 18830208]</w:t>
      </w:r>
    </w:p>
    <w:p w14:paraId="03D39A9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Saito Y</w:t>
      </w:r>
      <w:r>
        <w:rPr>
          <w:rFonts w:ascii="Book Antiqua" w:eastAsia="Book Antiqua" w:hAnsi="Book Antiqua" w:cs="Book Antiqua"/>
        </w:rPr>
        <w:t xml:space="preserve">, Kitamura H, </w:t>
      </w:r>
      <w:proofErr w:type="spellStart"/>
      <w:r>
        <w:rPr>
          <w:rFonts w:ascii="Book Antiqua" w:eastAsia="Book Antiqua" w:hAnsi="Book Antiqua" w:cs="Book Antiqua"/>
        </w:rPr>
        <w:t>Hijikata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Tomizawa-Murasawa</w:t>
      </w:r>
      <w:proofErr w:type="spellEnd"/>
      <w:r>
        <w:rPr>
          <w:rFonts w:ascii="Book Antiqua" w:eastAsia="Book Antiqua" w:hAnsi="Book Antiqua" w:cs="Book Antiqua"/>
        </w:rPr>
        <w:t xml:space="preserve"> M, Tanaka S, Takagi S, Uchida N, Suzuki N, Sone A, </w:t>
      </w:r>
      <w:proofErr w:type="spellStart"/>
      <w:r>
        <w:rPr>
          <w:rFonts w:ascii="Book Antiqua" w:eastAsia="Book Antiqua" w:hAnsi="Book Antiqua" w:cs="Book Antiqua"/>
        </w:rPr>
        <w:t>Najima</w:t>
      </w:r>
      <w:proofErr w:type="spellEnd"/>
      <w:r>
        <w:rPr>
          <w:rFonts w:ascii="Book Antiqua" w:eastAsia="Book Antiqua" w:hAnsi="Book Antiqua" w:cs="Book Antiqua"/>
        </w:rPr>
        <w:t xml:space="preserve"> Y, Ozawa H, Wake A, Taniguchi S, Shultz LD, Ohara O, Ishikawa F. Identification of therapeutic targets for quiescent, chemotherapy-resistant human leukemia stem cells. </w:t>
      </w:r>
      <w:r>
        <w:rPr>
          <w:rFonts w:ascii="Book Antiqua" w:eastAsia="Book Antiqua" w:hAnsi="Book Antiqua" w:cs="Book Antiqua"/>
          <w:i/>
          <w:iCs/>
        </w:rPr>
        <w:t xml:space="preserve">Sci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2010; </w:t>
      </w:r>
      <w:r>
        <w:rPr>
          <w:rFonts w:ascii="Book Antiqua" w:eastAsia="Book Antiqua" w:hAnsi="Book Antiqua" w:cs="Book Antiqua"/>
          <w:b/>
          <w:bCs/>
        </w:rPr>
        <w:t>2</w:t>
      </w:r>
      <w:r>
        <w:rPr>
          <w:rFonts w:ascii="Book Antiqua" w:eastAsia="Book Antiqua" w:hAnsi="Book Antiqua" w:cs="Book Antiqua"/>
        </w:rPr>
        <w:t>: 17ra9 [PMID: 20371479 DOI: 10.1126/scitranslmed.3000349]</w:t>
      </w:r>
    </w:p>
    <w:p w14:paraId="67DE268F"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45 </w:t>
      </w:r>
      <w:proofErr w:type="spellStart"/>
      <w:r>
        <w:rPr>
          <w:rFonts w:ascii="Book Antiqua" w:eastAsia="Book Antiqua" w:hAnsi="Book Antiqua" w:cs="Book Antiqua"/>
          <w:b/>
          <w:bCs/>
        </w:rPr>
        <w:t>Sadovnik</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Hoelbl-Kovacic</w:t>
      </w:r>
      <w:proofErr w:type="spellEnd"/>
      <w:r>
        <w:rPr>
          <w:rFonts w:ascii="Book Antiqua" w:eastAsia="Book Antiqua" w:hAnsi="Book Antiqua" w:cs="Book Antiqua"/>
        </w:rPr>
        <w:t xml:space="preserve"> A, Herrmann H, </w:t>
      </w:r>
      <w:proofErr w:type="spellStart"/>
      <w:r>
        <w:rPr>
          <w:rFonts w:ascii="Book Antiqua" w:eastAsia="Book Antiqua" w:hAnsi="Book Antiqua" w:cs="Book Antiqua"/>
        </w:rPr>
        <w:t>Eisenwort</w:t>
      </w:r>
      <w:proofErr w:type="spellEnd"/>
      <w:r>
        <w:rPr>
          <w:rFonts w:ascii="Book Antiqua" w:eastAsia="Book Antiqua" w:hAnsi="Book Antiqua" w:cs="Book Antiqua"/>
        </w:rPr>
        <w:t xml:space="preserve"> G, Cerny-</w:t>
      </w:r>
      <w:proofErr w:type="spellStart"/>
      <w:r>
        <w:rPr>
          <w:rFonts w:ascii="Book Antiqua" w:eastAsia="Book Antiqua" w:hAnsi="Book Antiqua" w:cs="Book Antiqua"/>
        </w:rPr>
        <w:t>Reiterer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Warsch</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Hoermann</w:t>
      </w:r>
      <w:proofErr w:type="spellEnd"/>
      <w:r>
        <w:rPr>
          <w:rFonts w:ascii="Book Antiqua" w:eastAsia="Book Antiqua" w:hAnsi="Book Antiqua" w:cs="Book Antiqua"/>
        </w:rPr>
        <w:t xml:space="preserve"> G, Greiner G, Blatt K, Peter B, </w:t>
      </w:r>
      <w:proofErr w:type="spellStart"/>
      <w:r>
        <w:rPr>
          <w:rFonts w:ascii="Book Antiqua" w:eastAsia="Book Antiqua" w:hAnsi="Book Antiqua" w:cs="Book Antiqua"/>
        </w:rPr>
        <w:t>Stefanzl</w:t>
      </w:r>
      <w:proofErr w:type="spellEnd"/>
      <w:r>
        <w:rPr>
          <w:rFonts w:ascii="Book Antiqua" w:eastAsia="Book Antiqua" w:hAnsi="Book Antiqua" w:cs="Book Antiqua"/>
        </w:rPr>
        <w:t xml:space="preserve"> G, Berger D, </w:t>
      </w:r>
      <w:proofErr w:type="spellStart"/>
      <w:r>
        <w:rPr>
          <w:rFonts w:ascii="Book Antiqua" w:eastAsia="Book Antiqua" w:hAnsi="Book Antiqua" w:cs="Book Antiqua"/>
        </w:rPr>
        <w:t>Bilban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Herndlhofer</w:t>
      </w:r>
      <w:proofErr w:type="spellEnd"/>
      <w:r>
        <w:rPr>
          <w:rFonts w:ascii="Book Antiqua" w:eastAsia="Book Antiqua" w:hAnsi="Book Antiqua" w:cs="Book Antiqua"/>
        </w:rPr>
        <w:t xml:space="preserve"> S, Sill H, </w:t>
      </w:r>
      <w:proofErr w:type="spellStart"/>
      <w:r>
        <w:rPr>
          <w:rFonts w:ascii="Book Antiqua" w:eastAsia="Book Antiqua" w:hAnsi="Book Antiqua" w:cs="Book Antiqua"/>
        </w:rPr>
        <w:t>Sperr</w:t>
      </w:r>
      <w:proofErr w:type="spellEnd"/>
      <w:r>
        <w:rPr>
          <w:rFonts w:ascii="Book Antiqua" w:eastAsia="Book Antiqua" w:hAnsi="Book Antiqua" w:cs="Book Antiqua"/>
        </w:rPr>
        <w:t xml:space="preserve"> WR, </w:t>
      </w:r>
      <w:proofErr w:type="spellStart"/>
      <w:r>
        <w:rPr>
          <w:rFonts w:ascii="Book Antiqua" w:eastAsia="Book Antiqua" w:hAnsi="Book Antiqua" w:cs="Book Antiqua"/>
        </w:rPr>
        <w:t>Streubel</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Mannhalter</w:t>
      </w:r>
      <w:proofErr w:type="spellEnd"/>
      <w:r>
        <w:rPr>
          <w:rFonts w:ascii="Book Antiqua" w:eastAsia="Book Antiqua" w:hAnsi="Book Antiqua" w:cs="Book Antiqua"/>
        </w:rPr>
        <w:t xml:space="preserve"> C, Holyoake TL, </w:t>
      </w:r>
      <w:proofErr w:type="spellStart"/>
      <w:r>
        <w:rPr>
          <w:rFonts w:ascii="Book Antiqua" w:eastAsia="Book Antiqua" w:hAnsi="Book Antiqua" w:cs="Book Antiqua"/>
        </w:rPr>
        <w:t>Sexl</w:t>
      </w:r>
      <w:proofErr w:type="spellEnd"/>
      <w:r>
        <w:rPr>
          <w:rFonts w:ascii="Book Antiqua" w:eastAsia="Book Antiqua" w:hAnsi="Book Antiqua" w:cs="Book Antiqua"/>
        </w:rPr>
        <w:t xml:space="preserve"> V, Valent P. Identification of CD25 as STAT5-Dependent Growth Regulator of Leukemic Stem Cells in Ph+ CML. </w:t>
      </w:r>
      <w:r>
        <w:rPr>
          <w:rFonts w:ascii="Book Antiqua" w:eastAsia="Book Antiqua" w:hAnsi="Book Antiqua" w:cs="Book Antiqua"/>
          <w:i/>
          <w:iCs/>
        </w:rPr>
        <w:t>Clin Cancer Res</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2051-2061 [PMID: 26607600 DOI: 10.1158/1078-0432.CCR-15-0767]</w:t>
      </w:r>
    </w:p>
    <w:p w14:paraId="507A336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Kobayashi CI</w:t>
      </w:r>
      <w:r>
        <w:rPr>
          <w:rFonts w:ascii="Book Antiqua" w:eastAsia="Book Antiqua" w:hAnsi="Book Antiqua" w:cs="Book Antiqua"/>
        </w:rPr>
        <w:t xml:space="preserve">, </w:t>
      </w:r>
      <w:proofErr w:type="spellStart"/>
      <w:r>
        <w:rPr>
          <w:rFonts w:ascii="Book Antiqua" w:eastAsia="Book Antiqua" w:hAnsi="Book Antiqua" w:cs="Book Antiqua"/>
        </w:rPr>
        <w:t>Takubo</w:t>
      </w:r>
      <w:proofErr w:type="spellEnd"/>
      <w:r>
        <w:rPr>
          <w:rFonts w:ascii="Book Antiqua" w:eastAsia="Book Antiqua" w:hAnsi="Book Antiqua" w:cs="Book Antiqua"/>
        </w:rPr>
        <w:t xml:space="preserve"> K, Kobayashi H, Nakamura-</w:t>
      </w:r>
      <w:proofErr w:type="spellStart"/>
      <w:r>
        <w:rPr>
          <w:rFonts w:ascii="Book Antiqua" w:eastAsia="Book Antiqua" w:hAnsi="Book Antiqua" w:cs="Book Antiqua"/>
        </w:rPr>
        <w:t>Ishizu</w:t>
      </w:r>
      <w:proofErr w:type="spellEnd"/>
      <w:r>
        <w:rPr>
          <w:rFonts w:ascii="Book Antiqua" w:eastAsia="Book Antiqua" w:hAnsi="Book Antiqua" w:cs="Book Antiqua"/>
        </w:rPr>
        <w:t xml:space="preserve"> A, Honda H, Kataoka K, Kumano K, Akiyama H, </w:t>
      </w:r>
      <w:proofErr w:type="spellStart"/>
      <w:r>
        <w:rPr>
          <w:rFonts w:ascii="Book Antiqua" w:eastAsia="Book Antiqua" w:hAnsi="Book Antiqua" w:cs="Book Antiqua"/>
        </w:rPr>
        <w:t>Sudo</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Kurokawa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Suda</w:t>
      </w:r>
      <w:proofErr w:type="spellEnd"/>
      <w:r>
        <w:rPr>
          <w:rFonts w:ascii="Book Antiqua" w:eastAsia="Book Antiqua" w:hAnsi="Book Antiqua" w:cs="Book Antiqua"/>
        </w:rPr>
        <w:t xml:space="preserve"> T. The IL-2/CD25 axis maintains distinct subsets of chronic myeloid leukemia-initiating cells. </w:t>
      </w:r>
      <w:r>
        <w:rPr>
          <w:rFonts w:ascii="Book Antiqua" w:eastAsia="Book Antiqua" w:hAnsi="Book Antiqua" w:cs="Book Antiqua"/>
          <w:i/>
          <w:iCs/>
        </w:rPr>
        <w:t>Blood</w:t>
      </w:r>
      <w:r>
        <w:rPr>
          <w:rFonts w:ascii="Book Antiqua" w:eastAsia="Book Antiqua" w:hAnsi="Book Antiqua" w:cs="Book Antiqua"/>
        </w:rPr>
        <w:t xml:space="preserve"> 2014; </w:t>
      </w:r>
      <w:r>
        <w:rPr>
          <w:rFonts w:ascii="Book Antiqua" w:eastAsia="Book Antiqua" w:hAnsi="Book Antiqua" w:cs="Book Antiqua"/>
          <w:b/>
          <w:bCs/>
        </w:rPr>
        <w:t>123</w:t>
      </w:r>
      <w:r>
        <w:rPr>
          <w:rFonts w:ascii="Book Antiqua" w:eastAsia="Book Antiqua" w:hAnsi="Book Antiqua" w:cs="Book Antiqua"/>
        </w:rPr>
        <w:t>: 2540-2549 [PMID: 24574458 DOI: 10.1182/blood-2013-07-517847]</w:t>
      </w:r>
    </w:p>
    <w:p w14:paraId="7B1224F8"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Fell G</w:t>
      </w:r>
      <w:r>
        <w:rPr>
          <w:rFonts w:ascii="Book Antiqua" w:eastAsia="Book Antiqua" w:hAnsi="Book Antiqua" w:cs="Book Antiqua"/>
        </w:rPr>
        <w:t xml:space="preserve">, Rosko AE, Abel GA, Dumontier C, </w:t>
      </w:r>
      <w:proofErr w:type="spellStart"/>
      <w:r>
        <w:rPr>
          <w:rFonts w:ascii="Book Antiqua" w:eastAsia="Book Antiqua" w:hAnsi="Book Antiqua" w:cs="Book Antiqua"/>
        </w:rPr>
        <w:t>Higby</w:t>
      </w:r>
      <w:proofErr w:type="spellEnd"/>
      <w:r>
        <w:rPr>
          <w:rFonts w:ascii="Book Antiqua" w:eastAsia="Book Antiqua" w:hAnsi="Book Antiqua" w:cs="Book Antiqua"/>
        </w:rPr>
        <w:t xml:space="preserve"> KJ, Murillo A, </w:t>
      </w:r>
      <w:proofErr w:type="spellStart"/>
      <w:r>
        <w:rPr>
          <w:rFonts w:ascii="Book Antiqua" w:eastAsia="Book Antiqua" w:hAnsi="Book Antiqua" w:cs="Book Antiqua"/>
        </w:rPr>
        <w:t>Neuberg</w:t>
      </w:r>
      <w:proofErr w:type="spellEnd"/>
      <w:r>
        <w:rPr>
          <w:rFonts w:ascii="Book Antiqua" w:eastAsia="Book Antiqua" w:hAnsi="Book Antiqua" w:cs="Book Antiqua"/>
        </w:rPr>
        <w:t xml:space="preserve"> DS, </w:t>
      </w:r>
      <w:proofErr w:type="spellStart"/>
      <w:r>
        <w:rPr>
          <w:rFonts w:ascii="Book Antiqua" w:eastAsia="Book Antiqua" w:hAnsi="Book Antiqua" w:cs="Book Antiqua"/>
        </w:rPr>
        <w:t>Burd</w:t>
      </w:r>
      <w:proofErr w:type="spellEnd"/>
      <w:r>
        <w:rPr>
          <w:rFonts w:ascii="Book Antiqua" w:eastAsia="Book Antiqua" w:hAnsi="Book Antiqua" w:cs="Book Antiqua"/>
        </w:rPr>
        <w:t xml:space="preserve"> CE, Lane AA. Peripheral blood CD3(+) T-cell gene expression biomarkers correlate with clinical frailty in patients with </w:t>
      </w:r>
      <w:proofErr w:type="spellStart"/>
      <w:r>
        <w:rPr>
          <w:rFonts w:ascii="Book Antiqua" w:eastAsia="Book Antiqua" w:hAnsi="Book Antiqua" w:cs="Book Antiqua"/>
        </w:rPr>
        <w:t>haematological</w:t>
      </w:r>
      <w:proofErr w:type="spellEnd"/>
      <w:r>
        <w:rPr>
          <w:rFonts w:ascii="Book Antiqua" w:eastAsia="Book Antiqua" w:hAnsi="Book Antiqua" w:cs="Book Antiqua"/>
        </w:rPr>
        <w:t xml:space="preserve"> malignancies.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2022; </w:t>
      </w:r>
      <w:r>
        <w:rPr>
          <w:rFonts w:ascii="Book Antiqua" w:eastAsia="Book Antiqua" w:hAnsi="Book Antiqua" w:cs="Book Antiqua"/>
          <w:b/>
          <w:bCs/>
        </w:rPr>
        <w:t>199</w:t>
      </w:r>
      <w:r>
        <w:rPr>
          <w:rFonts w:ascii="Book Antiqua" w:eastAsia="Book Antiqua" w:hAnsi="Book Antiqua" w:cs="Book Antiqua"/>
        </w:rPr>
        <w:t>: 100-105 [PMID: 35766906 DOI: 10.1111/bjh.18336]</w:t>
      </w:r>
    </w:p>
    <w:p w14:paraId="02212D4B"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Du W</w:t>
      </w:r>
      <w:r>
        <w:rPr>
          <w:rFonts w:ascii="Book Antiqua" w:eastAsia="Book Antiqua" w:hAnsi="Book Antiqua" w:cs="Book Antiqua"/>
        </w:rPr>
        <w:t xml:space="preserve">, He J, Zhou W, Shu S, Li J, Liu W, Deng Y, Lu C, Lin S, Ma Y, He Y, Zheng J, Zhu J, Bai L, Li X, Yao J, Hu D, Gu S, Li H, Guo A, Huang S, Feng X, Hu D. High IL2RA mRNA expression is an independent adverse prognostic biomarker in core binding </w:t>
      </w:r>
      <w:r>
        <w:rPr>
          <w:rFonts w:ascii="Book Antiqua" w:eastAsia="Book Antiqua" w:hAnsi="Book Antiqua" w:cs="Book Antiqua"/>
        </w:rPr>
        <w:lastRenderedPageBreak/>
        <w:t xml:space="preserve">factor and intermediate-risk acute myeloid leukemia.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191 [PMID: 31171000 DOI: 10.1186/s12967-019-1926-z]</w:t>
      </w:r>
    </w:p>
    <w:p w14:paraId="4DD338A3"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Raghav K</w:t>
      </w:r>
      <w:r>
        <w:rPr>
          <w:rFonts w:ascii="Book Antiqua" w:eastAsia="Book Antiqua" w:hAnsi="Book Antiqua" w:cs="Book Antiqua"/>
        </w:rPr>
        <w:t xml:space="preserve">, Hwang H, </w:t>
      </w:r>
      <w:proofErr w:type="spellStart"/>
      <w:r>
        <w:rPr>
          <w:rFonts w:ascii="Book Antiqua" w:eastAsia="Book Antiqua" w:hAnsi="Book Antiqua" w:cs="Book Antiqua"/>
        </w:rPr>
        <w:t>Jácome</w:t>
      </w:r>
      <w:proofErr w:type="spellEnd"/>
      <w:r>
        <w:rPr>
          <w:rFonts w:ascii="Book Antiqua" w:eastAsia="Book Antiqua" w:hAnsi="Book Antiqua" w:cs="Book Antiqua"/>
        </w:rPr>
        <w:t xml:space="preserve"> AA, Bhang E, Willett A, Huey RW, Dhillon NP, </w:t>
      </w:r>
      <w:proofErr w:type="spellStart"/>
      <w:r>
        <w:rPr>
          <w:rFonts w:ascii="Book Antiqua" w:eastAsia="Book Antiqua" w:hAnsi="Book Antiqua" w:cs="Book Antiqua"/>
        </w:rPr>
        <w:t>Modha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Smaglo</w:t>
      </w:r>
      <w:proofErr w:type="spellEnd"/>
      <w:r>
        <w:rPr>
          <w:rFonts w:ascii="Book Antiqua" w:eastAsia="Book Antiqua" w:hAnsi="Book Antiqua" w:cs="Book Antiqua"/>
        </w:rPr>
        <w:t xml:space="preserve"> B, Matamoros A Jr, Estrella JS, </w:t>
      </w:r>
      <w:proofErr w:type="spellStart"/>
      <w:r>
        <w:rPr>
          <w:rFonts w:ascii="Book Antiqua" w:eastAsia="Book Antiqua" w:hAnsi="Book Antiqua" w:cs="Book Antiqua"/>
        </w:rPr>
        <w:t>Jao</w:t>
      </w:r>
      <w:proofErr w:type="spellEnd"/>
      <w:r>
        <w:rPr>
          <w:rFonts w:ascii="Book Antiqua" w:eastAsia="Book Antiqua" w:hAnsi="Book Antiqua" w:cs="Book Antiqua"/>
        </w:rPr>
        <w:t xml:space="preserve"> J, Overman MJ, Wang X, Greco FA, Loree JM, </w:t>
      </w:r>
      <w:proofErr w:type="spellStart"/>
      <w:r>
        <w:rPr>
          <w:rFonts w:ascii="Book Antiqua" w:eastAsia="Book Antiqua" w:hAnsi="Book Antiqua" w:cs="Book Antiqua"/>
        </w:rPr>
        <w:t>Varadhachary</w:t>
      </w:r>
      <w:proofErr w:type="spellEnd"/>
      <w:r>
        <w:rPr>
          <w:rFonts w:ascii="Book Antiqua" w:eastAsia="Book Antiqua" w:hAnsi="Book Antiqua" w:cs="Book Antiqua"/>
        </w:rPr>
        <w:t xml:space="preserve"> GR. Development and Validation of a Novel Nomogram for Individualized Prediction of Survival in Cancer of Unknown Primary.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3414-3421 [PMID: 33858857 DOI: 10.1158/1078-0432.CCR-20-4117]</w:t>
      </w:r>
    </w:p>
    <w:p w14:paraId="3B30AD5E" w14:textId="77777777" w:rsidR="00DE3F5E" w:rsidRDefault="00DE3F5E">
      <w:pPr>
        <w:spacing w:line="360" w:lineRule="auto"/>
        <w:jc w:val="both"/>
        <w:rPr>
          <w:rFonts w:ascii="Book Antiqua" w:hAnsi="Book Antiqua"/>
        </w:rPr>
        <w:sectPr w:rsidR="00DE3F5E">
          <w:pgSz w:w="12240" w:h="15840"/>
          <w:pgMar w:top="1440" w:right="1440" w:bottom="1440" w:left="1440" w:header="720" w:footer="720" w:gutter="0"/>
          <w:cols w:space="720"/>
          <w:docGrid w:linePitch="360"/>
        </w:sectPr>
      </w:pPr>
    </w:p>
    <w:p w14:paraId="5577CC0F"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FDC3E47"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Institutional review board statement is not applied to our manuscript.</w:t>
      </w:r>
    </w:p>
    <w:p w14:paraId="6F4E1A08" w14:textId="77777777" w:rsidR="00DE3F5E" w:rsidRDefault="00DE3F5E">
      <w:pPr>
        <w:spacing w:line="360" w:lineRule="auto"/>
        <w:jc w:val="both"/>
        <w:rPr>
          <w:rFonts w:ascii="Book Antiqua" w:hAnsi="Book Antiqua"/>
        </w:rPr>
      </w:pPr>
    </w:p>
    <w:p w14:paraId="2249A902"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Institutional animal care and use committee statement is not applied to our manuscript.</w:t>
      </w:r>
    </w:p>
    <w:p w14:paraId="7EE56E31" w14:textId="77777777" w:rsidR="00DE3F5E" w:rsidRDefault="00DE3F5E">
      <w:pPr>
        <w:spacing w:line="360" w:lineRule="auto"/>
        <w:jc w:val="both"/>
        <w:rPr>
          <w:rFonts w:ascii="Book Antiqua" w:hAnsi="Book Antiqua"/>
        </w:rPr>
      </w:pPr>
    </w:p>
    <w:p w14:paraId="42C13E0B"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authors declare that they have no conflicts of interest and have never published the manuscript.</w:t>
      </w:r>
    </w:p>
    <w:p w14:paraId="0A7609BC" w14:textId="77777777" w:rsidR="00DE3F5E" w:rsidRDefault="00DE3F5E">
      <w:pPr>
        <w:spacing w:line="360" w:lineRule="auto"/>
        <w:jc w:val="both"/>
        <w:rPr>
          <w:rFonts w:ascii="Book Antiqua" w:hAnsi="Book Antiqua"/>
        </w:rPr>
      </w:pPr>
    </w:p>
    <w:p w14:paraId="6D602DB0"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datasets analyzed (GSE4475 and GSE69051) during this study are publicly available in the GEO database (https://www.ncbi.nlm.nih.gov/geo/), the original contributions presented in this study are included in the article/Supplementary material, further inquiries can be directed to the corresponding author(</w:t>
      </w:r>
      <w:hyperlink r:id="rId10" w:history="1">
        <w:r>
          <w:rPr>
            <w:rFonts w:ascii="Book Antiqua" w:eastAsia="Book Antiqua" w:hAnsi="Book Antiqua" w:cs="Book Antiqua"/>
            <w:color w:val="000000"/>
            <w:u w:color="0000EE"/>
          </w:rPr>
          <w:t>yangjigang@ccmu.edu.cn</w:t>
        </w:r>
      </w:hyperlink>
      <w:r>
        <w:rPr>
          <w:rFonts w:ascii="Book Antiqua" w:eastAsia="Book Antiqua" w:hAnsi="Book Antiqua" w:cs="Book Antiqua"/>
          <w:color w:val="000000"/>
        </w:rPr>
        <w:t>).</w:t>
      </w:r>
    </w:p>
    <w:p w14:paraId="455EAEA7" w14:textId="77777777" w:rsidR="004A608C" w:rsidRDefault="004A608C" w:rsidP="004A608C">
      <w:pPr>
        <w:spacing w:line="360" w:lineRule="auto"/>
        <w:jc w:val="both"/>
      </w:pPr>
    </w:p>
    <w:p w14:paraId="1DC5A237" w14:textId="5C5F1801" w:rsidR="00DE3F5E" w:rsidRDefault="004A608C" w:rsidP="004A608C">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1D4D037" w14:textId="77777777" w:rsidR="004A608C" w:rsidRDefault="004A608C" w:rsidP="004A608C">
      <w:pPr>
        <w:spacing w:line="360" w:lineRule="auto"/>
        <w:jc w:val="both"/>
        <w:rPr>
          <w:rFonts w:ascii="Book Antiqua" w:hAnsi="Book Antiqua"/>
        </w:rPr>
      </w:pPr>
    </w:p>
    <w:p w14:paraId="41ECD366"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76CB78" w14:textId="77777777" w:rsidR="00DE3F5E" w:rsidRDefault="00DE3F5E">
      <w:pPr>
        <w:spacing w:line="360" w:lineRule="auto"/>
        <w:jc w:val="both"/>
        <w:rPr>
          <w:rFonts w:ascii="Book Antiqua" w:hAnsi="Book Antiqua"/>
        </w:rPr>
      </w:pPr>
    </w:p>
    <w:p w14:paraId="29688526" w14:textId="77777777" w:rsidR="00DE3F5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9C8D261" w14:textId="77777777" w:rsidR="00DE3F5E" w:rsidRDefault="00DE3F5E">
      <w:pPr>
        <w:spacing w:line="360" w:lineRule="auto"/>
        <w:jc w:val="both"/>
        <w:rPr>
          <w:rFonts w:ascii="Book Antiqua" w:hAnsi="Book Antiqua"/>
        </w:rPr>
      </w:pPr>
    </w:p>
    <w:p w14:paraId="183BA955"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3DBF067" w14:textId="77777777" w:rsidR="00DE3F5E" w:rsidRDefault="00DE3F5E">
      <w:pPr>
        <w:spacing w:line="360" w:lineRule="auto"/>
        <w:jc w:val="both"/>
        <w:rPr>
          <w:rFonts w:ascii="Book Antiqua" w:hAnsi="Book Antiqua"/>
        </w:rPr>
      </w:pPr>
    </w:p>
    <w:p w14:paraId="67A2870B"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19, 2023</w:t>
      </w:r>
    </w:p>
    <w:p w14:paraId="612392DA"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24, 2023</w:t>
      </w:r>
    </w:p>
    <w:p w14:paraId="2CC59794" w14:textId="50CE4285"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186B1D" w:rsidRPr="001868E2">
        <w:rPr>
          <w:rFonts w:ascii="Book Antiqua" w:eastAsia="Book Antiqua" w:hAnsi="Book Antiqua" w:cs="Book Antiqua"/>
        </w:rPr>
        <w:t>September 18, 2023</w:t>
      </w:r>
    </w:p>
    <w:p w14:paraId="3354CF33" w14:textId="77777777" w:rsidR="00DE3F5E" w:rsidRDefault="00DE3F5E">
      <w:pPr>
        <w:spacing w:line="360" w:lineRule="auto"/>
        <w:jc w:val="both"/>
        <w:rPr>
          <w:rFonts w:ascii="Book Antiqua" w:hAnsi="Book Antiqua"/>
        </w:rPr>
      </w:pPr>
    </w:p>
    <w:p w14:paraId="579DA77A"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562EC5E4"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B6A9C1C"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3F3C7AC" w14:textId="77777777" w:rsidR="00DE3F5E" w:rsidRDefault="00000000">
      <w:pPr>
        <w:spacing w:line="360" w:lineRule="auto"/>
        <w:jc w:val="both"/>
        <w:rPr>
          <w:rFonts w:ascii="Book Antiqua" w:hAnsi="Book Antiqua"/>
        </w:rPr>
      </w:pPr>
      <w:r>
        <w:rPr>
          <w:rFonts w:ascii="Book Antiqua" w:eastAsia="Book Antiqua" w:hAnsi="Book Antiqua" w:cs="Book Antiqua"/>
        </w:rPr>
        <w:t>Grade A (Excellent): A</w:t>
      </w:r>
    </w:p>
    <w:p w14:paraId="5A3FE1BB" w14:textId="77777777" w:rsidR="00DE3F5E" w:rsidRDefault="00000000">
      <w:pPr>
        <w:spacing w:line="360" w:lineRule="auto"/>
        <w:jc w:val="both"/>
        <w:rPr>
          <w:rFonts w:ascii="Book Antiqua" w:hAnsi="Book Antiqua"/>
        </w:rPr>
      </w:pPr>
      <w:r>
        <w:rPr>
          <w:rFonts w:ascii="Book Antiqua" w:eastAsia="Book Antiqua" w:hAnsi="Book Antiqua" w:cs="Book Antiqua"/>
        </w:rPr>
        <w:t>Grade B (Very good): 0</w:t>
      </w:r>
    </w:p>
    <w:p w14:paraId="5FC3B160" w14:textId="77777777" w:rsidR="00DE3F5E" w:rsidRDefault="00000000">
      <w:pPr>
        <w:spacing w:line="360" w:lineRule="auto"/>
        <w:jc w:val="both"/>
        <w:rPr>
          <w:rFonts w:ascii="Book Antiqua" w:hAnsi="Book Antiqua"/>
        </w:rPr>
      </w:pPr>
      <w:r>
        <w:rPr>
          <w:rFonts w:ascii="Book Antiqua" w:eastAsia="Book Antiqua" w:hAnsi="Book Antiqua" w:cs="Book Antiqua"/>
        </w:rPr>
        <w:t>Grade C (Good): 0</w:t>
      </w:r>
    </w:p>
    <w:p w14:paraId="7178A609" w14:textId="77777777" w:rsidR="00DE3F5E" w:rsidRDefault="00000000">
      <w:pPr>
        <w:spacing w:line="360" w:lineRule="auto"/>
        <w:jc w:val="both"/>
        <w:rPr>
          <w:rFonts w:ascii="Book Antiqua" w:hAnsi="Book Antiqua"/>
        </w:rPr>
      </w:pPr>
      <w:r>
        <w:rPr>
          <w:rFonts w:ascii="Book Antiqua" w:eastAsia="Book Antiqua" w:hAnsi="Book Antiqua" w:cs="Book Antiqua"/>
        </w:rPr>
        <w:t>Grade D (Fair): D</w:t>
      </w:r>
    </w:p>
    <w:p w14:paraId="3C869245" w14:textId="77777777" w:rsidR="00DE3F5E" w:rsidRDefault="00000000">
      <w:pPr>
        <w:spacing w:line="360" w:lineRule="auto"/>
        <w:jc w:val="both"/>
        <w:rPr>
          <w:rFonts w:ascii="Book Antiqua" w:hAnsi="Book Antiqua"/>
        </w:rPr>
      </w:pPr>
      <w:r>
        <w:rPr>
          <w:rFonts w:ascii="Book Antiqua" w:eastAsia="Book Antiqua" w:hAnsi="Book Antiqua" w:cs="Book Antiqua"/>
        </w:rPr>
        <w:t>Grade E (Poor): 0</w:t>
      </w:r>
    </w:p>
    <w:p w14:paraId="11A6233B" w14:textId="77777777" w:rsidR="00DE3F5E" w:rsidRDefault="00DE3F5E">
      <w:pPr>
        <w:spacing w:line="360" w:lineRule="auto"/>
        <w:jc w:val="both"/>
        <w:rPr>
          <w:rFonts w:ascii="Book Antiqua" w:hAnsi="Book Antiqua"/>
        </w:rPr>
      </w:pPr>
    </w:p>
    <w:p w14:paraId="2DA250D2" w14:textId="2168E963" w:rsidR="00DE3F5E" w:rsidRPr="00186B1D" w:rsidRDefault="00000000">
      <w:pPr>
        <w:spacing w:line="360" w:lineRule="auto"/>
        <w:jc w:val="both"/>
        <w:rPr>
          <w:rFonts w:ascii="Book Antiqua" w:hAnsi="Book Antiqua"/>
          <w:bCs/>
        </w:rPr>
        <w:sectPr w:rsidR="00DE3F5E" w:rsidRPr="00186B1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Haddadi S, Algeria; </w:t>
      </w:r>
      <w:proofErr w:type="spellStart"/>
      <w:r>
        <w:rPr>
          <w:rFonts w:ascii="Book Antiqua" w:eastAsia="Book Antiqua" w:hAnsi="Book Antiqua" w:cs="Book Antiqua"/>
        </w:rPr>
        <w:t>Kołat</w:t>
      </w:r>
      <w:proofErr w:type="spellEnd"/>
      <w:r>
        <w:rPr>
          <w:rFonts w:ascii="Book Antiqua" w:eastAsia="Book Antiqua" w:hAnsi="Book Antiqua" w:cs="Book Antiqua"/>
        </w:rPr>
        <w:t xml:space="preserve"> D, Poland</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Lin C </w:t>
      </w:r>
      <w:r>
        <w:rPr>
          <w:rFonts w:ascii="Book Antiqua" w:eastAsia="Book Antiqua" w:hAnsi="Book Antiqua" w:cs="Book Antiqua"/>
          <w:b/>
          <w:color w:val="000000"/>
        </w:rPr>
        <w:t xml:space="preserve">L-Editor: </w:t>
      </w:r>
      <w:r w:rsidR="00186B1D" w:rsidRPr="00186B1D">
        <w:rPr>
          <w:rFonts w:ascii="Book Antiqua" w:eastAsia="Book Antiqua" w:hAnsi="Book Antiqua" w:cs="Book Antiqua" w:hint="eastAsia"/>
          <w:bCs/>
          <w:color w:val="000000"/>
          <w:lang w:eastAsia="zh-CN"/>
        </w:rPr>
        <w:t>A</w:t>
      </w:r>
      <w:r>
        <w:rPr>
          <w:rFonts w:ascii="Book Antiqua" w:eastAsia="Book Antiqua" w:hAnsi="Book Antiqua" w:cs="Book Antiqua"/>
          <w:b/>
          <w:color w:val="000000"/>
        </w:rPr>
        <w:t xml:space="preserve"> P-Editor: </w:t>
      </w:r>
      <w:r w:rsidR="00186B1D" w:rsidRPr="00186B1D">
        <w:rPr>
          <w:rFonts w:ascii="Book Antiqua" w:eastAsia="Book Antiqua" w:hAnsi="Book Antiqua" w:cs="Book Antiqua" w:hint="eastAsia"/>
          <w:bCs/>
          <w:color w:val="000000"/>
          <w:lang w:eastAsia="zh-CN"/>
        </w:rPr>
        <w:t>Zhang</w:t>
      </w:r>
      <w:r w:rsidR="00186B1D" w:rsidRPr="00186B1D">
        <w:rPr>
          <w:rFonts w:ascii="Book Antiqua" w:eastAsia="Book Antiqua" w:hAnsi="Book Antiqua" w:cs="Book Antiqua"/>
          <w:bCs/>
          <w:color w:val="000000"/>
          <w:lang w:eastAsia="zh-CN"/>
        </w:rPr>
        <w:t xml:space="preserve"> </w:t>
      </w:r>
      <w:r w:rsidR="00186B1D" w:rsidRPr="00186B1D">
        <w:rPr>
          <w:rFonts w:ascii="Book Antiqua" w:eastAsia="Book Antiqua" w:hAnsi="Book Antiqua" w:cs="Book Antiqua" w:hint="eastAsia"/>
          <w:bCs/>
          <w:color w:val="000000"/>
          <w:lang w:eastAsia="zh-CN"/>
        </w:rPr>
        <w:t>XD</w:t>
      </w:r>
    </w:p>
    <w:p w14:paraId="47035F95" w14:textId="77777777" w:rsidR="00DE3F5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76A20E" w14:textId="4121671E" w:rsidR="00DE3F5E" w:rsidRDefault="00982ACD">
      <w:pPr>
        <w:spacing w:line="360" w:lineRule="auto"/>
        <w:jc w:val="both"/>
        <w:rPr>
          <w:rFonts w:ascii="Book Antiqua" w:hAnsi="Book Antiqua"/>
        </w:rPr>
      </w:pPr>
      <w:r>
        <w:rPr>
          <w:rFonts w:ascii="Book Antiqua" w:hAnsi="Book Antiqua"/>
          <w:noProof/>
        </w:rPr>
        <w:drawing>
          <wp:inline distT="0" distB="0" distL="0" distR="0" wp14:anchorId="397DD353" wp14:editId="4EE80B7B">
            <wp:extent cx="4457700" cy="3594100"/>
            <wp:effectExtent l="0" t="0" r="0" b="0"/>
            <wp:docPr id="129364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4545" name="图片 1293645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0" cy="3594100"/>
                    </a:xfrm>
                    <a:prstGeom prst="rect">
                      <a:avLst/>
                    </a:prstGeom>
                  </pic:spPr>
                </pic:pic>
              </a:graphicData>
            </a:graphic>
          </wp:inline>
        </w:drawing>
      </w:r>
    </w:p>
    <w:p w14:paraId="4D33E580"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Clustering tree of 36 samples of Burkitt lymphoma extracted from GSE4475.</w:t>
      </w:r>
      <w:r>
        <w:rPr>
          <w:rFonts w:ascii="Book Antiqua" w:eastAsia="Book Antiqua" w:hAnsi="Book Antiqua" w:cs="Book Antiqua"/>
          <w:color w:val="000000"/>
        </w:rPr>
        <w:t xml:space="preserve"> Red indicated more gene expression, white less, and grey indicated deletion.</w:t>
      </w:r>
      <w:r>
        <w:rPr>
          <w:rFonts w:ascii="Book Antiqua" w:hAnsi="Book Antiqua" w:cs="Book Antiqua"/>
          <w:color w:val="000000"/>
          <w:lang w:eastAsia="zh-CN"/>
        </w:rPr>
        <w:t xml:space="preserve"> </w:t>
      </w:r>
      <w:r>
        <w:rPr>
          <w:rFonts w:ascii="Book Antiqua" w:eastAsia="Book Antiqua" w:hAnsi="Book Antiqua" w:cs="Book Antiqua"/>
          <w:color w:val="000000"/>
        </w:rPr>
        <w:t>CCS: Chromosomal Complexity Score.</w:t>
      </w:r>
    </w:p>
    <w:p w14:paraId="5AF84759" w14:textId="77777777" w:rsidR="00DE3F5E" w:rsidRDefault="00DE3F5E">
      <w:pPr>
        <w:spacing w:line="360" w:lineRule="auto"/>
        <w:jc w:val="both"/>
        <w:rPr>
          <w:rFonts w:ascii="Book Antiqua" w:eastAsia="Book Antiqua" w:hAnsi="Book Antiqua" w:cs="Book Antiqua"/>
          <w:color w:val="000000"/>
        </w:rPr>
      </w:pPr>
    </w:p>
    <w:p w14:paraId="01D61819" w14:textId="4631D5D4" w:rsidR="00DE3F5E" w:rsidRDefault="00982AC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00E50EEB" wp14:editId="260CAA25">
            <wp:extent cx="4368800" cy="7391400"/>
            <wp:effectExtent l="0" t="0" r="0" b="0"/>
            <wp:docPr id="2144978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7866" name="图片 2144978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8800" cy="7391400"/>
                    </a:xfrm>
                    <a:prstGeom prst="rect">
                      <a:avLst/>
                    </a:prstGeom>
                  </pic:spPr>
                </pic:pic>
              </a:graphicData>
            </a:graphic>
          </wp:inline>
        </w:drawing>
      </w:r>
    </w:p>
    <w:p w14:paraId="0D6726BD"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Sample clustering to detect outliers and construction of co-expression modules. </w:t>
      </w:r>
      <w:r>
        <w:rPr>
          <w:rFonts w:ascii="Book Antiqua" w:eastAsia="Book Antiqua" w:hAnsi="Book Antiqua" w:cs="Book Antiqua"/>
          <w:color w:val="000000"/>
        </w:rPr>
        <w:t>A: The constructed co-expression modules of Burkitt lymphoma genes by weighted gene co-expression network analysis; B: Interaction analysis between gene co-</w:t>
      </w:r>
      <w:r>
        <w:rPr>
          <w:rFonts w:ascii="Book Antiqua" w:eastAsia="Book Antiqua" w:hAnsi="Book Antiqua" w:cs="Book Antiqua"/>
          <w:color w:val="000000"/>
        </w:rPr>
        <w:lastRenderedPageBreak/>
        <w:t>expression modules. The heatmap showed the Topological Overlap Matrix among genes in the analysis. Different colors on the x-axis and y-axis represented different modules. The intensity of inter-module connections was visually represented by the yellow brightness in the central region, gradually transitioning into deeper shades of orange.</w:t>
      </w:r>
    </w:p>
    <w:p w14:paraId="4945E838" w14:textId="77777777" w:rsidR="00DE3F5E" w:rsidRDefault="00DE3F5E">
      <w:pPr>
        <w:spacing w:line="360" w:lineRule="auto"/>
        <w:jc w:val="both"/>
        <w:rPr>
          <w:rFonts w:ascii="Book Antiqua" w:eastAsia="Book Antiqua" w:hAnsi="Book Antiqua" w:cs="Book Antiqua"/>
          <w:color w:val="000000"/>
        </w:rPr>
      </w:pPr>
    </w:p>
    <w:p w14:paraId="19EA88BC" w14:textId="620C12E7" w:rsidR="00DE3F5E" w:rsidRDefault="00982AC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043E13BE" wp14:editId="3F471C12">
            <wp:extent cx="3657600" cy="4279900"/>
            <wp:effectExtent l="0" t="0" r="0" b="0"/>
            <wp:docPr id="1862422640"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22640" name="图片 3" descr="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4279900"/>
                    </a:xfrm>
                    <a:prstGeom prst="rect">
                      <a:avLst/>
                    </a:prstGeom>
                  </pic:spPr>
                </pic:pic>
              </a:graphicData>
            </a:graphic>
          </wp:inline>
        </w:drawing>
      </w:r>
    </w:p>
    <w:p w14:paraId="558C4659"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Module-trait association.</w:t>
      </w:r>
      <w:r>
        <w:rPr>
          <w:rFonts w:ascii="Book Antiqua" w:eastAsia="Book Antiqua" w:hAnsi="Book Antiqua" w:cs="Book Antiqua"/>
          <w:color w:val="000000"/>
        </w:rPr>
        <w:t xml:space="preserve"> Correlation thermography between modular feature genes and clinical features of Burkitt lymphoma. Each row corresponded to a module feature, and the column corresponded to a clinical feature. Each cell contained the correlation and the corresponding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CCS: Chromosomal Complexity Score; ME: Module membership.</w:t>
      </w:r>
    </w:p>
    <w:p w14:paraId="0173AB10" w14:textId="77777777" w:rsidR="00DE3F5E" w:rsidRDefault="00DE3F5E">
      <w:pPr>
        <w:spacing w:line="360" w:lineRule="auto"/>
        <w:jc w:val="both"/>
        <w:rPr>
          <w:rFonts w:ascii="Book Antiqua" w:eastAsia="Book Antiqua" w:hAnsi="Book Antiqua" w:cs="Book Antiqua"/>
          <w:color w:val="000000"/>
        </w:rPr>
      </w:pPr>
    </w:p>
    <w:p w14:paraId="4D763969" w14:textId="5C8FD921" w:rsidR="00DE3F5E" w:rsidRDefault="00982AC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589B7C2" wp14:editId="2D8415DA">
            <wp:extent cx="2806700" cy="2908300"/>
            <wp:effectExtent l="0" t="0" r="0" b="0"/>
            <wp:docPr id="9555216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1691" name="图片 9555216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6700" cy="2908300"/>
                    </a:xfrm>
                    <a:prstGeom prst="rect">
                      <a:avLst/>
                    </a:prstGeom>
                  </pic:spPr>
                </pic:pic>
              </a:graphicData>
            </a:graphic>
          </wp:inline>
        </w:drawing>
      </w:r>
    </w:p>
    <w:p w14:paraId="4B855E9E" w14:textId="77777777" w:rsidR="00DE3F5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The scatter plot of the correlation for an age-related gene between module membership and gene significance in the yellow module.</w:t>
      </w:r>
    </w:p>
    <w:p w14:paraId="568BA0CC" w14:textId="77777777" w:rsidR="00DE3F5E" w:rsidRDefault="00DE3F5E">
      <w:pPr>
        <w:spacing w:line="360" w:lineRule="auto"/>
        <w:jc w:val="both"/>
        <w:rPr>
          <w:rFonts w:ascii="Book Antiqua" w:eastAsia="Book Antiqua" w:hAnsi="Book Antiqua" w:cs="Book Antiqua"/>
          <w:b/>
          <w:bCs/>
          <w:color w:val="000000"/>
        </w:rPr>
      </w:pPr>
    </w:p>
    <w:p w14:paraId="45A4A44D" w14:textId="35E1AC37" w:rsidR="00DE3F5E" w:rsidRDefault="00982ACD">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2D987D44" wp14:editId="069F6F78">
            <wp:extent cx="5943600" cy="4407535"/>
            <wp:effectExtent l="0" t="0" r="0" b="0"/>
            <wp:docPr id="237252971" name="图片 5"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52971" name="图片 5" descr="图片包含 背景图案&#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07535"/>
                    </a:xfrm>
                    <a:prstGeom prst="rect">
                      <a:avLst/>
                    </a:prstGeom>
                  </pic:spPr>
                </pic:pic>
              </a:graphicData>
            </a:graphic>
          </wp:inline>
        </w:drawing>
      </w:r>
    </w:p>
    <w:p w14:paraId="583FF0EB"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Pr>
          <w:rFonts w:ascii="Book Antiqua" w:eastAsia="Book Antiqua" w:hAnsi="Book Antiqua" w:cs="Book Antiqua"/>
          <w:color w:val="000000"/>
        </w:rPr>
        <w:t>Genetic and Protein-Protein interaction network of hub genes</w:t>
      </w:r>
      <w:r>
        <w:rPr>
          <w:rFonts w:ascii="Book Antiqua" w:eastAsia="Book Antiqua" w:hAnsi="Book Antiqua" w:cs="Book Antiqua"/>
          <w:b/>
          <w:bCs/>
          <w:color w:val="000000"/>
        </w:rPr>
        <w:t>.</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GeneMANIA</w:t>
      </w:r>
      <w:proofErr w:type="spellEnd"/>
      <w:r>
        <w:rPr>
          <w:rFonts w:ascii="Book Antiqua" w:eastAsia="Book Antiqua" w:hAnsi="Book Antiqua" w:cs="Book Antiqua"/>
          <w:color w:val="000000"/>
        </w:rPr>
        <w:t xml:space="preserve"> was used to construct a genetic interaction network. The black nodes with a slash represent the query gene, while the other nodes represent the predicted genes. The purple edges indicate co-expression, whereas the blue edges signify co-localization; B: A physically and functionally connected Protein-Protein Interaction network implemented common goals through Search Tool for the Retrieval of Interacting Genes/Proteins, where nodes represented proteins and edges represented pairs of interactions between proteins. Node size and color indicated richness, while edge size and color reflected combined scores.</w:t>
      </w:r>
    </w:p>
    <w:p w14:paraId="280A4422" w14:textId="77777777" w:rsidR="00DE3F5E" w:rsidRDefault="00DE3F5E">
      <w:pPr>
        <w:spacing w:line="360" w:lineRule="auto"/>
        <w:jc w:val="both"/>
        <w:rPr>
          <w:rFonts w:ascii="Book Antiqua" w:eastAsia="Book Antiqua" w:hAnsi="Book Antiqua" w:cs="Book Antiqua"/>
          <w:color w:val="000000"/>
        </w:rPr>
      </w:pPr>
    </w:p>
    <w:p w14:paraId="2CE4A13F" w14:textId="3514C636" w:rsidR="00DE3F5E" w:rsidRDefault="00982AC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7904E898" wp14:editId="1C305E54">
            <wp:extent cx="5308600" cy="8204200"/>
            <wp:effectExtent l="0" t="0" r="0" b="0"/>
            <wp:docPr id="1906606526" name="图片 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06526" name="图片 6" descr="图片包含 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600" cy="8204200"/>
                    </a:xfrm>
                    <a:prstGeom prst="rect">
                      <a:avLst/>
                    </a:prstGeom>
                  </pic:spPr>
                </pic:pic>
              </a:graphicData>
            </a:graphic>
          </wp:inline>
        </w:drawing>
      </w:r>
    </w:p>
    <w:p w14:paraId="5A0AC002"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6 Functional enrichment analysis results of hub genes</w:t>
      </w:r>
      <w:r>
        <w:rPr>
          <w:rFonts w:ascii="Book Antiqua" w:eastAsia="Book Antiqua" w:hAnsi="Book Antiqua" w:cs="Book Antiqua"/>
          <w:color w:val="000000"/>
        </w:rPr>
        <w:t>. A: The top 10 gene ontology terms of hub genes; B: The top 10 Kyoto Encyclopedia of Genes and Genomes pathways of hub genes. GO: Gene Ontology; KEGG: Kyoto Encyclopedia of Genes and Genomes.</w:t>
      </w:r>
    </w:p>
    <w:p w14:paraId="6974E98F" w14:textId="77777777" w:rsidR="00DE3F5E" w:rsidRDefault="00DE3F5E">
      <w:pPr>
        <w:spacing w:line="360" w:lineRule="auto"/>
        <w:jc w:val="both"/>
        <w:rPr>
          <w:rFonts w:ascii="Book Antiqua" w:eastAsia="Book Antiqua" w:hAnsi="Book Antiqua" w:cs="Book Antiqua"/>
          <w:color w:val="000000"/>
        </w:rPr>
      </w:pPr>
    </w:p>
    <w:p w14:paraId="4531152D" w14:textId="71FAF5CF" w:rsidR="00DE3F5E" w:rsidRDefault="00982AC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43B5020E" wp14:editId="680ED5E3">
            <wp:extent cx="4446270" cy="8229600"/>
            <wp:effectExtent l="0" t="0" r="0" b="0"/>
            <wp:docPr id="1660525411" name="图片 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25411" name="图片 7" descr="图形用户界面&#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46270" cy="8229600"/>
                    </a:xfrm>
                    <a:prstGeom prst="rect">
                      <a:avLst/>
                    </a:prstGeom>
                  </pic:spPr>
                </pic:pic>
              </a:graphicData>
            </a:graphic>
          </wp:inline>
        </w:drawing>
      </w:r>
    </w:p>
    <w:p w14:paraId="07062D5A"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7 Kaplan–Meier survival curve.</w:t>
      </w:r>
      <w:r>
        <w:rPr>
          <w:rFonts w:ascii="Book Antiqua" w:eastAsia="Book Antiqua" w:hAnsi="Book Antiqua" w:cs="Book Antiqua"/>
          <w:color w:val="000000"/>
        </w:rPr>
        <w:t xml:space="preserve"> A to J: Kaplan–Meier survival curve of identified hub genes in GSE69051.</w:t>
      </w:r>
    </w:p>
    <w:p w14:paraId="13068C8C" w14:textId="77777777" w:rsidR="00DE3F5E" w:rsidRDefault="00DE3F5E">
      <w:pPr>
        <w:spacing w:line="360" w:lineRule="auto"/>
        <w:jc w:val="both"/>
        <w:rPr>
          <w:rFonts w:ascii="Book Antiqua" w:eastAsia="Book Antiqua" w:hAnsi="Book Antiqua" w:cs="Book Antiqua"/>
          <w:color w:val="000000"/>
        </w:rPr>
      </w:pPr>
    </w:p>
    <w:p w14:paraId="7D4A88D5" w14:textId="74175FAB" w:rsidR="00DE3F5E" w:rsidRDefault="00982AC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3FBE2738" wp14:editId="2AB7CBB6">
            <wp:extent cx="4229100" cy="7988300"/>
            <wp:effectExtent l="0" t="0" r="0" b="0"/>
            <wp:docPr id="945717950" name="图片 8"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17950" name="图片 8" descr="图形用户界面&#10;&#10;中度可信度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9100" cy="7988300"/>
                    </a:xfrm>
                    <a:prstGeom prst="rect">
                      <a:avLst/>
                    </a:prstGeom>
                  </pic:spPr>
                </pic:pic>
              </a:graphicData>
            </a:graphic>
          </wp:inline>
        </w:drawing>
      </w:r>
    </w:p>
    <w:p w14:paraId="2F705980"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8 Nomogram and calibration plot for GSE69051 cohort.</w:t>
      </w:r>
      <w:r>
        <w:rPr>
          <w:rFonts w:ascii="Book Antiqua" w:eastAsia="Book Antiqua" w:hAnsi="Book Antiqua" w:cs="Book Antiqua"/>
          <w:color w:val="000000"/>
        </w:rPr>
        <w:t xml:space="preserve"> A: The nomogram was constructed to predicting1, 3-year survival rate of Burkitt lymphoma patients; B: The calibration curves for predicting patient survival at 1 and 3 years in the cohort. OS: Overall survival.</w:t>
      </w:r>
    </w:p>
    <w:p w14:paraId="042662BD" w14:textId="77777777" w:rsidR="00DE3F5E" w:rsidRDefault="00DE3F5E">
      <w:pPr>
        <w:spacing w:line="360" w:lineRule="auto"/>
        <w:jc w:val="both"/>
        <w:rPr>
          <w:rFonts w:ascii="Book Antiqua" w:eastAsia="Book Antiqua" w:hAnsi="Book Antiqua" w:cs="Book Antiqua"/>
          <w:color w:val="000000"/>
        </w:rPr>
      </w:pPr>
    </w:p>
    <w:p w14:paraId="4FA69AF7" w14:textId="28D4364A" w:rsidR="00DE3F5E" w:rsidRDefault="00982AC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7033905E" wp14:editId="4D6EB237">
            <wp:extent cx="5943600" cy="5956300"/>
            <wp:effectExtent l="0" t="0" r="0" b="0"/>
            <wp:docPr id="1565346675" name="图片 9"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46675" name="图片 9" descr="图示, 示意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956300"/>
                    </a:xfrm>
                    <a:prstGeom prst="rect">
                      <a:avLst/>
                    </a:prstGeom>
                  </pic:spPr>
                </pic:pic>
              </a:graphicData>
            </a:graphic>
          </wp:inline>
        </w:drawing>
      </w:r>
    </w:p>
    <w:p w14:paraId="4593D94F" w14:textId="77777777" w:rsidR="00DE3F5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9 Drugs related to </w:t>
      </w:r>
      <w:r>
        <w:rPr>
          <w:rFonts w:ascii="Book Antiqua" w:eastAsia="Book Antiqua" w:hAnsi="Book Antiqua" w:cs="Book Antiqua"/>
          <w:b/>
          <w:bCs/>
          <w:i/>
          <w:iCs/>
          <w:color w:val="000000"/>
        </w:rPr>
        <w:t>IL2RA</w:t>
      </w:r>
      <w:r>
        <w:rPr>
          <w:rFonts w:ascii="Book Antiqua" w:eastAsia="Book Antiqua" w:hAnsi="Book Antiqua" w:cs="Book Antiqua"/>
          <w:b/>
          <w:bCs/>
          <w:color w:val="000000"/>
        </w:rPr>
        <w:t xml:space="preserve"> and </w:t>
      </w:r>
      <w:r>
        <w:rPr>
          <w:rFonts w:ascii="Book Antiqua" w:eastAsia="Book Antiqua" w:hAnsi="Book Antiqua" w:cs="Book Antiqua"/>
          <w:b/>
          <w:bCs/>
          <w:i/>
          <w:iCs/>
          <w:color w:val="000000"/>
        </w:rPr>
        <w:t>CXCL10</w:t>
      </w:r>
      <w:r>
        <w:rPr>
          <w:rFonts w:ascii="Book Antiqua" w:eastAsia="Book Antiqua" w:hAnsi="Book Antiqua" w:cs="Book Antiqua"/>
          <w:b/>
          <w:bCs/>
          <w:color w:val="000000"/>
        </w:rPr>
        <w:t>.</w:t>
      </w:r>
    </w:p>
    <w:p w14:paraId="540494E6" w14:textId="77777777" w:rsidR="00DE3F5E" w:rsidRDefault="00DE3F5E">
      <w:pPr>
        <w:spacing w:line="360" w:lineRule="auto"/>
        <w:jc w:val="both"/>
        <w:rPr>
          <w:rFonts w:ascii="Book Antiqua" w:eastAsia="Book Antiqua" w:hAnsi="Book Antiqua" w:cs="Book Antiqua"/>
          <w:color w:val="000000"/>
        </w:rPr>
      </w:pPr>
    </w:p>
    <w:p w14:paraId="4ED1164B" w14:textId="77777777" w:rsidR="00DE3F5E" w:rsidRDefault="00000000">
      <w:pPr>
        <w:adjustRightInd w:val="0"/>
        <w:snapToGrid w:val="0"/>
        <w:spacing w:line="360" w:lineRule="auto"/>
        <w:jc w:val="both"/>
        <w:rPr>
          <w:rFonts w:ascii="Book Antiqua" w:eastAsia="宋体" w:hAnsi="Book Antiqua" w:cs="宋体"/>
          <w:b/>
          <w:bCs/>
        </w:rPr>
      </w:pPr>
      <w:r>
        <w:rPr>
          <w:rFonts w:ascii="Book Antiqua" w:eastAsia="宋体" w:hAnsi="Book Antiqua" w:cs="宋体"/>
          <w:b/>
          <w:bCs/>
        </w:rPr>
        <w:t xml:space="preserve">Table 1 Clinical features of </w:t>
      </w:r>
      <w:r>
        <w:rPr>
          <w:rFonts w:ascii="Book Antiqua" w:hAnsi="Book Antiqua"/>
          <w:b/>
          <w:bCs/>
          <w:color w:val="000000"/>
        </w:rPr>
        <w:t>Burkitt lymphoma</w:t>
      </w:r>
      <w:r>
        <w:rPr>
          <w:rFonts w:ascii="Book Antiqua" w:eastAsia="宋体" w:hAnsi="Book Antiqua" w:cs="宋体"/>
          <w:b/>
          <w:bCs/>
        </w:rPr>
        <w:t xml:space="preserve"> patients</w:t>
      </w:r>
    </w:p>
    <w:tbl>
      <w:tblPr>
        <w:tblStyle w:val="ab"/>
        <w:tblW w:w="0" w:type="auto"/>
        <w:tblBorders>
          <w:left w:val="none" w:sz="0" w:space="0" w:color="auto"/>
          <w:right w:val="none" w:sz="0" w:space="0" w:color="auto"/>
        </w:tblBorders>
        <w:tblLook w:val="04A0" w:firstRow="1" w:lastRow="0" w:firstColumn="1" w:lastColumn="0" w:noHBand="0" w:noVBand="1"/>
      </w:tblPr>
      <w:tblGrid>
        <w:gridCol w:w="2547"/>
        <w:gridCol w:w="2126"/>
      </w:tblGrid>
      <w:tr w:rsidR="00DE3F5E" w14:paraId="3ECC5102" w14:textId="77777777">
        <w:trPr>
          <w:trHeight w:val="320"/>
        </w:trPr>
        <w:tc>
          <w:tcPr>
            <w:tcW w:w="2547" w:type="dxa"/>
            <w:tcBorders>
              <w:top w:val="single" w:sz="12" w:space="0" w:color="auto"/>
              <w:left w:val="nil"/>
              <w:bottom w:val="single" w:sz="8" w:space="0" w:color="auto"/>
              <w:right w:val="nil"/>
            </w:tcBorders>
            <w:noWrap/>
          </w:tcPr>
          <w:p w14:paraId="465113D0" w14:textId="77777777" w:rsidR="00DE3F5E" w:rsidRDefault="00000000">
            <w:pPr>
              <w:adjustRightInd w:val="0"/>
              <w:snapToGrid w:val="0"/>
              <w:spacing w:line="360" w:lineRule="auto"/>
              <w:jc w:val="both"/>
              <w:rPr>
                <w:rFonts w:ascii="Book Antiqua" w:hAnsi="Book Antiqua" w:cs="宋体"/>
                <w:b/>
                <w:bCs/>
              </w:rPr>
            </w:pPr>
            <w:bookmarkStart w:id="2" w:name="OLE_LINK123"/>
            <w:r>
              <w:rPr>
                <w:rFonts w:ascii="Book Antiqua" w:hAnsi="Book Antiqua" w:cs="宋体"/>
                <w:b/>
                <w:bCs/>
              </w:rPr>
              <w:lastRenderedPageBreak/>
              <w:t>Clinical features</w:t>
            </w:r>
            <w:bookmarkEnd w:id="2"/>
          </w:p>
        </w:tc>
        <w:tc>
          <w:tcPr>
            <w:tcW w:w="2126" w:type="dxa"/>
            <w:tcBorders>
              <w:top w:val="single" w:sz="12" w:space="0" w:color="auto"/>
              <w:left w:val="nil"/>
              <w:bottom w:val="single" w:sz="8" w:space="0" w:color="auto"/>
              <w:right w:val="nil"/>
            </w:tcBorders>
            <w:noWrap/>
          </w:tcPr>
          <w:p w14:paraId="2F71E0DD" w14:textId="77777777" w:rsidR="00DE3F5E" w:rsidRDefault="00000000">
            <w:pPr>
              <w:adjustRightInd w:val="0"/>
              <w:snapToGrid w:val="0"/>
              <w:spacing w:line="360" w:lineRule="auto"/>
              <w:jc w:val="both"/>
              <w:rPr>
                <w:rFonts w:ascii="Book Antiqua" w:hAnsi="Book Antiqua" w:cs="宋体"/>
                <w:b/>
                <w:bCs/>
              </w:rPr>
            </w:pPr>
            <w:r>
              <w:rPr>
                <w:rFonts w:ascii="Book Antiqua" w:hAnsi="Book Antiqua" w:cs="宋体"/>
                <w:b/>
                <w:bCs/>
              </w:rPr>
              <w:t>Total (</w:t>
            </w:r>
            <w:r>
              <w:rPr>
                <w:rFonts w:ascii="Book Antiqua" w:hAnsi="Book Antiqua" w:cs="宋体"/>
                <w:b/>
                <w:bCs/>
                <w:i/>
                <w:iCs/>
              </w:rPr>
              <w:t>n</w:t>
            </w:r>
            <w:r>
              <w:rPr>
                <w:rFonts w:ascii="Book Antiqua" w:hAnsi="Book Antiqua" w:cs="宋体"/>
                <w:b/>
                <w:bCs/>
              </w:rPr>
              <w:t xml:space="preserve"> = 36)</w:t>
            </w:r>
          </w:p>
        </w:tc>
      </w:tr>
      <w:tr w:rsidR="00DE3F5E" w14:paraId="1E1230F7" w14:textId="77777777">
        <w:trPr>
          <w:trHeight w:val="320"/>
        </w:trPr>
        <w:tc>
          <w:tcPr>
            <w:tcW w:w="2547" w:type="dxa"/>
            <w:tcBorders>
              <w:top w:val="single" w:sz="8" w:space="0" w:color="auto"/>
              <w:left w:val="nil"/>
              <w:bottom w:val="nil"/>
              <w:right w:val="nil"/>
            </w:tcBorders>
            <w:noWrap/>
          </w:tcPr>
          <w:p w14:paraId="3F4C8195"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Age, mean (range)</w:t>
            </w:r>
          </w:p>
        </w:tc>
        <w:tc>
          <w:tcPr>
            <w:tcW w:w="2126" w:type="dxa"/>
            <w:tcBorders>
              <w:top w:val="single" w:sz="8" w:space="0" w:color="auto"/>
              <w:left w:val="nil"/>
              <w:bottom w:val="nil"/>
              <w:right w:val="nil"/>
            </w:tcBorders>
            <w:noWrap/>
          </w:tcPr>
          <w:p w14:paraId="7514126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31.0 (2-90)</w:t>
            </w:r>
          </w:p>
        </w:tc>
      </w:tr>
      <w:tr w:rsidR="00DE3F5E" w14:paraId="5F94BE96" w14:textId="77777777">
        <w:trPr>
          <w:trHeight w:val="320"/>
        </w:trPr>
        <w:tc>
          <w:tcPr>
            <w:tcW w:w="2547" w:type="dxa"/>
            <w:tcBorders>
              <w:top w:val="nil"/>
              <w:left w:val="nil"/>
              <w:bottom w:val="nil"/>
              <w:right w:val="nil"/>
            </w:tcBorders>
            <w:noWrap/>
          </w:tcPr>
          <w:p w14:paraId="3AED34D8"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Gender</w:t>
            </w:r>
          </w:p>
        </w:tc>
        <w:tc>
          <w:tcPr>
            <w:tcW w:w="2126" w:type="dxa"/>
            <w:tcBorders>
              <w:top w:val="nil"/>
              <w:left w:val="nil"/>
              <w:bottom w:val="nil"/>
              <w:right w:val="nil"/>
            </w:tcBorders>
            <w:noWrap/>
          </w:tcPr>
          <w:p w14:paraId="39111664" w14:textId="77777777" w:rsidR="00DE3F5E" w:rsidRDefault="00DE3F5E">
            <w:pPr>
              <w:adjustRightInd w:val="0"/>
              <w:snapToGrid w:val="0"/>
              <w:spacing w:line="360" w:lineRule="auto"/>
              <w:jc w:val="both"/>
              <w:rPr>
                <w:rFonts w:ascii="Book Antiqua" w:hAnsi="Book Antiqua" w:cs="宋体"/>
              </w:rPr>
            </w:pPr>
          </w:p>
        </w:tc>
      </w:tr>
      <w:tr w:rsidR="00DE3F5E" w14:paraId="276DBE0C" w14:textId="77777777">
        <w:trPr>
          <w:trHeight w:val="320"/>
        </w:trPr>
        <w:tc>
          <w:tcPr>
            <w:tcW w:w="2547" w:type="dxa"/>
            <w:tcBorders>
              <w:top w:val="nil"/>
              <w:left w:val="nil"/>
              <w:bottom w:val="nil"/>
              <w:right w:val="nil"/>
            </w:tcBorders>
            <w:noWrap/>
          </w:tcPr>
          <w:p w14:paraId="68606C89"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Male</w:t>
            </w:r>
          </w:p>
        </w:tc>
        <w:tc>
          <w:tcPr>
            <w:tcW w:w="2126" w:type="dxa"/>
            <w:tcBorders>
              <w:top w:val="nil"/>
              <w:left w:val="nil"/>
              <w:bottom w:val="nil"/>
              <w:right w:val="nil"/>
            </w:tcBorders>
            <w:noWrap/>
          </w:tcPr>
          <w:p w14:paraId="5630C120"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24</w:t>
            </w:r>
          </w:p>
        </w:tc>
      </w:tr>
      <w:tr w:rsidR="00DE3F5E" w14:paraId="74BD83F5" w14:textId="77777777">
        <w:trPr>
          <w:trHeight w:val="320"/>
        </w:trPr>
        <w:tc>
          <w:tcPr>
            <w:tcW w:w="2547" w:type="dxa"/>
            <w:tcBorders>
              <w:top w:val="nil"/>
              <w:left w:val="nil"/>
              <w:bottom w:val="nil"/>
              <w:right w:val="nil"/>
            </w:tcBorders>
            <w:noWrap/>
          </w:tcPr>
          <w:p w14:paraId="38208889"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Female</w:t>
            </w:r>
          </w:p>
        </w:tc>
        <w:tc>
          <w:tcPr>
            <w:tcW w:w="2126" w:type="dxa"/>
            <w:tcBorders>
              <w:top w:val="nil"/>
              <w:left w:val="nil"/>
              <w:bottom w:val="nil"/>
              <w:right w:val="nil"/>
            </w:tcBorders>
            <w:noWrap/>
          </w:tcPr>
          <w:p w14:paraId="5322AFC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11</w:t>
            </w:r>
          </w:p>
        </w:tc>
      </w:tr>
      <w:tr w:rsidR="00DE3F5E" w14:paraId="31966CC1" w14:textId="77777777">
        <w:trPr>
          <w:trHeight w:val="320"/>
        </w:trPr>
        <w:tc>
          <w:tcPr>
            <w:tcW w:w="2547" w:type="dxa"/>
            <w:tcBorders>
              <w:top w:val="nil"/>
              <w:left w:val="nil"/>
              <w:bottom w:val="nil"/>
              <w:right w:val="nil"/>
            </w:tcBorders>
            <w:noWrap/>
          </w:tcPr>
          <w:p w14:paraId="257C5015"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Unknown</w:t>
            </w:r>
          </w:p>
        </w:tc>
        <w:tc>
          <w:tcPr>
            <w:tcW w:w="2126" w:type="dxa"/>
            <w:tcBorders>
              <w:top w:val="nil"/>
              <w:left w:val="nil"/>
              <w:bottom w:val="nil"/>
              <w:right w:val="nil"/>
            </w:tcBorders>
            <w:noWrap/>
          </w:tcPr>
          <w:p w14:paraId="2D18F5B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w:t>
            </w:r>
          </w:p>
        </w:tc>
      </w:tr>
      <w:tr w:rsidR="00DE3F5E" w14:paraId="09E1D0BC" w14:textId="77777777">
        <w:trPr>
          <w:trHeight w:val="320"/>
        </w:trPr>
        <w:tc>
          <w:tcPr>
            <w:tcW w:w="2547" w:type="dxa"/>
            <w:tcBorders>
              <w:top w:val="nil"/>
              <w:left w:val="nil"/>
              <w:bottom w:val="nil"/>
              <w:right w:val="nil"/>
            </w:tcBorders>
            <w:noWrap/>
          </w:tcPr>
          <w:p w14:paraId="72D6FFB4"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Stage</w:t>
            </w:r>
          </w:p>
        </w:tc>
        <w:tc>
          <w:tcPr>
            <w:tcW w:w="2126" w:type="dxa"/>
            <w:tcBorders>
              <w:top w:val="nil"/>
              <w:left w:val="nil"/>
              <w:bottom w:val="nil"/>
              <w:right w:val="nil"/>
            </w:tcBorders>
            <w:noWrap/>
          </w:tcPr>
          <w:p w14:paraId="3D1C8331" w14:textId="77777777" w:rsidR="00DE3F5E" w:rsidRDefault="00DE3F5E">
            <w:pPr>
              <w:adjustRightInd w:val="0"/>
              <w:snapToGrid w:val="0"/>
              <w:spacing w:line="360" w:lineRule="auto"/>
              <w:jc w:val="both"/>
              <w:rPr>
                <w:rFonts w:ascii="Book Antiqua" w:hAnsi="Book Antiqua" w:cs="宋体"/>
              </w:rPr>
            </w:pPr>
          </w:p>
        </w:tc>
      </w:tr>
      <w:tr w:rsidR="00DE3F5E" w14:paraId="5FB41CB3" w14:textId="77777777">
        <w:trPr>
          <w:trHeight w:val="320"/>
        </w:trPr>
        <w:tc>
          <w:tcPr>
            <w:tcW w:w="2547" w:type="dxa"/>
            <w:tcBorders>
              <w:top w:val="nil"/>
              <w:left w:val="nil"/>
              <w:bottom w:val="nil"/>
              <w:right w:val="nil"/>
            </w:tcBorders>
            <w:noWrap/>
          </w:tcPr>
          <w:p w14:paraId="37117F49"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I</w:t>
            </w:r>
          </w:p>
        </w:tc>
        <w:tc>
          <w:tcPr>
            <w:tcW w:w="2126" w:type="dxa"/>
            <w:tcBorders>
              <w:top w:val="nil"/>
              <w:left w:val="nil"/>
              <w:bottom w:val="nil"/>
              <w:right w:val="nil"/>
            </w:tcBorders>
            <w:noWrap/>
          </w:tcPr>
          <w:p w14:paraId="354CD5D5"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4</w:t>
            </w:r>
          </w:p>
        </w:tc>
      </w:tr>
      <w:tr w:rsidR="00DE3F5E" w14:paraId="6FD9F0F1" w14:textId="77777777">
        <w:trPr>
          <w:trHeight w:val="320"/>
        </w:trPr>
        <w:tc>
          <w:tcPr>
            <w:tcW w:w="2547" w:type="dxa"/>
            <w:tcBorders>
              <w:top w:val="nil"/>
              <w:left w:val="nil"/>
              <w:bottom w:val="nil"/>
              <w:right w:val="nil"/>
            </w:tcBorders>
            <w:noWrap/>
          </w:tcPr>
          <w:p w14:paraId="1BBDF471"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II</w:t>
            </w:r>
          </w:p>
        </w:tc>
        <w:tc>
          <w:tcPr>
            <w:tcW w:w="2126" w:type="dxa"/>
            <w:tcBorders>
              <w:top w:val="nil"/>
              <w:left w:val="nil"/>
              <w:bottom w:val="nil"/>
              <w:right w:val="nil"/>
            </w:tcBorders>
            <w:noWrap/>
          </w:tcPr>
          <w:p w14:paraId="61575EBA"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10</w:t>
            </w:r>
          </w:p>
        </w:tc>
      </w:tr>
      <w:tr w:rsidR="00DE3F5E" w14:paraId="4F44F019" w14:textId="77777777">
        <w:trPr>
          <w:trHeight w:val="320"/>
        </w:trPr>
        <w:tc>
          <w:tcPr>
            <w:tcW w:w="2547" w:type="dxa"/>
            <w:tcBorders>
              <w:top w:val="nil"/>
              <w:left w:val="nil"/>
              <w:bottom w:val="nil"/>
              <w:right w:val="nil"/>
            </w:tcBorders>
            <w:noWrap/>
          </w:tcPr>
          <w:p w14:paraId="16FD328F"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III</w:t>
            </w:r>
          </w:p>
        </w:tc>
        <w:tc>
          <w:tcPr>
            <w:tcW w:w="2126" w:type="dxa"/>
            <w:tcBorders>
              <w:top w:val="nil"/>
              <w:left w:val="nil"/>
              <w:bottom w:val="nil"/>
              <w:right w:val="nil"/>
            </w:tcBorders>
            <w:noWrap/>
          </w:tcPr>
          <w:p w14:paraId="0A8945BC"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5</w:t>
            </w:r>
          </w:p>
        </w:tc>
      </w:tr>
      <w:tr w:rsidR="00DE3F5E" w14:paraId="5C23CDA4" w14:textId="77777777">
        <w:trPr>
          <w:trHeight w:val="320"/>
        </w:trPr>
        <w:tc>
          <w:tcPr>
            <w:tcW w:w="2547" w:type="dxa"/>
            <w:tcBorders>
              <w:top w:val="nil"/>
              <w:left w:val="nil"/>
              <w:bottom w:val="nil"/>
              <w:right w:val="nil"/>
            </w:tcBorders>
            <w:noWrap/>
          </w:tcPr>
          <w:p w14:paraId="22BBCEC4"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IV</w:t>
            </w:r>
          </w:p>
        </w:tc>
        <w:tc>
          <w:tcPr>
            <w:tcW w:w="2126" w:type="dxa"/>
            <w:tcBorders>
              <w:top w:val="nil"/>
              <w:left w:val="nil"/>
              <w:bottom w:val="nil"/>
              <w:right w:val="nil"/>
            </w:tcBorders>
            <w:noWrap/>
          </w:tcPr>
          <w:p w14:paraId="19F80D5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6</w:t>
            </w:r>
          </w:p>
        </w:tc>
      </w:tr>
      <w:tr w:rsidR="00DE3F5E" w14:paraId="7852AA30" w14:textId="77777777">
        <w:trPr>
          <w:trHeight w:val="320"/>
        </w:trPr>
        <w:tc>
          <w:tcPr>
            <w:tcW w:w="2547" w:type="dxa"/>
            <w:tcBorders>
              <w:top w:val="nil"/>
              <w:left w:val="nil"/>
              <w:bottom w:val="nil"/>
              <w:right w:val="nil"/>
            </w:tcBorders>
            <w:noWrap/>
          </w:tcPr>
          <w:p w14:paraId="6494F806" w14:textId="77777777" w:rsidR="00DE3F5E" w:rsidRDefault="00000000">
            <w:pPr>
              <w:adjustRightInd w:val="0"/>
              <w:snapToGrid w:val="0"/>
              <w:spacing w:line="360" w:lineRule="auto"/>
              <w:ind w:firstLineChars="200" w:firstLine="480"/>
              <w:jc w:val="both"/>
              <w:rPr>
                <w:rFonts w:ascii="Book Antiqua" w:hAnsi="Book Antiqua" w:cs="宋体"/>
              </w:rPr>
            </w:pPr>
            <w:bookmarkStart w:id="3" w:name="OLE_LINK13"/>
            <w:r>
              <w:rPr>
                <w:rFonts w:ascii="Book Antiqua" w:hAnsi="Book Antiqua" w:cs="宋体"/>
              </w:rPr>
              <w:t>Unknown</w:t>
            </w:r>
            <w:bookmarkEnd w:id="3"/>
          </w:p>
        </w:tc>
        <w:tc>
          <w:tcPr>
            <w:tcW w:w="2126" w:type="dxa"/>
            <w:tcBorders>
              <w:top w:val="nil"/>
              <w:left w:val="nil"/>
              <w:bottom w:val="nil"/>
              <w:right w:val="nil"/>
            </w:tcBorders>
            <w:noWrap/>
          </w:tcPr>
          <w:p w14:paraId="41FBEA27"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11</w:t>
            </w:r>
          </w:p>
        </w:tc>
      </w:tr>
      <w:tr w:rsidR="00DE3F5E" w14:paraId="471F2CD8" w14:textId="77777777">
        <w:trPr>
          <w:trHeight w:val="320"/>
        </w:trPr>
        <w:tc>
          <w:tcPr>
            <w:tcW w:w="4673" w:type="dxa"/>
            <w:gridSpan w:val="2"/>
            <w:tcBorders>
              <w:top w:val="nil"/>
              <w:left w:val="nil"/>
              <w:bottom w:val="nil"/>
              <w:right w:val="nil"/>
            </w:tcBorders>
            <w:noWrap/>
          </w:tcPr>
          <w:p w14:paraId="1657F358"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 xml:space="preserve">Survival </w:t>
            </w:r>
            <w:r>
              <w:rPr>
                <w:rFonts w:ascii="Book Antiqua" w:hAnsi="Book Antiqua"/>
              </w:rPr>
              <w:t>s</w:t>
            </w:r>
            <w:r>
              <w:rPr>
                <w:rFonts w:ascii="Book Antiqua" w:hAnsi="Book Antiqua" w:cs="宋体"/>
              </w:rPr>
              <w:t>tatus</w:t>
            </w:r>
          </w:p>
        </w:tc>
      </w:tr>
      <w:tr w:rsidR="00DE3F5E" w14:paraId="50722651" w14:textId="77777777">
        <w:trPr>
          <w:trHeight w:val="320"/>
        </w:trPr>
        <w:tc>
          <w:tcPr>
            <w:tcW w:w="2547" w:type="dxa"/>
            <w:tcBorders>
              <w:top w:val="nil"/>
              <w:left w:val="nil"/>
              <w:bottom w:val="nil"/>
              <w:right w:val="nil"/>
            </w:tcBorders>
            <w:noWrap/>
          </w:tcPr>
          <w:p w14:paraId="120824F3"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Alive</w:t>
            </w:r>
          </w:p>
        </w:tc>
        <w:tc>
          <w:tcPr>
            <w:tcW w:w="2126" w:type="dxa"/>
            <w:tcBorders>
              <w:top w:val="nil"/>
              <w:left w:val="nil"/>
              <w:bottom w:val="nil"/>
              <w:right w:val="nil"/>
            </w:tcBorders>
            <w:noWrap/>
          </w:tcPr>
          <w:p w14:paraId="5D7E46E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20</w:t>
            </w:r>
          </w:p>
        </w:tc>
      </w:tr>
      <w:tr w:rsidR="00DE3F5E" w14:paraId="382CD252" w14:textId="77777777">
        <w:trPr>
          <w:trHeight w:val="320"/>
        </w:trPr>
        <w:tc>
          <w:tcPr>
            <w:tcW w:w="2547" w:type="dxa"/>
            <w:tcBorders>
              <w:top w:val="nil"/>
              <w:left w:val="nil"/>
              <w:bottom w:val="nil"/>
              <w:right w:val="nil"/>
            </w:tcBorders>
            <w:noWrap/>
          </w:tcPr>
          <w:p w14:paraId="4634BF93"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Dead</w:t>
            </w:r>
          </w:p>
        </w:tc>
        <w:tc>
          <w:tcPr>
            <w:tcW w:w="2126" w:type="dxa"/>
            <w:tcBorders>
              <w:top w:val="nil"/>
              <w:left w:val="nil"/>
              <w:bottom w:val="nil"/>
              <w:right w:val="nil"/>
            </w:tcBorders>
            <w:noWrap/>
          </w:tcPr>
          <w:p w14:paraId="70A6558C"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7</w:t>
            </w:r>
          </w:p>
        </w:tc>
      </w:tr>
      <w:tr w:rsidR="00DE3F5E" w14:paraId="5DAFB771" w14:textId="77777777">
        <w:trPr>
          <w:trHeight w:val="320"/>
        </w:trPr>
        <w:tc>
          <w:tcPr>
            <w:tcW w:w="2547" w:type="dxa"/>
            <w:tcBorders>
              <w:top w:val="nil"/>
              <w:left w:val="nil"/>
              <w:bottom w:val="nil"/>
              <w:right w:val="nil"/>
            </w:tcBorders>
            <w:noWrap/>
          </w:tcPr>
          <w:p w14:paraId="2A8D7460"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Unknown</w:t>
            </w:r>
          </w:p>
        </w:tc>
        <w:tc>
          <w:tcPr>
            <w:tcW w:w="2126" w:type="dxa"/>
            <w:tcBorders>
              <w:top w:val="nil"/>
              <w:left w:val="nil"/>
              <w:bottom w:val="nil"/>
              <w:right w:val="nil"/>
            </w:tcBorders>
            <w:noWrap/>
          </w:tcPr>
          <w:p w14:paraId="0FB63F86"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9</w:t>
            </w:r>
          </w:p>
        </w:tc>
      </w:tr>
      <w:tr w:rsidR="00DE3F5E" w14:paraId="772E34A2" w14:textId="77777777">
        <w:trPr>
          <w:trHeight w:val="320"/>
        </w:trPr>
        <w:tc>
          <w:tcPr>
            <w:tcW w:w="2547" w:type="dxa"/>
            <w:tcBorders>
              <w:top w:val="nil"/>
              <w:left w:val="nil"/>
              <w:bottom w:val="nil"/>
              <w:right w:val="nil"/>
            </w:tcBorders>
            <w:noWrap/>
          </w:tcPr>
          <w:p w14:paraId="391D59FF"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Ki 67</w:t>
            </w:r>
          </w:p>
        </w:tc>
        <w:tc>
          <w:tcPr>
            <w:tcW w:w="2126" w:type="dxa"/>
            <w:tcBorders>
              <w:top w:val="nil"/>
              <w:left w:val="nil"/>
              <w:bottom w:val="nil"/>
              <w:right w:val="nil"/>
            </w:tcBorders>
            <w:noWrap/>
          </w:tcPr>
          <w:p w14:paraId="36124D5A" w14:textId="77777777" w:rsidR="00DE3F5E" w:rsidRDefault="00DE3F5E">
            <w:pPr>
              <w:adjustRightInd w:val="0"/>
              <w:snapToGrid w:val="0"/>
              <w:spacing w:line="360" w:lineRule="auto"/>
              <w:jc w:val="both"/>
              <w:rPr>
                <w:rFonts w:ascii="Book Antiqua" w:hAnsi="Book Antiqua" w:cs="宋体"/>
              </w:rPr>
            </w:pPr>
          </w:p>
        </w:tc>
      </w:tr>
      <w:tr w:rsidR="00DE3F5E" w14:paraId="3221385B" w14:textId="77777777">
        <w:trPr>
          <w:trHeight w:val="320"/>
        </w:trPr>
        <w:tc>
          <w:tcPr>
            <w:tcW w:w="2547" w:type="dxa"/>
            <w:tcBorders>
              <w:top w:val="nil"/>
              <w:left w:val="nil"/>
              <w:bottom w:val="nil"/>
              <w:right w:val="nil"/>
            </w:tcBorders>
            <w:noWrap/>
          </w:tcPr>
          <w:p w14:paraId="42A61ADF"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w:t>
            </w:r>
            <w:r>
              <w:rPr>
                <w:rFonts w:ascii="Book Antiqua" w:hAnsi="Book Antiqua"/>
              </w:rPr>
              <w:t xml:space="preserve"> </w:t>
            </w:r>
            <w:r>
              <w:rPr>
                <w:rFonts w:ascii="Book Antiqua" w:hAnsi="Book Antiqua" w:cs="宋体"/>
              </w:rPr>
              <w:t>75%</w:t>
            </w:r>
          </w:p>
        </w:tc>
        <w:tc>
          <w:tcPr>
            <w:tcW w:w="2126" w:type="dxa"/>
            <w:tcBorders>
              <w:top w:val="nil"/>
              <w:left w:val="nil"/>
              <w:bottom w:val="nil"/>
              <w:right w:val="nil"/>
            </w:tcBorders>
            <w:noWrap/>
          </w:tcPr>
          <w:p w14:paraId="7961A5C4"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4</w:t>
            </w:r>
          </w:p>
        </w:tc>
      </w:tr>
      <w:tr w:rsidR="00DE3F5E" w14:paraId="37395053" w14:textId="77777777">
        <w:trPr>
          <w:trHeight w:val="320"/>
        </w:trPr>
        <w:tc>
          <w:tcPr>
            <w:tcW w:w="2547" w:type="dxa"/>
            <w:tcBorders>
              <w:top w:val="nil"/>
              <w:left w:val="nil"/>
              <w:bottom w:val="nil"/>
              <w:right w:val="nil"/>
            </w:tcBorders>
            <w:noWrap/>
          </w:tcPr>
          <w:p w14:paraId="3F7BC11E"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75%</w:t>
            </w:r>
            <w:r>
              <w:rPr>
                <w:rFonts w:ascii="Book Antiqua" w:hAnsi="Book Antiqua"/>
              </w:rPr>
              <w:t>-</w:t>
            </w:r>
            <w:r>
              <w:rPr>
                <w:rFonts w:ascii="Book Antiqua" w:hAnsi="Book Antiqua" w:cs="宋体"/>
              </w:rPr>
              <w:t>90%</w:t>
            </w:r>
          </w:p>
        </w:tc>
        <w:tc>
          <w:tcPr>
            <w:tcW w:w="2126" w:type="dxa"/>
            <w:tcBorders>
              <w:top w:val="nil"/>
              <w:left w:val="nil"/>
              <w:bottom w:val="nil"/>
              <w:right w:val="nil"/>
            </w:tcBorders>
            <w:noWrap/>
          </w:tcPr>
          <w:p w14:paraId="09AC6F5F"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9</w:t>
            </w:r>
          </w:p>
        </w:tc>
      </w:tr>
      <w:tr w:rsidR="00DE3F5E" w14:paraId="0437F6A3" w14:textId="77777777">
        <w:trPr>
          <w:trHeight w:val="320"/>
        </w:trPr>
        <w:tc>
          <w:tcPr>
            <w:tcW w:w="2547" w:type="dxa"/>
            <w:tcBorders>
              <w:top w:val="nil"/>
              <w:left w:val="nil"/>
              <w:bottom w:val="nil"/>
              <w:right w:val="nil"/>
            </w:tcBorders>
            <w:noWrap/>
          </w:tcPr>
          <w:p w14:paraId="2CCB5E90" w14:textId="7064B713" w:rsidR="00DE3F5E" w:rsidRDefault="00E61CA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&gt;</w:t>
            </w:r>
            <w:r w:rsidR="0060151E">
              <w:rPr>
                <w:rFonts w:ascii="Book Antiqua" w:hAnsi="Book Antiqua"/>
              </w:rPr>
              <w:t xml:space="preserve"> </w:t>
            </w:r>
            <w:r w:rsidR="0060151E">
              <w:rPr>
                <w:rFonts w:ascii="Book Antiqua" w:hAnsi="Book Antiqua" w:cs="宋体"/>
              </w:rPr>
              <w:t>90%</w:t>
            </w:r>
          </w:p>
        </w:tc>
        <w:tc>
          <w:tcPr>
            <w:tcW w:w="2126" w:type="dxa"/>
            <w:tcBorders>
              <w:top w:val="nil"/>
              <w:left w:val="nil"/>
              <w:bottom w:val="nil"/>
              <w:right w:val="nil"/>
            </w:tcBorders>
            <w:noWrap/>
          </w:tcPr>
          <w:p w14:paraId="10F78F0F"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22</w:t>
            </w:r>
          </w:p>
        </w:tc>
      </w:tr>
      <w:tr w:rsidR="00DE3F5E" w14:paraId="14B6BE73" w14:textId="77777777">
        <w:trPr>
          <w:trHeight w:val="320"/>
        </w:trPr>
        <w:tc>
          <w:tcPr>
            <w:tcW w:w="2547" w:type="dxa"/>
            <w:tcBorders>
              <w:top w:val="nil"/>
              <w:left w:val="nil"/>
              <w:bottom w:val="nil"/>
              <w:right w:val="nil"/>
            </w:tcBorders>
            <w:noWrap/>
          </w:tcPr>
          <w:p w14:paraId="71FD89ED"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Unknown</w:t>
            </w:r>
          </w:p>
        </w:tc>
        <w:tc>
          <w:tcPr>
            <w:tcW w:w="2126" w:type="dxa"/>
            <w:tcBorders>
              <w:top w:val="nil"/>
              <w:left w:val="nil"/>
              <w:bottom w:val="nil"/>
              <w:right w:val="nil"/>
            </w:tcBorders>
            <w:noWrap/>
          </w:tcPr>
          <w:p w14:paraId="26A14A93"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w:t>
            </w:r>
          </w:p>
        </w:tc>
      </w:tr>
      <w:tr w:rsidR="00DE3F5E" w14:paraId="074D6ED6" w14:textId="77777777">
        <w:trPr>
          <w:trHeight w:val="320"/>
        </w:trPr>
        <w:tc>
          <w:tcPr>
            <w:tcW w:w="2547" w:type="dxa"/>
            <w:tcBorders>
              <w:top w:val="nil"/>
              <w:left w:val="nil"/>
              <w:bottom w:val="nil"/>
              <w:right w:val="nil"/>
            </w:tcBorders>
            <w:noWrap/>
          </w:tcPr>
          <w:p w14:paraId="41B4FB79"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CCS</w:t>
            </w:r>
          </w:p>
        </w:tc>
        <w:tc>
          <w:tcPr>
            <w:tcW w:w="2126" w:type="dxa"/>
            <w:tcBorders>
              <w:top w:val="nil"/>
              <w:left w:val="nil"/>
              <w:bottom w:val="nil"/>
              <w:right w:val="nil"/>
            </w:tcBorders>
            <w:noWrap/>
          </w:tcPr>
          <w:p w14:paraId="5720258D" w14:textId="77777777" w:rsidR="00DE3F5E" w:rsidRDefault="00DE3F5E">
            <w:pPr>
              <w:adjustRightInd w:val="0"/>
              <w:snapToGrid w:val="0"/>
              <w:spacing w:line="360" w:lineRule="auto"/>
              <w:jc w:val="both"/>
              <w:rPr>
                <w:rFonts w:ascii="Book Antiqua" w:hAnsi="Book Antiqua" w:cs="宋体"/>
              </w:rPr>
            </w:pPr>
          </w:p>
        </w:tc>
      </w:tr>
      <w:tr w:rsidR="00DE3F5E" w14:paraId="42546F6A" w14:textId="77777777">
        <w:trPr>
          <w:trHeight w:val="320"/>
        </w:trPr>
        <w:tc>
          <w:tcPr>
            <w:tcW w:w="2547" w:type="dxa"/>
            <w:tcBorders>
              <w:top w:val="nil"/>
              <w:left w:val="nil"/>
              <w:bottom w:val="nil"/>
              <w:right w:val="nil"/>
            </w:tcBorders>
            <w:noWrap/>
          </w:tcPr>
          <w:p w14:paraId="40A1CEB3" w14:textId="7EC5FED8" w:rsidR="00DE3F5E" w:rsidRDefault="00E61CA0">
            <w:pPr>
              <w:autoSpaceDE w:val="0"/>
              <w:adjustRightInd w:val="0"/>
              <w:snapToGrid w:val="0"/>
              <w:spacing w:line="360" w:lineRule="auto"/>
              <w:ind w:firstLineChars="200" w:firstLine="480"/>
              <w:jc w:val="both"/>
              <w:rPr>
                <w:rFonts w:ascii="Book Antiqua" w:hAnsi="Book Antiqua" w:cs="宋体"/>
              </w:rPr>
            </w:pPr>
            <w:r>
              <w:rPr>
                <w:rFonts w:ascii="Book Antiqua" w:hAnsi="Book Antiqua"/>
              </w:rPr>
              <w:t>&lt;</w:t>
            </w:r>
            <w:r w:rsidR="0060151E">
              <w:rPr>
                <w:rFonts w:ascii="Book Antiqua" w:hAnsi="Book Antiqua"/>
              </w:rPr>
              <w:t xml:space="preserve"> </w:t>
            </w:r>
            <w:r w:rsidR="0060151E">
              <w:rPr>
                <w:rFonts w:ascii="Book Antiqua" w:hAnsi="Book Antiqua" w:cs="宋体"/>
              </w:rPr>
              <w:t>10</w:t>
            </w:r>
          </w:p>
        </w:tc>
        <w:tc>
          <w:tcPr>
            <w:tcW w:w="2126" w:type="dxa"/>
            <w:tcBorders>
              <w:top w:val="nil"/>
              <w:left w:val="nil"/>
              <w:bottom w:val="nil"/>
              <w:right w:val="nil"/>
            </w:tcBorders>
            <w:noWrap/>
          </w:tcPr>
          <w:p w14:paraId="1A838365"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29</w:t>
            </w:r>
          </w:p>
        </w:tc>
      </w:tr>
      <w:tr w:rsidR="00DE3F5E" w14:paraId="787F5B85" w14:textId="77777777">
        <w:trPr>
          <w:trHeight w:val="320"/>
        </w:trPr>
        <w:tc>
          <w:tcPr>
            <w:tcW w:w="2547" w:type="dxa"/>
            <w:tcBorders>
              <w:top w:val="nil"/>
              <w:left w:val="nil"/>
              <w:bottom w:val="nil"/>
              <w:right w:val="nil"/>
            </w:tcBorders>
            <w:noWrap/>
          </w:tcPr>
          <w:p w14:paraId="3C43186A"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w:t>
            </w:r>
            <w:r>
              <w:rPr>
                <w:rFonts w:ascii="Book Antiqua" w:hAnsi="Book Antiqua"/>
              </w:rPr>
              <w:t xml:space="preserve"> </w:t>
            </w:r>
            <w:r>
              <w:rPr>
                <w:rFonts w:ascii="Book Antiqua" w:hAnsi="Book Antiqua" w:cs="宋体"/>
              </w:rPr>
              <w:t>10</w:t>
            </w:r>
          </w:p>
        </w:tc>
        <w:tc>
          <w:tcPr>
            <w:tcW w:w="2126" w:type="dxa"/>
            <w:tcBorders>
              <w:top w:val="nil"/>
              <w:left w:val="nil"/>
              <w:bottom w:val="nil"/>
              <w:right w:val="nil"/>
            </w:tcBorders>
            <w:noWrap/>
          </w:tcPr>
          <w:p w14:paraId="750C6B5A"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5</w:t>
            </w:r>
          </w:p>
        </w:tc>
      </w:tr>
      <w:tr w:rsidR="00DE3F5E" w14:paraId="0319D9BC" w14:textId="77777777">
        <w:trPr>
          <w:trHeight w:val="320"/>
        </w:trPr>
        <w:tc>
          <w:tcPr>
            <w:tcW w:w="2547" w:type="dxa"/>
            <w:tcBorders>
              <w:top w:val="nil"/>
              <w:left w:val="nil"/>
              <w:bottom w:val="single" w:sz="12" w:space="0" w:color="auto"/>
              <w:right w:val="nil"/>
            </w:tcBorders>
            <w:noWrap/>
          </w:tcPr>
          <w:p w14:paraId="48E6F906"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Unknown</w:t>
            </w:r>
          </w:p>
        </w:tc>
        <w:tc>
          <w:tcPr>
            <w:tcW w:w="2126" w:type="dxa"/>
            <w:tcBorders>
              <w:top w:val="nil"/>
              <w:left w:val="nil"/>
              <w:bottom w:val="single" w:sz="12" w:space="0" w:color="auto"/>
              <w:right w:val="nil"/>
            </w:tcBorders>
            <w:noWrap/>
          </w:tcPr>
          <w:p w14:paraId="5FEC30D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4</w:t>
            </w:r>
          </w:p>
        </w:tc>
      </w:tr>
    </w:tbl>
    <w:p w14:paraId="11C2B4ED" w14:textId="5CA2FDBD" w:rsidR="001424FF" w:rsidRDefault="00000000">
      <w:pPr>
        <w:adjustRightInd w:val="0"/>
        <w:snapToGrid w:val="0"/>
        <w:spacing w:line="360" w:lineRule="auto"/>
        <w:jc w:val="both"/>
        <w:rPr>
          <w:rFonts w:ascii="Book Antiqua" w:eastAsia="宋体" w:hAnsi="Book Antiqua"/>
        </w:rPr>
      </w:pPr>
      <w:r>
        <w:rPr>
          <w:rFonts w:ascii="Book Antiqua" w:eastAsia="宋体" w:hAnsi="Book Antiqua" w:cs="宋体"/>
        </w:rPr>
        <w:t>CCS:</w:t>
      </w:r>
      <w:r>
        <w:rPr>
          <w:rFonts w:ascii="Book Antiqua" w:hAnsi="Book Antiqua"/>
        </w:rPr>
        <w:t xml:space="preserve"> </w:t>
      </w:r>
      <w:r>
        <w:rPr>
          <w:rFonts w:ascii="Book Antiqua" w:eastAsia="宋体" w:hAnsi="Book Antiqua" w:cs="宋体"/>
        </w:rPr>
        <w:t>Chromosomal Complexity Score</w:t>
      </w:r>
      <w:r>
        <w:rPr>
          <w:rFonts w:ascii="Book Antiqua" w:eastAsia="宋体" w:hAnsi="Book Antiqua"/>
        </w:rPr>
        <w:t>.</w:t>
      </w:r>
    </w:p>
    <w:p w14:paraId="2628D4A7" w14:textId="77777777" w:rsidR="001424FF" w:rsidRDefault="001424FF" w:rsidP="001424FF">
      <w:pPr>
        <w:snapToGrid w:val="0"/>
        <w:ind w:leftChars="100" w:left="240"/>
        <w:jc w:val="center"/>
        <w:rPr>
          <w:rFonts w:ascii="Book Antiqua" w:hAnsi="Book Antiqua"/>
        </w:rPr>
      </w:pPr>
      <w:r>
        <w:rPr>
          <w:rFonts w:ascii="Book Antiqua" w:eastAsia="宋体" w:hAnsi="Book Antiqua"/>
        </w:rPr>
        <w:br w:type="page"/>
      </w:r>
    </w:p>
    <w:p w14:paraId="0772D00E" w14:textId="77777777" w:rsidR="001424FF" w:rsidRDefault="001424FF" w:rsidP="001424FF">
      <w:pPr>
        <w:snapToGrid w:val="0"/>
        <w:ind w:leftChars="100" w:left="240"/>
        <w:jc w:val="center"/>
        <w:rPr>
          <w:rFonts w:ascii="Book Antiqua" w:hAnsi="Book Antiqua"/>
        </w:rPr>
      </w:pPr>
    </w:p>
    <w:p w14:paraId="5AA46434" w14:textId="77777777" w:rsidR="001424FF" w:rsidRDefault="001424FF" w:rsidP="001424FF">
      <w:pPr>
        <w:snapToGrid w:val="0"/>
        <w:ind w:leftChars="100" w:left="240"/>
        <w:jc w:val="center"/>
        <w:rPr>
          <w:rFonts w:ascii="Book Antiqua" w:hAnsi="Book Antiqua"/>
        </w:rPr>
      </w:pPr>
    </w:p>
    <w:p w14:paraId="6FA504CA" w14:textId="77777777" w:rsidR="001424FF" w:rsidRDefault="001424FF" w:rsidP="001424FF">
      <w:pPr>
        <w:snapToGrid w:val="0"/>
        <w:ind w:leftChars="100" w:left="240"/>
        <w:jc w:val="center"/>
        <w:rPr>
          <w:rFonts w:ascii="Book Antiqua" w:hAnsi="Book Antiqua"/>
        </w:rPr>
      </w:pPr>
    </w:p>
    <w:p w14:paraId="28B5BAC9" w14:textId="77777777" w:rsidR="001424FF" w:rsidRDefault="001424FF" w:rsidP="001424FF">
      <w:pPr>
        <w:snapToGrid w:val="0"/>
        <w:ind w:leftChars="100" w:left="240"/>
        <w:jc w:val="center"/>
        <w:rPr>
          <w:rFonts w:ascii="Book Antiqua" w:hAnsi="Book Antiqua"/>
        </w:rPr>
      </w:pPr>
      <w:r>
        <w:rPr>
          <w:rFonts w:ascii="Book Antiqua" w:hAnsi="Book Antiqua"/>
          <w:noProof/>
        </w:rPr>
        <w:drawing>
          <wp:inline distT="0" distB="0" distL="0" distR="0" wp14:anchorId="0DBB6EAB" wp14:editId="6A9145C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ECB7F2B" w14:textId="77777777" w:rsidR="001424FF" w:rsidRDefault="001424FF" w:rsidP="001424FF">
      <w:pPr>
        <w:snapToGrid w:val="0"/>
        <w:ind w:leftChars="100" w:left="240"/>
        <w:jc w:val="center"/>
        <w:rPr>
          <w:rFonts w:ascii="Book Antiqua" w:hAnsi="Book Antiqua"/>
        </w:rPr>
      </w:pPr>
    </w:p>
    <w:p w14:paraId="3FDA7FC5" w14:textId="77777777" w:rsidR="001424FF" w:rsidRDefault="001424FF" w:rsidP="001424F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C6478AA" w14:textId="77777777" w:rsidR="001424FF" w:rsidRDefault="001424FF" w:rsidP="001424F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75F243" w14:textId="77777777" w:rsidR="001424FF" w:rsidRDefault="001424FF" w:rsidP="001424F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DBF2BE" w14:textId="77777777" w:rsidR="001424FF" w:rsidRDefault="001424FF" w:rsidP="001424F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FC4D59" w14:textId="77777777" w:rsidR="001424FF" w:rsidRDefault="001424FF" w:rsidP="001424F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42301F81" w14:textId="77777777" w:rsidR="001424FF" w:rsidRDefault="001424FF" w:rsidP="001424F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B357F57" w14:textId="77777777" w:rsidR="001424FF" w:rsidRDefault="001424FF" w:rsidP="001424FF">
      <w:pPr>
        <w:snapToGrid w:val="0"/>
        <w:ind w:leftChars="100" w:left="240"/>
        <w:jc w:val="center"/>
        <w:rPr>
          <w:rFonts w:ascii="Book Antiqua" w:hAnsi="Book Antiqua"/>
        </w:rPr>
      </w:pPr>
    </w:p>
    <w:p w14:paraId="5E630086" w14:textId="77777777" w:rsidR="001424FF" w:rsidRDefault="001424FF" w:rsidP="001424FF">
      <w:pPr>
        <w:snapToGrid w:val="0"/>
        <w:ind w:leftChars="100" w:left="240"/>
        <w:jc w:val="center"/>
        <w:rPr>
          <w:rFonts w:ascii="Book Antiqua" w:hAnsi="Book Antiqua"/>
        </w:rPr>
      </w:pPr>
    </w:p>
    <w:p w14:paraId="1717FF4E" w14:textId="77777777" w:rsidR="001424FF" w:rsidRDefault="001424FF" w:rsidP="001424FF">
      <w:pPr>
        <w:snapToGrid w:val="0"/>
        <w:ind w:leftChars="100" w:left="240"/>
        <w:jc w:val="center"/>
        <w:rPr>
          <w:rFonts w:ascii="Book Antiqua" w:hAnsi="Book Antiqua"/>
        </w:rPr>
      </w:pPr>
    </w:p>
    <w:p w14:paraId="0EAA1906" w14:textId="77777777" w:rsidR="001424FF" w:rsidRDefault="001424FF" w:rsidP="001424FF">
      <w:pPr>
        <w:snapToGrid w:val="0"/>
        <w:ind w:leftChars="100" w:left="240"/>
        <w:jc w:val="center"/>
        <w:rPr>
          <w:rFonts w:ascii="Book Antiqua" w:hAnsi="Book Antiqua"/>
        </w:rPr>
      </w:pPr>
      <w:r>
        <w:rPr>
          <w:rFonts w:ascii="Book Antiqua" w:hAnsi="Book Antiqua"/>
          <w:noProof/>
        </w:rPr>
        <w:drawing>
          <wp:inline distT="0" distB="0" distL="0" distR="0" wp14:anchorId="622EAAD9" wp14:editId="335D329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E8EABCF" w14:textId="77777777" w:rsidR="001424FF" w:rsidRDefault="001424FF" w:rsidP="001424FF">
      <w:pPr>
        <w:snapToGrid w:val="0"/>
        <w:ind w:leftChars="100" w:left="240"/>
        <w:jc w:val="center"/>
        <w:rPr>
          <w:rFonts w:ascii="Book Antiqua" w:hAnsi="Book Antiqua"/>
        </w:rPr>
      </w:pPr>
    </w:p>
    <w:p w14:paraId="3261F99E" w14:textId="77777777" w:rsidR="001424FF" w:rsidRDefault="001424FF" w:rsidP="001424FF">
      <w:pPr>
        <w:snapToGrid w:val="0"/>
        <w:ind w:leftChars="100" w:left="240"/>
        <w:jc w:val="center"/>
        <w:rPr>
          <w:rFonts w:ascii="Book Antiqua" w:hAnsi="Book Antiqua"/>
        </w:rPr>
      </w:pPr>
    </w:p>
    <w:p w14:paraId="73B1FEEF" w14:textId="77777777" w:rsidR="001424FF" w:rsidRDefault="001424FF" w:rsidP="001424FF">
      <w:pPr>
        <w:snapToGrid w:val="0"/>
        <w:ind w:leftChars="100" w:left="240"/>
        <w:jc w:val="center"/>
        <w:rPr>
          <w:rFonts w:ascii="Book Antiqua" w:hAnsi="Book Antiqua"/>
        </w:rPr>
      </w:pPr>
    </w:p>
    <w:p w14:paraId="0E8DFD2E" w14:textId="77777777" w:rsidR="001424FF" w:rsidRDefault="001424FF" w:rsidP="001424FF">
      <w:pPr>
        <w:snapToGrid w:val="0"/>
        <w:ind w:leftChars="100" w:left="240"/>
        <w:jc w:val="center"/>
        <w:rPr>
          <w:rFonts w:ascii="Book Antiqua" w:hAnsi="Book Antiqua"/>
        </w:rPr>
      </w:pPr>
    </w:p>
    <w:p w14:paraId="783685D4" w14:textId="77777777" w:rsidR="001424FF" w:rsidRDefault="001424FF" w:rsidP="001424FF">
      <w:pPr>
        <w:snapToGrid w:val="0"/>
        <w:ind w:leftChars="100" w:left="240"/>
        <w:jc w:val="center"/>
        <w:rPr>
          <w:rFonts w:ascii="Book Antiqua" w:hAnsi="Book Antiqua"/>
        </w:rPr>
      </w:pPr>
    </w:p>
    <w:p w14:paraId="5EB91817" w14:textId="77777777" w:rsidR="001424FF" w:rsidRDefault="001424FF" w:rsidP="001424FF">
      <w:pPr>
        <w:snapToGrid w:val="0"/>
        <w:ind w:leftChars="100" w:left="240"/>
        <w:jc w:val="center"/>
        <w:rPr>
          <w:rFonts w:ascii="Book Antiqua" w:hAnsi="Book Antiqua"/>
        </w:rPr>
      </w:pPr>
    </w:p>
    <w:p w14:paraId="7DDE10C7" w14:textId="77777777" w:rsidR="001424FF" w:rsidRDefault="001424FF" w:rsidP="001424FF">
      <w:pPr>
        <w:snapToGrid w:val="0"/>
        <w:ind w:leftChars="100" w:left="240"/>
        <w:jc w:val="center"/>
        <w:rPr>
          <w:rFonts w:ascii="Book Antiqua" w:hAnsi="Book Antiqua"/>
        </w:rPr>
      </w:pPr>
    </w:p>
    <w:p w14:paraId="4B36AE1C" w14:textId="77777777" w:rsidR="001424FF" w:rsidRDefault="001424FF" w:rsidP="001424FF">
      <w:pPr>
        <w:snapToGrid w:val="0"/>
        <w:ind w:leftChars="100" w:left="240"/>
        <w:jc w:val="center"/>
        <w:rPr>
          <w:rFonts w:ascii="Book Antiqua" w:hAnsi="Book Antiqua"/>
        </w:rPr>
      </w:pPr>
    </w:p>
    <w:p w14:paraId="0BC23FC4" w14:textId="77777777" w:rsidR="001424FF" w:rsidRDefault="001424FF" w:rsidP="001424FF">
      <w:pPr>
        <w:snapToGrid w:val="0"/>
        <w:ind w:leftChars="100" w:left="240"/>
        <w:jc w:val="center"/>
        <w:rPr>
          <w:rFonts w:ascii="Book Antiqua" w:hAnsi="Book Antiqua"/>
        </w:rPr>
      </w:pPr>
    </w:p>
    <w:p w14:paraId="361502A4" w14:textId="77777777" w:rsidR="001424FF" w:rsidRDefault="001424FF" w:rsidP="001424FF">
      <w:pPr>
        <w:snapToGrid w:val="0"/>
        <w:ind w:leftChars="100" w:left="240"/>
        <w:jc w:val="right"/>
        <w:rPr>
          <w:rFonts w:ascii="Book Antiqua" w:hAnsi="Book Antiqua"/>
          <w:color w:val="000000" w:themeColor="text1"/>
        </w:rPr>
      </w:pPr>
    </w:p>
    <w:p w14:paraId="5F132F82" w14:textId="77777777" w:rsidR="001424FF" w:rsidRDefault="001424FF" w:rsidP="001424F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E127793" w14:textId="77777777" w:rsidR="001424FF" w:rsidRDefault="001424FF" w:rsidP="001424FF">
      <w:pPr>
        <w:rPr>
          <w:rFonts w:ascii="Book Antiqua" w:hAnsi="Book Antiqua" w:cs="Book Antiqua"/>
          <w:b/>
          <w:bCs/>
          <w:color w:val="000000"/>
        </w:rPr>
      </w:pPr>
    </w:p>
    <w:p w14:paraId="76B36E7F" w14:textId="25822B14" w:rsidR="00DE3F5E" w:rsidRDefault="00DE3F5E">
      <w:pPr>
        <w:adjustRightInd w:val="0"/>
        <w:snapToGrid w:val="0"/>
        <w:spacing w:line="360" w:lineRule="auto"/>
        <w:jc w:val="both"/>
        <w:rPr>
          <w:rFonts w:ascii="Book Antiqua" w:eastAsia="宋体" w:hAnsi="Book Antiqua"/>
        </w:rPr>
      </w:pPr>
    </w:p>
    <w:sectPr w:rsidR="00DE3F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4CB85" w14:textId="77777777" w:rsidR="00DD69BE" w:rsidRDefault="00DD69BE">
      <w:r>
        <w:separator/>
      </w:r>
    </w:p>
  </w:endnote>
  <w:endnote w:type="continuationSeparator" w:id="0">
    <w:p w14:paraId="30AC725F" w14:textId="77777777" w:rsidR="00DD69BE" w:rsidRDefault="00DD6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72173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7F679747" w14:textId="77777777" w:rsidR="00DE3F5E"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4237421" w14:textId="77777777" w:rsidR="00DE3F5E" w:rsidRDefault="00DE3F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303D7" w14:textId="77777777" w:rsidR="00DD69BE" w:rsidRDefault="00DD69BE">
      <w:r>
        <w:separator/>
      </w:r>
    </w:p>
  </w:footnote>
  <w:footnote w:type="continuationSeparator" w:id="0">
    <w:p w14:paraId="435AEE74" w14:textId="77777777" w:rsidR="00DD69BE" w:rsidRDefault="00DD69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GI0YmYwNThkMDU0NGM4YzgwN2IzNzNkMWVhNWM3NjMifQ=="/>
  </w:docVars>
  <w:rsids>
    <w:rsidRoot w:val="00A77B3E"/>
    <w:rsid w:val="000064B3"/>
    <w:rsid w:val="00022904"/>
    <w:rsid w:val="000302FF"/>
    <w:rsid w:val="000445A4"/>
    <w:rsid w:val="000B27B6"/>
    <w:rsid w:val="000C34D6"/>
    <w:rsid w:val="000D23F8"/>
    <w:rsid w:val="000D3745"/>
    <w:rsid w:val="000E327F"/>
    <w:rsid w:val="001424FF"/>
    <w:rsid w:val="00172236"/>
    <w:rsid w:val="001855ED"/>
    <w:rsid w:val="001868E2"/>
    <w:rsid w:val="00186B1D"/>
    <w:rsid w:val="00187E24"/>
    <w:rsid w:val="001A065A"/>
    <w:rsid w:val="001F3E07"/>
    <w:rsid w:val="00203C9A"/>
    <w:rsid w:val="00222211"/>
    <w:rsid w:val="002228EB"/>
    <w:rsid w:val="0024773E"/>
    <w:rsid w:val="0027647B"/>
    <w:rsid w:val="002A3269"/>
    <w:rsid w:val="0030145F"/>
    <w:rsid w:val="0030204B"/>
    <w:rsid w:val="00310852"/>
    <w:rsid w:val="00366E5C"/>
    <w:rsid w:val="0038351D"/>
    <w:rsid w:val="003873BC"/>
    <w:rsid w:val="003A0A93"/>
    <w:rsid w:val="003B262A"/>
    <w:rsid w:val="003C388A"/>
    <w:rsid w:val="003C484B"/>
    <w:rsid w:val="00400456"/>
    <w:rsid w:val="00402901"/>
    <w:rsid w:val="00420267"/>
    <w:rsid w:val="00423116"/>
    <w:rsid w:val="004353E3"/>
    <w:rsid w:val="0044448B"/>
    <w:rsid w:val="00486B82"/>
    <w:rsid w:val="0049042A"/>
    <w:rsid w:val="00491415"/>
    <w:rsid w:val="004A4942"/>
    <w:rsid w:val="004A608C"/>
    <w:rsid w:val="004A6840"/>
    <w:rsid w:val="004B1180"/>
    <w:rsid w:val="004D58B7"/>
    <w:rsid w:val="005108BE"/>
    <w:rsid w:val="00530461"/>
    <w:rsid w:val="00535613"/>
    <w:rsid w:val="0054455E"/>
    <w:rsid w:val="005778F4"/>
    <w:rsid w:val="00586504"/>
    <w:rsid w:val="00587979"/>
    <w:rsid w:val="005B73E5"/>
    <w:rsid w:val="005E522C"/>
    <w:rsid w:val="0060151E"/>
    <w:rsid w:val="00603C3D"/>
    <w:rsid w:val="006547C5"/>
    <w:rsid w:val="006567E5"/>
    <w:rsid w:val="00676774"/>
    <w:rsid w:val="00680B0A"/>
    <w:rsid w:val="006A3BCF"/>
    <w:rsid w:val="006B16D4"/>
    <w:rsid w:val="006E2452"/>
    <w:rsid w:val="0071190D"/>
    <w:rsid w:val="00762735"/>
    <w:rsid w:val="0077553C"/>
    <w:rsid w:val="00784973"/>
    <w:rsid w:val="007D4E14"/>
    <w:rsid w:val="007E4349"/>
    <w:rsid w:val="007F19AE"/>
    <w:rsid w:val="007F2670"/>
    <w:rsid w:val="00817947"/>
    <w:rsid w:val="008234E5"/>
    <w:rsid w:val="0085516C"/>
    <w:rsid w:val="008C30FB"/>
    <w:rsid w:val="008E01A8"/>
    <w:rsid w:val="00922B02"/>
    <w:rsid w:val="0093459B"/>
    <w:rsid w:val="00937C7F"/>
    <w:rsid w:val="00981DEE"/>
    <w:rsid w:val="009829C4"/>
    <w:rsid w:val="00982ACD"/>
    <w:rsid w:val="009B475B"/>
    <w:rsid w:val="009E5EE4"/>
    <w:rsid w:val="00A73B59"/>
    <w:rsid w:val="00A77348"/>
    <w:rsid w:val="00A77B3E"/>
    <w:rsid w:val="00A77D49"/>
    <w:rsid w:val="00A80B67"/>
    <w:rsid w:val="00A85A31"/>
    <w:rsid w:val="00A86D36"/>
    <w:rsid w:val="00A92B84"/>
    <w:rsid w:val="00AB03C8"/>
    <w:rsid w:val="00AC6AF5"/>
    <w:rsid w:val="00AD53D3"/>
    <w:rsid w:val="00AE734B"/>
    <w:rsid w:val="00B141FD"/>
    <w:rsid w:val="00B20579"/>
    <w:rsid w:val="00B41A8B"/>
    <w:rsid w:val="00BB208D"/>
    <w:rsid w:val="00BC2032"/>
    <w:rsid w:val="00BD6025"/>
    <w:rsid w:val="00BD6499"/>
    <w:rsid w:val="00C25569"/>
    <w:rsid w:val="00C449E2"/>
    <w:rsid w:val="00C577D3"/>
    <w:rsid w:val="00C66345"/>
    <w:rsid w:val="00C7492F"/>
    <w:rsid w:val="00C87A2B"/>
    <w:rsid w:val="00CA2A55"/>
    <w:rsid w:val="00CA2C6B"/>
    <w:rsid w:val="00CE4E14"/>
    <w:rsid w:val="00CF720F"/>
    <w:rsid w:val="00D5101A"/>
    <w:rsid w:val="00D61EA6"/>
    <w:rsid w:val="00D6236F"/>
    <w:rsid w:val="00D911D5"/>
    <w:rsid w:val="00DB6A5C"/>
    <w:rsid w:val="00DD69BE"/>
    <w:rsid w:val="00DE3F5E"/>
    <w:rsid w:val="00DE5DEF"/>
    <w:rsid w:val="00DF5D01"/>
    <w:rsid w:val="00E17A88"/>
    <w:rsid w:val="00E32664"/>
    <w:rsid w:val="00E51E01"/>
    <w:rsid w:val="00E61CA0"/>
    <w:rsid w:val="00E95D1C"/>
    <w:rsid w:val="00ED5492"/>
    <w:rsid w:val="00F050E1"/>
    <w:rsid w:val="00F542DD"/>
    <w:rsid w:val="00F72DA1"/>
    <w:rsid w:val="00FE486E"/>
    <w:rsid w:val="00FF7625"/>
    <w:rsid w:val="4BCD3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4639C9"/>
  <w15:docId w15:val="{D3B5BDD1-F7EA-4435-97CA-EDABF3CE1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table" w:styleId="ab">
    <w:name w:val="Table Grid"/>
    <w:basedOn w:val="a1"/>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styleId="ad">
    <w:name w:val="Revision"/>
    <w:hidden/>
    <w:uiPriority w:val="99"/>
    <w:unhideWhenUsed/>
    <w:rsid w:val="004A6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68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nemania.or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david.ncifcrf.gov/"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yangjigang@ccmu.edu.cn" TargetMode="Externa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dgidb.org/"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37</Pages>
  <Words>6889</Words>
  <Characters>39270</Characters>
  <Application>Microsoft Office Word</Application>
  <DocSecurity>0</DocSecurity>
  <Lines>327</Lines>
  <Paragraphs>92</Paragraphs>
  <ScaleCrop>false</ScaleCrop>
  <Company/>
  <LinksUpToDate>false</LinksUpToDate>
  <CharactersWithSpaces>46067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linco</dc:creator>
  <cp:lastModifiedBy>M18955</cp:lastModifiedBy>
  <cp:revision>53</cp:revision>
  <dcterms:created xsi:type="dcterms:W3CDTF">2023-09-11T08:21:00Z</dcterms:created>
  <dcterms:modified xsi:type="dcterms:W3CDTF">2023-10-19T03:12:00Z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01D00A23A69F4C09B412FB7F56A6887C_12</vt:lpwstr>
  </property>
</Properties>
</file>