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27CE"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rPr>
        <w:t xml:space="preserve">Name of Journal: </w:t>
      </w:r>
      <w:r w:rsidRPr="00CE54E5">
        <w:rPr>
          <w:rFonts w:ascii="Book Antiqua" w:eastAsia="Book Antiqua" w:hAnsi="Book Antiqua" w:cs="Book Antiqua"/>
          <w:i/>
        </w:rPr>
        <w:t>World Journal of Gastroenterology</w:t>
      </w:r>
    </w:p>
    <w:p w14:paraId="7593D12A"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rPr>
        <w:t xml:space="preserve">Manuscript NO: </w:t>
      </w:r>
      <w:r w:rsidRPr="00CE54E5">
        <w:rPr>
          <w:rFonts w:ascii="Book Antiqua" w:eastAsia="Book Antiqua" w:hAnsi="Book Antiqua" w:cs="Book Antiqua"/>
        </w:rPr>
        <w:t>87029</w:t>
      </w:r>
    </w:p>
    <w:p w14:paraId="42CC3577"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rPr>
        <w:t xml:space="preserve">Manuscript Type: </w:t>
      </w:r>
      <w:r w:rsidRPr="00CE54E5">
        <w:rPr>
          <w:rFonts w:ascii="Book Antiqua" w:eastAsia="Book Antiqua" w:hAnsi="Book Antiqua" w:cs="Book Antiqua"/>
        </w:rPr>
        <w:t>REVIEW</w:t>
      </w:r>
    </w:p>
    <w:p w14:paraId="2F2BDDCA" w14:textId="77777777" w:rsidR="001043FD" w:rsidRPr="00CE54E5" w:rsidRDefault="001043FD">
      <w:pPr>
        <w:adjustRightInd w:val="0"/>
        <w:snapToGrid w:val="0"/>
        <w:spacing w:line="360" w:lineRule="auto"/>
        <w:jc w:val="both"/>
        <w:rPr>
          <w:rFonts w:ascii="Book Antiqua" w:hAnsi="Book Antiqua" w:cs="Book Antiqua"/>
        </w:rPr>
      </w:pPr>
    </w:p>
    <w:p w14:paraId="40E853C4"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bCs/>
          <w:color w:val="000000"/>
        </w:rPr>
        <w:t>New insights into the pathogenesis of primary biliary cholangitis asymptomatic stage</w:t>
      </w:r>
    </w:p>
    <w:p w14:paraId="2BE267B0" w14:textId="77777777" w:rsidR="001043FD" w:rsidRPr="00CE54E5" w:rsidRDefault="001043FD">
      <w:pPr>
        <w:adjustRightInd w:val="0"/>
        <w:snapToGrid w:val="0"/>
        <w:spacing w:line="360" w:lineRule="auto"/>
        <w:jc w:val="both"/>
        <w:rPr>
          <w:rFonts w:ascii="Book Antiqua" w:hAnsi="Book Antiqua" w:cs="Book Antiqua"/>
        </w:rPr>
      </w:pPr>
    </w:p>
    <w:p w14:paraId="27B08A7A"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color w:val="000000"/>
        </w:rPr>
        <w:t>Reshetnyak</w:t>
      </w:r>
      <w:r w:rsidRPr="00CE54E5">
        <w:rPr>
          <w:rFonts w:ascii="Book Antiqua" w:eastAsia="宋体" w:hAnsi="Book Antiqua" w:cs="Book Antiqua" w:hint="eastAsia"/>
          <w:color w:val="000000"/>
          <w:lang w:eastAsia="zh-CN"/>
        </w:rPr>
        <w:t xml:space="preserve"> VI </w:t>
      </w:r>
      <w:r w:rsidRPr="00CE54E5">
        <w:rPr>
          <w:rFonts w:ascii="Book Antiqua" w:eastAsia="宋体" w:hAnsi="Book Antiqua" w:cs="Book Antiqua" w:hint="eastAsia"/>
          <w:i/>
          <w:iCs/>
          <w:color w:val="000000"/>
          <w:lang w:eastAsia="zh-CN"/>
        </w:rPr>
        <w:t>et al</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shd w:val="clear" w:color="auto" w:fill="FFFFFF"/>
        </w:rPr>
        <w:t>PBC asymptomatic stage pathogenesis</w:t>
      </w:r>
    </w:p>
    <w:p w14:paraId="3ABD455C" w14:textId="77777777" w:rsidR="001043FD" w:rsidRPr="00CE54E5" w:rsidRDefault="001043FD">
      <w:pPr>
        <w:adjustRightInd w:val="0"/>
        <w:snapToGrid w:val="0"/>
        <w:spacing w:line="360" w:lineRule="auto"/>
        <w:jc w:val="both"/>
        <w:rPr>
          <w:rFonts w:ascii="Book Antiqua" w:hAnsi="Book Antiqua" w:cs="Book Antiqua"/>
        </w:rPr>
      </w:pPr>
    </w:p>
    <w:p w14:paraId="0A1AA880"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color w:val="000000"/>
        </w:rPr>
        <w:t>Vasiliy Ivanovich Reshetnyak, Igor Veniaminovich Maev</w:t>
      </w:r>
    </w:p>
    <w:p w14:paraId="3BBEF451" w14:textId="77777777" w:rsidR="001043FD" w:rsidRPr="00CE54E5" w:rsidRDefault="001043FD">
      <w:pPr>
        <w:adjustRightInd w:val="0"/>
        <w:snapToGrid w:val="0"/>
        <w:spacing w:line="360" w:lineRule="auto"/>
        <w:jc w:val="both"/>
        <w:rPr>
          <w:rFonts w:ascii="Book Antiqua" w:hAnsi="Book Antiqua" w:cs="Book Antiqua"/>
        </w:rPr>
      </w:pPr>
    </w:p>
    <w:p w14:paraId="27AF9BA6"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bCs/>
          <w:color w:val="000000"/>
        </w:rPr>
        <w:t xml:space="preserve">Vasiliy Ivanovich Reshetnyak, Igor Veniaminovich Maev, </w:t>
      </w:r>
      <w:r w:rsidRPr="00CE54E5">
        <w:rPr>
          <w:rFonts w:ascii="Book Antiqua" w:eastAsia="Book Antiqua" w:hAnsi="Book Antiqua" w:cs="Book Antiqua"/>
          <w:color w:val="000000"/>
        </w:rPr>
        <w:t>Department of Propaedeutics of Internal Diseases and Gastroenterology, A.I. Yevdokimov Moscow State University of Medicine and Dentistry, Moscow 127473, Russia</w:t>
      </w:r>
    </w:p>
    <w:p w14:paraId="16F2E914" w14:textId="77777777" w:rsidR="001043FD" w:rsidRPr="00CE54E5" w:rsidRDefault="001043FD">
      <w:pPr>
        <w:adjustRightInd w:val="0"/>
        <w:snapToGrid w:val="0"/>
        <w:spacing w:line="360" w:lineRule="auto"/>
        <w:jc w:val="both"/>
        <w:rPr>
          <w:rFonts w:ascii="Book Antiqua" w:hAnsi="Book Antiqua" w:cs="Book Antiqua"/>
        </w:rPr>
      </w:pPr>
    </w:p>
    <w:p w14:paraId="7FE45976" w14:textId="77777777" w:rsidR="001043FD" w:rsidRPr="00CE54E5" w:rsidRDefault="00000000">
      <w:pPr>
        <w:adjustRightInd w:val="0"/>
        <w:snapToGrid w:val="0"/>
        <w:spacing w:line="360" w:lineRule="auto"/>
        <w:jc w:val="both"/>
        <w:rPr>
          <w:rFonts w:ascii="Book Antiqua" w:eastAsia="宋体" w:hAnsi="Book Antiqua" w:cs="Book Antiqua"/>
          <w:lang w:eastAsia="zh-CN"/>
        </w:rPr>
      </w:pPr>
      <w:r w:rsidRPr="00CE54E5">
        <w:rPr>
          <w:rFonts w:ascii="Book Antiqua" w:eastAsia="Book Antiqua" w:hAnsi="Book Antiqua" w:cs="Book Antiqua"/>
          <w:b/>
          <w:bCs/>
          <w:color w:val="000000"/>
        </w:rPr>
        <w:t xml:space="preserve">Author contributions: </w:t>
      </w:r>
      <w:r w:rsidRPr="00CE54E5">
        <w:rPr>
          <w:rFonts w:ascii="Book Antiqua" w:eastAsia="Book Antiqua" w:hAnsi="Book Antiqua" w:cs="Book Antiqua"/>
          <w:color w:val="000000"/>
        </w:rPr>
        <w:t>Reshetnyak</w:t>
      </w:r>
      <w:r w:rsidRPr="00CE54E5">
        <w:rPr>
          <w:rFonts w:ascii="Book Antiqua" w:eastAsia="宋体" w:hAnsi="Book Antiqua" w:cs="Book Antiqua" w:hint="eastAsia"/>
          <w:color w:val="000000"/>
          <w:lang w:eastAsia="zh-CN"/>
        </w:rPr>
        <w:t xml:space="preserve"> VI and</w:t>
      </w:r>
      <w:r w:rsidRPr="00CE54E5">
        <w:rPr>
          <w:rFonts w:ascii="Book Antiqua" w:eastAsia="Book Antiqua" w:hAnsi="Book Antiqua" w:cs="Book Antiqua"/>
          <w:color w:val="000000"/>
        </w:rPr>
        <w:t xml:space="preserve"> Maev</w:t>
      </w:r>
      <w:r w:rsidRPr="00CE54E5">
        <w:rPr>
          <w:rFonts w:ascii="Book Antiqua" w:eastAsia="宋体" w:hAnsi="Book Antiqua" w:cs="Book Antiqua" w:hint="eastAsia"/>
          <w:color w:val="000000"/>
          <w:lang w:eastAsia="zh-CN"/>
        </w:rPr>
        <w:t xml:space="preserve"> IV </w:t>
      </w:r>
      <w:r w:rsidRPr="00CE54E5">
        <w:rPr>
          <w:rFonts w:ascii="Book Antiqua" w:eastAsia="Book Antiqua" w:hAnsi="Book Antiqua" w:cs="Book Antiqua"/>
          <w:color w:val="000000"/>
        </w:rPr>
        <w:t>have equally contributed to the study conception and design, literature review and analysis, drafting, critical revision and editing, and approval of the final version</w:t>
      </w:r>
      <w:r w:rsidRPr="00CE54E5">
        <w:rPr>
          <w:rFonts w:ascii="Book Antiqua" w:eastAsia="宋体" w:hAnsi="Book Antiqua" w:cs="Book Antiqua" w:hint="eastAsia"/>
          <w:color w:val="000000"/>
          <w:lang w:eastAsia="zh-CN"/>
        </w:rPr>
        <w:t>.</w:t>
      </w:r>
    </w:p>
    <w:p w14:paraId="764902B8" w14:textId="77777777" w:rsidR="001043FD" w:rsidRPr="00CE54E5" w:rsidRDefault="001043FD">
      <w:pPr>
        <w:adjustRightInd w:val="0"/>
        <w:snapToGrid w:val="0"/>
        <w:spacing w:line="360" w:lineRule="auto"/>
        <w:jc w:val="both"/>
        <w:rPr>
          <w:rFonts w:ascii="Book Antiqua" w:hAnsi="Book Antiqua" w:cs="Book Antiqua"/>
        </w:rPr>
      </w:pPr>
    </w:p>
    <w:p w14:paraId="69FA3A9D"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bCs/>
          <w:color w:val="000000"/>
        </w:rPr>
        <w:t xml:space="preserve">Corresponding author: Vasiliy Ivanovich Reshetnyak, DSc, MD, PhD, Full Professor, </w:t>
      </w:r>
      <w:r w:rsidRPr="00CE54E5">
        <w:rPr>
          <w:rFonts w:ascii="Book Antiqua" w:eastAsia="Book Antiqua" w:hAnsi="Book Antiqua" w:cs="Book Antiqua"/>
          <w:color w:val="000000"/>
        </w:rPr>
        <w:t xml:space="preserve">Department of Propaedeutics of Internal Diseases and Gastroenterology, A.I. Yevdokimov Moscow State University of Medicine and Dentistry, </w:t>
      </w:r>
      <w:r w:rsidRPr="00CE54E5">
        <w:rPr>
          <w:rFonts w:ascii="Book Antiqua" w:eastAsia="宋体" w:hAnsi="Book Antiqua" w:cs="Book Antiqua" w:hint="eastAsia"/>
          <w:color w:val="000000"/>
          <w:lang w:eastAsia="zh-CN"/>
        </w:rPr>
        <w:t xml:space="preserve">No. </w:t>
      </w:r>
      <w:r w:rsidRPr="00CE54E5">
        <w:rPr>
          <w:rFonts w:ascii="Book Antiqua" w:eastAsia="Book Antiqua" w:hAnsi="Book Antiqua" w:cs="Book Antiqua"/>
          <w:color w:val="000000"/>
        </w:rPr>
        <w:t>20 Delegatskaya St, Moscow 127473, Russia. vasiliy.reshetnyak@yandex.ru</w:t>
      </w:r>
    </w:p>
    <w:p w14:paraId="3FA776EC" w14:textId="77777777" w:rsidR="001043FD" w:rsidRPr="00CE54E5" w:rsidRDefault="001043FD">
      <w:pPr>
        <w:adjustRightInd w:val="0"/>
        <w:snapToGrid w:val="0"/>
        <w:spacing w:line="360" w:lineRule="auto"/>
        <w:jc w:val="both"/>
        <w:rPr>
          <w:rFonts w:ascii="Book Antiqua" w:hAnsi="Book Antiqua" w:cs="Book Antiqua"/>
        </w:rPr>
      </w:pPr>
    </w:p>
    <w:p w14:paraId="168A0611"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bCs/>
        </w:rPr>
        <w:t xml:space="preserve">Received: </w:t>
      </w:r>
      <w:r w:rsidRPr="00CE54E5">
        <w:rPr>
          <w:rFonts w:ascii="Book Antiqua" w:eastAsia="Book Antiqua" w:hAnsi="Book Antiqua" w:cs="Book Antiqua"/>
        </w:rPr>
        <w:t>July 19, 2023</w:t>
      </w:r>
    </w:p>
    <w:p w14:paraId="481774D8"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bCs/>
        </w:rPr>
        <w:t xml:space="preserve">Revised: </w:t>
      </w:r>
      <w:r w:rsidRPr="00CE54E5">
        <w:rPr>
          <w:rFonts w:ascii="Book Antiqua" w:eastAsia="Book Antiqua" w:hAnsi="Book Antiqua" w:cs="Book Antiqua"/>
        </w:rPr>
        <w:t>August 10, 2023</w:t>
      </w:r>
    </w:p>
    <w:p w14:paraId="46EA64ED" w14:textId="6CD8A2F6"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bCs/>
        </w:rPr>
        <w:t xml:space="preserve">Accepted: </w:t>
      </w:r>
      <w:bookmarkStart w:id="0" w:name="_Hlk145687232"/>
      <w:r w:rsidR="00D26DB0" w:rsidRPr="00CE54E5">
        <w:rPr>
          <w:rFonts w:ascii="Book Antiqua" w:eastAsia="Book Antiqua" w:hAnsi="Book Antiqua" w:cs="Book Antiqua"/>
        </w:rPr>
        <w:t>September 14, 2023</w:t>
      </w:r>
      <w:bookmarkEnd w:id="0"/>
    </w:p>
    <w:p w14:paraId="292EA580" w14:textId="7E8FBA2A"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bCs/>
        </w:rPr>
        <w:t xml:space="preserve">Published online: </w:t>
      </w:r>
      <w:r w:rsidR="00E22A0B" w:rsidRPr="00CE54E5">
        <w:rPr>
          <w:rFonts w:ascii="Book Antiqua" w:hAnsi="Book Antiqua"/>
          <w:color w:val="000000"/>
          <w:shd w:val="clear" w:color="auto" w:fill="FFFFFF"/>
        </w:rPr>
        <w:t>October 7, 2023</w:t>
      </w:r>
    </w:p>
    <w:p w14:paraId="7D8FEB53" w14:textId="77777777" w:rsidR="001043FD" w:rsidRPr="00CE54E5" w:rsidRDefault="001043FD">
      <w:pPr>
        <w:adjustRightInd w:val="0"/>
        <w:snapToGrid w:val="0"/>
        <w:spacing w:line="360" w:lineRule="auto"/>
        <w:jc w:val="both"/>
        <w:rPr>
          <w:rFonts w:ascii="Book Antiqua" w:hAnsi="Book Antiqua" w:cs="Book Antiqua"/>
        </w:rPr>
        <w:sectPr w:rsidR="001043FD" w:rsidRPr="00CE54E5">
          <w:footerReference w:type="default" r:id="rId7"/>
          <w:pgSz w:w="12240" w:h="15840"/>
          <w:pgMar w:top="1440" w:right="1440" w:bottom="1440" w:left="1440" w:header="720" w:footer="720" w:gutter="0"/>
          <w:cols w:space="720"/>
          <w:docGrid w:linePitch="360"/>
        </w:sectPr>
      </w:pPr>
    </w:p>
    <w:p w14:paraId="1543C877"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color w:val="000000"/>
        </w:rPr>
        <w:lastRenderedPageBreak/>
        <w:t>Abstract</w:t>
      </w:r>
    </w:p>
    <w:p w14:paraId="646E33B4"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rPr>
        <w:t>Primary biliary cholangitis (PBC) is a chronic cholestatic progressive liver disease and one of the most important progressive cholangiopathies in adults. Damage to cholangiocytes triggers the development of intrahepatic cholestasis, which progresses to cirrhosis in the terminal stage of the disease. Accumulating data indicate that damage to biliary epithelial cells [</w:t>
      </w:r>
      <w:r w:rsidRPr="00CE54E5">
        <w:rPr>
          <w:rFonts w:ascii="Book Antiqua" w:eastAsia="宋体" w:hAnsi="Book Antiqua" w:cs="Book Antiqua" w:hint="eastAsia"/>
          <w:lang w:eastAsia="zh-CN"/>
        </w:rPr>
        <w:t>(</w:t>
      </w:r>
      <w:r w:rsidRPr="00CE54E5">
        <w:rPr>
          <w:rFonts w:ascii="Book Antiqua" w:eastAsia="Book Antiqua" w:hAnsi="Book Antiqua" w:cs="Book Antiqua"/>
        </w:rPr>
        <w:t>BECs</w:t>
      </w:r>
      <w:r w:rsidRPr="00CE54E5">
        <w:rPr>
          <w:rFonts w:ascii="Book Antiqua" w:eastAsia="宋体" w:hAnsi="Book Antiqua" w:cs="Book Antiqua" w:hint="eastAsia"/>
          <w:lang w:eastAsia="zh-CN"/>
        </w:rPr>
        <w:t>)</w:t>
      </w:r>
      <w:r w:rsidRPr="00CE54E5">
        <w:rPr>
          <w:rFonts w:ascii="Book Antiqua" w:eastAsia="Book Antiqua" w:hAnsi="Book Antiqua" w:cs="Book Antiqua"/>
        </w:rPr>
        <w:t>, cholangiocytes] is most likely associated with the intracellular accumulation of bile acids, which have potent detergent properties and damaging effects on cell membranes. The mechanisms underlying uncontrolled bile acid intake into BECs in PBC are associated with pH change in the bile duct lumen, which is controlled by the bicarbonate (HCO</w:t>
      </w:r>
      <w:r w:rsidRPr="00CE54E5">
        <w:rPr>
          <w:rFonts w:ascii="Book Antiqua" w:eastAsia="Book Antiqua" w:hAnsi="Book Antiqua" w:cs="Book Antiqua"/>
          <w:szCs w:val="36"/>
          <w:vertAlign w:val="subscript"/>
        </w:rPr>
        <w:t>3</w:t>
      </w:r>
      <w:r w:rsidRPr="00CE54E5">
        <w:rPr>
          <w:rFonts w:ascii="Book Antiqua" w:eastAsia="Book Antiqua" w:hAnsi="Book Antiqua" w:cs="Book Antiqua"/>
          <w:szCs w:val="36"/>
          <w:vertAlign w:val="superscript"/>
        </w:rPr>
        <w:t>-</w:t>
      </w:r>
      <w:r w:rsidRPr="00CE54E5">
        <w:rPr>
          <w:rFonts w:ascii="Book Antiqua" w:eastAsia="Book Antiqua" w:hAnsi="Book Antiqua" w:cs="Book Antiqua"/>
        </w:rPr>
        <w:t>) buffer system “biliary HCO</w:t>
      </w:r>
      <w:r w:rsidRPr="00CE54E5">
        <w:rPr>
          <w:rFonts w:ascii="Book Antiqua" w:eastAsia="Book Antiqua" w:hAnsi="Book Antiqua" w:cs="Book Antiqua"/>
          <w:szCs w:val="36"/>
          <w:vertAlign w:val="subscript"/>
        </w:rPr>
        <w:t>3</w:t>
      </w:r>
      <w:r w:rsidRPr="00CE54E5">
        <w:rPr>
          <w:rFonts w:ascii="Book Antiqua" w:eastAsia="Book Antiqua" w:hAnsi="Book Antiqua" w:cs="Book Antiqua"/>
          <w:szCs w:val="36"/>
          <w:vertAlign w:val="superscript"/>
        </w:rPr>
        <w:t>-</w:t>
      </w:r>
      <w:r w:rsidRPr="00CE54E5">
        <w:rPr>
          <w:rFonts w:ascii="Book Antiqua" w:eastAsia="宋体" w:hAnsi="Book Antiqua" w:cs="Book Antiqua" w:hint="eastAsia"/>
          <w:lang w:eastAsia="zh-CN"/>
        </w:rPr>
        <w:t xml:space="preserve"> </w:t>
      </w:r>
      <w:r w:rsidRPr="00CE54E5">
        <w:rPr>
          <w:rFonts w:ascii="Book Antiqua" w:eastAsia="Book Antiqua" w:hAnsi="Book Antiqua" w:cs="Book Antiqua"/>
        </w:rPr>
        <w:t>umbrella”. The impaired production and entry of HCO</w:t>
      </w:r>
      <w:r w:rsidRPr="00CE54E5">
        <w:rPr>
          <w:rFonts w:ascii="Book Antiqua" w:eastAsia="Book Antiqua" w:hAnsi="Book Antiqua" w:cs="Book Antiqua"/>
          <w:szCs w:val="36"/>
          <w:vertAlign w:val="subscript"/>
        </w:rPr>
        <w:t>3</w:t>
      </w:r>
      <w:r w:rsidRPr="00CE54E5">
        <w:rPr>
          <w:rFonts w:ascii="Book Antiqua" w:eastAsia="Book Antiqua" w:hAnsi="Book Antiqua" w:cs="Book Antiqua"/>
          <w:szCs w:val="36"/>
          <w:vertAlign w:val="superscript"/>
        </w:rPr>
        <w:t>-</w:t>
      </w:r>
      <w:r w:rsidRPr="00CE54E5">
        <w:rPr>
          <w:rFonts w:ascii="Book Antiqua" w:eastAsia="宋体" w:hAnsi="Book Antiqua" w:cs="Book Antiqua" w:hint="eastAsia"/>
          <w:lang w:eastAsia="zh-CN"/>
        </w:rPr>
        <w:t xml:space="preserve"> </w:t>
      </w:r>
      <w:r w:rsidRPr="00CE54E5">
        <w:rPr>
          <w:rFonts w:ascii="Book Antiqua" w:eastAsia="Book Antiqua" w:hAnsi="Book Antiqua" w:cs="Book Antiqua"/>
        </w:rPr>
        <w:t>from BECs into the bile duct lumen is due to epigenetic changes in expression of the X-linked microRNA 506. Based on the growing body of knowledge on the molecular mechanisms of cholangiocyte damage in patients with PBC, we propose a hypothesis explaining the pathogenesis of the first morphologic (ductulopenia), immunologic (antimitochondrial autoantibodies) and clinical (weakness, malaise, rapid fatigue) signs of the disease in the asymptomatic stage. This review focuses on the consideration of these mechanisms.</w:t>
      </w:r>
    </w:p>
    <w:p w14:paraId="72C25C40" w14:textId="77777777" w:rsidR="001043FD" w:rsidRPr="00CE54E5" w:rsidRDefault="001043FD">
      <w:pPr>
        <w:adjustRightInd w:val="0"/>
        <w:snapToGrid w:val="0"/>
        <w:spacing w:line="360" w:lineRule="auto"/>
        <w:jc w:val="both"/>
        <w:rPr>
          <w:rFonts w:ascii="Book Antiqua" w:hAnsi="Book Antiqua" w:cs="Book Antiqua"/>
        </w:rPr>
      </w:pPr>
    </w:p>
    <w:p w14:paraId="2559F79E"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bCs/>
        </w:rPr>
        <w:t xml:space="preserve">Key Words: </w:t>
      </w:r>
      <w:r w:rsidRPr="00CE54E5">
        <w:rPr>
          <w:rFonts w:ascii="Book Antiqua" w:eastAsia="Book Antiqua" w:hAnsi="Book Antiqua" w:cs="Book Antiqua"/>
        </w:rPr>
        <w:t>Primary biliary cholangitis; Antimitochondrial autoantibodies; MicroRNA 506; Inositol-1,4,5-trisphosphate receptor type 3; Chloride/bicarbonate</w:t>
      </w:r>
      <w:r w:rsidRPr="00CE54E5">
        <w:rPr>
          <w:rFonts w:ascii="Book Antiqua" w:eastAsia="宋体" w:hAnsi="Book Antiqua" w:cs="Book Antiqua" w:hint="eastAsia"/>
          <w:lang w:eastAsia="zh-CN"/>
        </w:rPr>
        <w:t xml:space="preserve"> </w:t>
      </w:r>
      <w:r w:rsidRPr="00CE54E5">
        <w:rPr>
          <w:rFonts w:ascii="Book Antiqua" w:eastAsia="Book Antiqua" w:hAnsi="Book Antiqua" w:cs="Book Antiqua"/>
        </w:rPr>
        <w:t>anion exchanger 2; Biliary bicarbonate</w:t>
      </w:r>
      <w:r w:rsidRPr="00CE54E5">
        <w:rPr>
          <w:rFonts w:ascii="Book Antiqua" w:eastAsia="宋体" w:hAnsi="Book Antiqua" w:cs="Book Antiqua" w:hint="eastAsia"/>
          <w:lang w:eastAsia="zh-CN"/>
        </w:rPr>
        <w:t xml:space="preserve"> </w:t>
      </w:r>
      <w:r w:rsidRPr="00CE54E5">
        <w:rPr>
          <w:rFonts w:ascii="Book Antiqua" w:eastAsia="Book Antiqua" w:hAnsi="Book Antiqua" w:cs="Book Antiqua"/>
        </w:rPr>
        <w:t>umbrella; Dihydrolipoyl transacetylase (E2 subunit); Pyruvate dehydrogenase complex</w:t>
      </w:r>
    </w:p>
    <w:p w14:paraId="077D1F53" w14:textId="77777777" w:rsidR="001043FD" w:rsidRPr="00CE54E5" w:rsidRDefault="001043FD">
      <w:pPr>
        <w:adjustRightInd w:val="0"/>
        <w:snapToGrid w:val="0"/>
        <w:spacing w:line="360" w:lineRule="auto"/>
        <w:jc w:val="both"/>
        <w:rPr>
          <w:rFonts w:ascii="Book Antiqua" w:hAnsi="Book Antiqua" w:cs="Book Antiqua"/>
        </w:rPr>
      </w:pPr>
    </w:p>
    <w:p w14:paraId="15A063B1" w14:textId="77777777" w:rsidR="00CE54E5" w:rsidRPr="00CE54E5" w:rsidRDefault="00CE54E5" w:rsidP="00CE54E5">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CE54E5">
        <w:rPr>
          <w:rFonts w:ascii="Book Antiqua" w:eastAsia="Book Antiqua" w:hAnsi="Book Antiqua" w:cs="Book Antiqua" w:hint="eastAsia"/>
          <w:b/>
          <w:color w:val="000000"/>
        </w:rPr>
        <w:t>©</w:t>
      </w:r>
      <w:r w:rsidRPr="00CE54E5">
        <w:rPr>
          <w:rFonts w:ascii="Book Antiqua" w:eastAsia="Book Antiqua" w:hAnsi="Book Antiqua" w:cs="Book Antiqua"/>
          <w:b/>
          <w:color w:val="000000"/>
        </w:rPr>
        <w:t>The</w:t>
      </w:r>
      <w:r w:rsidRPr="00CE54E5">
        <w:rPr>
          <w:rFonts w:ascii="Book Antiqua" w:eastAsia="Book Antiqua" w:hAnsi="Book Antiqua" w:cs="Book Antiqua"/>
          <w:color w:val="000000"/>
        </w:rPr>
        <w:t xml:space="preserve"> </w:t>
      </w:r>
      <w:r w:rsidRPr="00CE54E5">
        <w:rPr>
          <w:rFonts w:ascii="Book Antiqua" w:eastAsia="Book Antiqua" w:hAnsi="Book Antiqua" w:cs="Book Antiqua"/>
          <w:b/>
          <w:color w:val="000000"/>
        </w:rPr>
        <w:t xml:space="preserve">Author(s) 2023. </w:t>
      </w:r>
      <w:r w:rsidRPr="00CE54E5">
        <w:rPr>
          <w:rFonts w:ascii="Book Antiqua" w:eastAsia="Book Antiqua" w:hAnsi="Book Antiqua" w:cs="Book Antiqua"/>
          <w:color w:val="000000"/>
        </w:rPr>
        <w:t>Published by Baishideng Publishing Group Inc. All rights reserved.</w:t>
      </w:r>
      <w:bookmarkEnd w:id="1"/>
      <w:r w:rsidRPr="00CE54E5">
        <w:rPr>
          <w:rFonts w:ascii="Book Antiqua" w:eastAsia="Book Antiqua" w:hAnsi="Book Antiqua" w:cs="Book Antiqua"/>
          <w:color w:val="000000"/>
        </w:rPr>
        <w:t xml:space="preserve"> </w:t>
      </w:r>
    </w:p>
    <w:bookmarkEnd w:id="2"/>
    <w:p w14:paraId="451D31D3" w14:textId="77777777" w:rsidR="00CE54E5" w:rsidRPr="00CE54E5" w:rsidRDefault="00CE54E5" w:rsidP="00CE54E5">
      <w:pPr>
        <w:spacing w:line="360" w:lineRule="auto"/>
        <w:jc w:val="both"/>
        <w:rPr>
          <w:lang w:eastAsia="zh-CN"/>
        </w:rPr>
      </w:pPr>
    </w:p>
    <w:p w14:paraId="4482FF16" w14:textId="77777777" w:rsidR="00CE54E5" w:rsidRPr="00CE54E5" w:rsidRDefault="00CE54E5" w:rsidP="00CE54E5">
      <w:pPr>
        <w:adjustRightInd w:val="0"/>
        <w:snapToGrid w:val="0"/>
        <w:spacing w:line="360" w:lineRule="auto"/>
        <w:jc w:val="both"/>
        <w:rPr>
          <w:rFonts w:ascii="Book Antiqua" w:eastAsia="Book Antiqua" w:hAnsi="Book Antiqua" w:cs="Book Antiqua"/>
        </w:rPr>
      </w:pPr>
      <w:bookmarkStart w:id="5" w:name="_Hlk88512899"/>
      <w:bookmarkStart w:id="6" w:name="_Hlk88512352"/>
      <w:bookmarkEnd w:id="3"/>
      <w:r w:rsidRPr="00CE54E5">
        <w:rPr>
          <w:rFonts w:ascii="Book Antiqua" w:hAnsi="Book Antiqua" w:cs="Book Antiqua" w:hint="eastAsia"/>
          <w:b/>
          <w:color w:val="000000"/>
          <w:lang w:eastAsia="zh-CN"/>
        </w:rPr>
        <w:t>Citation:</w:t>
      </w:r>
      <w:bookmarkEnd w:id="4"/>
      <w:bookmarkEnd w:id="5"/>
      <w:r w:rsidRPr="00CE54E5">
        <w:rPr>
          <w:rFonts w:ascii="Book Antiqua" w:hAnsi="Book Antiqua" w:cs="Book Antiqua" w:hint="eastAsia"/>
          <w:color w:val="000000"/>
          <w:lang w:eastAsia="zh-CN"/>
        </w:rPr>
        <w:t xml:space="preserve"> </w:t>
      </w:r>
      <w:bookmarkEnd w:id="6"/>
      <w:r w:rsidRPr="00CE54E5">
        <w:rPr>
          <w:rFonts w:ascii="Book Antiqua" w:eastAsia="Book Antiqua" w:hAnsi="Book Antiqua" w:cs="Book Antiqua"/>
        </w:rPr>
        <w:t xml:space="preserve">Reshetnyak VI, Maev IV. New insights into the pathogenesis of primary biliary cholangitis asymptomatic stage. </w:t>
      </w:r>
      <w:r w:rsidRPr="00CE54E5">
        <w:rPr>
          <w:rFonts w:ascii="Book Antiqua" w:eastAsia="Book Antiqua" w:hAnsi="Book Antiqua" w:cs="Book Antiqua"/>
          <w:i/>
          <w:iCs/>
        </w:rPr>
        <w:t>World J Gastroenterol</w:t>
      </w:r>
      <w:r w:rsidRPr="00CE54E5">
        <w:rPr>
          <w:rFonts w:ascii="Book Antiqua" w:eastAsia="Book Antiqua" w:hAnsi="Book Antiqua" w:cs="Book Antiqua"/>
        </w:rPr>
        <w:t xml:space="preserve"> 2023; </w:t>
      </w:r>
      <w:r w:rsidR="00E57DED" w:rsidRPr="00CE54E5">
        <w:rPr>
          <w:rFonts w:ascii="Book Antiqua" w:eastAsia="Book Antiqua" w:hAnsi="Book Antiqua" w:cs="Book Antiqua"/>
        </w:rPr>
        <w:t xml:space="preserve">29(37): </w:t>
      </w:r>
      <w:r w:rsidRPr="00CE54E5">
        <w:rPr>
          <w:rFonts w:ascii="Book Antiqua" w:eastAsia="Book Antiqua" w:hAnsi="Book Antiqua" w:cs="Book Antiqua"/>
        </w:rPr>
        <w:t>5292</w:t>
      </w:r>
      <w:r w:rsidR="00E57DED" w:rsidRPr="00CE54E5">
        <w:rPr>
          <w:rFonts w:ascii="Book Antiqua" w:eastAsia="Book Antiqua" w:hAnsi="Book Antiqua" w:cs="Book Antiqua"/>
        </w:rPr>
        <w:t>-</w:t>
      </w:r>
      <w:r w:rsidRPr="00CE54E5">
        <w:rPr>
          <w:rFonts w:ascii="Book Antiqua" w:eastAsia="Book Antiqua" w:hAnsi="Book Antiqua" w:cs="Book Antiqua"/>
        </w:rPr>
        <w:t>5304</w:t>
      </w:r>
    </w:p>
    <w:p w14:paraId="1432DDD3" w14:textId="16B70A16" w:rsidR="00CE54E5" w:rsidRPr="00CE54E5" w:rsidRDefault="00E57DED" w:rsidP="00CE54E5">
      <w:pPr>
        <w:adjustRightInd w:val="0"/>
        <w:snapToGrid w:val="0"/>
        <w:spacing w:line="360" w:lineRule="auto"/>
        <w:jc w:val="both"/>
        <w:rPr>
          <w:rFonts w:ascii="Book Antiqua" w:eastAsia="Book Antiqua" w:hAnsi="Book Antiqua" w:cs="Book Antiqua"/>
        </w:rPr>
      </w:pPr>
      <w:r w:rsidRPr="00CE54E5">
        <w:rPr>
          <w:rFonts w:ascii="Book Antiqua" w:eastAsia="Book Antiqua" w:hAnsi="Book Antiqua" w:cs="Book Antiqua"/>
          <w:b/>
          <w:bCs/>
        </w:rPr>
        <w:t xml:space="preserve">URL: </w:t>
      </w:r>
      <w:hyperlink r:id="rId8" w:history="1">
        <w:r w:rsidR="00CE54E5" w:rsidRPr="00CE54E5">
          <w:rPr>
            <w:rStyle w:val="ad"/>
            <w:rFonts w:ascii="Book Antiqua" w:eastAsia="Book Antiqua" w:hAnsi="Book Antiqua" w:cs="Book Antiqua"/>
          </w:rPr>
          <w:t>https://www.wjgnet.com/1007-9327/full/v29/i37/5292.htm</w:t>
        </w:r>
      </w:hyperlink>
    </w:p>
    <w:p w14:paraId="66276C19" w14:textId="15525FD3" w:rsidR="001043FD" w:rsidRPr="00CE54E5" w:rsidRDefault="00E57DED" w:rsidP="00CE54E5">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bCs/>
        </w:rPr>
        <w:lastRenderedPageBreak/>
        <w:t>DOI:</w:t>
      </w:r>
      <w:r w:rsidRPr="00CE54E5">
        <w:rPr>
          <w:rFonts w:ascii="Book Antiqua" w:eastAsia="Book Antiqua" w:hAnsi="Book Antiqua" w:cs="Book Antiqua"/>
        </w:rPr>
        <w:t xml:space="preserve"> https://dx.doi.org/10.3748/wjg.v29.i37.</w:t>
      </w:r>
      <w:r w:rsidR="00CE54E5" w:rsidRPr="00CE54E5">
        <w:rPr>
          <w:rFonts w:ascii="Book Antiqua" w:eastAsia="Book Antiqua" w:hAnsi="Book Antiqua" w:cs="Book Antiqua"/>
        </w:rPr>
        <w:t>5292</w:t>
      </w:r>
    </w:p>
    <w:p w14:paraId="116AD6B9" w14:textId="77777777" w:rsidR="001043FD" w:rsidRPr="00CE54E5" w:rsidRDefault="001043FD">
      <w:pPr>
        <w:adjustRightInd w:val="0"/>
        <w:snapToGrid w:val="0"/>
        <w:spacing w:line="360" w:lineRule="auto"/>
        <w:jc w:val="both"/>
        <w:rPr>
          <w:rFonts w:ascii="Book Antiqua" w:hAnsi="Book Antiqua" w:cs="Book Antiqua"/>
        </w:rPr>
      </w:pPr>
    </w:p>
    <w:p w14:paraId="4ABC304D"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bCs/>
        </w:rPr>
        <w:t xml:space="preserve">Core Tip: </w:t>
      </w:r>
      <w:r w:rsidRPr="00CE54E5">
        <w:rPr>
          <w:rStyle w:val="15"/>
          <w:rFonts w:ascii="Book Antiqua" w:eastAsia="Book Antiqua" w:hAnsi="Book Antiqua" w:cs="Book Antiqua"/>
          <w:color w:val="000000"/>
          <w:shd w:val="clear" w:color="auto" w:fill="FFFFFF"/>
        </w:rPr>
        <w:t xml:space="preserve">This review considers the mechanisms contributing to the damage of the E2 subunit of the pyruvate dehydrogenase complex, formation of </w:t>
      </w:r>
      <w:r w:rsidRPr="00CE54E5">
        <w:rPr>
          <w:rFonts w:ascii="Book Antiqua" w:eastAsia="Book Antiqua" w:hAnsi="Book Antiqua" w:cs="Book Antiqua"/>
        </w:rPr>
        <w:t>antimitochondrial autoantibodies (AMAs)</w:t>
      </w:r>
      <w:r w:rsidRPr="00CE54E5">
        <w:rPr>
          <w:rStyle w:val="15"/>
          <w:rFonts w:ascii="Book Antiqua" w:eastAsia="Book Antiqua" w:hAnsi="Book Antiqua" w:cs="Book Antiqua"/>
          <w:color w:val="000000"/>
          <w:shd w:val="clear" w:color="auto" w:fill="FFFFFF"/>
        </w:rPr>
        <w:t>, and the development of ductulopenia in primary biliary cholangitis asymptomatic stage. A hypothesis explaining the pathogenesis of the initial morphological (ductulopenia), immunologic (AMAs), and clinical (weakness, malaise, rapid fatigue) signs of the disease in the asymptomatic stage is proposed.</w:t>
      </w:r>
    </w:p>
    <w:p w14:paraId="3095E38C" w14:textId="77777777" w:rsidR="001043FD" w:rsidRPr="00CE54E5" w:rsidRDefault="001043FD">
      <w:pPr>
        <w:adjustRightInd w:val="0"/>
        <w:snapToGrid w:val="0"/>
        <w:spacing w:line="360" w:lineRule="auto"/>
        <w:jc w:val="both"/>
        <w:rPr>
          <w:rFonts w:ascii="Book Antiqua" w:hAnsi="Book Antiqua" w:cs="Book Antiqua"/>
        </w:rPr>
      </w:pPr>
    </w:p>
    <w:p w14:paraId="01474914"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caps/>
          <w:color w:val="000000"/>
          <w:u w:val="single"/>
        </w:rPr>
        <w:t>INTRODUCTION</w:t>
      </w:r>
    </w:p>
    <w:p w14:paraId="26CB483A"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color w:val="000000"/>
        </w:rPr>
        <w:t>Primary biliary cholangitis (PBC) is a chronic cholestatic progressive liver disease of autoimmune etiology, characterized by the destruction, necrosis, and apoptosis of small bile duct epithelial cells, in the terminal stage of which cirrhosis develops</w:t>
      </w:r>
      <w:r w:rsidRPr="00CE54E5">
        <w:rPr>
          <w:rFonts w:ascii="Book Antiqua" w:eastAsia="Book Antiqua" w:hAnsi="Book Antiqua" w:cs="Book Antiqua"/>
          <w:color w:val="000000"/>
          <w:szCs w:val="36"/>
          <w:vertAlign w:val="superscript"/>
        </w:rPr>
        <w:t>[1-3]</w:t>
      </w:r>
      <w:r w:rsidRPr="00CE54E5">
        <w:rPr>
          <w:rFonts w:ascii="Book Antiqua" w:eastAsia="Book Antiqua" w:hAnsi="Book Antiqua" w:cs="Book Antiqua"/>
          <w:color w:val="000000"/>
        </w:rPr>
        <w:t>. PBC development is preceded by a long asymptomatic period</w:t>
      </w:r>
      <w:r w:rsidRPr="00CE54E5">
        <w:rPr>
          <w:rFonts w:ascii="Book Antiqua" w:eastAsia="Book Antiqua" w:hAnsi="Book Antiqua" w:cs="Book Antiqua"/>
          <w:color w:val="000000"/>
          <w:szCs w:val="36"/>
          <w:vertAlign w:val="superscript"/>
        </w:rPr>
        <w:t>[1,2]</w:t>
      </w:r>
      <w:r w:rsidRPr="00CE54E5">
        <w:rPr>
          <w:rFonts w:ascii="Book Antiqua" w:eastAsia="Book Antiqua" w:hAnsi="Book Antiqua" w:cs="Book Antiqua"/>
          <w:color w:val="000000"/>
        </w:rPr>
        <w:t xml:space="preserve">, during which time there are no physical signs of the disease. The earliest and most common symptoms are fatigue, weakness, and malaise. Detection of serum antimitochondrial autoantibodies (AMAs) at a titer </w:t>
      </w:r>
      <w:r w:rsidRPr="00CE54E5">
        <w:rPr>
          <w:rFonts w:ascii="Arial" w:eastAsia="Book Antiqua" w:hAnsi="Arial" w:cs="Arial"/>
          <w:color w:val="000000"/>
        </w:rPr>
        <w:t>≥</w:t>
      </w:r>
      <w:r w:rsidRPr="00CE54E5">
        <w:rPr>
          <w:rFonts w:ascii="Book Antiqua" w:eastAsia="Book Antiqua" w:hAnsi="Book Antiqua" w:cs="Book Antiqua"/>
          <w:color w:val="000000"/>
        </w:rPr>
        <w:t xml:space="preserve"> 1:</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40 during this period serves as a pathognomonic marker of PBC development. AMAs are detectable months to years before PBC manifests clinically, indicating their primary immunopathogenetic role rather than a secondary phenomenon occurring as a consequence of cholestasis</w:t>
      </w:r>
      <w:r w:rsidRPr="00CE54E5">
        <w:rPr>
          <w:rFonts w:ascii="Book Antiqua" w:eastAsia="Book Antiqua" w:hAnsi="Book Antiqua" w:cs="Book Antiqua"/>
          <w:color w:val="000000"/>
          <w:szCs w:val="36"/>
          <w:vertAlign w:val="superscript"/>
        </w:rPr>
        <w:t>[4,5]</w:t>
      </w:r>
      <w:r w:rsidRPr="00CE54E5">
        <w:rPr>
          <w:rFonts w:ascii="Book Antiqua" w:eastAsia="Book Antiqua" w:hAnsi="Book Antiqua" w:cs="Book Antiqua"/>
          <w:color w:val="000000"/>
        </w:rPr>
        <w:t>. However, AMAs titer does not correlate with disease activity or duration</w:t>
      </w:r>
      <w:r w:rsidRPr="00CE54E5">
        <w:rPr>
          <w:rFonts w:ascii="Book Antiqua" w:eastAsia="Book Antiqua" w:hAnsi="Book Antiqua" w:cs="Book Antiqua"/>
          <w:color w:val="000000"/>
          <w:szCs w:val="36"/>
          <w:vertAlign w:val="superscript"/>
        </w:rPr>
        <w:t>[4-7]</w:t>
      </w:r>
      <w:r w:rsidRPr="00CE54E5">
        <w:rPr>
          <w:rFonts w:ascii="Book Antiqua" w:eastAsia="Book Antiqua" w:hAnsi="Book Antiqua" w:cs="Book Antiqua"/>
          <w:color w:val="000000"/>
        </w:rPr>
        <w:t>. Identifying the causes and mechanisms of AMAs formation may contribute to understanding the pathogenesis of the development of clinical, morphologic, biochemical, and immunologic signs of PBC.</w:t>
      </w:r>
    </w:p>
    <w:p w14:paraId="5F9EA93E"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AMAs are not strictly specific for PBC</w:t>
      </w:r>
      <w:r w:rsidRPr="00CE54E5">
        <w:rPr>
          <w:rFonts w:ascii="Book Antiqua" w:eastAsia="Book Antiqua" w:hAnsi="Book Antiqua" w:cs="Book Antiqua"/>
          <w:color w:val="000000"/>
          <w:szCs w:val="36"/>
          <w:vertAlign w:val="superscript"/>
        </w:rPr>
        <w:t>[4]</w:t>
      </w:r>
      <w:r w:rsidRPr="00CE54E5">
        <w:rPr>
          <w:rFonts w:ascii="Book Antiqua" w:eastAsia="Book Antiqua" w:hAnsi="Book Antiqua" w:cs="Book Antiqua"/>
          <w:color w:val="000000"/>
        </w:rPr>
        <w:t>. They are classified as immunoglobulin</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Ig</w:t>
      </w:r>
      <w:r w:rsidRPr="00CE54E5">
        <w:rPr>
          <w:rFonts w:ascii="Book Antiqua" w:eastAsia="宋体" w:hAnsi="Book Antiqua" w:cs="Book Antiqua" w:hint="eastAsia"/>
          <w:color w:val="000000"/>
          <w:lang w:eastAsia="zh-CN"/>
        </w:rPr>
        <w:t>)</w:t>
      </w:r>
      <w:r w:rsidRPr="00CE54E5">
        <w:rPr>
          <w:rFonts w:ascii="Book Antiqua" w:eastAsia="Book Antiqua" w:hAnsi="Book Antiqua" w:cs="Book Antiqua"/>
          <w:color w:val="000000"/>
        </w:rPr>
        <w:t xml:space="preserve"> M which reacts with multiple antigens in mitochondria, designated M1-M9</w:t>
      </w:r>
      <w:r w:rsidRPr="00CE54E5">
        <w:rPr>
          <w:rFonts w:ascii="Book Antiqua" w:eastAsia="Book Antiqua" w:hAnsi="Book Antiqua" w:cs="Book Antiqua"/>
          <w:color w:val="000000"/>
          <w:szCs w:val="36"/>
          <w:vertAlign w:val="superscript"/>
        </w:rPr>
        <w:t>[8]</w:t>
      </w:r>
      <w:r w:rsidRPr="00CE54E5">
        <w:rPr>
          <w:rFonts w:ascii="Book Antiqua" w:eastAsia="Book Antiqua" w:hAnsi="Book Antiqua" w:cs="Book Antiqua"/>
          <w:color w:val="000000"/>
        </w:rPr>
        <w:t>. The highly sensitive and most frequent (&gt; 95%) AMAs found in PBC are anti</w:t>
      </w:r>
      <w:r w:rsidRPr="00CE54E5">
        <w:rPr>
          <w:rFonts w:ascii="Book Antiqua" w:eastAsia="宋体" w:hAnsi="Book Antiqua" w:cs="Book Antiqua" w:hint="eastAsia"/>
          <w:color w:val="000000"/>
          <w:lang w:eastAsia="zh-CN"/>
        </w:rPr>
        <w:t>-</w:t>
      </w:r>
      <w:r w:rsidRPr="00CE54E5">
        <w:rPr>
          <w:rFonts w:ascii="Book Antiqua" w:eastAsia="Book Antiqua" w:hAnsi="Book Antiqua" w:cs="Book Antiqua"/>
          <w:color w:val="000000"/>
        </w:rPr>
        <w:t>M2 IgM</w:t>
      </w:r>
      <w:r w:rsidRPr="00CE54E5">
        <w:rPr>
          <w:rFonts w:ascii="Book Antiqua" w:eastAsia="Book Antiqua" w:hAnsi="Book Antiqua" w:cs="Book Antiqua"/>
          <w:color w:val="000000"/>
          <w:szCs w:val="36"/>
          <w:vertAlign w:val="superscript"/>
        </w:rPr>
        <w:t>[8]</w:t>
      </w:r>
      <w:r w:rsidRPr="00CE54E5">
        <w:rPr>
          <w:rFonts w:ascii="Book Antiqua" w:eastAsia="Book Antiqua" w:hAnsi="Book Antiqua" w:cs="Book Antiqua"/>
          <w:color w:val="000000"/>
        </w:rPr>
        <w:t>. In patients with classical PBC, the antigenic components of AMAs are related to the dihydrolipoyl transacetylase (E2 subunit) of the pyruvate dehydrogenase (PDC) complex (E2 PDC), which localizes to the inner mitochondrial membrane</w:t>
      </w:r>
      <w:r w:rsidRPr="00CE54E5">
        <w:rPr>
          <w:rFonts w:ascii="Book Antiqua" w:eastAsia="Book Antiqua" w:hAnsi="Book Antiqua" w:cs="Book Antiqua"/>
          <w:color w:val="000000"/>
          <w:szCs w:val="36"/>
          <w:vertAlign w:val="superscript"/>
        </w:rPr>
        <w:t>[8]</w:t>
      </w:r>
      <w:r w:rsidRPr="00CE54E5">
        <w:rPr>
          <w:rFonts w:ascii="Book Antiqua" w:eastAsia="Book Antiqua" w:hAnsi="Book Antiqua" w:cs="Book Antiqua"/>
          <w:color w:val="000000"/>
        </w:rPr>
        <w:t xml:space="preserve">. </w:t>
      </w:r>
      <w:r w:rsidRPr="00CE54E5">
        <w:rPr>
          <w:rFonts w:ascii="Book Antiqua" w:eastAsia="Book Antiqua" w:hAnsi="Book Antiqua" w:cs="Book Antiqua"/>
          <w:color w:val="000000"/>
        </w:rPr>
        <w:lastRenderedPageBreak/>
        <w:t>Immunization of laboratory animals with E2 PDC recombinant polypeptide leads to AMAs formation but not cholangiocyte damage</w:t>
      </w:r>
      <w:r w:rsidRPr="00CE54E5">
        <w:rPr>
          <w:rFonts w:ascii="Book Antiqua" w:eastAsia="Book Antiqua" w:hAnsi="Book Antiqua" w:cs="Book Antiqua"/>
          <w:color w:val="000000"/>
          <w:szCs w:val="36"/>
          <w:vertAlign w:val="superscript"/>
        </w:rPr>
        <w:t>[9]</w:t>
      </w:r>
      <w:r w:rsidRPr="00CE54E5">
        <w:rPr>
          <w:rFonts w:ascii="Book Antiqua" w:eastAsia="Book Antiqua" w:hAnsi="Book Antiqua" w:cs="Book Antiqua"/>
          <w:color w:val="000000"/>
        </w:rPr>
        <w:t xml:space="preserve">, indicating that AMAs do not trigger the destruction of biliary epithelial cells </w:t>
      </w:r>
      <w:r w:rsidRPr="00CE54E5">
        <w:rPr>
          <w:rFonts w:ascii="Book Antiqua" w:eastAsia="Book Antiqua" w:hAnsi="Book Antiqua" w:cs="Book Antiqua"/>
        </w:rPr>
        <w:t>[</w:t>
      </w:r>
      <w:r w:rsidRPr="00CE54E5">
        <w:rPr>
          <w:rFonts w:ascii="Book Antiqua" w:eastAsia="宋体" w:hAnsi="Book Antiqua" w:cs="Book Antiqua" w:hint="eastAsia"/>
          <w:lang w:eastAsia="zh-CN"/>
        </w:rPr>
        <w:t>(</w:t>
      </w:r>
      <w:r w:rsidRPr="00CE54E5">
        <w:rPr>
          <w:rFonts w:ascii="Book Antiqua" w:eastAsia="Book Antiqua" w:hAnsi="Book Antiqua" w:cs="Book Antiqua"/>
        </w:rPr>
        <w:t>BECs</w:t>
      </w:r>
      <w:r w:rsidRPr="00CE54E5">
        <w:rPr>
          <w:rFonts w:ascii="Book Antiqua" w:eastAsia="宋体" w:hAnsi="Book Antiqua" w:cs="Book Antiqua" w:hint="eastAsia"/>
          <w:lang w:eastAsia="zh-CN"/>
        </w:rPr>
        <w:t>)</w:t>
      </w:r>
      <w:r w:rsidRPr="00CE54E5">
        <w:rPr>
          <w:rFonts w:ascii="Book Antiqua" w:eastAsia="Book Antiqua" w:hAnsi="Book Antiqua" w:cs="Book Antiqua"/>
        </w:rPr>
        <w:t>, cholangiocytes]</w:t>
      </w:r>
      <w:r w:rsidRPr="00CE54E5">
        <w:rPr>
          <w:rFonts w:ascii="Book Antiqua" w:eastAsia="Book Antiqua" w:hAnsi="Book Antiqua" w:cs="Book Antiqua"/>
          <w:color w:val="000000"/>
        </w:rPr>
        <w:t>.</w:t>
      </w:r>
    </w:p>
    <w:p w14:paraId="64CFA280"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It is critical to understand how the E2 PDC antigen of BECs, located on the inner membrane of mitochondria in small and medium-sized bile ducts, can be a target of immune effector mechanisms</w:t>
      </w:r>
      <w:r w:rsidRPr="00CE54E5">
        <w:rPr>
          <w:rFonts w:ascii="Book Antiqua" w:eastAsia="Book Antiqua" w:hAnsi="Book Antiqua" w:cs="Book Antiqua"/>
          <w:color w:val="000000"/>
          <w:szCs w:val="36"/>
          <w:vertAlign w:val="superscript"/>
        </w:rPr>
        <w:t>[4]</w:t>
      </w:r>
      <w:r w:rsidRPr="00CE54E5">
        <w:rPr>
          <w:rFonts w:ascii="Book Antiqua" w:eastAsia="Book Antiqua" w:hAnsi="Book Antiqua" w:cs="Book Antiqua"/>
          <w:color w:val="000000"/>
        </w:rPr>
        <w:t>. The theory of antigenic mimicry is discussed below.</w:t>
      </w:r>
    </w:p>
    <w:p w14:paraId="0C99EB1C" w14:textId="77777777" w:rsidR="001043FD" w:rsidRPr="00CE54E5" w:rsidRDefault="001043FD">
      <w:pPr>
        <w:adjustRightInd w:val="0"/>
        <w:snapToGrid w:val="0"/>
        <w:spacing w:line="360" w:lineRule="auto"/>
        <w:ind w:firstLine="270"/>
        <w:jc w:val="both"/>
        <w:rPr>
          <w:rFonts w:ascii="Book Antiqua" w:hAnsi="Book Antiqua" w:cs="Book Antiqua"/>
        </w:rPr>
      </w:pPr>
    </w:p>
    <w:p w14:paraId="07DD4626"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bCs/>
          <w:caps/>
          <w:color w:val="000000"/>
          <w:u w:val="single"/>
        </w:rPr>
        <w:t>AMA</w:t>
      </w:r>
      <w:r w:rsidRPr="00CE54E5">
        <w:rPr>
          <w:rFonts w:ascii="Book Antiqua" w:eastAsia="Book Antiqua" w:hAnsi="Book Antiqua" w:cs="Book Antiqua"/>
          <w:b/>
          <w:bCs/>
          <w:color w:val="000000"/>
          <w:u w:val="single"/>
        </w:rPr>
        <w:t>s</w:t>
      </w:r>
      <w:r w:rsidRPr="00CE54E5">
        <w:rPr>
          <w:rFonts w:ascii="Book Antiqua" w:eastAsia="Book Antiqua" w:hAnsi="Book Antiqua" w:cs="Book Antiqua"/>
          <w:b/>
          <w:bCs/>
          <w:caps/>
          <w:color w:val="000000"/>
          <w:u w:val="single"/>
        </w:rPr>
        <w:t xml:space="preserve"> AND THE THEORY OF ANTIGENIC MIMICRY</w:t>
      </w:r>
    </w:p>
    <w:p w14:paraId="4ED8E364"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color w:val="000000"/>
        </w:rPr>
        <w:t>The PDC in prokaryotes is structurally similar to that of eukaryotes</w:t>
      </w:r>
      <w:r w:rsidRPr="00CE54E5">
        <w:rPr>
          <w:rFonts w:ascii="Book Antiqua" w:eastAsia="Book Antiqua" w:hAnsi="Book Antiqua" w:cs="Book Antiqua"/>
          <w:color w:val="000000"/>
          <w:szCs w:val="36"/>
          <w:vertAlign w:val="superscript"/>
        </w:rPr>
        <w:t>[10]</w:t>
      </w:r>
      <w:r w:rsidRPr="00CE54E5">
        <w:rPr>
          <w:rFonts w:ascii="Book Antiqua" w:eastAsia="Book Antiqua" w:hAnsi="Book Antiqua" w:cs="Book Antiqua"/>
          <w:color w:val="000000"/>
        </w:rPr>
        <w:t>. Antibodies from the serum of patients with PBC have been shown to react with yeast and bacterial proteins</w:t>
      </w:r>
      <w:r w:rsidRPr="00CE54E5">
        <w:rPr>
          <w:rFonts w:ascii="Book Antiqua" w:eastAsia="Book Antiqua" w:hAnsi="Book Antiqua" w:cs="Book Antiqua"/>
          <w:color w:val="000000"/>
          <w:szCs w:val="36"/>
          <w:vertAlign w:val="superscript"/>
        </w:rPr>
        <w:t>[11,12]</w:t>
      </w:r>
      <w:r w:rsidRPr="00CE54E5">
        <w:rPr>
          <w:rFonts w:ascii="Book Antiqua" w:eastAsia="Book Antiqua" w:hAnsi="Book Antiqua" w:cs="Book Antiqua"/>
          <w:color w:val="000000"/>
        </w:rPr>
        <w:t>. Therefore, it has been suggested that AMAs in PBC arise due to cross-reactivity to exogenous bacterial antigens (antigenic mimicry)</w:t>
      </w:r>
      <w:r w:rsidRPr="00CE54E5">
        <w:rPr>
          <w:rFonts w:ascii="Book Antiqua" w:eastAsia="Book Antiqua" w:hAnsi="Book Antiqua" w:cs="Book Antiqua"/>
          <w:color w:val="000000"/>
          <w:szCs w:val="36"/>
          <w:vertAlign w:val="superscript"/>
        </w:rPr>
        <w:t>[13,14]</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and that the disease may have a bacterial origin</w:t>
      </w:r>
      <w:r w:rsidRPr="00CE54E5">
        <w:rPr>
          <w:rFonts w:ascii="Book Antiqua" w:eastAsia="Book Antiqua" w:hAnsi="Book Antiqua" w:cs="Book Antiqua"/>
          <w:color w:val="000000"/>
          <w:szCs w:val="36"/>
          <w:vertAlign w:val="superscript"/>
        </w:rPr>
        <w:t>[15]</w:t>
      </w:r>
      <w:r w:rsidRPr="00CE54E5">
        <w:rPr>
          <w:rFonts w:ascii="Book Antiqua" w:eastAsia="Book Antiqua" w:hAnsi="Book Antiqua" w:cs="Book Antiqua"/>
          <w:color w:val="000000"/>
        </w:rPr>
        <w:t>. However, there is no clear evidence of an infectious agent</w:t>
      </w:r>
      <w:r w:rsidRPr="00CE54E5">
        <w:rPr>
          <w:rFonts w:ascii="Book Antiqua" w:eastAsia="Book Antiqua" w:hAnsi="Book Antiqua" w:cs="Book Antiqua"/>
          <w:color w:val="000000"/>
          <w:szCs w:val="36"/>
          <w:vertAlign w:val="superscript"/>
        </w:rPr>
        <w:t>[4]</w:t>
      </w:r>
      <w:r w:rsidRPr="00CE54E5">
        <w:rPr>
          <w:rFonts w:ascii="Book Antiqua" w:eastAsia="Book Antiqua" w:hAnsi="Book Antiqua" w:cs="Book Antiqua"/>
          <w:color w:val="000000"/>
        </w:rPr>
        <w:t>. In classic bacterial antigenic exposure, IgM is the first antibody secreted by the adaptive immune system, and after 3</w:t>
      </w:r>
      <w:r w:rsidRPr="00CE54E5">
        <w:rPr>
          <w:rFonts w:ascii="Book Antiqua" w:eastAsia="宋体" w:hAnsi="Book Antiqua" w:cs="Book Antiqua" w:hint="eastAsia"/>
          <w:color w:val="000000"/>
          <w:lang w:eastAsia="zh-CN"/>
        </w:rPr>
        <w:t>-</w:t>
      </w:r>
      <w:r w:rsidRPr="00CE54E5">
        <w:rPr>
          <w:rFonts w:ascii="Book Antiqua" w:eastAsia="Book Antiqua" w:hAnsi="Book Antiqua" w:cs="Book Antiqua"/>
          <w:color w:val="000000"/>
        </w:rPr>
        <w:t>4 wk, IgG is produced. IgM can persist in the blood for up to 3 mo, followed by its decline. However, in PBC, the level of IgM-related AMAs does not decline over the course of the disease, which does not align with the bacterial nature of antigens triggering the production of AMAs. With continuous exposure to thymus-independent antigens and decreased immune tolerance to them, IgM synthesis can become stable</w:t>
      </w:r>
      <w:r w:rsidRPr="00CE54E5">
        <w:rPr>
          <w:rFonts w:ascii="Book Antiqua" w:eastAsia="Book Antiqua" w:hAnsi="Book Antiqua" w:cs="Book Antiqua"/>
          <w:color w:val="000000"/>
          <w:szCs w:val="36"/>
          <w:vertAlign w:val="superscript"/>
        </w:rPr>
        <w:t>[16]</w:t>
      </w:r>
      <w:r w:rsidRPr="00CE54E5">
        <w:rPr>
          <w:rFonts w:ascii="Book Antiqua" w:eastAsia="Book Antiqua" w:hAnsi="Book Antiqua" w:cs="Book Antiqua"/>
          <w:color w:val="000000"/>
        </w:rPr>
        <w:t>. However, there is low likelihood that bacterial antigen is constantly present in patients with PBC and triggers the production of AMAs</w:t>
      </w:r>
      <w:r w:rsidRPr="00CE54E5">
        <w:rPr>
          <w:rFonts w:ascii="Book Antiqua" w:eastAsia="Book Antiqua" w:hAnsi="Book Antiqua" w:cs="Book Antiqua"/>
          <w:color w:val="000000"/>
          <w:szCs w:val="36"/>
          <w:vertAlign w:val="superscript"/>
        </w:rPr>
        <w:t>[10]</w:t>
      </w:r>
      <w:r w:rsidRPr="00CE54E5">
        <w:rPr>
          <w:rFonts w:ascii="Book Antiqua" w:eastAsia="Book Antiqua" w:hAnsi="Book Antiqua" w:cs="Book Antiqua"/>
          <w:color w:val="000000"/>
        </w:rPr>
        <w:t>. It is more logical to assume that the antigen is from the patients’ own tissues, namely the epithelium of the biliary tract. The production of AMAs in patients with PBC is initiated once E2 PDC becomes an immunomodified antigen, leaves the mitochondria, exits the cholangiocyte, enters the blood, and meets immunocompetent T and B lymphocytes which recognize it as a foreign antigen. To date, the triggers and mechanisms that initiate these processes in cholangiocytes remain unknown.</w:t>
      </w:r>
    </w:p>
    <w:p w14:paraId="71984705"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In the last decade, scientific data have shown that the “protective umbrella” of bicarbonate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Book Antiqua" w:hAnsi="Book Antiqua" w:cs="Book Antiqua"/>
          <w:color w:val="000000"/>
        </w:rPr>
        <w:t xml:space="preserve">) protects cholangiocytes from the toxic effects of bile acids. In PBC, </w:t>
      </w:r>
      <w:r w:rsidRPr="00CE54E5">
        <w:rPr>
          <w:rFonts w:ascii="Book Antiqua" w:eastAsia="Book Antiqua" w:hAnsi="Book Antiqua" w:cs="Book Antiqua"/>
          <w:color w:val="000000"/>
        </w:rPr>
        <w:lastRenderedPageBreak/>
        <w:t>the production of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decreases, which leads to increased bile acid intake into cholangiocytes (theory of defective “biliary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umbrella”). Based on these data, we hypothesize that the gradual accumulation of bile acids in BECs may serve as a trigger mechanism for AMAs formation, ductulopenia development, and one of the early clinical signs of PBC, namely weakness in the asymptomatic stage.</w:t>
      </w:r>
    </w:p>
    <w:p w14:paraId="79E986E5" w14:textId="77777777" w:rsidR="001043FD" w:rsidRPr="00CE54E5" w:rsidRDefault="001043FD">
      <w:pPr>
        <w:adjustRightInd w:val="0"/>
        <w:snapToGrid w:val="0"/>
        <w:spacing w:line="360" w:lineRule="auto"/>
        <w:ind w:firstLine="270"/>
        <w:jc w:val="both"/>
        <w:rPr>
          <w:rFonts w:ascii="Book Antiqua" w:hAnsi="Book Antiqua" w:cs="Book Antiqua"/>
        </w:rPr>
      </w:pPr>
    </w:p>
    <w:p w14:paraId="0EE8F79B"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bCs/>
          <w:caps/>
          <w:color w:val="000000"/>
          <w:u w:val="single"/>
        </w:rPr>
        <w:t>AGGRESSIVE AND DEFENSE FACTORS OF CHOLANGIOCYTES</w:t>
      </w:r>
    </w:p>
    <w:p w14:paraId="1A6FA4E4"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color w:val="000000"/>
        </w:rPr>
        <w:t>Bile is an aggressive medium for cholangiocytes, which are epithelial cells lining the intrahepatic and extrahepatic bile ducts. The presence of bile acids in bile, which have potent detergent properties, can cause damage to the cell membranes of cholangiocytes. Hydrophobic bile acids are cytotoxic to many cell types</w:t>
      </w:r>
      <w:r w:rsidRPr="00CE54E5">
        <w:rPr>
          <w:rFonts w:ascii="Book Antiqua" w:eastAsia="Book Antiqua" w:hAnsi="Book Antiqua" w:cs="Book Antiqua"/>
          <w:color w:val="000000"/>
          <w:szCs w:val="36"/>
          <w:vertAlign w:val="superscript"/>
        </w:rPr>
        <w:t>[17]</w:t>
      </w:r>
      <w:r w:rsidRPr="00CE54E5">
        <w:rPr>
          <w:rFonts w:ascii="Book Antiqua" w:eastAsia="Book Antiqua" w:hAnsi="Book Antiqua" w:cs="Book Antiqua"/>
          <w:color w:val="000000"/>
        </w:rPr>
        <w:t>. However, BECs under physiological conditions are exposed to very high (millimolar) concentrations of hydrophobic bile acids without signs of cytotoxicity</w:t>
      </w:r>
      <w:r w:rsidRPr="00CE54E5">
        <w:rPr>
          <w:rFonts w:ascii="Book Antiqua" w:eastAsia="Book Antiqua" w:hAnsi="Book Antiqua" w:cs="Book Antiqua"/>
          <w:color w:val="000000"/>
          <w:szCs w:val="36"/>
          <w:vertAlign w:val="superscript"/>
        </w:rPr>
        <w:t>[18]</w:t>
      </w:r>
      <w:r w:rsidRPr="00CE54E5">
        <w:rPr>
          <w:rFonts w:ascii="Book Antiqua" w:eastAsia="Book Antiqua" w:hAnsi="Book Antiqua" w:cs="Book Antiqua"/>
          <w:color w:val="000000"/>
        </w:rPr>
        <w:t>, indicating the presence of mechanisms protecting cholangiocytes from the toxic effects of bile acids.</w:t>
      </w:r>
    </w:p>
    <w:p w14:paraId="48157F6B"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The conjugation of bile acids and formation of mixed micelles with cholesterol and phospholipids are considered defense mechanisms at the levels of hepatocytes, bile capillaries, and Hering’s canals</w:t>
      </w:r>
      <w:r w:rsidRPr="00CE54E5">
        <w:rPr>
          <w:rFonts w:ascii="Book Antiqua" w:eastAsia="Book Antiqua" w:hAnsi="Book Antiqua" w:cs="Book Antiqua"/>
          <w:color w:val="000000"/>
          <w:szCs w:val="36"/>
          <w:vertAlign w:val="superscript"/>
        </w:rPr>
        <w:t>[18]</w:t>
      </w:r>
      <w:r w:rsidRPr="00CE54E5">
        <w:rPr>
          <w:rFonts w:ascii="Book Antiqua" w:eastAsia="Book Antiqua" w:hAnsi="Book Antiqua" w:cs="Book Antiqua"/>
          <w:color w:val="000000"/>
        </w:rPr>
        <w:t>. Defense factors that enter the bile during its passage through bile ducts include the production and secretion of mucin and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-[19]</w:t>
      </w:r>
      <w:r w:rsidRPr="00CE54E5">
        <w:rPr>
          <w:rFonts w:ascii="Book Antiqua" w:eastAsia="Book Antiqua" w:hAnsi="Book Antiqua" w:cs="Book Antiqua"/>
          <w:color w:val="000000"/>
        </w:rPr>
        <w:t>. Under physiological conditions, the main function of cholangiocytes is biliary secretion of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-[20]</w:t>
      </w:r>
      <w:r w:rsidRPr="00CE54E5">
        <w:rPr>
          <w:rFonts w:ascii="Book Antiqua" w:eastAsia="Book Antiqua" w:hAnsi="Book Antiqua" w:cs="Book Antiqua"/>
          <w:color w:val="000000"/>
        </w:rPr>
        <w:t>.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is produced by cholangiocytes lining the biliary tree. Mucin glycoprotein is produced by peribiliary glands</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(PBGs</w:t>
      </w:r>
      <w:r w:rsidRPr="00CE54E5">
        <w:rPr>
          <w:rFonts w:ascii="Book Antiqua" w:eastAsia="宋体" w:hAnsi="Book Antiqua" w:cs="Book Antiqua" w:hint="eastAsia"/>
          <w:color w:val="000000"/>
          <w:lang w:eastAsia="zh-CN"/>
        </w:rPr>
        <w:t>)</w:t>
      </w:r>
      <w:r w:rsidRPr="00CE54E5">
        <w:rPr>
          <w:rFonts w:ascii="Book Antiqua" w:eastAsia="Book Antiqua" w:hAnsi="Book Antiqua" w:cs="Book Antiqua"/>
          <w:color w:val="000000"/>
          <w:szCs w:val="36"/>
          <w:vertAlign w:val="superscript"/>
        </w:rPr>
        <w:t>[21]</w:t>
      </w:r>
      <w:r w:rsidRPr="00CE54E5">
        <w:rPr>
          <w:rFonts w:ascii="Book Antiqua" w:eastAsia="Book Antiqua" w:hAnsi="Book Antiqua" w:cs="Book Antiqua"/>
          <w:color w:val="000000"/>
        </w:rPr>
        <w:t>, which are located in the wall of large intrahepatic and extrahepatic bile ducts and are directly connected with the bile duct lumen. Experimental evidence indicates that the glycocalyx, which covers the apical surface of large cholangiocyte membranes with glycosylated mucins and other glycan-containing membrane glycoproteins, stabilizes the biliary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umbrella, thereby helping to protect human large cholangiocytes from bile acid toxicity</w:t>
      </w:r>
      <w:r w:rsidRPr="00CE54E5">
        <w:rPr>
          <w:rFonts w:ascii="Book Antiqua" w:eastAsia="Book Antiqua" w:hAnsi="Book Antiqua" w:cs="Book Antiqua"/>
          <w:color w:val="000000"/>
          <w:szCs w:val="36"/>
          <w:vertAlign w:val="superscript"/>
        </w:rPr>
        <w:t>[22]</w:t>
      </w:r>
      <w:r w:rsidRPr="00CE54E5">
        <w:rPr>
          <w:rFonts w:ascii="Book Antiqua" w:eastAsia="Book Antiqua" w:hAnsi="Book Antiqua" w:cs="Book Antiqua"/>
          <w:color w:val="000000"/>
        </w:rPr>
        <w:t>. In addition, the mucin produced by PBGs protects the cholangiocytes of only large bile ducts</w:t>
      </w:r>
      <w:r w:rsidRPr="00CE54E5">
        <w:rPr>
          <w:rFonts w:ascii="Book Antiqua" w:eastAsia="Book Antiqua" w:hAnsi="Book Antiqua" w:cs="Book Antiqua"/>
          <w:color w:val="000000"/>
          <w:szCs w:val="36"/>
          <w:vertAlign w:val="superscript"/>
        </w:rPr>
        <w:t>[19]</w:t>
      </w:r>
      <w:r w:rsidRPr="00CE54E5">
        <w:rPr>
          <w:rFonts w:ascii="Book Antiqua" w:eastAsia="Book Antiqua" w:hAnsi="Book Antiqua" w:cs="Book Antiqua"/>
          <w:color w:val="000000"/>
        </w:rPr>
        <w:t xml:space="preserve">. Thus, the cholangiocytes of large intrahepatic and extrahepatic bile ducts have dual protection: </w:t>
      </w:r>
      <w:r w:rsidRPr="00CE54E5">
        <w:rPr>
          <w:rFonts w:ascii="Book Antiqua" w:eastAsia="宋体" w:hAnsi="Book Antiqua" w:cs="Book Antiqua" w:hint="eastAsia"/>
          <w:color w:val="000000"/>
          <w:lang w:eastAsia="zh-CN"/>
        </w:rPr>
        <w:t>T</w:t>
      </w:r>
      <w:r w:rsidRPr="00CE54E5">
        <w:rPr>
          <w:rFonts w:ascii="Book Antiqua" w:eastAsia="Book Antiqua" w:hAnsi="Book Antiqua" w:cs="Book Antiqua"/>
          <w:color w:val="000000"/>
        </w:rPr>
        <w:t>he mucin produced by PBGs and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Book Antiqua" w:hAnsi="Book Antiqua" w:cs="Book Antiqua"/>
          <w:color w:val="000000"/>
        </w:rPr>
        <w:t xml:space="preserve">. Intralobular, interlobular, </w:t>
      </w:r>
      <w:r w:rsidRPr="00CE54E5">
        <w:rPr>
          <w:rFonts w:ascii="Book Antiqua" w:eastAsia="Book Antiqua" w:hAnsi="Book Antiqua" w:cs="Book Antiqua"/>
          <w:color w:val="000000"/>
        </w:rPr>
        <w:lastRenderedPageBreak/>
        <w:t>and septal bile ducts do not contain PBGs, which is accompanied by the absence of mucin in them</w:t>
      </w:r>
      <w:r w:rsidRPr="00CE54E5">
        <w:rPr>
          <w:rFonts w:ascii="Book Antiqua" w:eastAsia="Book Antiqua" w:hAnsi="Book Antiqua" w:cs="Book Antiqua"/>
          <w:color w:val="000000"/>
          <w:szCs w:val="36"/>
          <w:vertAlign w:val="superscript"/>
        </w:rPr>
        <w:t>[21]</w:t>
      </w:r>
      <w:r w:rsidRPr="00CE54E5">
        <w:rPr>
          <w:rFonts w:ascii="Book Antiqua" w:eastAsia="Book Antiqua" w:hAnsi="Book Antiqua" w:cs="Book Antiqua"/>
          <w:color w:val="000000"/>
        </w:rPr>
        <w:t>. As a result, only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serves as a factor of BEC defense at the levels of intralobular, interlobular, and septal ducts.</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Under physiological conditions, there is a balance between aggressive factors (bile acids) and defense factors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and/or mucin secretion).</w:t>
      </w:r>
    </w:p>
    <w:p w14:paraId="7BC5F55F" w14:textId="77777777" w:rsidR="001043FD" w:rsidRPr="00CE54E5" w:rsidRDefault="001043FD">
      <w:pPr>
        <w:adjustRightInd w:val="0"/>
        <w:snapToGrid w:val="0"/>
        <w:spacing w:line="360" w:lineRule="auto"/>
        <w:ind w:firstLine="708"/>
        <w:jc w:val="both"/>
        <w:rPr>
          <w:rFonts w:ascii="Book Antiqua" w:hAnsi="Book Antiqua" w:cs="Book Antiqua"/>
        </w:rPr>
      </w:pPr>
    </w:p>
    <w:p w14:paraId="746344FB"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bCs/>
          <w:caps/>
          <w:color w:val="000000"/>
          <w:u w:val="single"/>
        </w:rPr>
        <w:t>CHOLANGIOCYTE DEFENSE MECHANISMS</w:t>
      </w:r>
    </w:p>
    <w:p w14:paraId="1F5A3A9C"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color w:val="000000"/>
        </w:rPr>
        <w:t>Cholangiocytes are polarized epithelial cells that line the intrahepatic and extrahepatic bile ducts and are responsible for regulating bile volume, modifying bile, and maintaining bile pH (alkalinity)</w:t>
      </w:r>
      <w:r w:rsidRPr="00CE54E5">
        <w:rPr>
          <w:rFonts w:ascii="Book Antiqua" w:eastAsia="Book Antiqua" w:hAnsi="Book Antiqua" w:cs="Book Antiqua"/>
          <w:color w:val="000000"/>
          <w:szCs w:val="36"/>
          <w:vertAlign w:val="superscript"/>
        </w:rPr>
        <w:t>[23,24]</w:t>
      </w:r>
      <w:r w:rsidRPr="00CE54E5">
        <w:rPr>
          <w:rFonts w:ascii="Book Antiqua" w:eastAsia="Book Antiqua" w:hAnsi="Book Antiqua" w:cs="Book Antiqua"/>
          <w:color w:val="000000"/>
        </w:rPr>
        <w:t>. They play an important role in modifying the composition of primary bile by secreting water, chloride (Cl</w:t>
      </w:r>
      <w:r w:rsidRPr="00CE54E5">
        <w:rPr>
          <w:rFonts w:ascii="Book Antiqua" w:eastAsia="Book Antiqua" w:hAnsi="Book Antiqua" w:cs="Book Antiqua"/>
          <w:color w:val="000000"/>
          <w:szCs w:val="36"/>
          <w:vertAlign w:val="superscript"/>
        </w:rPr>
        <w:t>-</w:t>
      </w:r>
      <w:r w:rsidRPr="00CE54E5">
        <w:rPr>
          <w:rFonts w:ascii="Book Antiqua" w:eastAsia="Book Antiqua" w:hAnsi="Book Antiqua" w:cs="Book Antiqua"/>
          <w:color w:val="000000"/>
        </w:rPr>
        <w:t>), and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-[25]</w:t>
      </w:r>
      <w:r w:rsidRPr="00CE54E5">
        <w:rPr>
          <w:rFonts w:ascii="Book Antiqua" w:eastAsia="Book Antiqua" w:hAnsi="Book Antiqua" w:cs="Book Antiqua"/>
          <w:color w:val="000000"/>
        </w:rPr>
        <w:t>, and by absorbing bile acid salts, amino acids, and glucose. Small and large cholangiocytes are distinguished depending on their size and location in small and large bile ducts</w:t>
      </w:r>
      <w:r w:rsidRPr="00CE54E5">
        <w:rPr>
          <w:rFonts w:ascii="Book Antiqua" w:eastAsia="Book Antiqua" w:hAnsi="Book Antiqua" w:cs="Book Antiqua"/>
          <w:color w:val="000000"/>
          <w:szCs w:val="36"/>
          <w:vertAlign w:val="superscript"/>
        </w:rPr>
        <w:t>[26]</w:t>
      </w:r>
      <w:r w:rsidRPr="00CE54E5">
        <w:rPr>
          <w:rFonts w:ascii="Book Antiqua" w:eastAsia="Book Antiqua" w:hAnsi="Book Antiqua" w:cs="Book Antiqua"/>
          <w:color w:val="000000"/>
        </w:rPr>
        <w:t>. They are differently involved in the processes of secretion and absorption</w:t>
      </w:r>
      <w:r w:rsidRPr="00CE54E5">
        <w:rPr>
          <w:rFonts w:ascii="Book Antiqua" w:eastAsia="Book Antiqua" w:hAnsi="Book Antiqua" w:cs="Book Antiqua"/>
          <w:color w:val="000000"/>
          <w:szCs w:val="36"/>
          <w:vertAlign w:val="superscript"/>
        </w:rPr>
        <w:t>[27]</w:t>
      </w:r>
      <w:r w:rsidRPr="00CE54E5">
        <w:rPr>
          <w:rFonts w:ascii="Book Antiqua" w:eastAsia="Book Antiqua" w:hAnsi="Book Antiqua" w:cs="Book Antiqua"/>
          <w:color w:val="000000"/>
        </w:rPr>
        <w:t>. The secretion of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with human bile accounts for 25%-40% of the total volume of secreted bile and maintains physiologic pH in the lumen of bile ducts</w:t>
      </w:r>
      <w:r w:rsidRPr="00CE54E5">
        <w:rPr>
          <w:rFonts w:ascii="Book Antiqua" w:eastAsia="Book Antiqua" w:hAnsi="Book Antiqua" w:cs="Book Antiqua"/>
          <w:color w:val="000000"/>
          <w:szCs w:val="36"/>
          <w:vertAlign w:val="superscript"/>
        </w:rPr>
        <w:t>[17,28,29]</w:t>
      </w:r>
      <w:r w:rsidRPr="00CE54E5">
        <w:rPr>
          <w:rFonts w:ascii="Book Antiqua" w:eastAsia="Book Antiqua" w:hAnsi="Book Antiqua" w:cs="Book Antiqua"/>
          <w:color w:val="000000"/>
        </w:rPr>
        <w:t>.</w:t>
      </w:r>
    </w:p>
    <w:p w14:paraId="63873C06"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In the process of bile formation, predominantly conjugated bile acids and a minimal amount of unconjugated bile acids enter the bile capillary. Under physiological conditions, both conjugated and unconjugated bile acids are secreted into bile by hepatocytes in anionic (deprotonated, ionized, negatively charged) form</w:t>
      </w:r>
      <w:r w:rsidRPr="00CE54E5">
        <w:rPr>
          <w:rFonts w:ascii="Book Antiqua" w:eastAsia="Book Antiqua" w:hAnsi="Book Antiqua" w:cs="Book Antiqua"/>
          <w:color w:val="000000"/>
          <w:szCs w:val="36"/>
          <w:vertAlign w:val="superscript"/>
        </w:rPr>
        <w:t>[30]</w:t>
      </w:r>
      <w:r w:rsidRPr="00CE54E5">
        <w:rPr>
          <w:rFonts w:ascii="Book Antiqua" w:eastAsia="Book Antiqua" w:hAnsi="Book Antiqua" w:cs="Book Antiqua"/>
          <w:color w:val="000000"/>
        </w:rPr>
        <w:t>.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Book Antiqua" w:hAnsi="Book Antiqua" w:cs="Book Antiqua"/>
          <w:color w:val="000000"/>
        </w:rPr>
        <w:t>, which is secreted by cholangiocytes into the lumen of the bile duct, creates a slightly alkaline pH of hepatic bile due to its buffering properties, keeping bile acids in a deprotonated state. The ionized form of bile acids are impermeable to BECs due to the presence of negatively charged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molecules on the apical surface of the cytoplasmic membrane of cholangiocytes</w:t>
      </w:r>
      <w:r w:rsidRPr="00CE54E5">
        <w:rPr>
          <w:rFonts w:ascii="Book Antiqua" w:eastAsia="Book Antiqua" w:hAnsi="Book Antiqua" w:cs="Book Antiqua"/>
          <w:color w:val="000000"/>
          <w:szCs w:val="36"/>
          <w:vertAlign w:val="superscript"/>
        </w:rPr>
        <w:t>[30]</w:t>
      </w:r>
      <w:r w:rsidRPr="00CE54E5">
        <w:rPr>
          <w:rFonts w:ascii="Book Antiqua" w:eastAsia="Book Antiqua" w:hAnsi="Book Antiqua" w:cs="Book Antiqua"/>
          <w:color w:val="000000"/>
        </w:rPr>
        <w:t>. Thus, the secretion of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ions protects cholangiocytes from uncontrolled transmembrane bile acid entrance and their cytotoxicity. This protective mechanism, which preserves cholangiocytes and normal bile flow along the biliary tree, is called the biliary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umbrella.</w:t>
      </w:r>
    </w:p>
    <w:p w14:paraId="5616ABB6" w14:textId="77777777" w:rsidR="001043FD" w:rsidRPr="00CE54E5" w:rsidRDefault="001043FD">
      <w:pPr>
        <w:adjustRightInd w:val="0"/>
        <w:snapToGrid w:val="0"/>
        <w:spacing w:line="360" w:lineRule="auto"/>
        <w:jc w:val="both"/>
        <w:rPr>
          <w:rFonts w:ascii="Book Antiqua" w:hAnsi="Book Antiqua" w:cs="Book Antiqua"/>
        </w:rPr>
      </w:pPr>
    </w:p>
    <w:p w14:paraId="3EC656C9" w14:textId="77777777" w:rsidR="001043FD" w:rsidRPr="00CE54E5" w:rsidRDefault="00000000">
      <w:pPr>
        <w:adjustRightInd w:val="0"/>
        <w:snapToGrid w:val="0"/>
        <w:spacing w:line="360" w:lineRule="auto"/>
        <w:jc w:val="both"/>
        <w:rPr>
          <w:rFonts w:ascii="Book Antiqua" w:hAnsi="Book Antiqua" w:cs="Book Antiqua"/>
          <w:b/>
          <w:bCs/>
          <w:u w:val="single"/>
        </w:rPr>
      </w:pPr>
      <w:r w:rsidRPr="00CE54E5">
        <w:rPr>
          <w:rFonts w:ascii="Book Antiqua" w:hAnsi="Book Antiqua" w:cs="Book Antiqua"/>
          <w:b/>
          <w:bCs/>
          <w:u w:val="single"/>
        </w:rPr>
        <w:lastRenderedPageBreak/>
        <w:t>MAIN REGULATORS OF HCO</w:t>
      </w:r>
      <w:r w:rsidRPr="00CE54E5">
        <w:rPr>
          <w:rFonts w:ascii="Book Antiqua" w:hAnsi="Book Antiqua" w:cs="Book Antiqua"/>
          <w:b/>
          <w:bCs/>
          <w:u w:val="single"/>
          <w:vertAlign w:val="subscript"/>
        </w:rPr>
        <w:t>3</w:t>
      </w:r>
      <w:r w:rsidRPr="00CE54E5">
        <w:rPr>
          <w:rFonts w:ascii="Book Antiqua" w:hAnsi="Book Antiqua" w:cs="Book Antiqua"/>
          <w:b/>
          <w:bCs/>
          <w:u w:val="single"/>
          <w:vertAlign w:val="superscript"/>
        </w:rPr>
        <w:t>-</w:t>
      </w:r>
      <w:r w:rsidRPr="00CE54E5">
        <w:rPr>
          <w:rFonts w:ascii="Book Antiqua" w:hAnsi="Book Antiqua" w:cs="Book Antiqua"/>
          <w:b/>
          <w:bCs/>
          <w:u w:val="single"/>
        </w:rPr>
        <w:t xml:space="preserve"> PRODUCTION AND SECRETION BY CHOLANGIOCYTES</w:t>
      </w:r>
    </w:p>
    <w:p w14:paraId="59FC258D"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color w:val="000000"/>
        </w:rPr>
        <w:t>The pH fluctuation in bile ducts depends on the rate of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production by cholangiocytes. The signaling pathways regulating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secretion differ in large and small cholangiocytes</w:t>
      </w:r>
      <w:r w:rsidRPr="00CE54E5">
        <w:rPr>
          <w:rFonts w:ascii="Book Antiqua" w:eastAsia="Book Antiqua" w:hAnsi="Book Antiqua" w:cs="Book Antiqua"/>
          <w:color w:val="000000"/>
          <w:szCs w:val="36"/>
          <w:vertAlign w:val="superscript"/>
        </w:rPr>
        <w:t>[31]</w:t>
      </w:r>
      <w:r w:rsidRPr="00CE54E5">
        <w:rPr>
          <w:rFonts w:ascii="Book Antiqua" w:eastAsia="Book Antiqua" w:hAnsi="Book Antiqua" w:cs="Book Antiqua"/>
          <w:color w:val="000000"/>
        </w:rPr>
        <w:t>. In small cholangiocytes, activation of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secretion is due to biliary adenosine triphosphate (ATP) secreted from upstream hepatocytes of Hering’s canals (Figure 1). Cholangiocytes express apical membrane proteins of the purinergic receptor (P2YR) family, which are stimulated by ATP</w:t>
      </w:r>
      <w:r w:rsidRPr="00CE54E5">
        <w:rPr>
          <w:rFonts w:ascii="Book Antiqua" w:eastAsia="Book Antiqua" w:hAnsi="Book Antiqua" w:cs="Book Antiqua"/>
          <w:color w:val="000000"/>
          <w:szCs w:val="36"/>
          <w:vertAlign w:val="superscript"/>
        </w:rPr>
        <w:t>[32]</w:t>
      </w:r>
      <w:r w:rsidRPr="00CE54E5">
        <w:rPr>
          <w:rFonts w:ascii="Book Antiqua" w:eastAsia="Book Antiqua" w:hAnsi="Book Antiqua" w:cs="Book Antiqua"/>
          <w:color w:val="000000"/>
        </w:rPr>
        <w:t>. Luminal ATP binds to P2YR, stimulating intracellular calcium (Ca</w:t>
      </w:r>
      <w:r w:rsidRPr="00CE54E5">
        <w:rPr>
          <w:rFonts w:ascii="Book Antiqua" w:eastAsia="Book Antiqua" w:hAnsi="Book Antiqua" w:cs="Book Antiqua"/>
          <w:color w:val="000000"/>
          <w:szCs w:val="36"/>
          <w:vertAlign w:val="superscript"/>
        </w:rPr>
        <w:t>2+</w:t>
      </w:r>
      <w:r w:rsidRPr="00CE54E5">
        <w:rPr>
          <w:rFonts w:ascii="Book Antiqua" w:eastAsia="Book Antiqua" w:hAnsi="Book Antiqua" w:cs="Book Antiqua"/>
          <w:color w:val="000000"/>
        </w:rPr>
        <w:t xml:space="preserve">) release </w:t>
      </w:r>
      <w:r w:rsidRPr="00CE54E5">
        <w:rPr>
          <w:rFonts w:ascii="Book Antiqua" w:eastAsia="Book Antiqua" w:hAnsi="Book Antiqua" w:cs="Book Antiqua"/>
          <w:i/>
          <w:iCs/>
          <w:color w:val="000000"/>
        </w:rPr>
        <w:t>via</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inositol-1,4,5-trisphosphate receptor type 3 (InsP</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rPr>
        <w:t>R3)</w:t>
      </w:r>
      <w:r w:rsidRPr="00CE54E5">
        <w:rPr>
          <w:rFonts w:ascii="Book Antiqua" w:eastAsia="Book Antiqua" w:hAnsi="Book Antiqua" w:cs="Book Antiqua"/>
          <w:color w:val="000000"/>
          <w:szCs w:val="36"/>
          <w:vertAlign w:val="superscript"/>
        </w:rPr>
        <w:t>[33]</w:t>
      </w:r>
      <w:r w:rsidRPr="00CE54E5">
        <w:rPr>
          <w:rFonts w:ascii="Book Antiqua" w:eastAsia="Book Antiqua" w:hAnsi="Book Antiqua" w:cs="Book Antiqua"/>
          <w:color w:val="000000"/>
        </w:rPr>
        <w:t>. In cholangiocytes, InsP</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rPr>
        <w:t>R3 is the major receptor isoform localized in the apical region</w:t>
      </w:r>
      <w:r w:rsidRPr="00CE54E5">
        <w:rPr>
          <w:rFonts w:ascii="Book Antiqua" w:eastAsia="Book Antiqua" w:hAnsi="Book Antiqua" w:cs="Book Antiqua"/>
          <w:color w:val="000000"/>
          <w:szCs w:val="36"/>
          <w:vertAlign w:val="superscript"/>
        </w:rPr>
        <w:t>[31,34]</w:t>
      </w:r>
      <w:r w:rsidRPr="00CE54E5">
        <w:rPr>
          <w:rFonts w:ascii="Book Antiqua" w:eastAsia="Book Antiqua" w:hAnsi="Book Antiqua" w:cs="Book Antiqua"/>
          <w:color w:val="000000"/>
        </w:rPr>
        <w:t>; it is involved in InsP</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rPr>
        <w:t>R3-mediated cell signaling and Ca</w:t>
      </w:r>
      <w:r w:rsidRPr="00CE54E5">
        <w:rPr>
          <w:rFonts w:ascii="Book Antiqua" w:eastAsia="Book Antiqua" w:hAnsi="Book Antiqua" w:cs="Book Antiqua"/>
          <w:color w:val="000000"/>
          <w:szCs w:val="36"/>
          <w:vertAlign w:val="superscript"/>
        </w:rPr>
        <w:t>2+</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secretion</w:t>
      </w:r>
      <w:r w:rsidRPr="00CE54E5">
        <w:rPr>
          <w:rFonts w:ascii="Book Antiqua" w:eastAsia="Book Antiqua" w:hAnsi="Book Antiqua" w:cs="Book Antiqua"/>
          <w:color w:val="000000"/>
          <w:szCs w:val="36"/>
          <w:vertAlign w:val="superscript"/>
        </w:rPr>
        <w:t>[35]</w:t>
      </w:r>
      <w:r w:rsidRPr="00CE54E5">
        <w:rPr>
          <w:rFonts w:ascii="Book Antiqua" w:eastAsia="Book Antiqua" w:hAnsi="Book Antiqua" w:cs="Book Antiqua"/>
          <w:color w:val="000000"/>
        </w:rPr>
        <w:t>. InsP</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rPr>
        <w:t>R3 is the only receptor that promotes the opening of intracellular Ca</w:t>
      </w:r>
      <w:r w:rsidRPr="00CE54E5">
        <w:rPr>
          <w:rFonts w:ascii="Book Antiqua" w:eastAsia="Book Antiqua" w:hAnsi="Book Antiqua" w:cs="Book Antiqua"/>
          <w:color w:val="000000"/>
          <w:szCs w:val="36"/>
          <w:vertAlign w:val="superscript"/>
        </w:rPr>
        <w:t>2+</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channels and release of Ca</w:t>
      </w:r>
      <w:r w:rsidRPr="00CE54E5">
        <w:rPr>
          <w:rFonts w:ascii="Book Antiqua" w:eastAsia="Book Antiqua" w:hAnsi="Book Antiqua" w:cs="Book Antiqua"/>
          <w:color w:val="000000"/>
          <w:szCs w:val="36"/>
          <w:vertAlign w:val="superscript"/>
        </w:rPr>
        <w:t>2+</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ions</w:t>
      </w:r>
      <w:r w:rsidRPr="00CE54E5">
        <w:rPr>
          <w:rFonts w:ascii="Book Antiqua" w:eastAsia="Book Antiqua" w:hAnsi="Book Antiqua" w:cs="Book Antiqua"/>
          <w:color w:val="000000"/>
          <w:szCs w:val="36"/>
          <w:vertAlign w:val="superscript"/>
        </w:rPr>
        <w:t>[34]</w:t>
      </w:r>
      <w:r w:rsidRPr="00CE54E5">
        <w:rPr>
          <w:rFonts w:ascii="Book Antiqua" w:eastAsia="Book Antiqua" w:hAnsi="Book Antiqua" w:cs="Book Antiqua"/>
          <w:color w:val="000000"/>
        </w:rPr>
        <w:t>. Ca</w:t>
      </w:r>
      <w:r w:rsidRPr="00CE54E5">
        <w:rPr>
          <w:rFonts w:ascii="Book Antiqua" w:eastAsia="Book Antiqua" w:hAnsi="Book Antiqua" w:cs="Book Antiqua"/>
          <w:color w:val="000000"/>
          <w:szCs w:val="36"/>
          <w:vertAlign w:val="superscript"/>
        </w:rPr>
        <w:t>2+</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is one of the second messengers in cholangiocytes that modulates and regulates diverse cellular functions such as ion channel activation, secretion, cell proliferation, and apoptosis</w:t>
      </w:r>
      <w:r w:rsidRPr="00CE54E5">
        <w:rPr>
          <w:rFonts w:ascii="Book Antiqua" w:eastAsia="Book Antiqua" w:hAnsi="Book Antiqua" w:cs="Book Antiqua"/>
          <w:color w:val="000000"/>
          <w:szCs w:val="36"/>
          <w:vertAlign w:val="superscript"/>
        </w:rPr>
        <w:t>[34,36]</w:t>
      </w:r>
      <w:r w:rsidRPr="00CE54E5">
        <w:rPr>
          <w:rFonts w:ascii="Book Antiqua" w:eastAsia="Book Antiqua" w:hAnsi="Book Antiqua" w:cs="Book Antiqua"/>
          <w:color w:val="000000"/>
        </w:rPr>
        <w:t>. Ca</w:t>
      </w:r>
      <w:r w:rsidRPr="00CE54E5">
        <w:rPr>
          <w:rFonts w:ascii="Book Antiqua" w:eastAsia="Book Antiqua" w:hAnsi="Book Antiqua" w:cs="Book Antiqua"/>
          <w:color w:val="000000"/>
          <w:szCs w:val="36"/>
          <w:vertAlign w:val="superscript"/>
        </w:rPr>
        <w:t>2+</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release from subapical stores in the endoplasmic reticulum triggers and locally activates transmembrane 16A Cl</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channels (TMEM16A) on the apical membrane of cholangiocytes (Figure 1)</w:t>
      </w:r>
      <w:r w:rsidRPr="00CE54E5">
        <w:rPr>
          <w:rFonts w:ascii="Book Antiqua" w:eastAsia="Book Antiqua" w:hAnsi="Book Antiqua" w:cs="Book Antiqua"/>
          <w:color w:val="000000"/>
          <w:szCs w:val="36"/>
          <w:vertAlign w:val="superscript"/>
        </w:rPr>
        <w:t>[36-38]</w:t>
      </w:r>
      <w:r w:rsidRPr="00CE54E5">
        <w:rPr>
          <w:rFonts w:ascii="Book Antiqua" w:eastAsia="Book Antiqua" w:hAnsi="Book Antiqua" w:cs="Book Antiqua"/>
          <w:color w:val="000000"/>
        </w:rPr>
        <w:t>. The appearing Cl</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concentration gradient on the apical membrane activates the Cl</w:t>
      </w:r>
      <w:r w:rsidRPr="00CE54E5">
        <w:rPr>
          <w:rFonts w:ascii="Book Antiqua" w:eastAsia="Book Antiqua" w:hAnsi="Book Antiqua" w:cs="Book Antiqua"/>
          <w:color w:val="000000"/>
          <w:szCs w:val="36"/>
          <w:vertAlign w:val="superscript"/>
        </w:rPr>
        <w:t>-</w:t>
      </w:r>
      <w:r w:rsidRPr="00CE54E5">
        <w:rPr>
          <w:rFonts w:ascii="Book Antiqua" w:eastAsia="Book Antiqua" w:hAnsi="Book Antiqua" w:cs="Book Antiqua"/>
          <w:color w:val="000000"/>
        </w:rPr>
        <w:t>/HCO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anion exchanger 2 (AE2), also Slc4A2, which leads to the secretion of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into the lumen of the bile duct.</w:t>
      </w:r>
    </w:p>
    <w:p w14:paraId="39396578"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In large cholangiocytes, with the exception of the Ca</w:t>
      </w:r>
      <w:r w:rsidRPr="00CE54E5">
        <w:rPr>
          <w:rFonts w:ascii="Book Antiqua" w:eastAsia="Book Antiqua" w:hAnsi="Book Antiqua" w:cs="Book Antiqua"/>
          <w:color w:val="000000"/>
          <w:szCs w:val="36"/>
          <w:vertAlign w:val="superscript"/>
        </w:rPr>
        <w:t>2+</w:t>
      </w:r>
      <w:r w:rsidRPr="00CE54E5">
        <w:rPr>
          <w:rFonts w:ascii="Book Antiqua" w:eastAsia="Book Antiqua" w:hAnsi="Book Antiqua" w:cs="Book Antiqua"/>
          <w:color w:val="000000"/>
        </w:rPr>
        <w:t>-dependent pathway of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secretion, there is an additional mechanism involving the hormones secretin and somatostatin</w:t>
      </w:r>
      <w:r w:rsidRPr="00CE54E5">
        <w:rPr>
          <w:rFonts w:ascii="Book Antiqua" w:eastAsia="Book Antiqua" w:hAnsi="Book Antiqua" w:cs="Book Antiqua"/>
          <w:color w:val="000000"/>
          <w:szCs w:val="36"/>
          <w:vertAlign w:val="superscript"/>
        </w:rPr>
        <w:t>[39]</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(Figure 1). Secretin is produced by the S cells of the duodenal mucosa, and stimulates the production of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by the intestinal mucosa itself as well as by cholangiocytes and pancreatic ductular epithelial cells</w:t>
      </w:r>
      <w:r w:rsidRPr="00CE54E5">
        <w:rPr>
          <w:rFonts w:ascii="Book Antiqua" w:eastAsia="Book Antiqua" w:hAnsi="Book Antiqua" w:cs="Book Antiqua"/>
          <w:color w:val="000000"/>
          <w:szCs w:val="36"/>
          <w:vertAlign w:val="superscript"/>
        </w:rPr>
        <w:t>[39]</w:t>
      </w:r>
      <w:r w:rsidRPr="00CE54E5">
        <w:rPr>
          <w:rFonts w:ascii="Book Antiqua" w:eastAsia="Book Antiqua" w:hAnsi="Book Antiqua" w:cs="Book Antiqua"/>
          <w:color w:val="000000"/>
        </w:rPr>
        <w:t>. Secretin regulates the secretion of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and Cl</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into bile by large cholangiocytes through interaction with secretin receptors (SRs) located on the basolateral membrane of BECs</w:t>
      </w:r>
      <w:r w:rsidRPr="00CE54E5">
        <w:rPr>
          <w:rFonts w:ascii="Book Antiqua" w:eastAsia="Book Antiqua" w:hAnsi="Book Antiqua" w:cs="Book Antiqua"/>
          <w:color w:val="000000"/>
          <w:szCs w:val="36"/>
          <w:vertAlign w:val="superscript"/>
        </w:rPr>
        <w:t>[39-42]</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(Figure 1).</w:t>
      </w:r>
    </w:p>
    <w:p w14:paraId="69F67EDD"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 xml:space="preserve">As a result of this interaction, the formation of cyclic adenosine monophosphate (cAMP) is stimulated </w:t>
      </w:r>
      <w:r w:rsidRPr="00CE54E5">
        <w:rPr>
          <w:rFonts w:ascii="Book Antiqua" w:eastAsia="Book Antiqua" w:hAnsi="Book Antiqua" w:cs="Book Antiqua"/>
          <w:i/>
          <w:iCs/>
          <w:color w:val="000000"/>
        </w:rPr>
        <w:t>via</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 xml:space="preserve">G proteins. cAMP activates the cystic fibrosis transmembrane </w:t>
      </w:r>
      <w:r w:rsidRPr="00CE54E5">
        <w:rPr>
          <w:rFonts w:ascii="Book Antiqua" w:eastAsia="Book Antiqua" w:hAnsi="Book Antiqua" w:cs="Book Antiqua"/>
          <w:color w:val="000000"/>
        </w:rPr>
        <w:lastRenderedPageBreak/>
        <w:t>conductance regulator (CFTR) through adenylate cyclase, resulting in the secretion of Cl</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ions into the bile duct</w:t>
      </w:r>
      <w:r w:rsidRPr="00CE54E5">
        <w:rPr>
          <w:rFonts w:ascii="Book Antiqua" w:eastAsia="Book Antiqua" w:hAnsi="Book Antiqua" w:cs="Book Antiqua"/>
          <w:color w:val="000000"/>
          <w:szCs w:val="36"/>
          <w:vertAlign w:val="superscript"/>
        </w:rPr>
        <w:t>[28]</w:t>
      </w:r>
      <w:r w:rsidRPr="00CE54E5">
        <w:rPr>
          <w:rFonts w:ascii="Book Antiqua" w:eastAsia="Book Antiqua" w:hAnsi="Book Antiqua" w:cs="Book Antiqua"/>
          <w:color w:val="000000"/>
        </w:rPr>
        <w:t>. The appearing Cl</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concentration gradient on the apical membrane of cholangiocytes activates AE2, which leads to the secretion of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into the bile duct lumen in exchange for the intracellular entry of Cl</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ions into the cholangiocytes</w:t>
      </w:r>
      <w:r w:rsidRPr="00CE54E5">
        <w:rPr>
          <w:rFonts w:ascii="Book Antiqua" w:eastAsia="Book Antiqua" w:hAnsi="Book Antiqua" w:cs="Book Antiqua"/>
          <w:color w:val="000000"/>
          <w:szCs w:val="36"/>
          <w:vertAlign w:val="superscript"/>
        </w:rPr>
        <w:t>[20,24,26,43]</w:t>
      </w:r>
      <w:r w:rsidRPr="00CE54E5">
        <w:rPr>
          <w:rFonts w:ascii="Book Antiqua" w:eastAsia="Book Antiqua" w:hAnsi="Book Antiqua" w:cs="Book Antiqua"/>
          <w:color w:val="000000"/>
        </w:rPr>
        <w:t>. In parallel, ATP from cholangiocytes enters the bile duct lumen by exocytosis, which stimulates the secretion of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i/>
          <w:iCs/>
          <w:color w:val="000000"/>
        </w:rPr>
        <w:t>via</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a Ca</w:t>
      </w:r>
      <w:r w:rsidRPr="00CE54E5">
        <w:rPr>
          <w:rFonts w:ascii="Book Antiqua" w:eastAsia="Book Antiqua" w:hAnsi="Book Antiqua" w:cs="Book Antiqua"/>
          <w:color w:val="000000"/>
          <w:szCs w:val="36"/>
          <w:vertAlign w:val="superscript"/>
        </w:rPr>
        <w:t>2+</w:t>
      </w:r>
      <w:r w:rsidRPr="00CE54E5">
        <w:rPr>
          <w:rFonts w:ascii="Book Antiqua" w:eastAsia="Book Antiqua" w:hAnsi="Book Antiqua" w:cs="Book Antiqua"/>
          <w:color w:val="000000"/>
        </w:rPr>
        <w:t>-dependent mechanism</w:t>
      </w:r>
      <w:r w:rsidRPr="00CE54E5">
        <w:rPr>
          <w:rFonts w:ascii="Book Antiqua" w:eastAsia="Book Antiqua" w:hAnsi="Book Antiqua" w:cs="Book Antiqua"/>
          <w:color w:val="000000"/>
          <w:szCs w:val="36"/>
          <w:vertAlign w:val="superscript"/>
        </w:rPr>
        <w:t>[44]</w:t>
      </w:r>
      <w:r w:rsidRPr="00CE54E5">
        <w:rPr>
          <w:rFonts w:ascii="Book Antiqua" w:eastAsia="Book Antiqua" w:hAnsi="Book Antiqua" w:cs="Book Antiqua"/>
          <w:color w:val="000000"/>
        </w:rPr>
        <w:t>. SRs and CFTR are not found in small cholangiocytes; therefore, secretin is unable to stimulate the secretion and entry of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and Cl</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into bile in small cholangiocytes</w:t>
      </w:r>
      <w:r w:rsidRPr="00CE54E5">
        <w:rPr>
          <w:rFonts w:ascii="Book Antiqua" w:eastAsia="Book Antiqua" w:hAnsi="Book Antiqua" w:cs="Book Antiqua"/>
          <w:color w:val="000000"/>
          <w:szCs w:val="36"/>
          <w:vertAlign w:val="superscript"/>
        </w:rPr>
        <w:t>[24]</w:t>
      </w:r>
      <w:r w:rsidRPr="00CE54E5">
        <w:rPr>
          <w:rFonts w:ascii="Book Antiqua" w:eastAsia="Book Antiqua" w:hAnsi="Book Antiqua" w:cs="Book Antiqua"/>
          <w:color w:val="000000"/>
        </w:rPr>
        <w:t>. However, a Ca</w:t>
      </w:r>
      <w:r w:rsidRPr="00CE54E5">
        <w:rPr>
          <w:rFonts w:ascii="Book Antiqua" w:eastAsia="Book Antiqua" w:hAnsi="Book Antiqua" w:cs="Book Antiqua"/>
          <w:color w:val="000000"/>
          <w:szCs w:val="36"/>
          <w:vertAlign w:val="superscript"/>
        </w:rPr>
        <w:t>2+</w:t>
      </w:r>
      <w:r w:rsidRPr="00CE54E5">
        <w:rPr>
          <w:rFonts w:ascii="Book Antiqua" w:eastAsia="Book Antiqua" w:hAnsi="Book Antiqua" w:cs="Book Antiqua"/>
          <w:color w:val="000000"/>
        </w:rPr>
        <w:t>-dependent mechanism of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 xml:space="preserve">- </w:t>
      </w:r>
      <w:r w:rsidRPr="00CE54E5">
        <w:rPr>
          <w:rFonts w:ascii="Book Antiqua" w:eastAsia="Book Antiqua" w:hAnsi="Book Antiqua" w:cs="Book Antiqua"/>
          <w:color w:val="000000"/>
        </w:rPr>
        <w:t>secretion is present in both small and large cholangiocytes (Figure 1)</w:t>
      </w:r>
      <w:r w:rsidRPr="00CE54E5">
        <w:rPr>
          <w:rFonts w:ascii="Book Antiqua" w:eastAsia="Book Antiqua" w:hAnsi="Book Antiqua" w:cs="Book Antiqua"/>
          <w:color w:val="000000"/>
          <w:szCs w:val="36"/>
          <w:vertAlign w:val="superscript"/>
        </w:rPr>
        <w:t>[20,24]</w:t>
      </w:r>
      <w:r w:rsidRPr="00CE54E5">
        <w:rPr>
          <w:rFonts w:ascii="Book Antiqua" w:eastAsia="Book Antiqua" w:hAnsi="Book Antiqua" w:cs="Book Antiqua"/>
          <w:color w:val="000000"/>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Somatostatin, which binds to the somatostatin receptor, counteracts the stimulating effect of secretin, inhibits fluid secretion, and slows the production and entry of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from cholangiocytes into the lumen of the bile duct</w:t>
      </w:r>
      <w:r w:rsidRPr="00CE54E5">
        <w:rPr>
          <w:rFonts w:ascii="Book Antiqua" w:eastAsia="Book Antiqua" w:hAnsi="Book Antiqua" w:cs="Book Antiqua"/>
          <w:color w:val="000000"/>
          <w:szCs w:val="36"/>
          <w:vertAlign w:val="superscript"/>
        </w:rPr>
        <w:t>[45]</w:t>
      </w:r>
      <w:r w:rsidRPr="00CE54E5">
        <w:rPr>
          <w:rFonts w:ascii="Book Antiqua" w:eastAsia="Book Antiqua" w:hAnsi="Book Antiqua" w:cs="Book Antiqua"/>
          <w:color w:val="000000"/>
        </w:rPr>
        <w:t>.</w:t>
      </w:r>
    </w:p>
    <w:p w14:paraId="306DCF0F" w14:textId="77777777" w:rsidR="001043FD" w:rsidRPr="00CE54E5" w:rsidRDefault="001043FD">
      <w:pPr>
        <w:adjustRightInd w:val="0"/>
        <w:snapToGrid w:val="0"/>
        <w:spacing w:line="360" w:lineRule="auto"/>
        <w:ind w:firstLine="270"/>
        <w:jc w:val="both"/>
        <w:rPr>
          <w:rFonts w:ascii="Book Antiqua" w:hAnsi="Book Antiqua" w:cs="Book Antiqua"/>
        </w:rPr>
      </w:pPr>
    </w:p>
    <w:p w14:paraId="7FAD4611"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bCs/>
          <w:caps/>
          <w:color w:val="000000"/>
          <w:u w:val="single"/>
        </w:rPr>
        <w:t>MECHANISMS OF BILE ACID PROTONATION-DEPROTONATION AND THEIR ENTRY INTO CHOLANGIOCYTES</w:t>
      </w:r>
    </w:p>
    <w:p w14:paraId="3565EF4A" w14:textId="6C548024"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color w:val="000000"/>
        </w:rPr>
        <w:t>Uncontrolled, carrier-independent, passive diffusion of unconjugated primary bile acids into BECs is determined by their polarity and degree of protonation</w:t>
      </w:r>
      <w:r w:rsidRPr="00CE54E5">
        <w:rPr>
          <w:rFonts w:ascii="Book Antiqua" w:eastAsia="Book Antiqua" w:hAnsi="Book Antiqua" w:cs="Book Antiqua"/>
          <w:color w:val="000000"/>
          <w:szCs w:val="36"/>
          <w:vertAlign w:val="superscript"/>
        </w:rPr>
        <w:t>[18,46,47]</w:t>
      </w:r>
      <w:r w:rsidRPr="00CE54E5">
        <w:rPr>
          <w:rFonts w:ascii="Book Antiqua" w:eastAsia="Book Antiqua" w:hAnsi="Book Antiqua" w:cs="Book Antiqua"/>
          <w:color w:val="000000"/>
        </w:rPr>
        <w:t>. Protonation of bile acids is an exponential function of pH. When the pH of hepatic bile acidifies, bile acids may undergo protonation. The degree of protonation of bile acids depends on both their dissociation constant (pKa) and the pH of the bile. The pKa values for unconjugated primary bile acids are 5-6</w:t>
      </w:r>
      <w:r w:rsidRPr="00CE54E5">
        <w:rPr>
          <w:rFonts w:ascii="Book Antiqua" w:eastAsia="Book Antiqua" w:hAnsi="Book Antiqua" w:cs="Book Antiqua"/>
          <w:color w:val="000000"/>
          <w:szCs w:val="36"/>
          <w:vertAlign w:val="superscript"/>
        </w:rPr>
        <w:t>[48-50]</w:t>
      </w:r>
      <w:r w:rsidRPr="00CE54E5">
        <w:rPr>
          <w:rFonts w:ascii="Book Antiqua" w:eastAsia="Book Antiqua" w:hAnsi="Book Antiqua" w:cs="Book Antiqua"/>
          <w:color w:val="000000"/>
        </w:rPr>
        <w:t>. Conjugation of primary bile acids with amino acids reduces pKa values to 4-5 for conjugates with glycine and to 1-2 for conjugates with taurine, which improves their solubility in water and reduces their lipo</w:t>
      </w:r>
      <w:r w:rsidRPr="00CE54E5">
        <w:rPr>
          <w:rFonts w:ascii="Book Antiqua" w:eastAsia="宋体" w:hAnsi="Book Antiqua" w:cs="Book Antiqua" w:hint="eastAsia"/>
          <w:color w:val="000000"/>
          <w:lang w:eastAsia="zh-CN"/>
        </w:rPr>
        <w:t>p</w:t>
      </w:r>
      <w:r w:rsidR="007340C7" w:rsidRPr="00CE54E5">
        <w:rPr>
          <w:rFonts w:ascii="Book Antiqua" w:eastAsia="宋体" w:hAnsi="Book Antiqua" w:cs="Book Antiqua"/>
          <w:color w:val="000000"/>
          <w:lang w:eastAsia="zh-CN"/>
        </w:rPr>
        <w:t>h</w:t>
      </w:r>
      <w:r w:rsidRPr="00CE54E5">
        <w:rPr>
          <w:rFonts w:ascii="Book Antiqua" w:eastAsia="宋体" w:hAnsi="Book Antiqua" w:cs="Book Antiqua" w:hint="eastAsia"/>
          <w:color w:val="000000"/>
          <w:lang w:eastAsia="zh-CN"/>
        </w:rPr>
        <w:t>i</w:t>
      </w:r>
      <w:r w:rsidRPr="00CE54E5">
        <w:rPr>
          <w:rFonts w:ascii="Book Antiqua" w:eastAsia="Book Antiqua" w:hAnsi="Book Antiqua" w:cs="Book Antiqua"/>
          <w:color w:val="000000"/>
        </w:rPr>
        <w:t>licity</w:t>
      </w:r>
      <w:r w:rsidRPr="00CE54E5">
        <w:rPr>
          <w:rFonts w:ascii="Book Antiqua" w:eastAsia="Book Antiqua" w:hAnsi="Book Antiqua" w:cs="Book Antiqua"/>
          <w:color w:val="000000"/>
          <w:szCs w:val="36"/>
          <w:vertAlign w:val="superscript"/>
        </w:rPr>
        <w:t>[48-50]</w:t>
      </w:r>
      <w:r w:rsidRPr="00CE54E5">
        <w:rPr>
          <w:rFonts w:ascii="Book Antiqua" w:eastAsia="Book Antiqua" w:hAnsi="Book Antiqua" w:cs="Book Antiqua"/>
          <w:color w:val="000000"/>
        </w:rPr>
        <w:t>. The low pKa values of the taurine conjugates of primary bile acids indicate that they are stronger acids than glycine conjugates. Therefore, taurine-conjugated bile acids are in a dissociated (deprotonated) form even at acidic bile pH values. Whereas glycine conjugates, with higher pKa values, are weak acids and will quickly change to a protonated state at the slightest acidification of bile</w:t>
      </w:r>
      <w:r w:rsidRPr="00CE54E5">
        <w:rPr>
          <w:rFonts w:ascii="Book Antiqua" w:eastAsia="Book Antiqua" w:hAnsi="Book Antiqua" w:cs="Book Antiqua"/>
          <w:color w:val="000000"/>
          <w:szCs w:val="36"/>
          <w:vertAlign w:val="superscript"/>
        </w:rPr>
        <w:t>[50]</w:t>
      </w:r>
      <w:r w:rsidRPr="00CE54E5">
        <w:rPr>
          <w:rFonts w:ascii="Book Antiqua" w:eastAsia="Book Antiqua" w:hAnsi="Book Antiqua" w:cs="Book Antiqua"/>
          <w:color w:val="000000"/>
        </w:rPr>
        <w:t>.</w:t>
      </w:r>
    </w:p>
    <w:p w14:paraId="2299C021"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lastRenderedPageBreak/>
        <w:t>Ionized (deprotonated, negatively charged) bile acids are unable to overcome the biliary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umbrella on the outer hemi leaflet of the apical cytoplasmic membrane of cholangiocytes</w:t>
      </w:r>
      <w:r w:rsidRPr="00CE54E5">
        <w:rPr>
          <w:rFonts w:ascii="Book Antiqua" w:eastAsia="Book Antiqua" w:hAnsi="Book Antiqua" w:cs="Book Antiqua"/>
          <w:color w:val="000000"/>
          <w:szCs w:val="36"/>
          <w:vertAlign w:val="superscript"/>
        </w:rPr>
        <w:t>[18,47]</w:t>
      </w:r>
      <w:r w:rsidRPr="00CE54E5">
        <w:rPr>
          <w:rFonts w:ascii="Book Antiqua" w:eastAsia="Book Antiqua" w:hAnsi="Book Antiqua" w:cs="Book Antiqua"/>
          <w:color w:val="000000"/>
        </w:rPr>
        <w:t>. Under normal physiological conditions, a small amount of unconjugated protonated primary bile acids is taken up by cholangiocytes. The neutral intracellular pH further promotes the transport of unconjugated protonated primary bile acids into the peribiliary vascular plexus with subsequent return to hepatocytes and re-release into biliary capillaries</w:t>
      </w:r>
      <w:r w:rsidRPr="00CE54E5">
        <w:rPr>
          <w:rFonts w:ascii="Book Antiqua" w:eastAsia="Book Antiqua" w:hAnsi="Book Antiqua" w:cs="Book Antiqua"/>
          <w:color w:val="000000"/>
          <w:szCs w:val="36"/>
          <w:vertAlign w:val="superscript"/>
        </w:rPr>
        <w:t>[51]</w:t>
      </w:r>
      <w:r w:rsidRPr="00CE54E5">
        <w:rPr>
          <w:rFonts w:ascii="Book Antiqua" w:eastAsia="Book Antiqua" w:hAnsi="Book Antiqua" w:cs="Book Antiqua"/>
          <w:color w:val="000000"/>
        </w:rPr>
        <w:t>. Such a biliary-hepatic shunt aims to prevent the accumulation of toxic bile acids with strong detergent properties in cholangiocytes</w:t>
      </w:r>
      <w:r w:rsidRPr="00CE54E5">
        <w:rPr>
          <w:rFonts w:ascii="Book Antiqua" w:eastAsia="Book Antiqua" w:hAnsi="Book Antiqua" w:cs="Book Antiqua"/>
          <w:color w:val="000000"/>
          <w:szCs w:val="36"/>
          <w:vertAlign w:val="superscript"/>
        </w:rPr>
        <w:t>[18,47]</w:t>
      </w:r>
      <w:r w:rsidRPr="00CE54E5">
        <w:rPr>
          <w:rFonts w:ascii="Book Antiqua" w:eastAsia="Book Antiqua" w:hAnsi="Book Antiqua" w:cs="Book Antiqua"/>
          <w:color w:val="000000"/>
        </w:rPr>
        <w:t>.</w:t>
      </w:r>
    </w:p>
    <w:p w14:paraId="7F6C6815"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Conjugated bile acids can be transported through the apical and basolateral membranes of cholangiocytes with the aid of specific transporters</w:t>
      </w:r>
      <w:r w:rsidRPr="00CE54E5">
        <w:rPr>
          <w:rFonts w:ascii="Book Antiqua" w:eastAsia="Book Antiqua" w:hAnsi="Book Antiqua" w:cs="Book Antiqua"/>
          <w:color w:val="000000"/>
          <w:szCs w:val="36"/>
          <w:vertAlign w:val="superscript"/>
        </w:rPr>
        <w:t>[26,52-56]</w:t>
      </w:r>
      <w:r w:rsidRPr="00CE54E5">
        <w:rPr>
          <w:rFonts w:ascii="Book Antiqua" w:eastAsia="Book Antiqua" w:hAnsi="Book Antiqua" w:cs="Book Antiqua"/>
          <w:color w:val="000000"/>
        </w:rPr>
        <w:t>. Conjugates of bile acids with glycine in human hepatic bile account for three-quarters of all conjugated bile acids and have a pKa close to 4</w:t>
      </w:r>
      <w:r w:rsidRPr="00CE54E5">
        <w:rPr>
          <w:rFonts w:ascii="Book Antiqua" w:eastAsia="Book Antiqua" w:hAnsi="Book Antiqua" w:cs="Book Antiqua"/>
          <w:color w:val="000000"/>
          <w:szCs w:val="36"/>
          <w:vertAlign w:val="superscript"/>
        </w:rPr>
        <w:t>[57]</w:t>
      </w:r>
      <w:r w:rsidRPr="00CE54E5">
        <w:rPr>
          <w:rFonts w:ascii="Book Antiqua" w:eastAsia="Book Antiqua" w:hAnsi="Book Antiqua" w:cs="Book Antiqua"/>
          <w:color w:val="000000"/>
        </w:rPr>
        <w:t>. At physiologic pH (approximately 7.4), glycine conjugates of primary bile acids, as relatively weak acids, are partially protonated (nonpolar), which promotes their absorption by cholangiocytes in micromolar amounts. Small shifts in local pH to an acidic region in biliary ducts lead to an increase in protonated glycine conjugates of primary bile acids. A significant increase in the ratio of protonated:deprotonated glycine-conjugated bile acids will lead to increased absorption by cholangiocytes.</w:t>
      </w:r>
    </w:p>
    <w:p w14:paraId="7CE1F35F"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Bile acid conjugates with taurine in hepatic bile account for one-quarter of all conjugated bile acids. They are stronger acids and have a pKa of 1-2</w:t>
      </w:r>
      <w:r w:rsidRPr="00CE54E5">
        <w:rPr>
          <w:rFonts w:ascii="Book Antiqua" w:eastAsia="Book Antiqua" w:hAnsi="Book Antiqua" w:cs="Book Antiqua"/>
          <w:color w:val="000000"/>
          <w:szCs w:val="36"/>
          <w:vertAlign w:val="superscript"/>
        </w:rPr>
        <w:t>[57,58]</w:t>
      </w:r>
      <w:r w:rsidRPr="00CE54E5">
        <w:rPr>
          <w:rFonts w:ascii="Book Antiqua" w:eastAsia="Book Antiqua" w:hAnsi="Book Antiqua" w:cs="Book Antiqua"/>
          <w:color w:val="000000"/>
        </w:rPr>
        <w:t>. Therefore, changes in biliary pH have little effect on their protonation. Most of the taurine conjugates of bile acids are in anionic form and thus are not able to enter cholangiocytes. Therefore, taurine conjugates of primary bile acids are less toxic to cholangiocytes.</w:t>
      </w:r>
    </w:p>
    <w:p w14:paraId="03428C8F"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Active functioning of bile acid transporters in the basolateral membrane of cholangiocytes, as a rule, leads to the rapid removal of hydrophobic bile acids from the intracellular space and their delivery back into hepatocytes</w:t>
      </w:r>
      <w:r w:rsidRPr="00CE54E5">
        <w:rPr>
          <w:rFonts w:ascii="Book Antiqua" w:eastAsia="Book Antiqua" w:hAnsi="Book Antiqua" w:cs="Book Antiqua"/>
          <w:color w:val="000000"/>
          <w:szCs w:val="36"/>
          <w:vertAlign w:val="superscript"/>
        </w:rPr>
        <w:t>[59]</w:t>
      </w:r>
      <w:r w:rsidRPr="00CE54E5">
        <w:rPr>
          <w:rFonts w:ascii="Book Antiqua" w:eastAsia="Book Antiqua" w:hAnsi="Book Antiqua" w:cs="Book Antiqua"/>
          <w:color w:val="000000"/>
        </w:rPr>
        <w:t>. Therefore, the accumulation of toxic bile acids with detergent properties in cholangiocytes does not occur under normal conditions.</w:t>
      </w:r>
    </w:p>
    <w:p w14:paraId="2B1705F8" w14:textId="77777777" w:rsidR="001043FD" w:rsidRPr="00CE54E5" w:rsidRDefault="001043FD">
      <w:pPr>
        <w:adjustRightInd w:val="0"/>
        <w:snapToGrid w:val="0"/>
        <w:spacing w:line="360" w:lineRule="auto"/>
        <w:ind w:firstLine="270"/>
        <w:jc w:val="both"/>
        <w:rPr>
          <w:rFonts w:ascii="Book Antiqua" w:hAnsi="Book Antiqua" w:cs="Book Antiqua"/>
        </w:rPr>
      </w:pPr>
    </w:p>
    <w:p w14:paraId="2D4CC188" w14:textId="77777777" w:rsidR="001043FD" w:rsidRPr="00CE54E5" w:rsidRDefault="00000000">
      <w:pPr>
        <w:adjustRightInd w:val="0"/>
        <w:snapToGrid w:val="0"/>
        <w:spacing w:line="360" w:lineRule="auto"/>
        <w:jc w:val="both"/>
        <w:rPr>
          <w:rFonts w:ascii="Book Antiqua" w:eastAsia="宋体" w:hAnsi="Book Antiqua" w:cs="Book Antiqua"/>
          <w:lang w:eastAsia="zh-CN"/>
        </w:rPr>
      </w:pPr>
      <w:r w:rsidRPr="00CE54E5">
        <w:rPr>
          <w:rFonts w:ascii="Book Antiqua" w:eastAsia="Book Antiqua" w:hAnsi="Book Antiqua" w:cs="Book Antiqua"/>
          <w:b/>
          <w:bCs/>
          <w:caps/>
          <w:color w:val="000000"/>
          <w:u w:val="single"/>
        </w:rPr>
        <w:lastRenderedPageBreak/>
        <w:t>THEORY OF DEFECTIVE BILIARY HCO</w:t>
      </w:r>
      <w:r w:rsidRPr="00CE54E5">
        <w:rPr>
          <w:rFonts w:ascii="Book Antiqua" w:eastAsia="Book Antiqua" w:hAnsi="Book Antiqua" w:cs="Book Antiqua"/>
          <w:b/>
          <w:bCs/>
          <w:caps/>
          <w:color w:val="000000"/>
          <w:szCs w:val="36"/>
          <w:u w:val="single"/>
          <w:vertAlign w:val="subscript"/>
        </w:rPr>
        <w:t>3</w:t>
      </w:r>
      <w:r w:rsidRPr="00CE54E5">
        <w:rPr>
          <w:rFonts w:ascii="Book Antiqua" w:eastAsia="Book Antiqua" w:hAnsi="Book Antiqua" w:cs="Book Antiqua"/>
          <w:b/>
          <w:bCs/>
          <w:caps/>
          <w:color w:val="000000"/>
          <w:szCs w:val="36"/>
          <w:u w:val="single"/>
          <w:vertAlign w:val="superscript"/>
        </w:rPr>
        <w:t>-</w:t>
      </w:r>
      <w:r w:rsidRPr="00CE54E5">
        <w:rPr>
          <w:rFonts w:ascii="Book Antiqua" w:eastAsia="宋体" w:hAnsi="Book Antiqua" w:cs="Book Antiqua" w:hint="eastAsia"/>
          <w:b/>
          <w:bCs/>
          <w:caps/>
          <w:color w:val="000000"/>
          <w:u w:val="single"/>
          <w:lang w:eastAsia="zh-CN"/>
        </w:rPr>
        <w:t xml:space="preserve"> </w:t>
      </w:r>
      <w:r w:rsidRPr="00CE54E5">
        <w:rPr>
          <w:rFonts w:ascii="Book Antiqua" w:eastAsia="Book Antiqua" w:hAnsi="Book Antiqua" w:cs="Book Antiqua"/>
          <w:b/>
          <w:bCs/>
          <w:caps/>
          <w:color w:val="000000"/>
          <w:u w:val="single"/>
        </w:rPr>
        <w:t>UMBRELLA IN PBC</w:t>
      </w:r>
    </w:p>
    <w:p w14:paraId="74A93EFE" w14:textId="1818FA65"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color w:val="000000"/>
        </w:rPr>
        <w:t>In PBC, there is a reduction in the protective role of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for cholangiocytes. The theory of</w:t>
      </w:r>
      <w:r w:rsidRPr="00CE54E5">
        <w:rPr>
          <w:rFonts w:ascii="Book Antiqua" w:eastAsia="宋体" w:hAnsi="Book Antiqua" w:cs="Book Antiqua" w:hint="eastAsia"/>
          <w:b/>
          <w:bCs/>
          <w:color w:val="000000"/>
          <w:lang w:eastAsia="zh-CN"/>
        </w:rPr>
        <w:t xml:space="preserve"> </w:t>
      </w:r>
      <w:r w:rsidRPr="00CE54E5">
        <w:rPr>
          <w:rFonts w:ascii="Book Antiqua" w:eastAsia="Book Antiqua" w:hAnsi="Book Antiqua" w:cs="Book Antiqua"/>
          <w:color w:val="000000"/>
        </w:rPr>
        <w:t xml:space="preserve">defective </w:t>
      </w:r>
      <w:r w:rsidRPr="00CE54E5">
        <w:rPr>
          <w:rFonts w:ascii="Book Antiqua" w:eastAsia="宋体" w:hAnsi="Book Antiqua" w:cs="Book Antiqua"/>
          <w:color w:val="000000"/>
          <w:lang w:eastAsia="zh-CN"/>
        </w:rPr>
        <w:t>“</w:t>
      </w:r>
      <w:r w:rsidRPr="00CE54E5">
        <w:rPr>
          <w:rFonts w:ascii="Book Antiqua" w:eastAsia="Book Antiqua" w:hAnsi="Book Antiqua" w:cs="Book Antiqua"/>
          <w:color w:val="000000"/>
        </w:rPr>
        <w:t>biliary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b/>
          <w:bCs/>
          <w:color w:val="000000"/>
          <w:lang w:eastAsia="zh-CN"/>
        </w:rPr>
        <w:t xml:space="preserve"> </w:t>
      </w:r>
      <w:r w:rsidRPr="00CE54E5">
        <w:rPr>
          <w:rFonts w:ascii="Book Antiqua" w:eastAsia="Book Antiqua" w:hAnsi="Book Antiqua" w:cs="Book Antiqua"/>
          <w:color w:val="000000"/>
        </w:rPr>
        <w:t>umbrella</w:t>
      </w:r>
      <w:r w:rsidRPr="00CE54E5">
        <w:rPr>
          <w:rFonts w:ascii="Book Antiqua" w:eastAsia="宋体" w:hAnsi="Book Antiqua" w:cs="Book Antiqua"/>
          <w:color w:val="000000"/>
          <w:lang w:eastAsia="zh-CN"/>
        </w:rPr>
        <w:t>”</w:t>
      </w:r>
      <w:r w:rsidRPr="00CE54E5">
        <w:rPr>
          <w:rFonts w:ascii="Book Antiqua" w:eastAsia="Book Antiqua" w:hAnsi="Book Antiqua" w:cs="Book Antiqua"/>
          <w:color w:val="000000"/>
        </w:rPr>
        <w:t xml:space="preserve"> has been extensively discussed</w:t>
      </w:r>
      <w:r w:rsidRPr="00CE54E5">
        <w:rPr>
          <w:rFonts w:ascii="Book Antiqua" w:eastAsia="Book Antiqua" w:hAnsi="Book Antiqua" w:cs="Book Antiqua"/>
          <w:color w:val="000000"/>
          <w:szCs w:val="36"/>
          <w:vertAlign w:val="superscript"/>
        </w:rPr>
        <w:t>[1,17,22]</w:t>
      </w:r>
      <w:r w:rsidRPr="00CE54E5">
        <w:rPr>
          <w:rFonts w:ascii="Book Antiqua" w:eastAsia="Book Antiqua" w:hAnsi="Book Antiqua" w:cs="Book Antiqua"/>
          <w:color w:val="000000"/>
        </w:rPr>
        <w:t>. This theory is based on a number of clinical and experimental works showing insufficient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 xml:space="preserve">supply to the bile ducts in PBC, which leads to a shift in the pH of intraductal (hepatic) bile to the slightly acidic region and an increase </w:t>
      </w:r>
      <w:r w:rsidR="007340C7" w:rsidRPr="00CE54E5">
        <w:rPr>
          <w:rFonts w:ascii="Book Antiqua" w:eastAsia="Book Antiqua" w:hAnsi="Book Antiqua" w:cs="Book Antiqua"/>
          <w:color w:val="000000"/>
        </w:rPr>
        <w:t>of</w:t>
      </w:r>
      <w:r w:rsidRPr="00CE54E5">
        <w:rPr>
          <w:rFonts w:ascii="Book Antiqua" w:eastAsia="Book Antiqua" w:hAnsi="Book Antiqua" w:cs="Book Antiqua"/>
          <w:color w:val="000000"/>
        </w:rPr>
        <w:t xml:space="preserve"> pH in cholangiocytes to the slightly alkaline region. The reasons for the insufficient production of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by cholangiocytes are unknown. The involvement of InsP</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rPr>
        <w:t>R3 and AE2 in this process is discussed. The expression of InsP</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rPr>
        <w:t>R3</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and AE2</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genes is reduced in the liver biopsy specimens and blood mononuclear cells of patients with PBC, indicating their dysfunction and involvement in the pathogenesis of this disease</w:t>
      </w:r>
      <w:r w:rsidRPr="00CE54E5">
        <w:rPr>
          <w:rFonts w:ascii="Book Antiqua" w:eastAsia="Book Antiqua" w:hAnsi="Book Antiqua" w:cs="Book Antiqua"/>
          <w:color w:val="000000"/>
          <w:szCs w:val="36"/>
          <w:vertAlign w:val="superscript"/>
        </w:rPr>
        <w:t>[60,61]</w:t>
      </w:r>
      <w:r w:rsidRPr="00CE54E5">
        <w:rPr>
          <w:rFonts w:ascii="Book Antiqua" w:eastAsia="Book Antiqua" w:hAnsi="Book Antiqua" w:cs="Book Antiqua"/>
          <w:color w:val="000000"/>
        </w:rPr>
        <w:t>. The decreased expression and activity of InsP</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rPr>
        <w:t>R3 and AE2 is associated with increased microRNA 506 (miR-506) expression in cholangiocytes</w:t>
      </w:r>
      <w:r w:rsidRPr="00CE54E5">
        <w:rPr>
          <w:rFonts w:ascii="Book Antiqua" w:eastAsia="Book Antiqua" w:hAnsi="Book Antiqua" w:cs="Book Antiqua"/>
          <w:color w:val="000000"/>
          <w:szCs w:val="36"/>
          <w:vertAlign w:val="superscript"/>
        </w:rPr>
        <w:t>[62]</w:t>
      </w:r>
      <w:r w:rsidRPr="00CE54E5">
        <w:rPr>
          <w:rFonts w:ascii="Book Antiqua" w:eastAsia="Book Antiqua" w:hAnsi="Book Antiqua" w:cs="Book Antiqua"/>
          <w:color w:val="000000"/>
        </w:rPr>
        <w:t>. MiRNAs are small noncoding RNAs 22-23 nucleotides long that inhibit gene expression by full or partial pairing with initial sequences located in the 3</w:t>
      </w:r>
      <w:r w:rsidRPr="00CE54E5">
        <w:rPr>
          <w:rFonts w:ascii="Book Antiqua" w:eastAsia="宋体" w:hAnsi="Book Antiqua" w:cs="Book Antiqua"/>
          <w:color w:val="000000"/>
          <w:lang w:eastAsia="zh-CN"/>
        </w:rPr>
        <w:t>’</w:t>
      </w:r>
      <w:r w:rsidRPr="00CE54E5">
        <w:rPr>
          <w:rFonts w:ascii="Book Antiqua" w:eastAsia="Book Antiqua" w:hAnsi="Book Antiqua" w:cs="Book Antiqua"/>
          <w:color w:val="000000"/>
        </w:rPr>
        <w:t>-untranslated region (3</w:t>
      </w:r>
      <w:r w:rsidRPr="00CE54E5">
        <w:rPr>
          <w:rFonts w:ascii="Book Antiqua" w:eastAsia="宋体" w:hAnsi="Book Antiqua" w:cs="Book Antiqua"/>
          <w:color w:val="000000"/>
          <w:lang w:eastAsia="zh-CN"/>
        </w:rPr>
        <w:t>’</w:t>
      </w:r>
      <w:r w:rsidRPr="00CE54E5">
        <w:rPr>
          <w:rFonts w:ascii="Book Antiqua" w:eastAsia="Book Antiqua" w:hAnsi="Book Antiqua" w:cs="Book Antiqua"/>
          <w:color w:val="000000"/>
        </w:rPr>
        <w:t>-UTR) of mRNA</w:t>
      </w:r>
      <w:r w:rsidRPr="00CE54E5">
        <w:rPr>
          <w:rFonts w:ascii="Book Antiqua" w:eastAsia="Book Antiqua" w:hAnsi="Book Antiqua" w:cs="Book Antiqua"/>
          <w:color w:val="000000"/>
          <w:szCs w:val="36"/>
          <w:vertAlign w:val="superscript"/>
        </w:rPr>
        <w:t>[62]</w:t>
      </w:r>
      <w:r w:rsidRPr="00CE54E5">
        <w:rPr>
          <w:rFonts w:ascii="Book Antiqua" w:eastAsia="Book Antiqua" w:hAnsi="Book Antiqua" w:cs="Book Antiqua"/>
          <w:color w:val="000000"/>
        </w:rPr>
        <w:t>.</w:t>
      </w:r>
    </w:p>
    <w:p w14:paraId="1BE28625" w14:textId="56418E7E"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The 3</w:t>
      </w:r>
      <w:r w:rsidRPr="00CE54E5">
        <w:rPr>
          <w:rFonts w:ascii="Book Antiqua" w:eastAsia="宋体" w:hAnsi="Book Antiqua" w:cs="Book Antiqua"/>
          <w:color w:val="000000"/>
          <w:lang w:eastAsia="zh-CN"/>
        </w:rPr>
        <w:t>’</w:t>
      </w:r>
      <w:r w:rsidRPr="00CE54E5">
        <w:rPr>
          <w:rFonts w:ascii="Book Antiqua" w:eastAsia="Book Antiqua" w:hAnsi="Book Antiqua" w:cs="Book Antiqua"/>
          <w:color w:val="000000"/>
        </w:rPr>
        <w:t>-UTR region of the mRNA of InsP</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rPr>
        <w:t>R3</w:t>
      </w:r>
      <w:r w:rsidRPr="00CE54E5">
        <w:rPr>
          <w:rFonts w:ascii="Book Antiqua" w:eastAsia="Book Antiqua" w:hAnsi="Book Antiqua" w:cs="Book Antiqua"/>
          <w:color w:val="000000"/>
          <w:szCs w:val="36"/>
          <w:vertAlign w:val="superscript"/>
        </w:rPr>
        <w:t>[62]</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and the 3</w:t>
      </w:r>
      <w:r w:rsidRPr="00CE54E5">
        <w:rPr>
          <w:rFonts w:ascii="Book Antiqua" w:eastAsia="宋体" w:hAnsi="Book Antiqua" w:cs="Book Antiqua"/>
          <w:color w:val="000000"/>
          <w:lang w:eastAsia="zh-CN"/>
        </w:rPr>
        <w:t>’</w:t>
      </w:r>
      <w:r w:rsidRPr="00CE54E5">
        <w:rPr>
          <w:rFonts w:ascii="Book Antiqua" w:eastAsia="Book Antiqua" w:hAnsi="Book Antiqua" w:cs="Book Antiqua"/>
          <w:color w:val="000000"/>
        </w:rPr>
        <w:t>-UTR region of the mRNA of AE2</w:t>
      </w:r>
      <w:r w:rsidRPr="00CE54E5">
        <w:rPr>
          <w:rFonts w:ascii="Book Antiqua" w:eastAsia="Book Antiqua" w:hAnsi="Book Antiqua" w:cs="Book Antiqua"/>
          <w:color w:val="000000"/>
          <w:szCs w:val="36"/>
          <w:vertAlign w:val="superscript"/>
        </w:rPr>
        <w:t xml:space="preserve">[63] </w:t>
      </w:r>
      <w:r w:rsidRPr="00CE54E5">
        <w:rPr>
          <w:rFonts w:ascii="Book Antiqua" w:eastAsia="Book Antiqua" w:hAnsi="Book Antiqua" w:cs="Book Antiqua"/>
          <w:color w:val="000000"/>
        </w:rPr>
        <w:t xml:space="preserve">contain binding sites for miR-506. </w:t>
      </w:r>
      <w:r w:rsidRPr="00CE54E5">
        <w:rPr>
          <w:rFonts w:ascii="Book Antiqua" w:eastAsia="宋体" w:hAnsi="Book Antiqua" w:cs="Book Antiqua" w:hint="eastAsia"/>
          <w:color w:val="000000"/>
          <w:lang w:eastAsia="zh-CN"/>
        </w:rPr>
        <w:t>M</w:t>
      </w:r>
      <w:r w:rsidRPr="00CE54E5">
        <w:rPr>
          <w:rFonts w:ascii="Book Antiqua" w:eastAsia="Book Antiqua" w:hAnsi="Book Antiqua" w:cs="Book Antiqua"/>
          <w:color w:val="000000"/>
        </w:rPr>
        <w:t>iR-506 binding to the 3</w:t>
      </w:r>
      <w:r w:rsidRPr="00CE54E5">
        <w:rPr>
          <w:rFonts w:ascii="Book Antiqua" w:eastAsia="宋体" w:hAnsi="Book Antiqua" w:cs="Book Antiqua"/>
          <w:color w:val="000000"/>
          <w:lang w:eastAsia="zh-CN"/>
        </w:rPr>
        <w:t>’</w:t>
      </w:r>
      <w:r w:rsidRPr="00CE54E5">
        <w:rPr>
          <w:rFonts w:ascii="Book Antiqua" w:eastAsia="Book Antiqua" w:hAnsi="Book Antiqua" w:cs="Book Antiqua"/>
          <w:color w:val="000000"/>
        </w:rPr>
        <w:t>-UTR regions of the mRNA of InsP</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rPr>
        <w:t>R3 and AE2 prevents the translation of these proteins. In this way, miR-506 is a regulator of InsP</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rPr>
        <w:t xml:space="preserve">R3 and AE2 expression (Figure 2). The expression of miR-506 </w:t>
      </w:r>
      <w:r w:rsidRPr="00CE54E5">
        <w:rPr>
          <w:rFonts w:ascii="Book Antiqua" w:eastAsia="宋体" w:hAnsi="Book Antiqua" w:cs="Book Antiqua" w:hint="eastAsia"/>
          <w:color w:val="000000"/>
          <w:lang w:eastAsia="zh-CN"/>
        </w:rPr>
        <w:t>l</w:t>
      </w:r>
      <w:r w:rsidRPr="00CE54E5">
        <w:rPr>
          <w:rFonts w:ascii="Book Antiqua" w:eastAsia="Book Antiqua" w:hAnsi="Book Antiqua" w:cs="Book Antiqua"/>
          <w:color w:val="000000"/>
        </w:rPr>
        <w:t>ikely undergoes epigenetic regulation and can vary by individual as a result of polymor</w:t>
      </w:r>
      <w:r w:rsidRPr="00CE54E5">
        <w:rPr>
          <w:rFonts w:ascii="Book Antiqua" w:eastAsia="宋体" w:hAnsi="Book Antiqua" w:cs="Book Antiqua" w:hint="eastAsia"/>
          <w:color w:val="000000"/>
          <w:lang w:eastAsia="zh-CN"/>
        </w:rPr>
        <w:t>p</w:t>
      </w:r>
      <w:r w:rsidR="007340C7" w:rsidRPr="00CE54E5">
        <w:rPr>
          <w:rFonts w:ascii="Book Antiqua" w:eastAsia="宋体" w:hAnsi="Book Antiqua" w:cs="Book Antiqua"/>
          <w:color w:val="000000"/>
          <w:lang w:eastAsia="zh-CN"/>
        </w:rPr>
        <w:t>h</w:t>
      </w:r>
      <w:r w:rsidRPr="00CE54E5">
        <w:rPr>
          <w:rFonts w:ascii="Book Antiqua" w:eastAsia="宋体" w:hAnsi="Book Antiqua" w:cs="Book Antiqua" w:hint="eastAsia"/>
          <w:color w:val="000000"/>
          <w:lang w:eastAsia="zh-CN"/>
        </w:rPr>
        <w:t>i</w:t>
      </w:r>
      <w:r w:rsidRPr="00CE54E5">
        <w:rPr>
          <w:rFonts w:ascii="Book Antiqua" w:eastAsia="Book Antiqua" w:hAnsi="Book Antiqua" w:cs="Book Antiqua"/>
          <w:color w:val="000000"/>
        </w:rPr>
        <w:t>sms in nuclear factor kappa B</w:t>
      </w:r>
      <w:r w:rsidRPr="00CE54E5">
        <w:rPr>
          <w:rFonts w:ascii="Book Antiqua" w:eastAsia="Book Antiqua" w:hAnsi="Book Antiqua" w:cs="Book Antiqua"/>
          <w:color w:val="000000"/>
          <w:szCs w:val="36"/>
          <w:vertAlign w:val="superscript"/>
        </w:rPr>
        <w:t>[30]</w:t>
      </w:r>
      <w:r w:rsidRPr="00CE54E5">
        <w:rPr>
          <w:rFonts w:ascii="Book Antiqua" w:eastAsia="Book Antiqua" w:hAnsi="Book Antiqua" w:cs="Book Antiqua"/>
          <w:color w:val="000000"/>
        </w:rPr>
        <w:t>.</w:t>
      </w:r>
    </w:p>
    <w:p w14:paraId="5C40F442" w14:textId="39E6A494"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 xml:space="preserve">An increase in the amount and activity of </w:t>
      </w:r>
      <w:r w:rsidR="007340C7" w:rsidRPr="00CE54E5">
        <w:rPr>
          <w:rFonts w:ascii="Book Antiqua" w:eastAsia="Book Antiqua" w:hAnsi="Book Antiqua" w:cs="Book Antiqua"/>
          <w:color w:val="000000"/>
        </w:rPr>
        <w:t xml:space="preserve">X-linked </w:t>
      </w:r>
      <w:r w:rsidRPr="00CE54E5">
        <w:rPr>
          <w:rFonts w:ascii="Book Antiqua" w:eastAsia="Book Antiqua" w:hAnsi="Book Antiqua" w:cs="Book Antiqua"/>
          <w:color w:val="000000"/>
        </w:rPr>
        <w:t>miR-506 has been reported in the cholangiocytes of patients with PBC</w:t>
      </w:r>
      <w:r w:rsidRPr="00CE54E5">
        <w:rPr>
          <w:rFonts w:ascii="Book Antiqua" w:eastAsia="Book Antiqua" w:hAnsi="Book Antiqua" w:cs="Book Antiqua"/>
          <w:color w:val="000000"/>
          <w:szCs w:val="36"/>
          <w:vertAlign w:val="superscript"/>
        </w:rPr>
        <w:t>[63]</w:t>
      </w:r>
      <w:r w:rsidRPr="00CE54E5">
        <w:rPr>
          <w:rFonts w:ascii="Book Antiqua" w:eastAsia="Book Antiqua" w:hAnsi="Book Antiqua" w:cs="Book Antiqua"/>
          <w:color w:val="000000"/>
        </w:rPr>
        <w:t>, which leads to the decreased expression and activity of InsP</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rPr>
        <w:t>R3 and AE2, potentially explaining the prevalence of this disease in women</w:t>
      </w:r>
      <w:r w:rsidRPr="00CE54E5">
        <w:rPr>
          <w:rFonts w:ascii="Book Antiqua" w:eastAsia="Book Antiqua" w:hAnsi="Book Antiqua" w:cs="Book Antiqua"/>
          <w:color w:val="000000"/>
          <w:szCs w:val="36"/>
          <w:vertAlign w:val="superscript"/>
        </w:rPr>
        <w:t>[30]</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(Figure 2).</w:t>
      </w:r>
    </w:p>
    <w:p w14:paraId="42E7785F"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Decreased expression and activity of InsP</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rPr>
        <w:t>R3 in cholangiocytes in PBC</w:t>
      </w:r>
      <w:r w:rsidRPr="00CE54E5">
        <w:rPr>
          <w:rFonts w:ascii="Book Antiqua" w:eastAsia="Book Antiqua" w:hAnsi="Book Antiqua" w:cs="Book Antiqua"/>
          <w:color w:val="000000"/>
          <w:szCs w:val="36"/>
          <w:vertAlign w:val="superscript"/>
        </w:rPr>
        <w:t>[64]</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impairs intracellular Ca</w:t>
      </w:r>
      <w:r w:rsidRPr="00CE54E5">
        <w:rPr>
          <w:rFonts w:ascii="Book Antiqua" w:eastAsia="Book Antiqua" w:hAnsi="Book Antiqua" w:cs="Book Antiqua"/>
          <w:color w:val="000000"/>
          <w:szCs w:val="36"/>
          <w:vertAlign w:val="superscript"/>
        </w:rPr>
        <w:t>2+</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secretion and its use as a messenger in signaling to the transmembrane Cl</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channel TMEM16A</w:t>
      </w:r>
      <w:r w:rsidRPr="00CE54E5">
        <w:rPr>
          <w:rFonts w:ascii="Book Antiqua" w:eastAsia="Book Antiqua" w:hAnsi="Book Antiqua" w:cs="Book Antiqua"/>
          <w:color w:val="000000"/>
          <w:szCs w:val="36"/>
          <w:vertAlign w:val="superscript"/>
        </w:rPr>
        <w:t>[44]</w:t>
      </w:r>
      <w:r w:rsidRPr="00CE54E5">
        <w:rPr>
          <w:rFonts w:ascii="Book Antiqua" w:eastAsia="Book Antiqua" w:hAnsi="Book Antiqua" w:cs="Book Antiqua"/>
          <w:color w:val="000000"/>
        </w:rPr>
        <w:t>. Impaired Ca</w:t>
      </w:r>
      <w:r w:rsidRPr="00CE54E5">
        <w:rPr>
          <w:rFonts w:ascii="Book Antiqua" w:eastAsia="Book Antiqua" w:hAnsi="Book Antiqua" w:cs="Book Antiqua"/>
          <w:color w:val="000000"/>
          <w:szCs w:val="36"/>
          <w:vertAlign w:val="superscript"/>
        </w:rPr>
        <w:t>2+</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 xml:space="preserve">signaling in cholangiocytes in PBC is evidenced by the absence of ATP stimulation of P2YRs on the apical </w:t>
      </w:r>
      <w:r w:rsidRPr="00CE54E5">
        <w:rPr>
          <w:rFonts w:ascii="Book Antiqua" w:eastAsia="Book Antiqua" w:hAnsi="Book Antiqua" w:cs="Book Antiqua"/>
          <w:color w:val="000000"/>
        </w:rPr>
        <w:lastRenderedPageBreak/>
        <w:t>membrane</w:t>
      </w:r>
      <w:r w:rsidRPr="00CE54E5">
        <w:rPr>
          <w:rFonts w:ascii="Book Antiqua" w:eastAsia="Book Antiqua" w:hAnsi="Book Antiqua" w:cs="Book Antiqua"/>
          <w:color w:val="000000"/>
          <w:szCs w:val="36"/>
          <w:vertAlign w:val="superscript"/>
        </w:rPr>
        <w:t>[36]</w:t>
      </w:r>
      <w:r w:rsidRPr="00CE54E5">
        <w:rPr>
          <w:rFonts w:ascii="Book Antiqua" w:eastAsia="Book Antiqua" w:hAnsi="Book Antiqua" w:cs="Book Antiqua"/>
          <w:color w:val="000000"/>
        </w:rPr>
        <w:t>. Decreased Ca</w:t>
      </w:r>
      <w:r w:rsidRPr="00CE54E5">
        <w:rPr>
          <w:rFonts w:ascii="Book Antiqua" w:eastAsia="Book Antiqua" w:hAnsi="Book Antiqua" w:cs="Book Antiqua"/>
          <w:color w:val="000000"/>
          <w:szCs w:val="36"/>
          <w:vertAlign w:val="superscript"/>
        </w:rPr>
        <w:t>2+</w:t>
      </w:r>
      <w:r w:rsidRPr="00CE54E5">
        <w:rPr>
          <w:rFonts w:ascii="Book Antiqua" w:eastAsia="Book Antiqua" w:hAnsi="Book Antiqua" w:cs="Book Antiqua"/>
          <w:color w:val="000000"/>
        </w:rPr>
        <w:t>-dependent activity of TMEM16A on the apical membrane of cholangiocytes leads to the decreased secretion of Cl</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ions into the lumen of bile ducts, which is accompanied by decreased activity of the chlorine/HCO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anion exchanger and impaired secretion of biliary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Book Antiqua" w:hAnsi="Book Antiqua" w:cs="Book Antiqua"/>
          <w:color w:val="000000"/>
        </w:rPr>
        <w:t>. In models of cholangiocytes expressing miR-506, InsP</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rPr>
        <w:t>R3-mediated reduction in intracellular Ca</w:t>
      </w:r>
      <w:r w:rsidRPr="00CE54E5">
        <w:rPr>
          <w:rFonts w:ascii="Book Antiqua" w:eastAsia="Book Antiqua" w:hAnsi="Book Antiqua" w:cs="Book Antiqua"/>
          <w:color w:val="000000"/>
          <w:szCs w:val="36"/>
          <w:vertAlign w:val="superscript"/>
        </w:rPr>
        <w:t>2+</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release and decreased fluid and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secretion into bile ducts has been shown</w:t>
      </w:r>
      <w:r w:rsidRPr="00CE54E5">
        <w:rPr>
          <w:rFonts w:ascii="Book Antiqua" w:eastAsia="Book Antiqua" w:hAnsi="Book Antiqua" w:cs="Book Antiqua"/>
          <w:color w:val="000000"/>
          <w:szCs w:val="36"/>
          <w:vertAlign w:val="superscript"/>
        </w:rPr>
        <w:t>[36,44]</w:t>
      </w:r>
      <w:r w:rsidRPr="00CE54E5">
        <w:rPr>
          <w:rFonts w:ascii="Book Antiqua" w:eastAsia="Book Antiqua" w:hAnsi="Book Antiqua" w:cs="Book Antiqua"/>
          <w:color w:val="000000"/>
        </w:rPr>
        <w:t>. Binding of miR-506 to the 3</w:t>
      </w:r>
      <w:r w:rsidRPr="00CE54E5">
        <w:rPr>
          <w:rFonts w:ascii="Book Antiqua" w:eastAsia="宋体" w:hAnsi="Book Antiqua" w:cs="Book Antiqua"/>
          <w:color w:val="000000"/>
          <w:lang w:eastAsia="zh-CN"/>
        </w:rPr>
        <w:t>’</w:t>
      </w:r>
      <w:r w:rsidRPr="00CE54E5">
        <w:rPr>
          <w:rFonts w:ascii="Book Antiqua" w:eastAsia="Book Antiqua" w:hAnsi="Book Antiqua" w:cs="Book Antiqua"/>
          <w:color w:val="000000"/>
        </w:rPr>
        <w:t>-UTR of AE2 mRNA also contributes to decreased Cl</w:t>
      </w:r>
      <w:r w:rsidRPr="00CE54E5">
        <w:rPr>
          <w:rFonts w:ascii="Book Antiqua" w:eastAsia="Book Antiqua" w:hAnsi="Book Antiqua" w:cs="Book Antiqua"/>
          <w:color w:val="000000"/>
          <w:szCs w:val="36"/>
          <w:vertAlign w:val="superscript"/>
        </w:rPr>
        <w:t>-</w:t>
      </w:r>
      <w:r w:rsidRPr="00CE54E5">
        <w:rPr>
          <w:rFonts w:ascii="Book Antiqua" w:eastAsia="Book Antiqua" w:hAnsi="Book Antiqua" w:cs="Book Antiqua"/>
          <w:color w:val="000000"/>
        </w:rPr>
        <w:t>/HCO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anion exchanger activity and decreased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secretion by cholangiocytes (Figure 2). Human cholangiocytes isolated from biopsy specimens of patients with PBC show decreased AE2 activity</w:t>
      </w:r>
      <w:r w:rsidRPr="00CE54E5">
        <w:rPr>
          <w:rFonts w:ascii="Book Antiqua" w:eastAsia="Book Antiqua" w:hAnsi="Book Antiqua" w:cs="Book Antiqua"/>
          <w:color w:val="000000"/>
          <w:szCs w:val="36"/>
          <w:vertAlign w:val="superscript"/>
        </w:rPr>
        <w:t>[65]</w:t>
      </w:r>
      <w:r w:rsidRPr="00CE54E5">
        <w:rPr>
          <w:rFonts w:ascii="Book Antiqua" w:eastAsia="Book Antiqua" w:hAnsi="Book Antiqua" w:cs="Book Antiqua"/>
          <w:color w:val="000000"/>
        </w:rPr>
        <w:t>. Thus, the homeostasis of intracellular pH (</w:t>
      </w:r>
      <w:r w:rsidRPr="00CE54E5">
        <w:rPr>
          <w:rFonts w:ascii="Book Antiqua" w:eastAsia="宋体" w:hAnsi="Book Antiqua" w:cs="Book Antiqua" w:hint="eastAsia"/>
          <w:color w:val="000000"/>
          <w:lang w:eastAsia="zh-CN"/>
        </w:rPr>
        <w:t>pHi</w:t>
      </w:r>
      <w:r w:rsidRPr="00CE54E5">
        <w:rPr>
          <w:rFonts w:ascii="Book Antiqua" w:eastAsia="Book Antiqua" w:hAnsi="Book Antiqua" w:cs="Book Antiqua"/>
          <w:color w:val="000000"/>
        </w:rPr>
        <w:t>) in cholangiocytes and bile duct pH in patients with PBC may undergo changes</w:t>
      </w:r>
      <w:r w:rsidRPr="00CE54E5">
        <w:rPr>
          <w:rFonts w:ascii="Book Antiqua" w:eastAsia="Book Antiqua" w:hAnsi="Book Antiqua" w:cs="Book Antiqua"/>
          <w:color w:val="000000"/>
          <w:szCs w:val="36"/>
          <w:vertAlign w:val="superscript"/>
        </w:rPr>
        <w:t>[30]</w:t>
      </w:r>
      <w:r w:rsidRPr="00CE54E5">
        <w:rPr>
          <w:rFonts w:ascii="Book Antiqua" w:eastAsia="Book Antiqua" w:hAnsi="Book Antiqua" w:cs="Book Antiqua"/>
          <w:color w:val="000000"/>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Changes in intra- and extracellular pH in PBC associated with the loss of InsP</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rPr>
        <w:t>R3 and decreased activity of AE2 promote the protonation of bile acids, their entry into cholangiocytes, and the development of damage to the latter</w:t>
      </w:r>
      <w:r w:rsidRPr="00CE54E5">
        <w:rPr>
          <w:rFonts w:ascii="Book Antiqua" w:eastAsia="Book Antiqua" w:hAnsi="Book Antiqua" w:cs="Book Antiqua"/>
          <w:color w:val="000000"/>
          <w:szCs w:val="36"/>
          <w:vertAlign w:val="superscript"/>
        </w:rPr>
        <w:t>[44]</w:t>
      </w:r>
      <w:r w:rsidRPr="00CE54E5">
        <w:rPr>
          <w:rFonts w:ascii="Book Antiqua" w:eastAsia="Book Antiqua" w:hAnsi="Book Antiqua" w:cs="Book Antiqua"/>
          <w:color w:val="000000"/>
        </w:rPr>
        <w:t>.</w:t>
      </w:r>
    </w:p>
    <w:p w14:paraId="450199AC"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Destruction of biliary epithelium of small intrahepatic bile ducts during the early asymptomatic stage of PBC is most likely related to the imbalance between the aggressive factors (bile acids) and defense factors (biliary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umbrella) of cholangiocytes. Because intralobular, interlobular, and septal bile ducts, which are damaged in PBC, do not contain PBGs producing mucin glycoproteins (mucin supraepithelial layer)</w:t>
      </w:r>
      <w:r w:rsidRPr="00CE54E5">
        <w:rPr>
          <w:rFonts w:ascii="Book Antiqua" w:eastAsia="Book Antiqua" w:hAnsi="Book Antiqua" w:cs="Book Antiqua"/>
          <w:color w:val="000000"/>
          <w:szCs w:val="36"/>
          <w:vertAlign w:val="superscript"/>
        </w:rPr>
        <w:t>[21]</w:t>
      </w:r>
      <w:r w:rsidRPr="00CE54E5">
        <w:rPr>
          <w:rFonts w:ascii="Book Antiqua" w:eastAsia="Book Antiqua" w:hAnsi="Book Antiqua" w:cs="Book Antiqua"/>
          <w:color w:val="000000"/>
        </w:rPr>
        <w:t>, this defense mechanism for small cholangiocytes most likely does not play a pathogenetic role in the development of PBС.</w:t>
      </w:r>
    </w:p>
    <w:p w14:paraId="6971280F" w14:textId="77777777" w:rsidR="001043FD" w:rsidRPr="00CE54E5" w:rsidRDefault="001043FD">
      <w:pPr>
        <w:adjustRightInd w:val="0"/>
        <w:snapToGrid w:val="0"/>
        <w:spacing w:line="360" w:lineRule="auto"/>
        <w:ind w:firstLine="270"/>
        <w:jc w:val="both"/>
        <w:rPr>
          <w:rFonts w:ascii="Book Antiqua" w:hAnsi="Book Antiqua" w:cs="Book Antiqua"/>
        </w:rPr>
      </w:pPr>
    </w:p>
    <w:p w14:paraId="351AB9B7"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bCs/>
          <w:caps/>
          <w:color w:val="000000"/>
          <w:u w:val="single"/>
        </w:rPr>
        <w:t xml:space="preserve">MECHANISM OF CHOLANGIOCYTE DAMAGE AND </w:t>
      </w:r>
      <w:r w:rsidRPr="00CE54E5">
        <w:rPr>
          <w:rFonts w:ascii="Book Antiqua" w:eastAsia="Book Antiqua" w:hAnsi="Book Antiqua" w:cs="Book Antiqua"/>
          <w:b/>
          <w:bCs/>
          <w:caps/>
          <w:color w:val="000000"/>
          <w:u w:val="single" w:color="241F20"/>
        </w:rPr>
        <w:t>DESTABILIZATION</w:t>
      </w:r>
      <w:r w:rsidRPr="00CE54E5">
        <w:rPr>
          <w:rFonts w:ascii="Book Antiqua" w:eastAsia="宋体" w:hAnsi="Book Antiqua" w:cs="Book Antiqua" w:hint="eastAsia"/>
          <w:b/>
          <w:bCs/>
          <w:caps/>
          <w:color w:val="000000"/>
          <w:u w:val="single"/>
          <w:lang w:eastAsia="zh-CN"/>
        </w:rPr>
        <w:t xml:space="preserve"> </w:t>
      </w:r>
      <w:r w:rsidRPr="00CE54E5">
        <w:rPr>
          <w:rFonts w:ascii="Book Antiqua" w:eastAsia="Book Antiqua" w:hAnsi="Book Antiqua" w:cs="Book Antiqua"/>
          <w:b/>
          <w:bCs/>
          <w:caps/>
          <w:color w:val="000000"/>
          <w:u w:val="single"/>
        </w:rPr>
        <w:t>OF BILIARY HCO</w:t>
      </w:r>
      <w:r w:rsidRPr="00CE54E5">
        <w:rPr>
          <w:rFonts w:ascii="Book Antiqua" w:eastAsia="Book Antiqua" w:hAnsi="Book Antiqua" w:cs="Book Antiqua"/>
          <w:b/>
          <w:bCs/>
          <w:caps/>
          <w:color w:val="000000"/>
          <w:szCs w:val="36"/>
          <w:u w:val="single"/>
          <w:vertAlign w:val="subscript"/>
        </w:rPr>
        <w:t>3</w:t>
      </w:r>
      <w:r w:rsidRPr="00CE54E5">
        <w:rPr>
          <w:rFonts w:ascii="Book Antiqua" w:eastAsia="Book Antiqua" w:hAnsi="Book Antiqua" w:cs="Book Antiqua"/>
          <w:b/>
          <w:bCs/>
          <w:caps/>
          <w:color w:val="000000"/>
          <w:szCs w:val="36"/>
          <w:u w:val="single"/>
          <w:vertAlign w:val="superscript"/>
        </w:rPr>
        <w:t>-</w:t>
      </w:r>
      <w:r w:rsidRPr="00CE54E5">
        <w:rPr>
          <w:rFonts w:ascii="Book Antiqua" w:eastAsia="宋体" w:hAnsi="Book Antiqua" w:cs="Book Antiqua" w:hint="eastAsia"/>
          <w:b/>
          <w:bCs/>
          <w:caps/>
          <w:color w:val="000000"/>
          <w:u w:val="single"/>
          <w:lang w:eastAsia="zh-CN"/>
        </w:rPr>
        <w:t xml:space="preserve"> </w:t>
      </w:r>
      <w:r w:rsidRPr="00CE54E5">
        <w:rPr>
          <w:rFonts w:ascii="Book Antiqua" w:eastAsia="Book Antiqua" w:hAnsi="Book Antiqua" w:cs="Book Antiqua"/>
          <w:b/>
          <w:bCs/>
          <w:caps/>
          <w:color w:val="000000"/>
          <w:u w:val="single"/>
        </w:rPr>
        <w:t>UMBRELLA</w:t>
      </w:r>
    </w:p>
    <w:p w14:paraId="5D537B65"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color w:val="000000"/>
        </w:rPr>
        <w:t>Decrease of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supply to bile ducts, due to a decrease in InsP</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rPr>
        <w:t>R3 and AE2 activity, will shift pH in the bile duct lumen to an acidic region</w:t>
      </w:r>
      <w:r w:rsidRPr="00CE54E5">
        <w:rPr>
          <w:rFonts w:ascii="Book Antiqua" w:eastAsia="Book Antiqua" w:hAnsi="Book Antiqua" w:cs="Book Antiqua"/>
          <w:color w:val="000000"/>
          <w:szCs w:val="36"/>
          <w:vertAlign w:val="superscript"/>
        </w:rPr>
        <w:t>[66]</w:t>
      </w:r>
      <w:r w:rsidRPr="00CE54E5">
        <w:rPr>
          <w:rFonts w:ascii="Book Antiqua" w:eastAsia="Book Antiqua" w:hAnsi="Book Antiqua" w:cs="Book Antiqua"/>
          <w:color w:val="000000"/>
        </w:rPr>
        <w:t>. Simultaneously, due to the retention and accumulation of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 xml:space="preserve">in the cytosol of cholangiocytes, there is gradual alkalinization of intracellular </w:t>
      </w:r>
      <w:r w:rsidRPr="00CE54E5">
        <w:rPr>
          <w:rFonts w:ascii="Book Antiqua" w:eastAsia="宋体" w:hAnsi="Book Antiqua" w:cs="Book Antiqua" w:hint="eastAsia"/>
          <w:color w:val="000000"/>
          <w:lang w:eastAsia="zh-CN"/>
        </w:rPr>
        <w:t xml:space="preserve">pHi </w:t>
      </w:r>
      <w:r w:rsidRPr="00CE54E5">
        <w:rPr>
          <w:rFonts w:ascii="Book Antiqua" w:eastAsia="Book Antiqua" w:hAnsi="Book Antiqua" w:cs="Book Antiqua"/>
          <w:color w:val="000000"/>
        </w:rPr>
        <w:t>in patients with PBC</w:t>
      </w:r>
      <w:r w:rsidRPr="00CE54E5">
        <w:rPr>
          <w:rFonts w:ascii="Book Antiqua" w:eastAsia="Book Antiqua" w:hAnsi="Book Antiqua" w:cs="Book Antiqua"/>
          <w:color w:val="000000"/>
          <w:szCs w:val="36"/>
          <w:vertAlign w:val="superscript"/>
        </w:rPr>
        <w:t>[30,65,67]</w:t>
      </w:r>
      <w:r w:rsidRPr="00CE54E5">
        <w:rPr>
          <w:rFonts w:ascii="Book Antiqua" w:eastAsia="Book Antiqua" w:hAnsi="Book Antiqua" w:cs="Book Antiqua"/>
          <w:color w:val="000000"/>
        </w:rPr>
        <w:t>. Complete AE2 deficiency will lead to intracellular alkalosis of cholangiocytes</w:t>
      </w:r>
      <w:r w:rsidRPr="00CE54E5">
        <w:rPr>
          <w:rFonts w:ascii="Book Antiqua" w:eastAsia="Book Antiqua" w:hAnsi="Book Antiqua" w:cs="Book Antiqua"/>
          <w:color w:val="000000"/>
          <w:szCs w:val="36"/>
          <w:vertAlign w:val="superscript"/>
        </w:rPr>
        <w:t>[61]</w:t>
      </w:r>
      <w:r w:rsidRPr="00CE54E5">
        <w:rPr>
          <w:rFonts w:ascii="Book Antiqua" w:eastAsia="Book Antiqua" w:hAnsi="Book Antiqua" w:cs="Book Antiqua"/>
          <w:color w:val="000000"/>
        </w:rPr>
        <w:t xml:space="preserve">. However, the reduced (rather </w:t>
      </w:r>
      <w:r w:rsidRPr="00CE54E5">
        <w:rPr>
          <w:rFonts w:ascii="Book Antiqua" w:eastAsia="Book Antiqua" w:hAnsi="Book Antiqua" w:cs="Book Antiqua"/>
          <w:color w:val="000000"/>
        </w:rPr>
        <w:lastRenderedPageBreak/>
        <w:t>than absent) expression of InsP</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rPr>
        <w:t>R3 and AE2 genes has been observed in patients with PBC</w:t>
      </w:r>
      <w:r w:rsidRPr="00CE54E5">
        <w:rPr>
          <w:rFonts w:ascii="Book Antiqua" w:eastAsia="Book Antiqua" w:hAnsi="Book Antiqua" w:cs="Book Antiqua"/>
          <w:color w:val="000000"/>
          <w:szCs w:val="36"/>
          <w:vertAlign w:val="superscript"/>
        </w:rPr>
        <w:t>[61]</w:t>
      </w:r>
      <w:r w:rsidRPr="00CE54E5">
        <w:rPr>
          <w:rFonts w:ascii="Book Antiqua" w:eastAsia="Book Antiqua" w:hAnsi="Book Antiqua" w:cs="Book Antiqua"/>
          <w:color w:val="000000"/>
        </w:rPr>
        <w:t>.</w:t>
      </w:r>
    </w:p>
    <w:p w14:paraId="66B1AA54"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 xml:space="preserve">A shift of pH to a slightly acidic region in the lumen of bile ducts will increase the amount of protonated unconjugated and glycine-conjugated primary bile acids. This will lead to their increased entry into the small cholangiocytes (intralobular, interlobular, septal) of the bile ducts. Once in the slightly alkaline </w:t>
      </w:r>
      <w:r w:rsidRPr="00CE54E5">
        <w:rPr>
          <w:rFonts w:ascii="Book Antiqua" w:eastAsia="宋体" w:hAnsi="Book Antiqua" w:cs="Book Antiqua" w:hint="eastAsia"/>
          <w:color w:val="000000"/>
          <w:lang w:eastAsia="zh-CN"/>
        </w:rPr>
        <w:t xml:space="preserve">pHi </w:t>
      </w:r>
      <w:r w:rsidRPr="00CE54E5">
        <w:rPr>
          <w:rFonts w:ascii="Book Antiqua" w:eastAsia="Book Antiqua" w:hAnsi="Book Antiqua" w:cs="Book Antiqua"/>
          <w:color w:val="000000"/>
        </w:rPr>
        <w:t xml:space="preserve">within the cholangiocytes, the protonated bile acids will undergo deprotonation. Alkalinization of </w:t>
      </w:r>
      <w:r w:rsidRPr="00CE54E5">
        <w:rPr>
          <w:rFonts w:ascii="Book Antiqua" w:eastAsia="宋体" w:hAnsi="Book Antiqua" w:cs="Book Antiqua" w:hint="eastAsia"/>
          <w:color w:val="000000"/>
          <w:lang w:eastAsia="zh-CN"/>
        </w:rPr>
        <w:t xml:space="preserve">pHi </w:t>
      </w:r>
      <w:r w:rsidRPr="00CE54E5">
        <w:rPr>
          <w:rFonts w:ascii="Book Antiqua" w:eastAsia="Book Antiqua" w:hAnsi="Book Antiqua" w:cs="Book Antiqua"/>
          <w:color w:val="000000"/>
        </w:rPr>
        <w:t>and ionization of glycine-conjugated and unconjugated primary bile acids within cholangiocytes reduces the process of their difundation from intracellular to peribiliary space. As a result, there is a delayed and gradual accumulation of glycine-conjugated and unconjugated primary bile acids in small cholangiocytes. The theory of defective biliary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umbrella helps to explain the intracellular uncontrolled increased entry and accumulation of bile acids in small BECs.</w:t>
      </w:r>
    </w:p>
    <w:p w14:paraId="48E05426"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The presence of the mucin-containing glycocalyx layer on the apical surface of large cholangiocytes protects them from penetration and the damaging effect of protonated conjugated and unconjugated bile acids.</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Intracellular accumulation of hydrophobic bile acids is a prerequisite for their cytotoxic effects</w:t>
      </w:r>
      <w:r w:rsidRPr="00CE54E5">
        <w:rPr>
          <w:rFonts w:ascii="Book Antiqua" w:eastAsia="Book Antiqua" w:hAnsi="Book Antiqua" w:cs="Book Antiqua"/>
          <w:color w:val="000000"/>
          <w:szCs w:val="36"/>
          <w:vertAlign w:val="superscript"/>
        </w:rPr>
        <w:t>[68]</w:t>
      </w:r>
      <w:r w:rsidRPr="00CE54E5">
        <w:rPr>
          <w:rFonts w:ascii="Book Antiqua" w:eastAsia="Book Antiqua" w:hAnsi="Book Antiqua" w:cs="Book Antiqua"/>
          <w:color w:val="000000"/>
        </w:rPr>
        <w:t>. As strong detergents, they are able to solubilize phospholipids and cholesterol from membrane structures of cholangiocytes, which leads to damage and destruction of cytoplasmic membrane and membranes of cell organelles (Figure 3). Thus, the entry and accumulation of unconjugated bile acids with stronger detergent properties in small cholangiocytes is more toxic for the cell than the accumulation of conjugated bile acids.</w:t>
      </w:r>
    </w:p>
    <w:p w14:paraId="61090467"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The chronic damaging effect of bile acids on membrane structures triggers accelerated senescence, necrosis, and/or apoptosis of BECs</w:t>
      </w:r>
      <w:r w:rsidRPr="00CE54E5">
        <w:rPr>
          <w:rFonts w:ascii="Book Antiqua" w:eastAsia="Book Antiqua" w:hAnsi="Book Antiqua" w:cs="Book Antiqua"/>
          <w:color w:val="000000"/>
          <w:szCs w:val="36"/>
          <w:vertAlign w:val="superscript"/>
        </w:rPr>
        <w:t>[69]</w:t>
      </w:r>
      <w:r w:rsidRPr="00CE54E5">
        <w:rPr>
          <w:rFonts w:ascii="Book Antiqua" w:eastAsia="Book Antiqua" w:hAnsi="Book Antiqua" w:cs="Book Antiqua"/>
          <w:color w:val="000000"/>
        </w:rPr>
        <w:t>. Bile acids destroy the membranes of cell organelles and nuclear membrane of cholangiocytes with the release of apoptogenic factors. The barrier function of the biliary epithelium is impaired, resulting in concomitant damage, inflammation, and oxidative stress. Cytokines, chemokines, and pro-inflammatory mediators released by cholangiocytes probably stimulate apoptotic and proliferative responses as well as activate fibrogenesis</w:t>
      </w:r>
      <w:r w:rsidRPr="00CE54E5">
        <w:rPr>
          <w:rFonts w:ascii="Book Antiqua" w:eastAsia="Book Antiqua" w:hAnsi="Book Antiqua" w:cs="Book Antiqua"/>
          <w:color w:val="000000"/>
          <w:szCs w:val="36"/>
          <w:vertAlign w:val="superscript"/>
        </w:rPr>
        <w:t>[70]</w:t>
      </w:r>
      <w:r w:rsidRPr="00CE54E5">
        <w:rPr>
          <w:rFonts w:ascii="Book Antiqua" w:eastAsia="Book Antiqua" w:hAnsi="Book Antiqua" w:cs="Book Antiqua"/>
          <w:color w:val="000000"/>
        </w:rPr>
        <w:t xml:space="preserve">. Bile </w:t>
      </w:r>
      <w:r w:rsidRPr="00CE54E5">
        <w:rPr>
          <w:rFonts w:ascii="Book Antiqua" w:eastAsia="Book Antiqua" w:hAnsi="Book Antiqua" w:cs="Book Antiqua"/>
          <w:color w:val="000000"/>
        </w:rPr>
        <w:lastRenderedPageBreak/>
        <w:t>acids also mediate their toxic, apoptotic effects through specific signaling pathways at the intracellular level. The intrinsic apoptotic pathway is activated, including mitochondrial translocation of B-cell lymphoma 2-associated X protein, release of cytochrome C from mitochondria, activation of caspase 3, cleavage of poly (ADP-ribose) polymerase, and DNA fragmentation</w:t>
      </w:r>
      <w:r w:rsidRPr="00CE54E5">
        <w:rPr>
          <w:rFonts w:ascii="Book Antiqua" w:eastAsia="Book Antiqua" w:hAnsi="Book Antiqua" w:cs="Book Antiqua"/>
          <w:color w:val="000000"/>
          <w:szCs w:val="36"/>
          <w:vertAlign w:val="superscript"/>
        </w:rPr>
        <w:t>[71]</w:t>
      </w:r>
      <w:r w:rsidRPr="00CE54E5">
        <w:rPr>
          <w:rFonts w:ascii="Book Antiqua" w:eastAsia="Book Antiqua" w:hAnsi="Book Antiqua" w:cs="Book Antiqua"/>
          <w:color w:val="000000"/>
        </w:rPr>
        <w:t>. There is evidence that miR-506 activates the apoptosis pathway upon stimulation with toxic bile acids</w:t>
      </w:r>
      <w:r w:rsidRPr="00CE54E5">
        <w:rPr>
          <w:rFonts w:ascii="Book Antiqua" w:eastAsia="Book Antiqua" w:hAnsi="Book Antiqua" w:cs="Book Antiqua"/>
          <w:color w:val="000000"/>
          <w:szCs w:val="36"/>
          <w:vertAlign w:val="superscript"/>
        </w:rPr>
        <w:t>[66]</w:t>
      </w:r>
      <w:r w:rsidRPr="00CE54E5">
        <w:rPr>
          <w:rFonts w:ascii="Book Antiqua" w:eastAsia="Book Antiqua" w:hAnsi="Book Antiqua" w:cs="Book Antiqua"/>
          <w:color w:val="000000"/>
        </w:rPr>
        <w:t>.</w:t>
      </w:r>
    </w:p>
    <w:p w14:paraId="31FAD203"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Proinflammatory cytokines additionally increase miR-506 expression</w:t>
      </w:r>
      <w:r w:rsidRPr="00CE54E5">
        <w:rPr>
          <w:rFonts w:ascii="Book Antiqua" w:eastAsia="Book Antiqua" w:hAnsi="Book Antiqua" w:cs="Book Antiqua"/>
          <w:color w:val="000000"/>
          <w:szCs w:val="36"/>
          <w:vertAlign w:val="superscript"/>
        </w:rPr>
        <w:t>[30]</w:t>
      </w:r>
      <w:r w:rsidRPr="00CE54E5">
        <w:rPr>
          <w:rFonts w:ascii="Book Antiqua" w:eastAsia="Book Antiqua" w:hAnsi="Book Antiqua" w:cs="Book Antiqua"/>
          <w:color w:val="000000"/>
        </w:rPr>
        <w:t>. A vicious circle develops that supports senescence, apoptosis, and proliferation of cholangiocytes. Ultimately, ductulopenia develops</w:t>
      </w:r>
      <w:r w:rsidRPr="00CE54E5">
        <w:rPr>
          <w:rFonts w:ascii="Book Antiqua" w:eastAsia="Book Antiqua" w:hAnsi="Book Antiqua" w:cs="Book Antiqua"/>
          <w:color w:val="000000"/>
          <w:szCs w:val="36"/>
          <w:vertAlign w:val="superscript"/>
        </w:rPr>
        <w:t>[30]</w:t>
      </w:r>
      <w:r w:rsidRPr="00CE54E5">
        <w:rPr>
          <w:rFonts w:ascii="Book Antiqua" w:eastAsia="Book Antiqua" w:hAnsi="Book Antiqua" w:cs="Book Antiqua"/>
          <w:color w:val="000000"/>
        </w:rPr>
        <w:t>. Together, this reflects the direct effects of bile acids on cholangiocytes rather than the nonspecific effects resulting from periportal inflammation</w:t>
      </w:r>
      <w:r w:rsidRPr="00CE54E5">
        <w:rPr>
          <w:rFonts w:ascii="Book Antiqua" w:eastAsia="Book Antiqua" w:hAnsi="Book Antiqua" w:cs="Book Antiqua"/>
          <w:color w:val="000000"/>
          <w:szCs w:val="36"/>
          <w:vertAlign w:val="superscript"/>
        </w:rPr>
        <w:t>[31]</w:t>
      </w:r>
      <w:r w:rsidRPr="00CE54E5">
        <w:rPr>
          <w:rFonts w:ascii="Book Antiqua" w:eastAsia="Book Antiqua" w:hAnsi="Book Antiqua" w:cs="Book Antiqua"/>
          <w:color w:val="000000"/>
        </w:rPr>
        <w:t>.</w:t>
      </w:r>
    </w:p>
    <w:p w14:paraId="7E579AD2"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From a pathophysiologic point of view, common to all cholangiopathies is the coexistence of cholangiocyte death and proliferation, as well as various degrees of portal inflammation and fibrosis</w:t>
      </w:r>
      <w:r w:rsidRPr="00CE54E5">
        <w:rPr>
          <w:rFonts w:ascii="Book Antiqua" w:eastAsia="Book Antiqua" w:hAnsi="Book Antiqua" w:cs="Book Antiqua"/>
          <w:color w:val="000000"/>
          <w:szCs w:val="36"/>
          <w:vertAlign w:val="superscript"/>
        </w:rPr>
        <w:t>[70]</w:t>
      </w:r>
      <w:r w:rsidRPr="00CE54E5">
        <w:rPr>
          <w:rFonts w:ascii="Book Antiqua" w:eastAsia="Book Antiqua" w:hAnsi="Book Antiqua" w:cs="Book Antiqua"/>
          <w:color w:val="000000"/>
        </w:rPr>
        <w:t>. Cell death induces the activation of inflammatory and profibrogenic pathways that trigger the development and progression of fibrosis, which gradually leads to small bile duct ductulopenia</w:t>
      </w:r>
      <w:r w:rsidRPr="00CE54E5">
        <w:rPr>
          <w:rFonts w:ascii="Book Antiqua" w:eastAsia="Book Antiqua" w:hAnsi="Book Antiqua" w:cs="Book Antiqua"/>
          <w:color w:val="000000"/>
          <w:szCs w:val="36"/>
          <w:vertAlign w:val="superscript"/>
        </w:rPr>
        <w:t>[72]</w:t>
      </w:r>
      <w:r w:rsidRPr="00CE54E5">
        <w:rPr>
          <w:rFonts w:ascii="Book Antiqua" w:eastAsia="Book Antiqua" w:hAnsi="Book Antiqua" w:cs="Book Antiqua"/>
          <w:color w:val="000000"/>
        </w:rPr>
        <w:t>. The conceptual mechanisms of these processes have been described in reviews</w:t>
      </w:r>
      <w:r w:rsidRPr="00CE54E5">
        <w:rPr>
          <w:rFonts w:ascii="Book Antiqua" w:eastAsia="Book Antiqua" w:hAnsi="Book Antiqua" w:cs="Book Antiqua"/>
          <w:color w:val="000000"/>
          <w:szCs w:val="36"/>
          <w:vertAlign w:val="superscript"/>
        </w:rPr>
        <w:t>[69,72]</w:t>
      </w:r>
      <w:r w:rsidRPr="00CE54E5">
        <w:rPr>
          <w:rFonts w:ascii="Book Antiqua" w:eastAsia="Book Antiqua" w:hAnsi="Book Antiqua" w:cs="Book Antiqua"/>
          <w:color w:val="000000"/>
        </w:rPr>
        <w:t>.</w:t>
      </w:r>
    </w:p>
    <w:p w14:paraId="01DB7369"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Disruption of apoptosis is considered a trigger of PBC and already in the asymptomatic stage leads to the development of small bile duct ductulopenia, one of the early morphologic signs of the disease</w:t>
      </w:r>
      <w:r w:rsidRPr="00CE54E5">
        <w:rPr>
          <w:rFonts w:ascii="Book Antiqua" w:eastAsia="Book Antiqua" w:hAnsi="Book Antiqua" w:cs="Book Antiqua"/>
          <w:color w:val="000000"/>
          <w:szCs w:val="36"/>
          <w:vertAlign w:val="superscript"/>
        </w:rPr>
        <w:t>[73]</w:t>
      </w:r>
      <w:r w:rsidRPr="00CE54E5">
        <w:rPr>
          <w:rFonts w:ascii="Book Antiqua" w:eastAsia="Book Antiqua" w:hAnsi="Book Antiqua" w:cs="Book Antiqua"/>
          <w:color w:val="000000"/>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Apoptosis depends on mitochondrial permeabilization associated with excessive intracellular accumulation of bile acids</w:t>
      </w:r>
      <w:r w:rsidRPr="00CE54E5">
        <w:rPr>
          <w:rFonts w:ascii="Book Antiqua" w:eastAsia="Book Antiqua" w:hAnsi="Book Antiqua" w:cs="Book Antiqua"/>
          <w:color w:val="000000"/>
          <w:szCs w:val="36"/>
          <w:vertAlign w:val="superscript"/>
        </w:rPr>
        <w:t>[74-76]</w:t>
      </w:r>
      <w:r w:rsidRPr="00CE54E5">
        <w:rPr>
          <w:rFonts w:ascii="Book Antiqua" w:eastAsia="Book Antiqua" w:hAnsi="Book Antiqua" w:cs="Book Antiqua"/>
          <w:color w:val="000000"/>
        </w:rPr>
        <w:t>. In addition, bile acids and incomplete apoptosis of BECs diverted to necrosis can lead to pathogenic effects on intracellular components with subsequent generation of AMAs</w:t>
      </w:r>
      <w:r w:rsidRPr="00CE54E5">
        <w:rPr>
          <w:rFonts w:ascii="Book Antiqua" w:eastAsia="Book Antiqua" w:hAnsi="Book Antiqua" w:cs="Book Antiqua"/>
          <w:color w:val="000000"/>
          <w:szCs w:val="36"/>
          <w:vertAlign w:val="superscript"/>
        </w:rPr>
        <w:t>[77]</w:t>
      </w:r>
      <w:r w:rsidRPr="00CE54E5">
        <w:rPr>
          <w:rFonts w:ascii="Book Antiqua" w:eastAsia="Book Antiqua" w:hAnsi="Book Antiqua" w:cs="Book Antiqua"/>
          <w:color w:val="000000"/>
        </w:rPr>
        <w:t>.</w:t>
      </w:r>
    </w:p>
    <w:p w14:paraId="5AE74634" w14:textId="77777777" w:rsidR="001043FD" w:rsidRPr="00CE54E5" w:rsidRDefault="001043FD">
      <w:pPr>
        <w:adjustRightInd w:val="0"/>
        <w:snapToGrid w:val="0"/>
        <w:spacing w:line="360" w:lineRule="auto"/>
        <w:jc w:val="both"/>
        <w:rPr>
          <w:rFonts w:ascii="Book Antiqua" w:eastAsia="Book Antiqua" w:hAnsi="Book Antiqua" w:cs="Book Antiqua"/>
          <w:b/>
          <w:bCs/>
          <w:color w:val="000000"/>
          <w:u w:val="single"/>
        </w:rPr>
      </w:pPr>
    </w:p>
    <w:p w14:paraId="757D2888" w14:textId="77777777" w:rsidR="001043FD" w:rsidRPr="00CE54E5" w:rsidRDefault="00000000">
      <w:pPr>
        <w:adjustRightInd w:val="0"/>
        <w:snapToGrid w:val="0"/>
        <w:spacing w:line="360" w:lineRule="auto"/>
        <w:jc w:val="both"/>
        <w:rPr>
          <w:rFonts w:ascii="Book Antiqua" w:eastAsia="Book Antiqua" w:hAnsi="Book Antiqua" w:cs="Book Antiqua"/>
          <w:b/>
          <w:bCs/>
          <w:color w:val="000000"/>
          <w:u w:val="single"/>
        </w:rPr>
      </w:pPr>
      <w:r w:rsidRPr="00CE54E5">
        <w:rPr>
          <w:rFonts w:ascii="Book Antiqua" w:eastAsia="Book Antiqua" w:hAnsi="Book Antiqua" w:cs="Book Antiqua"/>
          <w:b/>
          <w:bCs/>
          <w:color w:val="000000"/>
          <w:u w:val="single"/>
        </w:rPr>
        <w:t>MECHANISM OF MITOCHONDRIAL PERMEABILIZATION AND AMAs FORMATION</w:t>
      </w:r>
    </w:p>
    <w:p w14:paraId="5D88F2F9" w14:textId="49A34CFC"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color w:val="000000"/>
        </w:rPr>
        <w:t>Solubilization of phospholipids and cholesterol from the outer membrane of mitochondria by bile acids leads to their permeabilization</w:t>
      </w:r>
      <w:r w:rsidRPr="00CE54E5">
        <w:rPr>
          <w:rFonts w:ascii="Book Antiqua" w:eastAsia="Book Antiqua" w:hAnsi="Book Antiqua" w:cs="Book Antiqua"/>
          <w:color w:val="000000"/>
          <w:szCs w:val="36"/>
          <w:vertAlign w:val="superscript"/>
        </w:rPr>
        <w:t>[78]</w:t>
      </w:r>
      <w:r w:rsidRPr="00CE54E5">
        <w:rPr>
          <w:rFonts w:ascii="Book Antiqua" w:eastAsia="Book Antiqua" w:hAnsi="Book Antiqua" w:cs="Book Antiqua"/>
          <w:color w:val="000000"/>
        </w:rPr>
        <w:t>. There is an increase in the permeability of the mitochondrial outer membrane to ions and solutes</w:t>
      </w:r>
      <w:r w:rsidRPr="00CE54E5">
        <w:rPr>
          <w:rFonts w:ascii="Book Antiqua" w:eastAsia="Book Antiqua" w:hAnsi="Book Antiqua" w:cs="Book Antiqua"/>
          <w:color w:val="000000"/>
          <w:szCs w:val="36"/>
          <w:vertAlign w:val="superscript"/>
        </w:rPr>
        <w:t>[71,78]</w:t>
      </w:r>
      <w:r w:rsidRPr="00CE54E5">
        <w:rPr>
          <w:rFonts w:ascii="Book Antiqua" w:eastAsia="Book Antiqua" w:hAnsi="Book Antiqua" w:cs="Book Antiqua"/>
          <w:color w:val="000000"/>
        </w:rPr>
        <w:t xml:space="preserve">. There is </w:t>
      </w:r>
      <w:r w:rsidRPr="00CE54E5">
        <w:rPr>
          <w:rFonts w:ascii="Book Antiqua" w:eastAsia="Book Antiqua" w:hAnsi="Book Antiqua" w:cs="Book Antiqua"/>
          <w:color w:val="000000"/>
        </w:rPr>
        <w:lastRenderedPageBreak/>
        <w:t>leakage of the contents of the intermembrane space into the cytosol and loss of membrane potential. Mitochondria swell, their outer membrane swells, and the release of apoptogenic factors occurs</w:t>
      </w:r>
      <w:r w:rsidRPr="00CE54E5">
        <w:rPr>
          <w:rFonts w:ascii="Book Antiqua" w:eastAsia="Book Antiqua" w:hAnsi="Book Antiqua" w:cs="Book Antiqua"/>
          <w:color w:val="000000"/>
          <w:szCs w:val="36"/>
          <w:vertAlign w:val="superscript"/>
        </w:rPr>
        <w:t>[78]</w:t>
      </w:r>
      <w:r w:rsidRPr="00CE54E5">
        <w:rPr>
          <w:rFonts w:ascii="Book Antiqua" w:eastAsia="Book Antiqua" w:hAnsi="Book Antiqua" w:cs="Book Antiqua"/>
          <w:color w:val="000000"/>
        </w:rPr>
        <w:t>. The inner mitochondrial membrane, the main target for AMA formation, is opened. Further solubilization by bile acids of phospholipids and cholesterol from the inner membrane and destruction of mitochondria can lead to the release and degradation of PDC. The latter includes three enzymes: E1 PDC, E2 PDC, and E3 PDC</w:t>
      </w:r>
      <w:r w:rsidRPr="00CE54E5">
        <w:rPr>
          <w:rFonts w:ascii="Book Antiqua" w:eastAsia="Book Antiqua" w:hAnsi="Book Antiqua" w:cs="Book Antiqua"/>
          <w:color w:val="000000"/>
          <w:szCs w:val="36"/>
          <w:vertAlign w:val="superscript"/>
        </w:rPr>
        <w:t>[73]</w:t>
      </w:r>
      <w:r w:rsidRPr="00CE54E5">
        <w:rPr>
          <w:rFonts w:ascii="Book Antiqua" w:eastAsia="Book Antiqua" w:hAnsi="Book Antiqua" w:cs="Book Antiqua"/>
          <w:color w:val="000000"/>
        </w:rPr>
        <w:t>. Each of these enzymes, in addition to the protein part, has cofactors: E1 PDC contains thiamine pyrophosphate as a cofactor; E2 PDC contains lipoic acid and coenzyme A; and E3 PDC contains flavin adenine dinucleotide and nicotinamide adenine dinucleotide. E1 and E3 PDC are protein complexes that do not contain lipid components. Therefore, they are unlikely to be affected by bile acids accumulated in cholangiocytes, since they have an effect on lipid components. Sera from PBC patients do not show serologically detectable reactivity against the E1 and E3 components of PDC</w:t>
      </w:r>
      <w:r w:rsidRPr="00CE54E5">
        <w:rPr>
          <w:rFonts w:ascii="Book Antiqua" w:eastAsia="Book Antiqua" w:hAnsi="Book Antiqua" w:cs="Book Antiqua"/>
          <w:color w:val="000000"/>
          <w:szCs w:val="36"/>
          <w:vertAlign w:val="superscript"/>
        </w:rPr>
        <w:t>[79]</w:t>
      </w:r>
      <w:r w:rsidRPr="00CE54E5">
        <w:rPr>
          <w:rFonts w:ascii="Book Antiqua" w:eastAsia="Book Antiqua" w:hAnsi="Book Antiqua" w:cs="Book Antiqua"/>
          <w:color w:val="000000"/>
        </w:rPr>
        <w:t>.</w:t>
      </w:r>
    </w:p>
    <w:p w14:paraId="69DE272D"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E2 PDC is a lipoprotein with two lipoic acid binding sites</w:t>
      </w:r>
      <w:r w:rsidRPr="00CE54E5">
        <w:rPr>
          <w:rFonts w:ascii="Book Antiqua" w:eastAsia="Book Antiqua" w:hAnsi="Book Antiqua" w:cs="Book Antiqua"/>
          <w:color w:val="000000"/>
          <w:szCs w:val="36"/>
          <w:vertAlign w:val="superscript"/>
        </w:rPr>
        <w:t>[8]</w:t>
      </w:r>
      <w:r w:rsidRPr="00CE54E5">
        <w:rPr>
          <w:rFonts w:ascii="Book Antiqua" w:eastAsia="Book Antiqua" w:hAnsi="Book Antiqua" w:cs="Book Antiqua"/>
          <w:color w:val="000000"/>
        </w:rPr>
        <w:t>. E2 PDCs contain an essential lysine residue in the lipoyl domain to which lipoic acid is covalently attached</w:t>
      </w:r>
      <w:r w:rsidRPr="00CE54E5">
        <w:rPr>
          <w:rFonts w:ascii="Book Antiqua" w:eastAsia="Book Antiqua" w:hAnsi="Book Antiqua" w:cs="Book Antiqua"/>
          <w:color w:val="000000"/>
          <w:szCs w:val="36"/>
          <w:vertAlign w:val="superscript"/>
        </w:rPr>
        <w:t>[8]</w:t>
      </w:r>
      <w:r w:rsidRPr="00CE54E5">
        <w:rPr>
          <w:rFonts w:ascii="Book Antiqua" w:eastAsia="Book Antiqua" w:hAnsi="Book Antiqua" w:cs="Book Antiqua"/>
          <w:color w:val="000000"/>
        </w:rPr>
        <w:t>. The lipoic-lysine bond at position 173 is highly conserved across species and is essential for antigen recognition</w:t>
      </w:r>
      <w:r w:rsidRPr="00CE54E5">
        <w:rPr>
          <w:rFonts w:ascii="Book Antiqua" w:eastAsia="Book Antiqua" w:hAnsi="Book Antiqua" w:cs="Book Antiqua"/>
          <w:color w:val="000000"/>
          <w:szCs w:val="36"/>
          <w:vertAlign w:val="superscript"/>
        </w:rPr>
        <w:t>[80]</w:t>
      </w:r>
      <w:r w:rsidRPr="00CE54E5">
        <w:rPr>
          <w:rFonts w:ascii="Book Antiqua" w:eastAsia="Book Antiqua" w:hAnsi="Book Antiqua" w:cs="Book Antiqua"/>
          <w:color w:val="000000"/>
        </w:rPr>
        <w:t>. AMAs target immunodominant epitopes containing lipoic acid.</w:t>
      </w:r>
    </w:p>
    <w:p w14:paraId="0A91D8B2"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The importance of chemical xenobiotics capable of modifying lipoic acid in E2 PDC has been previously shown for the appearance of serologic reactivity of this complex</w:t>
      </w:r>
      <w:r w:rsidRPr="00CE54E5">
        <w:rPr>
          <w:rFonts w:ascii="Book Antiqua" w:eastAsia="Book Antiqua" w:hAnsi="Book Antiqua" w:cs="Book Antiqua"/>
          <w:color w:val="000000"/>
          <w:szCs w:val="36"/>
          <w:vertAlign w:val="superscript"/>
        </w:rPr>
        <w:t>[81,82]</w:t>
      </w:r>
      <w:r w:rsidRPr="00CE54E5">
        <w:rPr>
          <w:rFonts w:ascii="Book Antiqua" w:eastAsia="Book Antiqua" w:hAnsi="Book Antiqua" w:cs="Book Antiqua"/>
          <w:color w:val="000000"/>
        </w:rPr>
        <w:t>. Alteration of the conformational structure of the lipoyl domain of E2 PDC, due to chemical modification of lipoic acid may contribute to the loss of immune tolerance</w:t>
      </w:r>
      <w:r w:rsidRPr="00CE54E5">
        <w:rPr>
          <w:rFonts w:ascii="Book Antiqua" w:eastAsia="Book Antiqua" w:hAnsi="Book Antiqua" w:cs="Book Antiqua"/>
          <w:color w:val="000000"/>
          <w:szCs w:val="36"/>
          <w:vertAlign w:val="superscript"/>
        </w:rPr>
        <w:t>[83,84]</w:t>
      </w:r>
      <w:r w:rsidRPr="00CE54E5">
        <w:rPr>
          <w:rFonts w:ascii="Book Antiqua" w:eastAsia="Book Antiqua" w:hAnsi="Book Antiqua" w:cs="Book Antiqua"/>
          <w:color w:val="000000"/>
        </w:rPr>
        <w:t>. Most likely, such chemical modifiers in PBC are bile acids accumulating in cholangiocytes upon loss of the protective properties of the biliary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umbrella. Bile acids can interact with the lipoic acid of the antigen-recognized E2 PDC. The result of such an interaction may be immunomodification of the E2 PDC complex with acquisition of autoantigenic properties and loss of immune tolerance</w:t>
      </w:r>
      <w:r w:rsidRPr="00CE54E5">
        <w:rPr>
          <w:rFonts w:ascii="Book Antiqua" w:eastAsia="Book Antiqua" w:hAnsi="Book Antiqua" w:cs="Book Antiqua"/>
          <w:color w:val="000000"/>
          <w:szCs w:val="36"/>
          <w:vertAlign w:val="superscript"/>
        </w:rPr>
        <w:t>[66]</w:t>
      </w:r>
      <w:r w:rsidRPr="00CE54E5">
        <w:rPr>
          <w:rFonts w:ascii="Book Antiqua" w:eastAsia="Book Antiqua" w:hAnsi="Book Antiqua" w:cs="Book Antiqua"/>
          <w:color w:val="000000"/>
        </w:rPr>
        <w:t xml:space="preserve">. This assumption is supported by a number of studies performed at the end of the last </w:t>
      </w:r>
      <w:r w:rsidRPr="00CE54E5">
        <w:rPr>
          <w:rFonts w:ascii="Book Antiqua" w:eastAsia="Book Antiqua" w:hAnsi="Book Antiqua" w:cs="Book Antiqua"/>
          <w:color w:val="000000"/>
        </w:rPr>
        <w:lastRenderedPageBreak/>
        <w:t>century. In these works, it was shown that the main immunogenic region on E2 PDC recognized by sera from patients with PBC is localized in the lipoyl-containing domain</w:t>
      </w:r>
      <w:r w:rsidRPr="00CE54E5">
        <w:rPr>
          <w:rFonts w:ascii="Book Antiqua" w:eastAsia="Book Antiqua" w:hAnsi="Book Antiqua" w:cs="Book Antiqua"/>
          <w:color w:val="000000"/>
          <w:szCs w:val="36"/>
          <w:vertAlign w:val="superscript"/>
        </w:rPr>
        <w:t>[85-87]</w:t>
      </w:r>
      <w:r w:rsidRPr="00CE54E5">
        <w:rPr>
          <w:rFonts w:ascii="Book Antiqua" w:eastAsia="Book Antiqua" w:hAnsi="Book Antiqua" w:cs="Book Antiqua"/>
          <w:color w:val="000000"/>
        </w:rPr>
        <w:t>. The lipoic acid content of E2 PDC is thought to play a role as a potent adjuvant</w:t>
      </w:r>
      <w:r w:rsidRPr="00CE54E5">
        <w:rPr>
          <w:rFonts w:ascii="Book Antiqua" w:eastAsia="Book Antiqua" w:hAnsi="Book Antiqua" w:cs="Book Antiqua"/>
          <w:color w:val="000000"/>
          <w:szCs w:val="36"/>
          <w:vertAlign w:val="superscript"/>
        </w:rPr>
        <w:t>[88]</w:t>
      </w:r>
      <w:r w:rsidRPr="00CE54E5">
        <w:rPr>
          <w:rFonts w:ascii="Book Antiqua" w:eastAsia="Book Antiqua" w:hAnsi="Book Antiqua" w:cs="Book Antiqua"/>
          <w:color w:val="000000"/>
        </w:rPr>
        <w:t>. The presentation of immunomodified E2 PDC complex to lymphocytes can lead to stimulation of the T-cell subpopulation and specific production of AMAs</w:t>
      </w:r>
      <w:r w:rsidRPr="00CE54E5">
        <w:rPr>
          <w:rFonts w:ascii="Book Antiqua" w:eastAsia="Book Antiqua" w:hAnsi="Book Antiqua" w:cs="Book Antiqua"/>
          <w:color w:val="000000"/>
          <w:szCs w:val="36"/>
          <w:vertAlign w:val="superscript"/>
        </w:rPr>
        <w:t>[66,88,89]</w:t>
      </w:r>
      <w:r w:rsidRPr="00CE54E5">
        <w:rPr>
          <w:rFonts w:ascii="Book Antiqua" w:eastAsia="Book Antiqua" w:hAnsi="Book Antiqua" w:cs="Book Antiqua"/>
          <w:color w:val="000000"/>
        </w:rPr>
        <w:t>.</w:t>
      </w:r>
    </w:p>
    <w:p w14:paraId="1832D4FF"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A defective biliary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umbrella triggers a continuous and endless process of accumulation and detergent action of bile acids on small cholangiocytes with the formation of AMAs. Since the disruption of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entry into the lumen of the bile duct is constant, the production of AMAs will be continuous. As a result, an elevated level of IgM (M2) will be constantly maintained in the plasma of PBC patients.</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The appearance of AMAs in serum is another early immunologic pathognomonic sign of PBC, which occurs in the asymptomatic stage of the disease.</w:t>
      </w:r>
    </w:p>
    <w:p w14:paraId="7121F42E" w14:textId="77777777" w:rsidR="001043FD" w:rsidRPr="00CE54E5" w:rsidRDefault="001043FD">
      <w:pPr>
        <w:adjustRightInd w:val="0"/>
        <w:snapToGrid w:val="0"/>
        <w:spacing w:line="360" w:lineRule="auto"/>
        <w:ind w:firstLine="270"/>
        <w:jc w:val="both"/>
        <w:rPr>
          <w:rFonts w:ascii="Book Antiqua" w:hAnsi="Book Antiqua" w:cs="Book Antiqua"/>
        </w:rPr>
      </w:pPr>
    </w:p>
    <w:p w14:paraId="3EA175BB"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bCs/>
          <w:caps/>
          <w:color w:val="000000"/>
          <w:u w:val="single"/>
        </w:rPr>
        <w:t>DYSFUNCTION OF THE PDC COMPLEX AND THE FIRST CLINICAL SIGNS OF THE ASYMPTOMATIC STAGE OF PBC</w:t>
      </w:r>
    </w:p>
    <w:p w14:paraId="532E6BDC"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color w:val="000000"/>
        </w:rPr>
        <w:t>AMAs detection in the asymptomatic stage of the disease is accompanied by the appearance of the first subjective clinical signs, namely weakness, malaise, fatigue, and decreased performance</w:t>
      </w:r>
      <w:r w:rsidRPr="00CE54E5">
        <w:rPr>
          <w:rFonts w:ascii="Book Antiqua" w:eastAsia="Book Antiqua" w:hAnsi="Book Antiqua" w:cs="Book Antiqua"/>
          <w:color w:val="000000"/>
          <w:szCs w:val="36"/>
          <w:vertAlign w:val="superscript"/>
        </w:rPr>
        <w:t>[90]</w:t>
      </w:r>
      <w:r w:rsidRPr="00CE54E5">
        <w:rPr>
          <w:rFonts w:ascii="Book Antiqua" w:eastAsia="Book Antiqua" w:hAnsi="Book Antiqua" w:cs="Book Antiqua"/>
          <w:color w:val="000000"/>
        </w:rPr>
        <w:t>. Fatigue is the most common symptom of PBC in the asymptomatic and early stage of the disease</w:t>
      </w:r>
      <w:r w:rsidRPr="00CE54E5">
        <w:rPr>
          <w:rFonts w:ascii="Book Antiqua" w:eastAsia="Book Antiqua" w:hAnsi="Book Antiqua" w:cs="Book Antiqua"/>
          <w:color w:val="000000"/>
          <w:szCs w:val="36"/>
          <w:vertAlign w:val="superscript"/>
        </w:rPr>
        <w:t>[91-93]</w:t>
      </w:r>
      <w:r w:rsidRPr="00CE54E5">
        <w:rPr>
          <w:rFonts w:ascii="Book Antiqua" w:eastAsia="Book Antiqua" w:hAnsi="Book Antiqua" w:cs="Book Antiqua"/>
          <w:color w:val="000000"/>
        </w:rPr>
        <w:t>, occurring in about 40%-80% of patients</w:t>
      </w:r>
      <w:r w:rsidRPr="00CE54E5">
        <w:rPr>
          <w:rFonts w:ascii="Book Antiqua" w:eastAsia="Book Antiqua" w:hAnsi="Book Antiqua" w:cs="Book Antiqua"/>
          <w:color w:val="000000"/>
          <w:szCs w:val="36"/>
          <w:vertAlign w:val="superscript"/>
        </w:rPr>
        <w:t>[94,95]</w:t>
      </w:r>
      <w:r w:rsidRPr="00CE54E5">
        <w:rPr>
          <w:rFonts w:ascii="Book Antiqua" w:eastAsia="Book Antiqua" w:hAnsi="Book Antiqua" w:cs="Book Antiqua"/>
          <w:color w:val="000000"/>
        </w:rPr>
        <w:t>. However, there is no correlation between fatigue and the severity or duration of the disease</w:t>
      </w:r>
      <w:r w:rsidRPr="00CE54E5">
        <w:rPr>
          <w:rFonts w:ascii="Book Antiqua" w:eastAsia="Book Antiqua" w:hAnsi="Book Antiqua" w:cs="Book Antiqua"/>
          <w:color w:val="000000"/>
          <w:szCs w:val="36"/>
          <w:vertAlign w:val="superscript"/>
        </w:rPr>
        <w:t>[95-98]</w:t>
      </w:r>
      <w:r w:rsidRPr="00CE54E5">
        <w:rPr>
          <w:rFonts w:ascii="Book Antiqua" w:eastAsia="Book Antiqua" w:hAnsi="Book Antiqua" w:cs="Book Antiqua"/>
          <w:color w:val="000000"/>
        </w:rPr>
        <w:t>.</w:t>
      </w:r>
    </w:p>
    <w:p w14:paraId="36ECCA76"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The mechanism underlying fatigue development is closely related to gradually progressive energy deficiency</w:t>
      </w:r>
      <w:r w:rsidRPr="00CE54E5">
        <w:rPr>
          <w:rFonts w:ascii="Book Antiqua" w:eastAsia="Book Antiqua" w:hAnsi="Book Antiqua" w:cs="Book Antiqua"/>
          <w:color w:val="000000"/>
          <w:szCs w:val="36"/>
          <w:vertAlign w:val="superscript"/>
        </w:rPr>
        <w:t>[99]</w:t>
      </w:r>
      <w:r w:rsidRPr="00CE54E5">
        <w:rPr>
          <w:rFonts w:ascii="Book Antiqua" w:eastAsia="Book Antiqua" w:hAnsi="Book Antiqua" w:cs="Book Antiqua"/>
          <w:color w:val="000000"/>
        </w:rPr>
        <w:t>. The latter is most likely related to the involvement of the PDC in the pathologic process of PBC development. The PDC is a very important metabolic enzyme. PDC functions in every cell and is required for the conversion of pyruvate to acetyl-CoA, which is incorporated into the Krebs cycle and is essential for the body to obtain energy in the form of ATP</w:t>
      </w:r>
      <w:r w:rsidRPr="00CE54E5">
        <w:rPr>
          <w:rFonts w:ascii="Book Antiqua" w:eastAsia="Book Antiqua" w:hAnsi="Book Antiqua" w:cs="Book Antiqua"/>
          <w:color w:val="000000"/>
          <w:szCs w:val="36"/>
          <w:vertAlign w:val="superscript"/>
        </w:rPr>
        <w:t>[73]</w:t>
      </w:r>
      <w:r w:rsidRPr="00CE54E5">
        <w:rPr>
          <w:rFonts w:ascii="Book Antiqua" w:eastAsia="Book Antiqua" w:hAnsi="Book Antiqua" w:cs="Book Antiqua"/>
          <w:color w:val="000000"/>
        </w:rPr>
        <w:t xml:space="preserve">. As mitochondria in cholangiocytes permeabilize and PDC becomes involved in AMAs production, there is a gradual decrease in ATP synthesis. This leads to the development of local energy deficiency, </w:t>
      </w:r>
      <w:r w:rsidRPr="00CE54E5">
        <w:rPr>
          <w:rFonts w:ascii="Book Antiqua" w:eastAsia="Book Antiqua" w:hAnsi="Book Antiqua" w:cs="Book Antiqua"/>
          <w:color w:val="000000"/>
        </w:rPr>
        <w:lastRenderedPageBreak/>
        <w:t>which in turn, enhances the senescence and apoptosis processes of small BECs initiated by bile acids. A vicious cycle occurs, contributing to the progression of ductulopenia and AMAs formation. In this case, AMAs are able to react with polypeptides including E2 PDC in the mitochondria of almost any cell. It has been shown that antibodies to PBC cross-react with polypeptides in the mitochondria of beef heart, presumably related to E2 PDC</w:t>
      </w:r>
      <w:r w:rsidRPr="00CE54E5">
        <w:rPr>
          <w:rFonts w:ascii="Book Antiqua" w:eastAsia="Book Antiqua" w:hAnsi="Book Antiqua" w:cs="Book Antiqua"/>
          <w:color w:val="000000"/>
          <w:szCs w:val="36"/>
          <w:vertAlign w:val="superscript"/>
        </w:rPr>
        <w:t>[100]</w:t>
      </w:r>
      <w:r w:rsidRPr="00CE54E5">
        <w:rPr>
          <w:rFonts w:ascii="Book Antiqua" w:eastAsia="Book Antiqua" w:hAnsi="Book Antiqua" w:cs="Book Antiqua"/>
          <w:color w:val="000000"/>
        </w:rPr>
        <w:t>. ATP production decreases and energy deficiency develops throughout the organism.</w:t>
      </w:r>
    </w:p>
    <w:p w14:paraId="351FEE27"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 xml:space="preserve">The development of energy deficiency is accompanied by an increase in glycogenolysis and a decrease in glycogenogenesis. The study by Green </w:t>
      </w:r>
      <w:r w:rsidRPr="00CE54E5">
        <w:rPr>
          <w:rFonts w:ascii="Book Antiqua" w:eastAsia="Book Antiqua" w:hAnsi="Book Antiqua" w:cs="Book Antiqua"/>
          <w:i/>
          <w:iCs/>
          <w:color w:val="000000"/>
        </w:rPr>
        <w:t>et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i/>
          <w:iCs/>
          <w:color w:val="000000"/>
        </w:rPr>
        <w:t>al</w:t>
      </w:r>
      <w:r w:rsidRPr="00CE54E5">
        <w:rPr>
          <w:rFonts w:ascii="Book Antiqua" w:eastAsia="Book Antiqua" w:hAnsi="Book Antiqua" w:cs="Book Antiqua"/>
          <w:color w:val="000000"/>
          <w:szCs w:val="36"/>
          <w:vertAlign w:val="superscript"/>
        </w:rPr>
        <w:t>[101]</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showed that in the initial stages of PBC, there was a gradual decrease in glycogen stores in the liver associated with increased glycogenolysis and decreased glycogenogenesis. The authors also demonstrated that glucokinase activity significantly dropped (down to zero) in patients with PBC, indicating a decrease in glycogen formation in the liver</w:t>
      </w:r>
      <w:r w:rsidRPr="00CE54E5">
        <w:rPr>
          <w:rFonts w:ascii="Book Antiqua" w:eastAsia="Book Antiqua" w:hAnsi="Book Antiqua" w:cs="Book Antiqua"/>
          <w:color w:val="000000"/>
          <w:szCs w:val="36"/>
          <w:vertAlign w:val="superscript"/>
        </w:rPr>
        <w:t>[101]</w:t>
      </w:r>
      <w:r w:rsidRPr="00CE54E5">
        <w:rPr>
          <w:rFonts w:ascii="Book Antiqua" w:eastAsia="Book Antiqua" w:hAnsi="Book Antiqua" w:cs="Book Antiqua"/>
          <w:color w:val="000000"/>
        </w:rPr>
        <w:t>. At the same time, hexokinase (phosphorylates hexoses), which is responsible for glycogen synthesis mainly in muscles, was significantly increased in patients with PBC during this period compared to healthy individuals</w:t>
      </w:r>
      <w:r w:rsidRPr="00CE54E5">
        <w:rPr>
          <w:rFonts w:ascii="Book Antiqua" w:eastAsia="Book Antiqua" w:hAnsi="Book Antiqua" w:cs="Book Antiqua"/>
          <w:color w:val="000000"/>
          <w:szCs w:val="36"/>
          <w:vertAlign w:val="superscript"/>
        </w:rPr>
        <w:t>[101]</w:t>
      </w:r>
      <w:r w:rsidRPr="00CE54E5">
        <w:rPr>
          <w:rFonts w:ascii="Book Antiqua" w:eastAsia="Book Antiqua" w:hAnsi="Book Antiqua" w:cs="Book Antiqua"/>
          <w:color w:val="000000"/>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As a result of the developing energy deficiency in the asymptomatic stage of the disease, the first clinical signs of expressed weakness, rapid fatigue, decreased performance, functional status, and quality of life appear in patients with PBC</w:t>
      </w:r>
      <w:r w:rsidRPr="00CE54E5">
        <w:rPr>
          <w:rFonts w:ascii="Book Antiqua" w:eastAsia="Book Antiqua" w:hAnsi="Book Antiqua" w:cs="Book Antiqua"/>
          <w:color w:val="000000"/>
          <w:szCs w:val="36"/>
          <w:vertAlign w:val="superscript"/>
        </w:rPr>
        <w:t>[90,102-104]</w:t>
      </w:r>
      <w:r w:rsidRPr="00CE54E5">
        <w:rPr>
          <w:rFonts w:ascii="Book Antiqua" w:eastAsia="Book Antiqua" w:hAnsi="Book Antiqua" w:cs="Book Antiqua"/>
          <w:color w:val="000000"/>
        </w:rPr>
        <w:t>.</w:t>
      </w:r>
    </w:p>
    <w:p w14:paraId="25002D7B" w14:textId="77777777" w:rsidR="001043FD" w:rsidRPr="00CE54E5" w:rsidRDefault="001043FD">
      <w:pPr>
        <w:adjustRightInd w:val="0"/>
        <w:snapToGrid w:val="0"/>
        <w:spacing w:line="360" w:lineRule="auto"/>
        <w:ind w:firstLine="270"/>
        <w:jc w:val="both"/>
        <w:rPr>
          <w:rFonts w:ascii="Book Antiqua" w:hAnsi="Book Antiqua" w:cs="Book Antiqua"/>
        </w:rPr>
      </w:pPr>
    </w:p>
    <w:p w14:paraId="12DD7CF6"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caps/>
          <w:color w:val="000000"/>
          <w:u w:val="single"/>
        </w:rPr>
        <w:t>CONCLUSION</w:t>
      </w:r>
    </w:p>
    <w:p w14:paraId="560FA276"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color w:val="000000"/>
        </w:rPr>
        <w:t>Based on the growing body of knowledge on the molecular mechanisms underlying the development of cholangiocyte damage in patients with PBC, we proposed a hypothesis to explain the pathogenesis of the initial morphologic (ductulopenia), immunologic (AMAs) and clinical (weakness, malaise, rapid fatigue) signs of the disease in the asymptomatic stage (Figure 4).</w:t>
      </w:r>
    </w:p>
    <w:p w14:paraId="30D87271"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Evidence suggests that in susceptible individuals, an unknown initial trigger causes an X-linked epigenetic change that leads to gene reactivation and increased expression of miR-506</w:t>
      </w:r>
      <w:r w:rsidRPr="00CE54E5">
        <w:rPr>
          <w:rFonts w:ascii="Book Antiqua" w:eastAsia="Book Antiqua" w:hAnsi="Book Antiqua" w:cs="Book Antiqua"/>
          <w:color w:val="000000"/>
          <w:szCs w:val="36"/>
          <w:vertAlign w:val="superscript"/>
        </w:rPr>
        <w:t>[30]</w:t>
      </w:r>
      <w:r w:rsidRPr="00CE54E5">
        <w:rPr>
          <w:rFonts w:ascii="Book Antiqua" w:eastAsia="Book Antiqua" w:hAnsi="Book Antiqua" w:cs="Book Antiqua"/>
          <w:color w:val="000000"/>
        </w:rPr>
        <w:t xml:space="preserve">. The increased synthesis and activation of miR-506 </w:t>
      </w:r>
      <w:r w:rsidRPr="00CE54E5">
        <w:rPr>
          <w:rFonts w:ascii="Book Antiqua" w:eastAsia="宋体" w:hAnsi="Book Antiqua" w:cs="Book Antiqua" w:hint="eastAsia"/>
          <w:color w:val="000000"/>
          <w:lang w:eastAsia="zh-CN"/>
        </w:rPr>
        <w:t>l</w:t>
      </w:r>
      <w:r w:rsidRPr="00CE54E5">
        <w:rPr>
          <w:rFonts w:ascii="Book Antiqua" w:eastAsia="Book Antiqua" w:hAnsi="Book Antiqua" w:cs="Book Antiqua"/>
          <w:color w:val="000000"/>
        </w:rPr>
        <w:t xml:space="preserve">eads to inhibition of </w:t>
      </w:r>
      <w:r w:rsidRPr="00CE54E5">
        <w:rPr>
          <w:rFonts w:ascii="Book Antiqua" w:eastAsia="Book Antiqua" w:hAnsi="Book Antiqua" w:cs="Book Antiqua"/>
          <w:color w:val="000000"/>
        </w:rPr>
        <w:lastRenderedPageBreak/>
        <w:t>InsP</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rPr>
        <w:t>R3 and AE2 translation</w:t>
      </w:r>
      <w:r w:rsidRPr="00CE54E5">
        <w:rPr>
          <w:rFonts w:ascii="Book Antiqua" w:eastAsia="Book Antiqua" w:hAnsi="Book Antiqua" w:cs="Book Antiqua"/>
          <w:color w:val="000000"/>
          <w:szCs w:val="36"/>
          <w:vertAlign w:val="superscript"/>
        </w:rPr>
        <w:t>[105]</w:t>
      </w:r>
      <w:r w:rsidRPr="00CE54E5">
        <w:rPr>
          <w:rFonts w:ascii="Book Antiqua" w:eastAsia="Book Antiqua" w:hAnsi="Book Antiqua" w:cs="Book Antiqua"/>
          <w:color w:val="000000"/>
        </w:rPr>
        <w:t>. As a result,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entry into the bile duct lumen is reduced and HCO</w:t>
      </w:r>
      <w:r w:rsidRPr="00CE54E5">
        <w:rPr>
          <w:rFonts w:ascii="Book Antiqua" w:eastAsia="Book Antiqua" w:hAnsi="Book Antiqua" w:cs="Book Antiqua"/>
          <w:color w:val="000000"/>
          <w:szCs w:val="36"/>
          <w:vertAlign w:val="subscript"/>
        </w:rPr>
        <w:t>3</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accumulation in the cytosol of cholangiocytes occurs</w:t>
      </w:r>
      <w:r w:rsidRPr="00CE54E5">
        <w:rPr>
          <w:rFonts w:ascii="Book Antiqua" w:eastAsia="Book Antiqua" w:hAnsi="Book Antiqua" w:cs="Book Antiqua"/>
          <w:color w:val="000000"/>
          <w:szCs w:val="36"/>
          <w:vertAlign w:val="superscript"/>
        </w:rPr>
        <w:t>[30]</w:t>
      </w:r>
      <w:r w:rsidRPr="00CE54E5">
        <w:rPr>
          <w:rFonts w:ascii="Book Antiqua" w:eastAsia="Book Antiqua" w:hAnsi="Book Antiqua" w:cs="Book Antiqua"/>
          <w:color w:val="000000"/>
        </w:rPr>
        <w:t>. Changes in extra- and intracellular pH alter the protonation (in the lumen of the bile duct) and deprotonation (intracholangiocyte) of bile acids, leading to an increase in the uncontrolled entry and accumulation of unconjugated and glycine-conjugated bile acids into the BECs.</w:t>
      </w:r>
    </w:p>
    <w:p w14:paraId="7AAB3044" w14:textId="77777777" w:rsidR="001043FD" w:rsidRPr="00CE54E5" w:rsidRDefault="00000000">
      <w:pPr>
        <w:adjustRightInd w:val="0"/>
        <w:snapToGrid w:val="0"/>
        <w:spacing w:line="360" w:lineRule="auto"/>
        <w:ind w:firstLineChars="200" w:firstLine="480"/>
        <w:jc w:val="both"/>
        <w:rPr>
          <w:rFonts w:ascii="Book Antiqua" w:hAnsi="Book Antiqua" w:cs="Book Antiqua"/>
        </w:rPr>
      </w:pPr>
      <w:r w:rsidRPr="00CE54E5">
        <w:rPr>
          <w:rFonts w:ascii="Book Antiqua" w:eastAsia="Book Antiqua" w:hAnsi="Book Antiqua" w:cs="Book Antiqua"/>
          <w:color w:val="000000"/>
        </w:rPr>
        <w:t>The detergent properties of bile acids trigger cell membrane disruption, senescence and apoptosis of cholangiocytes, mitochondrial permeabilization, destruction and immunomodification of E2 PDC, followed by AMAs formation. Senescence, apoptosis, and proliferation of cholangiocytes lead to the gradual development of ductulopenia. The involvement of PDC in the pathological process contributes to insufficient ATP synthesis, development of energy deficiency, and occurrence of the nonspecific clinical sign of fatigue. The development of ductulopenia is accompanied by the development of intrahepatic cholestasis.</w:t>
      </w:r>
      <w:r w:rsidRPr="00CE54E5">
        <w:rPr>
          <w:rFonts w:ascii="Book Antiqua" w:eastAsia="宋体" w:hAnsi="Book Antiqua" w:cs="Book Antiqua" w:hint="eastAsia"/>
          <w:color w:val="000000"/>
          <w:lang w:eastAsia="zh-CN"/>
        </w:rPr>
        <w:t xml:space="preserve"> </w:t>
      </w:r>
      <w:r w:rsidRPr="00CE54E5">
        <w:rPr>
          <w:rFonts w:ascii="Book Antiqua" w:eastAsia="Book Antiqua" w:hAnsi="Book Antiqua" w:cs="Book Antiqua"/>
          <w:color w:val="000000"/>
        </w:rPr>
        <w:t>Cholangiocytes are the main target in the initial stage of PBC. However, as soon as cholestasis develops, hepatocytes are also involved in the pathological process, which leads to their damage</w:t>
      </w:r>
      <w:r w:rsidRPr="00CE54E5">
        <w:rPr>
          <w:rFonts w:ascii="Book Antiqua" w:eastAsia="Book Antiqua" w:hAnsi="Book Antiqua" w:cs="Book Antiqua"/>
          <w:color w:val="000000"/>
          <w:szCs w:val="36"/>
          <w:vertAlign w:val="superscript"/>
        </w:rPr>
        <w:t>[30]</w:t>
      </w:r>
      <w:r w:rsidRPr="00CE54E5">
        <w:rPr>
          <w:rFonts w:ascii="Book Antiqua" w:eastAsia="Book Antiqua" w:hAnsi="Book Antiqua" w:cs="Book Antiqua"/>
          <w:color w:val="000000"/>
        </w:rPr>
        <w:t>.</w:t>
      </w:r>
    </w:p>
    <w:p w14:paraId="14678B08" w14:textId="77777777" w:rsidR="001043FD" w:rsidRPr="00CE54E5" w:rsidRDefault="001043FD">
      <w:pPr>
        <w:adjustRightInd w:val="0"/>
        <w:snapToGrid w:val="0"/>
        <w:spacing w:line="360" w:lineRule="auto"/>
        <w:ind w:firstLine="270"/>
        <w:jc w:val="both"/>
        <w:rPr>
          <w:rFonts w:ascii="Book Antiqua" w:hAnsi="Book Antiqua" w:cs="Book Antiqua"/>
        </w:rPr>
      </w:pPr>
    </w:p>
    <w:p w14:paraId="634D5BCA"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color w:val="000000"/>
        </w:rPr>
        <w:t>REFERENCES</w:t>
      </w:r>
    </w:p>
    <w:p w14:paraId="29C742D4"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1 </w:t>
      </w:r>
      <w:r w:rsidRPr="00CE54E5">
        <w:rPr>
          <w:rFonts w:ascii="Book Antiqua" w:hAnsi="Book Antiqua" w:cs="Book Antiqua"/>
          <w:b/>
          <w:bCs/>
        </w:rPr>
        <w:t>Prieto J</w:t>
      </w:r>
      <w:r w:rsidRPr="00CE54E5">
        <w:rPr>
          <w:rFonts w:ascii="Book Antiqua" w:hAnsi="Book Antiqua" w:cs="Book Antiqua"/>
        </w:rPr>
        <w:t xml:space="preserve">, Banales JM, Medina JF. Primary biliary cholangitis: pathogenic mechanisms. </w:t>
      </w:r>
      <w:r w:rsidRPr="00CE54E5">
        <w:rPr>
          <w:rFonts w:ascii="Book Antiqua" w:hAnsi="Book Antiqua" w:cs="Book Antiqua"/>
          <w:i/>
          <w:iCs/>
        </w:rPr>
        <w:t>Curr Opin Gastroenterol</w:t>
      </w:r>
      <w:r w:rsidRPr="00CE54E5">
        <w:rPr>
          <w:rFonts w:ascii="Book Antiqua" w:hAnsi="Book Antiqua" w:cs="Book Antiqua"/>
        </w:rPr>
        <w:t xml:space="preserve"> 2021; </w:t>
      </w:r>
      <w:r w:rsidRPr="00CE54E5">
        <w:rPr>
          <w:rFonts w:ascii="Book Antiqua" w:hAnsi="Book Antiqua" w:cs="Book Antiqua"/>
          <w:b/>
          <w:bCs/>
        </w:rPr>
        <w:t>37</w:t>
      </w:r>
      <w:r w:rsidRPr="00CE54E5">
        <w:rPr>
          <w:rFonts w:ascii="Book Antiqua" w:hAnsi="Book Antiqua" w:cs="Book Antiqua"/>
        </w:rPr>
        <w:t>: 91-98 [PMID: 33332913 DOI: 10.1097/MOG.0000000000000703]</w:t>
      </w:r>
    </w:p>
    <w:p w14:paraId="5C5B8ED0"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2 </w:t>
      </w:r>
      <w:r w:rsidRPr="00CE54E5">
        <w:rPr>
          <w:rFonts w:ascii="Book Antiqua" w:hAnsi="Book Antiqua" w:cs="Book Antiqua"/>
          <w:b/>
          <w:bCs/>
        </w:rPr>
        <w:t>Reshetnyak VI</w:t>
      </w:r>
      <w:r w:rsidRPr="00CE54E5">
        <w:rPr>
          <w:rFonts w:ascii="Book Antiqua" w:hAnsi="Book Antiqua" w:cs="Book Antiqua"/>
        </w:rPr>
        <w:t xml:space="preserve">. Primary biliary cirrhosis: Clinical and laboratory criteria for its diagnosis. </w:t>
      </w:r>
      <w:r w:rsidRPr="00CE54E5">
        <w:rPr>
          <w:rFonts w:ascii="Book Antiqua" w:hAnsi="Book Antiqua" w:cs="Book Antiqua"/>
          <w:i/>
          <w:iCs/>
        </w:rPr>
        <w:t>World J Gastroenterol</w:t>
      </w:r>
      <w:r w:rsidRPr="00CE54E5">
        <w:rPr>
          <w:rFonts w:ascii="Book Antiqua" w:hAnsi="Book Antiqua" w:cs="Book Antiqua"/>
        </w:rPr>
        <w:t xml:space="preserve"> 2015; </w:t>
      </w:r>
      <w:r w:rsidRPr="00CE54E5">
        <w:rPr>
          <w:rFonts w:ascii="Book Antiqua" w:hAnsi="Book Antiqua" w:cs="Book Antiqua"/>
          <w:b/>
          <w:bCs/>
        </w:rPr>
        <w:t>21</w:t>
      </w:r>
      <w:r w:rsidRPr="00CE54E5">
        <w:rPr>
          <w:rFonts w:ascii="Book Antiqua" w:hAnsi="Book Antiqua" w:cs="Book Antiqua"/>
        </w:rPr>
        <w:t>: 7683-7708 [PMID: 26167070 DOI: 10.3748/wjg.v21.i25.7683]</w:t>
      </w:r>
    </w:p>
    <w:p w14:paraId="3F82AC8F"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3 </w:t>
      </w:r>
      <w:r w:rsidRPr="00CE54E5">
        <w:rPr>
          <w:rFonts w:ascii="Book Antiqua" w:hAnsi="Book Antiqua" w:cs="Book Antiqua"/>
          <w:b/>
          <w:bCs/>
        </w:rPr>
        <w:t>de Veer RC</w:t>
      </w:r>
      <w:r w:rsidRPr="00CE54E5">
        <w:rPr>
          <w:rFonts w:ascii="Book Antiqua" w:hAnsi="Book Antiqua" w:cs="Book Antiqua"/>
        </w:rPr>
        <w:t xml:space="preserve">, van Hooff MC, da Silva G, Harms MH, Metselaar HJ, Willemse J, Utomo E, van der Meer AJ. Quality of life in Dutch patients with primary biliary cholangitis: Discrepancies between patients' perspectives and objective disease parameters. </w:t>
      </w:r>
      <w:r w:rsidRPr="00CE54E5">
        <w:rPr>
          <w:rFonts w:ascii="Book Antiqua" w:hAnsi="Book Antiqua" w:cs="Book Antiqua"/>
          <w:i/>
          <w:iCs/>
        </w:rPr>
        <w:t>Hepatol Res</w:t>
      </w:r>
      <w:r w:rsidRPr="00CE54E5">
        <w:rPr>
          <w:rFonts w:ascii="Book Antiqua" w:hAnsi="Book Antiqua" w:cs="Book Antiqua"/>
        </w:rPr>
        <w:t xml:space="preserve"> 2023; </w:t>
      </w:r>
      <w:r w:rsidRPr="00CE54E5">
        <w:rPr>
          <w:rFonts w:ascii="Book Antiqua" w:hAnsi="Book Antiqua" w:cs="Book Antiqua"/>
          <w:b/>
          <w:bCs/>
        </w:rPr>
        <w:t>53</w:t>
      </w:r>
      <w:r w:rsidRPr="00CE54E5">
        <w:rPr>
          <w:rFonts w:ascii="Book Antiqua" w:hAnsi="Book Antiqua" w:cs="Book Antiqua"/>
        </w:rPr>
        <w:t>: 401-408 [PMID: 36635224 DOI: 10.1111/hepr.13880]</w:t>
      </w:r>
    </w:p>
    <w:p w14:paraId="1322D27A"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lastRenderedPageBreak/>
        <w:t xml:space="preserve">4 </w:t>
      </w:r>
      <w:r w:rsidRPr="00CE54E5">
        <w:rPr>
          <w:rFonts w:ascii="Book Antiqua" w:hAnsi="Book Antiqua" w:cs="Book Antiqua"/>
          <w:b/>
          <w:bCs/>
        </w:rPr>
        <w:t>Neuberger J</w:t>
      </w:r>
      <w:r w:rsidRPr="00CE54E5">
        <w:rPr>
          <w:rFonts w:ascii="Book Antiqua" w:hAnsi="Book Antiqua" w:cs="Book Antiqua"/>
        </w:rPr>
        <w:t xml:space="preserve">, Thomson R. PBC and AMA--what is the connection? </w:t>
      </w:r>
      <w:r w:rsidRPr="00CE54E5">
        <w:rPr>
          <w:rFonts w:ascii="Book Antiqua" w:hAnsi="Book Antiqua" w:cs="Book Antiqua"/>
          <w:i/>
          <w:iCs/>
        </w:rPr>
        <w:t>Hepatology</w:t>
      </w:r>
      <w:r w:rsidRPr="00CE54E5">
        <w:rPr>
          <w:rFonts w:ascii="Book Antiqua" w:hAnsi="Book Antiqua" w:cs="Book Antiqua"/>
        </w:rPr>
        <w:t xml:space="preserve"> 1999; </w:t>
      </w:r>
      <w:r w:rsidRPr="00CE54E5">
        <w:rPr>
          <w:rFonts w:ascii="Book Antiqua" w:hAnsi="Book Antiqua" w:cs="Book Antiqua"/>
          <w:b/>
          <w:bCs/>
        </w:rPr>
        <w:t>29</w:t>
      </w:r>
      <w:r w:rsidRPr="00CE54E5">
        <w:rPr>
          <w:rFonts w:ascii="Book Antiqua" w:hAnsi="Book Antiqua" w:cs="Book Antiqua"/>
        </w:rPr>
        <w:t>: 271-276 [PMID: 9862877 DOI: 10.1002/hep.510290126]</w:t>
      </w:r>
    </w:p>
    <w:p w14:paraId="39F154B5"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5 </w:t>
      </w:r>
      <w:r w:rsidRPr="00CE54E5">
        <w:rPr>
          <w:rFonts w:ascii="Book Antiqua" w:hAnsi="Book Antiqua" w:cs="Book Antiqua"/>
          <w:b/>
          <w:bCs/>
        </w:rPr>
        <w:t>Chen R</w:t>
      </w:r>
      <w:r w:rsidRPr="00CE54E5">
        <w:rPr>
          <w:rFonts w:ascii="Book Antiqua" w:hAnsi="Book Antiqua" w:cs="Book Antiqua"/>
        </w:rPr>
        <w:t xml:space="preserve">, Tang R, Ma X, Gershwin ME. Immunologic Responses and the Pathophysiology of Primary Biliary Cholangitis. </w:t>
      </w:r>
      <w:r w:rsidRPr="00CE54E5">
        <w:rPr>
          <w:rFonts w:ascii="Book Antiqua" w:hAnsi="Book Antiqua" w:cs="Book Antiqua"/>
          <w:i/>
          <w:iCs/>
        </w:rPr>
        <w:t>Clin Liver Dis</w:t>
      </w:r>
      <w:r w:rsidRPr="00CE54E5">
        <w:rPr>
          <w:rFonts w:ascii="Book Antiqua" w:hAnsi="Book Antiqua" w:cs="Book Antiqua"/>
        </w:rPr>
        <w:t xml:space="preserve"> 2022; </w:t>
      </w:r>
      <w:r w:rsidRPr="00CE54E5">
        <w:rPr>
          <w:rFonts w:ascii="Book Antiqua" w:hAnsi="Book Antiqua" w:cs="Book Antiqua"/>
          <w:b/>
          <w:bCs/>
        </w:rPr>
        <w:t>26</w:t>
      </w:r>
      <w:r w:rsidRPr="00CE54E5">
        <w:rPr>
          <w:rFonts w:ascii="Book Antiqua" w:hAnsi="Book Antiqua" w:cs="Book Antiqua"/>
        </w:rPr>
        <w:t>: 583-611 [PMID: 36270718 DOI: 10.1016/j.cld.2022.06.003]</w:t>
      </w:r>
    </w:p>
    <w:p w14:paraId="7A4B7B0B"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6 </w:t>
      </w:r>
      <w:r w:rsidRPr="00CE54E5">
        <w:rPr>
          <w:rFonts w:ascii="Book Antiqua" w:hAnsi="Book Antiqua" w:cs="Book Antiqua"/>
          <w:b/>
          <w:bCs/>
        </w:rPr>
        <w:t>Mutimer DJ</w:t>
      </w:r>
      <w:r w:rsidRPr="00CE54E5">
        <w:rPr>
          <w:rFonts w:ascii="Book Antiqua" w:hAnsi="Book Antiqua" w:cs="Book Antiqua"/>
        </w:rPr>
        <w:t xml:space="preserve">, Fussey SP, Yeaman SJ, Kelly PJ, James OF, Bassendine MF. Frequency of IgG and IgM autoantibodies to four specific M2 mitochondrial autoantigens in primary biliary cirrhosis. </w:t>
      </w:r>
      <w:r w:rsidRPr="00CE54E5">
        <w:rPr>
          <w:rFonts w:ascii="Book Antiqua" w:hAnsi="Book Antiqua" w:cs="Book Antiqua"/>
          <w:i/>
          <w:iCs/>
        </w:rPr>
        <w:t>Hepatology</w:t>
      </w:r>
      <w:r w:rsidRPr="00CE54E5">
        <w:rPr>
          <w:rFonts w:ascii="Book Antiqua" w:hAnsi="Book Antiqua" w:cs="Book Antiqua"/>
        </w:rPr>
        <w:t xml:space="preserve"> 1989; </w:t>
      </w:r>
      <w:r w:rsidRPr="00CE54E5">
        <w:rPr>
          <w:rFonts w:ascii="Book Antiqua" w:hAnsi="Book Antiqua" w:cs="Book Antiqua"/>
          <w:b/>
          <w:bCs/>
        </w:rPr>
        <w:t>10</w:t>
      </w:r>
      <w:r w:rsidRPr="00CE54E5">
        <w:rPr>
          <w:rFonts w:ascii="Book Antiqua" w:hAnsi="Book Antiqua" w:cs="Book Antiqua"/>
        </w:rPr>
        <w:t>: 403-407 [PMID: 2673968 DOI: 10.1002/hep.1840100402]</w:t>
      </w:r>
    </w:p>
    <w:p w14:paraId="3CBC464A"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7 </w:t>
      </w:r>
      <w:r w:rsidRPr="00CE54E5">
        <w:rPr>
          <w:rFonts w:ascii="Book Antiqua" w:hAnsi="Book Antiqua" w:cs="Book Antiqua"/>
          <w:b/>
          <w:bCs/>
        </w:rPr>
        <w:t>Van Norstrand MD</w:t>
      </w:r>
      <w:r w:rsidRPr="00CE54E5">
        <w:rPr>
          <w:rFonts w:ascii="Book Antiqua" w:hAnsi="Book Antiqua" w:cs="Book Antiqua"/>
        </w:rPr>
        <w:t xml:space="preserve">, Malinchoc M, Lindor KD, Therneau TM, Gershwin ME, Leung PS, Dickson ER, Homburger HA. Quantitative measurement of autoantibodies to recombinant mitochondrial antigens in patients with primary biliary cirrhosis: relationship of levels of autoantibodies to disease progression. </w:t>
      </w:r>
      <w:r w:rsidRPr="00CE54E5">
        <w:rPr>
          <w:rFonts w:ascii="Book Antiqua" w:hAnsi="Book Antiqua" w:cs="Book Antiqua"/>
          <w:i/>
          <w:iCs/>
        </w:rPr>
        <w:t>Hepatology</w:t>
      </w:r>
      <w:r w:rsidRPr="00CE54E5">
        <w:rPr>
          <w:rFonts w:ascii="Book Antiqua" w:hAnsi="Book Antiqua" w:cs="Book Antiqua"/>
        </w:rPr>
        <w:t xml:space="preserve"> 1997; </w:t>
      </w:r>
      <w:r w:rsidRPr="00CE54E5">
        <w:rPr>
          <w:rFonts w:ascii="Book Antiqua" w:hAnsi="Book Antiqua" w:cs="Book Antiqua"/>
          <w:b/>
          <w:bCs/>
        </w:rPr>
        <w:t>25</w:t>
      </w:r>
      <w:r w:rsidRPr="00CE54E5">
        <w:rPr>
          <w:rFonts w:ascii="Book Antiqua" w:hAnsi="Book Antiqua" w:cs="Book Antiqua"/>
        </w:rPr>
        <w:t>: 6-11 [PMID: 8985257 DOI: 10.1002/hep.510250103]</w:t>
      </w:r>
    </w:p>
    <w:p w14:paraId="1DE150F0"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8 </w:t>
      </w:r>
      <w:r w:rsidRPr="00CE54E5">
        <w:rPr>
          <w:rFonts w:ascii="Book Antiqua" w:hAnsi="Book Antiqua" w:cs="Book Antiqua"/>
          <w:b/>
          <w:bCs/>
        </w:rPr>
        <w:t>Coppel RL</w:t>
      </w:r>
      <w:r w:rsidRPr="00CE54E5">
        <w:rPr>
          <w:rFonts w:ascii="Book Antiqua" w:hAnsi="Book Antiqua" w:cs="Book Antiqua"/>
        </w:rPr>
        <w:t xml:space="preserve">, McNeilage LJ, Surh CD, Van de Water J, Spithill TW, Whittingham S, Gershwin ME. Primary structure of the human M2 mitochondrial autoantigen of primary biliary cirrhosis: dihydrolipoamide acetyltransferase. </w:t>
      </w:r>
      <w:r w:rsidRPr="00CE54E5">
        <w:rPr>
          <w:rFonts w:ascii="Book Antiqua" w:hAnsi="Book Antiqua" w:cs="Book Antiqua"/>
          <w:i/>
          <w:iCs/>
        </w:rPr>
        <w:t>Proc Natl Acad Sci U S A</w:t>
      </w:r>
      <w:r w:rsidRPr="00CE54E5">
        <w:rPr>
          <w:rFonts w:ascii="Book Antiqua" w:hAnsi="Book Antiqua" w:cs="Book Antiqua"/>
        </w:rPr>
        <w:t xml:space="preserve"> 1988; </w:t>
      </w:r>
      <w:r w:rsidRPr="00CE54E5">
        <w:rPr>
          <w:rFonts w:ascii="Book Antiqua" w:hAnsi="Book Antiqua" w:cs="Book Antiqua"/>
          <w:b/>
          <w:bCs/>
        </w:rPr>
        <w:t>85</w:t>
      </w:r>
      <w:r w:rsidRPr="00CE54E5">
        <w:rPr>
          <w:rFonts w:ascii="Book Antiqua" w:hAnsi="Book Antiqua" w:cs="Book Antiqua"/>
        </w:rPr>
        <w:t>: 7317-7321 [PMID: 3174635 DOI: 10.1073/pnas.85.19.7317]</w:t>
      </w:r>
    </w:p>
    <w:p w14:paraId="67EAC8AC"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9 </w:t>
      </w:r>
      <w:r w:rsidRPr="00CE54E5">
        <w:rPr>
          <w:rFonts w:ascii="Book Antiqua" w:hAnsi="Book Antiqua" w:cs="Book Antiqua"/>
          <w:b/>
          <w:bCs/>
        </w:rPr>
        <w:t>Krams SM</w:t>
      </w:r>
      <w:r w:rsidRPr="00CE54E5">
        <w:rPr>
          <w:rFonts w:ascii="Book Antiqua" w:hAnsi="Book Antiqua" w:cs="Book Antiqua"/>
        </w:rPr>
        <w:t xml:space="preserve">, Surh CD, Coppel RL, Ansari A, Ruebner B, Gershwin ME. Immunization of experimental animals with dihydrolipoamide acetyltransferase, as a purified recombinant polypeptide, generates mitochondrial antibodies but not primary biliary cirrhosis. </w:t>
      </w:r>
      <w:r w:rsidRPr="00CE54E5">
        <w:rPr>
          <w:rFonts w:ascii="Book Antiqua" w:hAnsi="Book Antiqua" w:cs="Book Antiqua"/>
          <w:i/>
          <w:iCs/>
        </w:rPr>
        <w:t>Hepatology</w:t>
      </w:r>
      <w:r w:rsidRPr="00CE54E5">
        <w:rPr>
          <w:rFonts w:ascii="Book Antiqua" w:hAnsi="Book Antiqua" w:cs="Book Antiqua"/>
        </w:rPr>
        <w:t xml:space="preserve"> 1989; </w:t>
      </w:r>
      <w:r w:rsidRPr="00CE54E5">
        <w:rPr>
          <w:rFonts w:ascii="Book Antiqua" w:hAnsi="Book Antiqua" w:cs="Book Antiqua"/>
          <w:b/>
          <w:bCs/>
        </w:rPr>
        <w:t>9</w:t>
      </w:r>
      <w:r w:rsidRPr="00CE54E5">
        <w:rPr>
          <w:rFonts w:ascii="Book Antiqua" w:hAnsi="Book Antiqua" w:cs="Book Antiqua"/>
        </w:rPr>
        <w:t>: 411-416 [PMID: 2920998 DOI: 10.1002/hep.1840090311]</w:t>
      </w:r>
    </w:p>
    <w:p w14:paraId="3521653F"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10 </w:t>
      </w:r>
      <w:r w:rsidRPr="00CE54E5">
        <w:rPr>
          <w:rFonts w:ascii="Book Antiqua" w:hAnsi="Book Antiqua" w:cs="Book Antiqua"/>
          <w:b/>
          <w:bCs/>
        </w:rPr>
        <w:t>Fussey SP</w:t>
      </w:r>
      <w:r w:rsidRPr="00CE54E5">
        <w:rPr>
          <w:rFonts w:ascii="Book Antiqua" w:hAnsi="Book Antiqua" w:cs="Book Antiqua"/>
        </w:rPr>
        <w:t xml:space="preserve">, Lindsay JG, Fuller C, Perham RN, Dale S, James OF, Bassendine MF, Yeaman SJ. Autoantibodies in primary biliary cirrhosis: analysis of reactivity against eukaryotic and prokaryotic 2-oxo acid dehydrogenase complexes. </w:t>
      </w:r>
      <w:r w:rsidRPr="00CE54E5">
        <w:rPr>
          <w:rFonts w:ascii="Book Antiqua" w:hAnsi="Book Antiqua" w:cs="Book Antiqua"/>
          <w:i/>
          <w:iCs/>
        </w:rPr>
        <w:t>Hepatology</w:t>
      </w:r>
      <w:r w:rsidRPr="00CE54E5">
        <w:rPr>
          <w:rFonts w:ascii="Book Antiqua" w:hAnsi="Book Antiqua" w:cs="Book Antiqua"/>
        </w:rPr>
        <w:t xml:space="preserve"> 1991; </w:t>
      </w:r>
      <w:r w:rsidRPr="00CE54E5">
        <w:rPr>
          <w:rFonts w:ascii="Book Antiqua" w:hAnsi="Book Antiqua" w:cs="Book Antiqua"/>
          <w:b/>
          <w:bCs/>
        </w:rPr>
        <w:t>13</w:t>
      </w:r>
      <w:r w:rsidRPr="00CE54E5">
        <w:rPr>
          <w:rFonts w:ascii="Book Antiqua" w:hAnsi="Book Antiqua" w:cs="Book Antiqua"/>
        </w:rPr>
        <w:t>: 467-474 [PMID: 1999318 DOI: 10.1002/hep.1840130314]</w:t>
      </w:r>
    </w:p>
    <w:p w14:paraId="5D35F7E7"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11 </w:t>
      </w:r>
      <w:r w:rsidRPr="00CE54E5">
        <w:rPr>
          <w:rFonts w:ascii="Book Antiqua" w:hAnsi="Book Antiqua" w:cs="Book Antiqua"/>
          <w:b/>
          <w:bCs/>
        </w:rPr>
        <w:t>Lindenborn-Fotinos J</w:t>
      </w:r>
      <w:r w:rsidRPr="00CE54E5">
        <w:rPr>
          <w:rFonts w:ascii="Book Antiqua" w:hAnsi="Book Antiqua" w:cs="Book Antiqua"/>
        </w:rPr>
        <w:t xml:space="preserve">, Baum H, Berg PA. Mitochondrial antibodies in primary biliary cirrhosis: species and nonspecies specific determinants of M2 antigen. </w:t>
      </w:r>
      <w:r w:rsidRPr="00CE54E5">
        <w:rPr>
          <w:rFonts w:ascii="Book Antiqua" w:hAnsi="Book Antiqua" w:cs="Book Antiqua"/>
          <w:i/>
          <w:iCs/>
        </w:rPr>
        <w:t>Hepatology</w:t>
      </w:r>
      <w:r w:rsidRPr="00CE54E5">
        <w:rPr>
          <w:rFonts w:ascii="Book Antiqua" w:hAnsi="Book Antiqua" w:cs="Book Antiqua"/>
        </w:rPr>
        <w:t xml:space="preserve"> 1985; </w:t>
      </w:r>
      <w:r w:rsidRPr="00CE54E5">
        <w:rPr>
          <w:rFonts w:ascii="Book Antiqua" w:hAnsi="Book Antiqua" w:cs="Book Antiqua"/>
          <w:b/>
          <w:bCs/>
        </w:rPr>
        <w:t>5</w:t>
      </w:r>
      <w:r w:rsidRPr="00CE54E5">
        <w:rPr>
          <w:rFonts w:ascii="Book Antiqua" w:hAnsi="Book Antiqua" w:cs="Book Antiqua"/>
        </w:rPr>
        <w:t>: 763-769 [PMID: 2411647 DOI: 10.1002/hep.1840050510]</w:t>
      </w:r>
    </w:p>
    <w:p w14:paraId="7A7446D6"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lastRenderedPageBreak/>
        <w:t xml:space="preserve">12 </w:t>
      </w:r>
      <w:r w:rsidRPr="00CE54E5">
        <w:rPr>
          <w:rFonts w:ascii="Book Antiqua" w:hAnsi="Book Antiqua" w:cs="Book Antiqua"/>
          <w:b/>
          <w:bCs/>
        </w:rPr>
        <w:t>Frazer IH</w:t>
      </w:r>
      <w:r w:rsidRPr="00CE54E5">
        <w:rPr>
          <w:rFonts w:ascii="Book Antiqua" w:hAnsi="Book Antiqua" w:cs="Book Antiqua"/>
        </w:rPr>
        <w:t xml:space="preserve">, Mackay IR, Jordan TW, Whittingham S, Marzuki S. Reactivity of anti-mitochondrial autoantibodies in primary biliary cirrhosis: definition of two novel mitochondrial polypeptide autoantigens. </w:t>
      </w:r>
      <w:r w:rsidRPr="00CE54E5">
        <w:rPr>
          <w:rFonts w:ascii="Book Antiqua" w:hAnsi="Book Antiqua" w:cs="Book Antiqua"/>
          <w:i/>
          <w:iCs/>
        </w:rPr>
        <w:t>J Immunol</w:t>
      </w:r>
      <w:r w:rsidRPr="00CE54E5">
        <w:rPr>
          <w:rFonts w:ascii="Book Antiqua" w:hAnsi="Book Antiqua" w:cs="Book Antiqua"/>
        </w:rPr>
        <w:t xml:space="preserve"> 1985; </w:t>
      </w:r>
      <w:r w:rsidRPr="00CE54E5">
        <w:rPr>
          <w:rFonts w:ascii="Book Antiqua" w:hAnsi="Book Antiqua" w:cs="Book Antiqua"/>
          <w:b/>
          <w:bCs/>
        </w:rPr>
        <w:t>135</w:t>
      </w:r>
      <w:r w:rsidRPr="00CE54E5">
        <w:rPr>
          <w:rFonts w:ascii="Book Antiqua" w:hAnsi="Book Antiqua" w:cs="Book Antiqua"/>
        </w:rPr>
        <w:t>: 1739-1745 [PMID: 2410503]</w:t>
      </w:r>
    </w:p>
    <w:p w14:paraId="59CE6B7D"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13 </w:t>
      </w:r>
      <w:r w:rsidRPr="00CE54E5">
        <w:rPr>
          <w:rFonts w:ascii="Book Antiqua" w:hAnsi="Book Antiqua" w:cs="Book Antiqua"/>
          <w:b/>
          <w:bCs/>
        </w:rPr>
        <w:t>Stemerowicz R</w:t>
      </w:r>
      <w:r w:rsidRPr="00CE54E5">
        <w:rPr>
          <w:rFonts w:ascii="Book Antiqua" w:hAnsi="Book Antiqua" w:cs="Book Antiqua"/>
        </w:rPr>
        <w:t xml:space="preserve">, Hopf U, Möller B, Wittenbrink C, Rodloff A, Reinhardt R, Freudenberg M, Galanos C. Are antimitochondrial antibodies in primary biliary cirrhosis induced by R(rough)-mutants of enterobacteriaceae? </w:t>
      </w:r>
      <w:r w:rsidRPr="00CE54E5">
        <w:rPr>
          <w:rFonts w:ascii="Book Antiqua" w:hAnsi="Book Antiqua" w:cs="Book Antiqua"/>
          <w:i/>
          <w:iCs/>
        </w:rPr>
        <w:t>Lancet</w:t>
      </w:r>
      <w:r w:rsidRPr="00CE54E5">
        <w:rPr>
          <w:rFonts w:ascii="Book Antiqua" w:hAnsi="Book Antiqua" w:cs="Book Antiqua"/>
        </w:rPr>
        <w:t xml:space="preserve"> 1988; </w:t>
      </w:r>
      <w:r w:rsidRPr="00CE54E5">
        <w:rPr>
          <w:rFonts w:ascii="Book Antiqua" w:hAnsi="Book Antiqua" w:cs="Book Antiqua"/>
          <w:b/>
          <w:bCs/>
        </w:rPr>
        <w:t>2</w:t>
      </w:r>
      <w:r w:rsidRPr="00CE54E5">
        <w:rPr>
          <w:rFonts w:ascii="Book Antiqua" w:hAnsi="Book Antiqua" w:cs="Book Antiqua"/>
        </w:rPr>
        <w:t>: 1166-1170 [PMID: 2903378 DOI: 10.1016/s0140-6736(88)90235-8]</w:t>
      </w:r>
    </w:p>
    <w:p w14:paraId="5EFE7C0A"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14 </w:t>
      </w:r>
      <w:r w:rsidRPr="00CE54E5">
        <w:rPr>
          <w:rFonts w:ascii="Book Antiqua" w:hAnsi="Book Antiqua" w:cs="Book Antiqua"/>
          <w:b/>
          <w:bCs/>
        </w:rPr>
        <w:t>Khor SS</w:t>
      </w:r>
      <w:r w:rsidRPr="00CE54E5">
        <w:rPr>
          <w:rFonts w:ascii="Book Antiqua" w:hAnsi="Book Antiqua" w:cs="Book Antiqua"/>
        </w:rPr>
        <w:t xml:space="preserve">, Ueno K, Nishida N, Kawashima M, Kawai Y, Aiba Y, Hitomi Y, Nagasaki M, Nakamura M, Tokunaga K. Novel HLA allele associations with susceptibility, staging, symptomatic state, autoimmune hepatitis and hepatocellular carcinoma events for primary biliary cholangitis in the Japanese population. </w:t>
      </w:r>
      <w:r w:rsidRPr="00CE54E5">
        <w:rPr>
          <w:rFonts w:ascii="Book Antiqua" w:hAnsi="Book Antiqua" w:cs="Book Antiqua"/>
          <w:i/>
          <w:iCs/>
        </w:rPr>
        <w:t>Front Immunol</w:t>
      </w:r>
      <w:r w:rsidRPr="00CE54E5">
        <w:rPr>
          <w:rFonts w:ascii="Book Antiqua" w:hAnsi="Book Antiqua" w:cs="Book Antiqua"/>
        </w:rPr>
        <w:t xml:space="preserve"> 2023; </w:t>
      </w:r>
      <w:r w:rsidRPr="00CE54E5">
        <w:rPr>
          <w:rFonts w:ascii="Book Antiqua" w:hAnsi="Book Antiqua" w:cs="Book Antiqua"/>
          <w:b/>
          <w:bCs/>
        </w:rPr>
        <w:t>14</w:t>
      </w:r>
      <w:r w:rsidRPr="00CE54E5">
        <w:rPr>
          <w:rFonts w:ascii="Book Antiqua" w:hAnsi="Book Antiqua" w:cs="Book Antiqua"/>
        </w:rPr>
        <w:t>: 1151502 [PMID: 37325616 DOI: 10.3389/fimmu.2023.1151502]</w:t>
      </w:r>
    </w:p>
    <w:p w14:paraId="63E97F78"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15 </w:t>
      </w:r>
      <w:r w:rsidRPr="00CE54E5">
        <w:rPr>
          <w:rFonts w:ascii="Book Antiqua" w:hAnsi="Book Antiqua" w:cs="Book Antiqua"/>
          <w:b/>
          <w:bCs/>
        </w:rPr>
        <w:t>Burroughs AK</w:t>
      </w:r>
      <w:r w:rsidRPr="00CE54E5">
        <w:rPr>
          <w:rFonts w:ascii="Book Antiqua" w:hAnsi="Book Antiqua" w:cs="Book Antiqua"/>
        </w:rPr>
        <w:t xml:space="preserve">, Rosenstein IJ, Epstein O, Hamilton-Miller JM, Brumfitt W, Sherlock S. Bacteriuria and primary biliary cirrhosis. </w:t>
      </w:r>
      <w:r w:rsidRPr="00CE54E5">
        <w:rPr>
          <w:rFonts w:ascii="Book Antiqua" w:hAnsi="Book Antiqua" w:cs="Book Antiqua"/>
          <w:i/>
          <w:iCs/>
        </w:rPr>
        <w:t>Gut</w:t>
      </w:r>
      <w:r w:rsidRPr="00CE54E5">
        <w:rPr>
          <w:rFonts w:ascii="Book Antiqua" w:hAnsi="Book Antiqua" w:cs="Book Antiqua"/>
        </w:rPr>
        <w:t xml:space="preserve"> 1984; </w:t>
      </w:r>
      <w:r w:rsidRPr="00CE54E5">
        <w:rPr>
          <w:rFonts w:ascii="Book Antiqua" w:hAnsi="Book Antiqua" w:cs="Book Antiqua"/>
          <w:b/>
          <w:bCs/>
        </w:rPr>
        <w:t>25</w:t>
      </w:r>
      <w:r w:rsidRPr="00CE54E5">
        <w:rPr>
          <w:rFonts w:ascii="Book Antiqua" w:hAnsi="Book Antiqua" w:cs="Book Antiqua"/>
        </w:rPr>
        <w:t>: 133-137 [PMID: 6363217 DOI: 10.1136/gut.25.2.133]</w:t>
      </w:r>
    </w:p>
    <w:p w14:paraId="0FCC17C2"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16 </w:t>
      </w:r>
      <w:r w:rsidRPr="00CE54E5">
        <w:rPr>
          <w:rFonts w:ascii="Book Antiqua" w:hAnsi="Book Antiqua" w:cs="Book Antiqua"/>
          <w:b/>
          <w:bCs/>
        </w:rPr>
        <w:t>Loginov AS,</w:t>
      </w:r>
      <w:r w:rsidRPr="00CE54E5">
        <w:rPr>
          <w:rFonts w:ascii="Book Antiqua" w:hAnsi="Book Antiqua" w:cs="Book Antiqua"/>
        </w:rPr>
        <w:t xml:space="preserve"> Tsaregorodtseva TM, Zotina MM. The immune system and digestive diseases. Moscow: Meditsina Publishers, 1986: 42-65 Available from: https://search.rsl.ru/ru/record/01008480564?ysclid=llov5y33xp23524599</w:t>
      </w:r>
    </w:p>
    <w:p w14:paraId="23B815F1"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17 </w:t>
      </w:r>
      <w:r w:rsidRPr="00CE54E5">
        <w:rPr>
          <w:rFonts w:ascii="Book Antiqua" w:hAnsi="Book Antiqua" w:cs="Book Antiqua"/>
          <w:b/>
          <w:bCs/>
        </w:rPr>
        <w:t>Hohenester S</w:t>
      </w:r>
      <w:r w:rsidRPr="00CE54E5">
        <w:rPr>
          <w:rFonts w:ascii="Book Antiqua" w:hAnsi="Book Antiqua" w:cs="Book Antiqua"/>
        </w:rPr>
        <w:t xml:space="preserve">, Wenniger LM, Paulusma CC, van Vliet SJ, Jefferson DM, Elferink RP, Beuers U. A biliary HCO3- umbrella constitutes a protective mechanism against bile acid-induced injury in human cholangiocytes. </w:t>
      </w:r>
      <w:r w:rsidRPr="00CE54E5">
        <w:rPr>
          <w:rFonts w:ascii="Book Antiqua" w:hAnsi="Book Antiqua" w:cs="Book Antiqua"/>
          <w:i/>
          <w:iCs/>
        </w:rPr>
        <w:t>Hepatology</w:t>
      </w:r>
      <w:r w:rsidRPr="00CE54E5">
        <w:rPr>
          <w:rFonts w:ascii="Book Antiqua" w:hAnsi="Book Antiqua" w:cs="Book Antiqua"/>
        </w:rPr>
        <w:t xml:space="preserve"> 2012; </w:t>
      </w:r>
      <w:r w:rsidRPr="00CE54E5">
        <w:rPr>
          <w:rFonts w:ascii="Book Antiqua" w:hAnsi="Book Antiqua" w:cs="Book Antiqua"/>
          <w:b/>
          <w:bCs/>
        </w:rPr>
        <w:t>55</w:t>
      </w:r>
      <w:r w:rsidRPr="00CE54E5">
        <w:rPr>
          <w:rFonts w:ascii="Book Antiqua" w:hAnsi="Book Antiqua" w:cs="Book Antiqua"/>
        </w:rPr>
        <w:t>: 173-183 [PMID: 21932391 DOI: 10.1002/hep.24691]</w:t>
      </w:r>
    </w:p>
    <w:p w14:paraId="682E7552"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18 </w:t>
      </w:r>
      <w:r w:rsidRPr="00CE54E5">
        <w:rPr>
          <w:rFonts w:ascii="Book Antiqua" w:hAnsi="Book Antiqua" w:cs="Book Antiqua"/>
          <w:b/>
          <w:bCs/>
        </w:rPr>
        <w:t>Hofmann AF</w:t>
      </w:r>
      <w:r w:rsidRPr="00CE54E5">
        <w:rPr>
          <w:rFonts w:ascii="Book Antiqua" w:hAnsi="Book Antiqua" w:cs="Book Antiqua"/>
        </w:rPr>
        <w:t xml:space="preserve">. The enterohepatic circulation of bile acids in mammals: form and functions. </w:t>
      </w:r>
      <w:r w:rsidRPr="00CE54E5">
        <w:rPr>
          <w:rFonts w:ascii="Book Antiqua" w:hAnsi="Book Antiqua" w:cs="Book Antiqua"/>
          <w:i/>
          <w:iCs/>
        </w:rPr>
        <w:t>Front Biosci (Landmark Ed)</w:t>
      </w:r>
      <w:r w:rsidRPr="00CE54E5">
        <w:rPr>
          <w:rFonts w:ascii="Book Antiqua" w:hAnsi="Book Antiqua" w:cs="Book Antiqua"/>
        </w:rPr>
        <w:t xml:space="preserve"> 2009; </w:t>
      </w:r>
      <w:r w:rsidRPr="00CE54E5">
        <w:rPr>
          <w:rFonts w:ascii="Book Antiqua" w:hAnsi="Book Antiqua" w:cs="Book Antiqua"/>
          <w:b/>
          <w:bCs/>
        </w:rPr>
        <w:t>14</w:t>
      </w:r>
      <w:r w:rsidRPr="00CE54E5">
        <w:rPr>
          <w:rFonts w:ascii="Book Antiqua" w:hAnsi="Book Antiqua" w:cs="Book Antiqua"/>
        </w:rPr>
        <w:t>: 2584-2598 [PMID: 19273221 DOI: 10.2741/3399]</w:t>
      </w:r>
    </w:p>
    <w:p w14:paraId="5957C286"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19 </w:t>
      </w:r>
      <w:r w:rsidRPr="00CE54E5">
        <w:rPr>
          <w:rFonts w:ascii="Book Antiqua" w:hAnsi="Book Antiqua" w:cs="Book Antiqua"/>
          <w:b/>
          <w:bCs/>
        </w:rPr>
        <w:t>Matsubara T</w:t>
      </w:r>
      <w:r w:rsidRPr="00CE54E5">
        <w:rPr>
          <w:rFonts w:ascii="Book Antiqua" w:hAnsi="Book Antiqua" w:cs="Book Antiqua"/>
        </w:rPr>
        <w:t xml:space="preserve">, Kozaka K, Matsui O, Nakanuma Y, Uesaka K, Inoue D, Yoneda N, Yoshida K, Kitao A, Yokka A, Koda W, Gabata T, Kobayashi S. Peribiliary glands: </w:t>
      </w:r>
      <w:r w:rsidRPr="00CE54E5">
        <w:rPr>
          <w:rFonts w:ascii="Book Antiqua" w:hAnsi="Book Antiqua" w:cs="Book Antiqua"/>
        </w:rPr>
        <w:lastRenderedPageBreak/>
        <w:t xml:space="preserve">development, dysfunction, related conditions and imaging findings. </w:t>
      </w:r>
      <w:r w:rsidRPr="00CE54E5">
        <w:rPr>
          <w:rFonts w:ascii="Book Antiqua" w:hAnsi="Book Antiqua" w:cs="Book Antiqua"/>
          <w:i/>
          <w:iCs/>
        </w:rPr>
        <w:t>Abdom Radiol (NY)</w:t>
      </w:r>
      <w:r w:rsidRPr="00CE54E5">
        <w:rPr>
          <w:rFonts w:ascii="Book Antiqua" w:hAnsi="Book Antiqua" w:cs="Book Antiqua"/>
        </w:rPr>
        <w:t xml:space="preserve"> 2020; </w:t>
      </w:r>
      <w:r w:rsidRPr="00CE54E5">
        <w:rPr>
          <w:rFonts w:ascii="Book Antiqua" w:hAnsi="Book Antiqua" w:cs="Book Antiqua"/>
          <w:b/>
          <w:bCs/>
        </w:rPr>
        <w:t>45</w:t>
      </w:r>
      <w:r w:rsidRPr="00CE54E5">
        <w:rPr>
          <w:rFonts w:ascii="Book Antiqua" w:hAnsi="Book Antiqua" w:cs="Book Antiqua"/>
        </w:rPr>
        <w:t>: 416-436 [PMID: 31707436 DOI: 10.1007/s00261-019-02298-4]</w:t>
      </w:r>
    </w:p>
    <w:p w14:paraId="16CE7290"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20 </w:t>
      </w:r>
      <w:r w:rsidRPr="00CE54E5">
        <w:rPr>
          <w:rFonts w:ascii="Book Antiqua" w:hAnsi="Book Antiqua" w:cs="Book Antiqua"/>
          <w:b/>
          <w:bCs/>
        </w:rPr>
        <w:t>Banales JM</w:t>
      </w:r>
      <w:r w:rsidRPr="00CE54E5">
        <w:rPr>
          <w:rFonts w:ascii="Book Antiqua" w:hAnsi="Book Antiqua" w:cs="Book Antiqua"/>
        </w:rPr>
        <w:t xml:space="preserve">, Prieto J, Medina JF. Cholangiocyte anion exchange and biliary bicarbonate excretion. </w:t>
      </w:r>
      <w:r w:rsidRPr="00CE54E5">
        <w:rPr>
          <w:rFonts w:ascii="Book Antiqua" w:hAnsi="Book Antiqua" w:cs="Book Antiqua"/>
          <w:i/>
          <w:iCs/>
        </w:rPr>
        <w:t>World J Gastroenterol</w:t>
      </w:r>
      <w:r w:rsidRPr="00CE54E5">
        <w:rPr>
          <w:rFonts w:ascii="Book Antiqua" w:hAnsi="Book Antiqua" w:cs="Book Antiqua"/>
        </w:rPr>
        <w:t xml:space="preserve"> 2006; </w:t>
      </w:r>
      <w:r w:rsidRPr="00CE54E5">
        <w:rPr>
          <w:rFonts w:ascii="Book Antiqua" w:hAnsi="Book Antiqua" w:cs="Book Antiqua"/>
          <w:b/>
          <w:bCs/>
        </w:rPr>
        <w:t>12</w:t>
      </w:r>
      <w:r w:rsidRPr="00CE54E5">
        <w:rPr>
          <w:rFonts w:ascii="Book Antiqua" w:hAnsi="Book Antiqua" w:cs="Book Antiqua"/>
        </w:rPr>
        <w:t>: 3496-3511 [PMID: 16773707 DOI: 10.3748/wjg.v12.i22.3496]</w:t>
      </w:r>
    </w:p>
    <w:p w14:paraId="090DB6AA"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21 </w:t>
      </w:r>
      <w:r w:rsidRPr="00CE54E5">
        <w:rPr>
          <w:rFonts w:ascii="Book Antiqua" w:hAnsi="Book Antiqua" w:cs="Book Antiqua"/>
          <w:b/>
          <w:bCs/>
        </w:rPr>
        <w:t>Carpino G</w:t>
      </w:r>
      <w:r w:rsidRPr="00CE54E5">
        <w:rPr>
          <w:rFonts w:ascii="Book Antiqua" w:hAnsi="Book Antiqua" w:cs="Book Antiqua"/>
        </w:rPr>
        <w:t xml:space="preserve">, Cardinale V, Onori P, Franchitto A, Berloco PB, Rossi M, Wang Y, Semeraro R, Anceschi M, Brunelli R, Alvaro D, Reid LM, Gaudio E. Biliary tree stem/progenitor cells in glands of extrahepatic and intraheptic bile ducts: an anatomical in situ study yielding evidence of maturational lineages. </w:t>
      </w:r>
      <w:r w:rsidRPr="00CE54E5">
        <w:rPr>
          <w:rFonts w:ascii="Book Antiqua" w:hAnsi="Book Antiqua" w:cs="Book Antiqua"/>
          <w:i/>
          <w:iCs/>
        </w:rPr>
        <w:t>J Anat</w:t>
      </w:r>
      <w:r w:rsidRPr="00CE54E5">
        <w:rPr>
          <w:rFonts w:ascii="Book Antiqua" w:hAnsi="Book Antiqua" w:cs="Book Antiqua"/>
        </w:rPr>
        <w:t xml:space="preserve"> 2012; </w:t>
      </w:r>
      <w:r w:rsidRPr="00CE54E5">
        <w:rPr>
          <w:rFonts w:ascii="Book Antiqua" w:hAnsi="Book Antiqua" w:cs="Book Antiqua"/>
          <w:b/>
          <w:bCs/>
        </w:rPr>
        <w:t>220</w:t>
      </w:r>
      <w:r w:rsidRPr="00CE54E5">
        <w:rPr>
          <w:rFonts w:ascii="Book Antiqua" w:hAnsi="Book Antiqua" w:cs="Book Antiqua"/>
        </w:rPr>
        <w:t>: 186-199 [PMID: 22136171 DOI: 10.1111/j.1469-7580.2011.01462.x]</w:t>
      </w:r>
    </w:p>
    <w:p w14:paraId="6E253BA5"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22 </w:t>
      </w:r>
      <w:r w:rsidRPr="00CE54E5">
        <w:rPr>
          <w:rFonts w:ascii="Book Antiqua" w:hAnsi="Book Antiqua" w:cs="Book Antiqua"/>
          <w:b/>
          <w:bCs/>
        </w:rPr>
        <w:t>Maillette de Buy Wenniger LJ</w:t>
      </w:r>
      <w:r w:rsidRPr="00CE54E5">
        <w:rPr>
          <w:rFonts w:ascii="Book Antiqua" w:hAnsi="Book Antiqua" w:cs="Book Antiqua"/>
        </w:rPr>
        <w:t xml:space="preserve">, Hohenester S, Maroni L, van Vliet SJ, Oude Elferink RP, Beuers U. The Cholangiocyte Glycocalyx Stabilizes the 'Biliary HCO3 Umbrella': An Integrated Line of Defense against Toxic Bile Acids. </w:t>
      </w:r>
      <w:r w:rsidRPr="00CE54E5">
        <w:rPr>
          <w:rFonts w:ascii="Book Antiqua" w:hAnsi="Book Antiqua" w:cs="Book Antiqua"/>
          <w:i/>
          <w:iCs/>
        </w:rPr>
        <w:t>Dig Dis</w:t>
      </w:r>
      <w:r w:rsidRPr="00CE54E5">
        <w:rPr>
          <w:rFonts w:ascii="Book Antiqua" w:hAnsi="Book Antiqua" w:cs="Book Antiqua"/>
        </w:rPr>
        <w:t xml:space="preserve"> 2015; </w:t>
      </w:r>
      <w:r w:rsidRPr="00CE54E5">
        <w:rPr>
          <w:rFonts w:ascii="Book Antiqua" w:hAnsi="Book Antiqua" w:cs="Book Antiqua"/>
          <w:b/>
          <w:bCs/>
        </w:rPr>
        <w:t>33</w:t>
      </w:r>
      <w:r w:rsidRPr="00CE54E5">
        <w:rPr>
          <w:rFonts w:ascii="Book Antiqua" w:hAnsi="Book Antiqua" w:cs="Book Antiqua"/>
        </w:rPr>
        <w:t>: 397-407 [PMID: 26045275 DOI: 10.1159/000371864]</w:t>
      </w:r>
    </w:p>
    <w:p w14:paraId="256E295F"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23 </w:t>
      </w:r>
      <w:r w:rsidRPr="00CE54E5">
        <w:rPr>
          <w:rFonts w:ascii="Book Antiqua" w:hAnsi="Book Antiqua" w:cs="Book Antiqua"/>
          <w:b/>
          <w:bCs/>
        </w:rPr>
        <w:t>Esteller A</w:t>
      </w:r>
      <w:r w:rsidRPr="00CE54E5">
        <w:rPr>
          <w:rFonts w:ascii="Book Antiqua" w:hAnsi="Book Antiqua" w:cs="Book Antiqua"/>
        </w:rPr>
        <w:t xml:space="preserve">. Physiology of bile secretion. </w:t>
      </w:r>
      <w:r w:rsidRPr="00CE54E5">
        <w:rPr>
          <w:rFonts w:ascii="Book Antiqua" w:hAnsi="Book Antiqua" w:cs="Book Antiqua"/>
          <w:i/>
          <w:iCs/>
        </w:rPr>
        <w:t>World J Gastroenterol</w:t>
      </w:r>
      <w:r w:rsidRPr="00CE54E5">
        <w:rPr>
          <w:rFonts w:ascii="Book Antiqua" w:hAnsi="Book Antiqua" w:cs="Book Antiqua"/>
        </w:rPr>
        <w:t xml:space="preserve"> 2008; </w:t>
      </w:r>
      <w:r w:rsidRPr="00CE54E5">
        <w:rPr>
          <w:rFonts w:ascii="Book Antiqua" w:hAnsi="Book Antiqua" w:cs="Book Antiqua"/>
          <w:b/>
          <w:bCs/>
        </w:rPr>
        <w:t>14</w:t>
      </w:r>
      <w:r w:rsidRPr="00CE54E5">
        <w:rPr>
          <w:rFonts w:ascii="Book Antiqua" w:hAnsi="Book Antiqua" w:cs="Book Antiqua"/>
        </w:rPr>
        <w:t>: 5641-5649 [PMID: 18837079 DOI: 10.3748/wjg.14.5641]</w:t>
      </w:r>
    </w:p>
    <w:p w14:paraId="0E35E1E1"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24 </w:t>
      </w:r>
      <w:r w:rsidRPr="00CE54E5">
        <w:rPr>
          <w:rFonts w:ascii="Book Antiqua" w:hAnsi="Book Antiqua" w:cs="Book Antiqua"/>
          <w:b/>
          <w:bCs/>
        </w:rPr>
        <w:t>Hrncir HR</w:t>
      </w:r>
      <w:r w:rsidRPr="00CE54E5">
        <w:rPr>
          <w:rFonts w:ascii="Book Antiqua" w:hAnsi="Book Antiqua" w:cs="Book Antiqua"/>
        </w:rPr>
        <w:t xml:space="preserve">, Gracz AD. Cellular and transcriptional heterogeneity in the intrahepatic biliary epithelium. </w:t>
      </w:r>
      <w:r w:rsidRPr="00CE54E5">
        <w:rPr>
          <w:rFonts w:ascii="Book Antiqua" w:hAnsi="Book Antiqua" w:cs="Book Antiqua"/>
          <w:i/>
          <w:iCs/>
        </w:rPr>
        <w:t>Gastro Hep Adv</w:t>
      </w:r>
      <w:r w:rsidRPr="00CE54E5">
        <w:rPr>
          <w:rFonts w:ascii="Book Antiqua" w:hAnsi="Book Antiqua" w:cs="Book Antiqua"/>
        </w:rPr>
        <w:t xml:space="preserve"> 2023; </w:t>
      </w:r>
      <w:r w:rsidRPr="00CE54E5">
        <w:rPr>
          <w:rFonts w:ascii="Book Antiqua" w:hAnsi="Book Antiqua" w:cs="Book Antiqua"/>
          <w:b/>
          <w:bCs/>
        </w:rPr>
        <w:t>2</w:t>
      </w:r>
      <w:r w:rsidRPr="00CE54E5">
        <w:rPr>
          <w:rFonts w:ascii="Book Antiqua" w:hAnsi="Book Antiqua" w:cs="Book Antiqua"/>
        </w:rPr>
        <w:t>: 108-120 [PMID: 36593993 DOI: 10.1016/j.gastha.2022.07.015]</w:t>
      </w:r>
    </w:p>
    <w:p w14:paraId="44272957"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25 </w:t>
      </w:r>
      <w:r w:rsidRPr="00CE54E5">
        <w:rPr>
          <w:rFonts w:ascii="Book Antiqua" w:hAnsi="Book Antiqua" w:cs="Book Antiqua"/>
          <w:b/>
          <w:bCs/>
        </w:rPr>
        <w:t>Hirata K</w:t>
      </w:r>
      <w:r w:rsidRPr="00CE54E5">
        <w:rPr>
          <w:rFonts w:ascii="Book Antiqua" w:hAnsi="Book Antiqua" w:cs="Book Antiqua"/>
        </w:rPr>
        <w:t xml:space="preserve">, Nathanson MH. Bile duct epithelia regulate biliary bicarbonate excretion in normal rat liver. </w:t>
      </w:r>
      <w:r w:rsidRPr="00CE54E5">
        <w:rPr>
          <w:rFonts w:ascii="Book Antiqua" w:hAnsi="Book Antiqua" w:cs="Book Antiqua"/>
          <w:i/>
          <w:iCs/>
        </w:rPr>
        <w:t>Gastroenterology</w:t>
      </w:r>
      <w:r w:rsidRPr="00CE54E5">
        <w:rPr>
          <w:rFonts w:ascii="Book Antiqua" w:hAnsi="Book Antiqua" w:cs="Book Antiqua"/>
        </w:rPr>
        <w:t xml:space="preserve"> 2001; </w:t>
      </w:r>
      <w:r w:rsidRPr="00CE54E5">
        <w:rPr>
          <w:rFonts w:ascii="Book Antiqua" w:hAnsi="Book Antiqua" w:cs="Book Antiqua"/>
          <w:b/>
          <w:bCs/>
        </w:rPr>
        <w:t>121</w:t>
      </w:r>
      <w:r w:rsidRPr="00CE54E5">
        <w:rPr>
          <w:rFonts w:ascii="Book Antiqua" w:hAnsi="Book Antiqua" w:cs="Book Antiqua"/>
        </w:rPr>
        <w:t>: 396-406 [PMID: 11487549 DOI: 10.1053/gast.2001.26280]</w:t>
      </w:r>
    </w:p>
    <w:p w14:paraId="2D69B5B7"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26 </w:t>
      </w:r>
      <w:r w:rsidRPr="00CE54E5">
        <w:rPr>
          <w:rFonts w:ascii="Book Antiqua" w:hAnsi="Book Antiqua" w:cs="Book Antiqua"/>
          <w:b/>
          <w:bCs/>
        </w:rPr>
        <w:t>Tabibian JH</w:t>
      </w:r>
      <w:r w:rsidRPr="00CE54E5">
        <w:rPr>
          <w:rFonts w:ascii="Book Antiqua" w:hAnsi="Book Antiqua" w:cs="Book Antiqua"/>
        </w:rPr>
        <w:t xml:space="preserve">, Masyuk AI, Masyuk TV, O'Hara SP, LaRusso NF. Physiology of cholangiocytes. </w:t>
      </w:r>
      <w:r w:rsidRPr="00CE54E5">
        <w:rPr>
          <w:rFonts w:ascii="Book Antiqua" w:hAnsi="Book Antiqua" w:cs="Book Antiqua"/>
          <w:i/>
          <w:iCs/>
        </w:rPr>
        <w:t>Compr Physiol</w:t>
      </w:r>
      <w:r w:rsidRPr="00CE54E5">
        <w:rPr>
          <w:rFonts w:ascii="Book Antiqua" w:hAnsi="Book Antiqua" w:cs="Book Antiqua"/>
        </w:rPr>
        <w:t xml:space="preserve"> 2013; </w:t>
      </w:r>
      <w:r w:rsidRPr="00CE54E5">
        <w:rPr>
          <w:rFonts w:ascii="Book Antiqua" w:hAnsi="Book Antiqua" w:cs="Book Antiqua"/>
          <w:b/>
          <w:bCs/>
        </w:rPr>
        <w:t>3</w:t>
      </w:r>
      <w:r w:rsidRPr="00CE54E5">
        <w:rPr>
          <w:rFonts w:ascii="Book Antiqua" w:hAnsi="Book Antiqua" w:cs="Book Antiqua"/>
        </w:rPr>
        <w:t>: 541-565 [PMID: 23720296 DOI: 10.1002/cphy.c120019]</w:t>
      </w:r>
    </w:p>
    <w:p w14:paraId="4B6CEF6B"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27 </w:t>
      </w:r>
      <w:r w:rsidRPr="00CE54E5">
        <w:rPr>
          <w:rFonts w:ascii="Book Antiqua" w:hAnsi="Book Antiqua" w:cs="Book Antiqua"/>
          <w:b/>
          <w:bCs/>
        </w:rPr>
        <w:t>Marzioni M</w:t>
      </w:r>
      <w:r w:rsidRPr="00CE54E5">
        <w:rPr>
          <w:rFonts w:ascii="Book Antiqua" w:hAnsi="Book Antiqua" w:cs="Book Antiqua"/>
        </w:rPr>
        <w:t xml:space="preserve">, Glaser SS, Francis H, </w:t>
      </w:r>
      <w:r w:rsidRPr="00CE54E5">
        <w:rPr>
          <w:rFonts w:ascii="Book Antiqua" w:eastAsia="宋体" w:hAnsi="Book Antiqua" w:cs="Book Antiqua" w:hint="eastAsia"/>
          <w:lang w:eastAsia="zh-CN"/>
        </w:rPr>
        <w:t>PHi</w:t>
      </w:r>
      <w:r w:rsidRPr="00CE54E5">
        <w:rPr>
          <w:rFonts w:ascii="Book Antiqua" w:hAnsi="Book Antiqua" w:cs="Book Antiqua"/>
        </w:rPr>
        <w:t xml:space="preserve">nizy JL, LeSage G, Alpini G. Functional heterogeneity of cholangiocytes. </w:t>
      </w:r>
      <w:r w:rsidRPr="00CE54E5">
        <w:rPr>
          <w:rFonts w:ascii="Book Antiqua" w:hAnsi="Book Antiqua" w:cs="Book Antiqua"/>
          <w:i/>
          <w:iCs/>
        </w:rPr>
        <w:t>Semin Liver Dis</w:t>
      </w:r>
      <w:r w:rsidRPr="00CE54E5">
        <w:rPr>
          <w:rFonts w:ascii="Book Antiqua" w:hAnsi="Book Antiqua" w:cs="Book Antiqua"/>
        </w:rPr>
        <w:t xml:space="preserve"> 2002; </w:t>
      </w:r>
      <w:r w:rsidRPr="00CE54E5">
        <w:rPr>
          <w:rFonts w:ascii="Book Antiqua" w:hAnsi="Book Antiqua" w:cs="Book Antiqua"/>
          <w:b/>
          <w:bCs/>
        </w:rPr>
        <w:t>22</w:t>
      </w:r>
      <w:r w:rsidRPr="00CE54E5">
        <w:rPr>
          <w:rFonts w:ascii="Book Antiqua" w:hAnsi="Book Antiqua" w:cs="Book Antiqua"/>
        </w:rPr>
        <w:t>: 227-240 [PMID: 12360417 DOI: 10.1055/s-2002-34501]</w:t>
      </w:r>
    </w:p>
    <w:p w14:paraId="2D29AFB8"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lastRenderedPageBreak/>
        <w:t xml:space="preserve">28 </w:t>
      </w:r>
      <w:r w:rsidRPr="00CE54E5">
        <w:rPr>
          <w:rFonts w:ascii="Book Antiqua" w:hAnsi="Book Antiqua" w:cs="Book Antiqua"/>
          <w:b/>
          <w:bCs/>
        </w:rPr>
        <w:t>Kanno N</w:t>
      </w:r>
      <w:r w:rsidRPr="00CE54E5">
        <w:rPr>
          <w:rFonts w:ascii="Book Antiqua" w:hAnsi="Book Antiqua" w:cs="Book Antiqua"/>
        </w:rPr>
        <w:t xml:space="preserve">, LeSage G, Glaser S, Alpini G. Regulation of cholangiocyte bicarbonate secretion. </w:t>
      </w:r>
      <w:r w:rsidRPr="00CE54E5">
        <w:rPr>
          <w:rFonts w:ascii="Book Antiqua" w:hAnsi="Book Antiqua" w:cs="Book Antiqua"/>
          <w:i/>
          <w:iCs/>
        </w:rPr>
        <w:t>Am J Physiol Gastrointest Liver Physiol</w:t>
      </w:r>
      <w:r w:rsidRPr="00CE54E5">
        <w:rPr>
          <w:rFonts w:ascii="Book Antiqua" w:hAnsi="Book Antiqua" w:cs="Book Antiqua"/>
        </w:rPr>
        <w:t xml:space="preserve"> 2001; </w:t>
      </w:r>
      <w:r w:rsidRPr="00CE54E5">
        <w:rPr>
          <w:rFonts w:ascii="Book Antiqua" w:hAnsi="Book Antiqua" w:cs="Book Antiqua"/>
          <w:b/>
          <w:bCs/>
        </w:rPr>
        <w:t>281</w:t>
      </w:r>
      <w:r w:rsidRPr="00CE54E5">
        <w:rPr>
          <w:rFonts w:ascii="Book Antiqua" w:hAnsi="Book Antiqua" w:cs="Book Antiqua"/>
        </w:rPr>
        <w:t>: G612-G625 [PMID: 11518673 DOI: 10.1152/ajpgi.2001.281.3.G612]</w:t>
      </w:r>
    </w:p>
    <w:p w14:paraId="3346E323"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29 </w:t>
      </w:r>
      <w:r w:rsidRPr="00CE54E5">
        <w:rPr>
          <w:rFonts w:ascii="Book Antiqua" w:hAnsi="Book Antiqua" w:cs="Book Antiqua"/>
          <w:b/>
          <w:bCs/>
        </w:rPr>
        <w:t>Masyuk AI</w:t>
      </w:r>
      <w:r w:rsidRPr="00CE54E5">
        <w:rPr>
          <w:rFonts w:ascii="Book Antiqua" w:hAnsi="Book Antiqua" w:cs="Book Antiqua"/>
        </w:rPr>
        <w:t xml:space="preserve">, Masyuk TV, Tietz PS, Splinter PL, LaRusso NF. Intrahepatic bile ducts transport water in response to absorbed glucose. </w:t>
      </w:r>
      <w:r w:rsidRPr="00CE54E5">
        <w:rPr>
          <w:rFonts w:ascii="Book Antiqua" w:hAnsi="Book Antiqua" w:cs="Book Antiqua"/>
          <w:i/>
          <w:iCs/>
        </w:rPr>
        <w:t>Am J Physiol Cell Physiol</w:t>
      </w:r>
      <w:r w:rsidRPr="00CE54E5">
        <w:rPr>
          <w:rFonts w:ascii="Book Antiqua" w:hAnsi="Book Antiqua" w:cs="Book Antiqua"/>
        </w:rPr>
        <w:t xml:space="preserve"> 2002; </w:t>
      </w:r>
      <w:r w:rsidRPr="00CE54E5">
        <w:rPr>
          <w:rFonts w:ascii="Book Antiqua" w:hAnsi="Book Antiqua" w:cs="Book Antiqua"/>
          <w:b/>
          <w:bCs/>
        </w:rPr>
        <w:t>283</w:t>
      </w:r>
      <w:r w:rsidRPr="00CE54E5">
        <w:rPr>
          <w:rFonts w:ascii="Book Antiqua" w:hAnsi="Book Antiqua" w:cs="Book Antiqua"/>
        </w:rPr>
        <w:t>: C785-C791 [PMID: 12176735 DOI: 10.1152/ajpcell.00118.2002]</w:t>
      </w:r>
    </w:p>
    <w:p w14:paraId="41847F85"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30 </w:t>
      </w:r>
      <w:r w:rsidRPr="00CE54E5">
        <w:rPr>
          <w:rFonts w:ascii="Book Antiqua" w:hAnsi="Book Antiqua" w:cs="Book Antiqua"/>
          <w:b/>
          <w:bCs/>
        </w:rPr>
        <w:t>Chang JC</w:t>
      </w:r>
      <w:r w:rsidRPr="00CE54E5">
        <w:rPr>
          <w:rFonts w:ascii="Book Antiqua" w:hAnsi="Book Antiqua" w:cs="Book Antiqua"/>
        </w:rPr>
        <w:t xml:space="preserve">, Go S, Verhoeven AJ, Beuers U, Oude Elferink RPJ. Role of the bicarbonate-responsive soluble adenylyl cyclase in cholangiocyte apoptosis in primary biliary cholangitis; a new hypothesis. </w:t>
      </w:r>
      <w:r w:rsidRPr="00CE54E5">
        <w:rPr>
          <w:rFonts w:ascii="Book Antiqua" w:hAnsi="Book Antiqua" w:cs="Book Antiqua"/>
          <w:i/>
          <w:iCs/>
        </w:rPr>
        <w:t>Biochim Biophys Acta Mol Basis Dis</w:t>
      </w:r>
      <w:r w:rsidRPr="00CE54E5">
        <w:rPr>
          <w:rFonts w:ascii="Book Antiqua" w:hAnsi="Book Antiqua" w:cs="Book Antiqua"/>
        </w:rPr>
        <w:t xml:space="preserve"> 2018; </w:t>
      </w:r>
      <w:r w:rsidRPr="00CE54E5">
        <w:rPr>
          <w:rFonts w:ascii="Book Antiqua" w:hAnsi="Book Antiqua" w:cs="Book Antiqua"/>
          <w:b/>
          <w:bCs/>
        </w:rPr>
        <w:t>1864</w:t>
      </w:r>
      <w:r w:rsidRPr="00CE54E5">
        <w:rPr>
          <w:rFonts w:ascii="Book Antiqua" w:hAnsi="Book Antiqua" w:cs="Book Antiqua"/>
        </w:rPr>
        <w:t>: 1232-1239 [PMID: 28962898 DOI: 10.1016/j.bbadis.2017.09.022]</w:t>
      </w:r>
    </w:p>
    <w:p w14:paraId="131CE7F0"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31 </w:t>
      </w:r>
      <w:r w:rsidRPr="00CE54E5">
        <w:rPr>
          <w:rFonts w:ascii="Book Antiqua" w:hAnsi="Book Antiqua" w:cs="Book Antiqua"/>
          <w:b/>
          <w:bCs/>
        </w:rPr>
        <w:t>Rodrigues MA</w:t>
      </w:r>
      <w:r w:rsidRPr="00CE54E5">
        <w:rPr>
          <w:rFonts w:ascii="Book Antiqua" w:hAnsi="Book Antiqua" w:cs="Book Antiqua"/>
        </w:rPr>
        <w:t xml:space="preserve">, Gomes DA, Nathanson MH. Calcium Signaling in Cholangiocytes: Methods, Mechanisms, and Effects. </w:t>
      </w:r>
      <w:r w:rsidRPr="00CE54E5">
        <w:rPr>
          <w:rFonts w:ascii="Book Antiqua" w:hAnsi="Book Antiqua" w:cs="Book Antiqua"/>
          <w:i/>
          <w:iCs/>
        </w:rPr>
        <w:t>Int J Mol Sci</w:t>
      </w:r>
      <w:r w:rsidRPr="00CE54E5">
        <w:rPr>
          <w:rFonts w:ascii="Book Antiqua" w:hAnsi="Book Antiqua" w:cs="Book Antiqua"/>
        </w:rPr>
        <w:t xml:space="preserve"> 2018; </w:t>
      </w:r>
      <w:r w:rsidRPr="00CE54E5">
        <w:rPr>
          <w:rFonts w:ascii="Book Antiqua" w:hAnsi="Book Antiqua" w:cs="Book Antiqua"/>
          <w:b/>
          <w:bCs/>
        </w:rPr>
        <w:t>19</w:t>
      </w:r>
      <w:r w:rsidRPr="00CE54E5">
        <w:rPr>
          <w:rFonts w:ascii="Book Antiqua" w:hAnsi="Book Antiqua" w:cs="Book Antiqua"/>
        </w:rPr>
        <w:t xml:space="preserve"> [PMID: 30563259 DOI: 10.3390/ijms19123913]</w:t>
      </w:r>
    </w:p>
    <w:p w14:paraId="56FA94C3"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32 </w:t>
      </w:r>
      <w:r w:rsidRPr="00CE54E5">
        <w:rPr>
          <w:rFonts w:ascii="Book Antiqua" w:hAnsi="Book Antiqua" w:cs="Book Antiqua"/>
          <w:b/>
          <w:bCs/>
        </w:rPr>
        <w:t>Dranoff JA</w:t>
      </w:r>
      <w:r w:rsidRPr="00CE54E5">
        <w:rPr>
          <w:rFonts w:ascii="Book Antiqua" w:hAnsi="Book Antiqua" w:cs="Book Antiqua"/>
        </w:rPr>
        <w:t xml:space="preserve">, Masyuk AI, Kruglov EA, LaRusso NF, Nathanson MH. Polarized expression and function of P2Y ATP receptors in rat bile duct epithelia. </w:t>
      </w:r>
      <w:r w:rsidRPr="00CE54E5">
        <w:rPr>
          <w:rFonts w:ascii="Book Antiqua" w:hAnsi="Book Antiqua" w:cs="Book Antiqua"/>
          <w:i/>
          <w:iCs/>
        </w:rPr>
        <w:t>Am J Physiol Gastrointest Liver Physiol</w:t>
      </w:r>
      <w:r w:rsidRPr="00CE54E5">
        <w:rPr>
          <w:rFonts w:ascii="Book Antiqua" w:hAnsi="Book Antiqua" w:cs="Book Antiqua"/>
        </w:rPr>
        <w:t xml:space="preserve"> 2001; </w:t>
      </w:r>
      <w:r w:rsidRPr="00CE54E5">
        <w:rPr>
          <w:rFonts w:ascii="Book Antiqua" w:hAnsi="Book Antiqua" w:cs="Book Antiqua"/>
          <w:b/>
          <w:bCs/>
        </w:rPr>
        <w:t>281</w:t>
      </w:r>
      <w:r w:rsidRPr="00CE54E5">
        <w:rPr>
          <w:rFonts w:ascii="Book Antiqua" w:hAnsi="Book Antiqua" w:cs="Book Antiqua"/>
        </w:rPr>
        <w:t>: G1059-G1067 [PMID: 11557527 DOI: 10.1152/ajpgi.2001.281.4.G1059]</w:t>
      </w:r>
    </w:p>
    <w:p w14:paraId="6629EDFB"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33 </w:t>
      </w:r>
      <w:r w:rsidRPr="00CE54E5">
        <w:rPr>
          <w:rFonts w:ascii="Book Antiqua" w:hAnsi="Book Antiqua" w:cs="Book Antiqua"/>
          <w:b/>
          <w:bCs/>
        </w:rPr>
        <w:t>Nathanson MH</w:t>
      </w:r>
      <w:r w:rsidRPr="00CE54E5">
        <w:rPr>
          <w:rFonts w:ascii="Book Antiqua" w:hAnsi="Book Antiqua" w:cs="Book Antiqua"/>
        </w:rPr>
        <w:t xml:space="preserve">, Burgstahler AD, Mennone A, Boyer JL. Characterization of cytosolic Ca2+ signaling in rat bile duct epithelia. </w:t>
      </w:r>
      <w:r w:rsidRPr="00CE54E5">
        <w:rPr>
          <w:rFonts w:ascii="Book Antiqua" w:hAnsi="Book Antiqua" w:cs="Book Antiqua"/>
          <w:i/>
          <w:iCs/>
        </w:rPr>
        <w:t>Am J Physiol</w:t>
      </w:r>
      <w:r w:rsidRPr="00CE54E5">
        <w:rPr>
          <w:rFonts w:ascii="Book Antiqua" w:hAnsi="Book Antiqua" w:cs="Book Antiqua"/>
        </w:rPr>
        <w:t xml:space="preserve"> 1996; </w:t>
      </w:r>
      <w:r w:rsidRPr="00CE54E5">
        <w:rPr>
          <w:rFonts w:ascii="Book Antiqua" w:hAnsi="Book Antiqua" w:cs="Book Antiqua"/>
          <w:b/>
          <w:bCs/>
        </w:rPr>
        <w:t>271</w:t>
      </w:r>
      <w:r w:rsidRPr="00CE54E5">
        <w:rPr>
          <w:rFonts w:ascii="Book Antiqua" w:hAnsi="Book Antiqua" w:cs="Book Antiqua"/>
        </w:rPr>
        <w:t>: G86-G96 [PMID: 8760111 DOI: 10.1152/ajpgi.1996.271.1.G86]</w:t>
      </w:r>
    </w:p>
    <w:p w14:paraId="719B9AA9"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34 </w:t>
      </w:r>
      <w:r w:rsidRPr="00CE54E5">
        <w:rPr>
          <w:rFonts w:ascii="Book Antiqua" w:hAnsi="Book Antiqua" w:cs="Book Antiqua"/>
          <w:b/>
          <w:bCs/>
        </w:rPr>
        <w:t>Lemos FO</w:t>
      </w:r>
      <w:r w:rsidRPr="00CE54E5">
        <w:rPr>
          <w:rFonts w:ascii="Book Antiqua" w:hAnsi="Book Antiqua" w:cs="Book Antiqua"/>
        </w:rPr>
        <w:t xml:space="preserve">, Florentino RM, Lima Filho ACM, Dos Santos ML, Leite MF. Inositol 1,4,5-trisphosphate receptor in the liver: Expression and function. </w:t>
      </w:r>
      <w:r w:rsidRPr="00CE54E5">
        <w:rPr>
          <w:rFonts w:ascii="Book Antiqua" w:hAnsi="Book Antiqua" w:cs="Book Antiqua"/>
          <w:i/>
          <w:iCs/>
        </w:rPr>
        <w:t>World J Gastroenterol</w:t>
      </w:r>
      <w:r w:rsidRPr="00CE54E5">
        <w:rPr>
          <w:rFonts w:ascii="Book Antiqua" w:hAnsi="Book Antiqua" w:cs="Book Antiqua"/>
        </w:rPr>
        <w:t xml:space="preserve"> 2019; </w:t>
      </w:r>
      <w:r w:rsidRPr="00CE54E5">
        <w:rPr>
          <w:rFonts w:ascii="Book Antiqua" w:hAnsi="Book Antiqua" w:cs="Book Antiqua"/>
          <w:b/>
          <w:bCs/>
        </w:rPr>
        <w:t>25</w:t>
      </w:r>
      <w:r w:rsidRPr="00CE54E5">
        <w:rPr>
          <w:rFonts w:ascii="Book Antiqua" w:hAnsi="Book Antiqua" w:cs="Book Antiqua"/>
        </w:rPr>
        <w:t>: 6483-6494 [PMID: 31802829 DOI: 10.3748/wjg.v25.i44.6483]</w:t>
      </w:r>
    </w:p>
    <w:p w14:paraId="7989357C"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35 </w:t>
      </w:r>
      <w:r w:rsidRPr="00CE54E5">
        <w:rPr>
          <w:rFonts w:ascii="Book Antiqua" w:hAnsi="Book Antiqua" w:cs="Book Antiqua"/>
          <w:b/>
          <w:bCs/>
        </w:rPr>
        <w:t>Berridge MJ</w:t>
      </w:r>
      <w:r w:rsidRPr="00CE54E5">
        <w:rPr>
          <w:rFonts w:ascii="Book Antiqua" w:hAnsi="Book Antiqua" w:cs="Book Antiqua"/>
        </w:rPr>
        <w:t xml:space="preserve">, Bootman MD, Roderick HL. Calcium signalling: dynamics, homeostasis and remodelling. </w:t>
      </w:r>
      <w:r w:rsidRPr="00CE54E5">
        <w:rPr>
          <w:rFonts w:ascii="Book Antiqua" w:hAnsi="Book Antiqua" w:cs="Book Antiqua"/>
          <w:i/>
          <w:iCs/>
        </w:rPr>
        <w:t>Nat Rev Mol Cell Biol</w:t>
      </w:r>
      <w:r w:rsidRPr="00CE54E5">
        <w:rPr>
          <w:rFonts w:ascii="Book Antiqua" w:hAnsi="Book Antiqua" w:cs="Book Antiqua"/>
        </w:rPr>
        <w:t xml:space="preserve"> 2003; </w:t>
      </w:r>
      <w:r w:rsidRPr="00CE54E5">
        <w:rPr>
          <w:rFonts w:ascii="Book Antiqua" w:hAnsi="Book Antiqua" w:cs="Book Antiqua"/>
          <w:b/>
          <w:bCs/>
        </w:rPr>
        <w:t>4</w:t>
      </w:r>
      <w:r w:rsidRPr="00CE54E5">
        <w:rPr>
          <w:rFonts w:ascii="Book Antiqua" w:hAnsi="Book Antiqua" w:cs="Book Antiqua"/>
        </w:rPr>
        <w:t>: 517-529 [PMID: 12838335 DOI: 10.1038/nrm1155]</w:t>
      </w:r>
    </w:p>
    <w:p w14:paraId="1FD5CC10"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36 </w:t>
      </w:r>
      <w:r w:rsidRPr="00CE54E5">
        <w:rPr>
          <w:rFonts w:ascii="Book Antiqua" w:hAnsi="Book Antiqua" w:cs="Book Antiqua"/>
          <w:b/>
          <w:bCs/>
        </w:rPr>
        <w:t>Trampert DC</w:t>
      </w:r>
      <w:r w:rsidRPr="00CE54E5">
        <w:rPr>
          <w:rFonts w:ascii="Book Antiqua" w:hAnsi="Book Antiqua" w:cs="Book Antiqua"/>
        </w:rPr>
        <w:t xml:space="preserve">, Nathanson MH. Regulation of bile secretion by calcium signaling in health and disease. </w:t>
      </w:r>
      <w:r w:rsidRPr="00CE54E5">
        <w:rPr>
          <w:rFonts w:ascii="Book Antiqua" w:hAnsi="Book Antiqua" w:cs="Book Antiqua"/>
          <w:i/>
          <w:iCs/>
        </w:rPr>
        <w:t>Biochim Biophys Acta Mol Cell Res</w:t>
      </w:r>
      <w:r w:rsidRPr="00CE54E5">
        <w:rPr>
          <w:rFonts w:ascii="Book Antiqua" w:hAnsi="Book Antiqua" w:cs="Book Antiqua"/>
        </w:rPr>
        <w:t xml:space="preserve"> 2018; </w:t>
      </w:r>
      <w:r w:rsidRPr="00CE54E5">
        <w:rPr>
          <w:rFonts w:ascii="Book Antiqua" w:hAnsi="Book Antiqua" w:cs="Book Antiqua"/>
          <w:b/>
          <w:bCs/>
        </w:rPr>
        <w:t>1865</w:t>
      </w:r>
      <w:r w:rsidRPr="00CE54E5">
        <w:rPr>
          <w:rFonts w:ascii="Book Antiqua" w:hAnsi="Book Antiqua" w:cs="Book Antiqua"/>
        </w:rPr>
        <w:t>: 1761-1770 [PMID: 29787781 DOI: 10.1016/j.bbamcr.2018.05.010]</w:t>
      </w:r>
    </w:p>
    <w:p w14:paraId="68023895"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lastRenderedPageBreak/>
        <w:t xml:space="preserve">37 </w:t>
      </w:r>
      <w:r w:rsidRPr="00CE54E5">
        <w:rPr>
          <w:rFonts w:ascii="Book Antiqua" w:hAnsi="Book Antiqua" w:cs="Book Antiqua"/>
          <w:b/>
          <w:bCs/>
        </w:rPr>
        <w:t>Li Q</w:t>
      </w:r>
      <w:r w:rsidRPr="00CE54E5">
        <w:rPr>
          <w:rFonts w:ascii="Book Antiqua" w:hAnsi="Book Antiqua" w:cs="Book Antiqua"/>
        </w:rPr>
        <w:t xml:space="preserve">, Dutta A, Kresge C, Bugde A, Feranchak AP. Bile acids stimulate cholangiocyte fluid secretion by activation of transmembrane member 16A Cl(-) channels. </w:t>
      </w:r>
      <w:r w:rsidRPr="00CE54E5">
        <w:rPr>
          <w:rFonts w:ascii="Book Antiqua" w:hAnsi="Book Antiqua" w:cs="Book Antiqua"/>
          <w:i/>
          <w:iCs/>
        </w:rPr>
        <w:t>Hepatology</w:t>
      </w:r>
      <w:r w:rsidRPr="00CE54E5">
        <w:rPr>
          <w:rFonts w:ascii="Book Antiqua" w:hAnsi="Book Antiqua" w:cs="Book Antiqua"/>
        </w:rPr>
        <w:t xml:space="preserve"> 2018; </w:t>
      </w:r>
      <w:r w:rsidRPr="00CE54E5">
        <w:rPr>
          <w:rFonts w:ascii="Book Antiqua" w:hAnsi="Book Antiqua" w:cs="Book Antiqua"/>
          <w:b/>
          <w:bCs/>
        </w:rPr>
        <w:t>68</w:t>
      </w:r>
      <w:r w:rsidRPr="00CE54E5">
        <w:rPr>
          <w:rFonts w:ascii="Book Antiqua" w:hAnsi="Book Antiqua" w:cs="Book Antiqua"/>
        </w:rPr>
        <w:t>: 187-199 [PMID: 29360145 DOI: 10.1002/hep.29804]</w:t>
      </w:r>
    </w:p>
    <w:p w14:paraId="3841A3DD"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38 </w:t>
      </w:r>
      <w:r w:rsidRPr="00CE54E5">
        <w:rPr>
          <w:rFonts w:ascii="Book Antiqua" w:hAnsi="Book Antiqua" w:cs="Book Antiqua"/>
          <w:b/>
          <w:bCs/>
        </w:rPr>
        <w:t>Dutta AK</w:t>
      </w:r>
      <w:r w:rsidRPr="00CE54E5">
        <w:rPr>
          <w:rFonts w:ascii="Book Antiqua" w:hAnsi="Book Antiqua" w:cs="Book Antiqua"/>
        </w:rPr>
        <w:t xml:space="preserve">, Khimji AK, Kresge C, Bugde A, Dougherty M, Esser V, Ueno Y, Glaser SS, Alpini G, Rockey DC, Feranchak AP. Identification and functional characterization of TMEM16A, a Ca2+-activated Cl- channel activated by extracellular nucleotides, in biliary epithelium. </w:t>
      </w:r>
      <w:r w:rsidRPr="00CE54E5">
        <w:rPr>
          <w:rFonts w:ascii="Book Antiqua" w:hAnsi="Book Antiqua" w:cs="Book Antiqua"/>
          <w:i/>
          <w:iCs/>
        </w:rPr>
        <w:t>J Biol Chem</w:t>
      </w:r>
      <w:r w:rsidRPr="00CE54E5">
        <w:rPr>
          <w:rFonts w:ascii="Book Antiqua" w:hAnsi="Book Antiqua" w:cs="Book Antiqua"/>
        </w:rPr>
        <w:t xml:space="preserve"> 2011; </w:t>
      </w:r>
      <w:r w:rsidRPr="00CE54E5">
        <w:rPr>
          <w:rFonts w:ascii="Book Antiqua" w:hAnsi="Book Antiqua" w:cs="Book Antiqua"/>
          <w:b/>
          <w:bCs/>
        </w:rPr>
        <w:t>286</w:t>
      </w:r>
      <w:r w:rsidRPr="00CE54E5">
        <w:rPr>
          <w:rFonts w:ascii="Book Antiqua" w:hAnsi="Book Antiqua" w:cs="Book Antiqua"/>
        </w:rPr>
        <w:t>: 766-776 [PMID: 21041307 DOI: 10.1074/jbc.M110.164970]</w:t>
      </w:r>
    </w:p>
    <w:p w14:paraId="4938392A"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39 </w:t>
      </w:r>
      <w:r w:rsidRPr="00CE54E5">
        <w:rPr>
          <w:rFonts w:ascii="Book Antiqua" w:hAnsi="Book Antiqua" w:cs="Book Antiqua"/>
          <w:b/>
          <w:bCs/>
        </w:rPr>
        <w:t>Afroze S</w:t>
      </w:r>
      <w:r w:rsidRPr="00CE54E5">
        <w:rPr>
          <w:rFonts w:ascii="Book Antiqua" w:hAnsi="Book Antiqua" w:cs="Book Antiqua"/>
        </w:rPr>
        <w:t xml:space="preserve">, Meng F, Jensen K, McDaniel K, Rahal K, Onori P, Gaudio E, Alpini G, Glaser SS. The physiological roles of secretin and its receptor. </w:t>
      </w:r>
      <w:r w:rsidRPr="00CE54E5">
        <w:rPr>
          <w:rFonts w:ascii="Book Antiqua" w:hAnsi="Book Antiqua" w:cs="Book Antiqua"/>
          <w:i/>
          <w:iCs/>
        </w:rPr>
        <w:t>Ann Transl Med</w:t>
      </w:r>
      <w:r w:rsidRPr="00CE54E5">
        <w:rPr>
          <w:rFonts w:ascii="Book Antiqua" w:hAnsi="Book Antiqua" w:cs="Book Antiqua"/>
        </w:rPr>
        <w:t xml:space="preserve"> 2013; </w:t>
      </w:r>
      <w:r w:rsidRPr="00CE54E5">
        <w:rPr>
          <w:rFonts w:ascii="Book Antiqua" w:hAnsi="Book Antiqua" w:cs="Book Antiqua"/>
          <w:b/>
          <w:bCs/>
        </w:rPr>
        <w:t>1</w:t>
      </w:r>
      <w:r w:rsidRPr="00CE54E5">
        <w:rPr>
          <w:rFonts w:ascii="Book Antiqua" w:hAnsi="Book Antiqua" w:cs="Book Antiqua"/>
        </w:rPr>
        <w:t>: 29 [PMID: 25332973 DOI: 10.3978/j.issn.2305-5839.2012.12.01]</w:t>
      </w:r>
    </w:p>
    <w:p w14:paraId="0CF5DEF8"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40 </w:t>
      </w:r>
      <w:r w:rsidRPr="00CE54E5">
        <w:rPr>
          <w:rFonts w:ascii="Book Antiqua" w:hAnsi="Book Antiqua" w:cs="Book Antiqua"/>
          <w:b/>
          <w:bCs/>
        </w:rPr>
        <w:t>Boyer JL</w:t>
      </w:r>
      <w:r w:rsidRPr="00CE54E5">
        <w:rPr>
          <w:rFonts w:ascii="Book Antiqua" w:hAnsi="Book Antiqua" w:cs="Book Antiqua"/>
        </w:rPr>
        <w:t xml:space="preserve">. Bile duct epithelium: frontiers in transport physiology. </w:t>
      </w:r>
      <w:r w:rsidRPr="00CE54E5">
        <w:rPr>
          <w:rFonts w:ascii="Book Antiqua" w:hAnsi="Book Antiqua" w:cs="Book Antiqua"/>
          <w:i/>
          <w:iCs/>
        </w:rPr>
        <w:t>Am J Physiol</w:t>
      </w:r>
      <w:r w:rsidRPr="00CE54E5">
        <w:rPr>
          <w:rFonts w:ascii="Book Antiqua" w:hAnsi="Book Antiqua" w:cs="Book Antiqua"/>
        </w:rPr>
        <w:t xml:space="preserve"> 1996; </w:t>
      </w:r>
      <w:r w:rsidRPr="00CE54E5">
        <w:rPr>
          <w:rFonts w:ascii="Book Antiqua" w:hAnsi="Book Antiqua" w:cs="Book Antiqua"/>
          <w:b/>
          <w:bCs/>
        </w:rPr>
        <w:t>270</w:t>
      </w:r>
      <w:r w:rsidRPr="00CE54E5">
        <w:rPr>
          <w:rFonts w:ascii="Book Antiqua" w:hAnsi="Book Antiqua" w:cs="Book Antiqua"/>
        </w:rPr>
        <w:t>: G1-G5 [PMID: 8772494 DOI: 10.1152/ajpgi.1996.270.1.G1]</w:t>
      </w:r>
    </w:p>
    <w:p w14:paraId="4F779A59"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41 </w:t>
      </w:r>
      <w:r w:rsidRPr="00CE54E5">
        <w:rPr>
          <w:rFonts w:ascii="Book Antiqua" w:hAnsi="Book Antiqua" w:cs="Book Antiqua"/>
          <w:b/>
          <w:bCs/>
        </w:rPr>
        <w:t>Alpini G</w:t>
      </w:r>
      <w:r w:rsidRPr="00CE54E5">
        <w:rPr>
          <w:rFonts w:ascii="Book Antiqua" w:hAnsi="Book Antiqua" w:cs="Book Antiqua"/>
        </w:rPr>
        <w:t xml:space="preserve">, </w:t>
      </w:r>
      <w:r w:rsidRPr="00CE54E5">
        <w:rPr>
          <w:rFonts w:ascii="Book Antiqua" w:eastAsia="宋体" w:hAnsi="Book Antiqua" w:cs="Book Antiqua" w:hint="eastAsia"/>
          <w:lang w:eastAsia="zh-CN"/>
        </w:rPr>
        <w:t>PHi</w:t>
      </w:r>
      <w:r w:rsidRPr="00CE54E5">
        <w:rPr>
          <w:rFonts w:ascii="Book Antiqua" w:hAnsi="Book Antiqua" w:cs="Book Antiqua"/>
        </w:rPr>
        <w:t xml:space="preserve">nizy JL, Glaser S, Francis H, Benedetti A, Marucci L, LeSage G. Development and characterization of secretin-stimulated secretion of cultured rat cholangiocytes. </w:t>
      </w:r>
      <w:r w:rsidRPr="00CE54E5">
        <w:rPr>
          <w:rFonts w:ascii="Book Antiqua" w:hAnsi="Book Antiqua" w:cs="Book Antiqua"/>
          <w:i/>
          <w:iCs/>
        </w:rPr>
        <w:t>Am J Physiol Gastrointest Liver Physiol</w:t>
      </w:r>
      <w:r w:rsidRPr="00CE54E5">
        <w:rPr>
          <w:rFonts w:ascii="Book Antiqua" w:hAnsi="Book Antiqua" w:cs="Book Antiqua"/>
        </w:rPr>
        <w:t xml:space="preserve"> 2003; </w:t>
      </w:r>
      <w:r w:rsidRPr="00CE54E5">
        <w:rPr>
          <w:rFonts w:ascii="Book Antiqua" w:hAnsi="Book Antiqua" w:cs="Book Antiqua"/>
          <w:b/>
          <w:bCs/>
        </w:rPr>
        <w:t>284</w:t>
      </w:r>
      <w:r w:rsidRPr="00CE54E5">
        <w:rPr>
          <w:rFonts w:ascii="Book Antiqua" w:hAnsi="Book Antiqua" w:cs="Book Antiqua"/>
        </w:rPr>
        <w:t>: G1066-G1073 [PMID: 12540366 DOI: 10.1152/ajpgi.00260.2002]</w:t>
      </w:r>
    </w:p>
    <w:p w14:paraId="3A692266"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42 </w:t>
      </w:r>
      <w:r w:rsidRPr="00CE54E5">
        <w:rPr>
          <w:rFonts w:ascii="Book Antiqua" w:hAnsi="Book Antiqua" w:cs="Book Antiqua"/>
          <w:b/>
          <w:bCs/>
        </w:rPr>
        <w:t>Banales JM</w:t>
      </w:r>
      <w:r w:rsidRPr="00CE54E5">
        <w:rPr>
          <w:rFonts w:ascii="Book Antiqua" w:hAnsi="Book Antiqua" w:cs="Book Antiqua"/>
        </w:rPr>
        <w:t xml:space="preserve">, Arenas F, Rodríguez-Ortigosa CM, Sáez E, Uriarte I, Doctor RB, Prieto J, Medina JF. Bicarbonate-rich choleresis induced by secretin in normal rat is taurocholate-dependent and involves AE2 anion exchanger. </w:t>
      </w:r>
      <w:r w:rsidRPr="00CE54E5">
        <w:rPr>
          <w:rFonts w:ascii="Book Antiqua" w:hAnsi="Book Antiqua" w:cs="Book Antiqua"/>
          <w:i/>
          <w:iCs/>
        </w:rPr>
        <w:t>Hepatology</w:t>
      </w:r>
      <w:r w:rsidRPr="00CE54E5">
        <w:rPr>
          <w:rFonts w:ascii="Book Antiqua" w:hAnsi="Book Antiqua" w:cs="Book Antiqua"/>
        </w:rPr>
        <w:t xml:space="preserve"> 2006; </w:t>
      </w:r>
      <w:r w:rsidRPr="00CE54E5">
        <w:rPr>
          <w:rFonts w:ascii="Book Antiqua" w:hAnsi="Book Antiqua" w:cs="Book Antiqua"/>
          <w:b/>
          <w:bCs/>
        </w:rPr>
        <w:t>43</w:t>
      </w:r>
      <w:r w:rsidRPr="00CE54E5">
        <w:rPr>
          <w:rFonts w:ascii="Book Antiqua" w:hAnsi="Book Antiqua" w:cs="Book Antiqua"/>
        </w:rPr>
        <w:t>: 266-275 [PMID: 16440368 DOI: 10.1002/hep.21042]</w:t>
      </w:r>
    </w:p>
    <w:p w14:paraId="6E596344"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43 </w:t>
      </w:r>
      <w:r w:rsidRPr="00CE54E5">
        <w:rPr>
          <w:rFonts w:ascii="Book Antiqua" w:hAnsi="Book Antiqua" w:cs="Book Antiqua"/>
          <w:b/>
          <w:bCs/>
        </w:rPr>
        <w:t>Alvaro D</w:t>
      </w:r>
      <w:r w:rsidRPr="00CE54E5">
        <w:rPr>
          <w:rFonts w:ascii="Book Antiqua" w:hAnsi="Book Antiqua" w:cs="Book Antiqua"/>
        </w:rPr>
        <w:t xml:space="preserve">, Cho WK, Mennone A, Boyer JL. Effect of secretion on intracellular pH regulation in isolated rat bile duct epithelial cells. </w:t>
      </w:r>
      <w:r w:rsidRPr="00CE54E5">
        <w:rPr>
          <w:rFonts w:ascii="Book Antiqua" w:hAnsi="Book Antiqua" w:cs="Book Antiqua"/>
          <w:i/>
          <w:iCs/>
        </w:rPr>
        <w:t>J Clin Invest</w:t>
      </w:r>
      <w:r w:rsidRPr="00CE54E5">
        <w:rPr>
          <w:rFonts w:ascii="Book Antiqua" w:hAnsi="Book Antiqua" w:cs="Book Antiqua"/>
        </w:rPr>
        <w:t xml:space="preserve"> 1993; </w:t>
      </w:r>
      <w:r w:rsidRPr="00CE54E5">
        <w:rPr>
          <w:rFonts w:ascii="Book Antiqua" w:hAnsi="Book Antiqua" w:cs="Book Antiqua"/>
          <w:b/>
          <w:bCs/>
        </w:rPr>
        <w:t>92</w:t>
      </w:r>
      <w:r w:rsidRPr="00CE54E5">
        <w:rPr>
          <w:rFonts w:ascii="Book Antiqua" w:hAnsi="Book Antiqua" w:cs="Book Antiqua"/>
        </w:rPr>
        <w:t>: 1314-1325 [PMID: 8397224 DOI: 10.1172/JCI116705]</w:t>
      </w:r>
    </w:p>
    <w:p w14:paraId="76421B17"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44 </w:t>
      </w:r>
      <w:r w:rsidRPr="00CE54E5">
        <w:rPr>
          <w:rFonts w:ascii="Book Antiqua" w:hAnsi="Book Antiqua" w:cs="Book Antiqua"/>
          <w:b/>
          <w:bCs/>
        </w:rPr>
        <w:t>Minagawa N</w:t>
      </w:r>
      <w:r w:rsidRPr="00CE54E5">
        <w:rPr>
          <w:rFonts w:ascii="Book Antiqua" w:hAnsi="Book Antiqua" w:cs="Book Antiqua"/>
        </w:rPr>
        <w:t xml:space="preserve">, Nagata J, Shibao K, Masyuk AI, Gomes DA, Rodrigues MA, Lesage G, Akiba Y, Kaunitz JD, Ehrlich BE, Larusso NF, Nathanson MH. Cyclic AMP regulates bicarbonate secretion in cholangiocytes through release of ATP into bile. </w:t>
      </w:r>
      <w:r w:rsidRPr="00CE54E5">
        <w:rPr>
          <w:rFonts w:ascii="Book Antiqua" w:hAnsi="Book Antiqua" w:cs="Book Antiqua"/>
          <w:i/>
          <w:iCs/>
        </w:rPr>
        <w:t>Gastroenterology</w:t>
      </w:r>
      <w:r w:rsidRPr="00CE54E5">
        <w:rPr>
          <w:rFonts w:ascii="Book Antiqua" w:hAnsi="Book Antiqua" w:cs="Book Antiqua"/>
        </w:rPr>
        <w:t xml:space="preserve"> 2007; </w:t>
      </w:r>
      <w:r w:rsidRPr="00CE54E5">
        <w:rPr>
          <w:rFonts w:ascii="Book Antiqua" w:hAnsi="Book Antiqua" w:cs="Book Antiqua"/>
          <w:b/>
          <w:bCs/>
        </w:rPr>
        <w:t>133</w:t>
      </w:r>
      <w:r w:rsidRPr="00CE54E5">
        <w:rPr>
          <w:rFonts w:ascii="Book Antiqua" w:hAnsi="Book Antiqua" w:cs="Book Antiqua"/>
        </w:rPr>
        <w:t>: 1592-1602 [PMID: 17916355 DOI: 10.1053/j.gastro.2007.08.020]</w:t>
      </w:r>
    </w:p>
    <w:p w14:paraId="61163711"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lastRenderedPageBreak/>
        <w:t xml:space="preserve">45 </w:t>
      </w:r>
      <w:r w:rsidRPr="00CE54E5">
        <w:rPr>
          <w:rFonts w:ascii="Book Antiqua" w:hAnsi="Book Antiqua" w:cs="Book Antiqua"/>
          <w:b/>
          <w:bCs/>
        </w:rPr>
        <w:t>Tietz PS</w:t>
      </w:r>
      <w:r w:rsidRPr="00CE54E5">
        <w:rPr>
          <w:rFonts w:ascii="Book Antiqua" w:hAnsi="Book Antiqua" w:cs="Book Antiqua"/>
        </w:rPr>
        <w:t xml:space="preserve">, Alpini G, Pham LD, Larusso NF. Somatostatin inhibits secretin-induced ductal hypercholeresis and exocytosis by cholangiocytes. </w:t>
      </w:r>
      <w:r w:rsidRPr="00CE54E5">
        <w:rPr>
          <w:rFonts w:ascii="Book Antiqua" w:hAnsi="Book Antiqua" w:cs="Book Antiqua"/>
          <w:i/>
          <w:iCs/>
        </w:rPr>
        <w:t>Am J Physiol</w:t>
      </w:r>
      <w:r w:rsidRPr="00CE54E5">
        <w:rPr>
          <w:rFonts w:ascii="Book Antiqua" w:hAnsi="Book Antiqua" w:cs="Book Antiqua"/>
        </w:rPr>
        <w:t xml:space="preserve"> 1995; </w:t>
      </w:r>
      <w:r w:rsidRPr="00CE54E5">
        <w:rPr>
          <w:rFonts w:ascii="Book Antiqua" w:hAnsi="Book Antiqua" w:cs="Book Antiqua"/>
          <w:b/>
          <w:bCs/>
        </w:rPr>
        <w:t>269</w:t>
      </w:r>
      <w:r w:rsidRPr="00CE54E5">
        <w:rPr>
          <w:rFonts w:ascii="Book Antiqua" w:hAnsi="Book Antiqua" w:cs="Book Antiqua"/>
        </w:rPr>
        <w:t>: G110-G118 [PMID: 7631787 DOI: 10.1152/ajpgi.1995.269.1.G110]</w:t>
      </w:r>
    </w:p>
    <w:p w14:paraId="2C4B6ECE"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46 </w:t>
      </w:r>
      <w:r w:rsidRPr="00CE54E5">
        <w:rPr>
          <w:rFonts w:ascii="Book Antiqua" w:hAnsi="Book Antiqua" w:cs="Book Antiqua"/>
          <w:b/>
          <w:bCs/>
        </w:rPr>
        <w:t>Amelsberg A</w:t>
      </w:r>
      <w:r w:rsidRPr="00CE54E5">
        <w:rPr>
          <w:rFonts w:ascii="Book Antiqua" w:hAnsi="Book Antiqua" w:cs="Book Antiqua"/>
        </w:rPr>
        <w:t xml:space="preserve">, Schteingart CD, Ton-Nu HT, Hofmann AF. Carrier-mediated jejunal absorption of conjugated bile acids in the guinea pig. </w:t>
      </w:r>
      <w:r w:rsidRPr="00CE54E5">
        <w:rPr>
          <w:rFonts w:ascii="Book Antiqua" w:hAnsi="Book Antiqua" w:cs="Book Antiqua"/>
          <w:i/>
          <w:iCs/>
        </w:rPr>
        <w:t>Gastroenterology</w:t>
      </w:r>
      <w:r w:rsidRPr="00CE54E5">
        <w:rPr>
          <w:rFonts w:ascii="Book Antiqua" w:hAnsi="Book Antiqua" w:cs="Book Antiqua"/>
        </w:rPr>
        <w:t xml:space="preserve"> 1996; </w:t>
      </w:r>
      <w:r w:rsidRPr="00CE54E5">
        <w:rPr>
          <w:rFonts w:ascii="Book Antiqua" w:hAnsi="Book Antiqua" w:cs="Book Antiqua"/>
          <w:b/>
          <w:bCs/>
        </w:rPr>
        <w:t>110</w:t>
      </w:r>
      <w:r w:rsidRPr="00CE54E5">
        <w:rPr>
          <w:rFonts w:ascii="Book Antiqua" w:hAnsi="Book Antiqua" w:cs="Book Antiqua"/>
        </w:rPr>
        <w:t>: 1098-1106 [PMID: 8612999 DOI: 10.1053/gast.1996.v110.pm8612999]</w:t>
      </w:r>
    </w:p>
    <w:p w14:paraId="64E69054"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47 </w:t>
      </w:r>
      <w:r w:rsidRPr="00CE54E5">
        <w:rPr>
          <w:rFonts w:ascii="Book Antiqua" w:hAnsi="Book Antiqua" w:cs="Book Antiqua"/>
          <w:b/>
          <w:bCs/>
        </w:rPr>
        <w:t>Masyuk AI,</w:t>
      </w:r>
      <w:r w:rsidRPr="00CE54E5">
        <w:rPr>
          <w:rFonts w:ascii="Book Antiqua" w:hAnsi="Book Antiqua" w:cs="Book Antiqua"/>
        </w:rPr>
        <w:t xml:space="preserve"> Masyuk TV, Larusso NF. Physiology of Cholangiocytes. </w:t>
      </w:r>
      <w:r w:rsidRPr="00CE54E5">
        <w:rPr>
          <w:rFonts w:ascii="Book Antiqua" w:hAnsi="Book Antiqua" w:cs="Book Antiqua"/>
          <w:i/>
          <w:iCs/>
        </w:rPr>
        <w:t>Physiology of the Gastrointestinal Tract (Fourth Edition)</w:t>
      </w:r>
      <w:r w:rsidRPr="00CE54E5">
        <w:rPr>
          <w:rFonts w:ascii="Book Antiqua" w:hAnsi="Book Antiqua" w:cs="Book Antiqua"/>
        </w:rPr>
        <w:t xml:space="preserve"> 2006</w:t>
      </w:r>
      <w:r w:rsidRPr="00CE54E5">
        <w:rPr>
          <w:rFonts w:ascii="Book Antiqua" w:eastAsia="宋体" w:hAnsi="Book Antiqua" w:cs="Book Antiqua" w:hint="eastAsia"/>
          <w:lang w:eastAsia="zh-CN"/>
        </w:rPr>
        <w:t>;</w:t>
      </w:r>
      <w:r w:rsidRPr="00CE54E5">
        <w:rPr>
          <w:rFonts w:ascii="Book Antiqua" w:hAnsi="Book Antiqua" w:cs="Book Antiqua"/>
        </w:rPr>
        <w:t xml:space="preserve"> </w:t>
      </w:r>
      <w:r w:rsidRPr="00CE54E5">
        <w:rPr>
          <w:rFonts w:ascii="Book Antiqua" w:hAnsi="Book Antiqua" w:cs="Book Antiqua"/>
          <w:b/>
          <w:bCs/>
        </w:rPr>
        <w:t>2</w:t>
      </w:r>
      <w:r w:rsidRPr="00CE54E5">
        <w:rPr>
          <w:rFonts w:ascii="Book Antiqua" w:hAnsi="Book Antiqua" w:cs="Book Antiqua"/>
        </w:rPr>
        <w:t>:</w:t>
      </w:r>
      <w:r w:rsidRPr="00CE54E5">
        <w:rPr>
          <w:rFonts w:ascii="Book Antiqua" w:eastAsia="宋体" w:hAnsi="Book Antiqua" w:cs="Book Antiqua" w:hint="eastAsia"/>
          <w:lang w:eastAsia="zh-CN"/>
        </w:rPr>
        <w:t xml:space="preserve"> </w:t>
      </w:r>
      <w:r w:rsidRPr="00CE54E5">
        <w:rPr>
          <w:rFonts w:ascii="Book Antiqua" w:hAnsi="Book Antiqua" w:cs="Book Antiqua"/>
        </w:rPr>
        <w:t>1505-1533 [DOI: 10.1016/B978-012088394-3/50022-2]</w:t>
      </w:r>
    </w:p>
    <w:p w14:paraId="7C3BC8E5"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48 </w:t>
      </w:r>
      <w:r w:rsidRPr="00CE54E5">
        <w:rPr>
          <w:rFonts w:ascii="Book Antiqua" w:hAnsi="Book Antiqua" w:cs="Book Antiqua"/>
          <w:b/>
          <w:bCs/>
        </w:rPr>
        <w:t>Fini A,</w:t>
      </w:r>
      <w:r w:rsidRPr="00CE54E5">
        <w:rPr>
          <w:rFonts w:ascii="Book Antiqua" w:hAnsi="Book Antiqua" w:cs="Book Antiqua"/>
        </w:rPr>
        <w:t xml:space="preserve"> Ferocia G, Roda A. Acidity in bile acid systems. </w:t>
      </w:r>
      <w:r w:rsidRPr="00CE54E5">
        <w:rPr>
          <w:rFonts w:ascii="Book Antiqua" w:hAnsi="Book Antiqua" w:cs="Book Antiqua"/>
          <w:i/>
          <w:iCs/>
        </w:rPr>
        <w:t>Polyhedron</w:t>
      </w:r>
      <w:r w:rsidRPr="00CE54E5">
        <w:rPr>
          <w:rFonts w:ascii="Book Antiqua" w:hAnsi="Book Antiqua" w:cs="Book Antiqua"/>
        </w:rPr>
        <w:t xml:space="preserve"> 2002;</w:t>
      </w:r>
      <w:r w:rsidRPr="00CE54E5">
        <w:rPr>
          <w:rFonts w:ascii="Book Antiqua" w:eastAsia="宋体" w:hAnsi="Book Antiqua" w:cs="Book Antiqua" w:hint="eastAsia"/>
          <w:lang w:eastAsia="zh-CN"/>
        </w:rPr>
        <w:t xml:space="preserve"> </w:t>
      </w:r>
      <w:r w:rsidRPr="00CE54E5">
        <w:rPr>
          <w:rFonts w:ascii="Book Antiqua" w:hAnsi="Book Antiqua" w:cs="Book Antiqua"/>
          <w:b/>
          <w:bCs/>
        </w:rPr>
        <w:t>21</w:t>
      </w:r>
      <w:r w:rsidRPr="00CE54E5">
        <w:rPr>
          <w:rFonts w:ascii="Book Antiqua" w:hAnsi="Book Antiqua" w:cs="Book Antiqua"/>
        </w:rPr>
        <w:t>:1421-1427 [DOI:</w:t>
      </w:r>
      <w:r w:rsidRPr="00CE54E5">
        <w:rPr>
          <w:rFonts w:ascii="Book Antiqua" w:eastAsia="宋体" w:hAnsi="Book Antiqua" w:cs="Book Antiqua" w:hint="eastAsia"/>
          <w:lang w:eastAsia="zh-CN"/>
        </w:rPr>
        <w:t xml:space="preserve"> </w:t>
      </w:r>
      <w:r w:rsidRPr="00CE54E5">
        <w:rPr>
          <w:rFonts w:ascii="Book Antiqua" w:hAnsi="Book Antiqua" w:cs="Book Antiqua"/>
        </w:rPr>
        <w:t>10.1016/s0277-5387(02)00968-3]</w:t>
      </w:r>
    </w:p>
    <w:p w14:paraId="1C96E5FD"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49 </w:t>
      </w:r>
      <w:r w:rsidRPr="00CE54E5">
        <w:rPr>
          <w:rFonts w:ascii="Book Antiqua" w:hAnsi="Book Antiqua" w:cs="Book Antiqua"/>
          <w:b/>
          <w:bCs/>
        </w:rPr>
        <w:t>Bortolini O</w:t>
      </w:r>
      <w:r w:rsidRPr="00CE54E5">
        <w:rPr>
          <w:rFonts w:ascii="Book Antiqua" w:hAnsi="Book Antiqua" w:cs="Book Antiqua"/>
        </w:rPr>
        <w:t xml:space="preserve">, Bernardi T, Fantin G, Ferretti V, Fogagnolo M. Relative acidity scale of glycine- and taurine-conjugated bile acids through ESI-MS measurements. </w:t>
      </w:r>
      <w:r w:rsidRPr="00CE54E5">
        <w:rPr>
          <w:rFonts w:ascii="Book Antiqua" w:hAnsi="Book Antiqua" w:cs="Book Antiqua"/>
          <w:i/>
          <w:iCs/>
        </w:rPr>
        <w:t>Steroids</w:t>
      </w:r>
      <w:r w:rsidRPr="00CE54E5">
        <w:rPr>
          <w:rFonts w:ascii="Book Antiqua" w:hAnsi="Book Antiqua" w:cs="Book Antiqua"/>
        </w:rPr>
        <w:t xml:space="preserve"> 2011; </w:t>
      </w:r>
      <w:r w:rsidRPr="00CE54E5">
        <w:rPr>
          <w:rFonts w:ascii="Book Antiqua" w:hAnsi="Book Antiqua" w:cs="Book Antiqua"/>
          <w:b/>
          <w:bCs/>
        </w:rPr>
        <w:t>76</w:t>
      </w:r>
      <w:r w:rsidRPr="00CE54E5">
        <w:rPr>
          <w:rFonts w:ascii="Book Antiqua" w:hAnsi="Book Antiqua" w:cs="Book Antiqua"/>
        </w:rPr>
        <w:t>: 596-602 [PMID: 21371488 DOI: 10.1016/j.steroids.2011.02.028]</w:t>
      </w:r>
    </w:p>
    <w:p w14:paraId="6401EADB"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50 </w:t>
      </w:r>
      <w:r w:rsidRPr="00CE54E5">
        <w:rPr>
          <w:rFonts w:ascii="Book Antiqua" w:hAnsi="Book Antiqua" w:cs="Book Antiqua"/>
          <w:b/>
          <w:bCs/>
        </w:rPr>
        <w:t>Pavlović N</w:t>
      </w:r>
      <w:r w:rsidRPr="00CE54E5">
        <w:rPr>
          <w:rFonts w:ascii="Book Antiqua" w:hAnsi="Book Antiqua" w:cs="Book Antiqua"/>
        </w:rPr>
        <w:t xml:space="preserve">, Goločorbin-Kon S, Ðanić M, Stanimirov B, Al-Salami H, Stankov K, Mikov M. Bile Acids and Their Derivatives as Potential Modifiers of Drug Release and Pharmacokinetic Profiles. </w:t>
      </w:r>
      <w:r w:rsidRPr="00CE54E5">
        <w:rPr>
          <w:rFonts w:ascii="Book Antiqua" w:hAnsi="Book Antiqua" w:cs="Book Antiqua"/>
          <w:i/>
          <w:iCs/>
        </w:rPr>
        <w:t>Front Pharmacol</w:t>
      </w:r>
      <w:r w:rsidRPr="00CE54E5">
        <w:rPr>
          <w:rFonts w:ascii="Book Antiqua" w:hAnsi="Book Antiqua" w:cs="Book Antiqua"/>
        </w:rPr>
        <w:t xml:space="preserve"> 2018; </w:t>
      </w:r>
      <w:r w:rsidRPr="00CE54E5">
        <w:rPr>
          <w:rFonts w:ascii="Book Antiqua" w:hAnsi="Book Antiqua" w:cs="Book Antiqua"/>
          <w:b/>
          <w:bCs/>
        </w:rPr>
        <w:t>9</w:t>
      </w:r>
      <w:r w:rsidRPr="00CE54E5">
        <w:rPr>
          <w:rFonts w:ascii="Book Antiqua" w:hAnsi="Book Antiqua" w:cs="Book Antiqua"/>
        </w:rPr>
        <w:t>: 1283 [PMID: 30467479 DOI: 10.3389/fphar.2018.01283]</w:t>
      </w:r>
    </w:p>
    <w:p w14:paraId="389BCC7E"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51 </w:t>
      </w:r>
      <w:r w:rsidRPr="00CE54E5">
        <w:rPr>
          <w:rFonts w:ascii="Book Antiqua" w:hAnsi="Book Antiqua" w:cs="Book Antiqua"/>
          <w:b/>
          <w:bCs/>
        </w:rPr>
        <w:t>Dawson PA,</w:t>
      </w:r>
      <w:r w:rsidRPr="00CE54E5">
        <w:rPr>
          <w:rFonts w:ascii="Book Antiqua" w:hAnsi="Book Antiqua" w:cs="Book Antiqua"/>
        </w:rPr>
        <w:t xml:space="preserve"> Shneider BL, Hofmann AF. CHAPTER 56 - Bile Formation and the Enterohepatic Circulation. </w:t>
      </w:r>
      <w:r w:rsidRPr="00CE54E5">
        <w:rPr>
          <w:rFonts w:ascii="Book Antiqua" w:hAnsi="Book Antiqua" w:cs="Book Antiqua"/>
          <w:i/>
          <w:iCs/>
        </w:rPr>
        <w:t xml:space="preserve">Physiology of the Gastrointestinal Tract (Fourth Edition) </w:t>
      </w:r>
      <w:r w:rsidRPr="00CE54E5">
        <w:rPr>
          <w:rFonts w:ascii="Book Antiqua" w:hAnsi="Book Antiqua" w:cs="Book Antiqua"/>
          <w:b/>
          <w:bCs/>
        </w:rPr>
        <w:t>2006</w:t>
      </w:r>
      <w:r w:rsidRPr="00CE54E5">
        <w:rPr>
          <w:rFonts w:ascii="Book Antiqua" w:hAnsi="Book Antiqua" w:cs="Book Antiqua"/>
        </w:rPr>
        <w:t>:1437-1462 [DOI: 10.1016/B978</w:t>
      </w:r>
      <w:r w:rsidRPr="00CE54E5">
        <w:rPr>
          <w:rFonts w:ascii="Book Antiqua" w:eastAsia="宋体" w:hAnsi="Book Antiqua" w:cs="Book Antiqua" w:hint="eastAsia"/>
          <w:lang w:eastAsia="zh-CN"/>
        </w:rPr>
        <w:t>-</w:t>
      </w:r>
      <w:r w:rsidRPr="00CE54E5">
        <w:rPr>
          <w:rFonts w:ascii="Book Antiqua" w:hAnsi="Book Antiqua" w:cs="Book Antiqua"/>
        </w:rPr>
        <w:t>012088394</w:t>
      </w:r>
      <w:r w:rsidRPr="00CE54E5">
        <w:rPr>
          <w:rFonts w:ascii="Book Antiqua" w:eastAsia="宋体" w:hAnsi="Book Antiqua" w:cs="Book Antiqua" w:hint="eastAsia"/>
          <w:lang w:eastAsia="zh-CN"/>
        </w:rPr>
        <w:t>-</w:t>
      </w:r>
      <w:r w:rsidRPr="00CE54E5">
        <w:rPr>
          <w:rFonts w:ascii="Book Antiqua" w:hAnsi="Book Antiqua" w:cs="Book Antiqua"/>
        </w:rPr>
        <w:t>3/50059</w:t>
      </w:r>
      <w:r w:rsidRPr="00CE54E5">
        <w:rPr>
          <w:rFonts w:ascii="Book Antiqua" w:eastAsia="宋体" w:hAnsi="Book Antiqua" w:cs="Book Antiqua" w:hint="eastAsia"/>
          <w:lang w:eastAsia="zh-CN"/>
        </w:rPr>
        <w:t>-</w:t>
      </w:r>
      <w:r w:rsidRPr="00CE54E5">
        <w:rPr>
          <w:rFonts w:ascii="Book Antiqua" w:hAnsi="Book Antiqua" w:cs="Book Antiqua"/>
        </w:rPr>
        <w:t>33]</w:t>
      </w:r>
    </w:p>
    <w:p w14:paraId="4C00DE0E"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52 </w:t>
      </w:r>
      <w:r w:rsidRPr="00CE54E5">
        <w:rPr>
          <w:rFonts w:ascii="Book Antiqua" w:hAnsi="Book Antiqua" w:cs="Book Antiqua"/>
          <w:b/>
          <w:bCs/>
        </w:rPr>
        <w:t>Alpini G</w:t>
      </w:r>
      <w:r w:rsidRPr="00CE54E5">
        <w:rPr>
          <w:rFonts w:ascii="Book Antiqua" w:hAnsi="Book Antiqua" w:cs="Book Antiqua"/>
        </w:rPr>
        <w:t xml:space="preserve">, Glaser SS, Rodgers R, </w:t>
      </w:r>
      <w:r w:rsidRPr="00CE54E5">
        <w:rPr>
          <w:rFonts w:ascii="Book Antiqua" w:eastAsia="宋体" w:hAnsi="Book Antiqua" w:cs="Book Antiqua" w:hint="eastAsia"/>
          <w:lang w:eastAsia="zh-CN"/>
        </w:rPr>
        <w:t>PHi</w:t>
      </w:r>
      <w:r w:rsidRPr="00CE54E5">
        <w:rPr>
          <w:rFonts w:ascii="Book Antiqua" w:hAnsi="Book Antiqua" w:cs="Book Antiqua"/>
        </w:rPr>
        <w:t xml:space="preserve">nizy JL, Robertson WE, Lasater J, Caligiuri A, Tretjak Z, LeSage GD. Functional expression of the apical Na+-dependent bile acid transporter in large but not small rat cholangiocytes. </w:t>
      </w:r>
      <w:r w:rsidRPr="00CE54E5">
        <w:rPr>
          <w:rFonts w:ascii="Book Antiqua" w:hAnsi="Book Antiqua" w:cs="Book Antiqua"/>
          <w:i/>
          <w:iCs/>
        </w:rPr>
        <w:t>Gastroenterology</w:t>
      </w:r>
      <w:r w:rsidRPr="00CE54E5">
        <w:rPr>
          <w:rFonts w:ascii="Book Antiqua" w:hAnsi="Book Antiqua" w:cs="Book Antiqua"/>
        </w:rPr>
        <w:t xml:space="preserve"> 1997; </w:t>
      </w:r>
      <w:r w:rsidRPr="00CE54E5">
        <w:rPr>
          <w:rFonts w:ascii="Book Antiqua" w:hAnsi="Book Antiqua" w:cs="Book Antiqua"/>
          <w:b/>
          <w:bCs/>
        </w:rPr>
        <w:t>113</w:t>
      </w:r>
      <w:r w:rsidRPr="00CE54E5">
        <w:rPr>
          <w:rFonts w:ascii="Book Antiqua" w:hAnsi="Book Antiqua" w:cs="Book Antiqua"/>
        </w:rPr>
        <w:t>: 1734-1740 [PMID: 9352879 DOI: 10.1053/gast.1997.v113.pm9352879]</w:t>
      </w:r>
    </w:p>
    <w:p w14:paraId="5853A895"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53 </w:t>
      </w:r>
      <w:r w:rsidRPr="00CE54E5">
        <w:rPr>
          <w:rFonts w:ascii="Book Antiqua" w:hAnsi="Book Antiqua" w:cs="Book Antiqua"/>
          <w:b/>
          <w:bCs/>
        </w:rPr>
        <w:t>Benedetti A</w:t>
      </w:r>
      <w:r w:rsidRPr="00CE54E5">
        <w:rPr>
          <w:rFonts w:ascii="Book Antiqua" w:hAnsi="Book Antiqua" w:cs="Book Antiqua"/>
        </w:rPr>
        <w:t xml:space="preserve">, Di Sario A, Marucci L, Svegliati-Baroni G, Schteingart CD, Ton-Nu HT, Hofmann AF. Carrier-mediated transport of conjugated bile acids across the basolateral membrane of biliary epithelial cells. </w:t>
      </w:r>
      <w:r w:rsidRPr="00CE54E5">
        <w:rPr>
          <w:rFonts w:ascii="Book Antiqua" w:hAnsi="Book Antiqua" w:cs="Book Antiqua"/>
          <w:i/>
          <w:iCs/>
        </w:rPr>
        <w:t>Am J Physiol</w:t>
      </w:r>
      <w:r w:rsidRPr="00CE54E5">
        <w:rPr>
          <w:rFonts w:ascii="Book Antiqua" w:hAnsi="Book Antiqua" w:cs="Book Antiqua"/>
        </w:rPr>
        <w:t xml:space="preserve"> 1997; </w:t>
      </w:r>
      <w:r w:rsidRPr="00CE54E5">
        <w:rPr>
          <w:rFonts w:ascii="Book Antiqua" w:hAnsi="Book Antiqua" w:cs="Book Antiqua"/>
          <w:b/>
          <w:bCs/>
        </w:rPr>
        <w:t>272</w:t>
      </w:r>
      <w:r w:rsidRPr="00CE54E5">
        <w:rPr>
          <w:rFonts w:ascii="Book Antiqua" w:hAnsi="Book Antiqua" w:cs="Book Antiqua"/>
        </w:rPr>
        <w:t>: G1416-G1424 [PMID: 9227477 DOI: 10.1152/ajpgi.1997.272.6.G1416]</w:t>
      </w:r>
    </w:p>
    <w:p w14:paraId="1C7752BE"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lastRenderedPageBreak/>
        <w:t xml:space="preserve">54 </w:t>
      </w:r>
      <w:r w:rsidRPr="00CE54E5">
        <w:rPr>
          <w:rFonts w:ascii="Book Antiqua" w:hAnsi="Book Antiqua" w:cs="Book Antiqua"/>
          <w:b/>
          <w:bCs/>
        </w:rPr>
        <w:t>Hirohashi T</w:t>
      </w:r>
      <w:r w:rsidRPr="00CE54E5">
        <w:rPr>
          <w:rFonts w:ascii="Book Antiqua" w:hAnsi="Book Antiqua" w:cs="Book Antiqua"/>
        </w:rPr>
        <w:t xml:space="preserve">, Suzuki H, Takikawa H, Sugiyama Y. ATP-dependent transport of bile salts by rat multidrug resistance-associated protein 3 (Mrp3). </w:t>
      </w:r>
      <w:r w:rsidRPr="00CE54E5">
        <w:rPr>
          <w:rFonts w:ascii="Book Antiqua" w:hAnsi="Book Antiqua" w:cs="Book Antiqua"/>
          <w:i/>
          <w:iCs/>
        </w:rPr>
        <w:t>J Biol Chem</w:t>
      </w:r>
      <w:r w:rsidRPr="00CE54E5">
        <w:rPr>
          <w:rFonts w:ascii="Book Antiqua" w:hAnsi="Book Antiqua" w:cs="Book Antiqua"/>
        </w:rPr>
        <w:t xml:space="preserve"> 2000; </w:t>
      </w:r>
      <w:r w:rsidRPr="00CE54E5">
        <w:rPr>
          <w:rFonts w:ascii="Book Antiqua" w:hAnsi="Book Antiqua" w:cs="Book Antiqua"/>
          <w:b/>
          <w:bCs/>
        </w:rPr>
        <w:t>275</w:t>
      </w:r>
      <w:r w:rsidRPr="00CE54E5">
        <w:rPr>
          <w:rFonts w:ascii="Book Antiqua" w:hAnsi="Book Antiqua" w:cs="Book Antiqua"/>
        </w:rPr>
        <w:t>: 2905-2910 [PMID: 10644759 DOI: 10.1074/jbc.275.4.2905]</w:t>
      </w:r>
    </w:p>
    <w:p w14:paraId="28AE0B1B"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55 </w:t>
      </w:r>
      <w:r w:rsidRPr="00CE54E5">
        <w:rPr>
          <w:rFonts w:ascii="Book Antiqua" w:hAnsi="Book Antiqua" w:cs="Book Antiqua"/>
          <w:b/>
          <w:bCs/>
        </w:rPr>
        <w:t>Lazaridis KN</w:t>
      </w:r>
      <w:r w:rsidRPr="00CE54E5">
        <w:rPr>
          <w:rFonts w:ascii="Book Antiqua" w:hAnsi="Book Antiqua" w:cs="Book Antiqua"/>
        </w:rPr>
        <w:t xml:space="preserve">, Pham L, Tietz P, Marinelli RA, deGroen PC, Levine S, Dawson PA, LaRusso NF. Rat cholangiocytes absorb bile acids at their apical domain via the ileal sodium-dependent bile acid transporter. </w:t>
      </w:r>
      <w:r w:rsidRPr="00CE54E5">
        <w:rPr>
          <w:rFonts w:ascii="Book Antiqua" w:hAnsi="Book Antiqua" w:cs="Book Antiqua"/>
          <w:i/>
          <w:iCs/>
        </w:rPr>
        <w:t>J Clin Invest</w:t>
      </w:r>
      <w:r w:rsidRPr="00CE54E5">
        <w:rPr>
          <w:rFonts w:ascii="Book Antiqua" w:hAnsi="Book Antiqua" w:cs="Book Antiqua"/>
        </w:rPr>
        <w:t xml:space="preserve"> 1997; </w:t>
      </w:r>
      <w:r w:rsidRPr="00CE54E5">
        <w:rPr>
          <w:rFonts w:ascii="Book Antiqua" w:hAnsi="Book Antiqua" w:cs="Book Antiqua"/>
          <w:b/>
          <w:bCs/>
        </w:rPr>
        <w:t>100</w:t>
      </w:r>
      <w:r w:rsidRPr="00CE54E5">
        <w:rPr>
          <w:rFonts w:ascii="Book Antiqua" w:hAnsi="Book Antiqua" w:cs="Book Antiqua"/>
        </w:rPr>
        <w:t>: 2714-2721 [PMID: 9389734 DOI: 10.1172/JCI119816]</w:t>
      </w:r>
    </w:p>
    <w:p w14:paraId="37ECDA9C"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56 </w:t>
      </w:r>
      <w:r w:rsidRPr="00CE54E5">
        <w:rPr>
          <w:rFonts w:ascii="Book Antiqua" w:hAnsi="Book Antiqua" w:cs="Book Antiqua"/>
          <w:b/>
          <w:bCs/>
        </w:rPr>
        <w:t>Lazaridis KN</w:t>
      </w:r>
      <w:r w:rsidRPr="00CE54E5">
        <w:rPr>
          <w:rFonts w:ascii="Book Antiqua" w:hAnsi="Book Antiqua" w:cs="Book Antiqua"/>
        </w:rPr>
        <w:t xml:space="preserve">, Tietz P, Wu T, Kip S, Dawson PA, LaRusso NF. Alternative splicing of the rat sodium/bile acid transporter changes its cellular localization and transport properties. </w:t>
      </w:r>
      <w:r w:rsidRPr="00CE54E5">
        <w:rPr>
          <w:rFonts w:ascii="Book Antiqua" w:hAnsi="Book Antiqua" w:cs="Book Antiqua"/>
          <w:i/>
          <w:iCs/>
        </w:rPr>
        <w:t>Proc Natl Acad Sci U S A</w:t>
      </w:r>
      <w:r w:rsidRPr="00CE54E5">
        <w:rPr>
          <w:rFonts w:ascii="Book Antiqua" w:hAnsi="Book Antiqua" w:cs="Book Antiqua"/>
        </w:rPr>
        <w:t xml:space="preserve"> 2000; </w:t>
      </w:r>
      <w:r w:rsidRPr="00CE54E5">
        <w:rPr>
          <w:rFonts w:ascii="Book Antiqua" w:hAnsi="Book Antiqua" w:cs="Book Antiqua"/>
          <w:b/>
          <w:bCs/>
        </w:rPr>
        <w:t>97</w:t>
      </w:r>
      <w:r w:rsidRPr="00CE54E5">
        <w:rPr>
          <w:rFonts w:ascii="Book Antiqua" w:hAnsi="Book Antiqua" w:cs="Book Antiqua"/>
        </w:rPr>
        <w:t>: 11092-11097 [PMID: 10984521 DOI: 10.1073/pnas.200325297]</w:t>
      </w:r>
    </w:p>
    <w:p w14:paraId="148B574F"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57 </w:t>
      </w:r>
      <w:r w:rsidRPr="00CE54E5">
        <w:rPr>
          <w:rFonts w:ascii="Book Antiqua" w:hAnsi="Book Antiqua" w:cs="Book Antiqua"/>
          <w:b/>
          <w:bCs/>
        </w:rPr>
        <w:t xml:space="preserve">Carey MC. </w:t>
      </w:r>
      <w:r w:rsidRPr="00CE54E5">
        <w:rPr>
          <w:rFonts w:ascii="Book Antiqua" w:hAnsi="Book Antiqua" w:cs="Book Antiqua"/>
        </w:rPr>
        <w:t xml:space="preserve">Physical-chemical properties of bile acids and their salts. </w:t>
      </w:r>
      <w:r w:rsidRPr="00CE54E5">
        <w:rPr>
          <w:rFonts w:ascii="Book Antiqua" w:hAnsi="Book Antiqua" w:cs="Book Antiqua"/>
          <w:i/>
          <w:iCs/>
        </w:rPr>
        <w:t>New Comprehensive Biochemistry</w:t>
      </w:r>
      <w:r w:rsidRPr="00CE54E5">
        <w:rPr>
          <w:rFonts w:ascii="Book Antiqua" w:hAnsi="Book Antiqua" w:cs="Book Antiqua"/>
        </w:rPr>
        <w:t xml:space="preserve"> 1985</w:t>
      </w:r>
      <w:r w:rsidRPr="00CE54E5">
        <w:rPr>
          <w:rFonts w:ascii="Book Antiqua" w:eastAsia="宋体" w:hAnsi="Book Antiqua" w:cs="Book Antiqua" w:hint="eastAsia"/>
          <w:lang w:eastAsia="zh-CN"/>
        </w:rPr>
        <w:t>;</w:t>
      </w:r>
      <w:r w:rsidRPr="00CE54E5">
        <w:rPr>
          <w:rFonts w:ascii="Book Antiqua" w:hAnsi="Book Antiqua" w:cs="Book Antiqua"/>
        </w:rPr>
        <w:t xml:space="preserve"> </w:t>
      </w:r>
      <w:r w:rsidRPr="00CE54E5">
        <w:rPr>
          <w:rFonts w:ascii="Book Antiqua" w:hAnsi="Book Antiqua" w:cs="Book Antiqua"/>
          <w:b/>
          <w:bCs/>
        </w:rPr>
        <w:t>12</w:t>
      </w:r>
      <w:r w:rsidRPr="00CE54E5">
        <w:rPr>
          <w:rFonts w:ascii="Book Antiqua" w:hAnsi="Book Antiqua" w:cs="Book Antiqua"/>
        </w:rPr>
        <w:t>:</w:t>
      </w:r>
      <w:r w:rsidRPr="00CE54E5">
        <w:rPr>
          <w:rFonts w:ascii="Book Antiqua" w:eastAsia="宋体" w:hAnsi="Book Antiqua" w:cs="Book Antiqua" w:hint="eastAsia"/>
          <w:lang w:eastAsia="zh-CN"/>
        </w:rPr>
        <w:t xml:space="preserve"> </w:t>
      </w:r>
      <w:r w:rsidRPr="00CE54E5">
        <w:rPr>
          <w:rFonts w:ascii="Book Antiqua" w:hAnsi="Book Antiqua" w:cs="Book Antiqua"/>
        </w:rPr>
        <w:t>345-403</w:t>
      </w:r>
      <w:r w:rsidRPr="00CE54E5">
        <w:rPr>
          <w:rFonts w:ascii="Book Antiqua" w:eastAsia="宋体" w:hAnsi="Book Antiqua" w:cs="Book Antiqua" w:hint="eastAsia"/>
          <w:lang w:eastAsia="zh-CN"/>
        </w:rPr>
        <w:t xml:space="preserve"> </w:t>
      </w:r>
      <w:r w:rsidRPr="00CE54E5">
        <w:rPr>
          <w:rFonts w:ascii="Book Antiqua" w:hAnsi="Book Antiqua" w:cs="Book Antiqua"/>
        </w:rPr>
        <w:t>[DOI:</w:t>
      </w:r>
      <w:r w:rsidRPr="00CE54E5">
        <w:rPr>
          <w:rFonts w:ascii="Book Antiqua" w:eastAsia="宋体" w:hAnsi="Book Antiqua" w:cs="Book Antiqua" w:hint="eastAsia"/>
          <w:lang w:eastAsia="zh-CN"/>
        </w:rPr>
        <w:t xml:space="preserve"> </w:t>
      </w:r>
      <w:r w:rsidRPr="00CE54E5">
        <w:rPr>
          <w:rFonts w:ascii="Book Antiqua" w:hAnsi="Book Antiqua" w:cs="Book Antiqua"/>
        </w:rPr>
        <w:t>10.1016/S0167-7306(08)60689-4]</w:t>
      </w:r>
    </w:p>
    <w:p w14:paraId="40A133DC"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58 </w:t>
      </w:r>
      <w:r w:rsidRPr="00CE54E5">
        <w:rPr>
          <w:rFonts w:ascii="Book Antiqua" w:hAnsi="Book Antiqua" w:cs="Book Antiqua"/>
          <w:b/>
          <w:bCs/>
        </w:rPr>
        <w:t>Hofmann AF</w:t>
      </w:r>
      <w:r w:rsidRPr="00CE54E5">
        <w:rPr>
          <w:rFonts w:ascii="Book Antiqua" w:hAnsi="Book Antiqua" w:cs="Book Antiqua"/>
        </w:rPr>
        <w:t xml:space="preserve">. Bile acids: trying to understand their chemistry and biology with the hope of helping patients. </w:t>
      </w:r>
      <w:r w:rsidRPr="00CE54E5">
        <w:rPr>
          <w:rFonts w:ascii="Book Antiqua" w:hAnsi="Book Antiqua" w:cs="Book Antiqua"/>
          <w:i/>
          <w:iCs/>
        </w:rPr>
        <w:t>Hepatology</w:t>
      </w:r>
      <w:r w:rsidRPr="00CE54E5">
        <w:rPr>
          <w:rFonts w:ascii="Book Antiqua" w:hAnsi="Book Antiqua" w:cs="Book Antiqua"/>
        </w:rPr>
        <w:t xml:space="preserve"> 2009; </w:t>
      </w:r>
      <w:r w:rsidRPr="00CE54E5">
        <w:rPr>
          <w:rFonts w:ascii="Book Antiqua" w:hAnsi="Book Antiqua" w:cs="Book Antiqua"/>
          <w:b/>
          <w:bCs/>
        </w:rPr>
        <w:t>49</w:t>
      </w:r>
      <w:r w:rsidRPr="00CE54E5">
        <w:rPr>
          <w:rFonts w:ascii="Book Antiqua" w:hAnsi="Book Antiqua" w:cs="Book Antiqua"/>
        </w:rPr>
        <w:t>: 1403-1418 [PMID: 19296471 DOI: 10.1002/hep.22789]</w:t>
      </w:r>
    </w:p>
    <w:p w14:paraId="034F67AD"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59 </w:t>
      </w:r>
      <w:r w:rsidRPr="00CE54E5">
        <w:rPr>
          <w:rFonts w:ascii="Book Antiqua" w:hAnsi="Book Antiqua" w:cs="Book Antiqua"/>
          <w:b/>
          <w:bCs/>
        </w:rPr>
        <w:t>Luo ZL</w:t>
      </w:r>
      <w:r w:rsidRPr="00CE54E5">
        <w:rPr>
          <w:rFonts w:ascii="Book Antiqua" w:hAnsi="Book Antiqua" w:cs="Book Antiqua"/>
        </w:rPr>
        <w:t xml:space="preserve">, Cheng L, Wang T, Tang LJ, Tian FZ, Xiang K, Cui L. Bile Acid Transporters Are Expressed and Heterogeneously Distributed in Rat Bile Ducts. </w:t>
      </w:r>
      <w:r w:rsidRPr="00CE54E5">
        <w:rPr>
          <w:rFonts w:ascii="Book Antiqua" w:hAnsi="Book Antiqua" w:cs="Book Antiqua"/>
          <w:i/>
          <w:iCs/>
        </w:rPr>
        <w:t>Gut Liver</w:t>
      </w:r>
      <w:r w:rsidRPr="00CE54E5">
        <w:rPr>
          <w:rFonts w:ascii="Book Antiqua" w:hAnsi="Book Antiqua" w:cs="Book Antiqua"/>
        </w:rPr>
        <w:t xml:space="preserve"> 2019; </w:t>
      </w:r>
      <w:r w:rsidRPr="00CE54E5">
        <w:rPr>
          <w:rFonts w:ascii="Book Antiqua" w:hAnsi="Book Antiqua" w:cs="Book Antiqua"/>
          <w:b/>
          <w:bCs/>
        </w:rPr>
        <w:t>13</w:t>
      </w:r>
      <w:r w:rsidRPr="00CE54E5">
        <w:rPr>
          <w:rFonts w:ascii="Book Antiqua" w:hAnsi="Book Antiqua" w:cs="Book Antiqua"/>
        </w:rPr>
        <w:t>: 569-575 [PMID: 30919600 DOI: 10.5009/gnl18265]</w:t>
      </w:r>
    </w:p>
    <w:p w14:paraId="184908C7"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60 </w:t>
      </w:r>
      <w:r w:rsidRPr="00CE54E5">
        <w:rPr>
          <w:rFonts w:ascii="Book Antiqua" w:hAnsi="Book Antiqua" w:cs="Book Antiqua"/>
          <w:b/>
          <w:bCs/>
        </w:rPr>
        <w:t>Prieto J</w:t>
      </w:r>
      <w:r w:rsidRPr="00CE54E5">
        <w:rPr>
          <w:rFonts w:ascii="Book Antiqua" w:hAnsi="Book Antiqua" w:cs="Book Antiqua"/>
        </w:rPr>
        <w:t xml:space="preserve">, Qian C, García N, Díez J, Medina JF. Abnormal expression of anion exchanger genes in primary biliary cirrhosis. </w:t>
      </w:r>
      <w:r w:rsidRPr="00CE54E5">
        <w:rPr>
          <w:rFonts w:ascii="Book Antiqua" w:hAnsi="Book Antiqua" w:cs="Book Antiqua"/>
          <w:i/>
          <w:iCs/>
        </w:rPr>
        <w:t>Gastroenterology</w:t>
      </w:r>
      <w:r w:rsidRPr="00CE54E5">
        <w:rPr>
          <w:rFonts w:ascii="Book Antiqua" w:hAnsi="Book Antiqua" w:cs="Book Antiqua"/>
        </w:rPr>
        <w:t xml:space="preserve"> 1993; </w:t>
      </w:r>
      <w:r w:rsidRPr="00CE54E5">
        <w:rPr>
          <w:rFonts w:ascii="Book Antiqua" w:hAnsi="Book Antiqua" w:cs="Book Antiqua"/>
          <w:b/>
          <w:bCs/>
        </w:rPr>
        <w:t>105</w:t>
      </w:r>
      <w:r w:rsidRPr="00CE54E5">
        <w:rPr>
          <w:rFonts w:ascii="Book Antiqua" w:hAnsi="Book Antiqua" w:cs="Book Antiqua"/>
        </w:rPr>
        <w:t>: 572-578 [PMID: 8335211 DOI: 10.1016/0016-5085(93)90735-u]</w:t>
      </w:r>
    </w:p>
    <w:p w14:paraId="44E28539"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61 </w:t>
      </w:r>
      <w:r w:rsidRPr="00CE54E5">
        <w:rPr>
          <w:rFonts w:ascii="Book Antiqua" w:hAnsi="Book Antiqua" w:cs="Book Antiqua"/>
          <w:b/>
          <w:bCs/>
        </w:rPr>
        <w:t>Medina JF</w:t>
      </w:r>
      <w:r w:rsidRPr="00CE54E5">
        <w:rPr>
          <w:rFonts w:ascii="Book Antiqua" w:hAnsi="Book Antiqua" w:cs="Book Antiqua"/>
        </w:rPr>
        <w:t xml:space="preserve">, Martínez-Ansó, Vazquez JJ, Prieto J. Decreased anion exchanger 2 immunoreactivity in the liver of patients with primary biliary cirrhosis. </w:t>
      </w:r>
      <w:r w:rsidRPr="00CE54E5">
        <w:rPr>
          <w:rFonts w:ascii="Book Antiqua" w:hAnsi="Book Antiqua" w:cs="Book Antiqua"/>
          <w:i/>
          <w:iCs/>
        </w:rPr>
        <w:t>Hepatology</w:t>
      </w:r>
      <w:r w:rsidRPr="00CE54E5">
        <w:rPr>
          <w:rFonts w:ascii="Book Antiqua" w:hAnsi="Book Antiqua" w:cs="Book Antiqua"/>
        </w:rPr>
        <w:t xml:space="preserve"> 1997; </w:t>
      </w:r>
      <w:r w:rsidRPr="00CE54E5">
        <w:rPr>
          <w:rFonts w:ascii="Book Antiqua" w:hAnsi="Book Antiqua" w:cs="Book Antiqua"/>
          <w:b/>
          <w:bCs/>
        </w:rPr>
        <w:t>25</w:t>
      </w:r>
      <w:r w:rsidRPr="00CE54E5">
        <w:rPr>
          <w:rFonts w:ascii="Book Antiqua" w:hAnsi="Book Antiqua" w:cs="Book Antiqua"/>
        </w:rPr>
        <w:t>: 12-17 [PMID: 8985258 DOI: 10.1002/hep.510250104]</w:t>
      </w:r>
    </w:p>
    <w:p w14:paraId="411DBEC3"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62 </w:t>
      </w:r>
      <w:r w:rsidRPr="00CE54E5">
        <w:rPr>
          <w:rFonts w:ascii="Book Antiqua" w:hAnsi="Book Antiqua" w:cs="Book Antiqua"/>
          <w:b/>
          <w:bCs/>
        </w:rPr>
        <w:t>Ananthanarayanan M</w:t>
      </w:r>
      <w:r w:rsidRPr="00CE54E5">
        <w:rPr>
          <w:rFonts w:ascii="Book Antiqua" w:hAnsi="Book Antiqua" w:cs="Book Antiqua"/>
        </w:rPr>
        <w:t xml:space="preserve">, Banales JM, Guerra MT, Spirli C, Munoz-Garrido P, Mitchell-Richards K, Tafur D, Saez E, Nathanson MH. Post-translational regulation of the type III inositol 1,4,5-trisphosphate receptor by miRNA-506. </w:t>
      </w:r>
      <w:r w:rsidRPr="00CE54E5">
        <w:rPr>
          <w:rFonts w:ascii="Book Antiqua" w:hAnsi="Book Antiqua" w:cs="Book Antiqua"/>
          <w:i/>
          <w:iCs/>
        </w:rPr>
        <w:t>J Biol Chem</w:t>
      </w:r>
      <w:r w:rsidRPr="00CE54E5">
        <w:rPr>
          <w:rFonts w:ascii="Book Antiqua" w:hAnsi="Book Antiqua" w:cs="Book Antiqua"/>
        </w:rPr>
        <w:t xml:space="preserve"> 2015; </w:t>
      </w:r>
      <w:r w:rsidRPr="00CE54E5">
        <w:rPr>
          <w:rFonts w:ascii="Book Antiqua" w:hAnsi="Book Antiqua" w:cs="Book Antiqua"/>
          <w:b/>
          <w:bCs/>
        </w:rPr>
        <w:t>290</w:t>
      </w:r>
      <w:r w:rsidRPr="00CE54E5">
        <w:rPr>
          <w:rFonts w:ascii="Book Antiqua" w:hAnsi="Book Antiqua" w:cs="Book Antiqua"/>
        </w:rPr>
        <w:t>: 184-196 [PMID: 25378392 DOI: 10.1074/jbc.M114.587030]</w:t>
      </w:r>
    </w:p>
    <w:p w14:paraId="2D2C1DA0"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lastRenderedPageBreak/>
        <w:t xml:space="preserve">63 </w:t>
      </w:r>
      <w:r w:rsidRPr="00CE54E5">
        <w:rPr>
          <w:rFonts w:ascii="Book Antiqua" w:hAnsi="Book Antiqua" w:cs="Book Antiqua"/>
          <w:b/>
          <w:bCs/>
        </w:rPr>
        <w:t>Banales JM</w:t>
      </w:r>
      <w:r w:rsidRPr="00CE54E5">
        <w:rPr>
          <w:rFonts w:ascii="Book Antiqua" w:hAnsi="Book Antiqua" w:cs="Book Antiqua"/>
        </w:rPr>
        <w:t xml:space="preserve">, Sáez E, Uriz M, Sarvide S, Urribarri AD, Splinter P, Tietz Bogert PS, Bujanda L, Prieto J, Medina JF, LaRusso NF. Up-regulation of microRNA 506 leads to decreased Cl-/HCO3- anion exchanger 2 expression in biliary epithelium of patients with primary biliary cirrhosis. </w:t>
      </w:r>
      <w:r w:rsidRPr="00CE54E5">
        <w:rPr>
          <w:rFonts w:ascii="Book Antiqua" w:hAnsi="Book Antiqua" w:cs="Book Antiqua"/>
          <w:i/>
          <w:iCs/>
        </w:rPr>
        <w:t>Hepatology</w:t>
      </w:r>
      <w:r w:rsidRPr="00CE54E5">
        <w:rPr>
          <w:rFonts w:ascii="Book Antiqua" w:hAnsi="Book Antiqua" w:cs="Book Antiqua"/>
        </w:rPr>
        <w:t xml:space="preserve"> 2012; </w:t>
      </w:r>
      <w:r w:rsidRPr="00CE54E5">
        <w:rPr>
          <w:rFonts w:ascii="Book Antiqua" w:hAnsi="Book Antiqua" w:cs="Book Antiqua"/>
          <w:b/>
          <w:bCs/>
        </w:rPr>
        <w:t>56</w:t>
      </w:r>
      <w:r w:rsidRPr="00CE54E5">
        <w:rPr>
          <w:rFonts w:ascii="Book Antiqua" w:hAnsi="Book Antiqua" w:cs="Book Antiqua"/>
        </w:rPr>
        <w:t>: 687-697 [PMID: 22383162 DOI: 10.1002/hep.25691]</w:t>
      </w:r>
    </w:p>
    <w:p w14:paraId="1079545A"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64 </w:t>
      </w:r>
      <w:r w:rsidRPr="00CE54E5">
        <w:rPr>
          <w:rFonts w:ascii="Book Antiqua" w:hAnsi="Book Antiqua" w:cs="Book Antiqua"/>
          <w:b/>
          <w:bCs/>
        </w:rPr>
        <w:t>Shibao K</w:t>
      </w:r>
      <w:r w:rsidRPr="00CE54E5">
        <w:rPr>
          <w:rFonts w:ascii="Book Antiqua" w:hAnsi="Book Antiqua" w:cs="Book Antiqua"/>
        </w:rPr>
        <w:t xml:space="preserve">, Hirata K, Robert ME, Nathanson MH. Loss of inositol 1,4,5-trisphosphate receptors from bile duct epithelia is a common event in cholestasis. </w:t>
      </w:r>
      <w:r w:rsidRPr="00CE54E5">
        <w:rPr>
          <w:rFonts w:ascii="Book Antiqua" w:hAnsi="Book Antiqua" w:cs="Book Antiqua"/>
          <w:i/>
          <w:iCs/>
        </w:rPr>
        <w:t>Gastroenterology</w:t>
      </w:r>
      <w:r w:rsidRPr="00CE54E5">
        <w:rPr>
          <w:rFonts w:ascii="Book Antiqua" w:hAnsi="Book Antiqua" w:cs="Book Antiqua"/>
        </w:rPr>
        <w:t xml:space="preserve"> 2003; </w:t>
      </w:r>
      <w:r w:rsidRPr="00CE54E5">
        <w:rPr>
          <w:rFonts w:ascii="Book Antiqua" w:hAnsi="Book Antiqua" w:cs="Book Antiqua"/>
          <w:b/>
          <w:bCs/>
        </w:rPr>
        <w:t>125</w:t>
      </w:r>
      <w:r w:rsidRPr="00CE54E5">
        <w:rPr>
          <w:rFonts w:ascii="Book Antiqua" w:hAnsi="Book Antiqua" w:cs="Book Antiqua"/>
        </w:rPr>
        <w:t>: 1175-1187 [PMID: 14517800 DOI: 10.1016/s0016-5085(03)01201-0]</w:t>
      </w:r>
    </w:p>
    <w:p w14:paraId="19A5B047"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65 </w:t>
      </w:r>
      <w:r w:rsidRPr="00CE54E5">
        <w:rPr>
          <w:rFonts w:ascii="Book Antiqua" w:hAnsi="Book Antiqua" w:cs="Book Antiqua"/>
          <w:b/>
          <w:bCs/>
        </w:rPr>
        <w:t>Melero S</w:t>
      </w:r>
      <w:r w:rsidRPr="00CE54E5">
        <w:rPr>
          <w:rFonts w:ascii="Book Antiqua" w:hAnsi="Book Antiqua" w:cs="Book Antiqua"/>
        </w:rPr>
        <w:t xml:space="preserve">, Spirlì C, Zsembery A, Medina JF, Joplin RE, Duner E, Zuin M, Neuberger JM, Prieto J, Strazzabosco M. Defective regulation of cholangiocyte Cl-/HCO3(-) and Na+/H+ exchanger activities in primary biliary cirrhosis. </w:t>
      </w:r>
      <w:r w:rsidRPr="00CE54E5">
        <w:rPr>
          <w:rFonts w:ascii="Book Antiqua" w:hAnsi="Book Antiqua" w:cs="Book Antiqua"/>
          <w:i/>
          <w:iCs/>
        </w:rPr>
        <w:t>Hepatology</w:t>
      </w:r>
      <w:r w:rsidRPr="00CE54E5">
        <w:rPr>
          <w:rFonts w:ascii="Book Antiqua" w:hAnsi="Book Antiqua" w:cs="Book Antiqua"/>
        </w:rPr>
        <w:t xml:space="preserve"> 2002; </w:t>
      </w:r>
      <w:r w:rsidRPr="00CE54E5">
        <w:rPr>
          <w:rFonts w:ascii="Book Antiqua" w:hAnsi="Book Antiqua" w:cs="Book Antiqua"/>
          <w:b/>
          <w:bCs/>
        </w:rPr>
        <w:t>35</w:t>
      </w:r>
      <w:r w:rsidRPr="00CE54E5">
        <w:rPr>
          <w:rFonts w:ascii="Book Antiqua" w:hAnsi="Book Antiqua" w:cs="Book Antiqua"/>
        </w:rPr>
        <w:t>: 1513-1521 [PMID: 12029638 DOI: 10.1053/jhep.2002.33634]</w:t>
      </w:r>
    </w:p>
    <w:p w14:paraId="04685463"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66 </w:t>
      </w:r>
      <w:r w:rsidRPr="00CE54E5">
        <w:rPr>
          <w:rFonts w:ascii="Book Antiqua" w:hAnsi="Book Antiqua" w:cs="Book Antiqua"/>
          <w:b/>
          <w:bCs/>
        </w:rPr>
        <w:t>Erice O</w:t>
      </w:r>
      <w:r w:rsidRPr="00CE54E5">
        <w:rPr>
          <w:rFonts w:ascii="Book Antiqua" w:hAnsi="Book Antiqua" w:cs="Book Antiqua"/>
        </w:rPr>
        <w:t xml:space="preserve">, Munoz-Garrido P, Vaquero J, Perugorria MJ, Fernandez-Barrena MG, Saez E, Santos-Laso A, Arbelaiz A, Jimenez-Agüero R, Fernandez-Irigoyen J, Santamaria E, Torrano V, Carracedo A, Ananthanarayanan M, Marzioni M, Prieto J, Beuers U, Oude Elferink RP, LaRusso NF, Bujanda L, Marin JJG, Banales JM. MicroRNA-506 promotes primary biliary cholangitis-like features in cholangiocytes and immune activation. </w:t>
      </w:r>
      <w:r w:rsidRPr="00CE54E5">
        <w:rPr>
          <w:rFonts w:ascii="Book Antiqua" w:hAnsi="Book Antiqua" w:cs="Book Antiqua"/>
          <w:i/>
          <w:iCs/>
        </w:rPr>
        <w:t>Hepatology</w:t>
      </w:r>
      <w:r w:rsidRPr="00CE54E5">
        <w:rPr>
          <w:rFonts w:ascii="Book Antiqua" w:hAnsi="Book Antiqua" w:cs="Book Antiqua"/>
        </w:rPr>
        <w:t xml:space="preserve"> 2018; </w:t>
      </w:r>
      <w:r w:rsidRPr="00CE54E5">
        <w:rPr>
          <w:rFonts w:ascii="Book Antiqua" w:hAnsi="Book Antiqua" w:cs="Book Antiqua"/>
          <w:b/>
          <w:bCs/>
        </w:rPr>
        <w:t>67</w:t>
      </w:r>
      <w:r w:rsidRPr="00CE54E5">
        <w:rPr>
          <w:rFonts w:ascii="Book Antiqua" w:hAnsi="Book Antiqua" w:cs="Book Antiqua"/>
        </w:rPr>
        <w:t>: 1420-1440 [PMID: 28922472 DOI: 10.1002/hep.29533]</w:t>
      </w:r>
    </w:p>
    <w:p w14:paraId="3179FD1C"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67 </w:t>
      </w:r>
      <w:r w:rsidRPr="00CE54E5">
        <w:rPr>
          <w:rFonts w:ascii="Book Antiqua" w:hAnsi="Book Antiqua" w:cs="Book Antiqua"/>
          <w:b/>
          <w:bCs/>
        </w:rPr>
        <w:t>Concepcion AR</w:t>
      </w:r>
      <w:r w:rsidRPr="00CE54E5">
        <w:rPr>
          <w:rFonts w:ascii="Book Antiqua" w:hAnsi="Book Antiqua" w:cs="Book Antiqua"/>
        </w:rPr>
        <w:t xml:space="preserve">, Lopez M, Ardura-Fabregat A, Medina JF. Role of AE2 for </w:t>
      </w:r>
      <w:r w:rsidRPr="00CE54E5">
        <w:rPr>
          <w:rFonts w:ascii="Book Antiqua" w:eastAsia="宋体" w:hAnsi="Book Antiqua" w:cs="Book Antiqua" w:hint="eastAsia"/>
          <w:lang w:eastAsia="zh-CN"/>
        </w:rPr>
        <w:t>pHi</w:t>
      </w:r>
      <w:r w:rsidRPr="00CE54E5">
        <w:rPr>
          <w:rFonts w:ascii="Book Antiqua" w:hAnsi="Book Antiqua" w:cs="Book Antiqua"/>
        </w:rPr>
        <w:t xml:space="preserve"> regulation in biliary epithelial cells. </w:t>
      </w:r>
      <w:r w:rsidRPr="00CE54E5">
        <w:rPr>
          <w:rFonts w:ascii="Book Antiqua" w:hAnsi="Book Antiqua" w:cs="Book Antiqua"/>
          <w:i/>
          <w:iCs/>
        </w:rPr>
        <w:t>Front Physiol</w:t>
      </w:r>
      <w:r w:rsidRPr="00CE54E5">
        <w:rPr>
          <w:rFonts w:ascii="Book Antiqua" w:hAnsi="Book Antiqua" w:cs="Book Antiqua"/>
        </w:rPr>
        <w:t xml:space="preserve"> 2013; </w:t>
      </w:r>
      <w:r w:rsidRPr="00CE54E5">
        <w:rPr>
          <w:rFonts w:ascii="Book Antiqua" w:hAnsi="Book Antiqua" w:cs="Book Antiqua"/>
          <w:b/>
          <w:bCs/>
        </w:rPr>
        <w:t>4</w:t>
      </w:r>
      <w:r w:rsidRPr="00CE54E5">
        <w:rPr>
          <w:rFonts w:ascii="Book Antiqua" w:hAnsi="Book Antiqua" w:cs="Book Antiqua"/>
        </w:rPr>
        <w:t>: 413 [PMID: 24478713 DOI: 10.3389/fphys.2013.00413]</w:t>
      </w:r>
    </w:p>
    <w:p w14:paraId="2FEFD5EB"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68 </w:t>
      </w:r>
      <w:r w:rsidRPr="00CE54E5">
        <w:rPr>
          <w:rFonts w:ascii="Book Antiqua" w:hAnsi="Book Antiqua" w:cs="Book Antiqua"/>
          <w:b/>
          <w:bCs/>
        </w:rPr>
        <w:t>Komichi D</w:t>
      </w:r>
      <w:r w:rsidRPr="00CE54E5">
        <w:rPr>
          <w:rFonts w:ascii="Book Antiqua" w:hAnsi="Book Antiqua" w:cs="Book Antiqua"/>
        </w:rPr>
        <w:t xml:space="preserve">, Tazuma S, Nishioka T, Hyogo H, Une M, Chayama K. Unique inhibition of bile salt-induced apoptosis by lecithins and cytoprotective bile salts in immortalized mouse cholangiocytes. </w:t>
      </w:r>
      <w:r w:rsidRPr="00CE54E5">
        <w:rPr>
          <w:rFonts w:ascii="Book Antiqua" w:hAnsi="Book Antiqua" w:cs="Book Antiqua"/>
          <w:i/>
          <w:iCs/>
        </w:rPr>
        <w:t>Dig Dis Sci</w:t>
      </w:r>
      <w:r w:rsidRPr="00CE54E5">
        <w:rPr>
          <w:rFonts w:ascii="Book Antiqua" w:hAnsi="Book Antiqua" w:cs="Book Antiqua"/>
        </w:rPr>
        <w:t xml:space="preserve"> 2003; </w:t>
      </w:r>
      <w:r w:rsidRPr="00CE54E5">
        <w:rPr>
          <w:rFonts w:ascii="Book Antiqua" w:hAnsi="Book Antiqua" w:cs="Book Antiqua"/>
          <w:b/>
          <w:bCs/>
        </w:rPr>
        <w:t>48</w:t>
      </w:r>
      <w:r w:rsidRPr="00CE54E5">
        <w:rPr>
          <w:rFonts w:ascii="Book Antiqua" w:hAnsi="Book Antiqua" w:cs="Book Antiqua"/>
        </w:rPr>
        <w:t>: 2315-2322 [PMID: 14714619 DOI: 10.1023/b:ddas.0000007869.67105.27]</w:t>
      </w:r>
    </w:p>
    <w:p w14:paraId="1EEE5B6F"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69 </w:t>
      </w:r>
      <w:r w:rsidRPr="00CE54E5">
        <w:rPr>
          <w:rFonts w:ascii="Book Antiqua" w:hAnsi="Book Antiqua" w:cs="Book Antiqua"/>
          <w:b/>
          <w:bCs/>
        </w:rPr>
        <w:t>Borkham-Kamphorst E</w:t>
      </w:r>
      <w:r w:rsidRPr="00CE54E5">
        <w:rPr>
          <w:rFonts w:ascii="Book Antiqua" w:hAnsi="Book Antiqua" w:cs="Book Antiqua"/>
        </w:rPr>
        <w:t xml:space="preserve">, Weiskirchen R. The PDGF system and its antagonists in liver fibrosis. </w:t>
      </w:r>
      <w:r w:rsidRPr="00CE54E5">
        <w:rPr>
          <w:rFonts w:ascii="Book Antiqua" w:hAnsi="Book Antiqua" w:cs="Book Antiqua"/>
          <w:i/>
          <w:iCs/>
        </w:rPr>
        <w:t>Cytokine Growth Factor Rev</w:t>
      </w:r>
      <w:r w:rsidRPr="00CE54E5">
        <w:rPr>
          <w:rFonts w:ascii="Book Antiqua" w:hAnsi="Book Antiqua" w:cs="Book Antiqua"/>
        </w:rPr>
        <w:t xml:space="preserve"> 2016; </w:t>
      </w:r>
      <w:r w:rsidRPr="00CE54E5">
        <w:rPr>
          <w:rFonts w:ascii="Book Antiqua" w:hAnsi="Book Antiqua" w:cs="Book Antiqua"/>
          <w:b/>
          <w:bCs/>
        </w:rPr>
        <w:t>28</w:t>
      </w:r>
      <w:r w:rsidRPr="00CE54E5">
        <w:rPr>
          <w:rFonts w:ascii="Book Antiqua" w:hAnsi="Book Antiqua" w:cs="Book Antiqua"/>
        </w:rPr>
        <w:t>: 53-61 [PMID: 26547628 DOI: 10.1016/j.cytogfr.2015.10.002]</w:t>
      </w:r>
    </w:p>
    <w:p w14:paraId="39367A9B"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lastRenderedPageBreak/>
        <w:t xml:space="preserve">70 </w:t>
      </w:r>
      <w:r w:rsidRPr="00CE54E5">
        <w:rPr>
          <w:rFonts w:ascii="Book Antiqua" w:hAnsi="Book Antiqua" w:cs="Book Antiqua"/>
          <w:b/>
          <w:bCs/>
        </w:rPr>
        <w:t>Strazzabosco M</w:t>
      </w:r>
      <w:r w:rsidRPr="00CE54E5">
        <w:rPr>
          <w:rFonts w:ascii="Book Antiqua" w:hAnsi="Book Antiqua" w:cs="Book Antiqua"/>
        </w:rPr>
        <w:t xml:space="preserve">. Transport systems in cholangiocytes: their role in bile formation and cholestasis. </w:t>
      </w:r>
      <w:r w:rsidRPr="00CE54E5">
        <w:rPr>
          <w:rFonts w:ascii="Book Antiqua" w:hAnsi="Book Antiqua" w:cs="Book Antiqua"/>
          <w:i/>
          <w:iCs/>
        </w:rPr>
        <w:t>Yale J Biol Med</w:t>
      </w:r>
      <w:r w:rsidRPr="00CE54E5">
        <w:rPr>
          <w:rFonts w:ascii="Book Antiqua" w:hAnsi="Book Antiqua" w:cs="Book Antiqua"/>
        </w:rPr>
        <w:t xml:space="preserve"> 1997; </w:t>
      </w:r>
      <w:r w:rsidRPr="00CE54E5">
        <w:rPr>
          <w:rFonts w:ascii="Book Antiqua" w:hAnsi="Book Antiqua" w:cs="Book Antiqua"/>
          <w:b/>
          <w:bCs/>
        </w:rPr>
        <w:t>70</w:t>
      </w:r>
      <w:r w:rsidRPr="00CE54E5">
        <w:rPr>
          <w:rFonts w:ascii="Book Antiqua" w:hAnsi="Book Antiqua" w:cs="Book Antiqua"/>
        </w:rPr>
        <w:t>: 427-434 [PMID: 9626763]</w:t>
      </w:r>
    </w:p>
    <w:p w14:paraId="7A0A5882"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71 </w:t>
      </w:r>
      <w:r w:rsidRPr="00CE54E5">
        <w:rPr>
          <w:rFonts w:ascii="Book Antiqua" w:hAnsi="Book Antiqua" w:cs="Book Antiqua"/>
          <w:b/>
          <w:bCs/>
        </w:rPr>
        <w:t>Chang JC</w:t>
      </w:r>
      <w:r w:rsidRPr="00CE54E5">
        <w:rPr>
          <w:rFonts w:ascii="Book Antiqua" w:hAnsi="Book Antiqua" w:cs="Book Antiqua"/>
        </w:rPr>
        <w:t xml:space="preserve">, Go S, de Waart DR, Munoz-Garrido P, Beuers U, Paulusma CC, Oude Elferink R. Soluble Adenylyl Cyclase Regulates Bile Salt-Induced Apoptosis in Human Cholangiocytes. </w:t>
      </w:r>
      <w:r w:rsidRPr="00CE54E5">
        <w:rPr>
          <w:rFonts w:ascii="Book Antiqua" w:hAnsi="Book Antiqua" w:cs="Book Antiqua"/>
          <w:i/>
          <w:iCs/>
        </w:rPr>
        <w:t>Hepatology</w:t>
      </w:r>
      <w:r w:rsidRPr="00CE54E5">
        <w:rPr>
          <w:rFonts w:ascii="Book Antiqua" w:hAnsi="Book Antiqua" w:cs="Book Antiqua"/>
        </w:rPr>
        <w:t xml:space="preserve"> 2016; </w:t>
      </w:r>
      <w:r w:rsidRPr="00CE54E5">
        <w:rPr>
          <w:rFonts w:ascii="Book Antiqua" w:hAnsi="Book Antiqua" w:cs="Book Antiqua"/>
          <w:b/>
          <w:bCs/>
        </w:rPr>
        <w:t>64</w:t>
      </w:r>
      <w:r w:rsidRPr="00CE54E5">
        <w:rPr>
          <w:rFonts w:ascii="Book Antiqua" w:hAnsi="Book Antiqua" w:cs="Book Antiqua"/>
        </w:rPr>
        <w:t>: 522-534 [PMID: 26991014 DOI: 10.1002/hep.28550]</w:t>
      </w:r>
    </w:p>
    <w:p w14:paraId="79F26903"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72 </w:t>
      </w:r>
      <w:r w:rsidRPr="00CE54E5">
        <w:rPr>
          <w:rFonts w:ascii="Book Antiqua" w:hAnsi="Book Antiqua" w:cs="Book Antiqua"/>
          <w:b/>
          <w:bCs/>
        </w:rPr>
        <w:t>Trautwein C</w:t>
      </w:r>
      <w:r w:rsidRPr="00CE54E5">
        <w:rPr>
          <w:rFonts w:ascii="Book Antiqua" w:hAnsi="Book Antiqua" w:cs="Book Antiqua"/>
        </w:rPr>
        <w:t xml:space="preserve">, Friedman SL, Schuppan D, Pinzani M. Hepatic fibrosis: Concept to treatment. </w:t>
      </w:r>
      <w:r w:rsidRPr="00CE54E5">
        <w:rPr>
          <w:rFonts w:ascii="Book Antiqua" w:hAnsi="Book Antiqua" w:cs="Book Antiqua"/>
          <w:i/>
          <w:iCs/>
        </w:rPr>
        <w:t>J Hepatol</w:t>
      </w:r>
      <w:r w:rsidRPr="00CE54E5">
        <w:rPr>
          <w:rFonts w:ascii="Book Antiqua" w:hAnsi="Book Antiqua" w:cs="Book Antiqua"/>
        </w:rPr>
        <w:t xml:space="preserve"> 2015; </w:t>
      </w:r>
      <w:r w:rsidRPr="00CE54E5">
        <w:rPr>
          <w:rFonts w:ascii="Book Antiqua" w:hAnsi="Book Antiqua" w:cs="Book Antiqua"/>
          <w:b/>
          <w:bCs/>
        </w:rPr>
        <w:t>62</w:t>
      </w:r>
      <w:r w:rsidRPr="00CE54E5">
        <w:rPr>
          <w:rFonts w:ascii="Book Antiqua" w:hAnsi="Book Antiqua" w:cs="Book Antiqua"/>
        </w:rPr>
        <w:t>: S15-S24 [PMID: 25920084 DOI: 10.1016/j.jhep.2015.02.039]</w:t>
      </w:r>
    </w:p>
    <w:p w14:paraId="63B3869B"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73 </w:t>
      </w:r>
      <w:r w:rsidRPr="00CE54E5">
        <w:rPr>
          <w:rFonts w:ascii="Book Antiqua" w:hAnsi="Book Antiqua" w:cs="Book Antiqua"/>
          <w:b/>
          <w:bCs/>
        </w:rPr>
        <w:t>Saipiyeva D,</w:t>
      </w:r>
      <w:r w:rsidRPr="00CE54E5">
        <w:rPr>
          <w:rFonts w:ascii="Book Antiqua" w:hAnsi="Book Antiqua" w:cs="Book Antiqua"/>
        </w:rPr>
        <w:t xml:space="preserve"> Askarov M, Tuganbekov T, Rustemova K, Grigorevsky V, Dossatayeva G, Tostanovskaya N. Antimitochondrial and antinuclear antibodies in primary biliary cholangitis. </w:t>
      </w:r>
      <w:r w:rsidRPr="00CE54E5">
        <w:rPr>
          <w:rFonts w:ascii="Book Antiqua" w:hAnsi="Book Antiqua" w:cs="Book Antiqua"/>
          <w:i/>
          <w:iCs/>
        </w:rPr>
        <w:t>Journal of Clinical Medicine of Kazakhstan</w:t>
      </w:r>
      <w:r w:rsidRPr="00CE54E5">
        <w:rPr>
          <w:rFonts w:ascii="Book Antiqua" w:hAnsi="Book Antiqua" w:cs="Book Antiqua"/>
        </w:rPr>
        <w:t xml:space="preserve"> 2019;</w:t>
      </w:r>
      <w:r w:rsidRPr="00CE54E5">
        <w:rPr>
          <w:rFonts w:ascii="Book Antiqua" w:eastAsia="宋体" w:hAnsi="Book Antiqua" w:cs="Book Antiqua" w:hint="eastAsia"/>
          <w:lang w:eastAsia="zh-CN"/>
        </w:rPr>
        <w:t xml:space="preserve"> </w:t>
      </w:r>
      <w:r w:rsidRPr="00CE54E5">
        <w:rPr>
          <w:rFonts w:ascii="Book Antiqua" w:hAnsi="Book Antiqua" w:cs="Book Antiqua"/>
          <w:b/>
          <w:bCs/>
        </w:rPr>
        <w:t>2</w:t>
      </w:r>
      <w:r w:rsidRPr="00CE54E5">
        <w:rPr>
          <w:rFonts w:ascii="Book Antiqua" w:hAnsi="Book Antiqua" w:cs="Book Antiqua"/>
        </w:rPr>
        <w:t>:</w:t>
      </w:r>
      <w:r w:rsidRPr="00CE54E5">
        <w:rPr>
          <w:rFonts w:ascii="Book Antiqua" w:eastAsia="宋体" w:hAnsi="Book Antiqua" w:cs="Book Antiqua" w:hint="eastAsia"/>
          <w:lang w:eastAsia="zh-CN"/>
        </w:rPr>
        <w:t xml:space="preserve"> </w:t>
      </w:r>
      <w:r w:rsidRPr="00CE54E5">
        <w:rPr>
          <w:rFonts w:ascii="Book Antiqua" w:hAnsi="Book Antiqua" w:cs="Book Antiqua"/>
        </w:rPr>
        <w:t>16-23 [DOI:</w:t>
      </w:r>
      <w:r w:rsidRPr="00CE54E5">
        <w:rPr>
          <w:rFonts w:ascii="Book Antiqua" w:eastAsia="宋体" w:hAnsi="Book Antiqua" w:cs="Book Antiqua" w:hint="eastAsia"/>
          <w:lang w:eastAsia="zh-CN"/>
        </w:rPr>
        <w:t xml:space="preserve"> </w:t>
      </w:r>
      <w:r w:rsidRPr="00CE54E5">
        <w:rPr>
          <w:rFonts w:ascii="Book Antiqua" w:hAnsi="Book Antiqua" w:cs="Book Antiqua"/>
        </w:rPr>
        <w:t>10.23950/1812-2892-JCMK-00681]</w:t>
      </w:r>
    </w:p>
    <w:p w14:paraId="793FE583"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74 </w:t>
      </w:r>
      <w:r w:rsidRPr="00CE54E5">
        <w:rPr>
          <w:rFonts w:ascii="Book Antiqua" w:hAnsi="Book Antiqua" w:cs="Book Antiqua"/>
          <w:b/>
          <w:bCs/>
        </w:rPr>
        <w:t>Szalai G</w:t>
      </w:r>
      <w:r w:rsidRPr="00CE54E5">
        <w:rPr>
          <w:rFonts w:ascii="Book Antiqua" w:hAnsi="Book Antiqua" w:cs="Book Antiqua"/>
        </w:rPr>
        <w:t xml:space="preserve">, Krishnamurthy R, Hajnóczky G. Apoptosis driven by IP(3)-linked mitochondrial calcium signals. </w:t>
      </w:r>
      <w:r w:rsidRPr="00CE54E5">
        <w:rPr>
          <w:rFonts w:ascii="Book Antiqua" w:hAnsi="Book Antiqua" w:cs="Book Antiqua"/>
          <w:i/>
          <w:iCs/>
        </w:rPr>
        <w:t>EMBO J</w:t>
      </w:r>
      <w:r w:rsidRPr="00CE54E5">
        <w:rPr>
          <w:rFonts w:ascii="Book Antiqua" w:hAnsi="Book Antiqua" w:cs="Book Antiqua"/>
        </w:rPr>
        <w:t xml:space="preserve"> 1999; </w:t>
      </w:r>
      <w:r w:rsidRPr="00CE54E5">
        <w:rPr>
          <w:rFonts w:ascii="Book Antiqua" w:hAnsi="Book Antiqua" w:cs="Book Antiqua"/>
          <w:b/>
          <w:bCs/>
        </w:rPr>
        <w:t>18</w:t>
      </w:r>
      <w:r w:rsidRPr="00CE54E5">
        <w:rPr>
          <w:rFonts w:ascii="Book Antiqua" w:hAnsi="Book Antiqua" w:cs="Book Antiqua"/>
        </w:rPr>
        <w:t>: 6349-6361 [PMID: 10562547 DOI: 10.1093/emboj/18.22.6349]</w:t>
      </w:r>
    </w:p>
    <w:p w14:paraId="2354C070"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75 </w:t>
      </w:r>
      <w:r w:rsidRPr="00CE54E5">
        <w:rPr>
          <w:rFonts w:ascii="Book Antiqua" w:hAnsi="Book Antiqua" w:cs="Book Antiqua"/>
          <w:b/>
          <w:bCs/>
        </w:rPr>
        <w:t>Csordás G</w:t>
      </w:r>
      <w:r w:rsidRPr="00CE54E5">
        <w:rPr>
          <w:rFonts w:ascii="Book Antiqua" w:hAnsi="Book Antiqua" w:cs="Book Antiqua"/>
        </w:rPr>
        <w:t xml:space="preserve">, Thomas AP, Hajnóczky G. Quasi-synaptic calcium signal transmission between endoplasmic reticulum and mitochondria. </w:t>
      </w:r>
      <w:r w:rsidRPr="00CE54E5">
        <w:rPr>
          <w:rFonts w:ascii="Book Antiqua" w:hAnsi="Book Antiqua" w:cs="Book Antiqua"/>
          <w:i/>
          <w:iCs/>
        </w:rPr>
        <w:t>EMBO J</w:t>
      </w:r>
      <w:r w:rsidRPr="00CE54E5">
        <w:rPr>
          <w:rFonts w:ascii="Book Antiqua" w:hAnsi="Book Antiqua" w:cs="Book Antiqua"/>
        </w:rPr>
        <w:t xml:space="preserve"> 1999; </w:t>
      </w:r>
      <w:r w:rsidRPr="00CE54E5">
        <w:rPr>
          <w:rFonts w:ascii="Book Antiqua" w:hAnsi="Book Antiqua" w:cs="Book Antiqua"/>
          <w:b/>
          <w:bCs/>
        </w:rPr>
        <w:t>18</w:t>
      </w:r>
      <w:r w:rsidRPr="00CE54E5">
        <w:rPr>
          <w:rFonts w:ascii="Book Antiqua" w:hAnsi="Book Antiqua" w:cs="Book Antiqua"/>
        </w:rPr>
        <w:t>: 96-108 [PMID: 9878054 DOI: 10.1093/emboj/18.1.96]</w:t>
      </w:r>
    </w:p>
    <w:p w14:paraId="05674742"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76 </w:t>
      </w:r>
      <w:r w:rsidRPr="00CE54E5">
        <w:rPr>
          <w:rFonts w:ascii="Book Antiqua" w:hAnsi="Book Antiqua" w:cs="Book Antiqua"/>
          <w:b/>
          <w:bCs/>
        </w:rPr>
        <w:t>Ichas F</w:t>
      </w:r>
      <w:r w:rsidRPr="00CE54E5">
        <w:rPr>
          <w:rFonts w:ascii="Book Antiqua" w:hAnsi="Book Antiqua" w:cs="Book Antiqua"/>
        </w:rPr>
        <w:t xml:space="preserve">, Jouaville LS, Mazat JP. Mitochondria are excitable organelles capable of generating and conveying electrical and calcium signals. </w:t>
      </w:r>
      <w:r w:rsidRPr="00CE54E5">
        <w:rPr>
          <w:rFonts w:ascii="Book Antiqua" w:hAnsi="Book Antiqua" w:cs="Book Antiqua"/>
          <w:i/>
          <w:iCs/>
        </w:rPr>
        <w:t>Cell</w:t>
      </w:r>
      <w:r w:rsidRPr="00CE54E5">
        <w:rPr>
          <w:rFonts w:ascii="Book Antiqua" w:hAnsi="Book Antiqua" w:cs="Book Antiqua"/>
        </w:rPr>
        <w:t xml:space="preserve"> 1997; </w:t>
      </w:r>
      <w:r w:rsidRPr="00CE54E5">
        <w:rPr>
          <w:rFonts w:ascii="Book Antiqua" w:hAnsi="Book Antiqua" w:cs="Book Antiqua"/>
          <w:b/>
          <w:bCs/>
        </w:rPr>
        <w:t>89</w:t>
      </w:r>
      <w:r w:rsidRPr="00CE54E5">
        <w:rPr>
          <w:rFonts w:ascii="Book Antiqua" w:hAnsi="Book Antiqua" w:cs="Book Antiqua"/>
        </w:rPr>
        <w:t>: 1145-1153 [PMID: 9215636 DOI: 10.1016/s0092-8674(00)80301-3]</w:t>
      </w:r>
    </w:p>
    <w:p w14:paraId="662555CA"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77 </w:t>
      </w:r>
      <w:r w:rsidRPr="00CE54E5">
        <w:rPr>
          <w:rFonts w:ascii="Book Antiqua" w:hAnsi="Book Antiqua" w:cs="Book Antiqua"/>
          <w:b/>
          <w:bCs/>
        </w:rPr>
        <w:t>Berg CP</w:t>
      </w:r>
      <w:r w:rsidRPr="00CE54E5">
        <w:rPr>
          <w:rFonts w:ascii="Book Antiqua" w:hAnsi="Book Antiqua" w:cs="Book Antiqua"/>
        </w:rPr>
        <w:t xml:space="preserve">, Stein GM, Keppeler H, Gregor M, Wesselborg S, Lauber K. Apoptosis-associated antigens recognized by autoantibodies in patients with the autoimmune liver disease primary biliary cirrhosis. </w:t>
      </w:r>
      <w:r w:rsidRPr="00CE54E5">
        <w:rPr>
          <w:rFonts w:ascii="Book Antiqua" w:hAnsi="Book Antiqua" w:cs="Book Antiqua"/>
          <w:i/>
          <w:iCs/>
        </w:rPr>
        <w:t>Apoptosis</w:t>
      </w:r>
      <w:r w:rsidRPr="00CE54E5">
        <w:rPr>
          <w:rFonts w:ascii="Book Antiqua" w:hAnsi="Book Antiqua" w:cs="Book Antiqua"/>
        </w:rPr>
        <w:t xml:space="preserve"> 2008; </w:t>
      </w:r>
      <w:r w:rsidRPr="00CE54E5">
        <w:rPr>
          <w:rFonts w:ascii="Book Antiqua" w:hAnsi="Book Antiqua" w:cs="Book Antiqua"/>
          <w:b/>
          <w:bCs/>
        </w:rPr>
        <w:t>13</w:t>
      </w:r>
      <w:r w:rsidRPr="00CE54E5">
        <w:rPr>
          <w:rFonts w:ascii="Book Antiqua" w:hAnsi="Book Antiqua" w:cs="Book Antiqua"/>
        </w:rPr>
        <w:t>: 63-75 [PMID: 18060504 DOI: 10.1007/s10495-007-0157-6]</w:t>
      </w:r>
    </w:p>
    <w:p w14:paraId="415903AB"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78 </w:t>
      </w:r>
      <w:r w:rsidRPr="00CE54E5">
        <w:rPr>
          <w:rFonts w:ascii="Book Antiqua" w:hAnsi="Book Antiqua" w:cs="Book Antiqua"/>
          <w:b/>
          <w:bCs/>
        </w:rPr>
        <w:t>Halestrap AP</w:t>
      </w:r>
      <w:r w:rsidRPr="00CE54E5">
        <w:rPr>
          <w:rFonts w:ascii="Book Antiqua" w:hAnsi="Book Antiqua" w:cs="Book Antiqua"/>
        </w:rPr>
        <w:t xml:space="preserve">, Richardson AP. The mitochondrial permeability transition: a current perspective on its identity and role in ischaemia/reperfusion injury. </w:t>
      </w:r>
      <w:r w:rsidRPr="00CE54E5">
        <w:rPr>
          <w:rFonts w:ascii="Book Antiqua" w:hAnsi="Book Antiqua" w:cs="Book Antiqua"/>
          <w:i/>
          <w:iCs/>
        </w:rPr>
        <w:t>J Mol Cell Cardiol</w:t>
      </w:r>
      <w:r w:rsidRPr="00CE54E5">
        <w:rPr>
          <w:rFonts w:ascii="Book Antiqua" w:hAnsi="Book Antiqua" w:cs="Book Antiqua"/>
        </w:rPr>
        <w:t xml:space="preserve"> 2015; </w:t>
      </w:r>
      <w:r w:rsidRPr="00CE54E5">
        <w:rPr>
          <w:rFonts w:ascii="Book Antiqua" w:hAnsi="Book Antiqua" w:cs="Book Antiqua"/>
          <w:b/>
          <w:bCs/>
        </w:rPr>
        <w:t>78</w:t>
      </w:r>
      <w:r w:rsidRPr="00CE54E5">
        <w:rPr>
          <w:rFonts w:ascii="Book Antiqua" w:hAnsi="Book Antiqua" w:cs="Book Antiqua"/>
        </w:rPr>
        <w:t>: 129-141 [PMID: 25179911 DOI: 10.1016/j.yjmcc.2014.08.018]</w:t>
      </w:r>
    </w:p>
    <w:p w14:paraId="0EEE966F"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79 </w:t>
      </w:r>
      <w:r w:rsidRPr="00CE54E5">
        <w:rPr>
          <w:rFonts w:ascii="Book Antiqua" w:hAnsi="Book Antiqua" w:cs="Book Antiqua"/>
          <w:b/>
          <w:bCs/>
        </w:rPr>
        <w:t>Surh CD</w:t>
      </w:r>
      <w:r w:rsidRPr="00CE54E5">
        <w:rPr>
          <w:rFonts w:ascii="Book Antiqua" w:hAnsi="Book Antiqua" w:cs="Book Antiqua"/>
        </w:rPr>
        <w:t xml:space="preserve">, Roche TE, Danner DJ, Ansari A, Coppel RL, Prindiville T, Dickson ER, Gershwin ME. Antimitochondrial autoantibodies in primary biliary cirrhosis recognize </w:t>
      </w:r>
      <w:r w:rsidRPr="00CE54E5">
        <w:rPr>
          <w:rFonts w:ascii="Book Antiqua" w:hAnsi="Book Antiqua" w:cs="Book Antiqua"/>
        </w:rPr>
        <w:lastRenderedPageBreak/>
        <w:t xml:space="preserve">cross-reactive epitope(s) on protein X and dihydrolipoamide acetyltransferase of pyruvate dehydrogenase complex. </w:t>
      </w:r>
      <w:r w:rsidRPr="00CE54E5">
        <w:rPr>
          <w:rFonts w:ascii="Book Antiqua" w:hAnsi="Book Antiqua" w:cs="Book Antiqua"/>
          <w:i/>
          <w:iCs/>
        </w:rPr>
        <w:t>Hepatology</w:t>
      </w:r>
      <w:r w:rsidRPr="00CE54E5">
        <w:rPr>
          <w:rFonts w:ascii="Book Antiqua" w:hAnsi="Book Antiqua" w:cs="Book Antiqua"/>
        </w:rPr>
        <w:t xml:space="preserve"> 1989; </w:t>
      </w:r>
      <w:r w:rsidRPr="00CE54E5">
        <w:rPr>
          <w:rFonts w:ascii="Book Antiqua" w:hAnsi="Book Antiqua" w:cs="Book Antiqua"/>
          <w:b/>
          <w:bCs/>
        </w:rPr>
        <w:t>10</w:t>
      </w:r>
      <w:r w:rsidRPr="00CE54E5">
        <w:rPr>
          <w:rFonts w:ascii="Book Antiqua" w:hAnsi="Book Antiqua" w:cs="Book Antiqua"/>
        </w:rPr>
        <w:t>: 127-133 [PMID: 2473022 DOI: 10.1002/hep.1840100202]</w:t>
      </w:r>
    </w:p>
    <w:p w14:paraId="720DD598"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80 </w:t>
      </w:r>
      <w:r w:rsidRPr="00CE54E5">
        <w:rPr>
          <w:rFonts w:ascii="Book Antiqua" w:hAnsi="Book Antiqua" w:cs="Book Antiqua"/>
          <w:b/>
          <w:bCs/>
        </w:rPr>
        <w:t>Gulamhusein AF</w:t>
      </w:r>
      <w:r w:rsidRPr="00CE54E5">
        <w:rPr>
          <w:rFonts w:ascii="Book Antiqua" w:hAnsi="Book Antiqua" w:cs="Book Antiqua"/>
        </w:rPr>
        <w:t xml:space="preserve">, Hirschfield GM. Pathophysiology of primary biliary cholangitis. </w:t>
      </w:r>
      <w:r w:rsidRPr="00CE54E5">
        <w:rPr>
          <w:rFonts w:ascii="Book Antiqua" w:hAnsi="Book Antiqua" w:cs="Book Antiqua"/>
          <w:i/>
          <w:iCs/>
        </w:rPr>
        <w:t>Best Pract Res Clin Gastroenterol</w:t>
      </w:r>
      <w:r w:rsidRPr="00CE54E5">
        <w:rPr>
          <w:rFonts w:ascii="Book Antiqua" w:hAnsi="Book Antiqua" w:cs="Book Antiqua"/>
        </w:rPr>
        <w:t xml:space="preserve"> 2018; </w:t>
      </w:r>
      <w:r w:rsidRPr="00CE54E5">
        <w:rPr>
          <w:rFonts w:ascii="Book Antiqua" w:hAnsi="Book Antiqua" w:cs="Book Antiqua"/>
          <w:b/>
          <w:bCs/>
        </w:rPr>
        <w:t>34-35</w:t>
      </w:r>
      <w:r w:rsidRPr="00CE54E5">
        <w:rPr>
          <w:rFonts w:ascii="Book Antiqua" w:hAnsi="Book Antiqua" w:cs="Book Antiqua"/>
        </w:rPr>
        <w:t>: 17-25 [PMID: 30343706 DOI: 10.1016/j.bpg.2018.05.012]</w:t>
      </w:r>
    </w:p>
    <w:p w14:paraId="17C82E0B"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81 </w:t>
      </w:r>
      <w:r w:rsidRPr="00CE54E5">
        <w:rPr>
          <w:rFonts w:ascii="Book Antiqua" w:hAnsi="Book Antiqua" w:cs="Book Antiqua"/>
          <w:b/>
          <w:bCs/>
        </w:rPr>
        <w:t>Ge S</w:t>
      </w:r>
      <w:r w:rsidRPr="00CE54E5">
        <w:rPr>
          <w:rFonts w:ascii="Book Antiqua" w:hAnsi="Book Antiqua" w:cs="Book Antiqua"/>
        </w:rPr>
        <w:t xml:space="preserve">, Xu Q, Li H, Shao T, Zhong F, Leung PSC, Shuai Z. Differential immune response to xenobiotic-modified self-molecule in simple and connective tissue disease-associated primary biliary cholangitis. </w:t>
      </w:r>
      <w:r w:rsidRPr="00CE54E5">
        <w:rPr>
          <w:rFonts w:ascii="Book Antiqua" w:hAnsi="Book Antiqua" w:cs="Book Antiqua"/>
          <w:i/>
          <w:iCs/>
        </w:rPr>
        <w:t>Liver Int</w:t>
      </w:r>
      <w:r w:rsidRPr="00CE54E5">
        <w:rPr>
          <w:rFonts w:ascii="Book Antiqua" w:hAnsi="Book Antiqua" w:cs="Book Antiqua"/>
        </w:rPr>
        <w:t xml:space="preserve"> 2022; </w:t>
      </w:r>
      <w:r w:rsidRPr="00CE54E5">
        <w:rPr>
          <w:rFonts w:ascii="Book Antiqua" w:hAnsi="Book Antiqua" w:cs="Book Antiqua"/>
          <w:b/>
          <w:bCs/>
        </w:rPr>
        <w:t>42</w:t>
      </w:r>
      <w:r w:rsidRPr="00CE54E5">
        <w:rPr>
          <w:rFonts w:ascii="Book Antiqua" w:hAnsi="Book Antiqua" w:cs="Book Antiqua"/>
        </w:rPr>
        <w:t>: 2204-2215 [PMID: 35791754 DOI: 10.1111/liv.15360]</w:t>
      </w:r>
    </w:p>
    <w:p w14:paraId="759B1F5B"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82 </w:t>
      </w:r>
      <w:r w:rsidRPr="00CE54E5">
        <w:rPr>
          <w:rFonts w:ascii="Book Antiqua" w:hAnsi="Book Antiqua" w:cs="Book Antiqua"/>
          <w:b/>
          <w:bCs/>
        </w:rPr>
        <w:t>Rieger R</w:t>
      </w:r>
      <w:r w:rsidRPr="00CE54E5">
        <w:rPr>
          <w:rFonts w:ascii="Book Antiqua" w:hAnsi="Book Antiqua" w:cs="Book Antiqua"/>
        </w:rPr>
        <w:t xml:space="preserve">, Gershwin ME. The X and why of xenobiotics in primary biliary cirrhosis. </w:t>
      </w:r>
      <w:r w:rsidRPr="00CE54E5">
        <w:rPr>
          <w:rFonts w:ascii="Book Antiqua" w:hAnsi="Book Antiqua" w:cs="Book Antiqua"/>
          <w:i/>
          <w:iCs/>
        </w:rPr>
        <w:t>J Autoimmun</w:t>
      </w:r>
      <w:r w:rsidRPr="00CE54E5">
        <w:rPr>
          <w:rFonts w:ascii="Book Antiqua" w:hAnsi="Book Antiqua" w:cs="Book Antiqua"/>
        </w:rPr>
        <w:t xml:space="preserve"> 2007; </w:t>
      </w:r>
      <w:r w:rsidRPr="00CE54E5">
        <w:rPr>
          <w:rFonts w:ascii="Book Antiqua" w:hAnsi="Book Antiqua" w:cs="Book Antiqua"/>
          <w:b/>
          <w:bCs/>
        </w:rPr>
        <w:t>28</w:t>
      </w:r>
      <w:r w:rsidRPr="00CE54E5">
        <w:rPr>
          <w:rFonts w:ascii="Book Antiqua" w:hAnsi="Book Antiqua" w:cs="Book Antiqua"/>
        </w:rPr>
        <w:t>: 76-84 [PMID: 17360156 DOI: 10.1016/j.jaut.2007.02.003]</w:t>
      </w:r>
    </w:p>
    <w:p w14:paraId="5B0ECB36"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83 </w:t>
      </w:r>
      <w:r w:rsidRPr="00CE54E5">
        <w:rPr>
          <w:rFonts w:ascii="Book Antiqua" w:hAnsi="Book Antiqua" w:cs="Book Antiqua"/>
          <w:b/>
          <w:bCs/>
        </w:rPr>
        <w:t>Wang J</w:t>
      </w:r>
      <w:r w:rsidRPr="00CE54E5">
        <w:rPr>
          <w:rFonts w:ascii="Book Antiqua" w:hAnsi="Book Antiqua" w:cs="Book Antiqua"/>
        </w:rPr>
        <w:t xml:space="preserve">, Budamagunta MS, Voss JC, Kurth MJ, Lam KS, Lu L, Kenny TP, Bowlus C, Kikuchi K, Coppel RL, Ansari AA, Gershwin ME, Leung PS. Antimitochondrial antibody recognition and structural integrity of the inner lipoyl domain of the E2 subunit of pyruvate dehydrogenase complex. </w:t>
      </w:r>
      <w:r w:rsidRPr="00CE54E5">
        <w:rPr>
          <w:rFonts w:ascii="Book Antiqua" w:hAnsi="Book Antiqua" w:cs="Book Antiqua"/>
          <w:i/>
          <w:iCs/>
        </w:rPr>
        <w:t>J Immunol</w:t>
      </w:r>
      <w:r w:rsidRPr="00CE54E5">
        <w:rPr>
          <w:rFonts w:ascii="Book Antiqua" w:hAnsi="Book Antiqua" w:cs="Book Antiqua"/>
        </w:rPr>
        <w:t xml:space="preserve"> 2013; </w:t>
      </w:r>
      <w:r w:rsidRPr="00CE54E5">
        <w:rPr>
          <w:rFonts w:ascii="Book Antiqua" w:hAnsi="Book Antiqua" w:cs="Book Antiqua"/>
          <w:b/>
          <w:bCs/>
        </w:rPr>
        <w:t>191</w:t>
      </w:r>
      <w:r w:rsidRPr="00CE54E5">
        <w:rPr>
          <w:rFonts w:ascii="Book Antiqua" w:hAnsi="Book Antiqua" w:cs="Book Antiqua"/>
        </w:rPr>
        <w:t>: 2126-2133 [PMID: 23894195 DOI: 10.4049/jimmunol.1301092]</w:t>
      </w:r>
    </w:p>
    <w:p w14:paraId="6196B8D9"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84 </w:t>
      </w:r>
      <w:r w:rsidRPr="00CE54E5">
        <w:rPr>
          <w:rFonts w:ascii="Book Antiqua" w:hAnsi="Book Antiqua" w:cs="Book Antiqua"/>
          <w:b/>
          <w:bCs/>
        </w:rPr>
        <w:t>Naiyanetr P</w:t>
      </w:r>
      <w:r w:rsidRPr="00CE54E5">
        <w:rPr>
          <w:rFonts w:ascii="Book Antiqua" w:hAnsi="Book Antiqua" w:cs="Book Antiqua"/>
        </w:rPr>
        <w:t>, Butler JD, Meng L, Pfeiff J, Kenny TP, Guggenheim KG, Reiger R, Lam K, Kurth MJ, Ansari AA, Coppel RL, López-Hoyos M, Gershwin ME, Leung PS. Electro</w:t>
      </w:r>
      <w:r w:rsidRPr="00CE54E5">
        <w:rPr>
          <w:rFonts w:ascii="Book Antiqua" w:eastAsia="宋体" w:hAnsi="Book Antiqua" w:cs="Book Antiqua" w:hint="eastAsia"/>
          <w:lang w:eastAsia="zh-CN"/>
        </w:rPr>
        <w:t>phi</w:t>
      </w:r>
      <w:r w:rsidRPr="00CE54E5">
        <w:rPr>
          <w:rFonts w:ascii="Book Antiqua" w:hAnsi="Book Antiqua" w:cs="Book Antiqua"/>
        </w:rPr>
        <w:t xml:space="preserve">le-modified lipoic derivatives of PDC-E2 elicits anti-mitochondrial antibody reactivity. </w:t>
      </w:r>
      <w:r w:rsidRPr="00CE54E5">
        <w:rPr>
          <w:rFonts w:ascii="Book Antiqua" w:hAnsi="Book Antiqua" w:cs="Book Antiqua"/>
          <w:i/>
          <w:iCs/>
        </w:rPr>
        <w:t>J Autoimmun</w:t>
      </w:r>
      <w:r w:rsidRPr="00CE54E5">
        <w:rPr>
          <w:rFonts w:ascii="Book Antiqua" w:hAnsi="Book Antiqua" w:cs="Book Antiqua"/>
        </w:rPr>
        <w:t xml:space="preserve"> 2011; </w:t>
      </w:r>
      <w:r w:rsidRPr="00CE54E5">
        <w:rPr>
          <w:rFonts w:ascii="Book Antiqua" w:hAnsi="Book Antiqua" w:cs="Book Antiqua"/>
          <w:b/>
          <w:bCs/>
        </w:rPr>
        <w:t>37</w:t>
      </w:r>
      <w:r w:rsidRPr="00CE54E5">
        <w:rPr>
          <w:rFonts w:ascii="Book Antiqua" w:hAnsi="Book Antiqua" w:cs="Book Antiqua"/>
        </w:rPr>
        <w:t>: 209-216 [PMID: 21763105 DOI: 10.1016/j.jaut.2011.06.001]</w:t>
      </w:r>
    </w:p>
    <w:p w14:paraId="6E3E3BB0"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85 </w:t>
      </w:r>
      <w:r w:rsidRPr="00CE54E5">
        <w:rPr>
          <w:rFonts w:ascii="Book Antiqua" w:hAnsi="Book Antiqua" w:cs="Book Antiqua"/>
          <w:b/>
          <w:bCs/>
        </w:rPr>
        <w:t>Rahmatullah M</w:t>
      </w:r>
      <w:r w:rsidRPr="00CE54E5">
        <w:rPr>
          <w:rFonts w:ascii="Book Antiqua" w:hAnsi="Book Antiqua" w:cs="Book Antiqua"/>
        </w:rPr>
        <w:t xml:space="preserve">, Gopalakrishnan S, Andrews PC, Chang CL, Radke GA, Roche TE. Subunit associations in the mammalian pyruvate dehydrogenase complex. Structure and role of protein X and the pyruvate dehydrogenase component binding domain of the dihydrolipoyl transacetylase component. </w:t>
      </w:r>
      <w:r w:rsidRPr="00CE54E5">
        <w:rPr>
          <w:rFonts w:ascii="Book Antiqua" w:hAnsi="Book Antiqua" w:cs="Book Antiqua"/>
          <w:i/>
          <w:iCs/>
        </w:rPr>
        <w:t>J Biol Chem</w:t>
      </w:r>
      <w:r w:rsidRPr="00CE54E5">
        <w:rPr>
          <w:rFonts w:ascii="Book Antiqua" w:hAnsi="Book Antiqua" w:cs="Book Antiqua"/>
        </w:rPr>
        <w:t xml:space="preserve"> 1989; </w:t>
      </w:r>
      <w:r w:rsidRPr="00CE54E5">
        <w:rPr>
          <w:rFonts w:ascii="Book Antiqua" w:hAnsi="Book Antiqua" w:cs="Book Antiqua"/>
          <w:b/>
          <w:bCs/>
        </w:rPr>
        <w:t>264</w:t>
      </w:r>
      <w:r w:rsidRPr="00CE54E5">
        <w:rPr>
          <w:rFonts w:ascii="Book Antiqua" w:hAnsi="Book Antiqua" w:cs="Book Antiqua"/>
        </w:rPr>
        <w:t>: 2221-2227 [PMID: 2914903]</w:t>
      </w:r>
    </w:p>
    <w:p w14:paraId="6484CD7D"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lastRenderedPageBreak/>
        <w:t xml:space="preserve">86 </w:t>
      </w:r>
      <w:r w:rsidRPr="00CE54E5">
        <w:rPr>
          <w:rFonts w:ascii="Book Antiqua" w:hAnsi="Book Antiqua" w:cs="Book Antiqua"/>
          <w:b/>
          <w:bCs/>
        </w:rPr>
        <w:t>Fussey SP</w:t>
      </w:r>
      <w:r w:rsidRPr="00CE54E5">
        <w:rPr>
          <w:rFonts w:ascii="Book Antiqua" w:hAnsi="Book Antiqua" w:cs="Book Antiqua"/>
        </w:rPr>
        <w:t xml:space="preserve">, Bassendine MF, James OF, Yeaman SJ. Characterisation of the reactivity of autoantibodies in primary biliary cirrhosis. </w:t>
      </w:r>
      <w:r w:rsidRPr="00CE54E5">
        <w:rPr>
          <w:rFonts w:ascii="Book Antiqua" w:hAnsi="Book Antiqua" w:cs="Book Antiqua"/>
          <w:i/>
          <w:iCs/>
        </w:rPr>
        <w:t>FEBS Lett</w:t>
      </w:r>
      <w:r w:rsidRPr="00CE54E5">
        <w:rPr>
          <w:rFonts w:ascii="Book Antiqua" w:hAnsi="Book Antiqua" w:cs="Book Antiqua"/>
        </w:rPr>
        <w:t xml:space="preserve"> 1989; </w:t>
      </w:r>
      <w:r w:rsidRPr="00CE54E5">
        <w:rPr>
          <w:rFonts w:ascii="Book Antiqua" w:hAnsi="Book Antiqua" w:cs="Book Antiqua"/>
          <w:b/>
          <w:bCs/>
        </w:rPr>
        <w:t>246</w:t>
      </w:r>
      <w:r w:rsidRPr="00CE54E5">
        <w:rPr>
          <w:rFonts w:ascii="Book Antiqua" w:hAnsi="Book Antiqua" w:cs="Book Antiqua"/>
        </w:rPr>
        <w:t>: 49-53 [PMID: 2468528 DOI: 10.1016/0014-5793(89)80251-0]</w:t>
      </w:r>
    </w:p>
    <w:p w14:paraId="55CC2CAB"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87 </w:t>
      </w:r>
      <w:r w:rsidRPr="00CE54E5">
        <w:rPr>
          <w:rFonts w:ascii="Book Antiqua" w:hAnsi="Book Antiqua" w:cs="Book Antiqua"/>
          <w:b/>
          <w:bCs/>
        </w:rPr>
        <w:t>Surh CD</w:t>
      </w:r>
      <w:r w:rsidRPr="00CE54E5">
        <w:rPr>
          <w:rFonts w:ascii="Book Antiqua" w:hAnsi="Book Antiqua" w:cs="Book Antiqua"/>
        </w:rPr>
        <w:t xml:space="preserve">, Coppel R, Gershwin ME. Structural requirement for autoreactivity on human pyruvate dehydrogenase-E2, the major autoantigen of primary biliary cirrhosis. Implication for a conformational autoepitope. </w:t>
      </w:r>
      <w:r w:rsidRPr="00CE54E5">
        <w:rPr>
          <w:rFonts w:ascii="Book Antiqua" w:hAnsi="Book Antiqua" w:cs="Book Antiqua"/>
          <w:i/>
          <w:iCs/>
        </w:rPr>
        <w:t>J Immunol</w:t>
      </w:r>
      <w:r w:rsidRPr="00CE54E5">
        <w:rPr>
          <w:rFonts w:ascii="Book Antiqua" w:hAnsi="Book Antiqua" w:cs="Book Antiqua"/>
        </w:rPr>
        <w:t xml:space="preserve"> 1990; </w:t>
      </w:r>
      <w:r w:rsidRPr="00CE54E5">
        <w:rPr>
          <w:rFonts w:ascii="Book Antiqua" w:hAnsi="Book Antiqua" w:cs="Book Antiqua"/>
          <w:b/>
          <w:bCs/>
        </w:rPr>
        <w:t>144</w:t>
      </w:r>
      <w:r w:rsidRPr="00CE54E5">
        <w:rPr>
          <w:rFonts w:ascii="Book Antiqua" w:hAnsi="Book Antiqua" w:cs="Book Antiqua"/>
        </w:rPr>
        <w:t>: 3367-3374 [PMID: 1691756]</w:t>
      </w:r>
    </w:p>
    <w:p w14:paraId="14DA8A6B"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88 </w:t>
      </w:r>
      <w:r w:rsidRPr="00CE54E5">
        <w:rPr>
          <w:rFonts w:ascii="Book Antiqua" w:hAnsi="Book Antiqua" w:cs="Book Antiqua"/>
          <w:b/>
          <w:bCs/>
        </w:rPr>
        <w:t>Ohmori Hnt</w:t>
      </w:r>
      <w:r w:rsidRPr="00CE54E5">
        <w:rPr>
          <w:rFonts w:ascii="Book Antiqua" w:hAnsi="Book Antiqua" w:cs="Book Antiqua"/>
        </w:rPr>
        <w:t xml:space="preserve">, Yamauchi T, Yamamoto I. Augmentation of the antibody response by lipoic acid in mice. I. Analysis of the mode of action in an in vitro cultures system. </w:t>
      </w:r>
      <w:r w:rsidRPr="00CE54E5">
        <w:rPr>
          <w:rFonts w:ascii="Book Antiqua" w:hAnsi="Book Antiqua" w:cs="Book Antiqua"/>
          <w:i/>
          <w:iCs/>
        </w:rPr>
        <w:t>Jpn J Pharmacol</w:t>
      </w:r>
      <w:r w:rsidRPr="00CE54E5">
        <w:rPr>
          <w:rFonts w:ascii="Book Antiqua" w:hAnsi="Book Antiqua" w:cs="Book Antiqua"/>
        </w:rPr>
        <w:t xml:space="preserve"> 1986; </w:t>
      </w:r>
      <w:r w:rsidRPr="00CE54E5">
        <w:rPr>
          <w:rFonts w:ascii="Book Antiqua" w:hAnsi="Book Antiqua" w:cs="Book Antiqua"/>
          <w:b/>
          <w:bCs/>
        </w:rPr>
        <w:t>42</w:t>
      </w:r>
      <w:r w:rsidRPr="00CE54E5">
        <w:rPr>
          <w:rFonts w:ascii="Book Antiqua" w:hAnsi="Book Antiqua" w:cs="Book Antiqua"/>
        </w:rPr>
        <w:t>: 135-140 [PMID: 2948041 DOI: 10.1254/jjp.42.135]</w:t>
      </w:r>
    </w:p>
    <w:p w14:paraId="1EFCECBC"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89 </w:t>
      </w:r>
      <w:r w:rsidRPr="00CE54E5">
        <w:rPr>
          <w:rFonts w:ascii="Book Antiqua" w:hAnsi="Book Antiqua" w:cs="Book Antiqua"/>
          <w:b/>
          <w:bCs/>
        </w:rPr>
        <w:t>Colapietro F</w:t>
      </w:r>
      <w:r w:rsidRPr="00CE54E5">
        <w:rPr>
          <w:rFonts w:ascii="Book Antiqua" w:hAnsi="Book Antiqua" w:cs="Book Antiqua"/>
        </w:rPr>
        <w:t xml:space="preserve">, Lleo A, Generali E. Antimitochondrial Antibodies: from Bench to Bedside. </w:t>
      </w:r>
      <w:r w:rsidRPr="00CE54E5">
        <w:rPr>
          <w:rFonts w:ascii="Book Antiqua" w:hAnsi="Book Antiqua" w:cs="Book Antiqua"/>
          <w:i/>
          <w:iCs/>
        </w:rPr>
        <w:t>Clin Rev Allergy Immunol</w:t>
      </w:r>
      <w:r w:rsidRPr="00CE54E5">
        <w:rPr>
          <w:rFonts w:ascii="Book Antiqua" w:hAnsi="Book Antiqua" w:cs="Book Antiqua"/>
        </w:rPr>
        <w:t xml:space="preserve"> 2022; </w:t>
      </w:r>
      <w:r w:rsidRPr="00CE54E5">
        <w:rPr>
          <w:rFonts w:ascii="Book Antiqua" w:hAnsi="Book Antiqua" w:cs="Book Antiqua"/>
          <w:b/>
          <w:bCs/>
        </w:rPr>
        <w:t>63</w:t>
      </w:r>
      <w:r w:rsidRPr="00CE54E5">
        <w:rPr>
          <w:rFonts w:ascii="Book Antiqua" w:hAnsi="Book Antiqua" w:cs="Book Antiqua"/>
        </w:rPr>
        <w:t>: 166-177 [PMID: 34586589 DOI: 10.1007/s12016-021-08904-y]</w:t>
      </w:r>
    </w:p>
    <w:p w14:paraId="6812B52C"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90 </w:t>
      </w:r>
      <w:r w:rsidRPr="00CE54E5">
        <w:rPr>
          <w:rFonts w:ascii="Book Antiqua" w:hAnsi="Book Antiqua" w:cs="Book Antiqua"/>
          <w:b/>
          <w:bCs/>
        </w:rPr>
        <w:t>Sogolow ED</w:t>
      </w:r>
      <w:r w:rsidRPr="00CE54E5">
        <w:rPr>
          <w:rFonts w:ascii="Book Antiqua" w:hAnsi="Book Antiqua" w:cs="Book Antiqua"/>
        </w:rPr>
        <w:t xml:space="preserve">, Lasker JN, Short LM. Fatigue as a major predictor of quality of life in women with autoimmune liver disease: the case of primary biliary cirrhosis. </w:t>
      </w:r>
      <w:r w:rsidRPr="00CE54E5">
        <w:rPr>
          <w:rFonts w:ascii="Book Antiqua" w:hAnsi="Book Antiqua" w:cs="Book Antiqua"/>
          <w:i/>
          <w:iCs/>
        </w:rPr>
        <w:t>Womens Health Issues</w:t>
      </w:r>
      <w:r w:rsidRPr="00CE54E5">
        <w:rPr>
          <w:rFonts w:ascii="Book Antiqua" w:hAnsi="Book Antiqua" w:cs="Book Antiqua"/>
        </w:rPr>
        <w:t xml:space="preserve"> 2008; </w:t>
      </w:r>
      <w:r w:rsidRPr="00CE54E5">
        <w:rPr>
          <w:rFonts w:ascii="Book Antiqua" w:hAnsi="Book Antiqua" w:cs="Book Antiqua"/>
          <w:b/>
          <w:bCs/>
        </w:rPr>
        <w:t>18</w:t>
      </w:r>
      <w:r w:rsidRPr="00CE54E5">
        <w:rPr>
          <w:rFonts w:ascii="Book Antiqua" w:hAnsi="Book Antiqua" w:cs="Book Antiqua"/>
        </w:rPr>
        <w:t>: 336-342 [PMID: 18420421 DOI: 10.1016/j.whi.2007.12.005]</w:t>
      </w:r>
    </w:p>
    <w:p w14:paraId="30BD40C3"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91 </w:t>
      </w:r>
      <w:r w:rsidRPr="00CE54E5">
        <w:rPr>
          <w:rFonts w:ascii="Book Antiqua" w:hAnsi="Book Antiqua" w:cs="Book Antiqua"/>
          <w:b/>
          <w:bCs/>
        </w:rPr>
        <w:t>Kremer AE</w:t>
      </w:r>
      <w:r w:rsidRPr="00CE54E5">
        <w:rPr>
          <w:rFonts w:ascii="Book Antiqua" w:hAnsi="Book Antiqua" w:cs="Book Antiqua"/>
        </w:rPr>
        <w:t xml:space="preserve">, Mayo MJ, Hirschfield G, Levy C, Bowlus CL, Jones DE, Steinberg A, McWherter CA, Choi YJ. Seladelpar improved measures of pruritus, sleep, and fatigue and decreased serum bile acids in patients with primary biliary cholangitis. </w:t>
      </w:r>
      <w:r w:rsidRPr="00CE54E5">
        <w:rPr>
          <w:rFonts w:ascii="Book Antiqua" w:hAnsi="Book Antiqua" w:cs="Book Antiqua"/>
          <w:i/>
          <w:iCs/>
        </w:rPr>
        <w:t>Liver Int</w:t>
      </w:r>
      <w:r w:rsidRPr="00CE54E5">
        <w:rPr>
          <w:rFonts w:ascii="Book Antiqua" w:hAnsi="Book Antiqua" w:cs="Book Antiqua"/>
        </w:rPr>
        <w:t xml:space="preserve"> 2022; </w:t>
      </w:r>
      <w:r w:rsidRPr="00CE54E5">
        <w:rPr>
          <w:rFonts w:ascii="Book Antiqua" w:hAnsi="Book Antiqua" w:cs="Book Antiqua"/>
          <w:b/>
          <w:bCs/>
        </w:rPr>
        <w:t>42</w:t>
      </w:r>
      <w:r w:rsidRPr="00CE54E5">
        <w:rPr>
          <w:rFonts w:ascii="Book Antiqua" w:hAnsi="Book Antiqua" w:cs="Book Antiqua"/>
        </w:rPr>
        <w:t>: 112-123 [PMID: 34403559 DOI: 10.1111/liv.15039]</w:t>
      </w:r>
    </w:p>
    <w:p w14:paraId="676A4244"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92 </w:t>
      </w:r>
      <w:r w:rsidRPr="00CE54E5">
        <w:rPr>
          <w:rFonts w:ascii="Book Antiqua" w:hAnsi="Book Antiqua" w:cs="Book Antiqua"/>
          <w:b/>
          <w:bCs/>
        </w:rPr>
        <w:t>Shamshtein D,</w:t>
      </w:r>
      <w:r w:rsidRPr="00CE54E5">
        <w:rPr>
          <w:rFonts w:ascii="Book Antiqua" w:hAnsi="Book Antiqua" w:cs="Book Antiqua"/>
        </w:rPr>
        <w:t xml:space="preserve"> Liwinski T. Pathogenesis and management of fatigue in primary biliary cholangitis. </w:t>
      </w:r>
      <w:r w:rsidRPr="00CE54E5">
        <w:rPr>
          <w:rFonts w:ascii="Book Antiqua" w:hAnsi="Book Antiqua" w:cs="Book Antiqua"/>
          <w:i/>
          <w:iCs/>
        </w:rPr>
        <w:t>Fatigue: Biomedicine, Health &amp; Behavior</w:t>
      </w:r>
      <w:r w:rsidRPr="00CE54E5">
        <w:rPr>
          <w:rFonts w:ascii="Book Antiqua" w:hAnsi="Book Antiqua" w:cs="Book Antiqua"/>
        </w:rPr>
        <w:t xml:space="preserve"> 2022;</w:t>
      </w:r>
      <w:r w:rsidRPr="00CE54E5">
        <w:rPr>
          <w:rFonts w:ascii="Book Antiqua" w:eastAsia="宋体" w:hAnsi="Book Antiqua" w:cs="Book Antiqua" w:hint="eastAsia"/>
          <w:lang w:eastAsia="zh-CN"/>
        </w:rPr>
        <w:t xml:space="preserve"> </w:t>
      </w:r>
      <w:r w:rsidRPr="00CE54E5">
        <w:rPr>
          <w:rFonts w:ascii="Book Antiqua" w:hAnsi="Book Antiqua" w:cs="Book Antiqua"/>
          <w:b/>
          <w:bCs/>
        </w:rPr>
        <w:t>10</w:t>
      </w:r>
      <w:r w:rsidRPr="00CE54E5">
        <w:rPr>
          <w:rFonts w:ascii="Book Antiqua" w:hAnsi="Book Antiqua" w:cs="Book Antiqua"/>
        </w:rPr>
        <w:t>:</w:t>
      </w:r>
      <w:r w:rsidRPr="00CE54E5">
        <w:rPr>
          <w:rFonts w:ascii="Book Antiqua" w:eastAsia="宋体" w:hAnsi="Book Antiqua" w:cs="Book Antiqua" w:hint="eastAsia"/>
          <w:lang w:eastAsia="zh-CN"/>
        </w:rPr>
        <w:t xml:space="preserve"> </w:t>
      </w:r>
      <w:r w:rsidRPr="00CE54E5">
        <w:rPr>
          <w:rFonts w:ascii="Book Antiqua" w:hAnsi="Book Antiqua" w:cs="Book Antiqua"/>
        </w:rPr>
        <w:t>1-25 [DOI: 10.1080/21641846.2022.2034473]</w:t>
      </w:r>
    </w:p>
    <w:p w14:paraId="727D2B34"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93 </w:t>
      </w:r>
      <w:r w:rsidRPr="00CE54E5">
        <w:rPr>
          <w:rFonts w:ascii="Book Antiqua" w:hAnsi="Book Antiqua" w:cs="Book Antiqua"/>
          <w:b/>
          <w:bCs/>
        </w:rPr>
        <w:t>Abbas G</w:t>
      </w:r>
      <w:r w:rsidRPr="00CE54E5">
        <w:rPr>
          <w:rFonts w:ascii="Book Antiqua" w:hAnsi="Book Antiqua" w:cs="Book Antiqua"/>
        </w:rPr>
        <w:t xml:space="preserve">, Jorgensen RA, Lindor KD. Fatigue in primary biliary cirrhosis. </w:t>
      </w:r>
      <w:r w:rsidRPr="00CE54E5">
        <w:rPr>
          <w:rFonts w:ascii="Book Antiqua" w:hAnsi="Book Antiqua" w:cs="Book Antiqua"/>
          <w:i/>
          <w:iCs/>
        </w:rPr>
        <w:t>Nat Rev Gastroenterol Hepatol</w:t>
      </w:r>
      <w:r w:rsidRPr="00CE54E5">
        <w:rPr>
          <w:rFonts w:ascii="Book Antiqua" w:hAnsi="Book Antiqua" w:cs="Book Antiqua"/>
        </w:rPr>
        <w:t xml:space="preserve"> 2010; </w:t>
      </w:r>
      <w:r w:rsidRPr="00CE54E5">
        <w:rPr>
          <w:rFonts w:ascii="Book Antiqua" w:hAnsi="Book Antiqua" w:cs="Book Antiqua"/>
          <w:b/>
          <w:bCs/>
        </w:rPr>
        <w:t>7</w:t>
      </w:r>
      <w:r w:rsidRPr="00CE54E5">
        <w:rPr>
          <w:rFonts w:ascii="Book Antiqua" w:hAnsi="Book Antiqua" w:cs="Book Antiqua"/>
        </w:rPr>
        <w:t>: 313-319 [PMID: 20458334 DOI: 10.1038/nrgastro.2010.62]</w:t>
      </w:r>
    </w:p>
    <w:p w14:paraId="46EF5770"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94 </w:t>
      </w:r>
      <w:r w:rsidRPr="00CE54E5">
        <w:rPr>
          <w:rFonts w:ascii="Book Antiqua" w:hAnsi="Book Antiqua" w:cs="Book Antiqua"/>
          <w:b/>
          <w:bCs/>
        </w:rPr>
        <w:t>Witt-Sullivan H</w:t>
      </w:r>
      <w:r w:rsidRPr="00CE54E5">
        <w:rPr>
          <w:rFonts w:ascii="Book Antiqua" w:hAnsi="Book Antiqua" w:cs="Book Antiqua"/>
        </w:rPr>
        <w:t xml:space="preserve">, Heathcote J, Cauch K, Blendis L, Ghent C, Katz A, Milner R, Pappas SC, Rankin J, Wanless IR. The demography of primary biliary cirrhosis in Ontario, Canada. </w:t>
      </w:r>
      <w:r w:rsidRPr="00CE54E5">
        <w:rPr>
          <w:rFonts w:ascii="Book Antiqua" w:hAnsi="Book Antiqua" w:cs="Book Antiqua"/>
          <w:i/>
          <w:iCs/>
        </w:rPr>
        <w:t>Hepatology</w:t>
      </w:r>
      <w:r w:rsidRPr="00CE54E5">
        <w:rPr>
          <w:rFonts w:ascii="Book Antiqua" w:hAnsi="Book Antiqua" w:cs="Book Antiqua"/>
        </w:rPr>
        <w:t xml:space="preserve"> 1990; </w:t>
      </w:r>
      <w:r w:rsidRPr="00CE54E5">
        <w:rPr>
          <w:rFonts w:ascii="Book Antiqua" w:hAnsi="Book Antiqua" w:cs="Book Antiqua"/>
          <w:b/>
          <w:bCs/>
        </w:rPr>
        <w:t>12</w:t>
      </w:r>
      <w:r w:rsidRPr="00CE54E5">
        <w:rPr>
          <w:rFonts w:ascii="Book Antiqua" w:hAnsi="Book Antiqua" w:cs="Book Antiqua"/>
        </w:rPr>
        <w:t>: 98-105 [PMID: 2197212 DOI: 10.1002/hep.1840120116]</w:t>
      </w:r>
    </w:p>
    <w:p w14:paraId="66FA2CBE"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lastRenderedPageBreak/>
        <w:t xml:space="preserve">95 </w:t>
      </w:r>
      <w:r w:rsidRPr="00CE54E5">
        <w:rPr>
          <w:rFonts w:ascii="Book Antiqua" w:hAnsi="Book Antiqua" w:cs="Book Antiqua"/>
          <w:b/>
          <w:bCs/>
        </w:rPr>
        <w:t>Galoosian A</w:t>
      </w:r>
      <w:r w:rsidRPr="00CE54E5">
        <w:rPr>
          <w:rFonts w:ascii="Book Antiqua" w:hAnsi="Book Antiqua" w:cs="Book Antiqua"/>
        </w:rPr>
        <w:t xml:space="preserve">, Hanlon C, Zhang J, Holt EW, Yimam KK. Clinical Updates in Primary Biliary Cholangitis: Trends, Epidemiology, Diagnostics, and New Therapeutic Approaches. </w:t>
      </w:r>
      <w:r w:rsidRPr="00CE54E5">
        <w:rPr>
          <w:rFonts w:ascii="Book Antiqua" w:hAnsi="Book Antiqua" w:cs="Book Antiqua"/>
          <w:i/>
          <w:iCs/>
        </w:rPr>
        <w:t>J Clin Transl Hepatol</w:t>
      </w:r>
      <w:r w:rsidRPr="00CE54E5">
        <w:rPr>
          <w:rFonts w:ascii="Book Antiqua" w:hAnsi="Book Antiqua" w:cs="Book Antiqua"/>
        </w:rPr>
        <w:t xml:space="preserve"> 2020; </w:t>
      </w:r>
      <w:r w:rsidRPr="00CE54E5">
        <w:rPr>
          <w:rFonts w:ascii="Book Antiqua" w:hAnsi="Book Antiqua" w:cs="Book Antiqua"/>
          <w:b/>
          <w:bCs/>
        </w:rPr>
        <w:t>8</w:t>
      </w:r>
      <w:r w:rsidRPr="00CE54E5">
        <w:rPr>
          <w:rFonts w:ascii="Book Antiqua" w:hAnsi="Book Antiqua" w:cs="Book Antiqua"/>
        </w:rPr>
        <w:t>: 49-60 [PMID: 32274345 DOI: 10.14218/JCTH.2019.00049]</w:t>
      </w:r>
    </w:p>
    <w:p w14:paraId="269352B0"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96 </w:t>
      </w:r>
      <w:r w:rsidRPr="00CE54E5">
        <w:rPr>
          <w:rFonts w:ascii="Book Antiqua" w:hAnsi="Book Antiqua" w:cs="Book Antiqua"/>
          <w:b/>
          <w:bCs/>
        </w:rPr>
        <w:t>Newton JL</w:t>
      </w:r>
      <w:r w:rsidRPr="00CE54E5">
        <w:rPr>
          <w:rFonts w:ascii="Book Antiqua" w:hAnsi="Book Antiqua" w:cs="Book Antiqua"/>
        </w:rPr>
        <w:t xml:space="preserve">, Gibson GJ, Tomlinson M, Wilton K, Jones D. Fatigue in primary biliary cirrhosis is associated with excessive daytime somnolence. </w:t>
      </w:r>
      <w:r w:rsidRPr="00CE54E5">
        <w:rPr>
          <w:rFonts w:ascii="Book Antiqua" w:hAnsi="Book Antiqua" w:cs="Book Antiqua"/>
          <w:i/>
          <w:iCs/>
        </w:rPr>
        <w:t>Hepatology</w:t>
      </w:r>
      <w:r w:rsidRPr="00CE54E5">
        <w:rPr>
          <w:rFonts w:ascii="Book Antiqua" w:hAnsi="Book Antiqua" w:cs="Book Antiqua"/>
        </w:rPr>
        <w:t xml:space="preserve"> 2006; </w:t>
      </w:r>
      <w:r w:rsidRPr="00CE54E5">
        <w:rPr>
          <w:rFonts w:ascii="Book Antiqua" w:hAnsi="Book Antiqua" w:cs="Book Antiqua"/>
          <w:b/>
          <w:bCs/>
        </w:rPr>
        <w:t>44</w:t>
      </w:r>
      <w:r w:rsidRPr="00CE54E5">
        <w:rPr>
          <w:rFonts w:ascii="Book Antiqua" w:hAnsi="Book Antiqua" w:cs="Book Antiqua"/>
        </w:rPr>
        <w:t>: 91-98 [PMID: 16800007 DOI: 10.1002/hep.21230]</w:t>
      </w:r>
    </w:p>
    <w:p w14:paraId="7CD7DF5C"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97 </w:t>
      </w:r>
      <w:r w:rsidRPr="00CE54E5">
        <w:rPr>
          <w:rFonts w:ascii="Book Antiqua" w:hAnsi="Book Antiqua" w:cs="Book Antiqua"/>
          <w:b/>
          <w:bCs/>
        </w:rPr>
        <w:t>Biagini MR</w:t>
      </w:r>
      <w:r w:rsidRPr="00CE54E5">
        <w:rPr>
          <w:rFonts w:ascii="Book Antiqua" w:hAnsi="Book Antiqua" w:cs="Book Antiqua"/>
        </w:rPr>
        <w:t xml:space="preserve">, Tozzi A, Milani S, Grippo A, Amantini A, Capanni M, Galli A, Surrenti C. Fatigue in primary biliary cirrhosis: a possible role of comorbidities. </w:t>
      </w:r>
      <w:r w:rsidRPr="00CE54E5">
        <w:rPr>
          <w:rFonts w:ascii="Book Antiqua" w:hAnsi="Book Antiqua" w:cs="Book Antiqua"/>
          <w:i/>
          <w:iCs/>
        </w:rPr>
        <w:t>Eur J Gastroenterol Hepatol</w:t>
      </w:r>
      <w:r w:rsidRPr="00CE54E5">
        <w:rPr>
          <w:rFonts w:ascii="Book Antiqua" w:hAnsi="Book Antiqua" w:cs="Book Antiqua"/>
        </w:rPr>
        <w:t xml:space="preserve"> 2008; </w:t>
      </w:r>
      <w:r w:rsidRPr="00CE54E5">
        <w:rPr>
          <w:rFonts w:ascii="Book Antiqua" w:hAnsi="Book Antiqua" w:cs="Book Antiqua"/>
          <w:b/>
          <w:bCs/>
        </w:rPr>
        <w:t>20</w:t>
      </w:r>
      <w:r w:rsidRPr="00CE54E5">
        <w:rPr>
          <w:rFonts w:ascii="Book Antiqua" w:hAnsi="Book Antiqua" w:cs="Book Antiqua"/>
        </w:rPr>
        <w:t>: 122-126 [PMID: 18188032 DOI: 10.1097/MEG.0b013e3282f1cbda]</w:t>
      </w:r>
    </w:p>
    <w:p w14:paraId="00A0B9D2"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98 </w:t>
      </w:r>
      <w:r w:rsidRPr="00CE54E5">
        <w:rPr>
          <w:rFonts w:ascii="Book Antiqua" w:hAnsi="Book Antiqua" w:cs="Book Antiqua"/>
          <w:b/>
          <w:bCs/>
        </w:rPr>
        <w:t>Newton JL</w:t>
      </w:r>
      <w:r w:rsidRPr="00CE54E5">
        <w:rPr>
          <w:rFonts w:ascii="Book Antiqua" w:hAnsi="Book Antiqua" w:cs="Book Antiqua"/>
        </w:rPr>
        <w:t xml:space="preserve">. Fatigue in primary biliary cirrhosis. </w:t>
      </w:r>
      <w:r w:rsidRPr="00CE54E5">
        <w:rPr>
          <w:rFonts w:ascii="Book Antiqua" w:hAnsi="Book Antiqua" w:cs="Book Antiqua"/>
          <w:i/>
          <w:iCs/>
        </w:rPr>
        <w:t>Clin Liver Dis</w:t>
      </w:r>
      <w:r w:rsidRPr="00CE54E5">
        <w:rPr>
          <w:rFonts w:ascii="Book Antiqua" w:hAnsi="Book Antiqua" w:cs="Book Antiqua"/>
        </w:rPr>
        <w:t xml:space="preserve"> 2008; </w:t>
      </w:r>
      <w:r w:rsidRPr="00CE54E5">
        <w:rPr>
          <w:rFonts w:ascii="Book Antiqua" w:hAnsi="Book Antiqua" w:cs="Book Antiqua"/>
          <w:b/>
          <w:bCs/>
        </w:rPr>
        <w:t>12</w:t>
      </w:r>
      <w:r w:rsidRPr="00CE54E5">
        <w:rPr>
          <w:rFonts w:ascii="Book Antiqua" w:hAnsi="Book Antiqua" w:cs="Book Antiqua"/>
        </w:rPr>
        <w:t>: 367-83; ix [PMID: 18456186 DOI: 10.1016/j.cld.2008.02.010]</w:t>
      </w:r>
    </w:p>
    <w:p w14:paraId="31056842"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99 </w:t>
      </w:r>
      <w:r w:rsidRPr="00CE54E5">
        <w:rPr>
          <w:rFonts w:ascii="Book Antiqua" w:hAnsi="Book Antiqua" w:cs="Book Antiqua"/>
          <w:b/>
          <w:bCs/>
        </w:rPr>
        <w:t>Reshetnyak VI,</w:t>
      </w:r>
      <w:r w:rsidRPr="00CE54E5">
        <w:rPr>
          <w:rFonts w:ascii="Book Antiqua" w:hAnsi="Book Antiqua" w:cs="Book Antiqua"/>
        </w:rPr>
        <w:t xml:space="preserve"> Maev IV. Mechanism for development of malnutrition in primary biliary cholangitis. </w:t>
      </w:r>
      <w:r w:rsidRPr="00CE54E5">
        <w:rPr>
          <w:rFonts w:ascii="Book Antiqua" w:hAnsi="Book Antiqua" w:cs="Book Antiqua"/>
          <w:i/>
          <w:iCs/>
        </w:rPr>
        <w:t>World J Meta-Anal</w:t>
      </w:r>
      <w:r w:rsidRPr="00CE54E5">
        <w:rPr>
          <w:rFonts w:ascii="Book Antiqua" w:hAnsi="Book Antiqua" w:cs="Book Antiqua"/>
        </w:rPr>
        <w:t xml:space="preserve"> 2022;</w:t>
      </w:r>
      <w:r w:rsidRPr="00CE54E5">
        <w:rPr>
          <w:rFonts w:ascii="Book Antiqua" w:eastAsia="宋体" w:hAnsi="Book Antiqua" w:cs="Book Antiqua" w:hint="eastAsia"/>
          <w:lang w:eastAsia="zh-CN"/>
        </w:rPr>
        <w:t xml:space="preserve"> </w:t>
      </w:r>
      <w:r w:rsidRPr="00CE54E5">
        <w:rPr>
          <w:rFonts w:ascii="Book Antiqua" w:hAnsi="Book Antiqua" w:cs="Book Antiqua"/>
          <w:b/>
          <w:bCs/>
        </w:rPr>
        <w:t>10</w:t>
      </w:r>
      <w:r w:rsidRPr="00CE54E5">
        <w:rPr>
          <w:rFonts w:ascii="Book Antiqua" w:hAnsi="Book Antiqua" w:cs="Book Antiqua"/>
        </w:rPr>
        <w:t>: 81-98 [DOI: 10.13105/wjma.v10.i3.81]</w:t>
      </w:r>
    </w:p>
    <w:p w14:paraId="377D83F2"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100 </w:t>
      </w:r>
      <w:r w:rsidRPr="00CE54E5">
        <w:rPr>
          <w:rFonts w:ascii="Book Antiqua" w:hAnsi="Book Antiqua" w:cs="Book Antiqua"/>
          <w:b/>
          <w:bCs/>
        </w:rPr>
        <w:t>Flannery GR</w:t>
      </w:r>
      <w:r w:rsidRPr="00CE54E5">
        <w:rPr>
          <w:rFonts w:ascii="Book Antiqua" w:hAnsi="Book Antiqua" w:cs="Book Antiqua"/>
        </w:rPr>
        <w:t xml:space="preserve">, Burroughs AK, Butler P, Chelliah J, Hamilton-Miller J, Brumfitt W, Baum H. Antimitochondrial antibodies in primary biliary cirrhosis recognize both specific peptides and shared epitopes of the M2 family of antigens. </w:t>
      </w:r>
      <w:r w:rsidRPr="00CE54E5">
        <w:rPr>
          <w:rFonts w:ascii="Book Antiqua" w:hAnsi="Book Antiqua" w:cs="Book Antiqua"/>
          <w:i/>
          <w:iCs/>
        </w:rPr>
        <w:t>Hepatology</w:t>
      </w:r>
      <w:r w:rsidRPr="00CE54E5">
        <w:rPr>
          <w:rFonts w:ascii="Book Antiqua" w:hAnsi="Book Antiqua" w:cs="Book Antiqua"/>
        </w:rPr>
        <w:t xml:space="preserve"> 1989; </w:t>
      </w:r>
      <w:r w:rsidRPr="00CE54E5">
        <w:rPr>
          <w:rFonts w:ascii="Book Antiqua" w:hAnsi="Book Antiqua" w:cs="Book Antiqua"/>
          <w:b/>
          <w:bCs/>
        </w:rPr>
        <w:t>10</w:t>
      </w:r>
      <w:r w:rsidRPr="00CE54E5">
        <w:rPr>
          <w:rFonts w:ascii="Book Antiqua" w:hAnsi="Book Antiqua" w:cs="Book Antiqua"/>
        </w:rPr>
        <w:t>: 370-374 [PMID: 2474482 DOI: 10.1002/hep.1840100321]</w:t>
      </w:r>
    </w:p>
    <w:p w14:paraId="653BA355"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101 </w:t>
      </w:r>
      <w:r w:rsidRPr="00CE54E5">
        <w:rPr>
          <w:rFonts w:ascii="Book Antiqua" w:hAnsi="Book Antiqua" w:cs="Book Antiqua"/>
          <w:b/>
          <w:bCs/>
        </w:rPr>
        <w:t>Green JH</w:t>
      </w:r>
      <w:r w:rsidRPr="00CE54E5">
        <w:rPr>
          <w:rFonts w:ascii="Book Antiqua" w:hAnsi="Book Antiqua" w:cs="Book Antiqua"/>
        </w:rPr>
        <w:t xml:space="preserve">, Bramley PN, Losowsky MS. Are patients with primary biliary cirrhosis hypermetabolic? A comparison between patients before and after liver transplantation and controls. </w:t>
      </w:r>
      <w:r w:rsidRPr="00CE54E5">
        <w:rPr>
          <w:rFonts w:ascii="Book Antiqua" w:hAnsi="Book Antiqua" w:cs="Book Antiqua"/>
          <w:i/>
          <w:iCs/>
        </w:rPr>
        <w:t>Hepatology</w:t>
      </w:r>
      <w:r w:rsidRPr="00CE54E5">
        <w:rPr>
          <w:rFonts w:ascii="Book Antiqua" w:hAnsi="Book Antiqua" w:cs="Book Antiqua"/>
        </w:rPr>
        <w:t xml:space="preserve"> 1991; </w:t>
      </w:r>
      <w:r w:rsidRPr="00CE54E5">
        <w:rPr>
          <w:rFonts w:ascii="Book Antiqua" w:hAnsi="Book Antiqua" w:cs="Book Antiqua"/>
          <w:b/>
          <w:bCs/>
        </w:rPr>
        <w:t>14</w:t>
      </w:r>
      <w:r w:rsidRPr="00CE54E5">
        <w:rPr>
          <w:rFonts w:ascii="Book Antiqua" w:hAnsi="Book Antiqua" w:cs="Book Antiqua"/>
        </w:rPr>
        <w:t>: 464-472 [PMID: 1874491]</w:t>
      </w:r>
    </w:p>
    <w:p w14:paraId="3BF5CFE4"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102 </w:t>
      </w:r>
      <w:r w:rsidRPr="00CE54E5">
        <w:rPr>
          <w:rFonts w:ascii="Book Antiqua" w:hAnsi="Book Antiqua" w:cs="Book Antiqua"/>
          <w:b/>
          <w:bCs/>
        </w:rPr>
        <w:t>Jopson L</w:t>
      </w:r>
      <w:r w:rsidRPr="00CE54E5">
        <w:rPr>
          <w:rFonts w:ascii="Book Antiqua" w:hAnsi="Book Antiqua" w:cs="Book Antiqua"/>
        </w:rPr>
        <w:t xml:space="preserve">, Jones DE. Fatigue in Primary Biliary Cirrhosis: Prevalence, Pathogenesis and Management. </w:t>
      </w:r>
      <w:r w:rsidRPr="00CE54E5">
        <w:rPr>
          <w:rFonts w:ascii="Book Antiqua" w:hAnsi="Book Antiqua" w:cs="Book Antiqua"/>
          <w:i/>
          <w:iCs/>
        </w:rPr>
        <w:t>Dig Dis</w:t>
      </w:r>
      <w:r w:rsidRPr="00CE54E5">
        <w:rPr>
          <w:rFonts w:ascii="Book Antiqua" w:hAnsi="Book Antiqua" w:cs="Book Antiqua"/>
        </w:rPr>
        <w:t xml:space="preserve"> 2015; </w:t>
      </w:r>
      <w:r w:rsidRPr="00CE54E5">
        <w:rPr>
          <w:rFonts w:ascii="Book Antiqua" w:hAnsi="Book Antiqua" w:cs="Book Antiqua"/>
          <w:b/>
          <w:bCs/>
        </w:rPr>
        <w:t>33 Suppl 2</w:t>
      </w:r>
      <w:r w:rsidRPr="00CE54E5">
        <w:rPr>
          <w:rFonts w:ascii="Book Antiqua" w:hAnsi="Book Antiqua" w:cs="Book Antiqua"/>
        </w:rPr>
        <w:t>: 109-114 [PMID: 26641884 DOI: 10.1159/000440757]</w:t>
      </w:r>
    </w:p>
    <w:p w14:paraId="603539C3"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103 </w:t>
      </w:r>
      <w:r w:rsidRPr="00CE54E5">
        <w:rPr>
          <w:rFonts w:ascii="Book Antiqua" w:hAnsi="Book Antiqua" w:cs="Book Antiqua"/>
          <w:b/>
          <w:bCs/>
        </w:rPr>
        <w:t>Parikh-Patel A</w:t>
      </w:r>
      <w:r w:rsidRPr="00CE54E5">
        <w:rPr>
          <w:rFonts w:ascii="Book Antiqua" w:hAnsi="Book Antiqua" w:cs="Book Antiqua"/>
        </w:rPr>
        <w:t xml:space="preserve">, Gold EB, Utts J, Worman H, Krivy KE, Gershwin ME. Functional status of patients with primary biliary cirrhosis. </w:t>
      </w:r>
      <w:r w:rsidRPr="00CE54E5">
        <w:rPr>
          <w:rFonts w:ascii="Book Antiqua" w:hAnsi="Book Antiqua" w:cs="Book Antiqua"/>
          <w:i/>
          <w:iCs/>
        </w:rPr>
        <w:t>Am J Gastroenterol</w:t>
      </w:r>
      <w:r w:rsidRPr="00CE54E5">
        <w:rPr>
          <w:rFonts w:ascii="Book Antiqua" w:hAnsi="Book Antiqua" w:cs="Book Antiqua"/>
        </w:rPr>
        <w:t xml:space="preserve"> 2002; </w:t>
      </w:r>
      <w:r w:rsidRPr="00CE54E5">
        <w:rPr>
          <w:rFonts w:ascii="Book Antiqua" w:hAnsi="Book Antiqua" w:cs="Book Antiqua"/>
          <w:b/>
          <w:bCs/>
        </w:rPr>
        <w:t>97</w:t>
      </w:r>
      <w:r w:rsidRPr="00CE54E5">
        <w:rPr>
          <w:rFonts w:ascii="Book Antiqua" w:hAnsi="Book Antiqua" w:cs="Book Antiqua"/>
        </w:rPr>
        <w:t>: 2871-2879 [PMID: 12425562 DOI: 10.1111/j.1572-0241.2002.07055.x]</w:t>
      </w:r>
    </w:p>
    <w:p w14:paraId="74F5E92B"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lastRenderedPageBreak/>
        <w:t xml:space="preserve">104 </w:t>
      </w:r>
      <w:r w:rsidRPr="00CE54E5">
        <w:rPr>
          <w:rFonts w:ascii="Book Antiqua" w:hAnsi="Book Antiqua" w:cs="Book Antiqua"/>
          <w:b/>
          <w:bCs/>
        </w:rPr>
        <w:t>Griffiths L</w:t>
      </w:r>
      <w:r w:rsidRPr="00CE54E5">
        <w:rPr>
          <w:rFonts w:ascii="Book Antiqua" w:hAnsi="Book Antiqua" w:cs="Book Antiqua"/>
        </w:rPr>
        <w:t xml:space="preserve">, Jones DE. Pathogenesis of primary biliary cirrhosis and its fatigue. </w:t>
      </w:r>
      <w:r w:rsidRPr="00CE54E5">
        <w:rPr>
          <w:rFonts w:ascii="Book Antiqua" w:hAnsi="Book Antiqua" w:cs="Book Antiqua"/>
          <w:i/>
          <w:iCs/>
        </w:rPr>
        <w:t>Dig Dis</w:t>
      </w:r>
      <w:r w:rsidRPr="00CE54E5">
        <w:rPr>
          <w:rFonts w:ascii="Book Antiqua" w:hAnsi="Book Antiqua" w:cs="Book Antiqua"/>
        </w:rPr>
        <w:t xml:space="preserve"> 2014; </w:t>
      </w:r>
      <w:r w:rsidRPr="00CE54E5">
        <w:rPr>
          <w:rFonts w:ascii="Book Antiqua" w:hAnsi="Book Antiqua" w:cs="Book Antiqua"/>
          <w:b/>
          <w:bCs/>
        </w:rPr>
        <w:t>32</w:t>
      </w:r>
      <w:r w:rsidRPr="00CE54E5">
        <w:rPr>
          <w:rFonts w:ascii="Book Antiqua" w:hAnsi="Book Antiqua" w:cs="Book Antiqua"/>
        </w:rPr>
        <w:t>: 615-625 [PMID: 25034296 DOI: 10.1159/000360515]</w:t>
      </w:r>
    </w:p>
    <w:p w14:paraId="18FF1614"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hAnsi="Book Antiqua" w:cs="Book Antiqua"/>
        </w:rPr>
        <w:t xml:space="preserve">105 </w:t>
      </w:r>
      <w:r w:rsidRPr="00CE54E5">
        <w:rPr>
          <w:rFonts w:ascii="Book Antiqua" w:hAnsi="Book Antiqua" w:cs="Book Antiqua"/>
          <w:b/>
          <w:bCs/>
        </w:rPr>
        <w:t>Mardones P</w:t>
      </w:r>
      <w:r w:rsidRPr="00CE54E5">
        <w:rPr>
          <w:rFonts w:ascii="Book Antiqua" w:hAnsi="Book Antiqua" w:cs="Book Antiqua"/>
        </w:rPr>
        <w:t xml:space="preserve">, Medina JF, Elferink RP. Activation of cyclic AMP Signaling in Ae2-deficient mouse fibroblasts. </w:t>
      </w:r>
      <w:r w:rsidRPr="00CE54E5">
        <w:rPr>
          <w:rFonts w:ascii="Book Antiqua" w:hAnsi="Book Antiqua" w:cs="Book Antiqua"/>
          <w:i/>
          <w:iCs/>
        </w:rPr>
        <w:t>J Biol Chem</w:t>
      </w:r>
      <w:r w:rsidRPr="00CE54E5">
        <w:rPr>
          <w:rFonts w:ascii="Book Antiqua" w:hAnsi="Book Antiqua" w:cs="Book Antiqua"/>
        </w:rPr>
        <w:t xml:space="preserve"> 2008; </w:t>
      </w:r>
      <w:r w:rsidRPr="00CE54E5">
        <w:rPr>
          <w:rFonts w:ascii="Book Antiqua" w:hAnsi="Book Antiqua" w:cs="Book Antiqua"/>
          <w:b/>
          <w:bCs/>
        </w:rPr>
        <w:t>283</w:t>
      </w:r>
      <w:r w:rsidRPr="00CE54E5">
        <w:rPr>
          <w:rFonts w:ascii="Book Antiqua" w:hAnsi="Book Antiqua" w:cs="Book Antiqua"/>
        </w:rPr>
        <w:t>: 12146-12153 [PMID: 18319251 DOI: 10.1074/jbc.M710590200]</w:t>
      </w:r>
    </w:p>
    <w:p w14:paraId="0CFEAFB2" w14:textId="77777777" w:rsidR="001043FD" w:rsidRPr="00CE54E5" w:rsidRDefault="001043FD">
      <w:pPr>
        <w:adjustRightInd w:val="0"/>
        <w:snapToGrid w:val="0"/>
        <w:spacing w:line="360" w:lineRule="auto"/>
        <w:jc w:val="both"/>
        <w:rPr>
          <w:rFonts w:ascii="Book Antiqua" w:hAnsi="Book Antiqua" w:cs="Book Antiqua"/>
        </w:rPr>
        <w:sectPr w:rsidR="001043FD" w:rsidRPr="00CE54E5">
          <w:pgSz w:w="12240" w:h="15840"/>
          <w:pgMar w:top="1440" w:right="1440" w:bottom="1440" w:left="1440" w:header="720" w:footer="720" w:gutter="0"/>
          <w:cols w:space="720"/>
          <w:docGrid w:linePitch="360"/>
        </w:sectPr>
      </w:pPr>
    </w:p>
    <w:p w14:paraId="21A6FC82"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color w:val="000000"/>
        </w:rPr>
        <w:lastRenderedPageBreak/>
        <w:t>Footnotes</w:t>
      </w:r>
    </w:p>
    <w:p w14:paraId="1E31CD96"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bCs/>
        </w:rPr>
        <w:t xml:space="preserve">Conflict-of-interest statement: </w:t>
      </w:r>
      <w:r w:rsidRPr="00CE54E5">
        <w:rPr>
          <w:rFonts w:ascii="Book Antiqua" w:eastAsia="Book Antiqua" w:hAnsi="Book Antiqua" w:cs="Book Antiqua"/>
        </w:rPr>
        <w:t>Authors declare no conflict of interests for this article.</w:t>
      </w:r>
    </w:p>
    <w:p w14:paraId="77A8BC78" w14:textId="77777777" w:rsidR="001043FD" w:rsidRPr="00CE54E5" w:rsidRDefault="001043FD">
      <w:pPr>
        <w:adjustRightInd w:val="0"/>
        <w:snapToGrid w:val="0"/>
        <w:spacing w:line="360" w:lineRule="auto"/>
        <w:jc w:val="both"/>
        <w:rPr>
          <w:rFonts w:ascii="Book Antiqua" w:hAnsi="Book Antiqua" w:cs="Book Antiqua"/>
        </w:rPr>
      </w:pPr>
    </w:p>
    <w:p w14:paraId="1F5344A7"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bCs/>
        </w:rPr>
        <w:t xml:space="preserve">Open-Access: </w:t>
      </w:r>
      <w:r w:rsidRPr="00CE54E5">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87D7449" w14:textId="77777777" w:rsidR="001043FD" w:rsidRPr="00CE54E5" w:rsidRDefault="001043FD">
      <w:pPr>
        <w:adjustRightInd w:val="0"/>
        <w:snapToGrid w:val="0"/>
        <w:spacing w:line="360" w:lineRule="auto"/>
        <w:jc w:val="both"/>
        <w:rPr>
          <w:rFonts w:ascii="Book Antiqua" w:hAnsi="Book Antiqua" w:cs="Book Antiqua"/>
        </w:rPr>
      </w:pPr>
    </w:p>
    <w:p w14:paraId="5FE30882" w14:textId="77777777" w:rsidR="001043FD" w:rsidRPr="00CE54E5" w:rsidRDefault="00000000">
      <w:pPr>
        <w:adjustRightInd w:val="0"/>
        <w:snapToGrid w:val="0"/>
        <w:spacing w:line="360" w:lineRule="auto"/>
        <w:jc w:val="both"/>
        <w:rPr>
          <w:rFonts w:ascii="Book Antiqua" w:eastAsia="Book Antiqua" w:hAnsi="Book Antiqua" w:cs="Book Antiqua"/>
        </w:rPr>
      </w:pPr>
      <w:r w:rsidRPr="00CE54E5">
        <w:rPr>
          <w:rFonts w:ascii="Book Antiqua" w:eastAsia="Book Antiqua" w:hAnsi="Book Antiqua" w:cs="Book Antiqua"/>
          <w:b/>
          <w:color w:val="000000"/>
        </w:rPr>
        <w:t xml:space="preserve">Provenance and peer review: </w:t>
      </w:r>
      <w:r w:rsidRPr="00CE54E5">
        <w:rPr>
          <w:rFonts w:ascii="Book Antiqua" w:eastAsia="Book Antiqua" w:hAnsi="Book Antiqua" w:cs="Book Antiqua"/>
        </w:rPr>
        <w:t>Invited article; Externally peer reviewed.</w:t>
      </w:r>
    </w:p>
    <w:p w14:paraId="23CA43F6" w14:textId="77777777" w:rsidR="001043FD" w:rsidRPr="00CE54E5" w:rsidRDefault="001043FD">
      <w:pPr>
        <w:adjustRightInd w:val="0"/>
        <w:snapToGrid w:val="0"/>
        <w:spacing w:line="360" w:lineRule="auto"/>
        <w:jc w:val="both"/>
        <w:rPr>
          <w:rFonts w:ascii="Book Antiqua" w:eastAsia="Book Antiqua" w:hAnsi="Book Antiqua" w:cs="Book Antiqua"/>
        </w:rPr>
      </w:pPr>
    </w:p>
    <w:p w14:paraId="219DFAF4"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color w:val="000000"/>
        </w:rPr>
        <w:t xml:space="preserve">Peer-review model: </w:t>
      </w:r>
      <w:r w:rsidRPr="00CE54E5">
        <w:rPr>
          <w:rFonts w:ascii="Book Antiqua" w:eastAsia="Book Antiqua" w:hAnsi="Book Antiqua" w:cs="Book Antiqua"/>
        </w:rPr>
        <w:t>Single blind</w:t>
      </w:r>
    </w:p>
    <w:p w14:paraId="44B11A2A" w14:textId="77777777" w:rsidR="001043FD" w:rsidRPr="00CE54E5" w:rsidRDefault="001043FD">
      <w:pPr>
        <w:adjustRightInd w:val="0"/>
        <w:snapToGrid w:val="0"/>
        <w:spacing w:line="360" w:lineRule="auto"/>
        <w:jc w:val="both"/>
        <w:rPr>
          <w:rFonts w:ascii="Book Antiqua" w:hAnsi="Book Antiqua" w:cs="Book Antiqua"/>
        </w:rPr>
      </w:pPr>
    </w:p>
    <w:p w14:paraId="59458796"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color w:val="000000"/>
        </w:rPr>
        <w:t xml:space="preserve">Peer-review started: </w:t>
      </w:r>
      <w:r w:rsidRPr="00CE54E5">
        <w:rPr>
          <w:rFonts w:ascii="Book Antiqua" w:eastAsia="Book Antiqua" w:hAnsi="Book Antiqua" w:cs="Book Antiqua"/>
        </w:rPr>
        <w:t>July 19, 2023</w:t>
      </w:r>
    </w:p>
    <w:p w14:paraId="5B6F6686"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color w:val="000000"/>
        </w:rPr>
        <w:t xml:space="preserve">First decision: </w:t>
      </w:r>
      <w:r w:rsidRPr="00CE54E5">
        <w:rPr>
          <w:rFonts w:ascii="Book Antiqua" w:eastAsia="Book Antiqua" w:hAnsi="Book Antiqua" w:cs="Book Antiqua"/>
        </w:rPr>
        <w:t>August 5, 2023</w:t>
      </w:r>
    </w:p>
    <w:p w14:paraId="5BBD0522" w14:textId="02F63E12"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color w:val="000000"/>
        </w:rPr>
        <w:t xml:space="preserve">Article in press: </w:t>
      </w:r>
      <w:r w:rsidR="00E22A0B" w:rsidRPr="00CE54E5">
        <w:rPr>
          <w:rFonts w:ascii="Book Antiqua" w:eastAsia="Book Antiqua" w:hAnsi="Book Antiqua" w:cs="Book Antiqua"/>
        </w:rPr>
        <w:t>September 14, 2023</w:t>
      </w:r>
    </w:p>
    <w:p w14:paraId="7D7ADD1D" w14:textId="77777777" w:rsidR="001043FD" w:rsidRPr="00CE54E5" w:rsidRDefault="001043FD">
      <w:pPr>
        <w:adjustRightInd w:val="0"/>
        <w:snapToGrid w:val="0"/>
        <w:spacing w:line="360" w:lineRule="auto"/>
        <w:jc w:val="both"/>
        <w:rPr>
          <w:rFonts w:ascii="Book Antiqua" w:hAnsi="Book Antiqua" w:cs="Book Antiqua"/>
        </w:rPr>
      </w:pPr>
    </w:p>
    <w:p w14:paraId="6D8193B9"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color w:val="000000"/>
        </w:rPr>
        <w:t xml:space="preserve">Specialty type: </w:t>
      </w:r>
      <w:r w:rsidRPr="00CE54E5">
        <w:rPr>
          <w:rFonts w:ascii="Book Antiqua" w:eastAsia="Book Antiqua" w:hAnsi="Book Antiqua" w:cs="Book Antiqua"/>
        </w:rPr>
        <w:t>Gastroenterology and hepatology</w:t>
      </w:r>
    </w:p>
    <w:p w14:paraId="1F0D1985"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color w:val="000000"/>
        </w:rPr>
        <w:t xml:space="preserve">Country/Territory of origin: </w:t>
      </w:r>
      <w:r w:rsidRPr="00CE54E5">
        <w:rPr>
          <w:rFonts w:ascii="Book Antiqua" w:eastAsia="Book Antiqua" w:hAnsi="Book Antiqua" w:cs="Book Antiqua"/>
        </w:rPr>
        <w:t>Russia</w:t>
      </w:r>
    </w:p>
    <w:p w14:paraId="5498B9CA"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b/>
          <w:color w:val="000000"/>
        </w:rPr>
        <w:t>Peer-review report’s scientific quality classification</w:t>
      </w:r>
    </w:p>
    <w:p w14:paraId="021C5640"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rPr>
        <w:t>Grade A (Excellent): 0</w:t>
      </w:r>
    </w:p>
    <w:p w14:paraId="14257CE4"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rPr>
        <w:t>Grade B (Very good): B, B</w:t>
      </w:r>
    </w:p>
    <w:p w14:paraId="7D34EDAD"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rPr>
        <w:t>Grade C (Good): 0</w:t>
      </w:r>
    </w:p>
    <w:p w14:paraId="728EF530"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rPr>
        <w:t>Grade D (Fair): 0</w:t>
      </w:r>
    </w:p>
    <w:p w14:paraId="71612FA4" w14:textId="77777777" w:rsidR="001043FD" w:rsidRPr="00CE54E5" w:rsidRDefault="00000000">
      <w:pPr>
        <w:adjustRightInd w:val="0"/>
        <w:snapToGrid w:val="0"/>
        <w:spacing w:line="360" w:lineRule="auto"/>
        <w:jc w:val="both"/>
        <w:rPr>
          <w:rFonts w:ascii="Book Antiqua" w:hAnsi="Book Antiqua" w:cs="Book Antiqua"/>
        </w:rPr>
      </w:pPr>
      <w:r w:rsidRPr="00CE54E5">
        <w:rPr>
          <w:rFonts w:ascii="Book Antiqua" w:eastAsia="Book Antiqua" w:hAnsi="Book Antiqua" w:cs="Book Antiqua"/>
        </w:rPr>
        <w:t>Grade E (Poor): 0</w:t>
      </w:r>
    </w:p>
    <w:p w14:paraId="386D9480" w14:textId="77777777" w:rsidR="001043FD" w:rsidRPr="00CE54E5" w:rsidRDefault="001043FD">
      <w:pPr>
        <w:adjustRightInd w:val="0"/>
        <w:snapToGrid w:val="0"/>
        <w:spacing w:line="360" w:lineRule="auto"/>
        <w:jc w:val="both"/>
        <w:rPr>
          <w:rFonts w:ascii="Book Antiqua" w:hAnsi="Book Antiqua" w:cs="Book Antiqua"/>
        </w:rPr>
      </w:pPr>
    </w:p>
    <w:p w14:paraId="5EE6B7F5" w14:textId="45FD625E" w:rsidR="001043FD" w:rsidRPr="00CE54E5" w:rsidRDefault="00000000">
      <w:pPr>
        <w:adjustRightInd w:val="0"/>
        <w:snapToGrid w:val="0"/>
        <w:spacing w:line="360" w:lineRule="auto"/>
        <w:jc w:val="both"/>
        <w:rPr>
          <w:rFonts w:ascii="Book Antiqua" w:hAnsi="Book Antiqua" w:cs="Book Antiqua"/>
        </w:rPr>
        <w:sectPr w:rsidR="001043FD" w:rsidRPr="00CE54E5">
          <w:pgSz w:w="12240" w:h="15840"/>
          <w:pgMar w:top="1440" w:right="1440" w:bottom="1440" w:left="1440" w:header="720" w:footer="720" w:gutter="0"/>
          <w:cols w:space="720"/>
          <w:docGrid w:linePitch="360"/>
        </w:sectPr>
      </w:pPr>
      <w:r w:rsidRPr="00CE54E5">
        <w:rPr>
          <w:rFonts w:ascii="Book Antiqua" w:eastAsia="Book Antiqua" w:hAnsi="Book Antiqua" w:cs="Book Antiqua"/>
          <w:b/>
          <w:color w:val="000000"/>
        </w:rPr>
        <w:lastRenderedPageBreak/>
        <w:t xml:space="preserve">P-Reviewer: </w:t>
      </w:r>
      <w:r w:rsidRPr="00CE54E5">
        <w:rPr>
          <w:rFonts w:ascii="Book Antiqua" w:eastAsia="Book Antiqua" w:hAnsi="Book Antiqua" w:cs="Book Antiqua"/>
        </w:rPr>
        <w:t>Bredt LC, Brazil; Tsoulfas G, Greece</w:t>
      </w:r>
      <w:r w:rsidRPr="00CE54E5">
        <w:rPr>
          <w:rFonts w:ascii="Book Antiqua" w:eastAsia="Book Antiqua" w:hAnsi="Book Antiqua" w:cs="Book Antiqua"/>
          <w:b/>
          <w:color w:val="000000"/>
        </w:rPr>
        <w:t xml:space="preserve"> S-Editor: </w:t>
      </w:r>
      <w:r w:rsidRPr="00CE54E5">
        <w:rPr>
          <w:rFonts w:ascii="Book Antiqua" w:eastAsia="Book Antiqua" w:hAnsi="Book Antiqua" w:cs="Book Antiqua"/>
          <w:bCs/>
          <w:color w:val="000000"/>
        </w:rPr>
        <w:t>Qu XL</w:t>
      </w:r>
      <w:r w:rsidRPr="00CE54E5">
        <w:rPr>
          <w:rFonts w:ascii="Book Antiqua" w:eastAsia="Book Antiqua" w:hAnsi="Book Antiqua" w:cs="Book Antiqua"/>
          <w:b/>
          <w:color w:val="000000"/>
        </w:rPr>
        <w:t xml:space="preserve"> L-Editor: </w:t>
      </w:r>
      <w:r w:rsidRPr="00CE54E5">
        <w:rPr>
          <w:rFonts w:ascii="Book Antiqua" w:eastAsia="Book Antiqua" w:hAnsi="Book Antiqua" w:cs="Book Antiqua"/>
          <w:color w:val="000000"/>
        </w:rPr>
        <w:t>Webster JR</w:t>
      </w:r>
      <w:r w:rsidRPr="00CE54E5">
        <w:rPr>
          <w:rFonts w:ascii="Book Antiqua" w:eastAsia="Book Antiqua" w:hAnsi="Book Antiqua" w:cs="Book Antiqua"/>
          <w:b/>
          <w:color w:val="000000"/>
        </w:rPr>
        <w:t xml:space="preserve"> P-Editor:</w:t>
      </w:r>
      <w:bookmarkStart w:id="7" w:name="_Hlk145687267"/>
      <w:r w:rsidRPr="00CE54E5">
        <w:rPr>
          <w:rFonts w:ascii="Book Antiqua" w:eastAsia="Book Antiqua" w:hAnsi="Book Antiqua" w:cs="Book Antiqua"/>
          <w:bCs/>
          <w:color w:val="000000"/>
        </w:rPr>
        <w:t xml:space="preserve"> </w:t>
      </w:r>
      <w:r w:rsidR="00E22A0B" w:rsidRPr="00CE54E5">
        <w:rPr>
          <w:rFonts w:ascii="Book Antiqua" w:eastAsia="Book Antiqua" w:hAnsi="Book Antiqua" w:cs="Book Antiqua"/>
          <w:bCs/>
          <w:color w:val="000000"/>
        </w:rPr>
        <w:t>Yu HG</w:t>
      </w:r>
      <w:bookmarkEnd w:id="7"/>
    </w:p>
    <w:p w14:paraId="542C1A74" w14:textId="77777777" w:rsidR="001043FD" w:rsidRPr="00CE54E5" w:rsidRDefault="00000000">
      <w:pPr>
        <w:adjustRightInd w:val="0"/>
        <w:snapToGrid w:val="0"/>
        <w:spacing w:line="360" w:lineRule="auto"/>
        <w:jc w:val="both"/>
        <w:rPr>
          <w:rFonts w:ascii="Book Antiqua" w:eastAsia="Book Antiqua" w:hAnsi="Book Antiqua" w:cs="Book Antiqua"/>
          <w:b/>
          <w:color w:val="000000"/>
        </w:rPr>
      </w:pPr>
      <w:r w:rsidRPr="00CE54E5">
        <w:rPr>
          <w:rFonts w:ascii="Book Antiqua" w:eastAsia="Book Antiqua" w:hAnsi="Book Antiqua" w:cs="Book Antiqua"/>
          <w:b/>
          <w:color w:val="000000"/>
        </w:rPr>
        <w:lastRenderedPageBreak/>
        <w:t>Figure Legends</w:t>
      </w:r>
    </w:p>
    <w:p w14:paraId="3AFFB5EC" w14:textId="218E6136" w:rsidR="001043FD" w:rsidRPr="00CE54E5" w:rsidRDefault="00042F53">
      <w:pPr>
        <w:adjustRightInd w:val="0"/>
        <w:snapToGrid w:val="0"/>
        <w:spacing w:line="360" w:lineRule="auto"/>
        <w:jc w:val="both"/>
        <w:rPr>
          <w:rFonts w:ascii="Book Antiqua" w:eastAsia="Book Antiqua" w:hAnsi="Book Antiqua" w:cs="Book Antiqua"/>
          <w:b/>
          <w:color w:val="000000"/>
        </w:rPr>
      </w:pPr>
      <w:r>
        <w:rPr>
          <w:noProof/>
        </w:rPr>
        <w:drawing>
          <wp:inline distT="0" distB="0" distL="0" distR="0" wp14:anchorId="5A80FE55" wp14:editId="5869149F">
            <wp:extent cx="5943600" cy="4434205"/>
            <wp:effectExtent l="0" t="0" r="0" b="4445"/>
            <wp:docPr id="1639258857"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58857" name="图片 1" descr="图示&#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34205"/>
                    </a:xfrm>
                    <a:prstGeom prst="rect">
                      <a:avLst/>
                    </a:prstGeom>
                    <a:noFill/>
                    <a:ln>
                      <a:noFill/>
                    </a:ln>
                  </pic:spPr>
                </pic:pic>
              </a:graphicData>
            </a:graphic>
          </wp:inline>
        </w:drawing>
      </w:r>
    </w:p>
    <w:p w14:paraId="7EF2FA25" w14:textId="77777777" w:rsidR="001043FD" w:rsidRPr="00CE54E5" w:rsidRDefault="00000000">
      <w:pPr>
        <w:adjustRightInd w:val="0"/>
        <w:snapToGrid w:val="0"/>
        <w:spacing w:line="360" w:lineRule="auto"/>
        <w:jc w:val="both"/>
        <w:rPr>
          <w:rFonts w:ascii="Book Antiqua" w:eastAsia="宋体" w:hAnsi="Book Antiqua" w:cs="Book Antiqua"/>
          <w:color w:val="000000"/>
          <w:lang w:eastAsia="zh-CN"/>
        </w:rPr>
      </w:pPr>
      <w:r w:rsidRPr="00CE54E5">
        <w:rPr>
          <w:rFonts w:ascii="Book Antiqua" w:eastAsia="Book Antiqua" w:hAnsi="Book Antiqua" w:cs="Book Antiqua"/>
          <w:b/>
          <w:bCs/>
        </w:rPr>
        <w:t>Figure 1 Schematic of bicarbonate secretion by small and large cholangiocytes</w:t>
      </w:r>
      <w:r w:rsidRPr="00CE54E5">
        <w:rPr>
          <w:rFonts w:ascii="Book Antiqua" w:eastAsia="宋体" w:hAnsi="Book Antiqua" w:cs="Book Antiqua" w:hint="eastAsia"/>
          <w:b/>
          <w:bCs/>
          <w:lang w:eastAsia="zh-CN"/>
        </w:rPr>
        <w:t xml:space="preserve">. </w:t>
      </w:r>
      <w:r w:rsidRPr="00CE54E5">
        <w:rPr>
          <w:rFonts w:ascii="Book Antiqua" w:eastAsia="Book Antiqua" w:hAnsi="Book Antiqua" w:cs="Book Antiqua"/>
          <w:color w:val="000000"/>
          <w:szCs w:val="20"/>
        </w:rPr>
        <w:t>AE2</w:t>
      </w:r>
      <w:r w:rsidRPr="00CE54E5">
        <w:rPr>
          <w:rFonts w:ascii="Book Antiqua" w:eastAsia="宋体" w:hAnsi="Book Antiqua" w:cs="Book Antiqua" w:hint="eastAsia"/>
          <w:color w:val="000000"/>
          <w:szCs w:val="20"/>
          <w:lang w:eastAsia="zh-CN"/>
        </w:rPr>
        <w:t>:</w:t>
      </w:r>
      <w:r w:rsidRPr="00CE54E5">
        <w:rPr>
          <w:rFonts w:ascii="Book Antiqua" w:eastAsia="Book Antiqua" w:hAnsi="Book Antiqua" w:cs="Book Antiqua"/>
          <w:color w:val="000000"/>
          <w:szCs w:val="20"/>
        </w:rPr>
        <w:t xml:space="preserve"> </w:t>
      </w:r>
      <w:r w:rsidRPr="00CE54E5">
        <w:rPr>
          <w:rFonts w:ascii="Book Antiqua" w:eastAsia="宋体" w:hAnsi="Book Antiqua" w:cs="Book Antiqua" w:hint="eastAsia"/>
          <w:color w:val="000000"/>
          <w:szCs w:val="20"/>
          <w:lang w:eastAsia="zh-CN"/>
        </w:rPr>
        <w:t>C</w:t>
      </w:r>
      <w:r w:rsidRPr="00CE54E5">
        <w:rPr>
          <w:rFonts w:ascii="Book Antiqua" w:eastAsia="Book Antiqua" w:hAnsi="Book Antiqua" w:cs="Book Antiqua"/>
          <w:color w:val="000000"/>
          <w:szCs w:val="20"/>
        </w:rPr>
        <w:t>hloride/</w:t>
      </w:r>
      <w:r w:rsidRPr="00CE54E5">
        <w:rPr>
          <w:rFonts w:ascii="Book Antiqua" w:eastAsia="Book Antiqua" w:hAnsi="Book Antiqua" w:cs="Book Antiqua"/>
        </w:rPr>
        <w:t>bicarbonate</w:t>
      </w:r>
      <w:r w:rsidRPr="00CE54E5">
        <w:rPr>
          <w:rFonts w:ascii="Book Antiqua" w:eastAsia="Book Antiqua" w:hAnsi="Book Antiqua" w:cs="Book Antiqua"/>
          <w:color w:val="000000"/>
          <w:szCs w:val="20"/>
        </w:rPr>
        <w:t xml:space="preserve"> anion exchanger 2; TMEM16A</w:t>
      </w:r>
      <w:r w:rsidRPr="00CE54E5">
        <w:rPr>
          <w:rFonts w:ascii="Book Antiqua" w:eastAsia="宋体" w:hAnsi="Book Antiqua" w:cs="Book Antiqua" w:hint="eastAsia"/>
          <w:color w:val="000000"/>
          <w:szCs w:val="20"/>
          <w:lang w:eastAsia="zh-CN"/>
        </w:rPr>
        <w:t>:</w:t>
      </w:r>
      <w:r w:rsidRPr="00CE54E5">
        <w:rPr>
          <w:rFonts w:ascii="Book Antiqua" w:eastAsia="Book Antiqua" w:hAnsi="Book Antiqua" w:cs="Book Antiqua"/>
          <w:color w:val="000000"/>
          <w:szCs w:val="20"/>
        </w:rPr>
        <w:t xml:space="preserve"> </w:t>
      </w:r>
      <w:r w:rsidRPr="00CE54E5">
        <w:rPr>
          <w:rFonts w:ascii="Book Antiqua" w:eastAsia="宋体" w:hAnsi="Book Antiqua" w:cs="Book Antiqua" w:hint="eastAsia"/>
          <w:color w:val="000000"/>
          <w:szCs w:val="20"/>
          <w:lang w:eastAsia="zh-CN"/>
        </w:rPr>
        <w:t>T</w:t>
      </w:r>
      <w:r w:rsidRPr="00CE54E5">
        <w:rPr>
          <w:rFonts w:ascii="Book Antiqua" w:eastAsia="Book Antiqua" w:hAnsi="Book Antiqua" w:cs="Book Antiqua"/>
          <w:color w:val="000000"/>
          <w:szCs w:val="20"/>
        </w:rPr>
        <w:t xml:space="preserve">ransmembrane </w:t>
      </w:r>
      <w:r w:rsidRPr="00CE54E5">
        <w:rPr>
          <w:rFonts w:ascii="Book Antiqua" w:eastAsia="Book Antiqua" w:hAnsi="Book Antiqua" w:cs="Book Antiqua"/>
          <w:szCs w:val="20"/>
        </w:rPr>
        <w:t>16A chloride channels; ATP</w:t>
      </w:r>
      <w:r w:rsidRPr="00CE54E5">
        <w:rPr>
          <w:rFonts w:ascii="Book Antiqua" w:eastAsia="宋体" w:hAnsi="Book Antiqua" w:cs="Book Antiqua" w:hint="eastAsia"/>
          <w:szCs w:val="20"/>
          <w:lang w:eastAsia="zh-CN"/>
        </w:rPr>
        <w:t>:</w:t>
      </w:r>
      <w:r w:rsidRPr="00CE54E5">
        <w:rPr>
          <w:rFonts w:ascii="Book Antiqua" w:eastAsia="Book Antiqua" w:hAnsi="Book Antiqua" w:cs="Book Antiqua"/>
          <w:szCs w:val="20"/>
        </w:rPr>
        <w:t xml:space="preserve"> </w:t>
      </w:r>
      <w:r w:rsidRPr="00CE54E5">
        <w:rPr>
          <w:rFonts w:ascii="Book Antiqua" w:eastAsia="宋体" w:hAnsi="Book Antiqua" w:cs="Book Antiqua" w:hint="eastAsia"/>
          <w:szCs w:val="20"/>
          <w:lang w:eastAsia="zh-CN"/>
        </w:rPr>
        <w:t>A</w:t>
      </w:r>
      <w:r w:rsidRPr="00CE54E5">
        <w:rPr>
          <w:rFonts w:ascii="Book Antiqua" w:eastAsia="Book Antiqua" w:hAnsi="Book Antiqua" w:cs="Book Antiqua"/>
          <w:szCs w:val="20"/>
        </w:rPr>
        <w:t>denosine triphosphate; P2YR</w:t>
      </w:r>
      <w:r w:rsidRPr="00CE54E5">
        <w:rPr>
          <w:rFonts w:ascii="Book Antiqua" w:eastAsia="宋体" w:hAnsi="Book Antiqua" w:cs="Book Antiqua" w:hint="eastAsia"/>
          <w:szCs w:val="20"/>
          <w:lang w:eastAsia="zh-CN"/>
        </w:rPr>
        <w:t>:</w:t>
      </w:r>
      <w:r w:rsidRPr="00CE54E5">
        <w:rPr>
          <w:rFonts w:ascii="Book Antiqua" w:eastAsia="Book Antiqua" w:hAnsi="Book Antiqua" w:cs="Book Antiqua"/>
          <w:szCs w:val="20"/>
        </w:rPr>
        <w:t xml:space="preserve"> </w:t>
      </w:r>
      <w:r w:rsidRPr="00CE54E5">
        <w:rPr>
          <w:rFonts w:ascii="Book Antiqua" w:eastAsia="宋体" w:hAnsi="Book Antiqua" w:cs="Book Antiqua" w:hint="eastAsia"/>
          <w:szCs w:val="20"/>
          <w:lang w:eastAsia="zh-CN"/>
        </w:rPr>
        <w:t>P</w:t>
      </w:r>
      <w:r w:rsidRPr="00CE54E5">
        <w:rPr>
          <w:rFonts w:ascii="Book Antiqua" w:eastAsia="Book Antiqua" w:hAnsi="Book Antiqua" w:cs="Book Antiqua"/>
          <w:szCs w:val="20"/>
        </w:rPr>
        <w:t>urinergic receptor family; InsP</w:t>
      </w:r>
      <w:r w:rsidRPr="00CE54E5">
        <w:rPr>
          <w:rFonts w:ascii="Book Antiqua" w:eastAsia="Book Antiqua" w:hAnsi="Book Antiqua" w:cs="Book Antiqua"/>
          <w:szCs w:val="25"/>
          <w:vertAlign w:val="subscript"/>
        </w:rPr>
        <w:t>3</w:t>
      </w:r>
      <w:r w:rsidRPr="00CE54E5">
        <w:rPr>
          <w:rFonts w:ascii="Book Antiqua" w:eastAsia="宋体" w:hAnsi="Book Antiqua" w:cs="Book Antiqua" w:hint="eastAsia"/>
          <w:szCs w:val="20"/>
          <w:lang w:eastAsia="zh-CN"/>
        </w:rPr>
        <w:t>:</w:t>
      </w:r>
      <w:r w:rsidRPr="00CE54E5">
        <w:rPr>
          <w:rFonts w:ascii="Book Antiqua" w:eastAsia="Book Antiqua" w:hAnsi="Book Antiqua" w:cs="Book Antiqua"/>
          <w:szCs w:val="20"/>
        </w:rPr>
        <w:t xml:space="preserve"> </w:t>
      </w:r>
      <w:r w:rsidRPr="00CE54E5">
        <w:rPr>
          <w:rFonts w:ascii="Book Antiqua" w:eastAsia="宋体" w:hAnsi="Book Antiqua" w:cs="Book Antiqua" w:hint="eastAsia"/>
          <w:szCs w:val="20"/>
          <w:lang w:eastAsia="zh-CN"/>
        </w:rPr>
        <w:t>I</w:t>
      </w:r>
      <w:r w:rsidRPr="00CE54E5">
        <w:rPr>
          <w:rFonts w:ascii="Book Antiqua" w:eastAsia="Book Antiqua" w:hAnsi="Book Antiqua" w:cs="Book Antiqua"/>
          <w:szCs w:val="20"/>
        </w:rPr>
        <w:t>nositol-1,4,5-trisphosphate; InsP</w:t>
      </w:r>
      <w:r w:rsidRPr="00CE54E5">
        <w:rPr>
          <w:rFonts w:ascii="Book Antiqua" w:eastAsia="Book Antiqua" w:hAnsi="Book Antiqua" w:cs="Book Antiqua"/>
          <w:szCs w:val="25"/>
          <w:vertAlign w:val="subscript"/>
        </w:rPr>
        <w:t>3</w:t>
      </w:r>
      <w:r w:rsidRPr="00CE54E5">
        <w:rPr>
          <w:rFonts w:ascii="Book Antiqua" w:eastAsia="Book Antiqua" w:hAnsi="Book Antiqua" w:cs="Book Antiqua"/>
          <w:szCs w:val="20"/>
        </w:rPr>
        <w:t>R3</w:t>
      </w:r>
      <w:r w:rsidRPr="00CE54E5">
        <w:rPr>
          <w:rFonts w:ascii="Book Antiqua" w:eastAsia="宋体" w:hAnsi="Book Antiqua" w:cs="Book Antiqua" w:hint="eastAsia"/>
          <w:szCs w:val="20"/>
          <w:lang w:eastAsia="zh-CN"/>
        </w:rPr>
        <w:t>:</w:t>
      </w:r>
      <w:r w:rsidRPr="00CE54E5">
        <w:rPr>
          <w:rFonts w:ascii="Book Antiqua" w:eastAsia="Book Antiqua" w:hAnsi="Book Antiqua" w:cs="Book Antiqua"/>
          <w:szCs w:val="20"/>
        </w:rPr>
        <w:t xml:space="preserve"> </w:t>
      </w:r>
      <w:r w:rsidRPr="00CE54E5">
        <w:rPr>
          <w:rFonts w:ascii="Book Antiqua" w:eastAsia="宋体" w:hAnsi="Book Antiqua" w:cs="Book Antiqua" w:hint="eastAsia"/>
          <w:szCs w:val="20"/>
          <w:lang w:eastAsia="zh-CN"/>
        </w:rPr>
        <w:t>I</w:t>
      </w:r>
      <w:r w:rsidRPr="00CE54E5">
        <w:rPr>
          <w:rFonts w:ascii="Book Antiqua" w:eastAsia="Book Antiqua" w:hAnsi="Book Antiqua" w:cs="Book Antiqua"/>
          <w:szCs w:val="20"/>
        </w:rPr>
        <w:t>nositol-1,4,5-trisphosphate receptor type 3; ER</w:t>
      </w:r>
      <w:r w:rsidRPr="00CE54E5">
        <w:rPr>
          <w:rFonts w:ascii="Book Antiqua" w:eastAsia="宋体" w:hAnsi="Book Antiqua" w:cs="Book Antiqua" w:hint="eastAsia"/>
          <w:szCs w:val="20"/>
          <w:lang w:eastAsia="zh-CN"/>
        </w:rPr>
        <w:t>:</w:t>
      </w:r>
      <w:r w:rsidRPr="00CE54E5">
        <w:rPr>
          <w:rFonts w:ascii="Book Antiqua" w:eastAsia="Book Antiqua" w:hAnsi="Book Antiqua" w:cs="Book Antiqua"/>
          <w:szCs w:val="20"/>
        </w:rPr>
        <w:t xml:space="preserve"> </w:t>
      </w:r>
      <w:r w:rsidRPr="00CE54E5">
        <w:rPr>
          <w:rFonts w:ascii="Book Antiqua" w:eastAsia="宋体" w:hAnsi="Book Antiqua" w:cs="Book Antiqua" w:hint="eastAsia"/>
          <w:szCs w:val="20"/>
          <w:lang w:eastAsia="zh-CN"/>
        </w:rPr>
        <w:t>E</w:t>
      </w:r>
      <w:r w:rsidRPr="00CE54E5">
        <w:rPr>
          <w:rFonts w:ascii="Book Antiqua" w:eastAsia="Book Antiqua" w:hAnsi="Book Antiqua" w:cs="Book Antiqua"/>
          <w:szCs w:val="20"/>
        </w:rPr>
        <w:t>ndoplasmic reticulum; SR</w:t>
      </w:r>
      <w:r w:rsidRPr="00CE54E5">
        <w:rPr>
          <w:rFonts w:ascii="Book Antiqua" w:eastAsia="宋体" w:hAnsi="Book Antiqua" w:cs="Book Antiqua" w:hint="eastAsia"/>
          <w:szCs w:val="20"/>
          <w:lang w:eastAsia="zh-CN"/>
        </w:rPr>
        <w:t>:</w:t>
      </w:r>
      <w:r w:rsidRPr="00CE54E5">
        <w:rPr>
          <w:rFonts w:ascii="Book Antiqua" w:eastAsia="Book Antiqua" w:hAnsi="Book Antiqua" w:cs="Book Antiqua"/>
          <w:szCs w:val="20"/>
        </w:rPr>
        <w:t xml:space="preserve"> </w:t>
      </w:r>
      <w:r w:rsidRPr="00CE54E5">
        <w:rPr>
          <w:rFonts w:ascii="Book Antiqua" w:eastAsia="宋体" w:hAnsi="Book Antiqua" w:cs="Book Antiqua" w:hint="eastAsia"/>
          <w:szCs w:val="20"/>
          <w:lang w:eastAsia="zh-CN"/>
        </w:rPr>
        <w:t>S</w:t>
      </w:r>
      <w:r w:rsidRPr="00CE54E5">
        <w:rPr>
          <w:rFonts w:ascii="Book Antiqua" w:eastAsia="Book Antiqua" w:hAnsi="Book Antiqua" w:cs="Book Antiqua"/>
          <w:szCs w:val="20"/>
        </w:rPr>
        <w:t>ecretin receptor; cAMP</w:t>
      </w:r>
      <w:r w:rsidRPr="00CE54E5">
        <w:rPr>
          <w:rFonts w:ascii="Book Antiqua" w:eastAsia="宋体" w:hAnsi="Book Antiqua" w:cs="Book Antiqua" w:hint="eastAsia"/>
          <w:szCs w:val="20"/>
          <w:lang w:eastAsia="zh-CN"/>
        </w:rPr>
        <w:t>:</w:t>
      </w:r>
      <w:r w:rsidRPr="00CE54E5">
        <w:rPr>
          <w:rFonts w:ascii="Book Antiqua" w:eastAsia="Book Antiqua" w:hAnsi="Book Antiqua" w:cs="Book Antiqua"/>
          <w:szCs w:val="20"/>
        </w:rPr>
        <w:t xml:space="preserve"> </w:t>
      </w:r>
      <w:r w:rsidRPr="00CE54E5">
        <w:rPr>
          <w:rFonts w:ascii="Book Antiqua" w:eastAsia="宋体" w:hAnsi="Book Antiqua" w:cs="Book Antiqua" w:hint="eastAsia"/>
          <w:szCs w:val="20"/>
          <w:lang w:eastAsia="zh-CN"/>
        </w:rPr>
        <w:t>C</w:t>
      </w:r>
      <w:r w:rsidRPr="00CE54E5">
        <w:rPr>
          <w:rFonts w:ascii="Book Antiqua" w:eastAsia="Book Antiqua" w:hAnsi="Book Antiqua" w:cs="Book Antiqua"/>
          <w:szCs w:val="20"/>
        </w:rPr>
        <w:t xml:space="preserve">yclic </w:t>
      </w:r>
      <w:r w:rsidRPr="00CE54E5">
        <w:rPr>
          <w:rFonts w:ascii="Book Antiqua" w:eastAsia="Book Antiqua" w:hAnsi="Book Antiqua" w:cs="Book Antiqua" w:hint="eastAsia"/>
          <w:szCs w:val="20"/>
        </w:rPr>
        <w:t>adenosine monophosphate</w:t>
      </w:r>
      <w:r w:rsidRPr="00CE54E5">
        <w:rPr>
          <w:rFonts w:ascii="Book Antiqua" w:eastAsia="Book Antiqua" w:hAnsi="Book Antiqua" w:cs="Book Antiqua"/>
          <w:szCs w:val="20"/>
        </w:rPr>
        <w:t>; Ach</w:t>
      </w:r>
      <w:r w:rsidRPr="00CE54E5">
        <w:rPr>
          <w:rFonts w:ascii="Book Antiqua" w:eastAsia="宋体" w:hAnsi="Book Antiqua" w:cs="Book Antiqua" w:hint="eastAsia"/>
          <w:szCs w:val="20"/>
          <w:lang w:eastAsia="zh-CN"/>
        </w:rPr>
        <w:t>:</w:t>
      </w:r>
      <w:r w:rsidRPr="00CE54E5">
        <w:rPr>
          <w:rFonts w:ascii="Book Antiqua" w:eastAsia="Book Antiqua" w:hAnsi="Book Antiqua" w:cs="Book Antiqua"/>
          <w:szCs w:val="20"/>
        </w:rPr>
        <w:t xml:space="preserve"> </w:t>
      </w:r>
      <w:r w:rsidRPr="00CE54E5">
        <w:rPr>
          <w:rFonts w:ascii="Book Antiqua" w:eastAsia="宋体" w:hAnsi="Book Antiqua" w:cs="Book Antiqua" w:hint="eastAsia"/>
          <w:szCs w:val="20"/>
          <w:lang w:eastAsia="zh-CN"/>
        </w:rPr>
        <w:t>A</w:t>
      </w:r>
      <w:r w:rsidRPr="00CE54E5">
        <w:rPr>
          <w:rFonts w:ascii="Book Antiqua" w:eastAsia="Book Antiqua" w:hAnsi="Book Antiqua" w:cs="Book Antiqua"/>
          <w:szCs w:val="20"/>
        </w:rPr>
        <w:t>cetylcholine; CFTR</w:t>
      </w:r>
      <w:r w:rsidRPr="00CE54E5">
        <w:rPr>
          <w:rFonts w:ascii="Book Antiqua" w:eastAsia="宋体" w:hAnsi="Book Antiqua" w:cs="Book Antiqua" w:hint="eastAsia"/>
          <w:szCs w:val="20"/>
          <w:lang w:eastAsia="zh-CN"/>
        </w:rPr>
        <w:t>:</w:t>
      </w:r>
      <w:r w:rsidRPr="00CE54E5">
        <w:rPr>
          <w:rFonts w:ascii="Book Antiqua" w:eastAsia="Book Antiqua" w:hAnsi="Book Antiqua" w:cs="Book Antiqua"/>
          <w:szCs w:val="20"/>
        </w:rPr>
        <w:t xml:space="preserve"> </w:t>
      </w:r>
      <w:r w:rsidRPr="00CE54E5">
        <w:rPr>
          <w:rFonts w:ascii="Book Antiqua" w:eastAsia="宋体" w:hAnsi="Book Antiqua" w:cs="Book Antiqua" w:hint="eastAsia"/>
          <w:szCs w:val="20"/>
          <w:lang w:eastAsia="zh-CN"/>
        </w:rPr>
        <w:t>C</w:t>
      </w:r>
      <w:r w:rsidRPr="00CE54E5">
        <w:rPr>
          <w:rFonts w:ascii="Book Antiqua" w:eastAsia="Book Antiqua" w:hAnsi="Book Antiqua" w:cs="Book Antiqua"/>
          <w:szCs w:val="20"/>
        </w:rPr>
        <w:t>ystic fibrosis transmembrane conductance regulator; M</w:t>
      </w:r>
      <w:r w:rsidRPr="00CE54E5">
        <w:rPr>
          <w:rFonts w:ascii="Book Antiqua" w:eastAsia="宋体" w:hAnsi="Book Antiqua" w:cs="Book Antiqua"/>
          <w:szCs w:val="20"/>
          <w:lang w:eastAsia="zh-CN"/>
        </w:rPr>
        <w:t>3R</w:t>
      </w:r>
      <w:r w:rsidRPr="00CE54E5">
        <w:rPr>
          <w:rFonts w:ascii="Book Antiqua" w:eastAsia="宋体" w:hAnsi="Book Antiqua" w:cs="Book Antiqua" w:hint="eastAsia"/>
          <w:szCs w:val="20"/>
          <w:lang w:eastAsia="zh-CN"/>
        </w:rPr>
        <w:t>:</w:t>
      </w:r>
      <w:r w:rsidRPr="00CE54E5">
        <w:rPr>
          <w:rFonts w:ascii="Book Antiqua" w:eastAsia="宋体" w:hAnsi="Book Antiqua" w:cs="Book Antiqua"/>
          <w:szCs w:val="20"/>
          <w:lang w:eastAsia="zh-CN"/>
        </w:rPr>
        <w:t xml:space="preserve"> </w:t>
      </w:r>
      <w:r w:rsidRPr="00CE54E5">
        <w:rPr>
          <w:rFonts w:ascii="Book Antiqua" w:eastAsia="宋体" w:hAnsi="Book Antiqua" w:cs="Book Antiqua" w:hint="eastAsia"/>
          <w:szCs w:val="20"/>
          <w:lang w:eastAsia="zh-CN"/>
        </w:rPr>
        <w:t>M</w:t>
      </w:r>
      <w:r w:rsidRPr="00CE54E5">
        <w:rPr>
          <w:rFonts w:ascii="Book Antiqua" w:eastAsia="宋体" w:hAnsi="Book Antiqua" w:cs="Book Antiqua"/>
          <w:szCs w:val="20"/>
          <w:lang w:eastAsia="zh-CN"/>
        </w:rPr>
        <w:t>uscarinic acetylcholine M3 receptor</w:t>
      </w:r>
      <w:r w:rsidRPr="00CE54E5">
        <w:rPr>
          <w:rFonts w:ascii="Book Antiqua" w:eastAsia="宋体" w:hAnsi="Book Antiqua" w:cs="Book Antiqua" w:hint="eastAsia"/>
          <w:szCs w:val="20"/>
          <w:lang w:eastAsia="zh-CN"/>
        </w:rPr>
        <w:t>; HCO</w:t>
      </w:r>
      <w:r w:rsidRPr="00CE54E5">
        <w:rPr>
          <w:rFonts w:ascii="Book Antiqua" w:eastAsia="宋体" w:hAnsi="Book Antiqua" w:cs="Book Antiqua" w:hint="eastAsia"/>
          <w:szCs w:val="20"/>
          <w:vertAlign w:val="subscript"/>
          <w:lang w:eastAsia="zh-CN"/>
        </w:rPr>
        <w:t>3</w:t>
      </w:r>
      <w:r w:rsidRPr="00CE54E5">
        <w:rPr>
          <w:rFonts w:ascii="Book Antiqua" w:eastAsia="宋体" w:hAnsi="Book Antiqua" w:cs="Book Antiqua" w:hint="eastAsia"/>
          <w:szCs w:val="20"/>
          <w:vertAlign w:val="superscript"/>
          <w:lang w:eastAsia="zh-CN"/>
        </w:rPr>
        <w:t>-</w:t>
      </w:r>
      <w:r w:rsidRPr="00CE54E5">
        <w:rPr>
          <w:rFonts w:ascii="Book Antiqua" w:eastAsia="宋体" w:hAnsi="Book Antiqua" w:cs="Book Antiqua" w:hint="eastAsia"/>
          <w:szCs w:val="20"/>
          <w:lang w:eastAsia="zh-CN"/>
        </w:rPr>
        <w:t xml:space="preserve">: Bicarbonate; </w:t>
      </w:r>
      <w:r w:rsidRPr="00CE54E5">
        <w:rPr>
          <w:rFonts w:ascii="Book Antiqua" w:eastAsia="Book Antiqua" w:hAnsi="Book Antiqua" w:cs="Book Antiqua"/>
          <w:color w:val="000000"/>
        </w:rPr>
        <w:t>Cl</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C</w:t>
      </w:r>
      <w:r w:rsidRPr="00CE54E5">
        <w:rPr>
          <w:rFonts w:ascii="Book Antiqua" w:eastAsia="Book Antiqua" w:hAnsi="Book Antiqua" w:cs="Book Antiqua"/>
          <w:color w:val="000000"/>
        </w:rPr>
        <w:t>hloride</w:t>
      </w:r>
      <w:r w:rsidRPr="00CE54E5">
        <w:rPr>
          <w:rFonts w:ascii="Book Antiqua" w:eastAsia="宋体" w:hAnsi="Book Antiqua" w:cs="Book Antiqua" w:hint="eastAsia"/>
          <w:color w:val="000000"/>
          <w:lang w:eastAsia="zh-CN"/>
        </w:rPr>
        <w:t>;</w:t>
      </w:r>
      <w:r w:rsidRPr="00CE54E5">
        <w:rPr>
          <w:rFonts w:ascii="Book Antiqua" w:eastAsia="Book Antiqua" w:hAnsi="Book Antiqua" w:cs="Book Antiqua"/>
          <w:color w:val="000000"/>
        </w:rPr>
        <w:t xml:space="preserve"> </w:t>
      </w:r>
      <w:r w:rsidRPr="00CE54E5">
        <w:rPr>
          <w:rFonts w:ascii="Book Antiqua" w:eastAsia="宋体" w:hAnsi="Book Antiqua" w:cs="Book Antiqua" w:hint="eastAsia"/>
          <w:color w:val="000000"/>
          <w:lang w:eastAsia="zh-CN"/>
        </w:rPr>
        <w:t>Ca</w:t>
      </w:r>
      <w:r w:rsidRPr="00CE54E5">
        <w:rPr>
          <w:rFonts w:ascii="Book Antiqua" w:eastAsia="Book Antiqua" w:hAnsi="Book Antiqua" w:cs="Book Antiqua"/>
          <w:color w:val="000000"/>
          <w:szCs w:val="36"/>
          <w:vertAlign w:val="superscript"/>
        </w:rPr>
        <w:t>2+</w:t>
      </w:r>
      <w:r w:rsidRPr="00CE54E5">
        <w:rPr>
          <w:rFonts w:ascii="Book Antiqua" w:eastAsia="宋体" w:hAnsi="Book Antiqua" w:cs="Book Antiqua" w:hint="eastAsia"/>
          <w:color w:val="000000"/>
          <w:lang w:eastAsia="zh-CN"/>
        </w:rPr>
        <w:t>: Calcium.</w:t>
      </w:r>
    </w:p>
    <w:p w14:paraId="4A734E5C" w14:textId="7C12CE6F" w:rsidR="001043FD" w:rsidRPr="00CE54E5" w:rsidRDefault="00042F53">
      <w:pPr>
        <w:adjustRightInd w:val="0"/>
        <w:snapToGrid w:val="0"/>
        <w:spacing w:line="360" w:lineRule="auto"/>
        <w:jc w:val="both"/>
        <w:rPr>
          <w:rFonts w:ascii="Book Antiqua" w:eastAsia="Book Antiqua" w:hAnsi="Book Antiqua" w:cs="Book Antiqua"/>
          <w:szCs w:val="20"/>
        </w:rPr>
      </w:pPr>
      <w:r>
        <w:rPr>
          <w:noProof/>
        </w:rPr>
        <w:lastRenderedPageBreak/>
        <w:drawing>
          <wp:inline distT="0" distB="0" distL="0" distR="0" wp14:anchorId="5CED8A83" wp14:editId="78866F4F">
            <wp:extent cx="3633470" cy="4357370"/>
            <wp:effectExtent l="0" t="0" r="5080" b="5080"/>
            <wp:docPr id="139318590"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8590" name="图片 2" descr="图示&#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3470" cy="4357370"/>
                    </a:xfrm>
                    <a:prstGeom prst="rect">
                      <a:avLst/>
                    </a:prstGeom>
                    <a:noFill/>
                    <a:ln>
                      <a:noFill/>
                    </a:ln>
                  </pic:spPr>
                </pic:pic>
              </a:graphicData>
            </a:graphic>
          </wp:inline>
        </w:drawing>
      </w:r>
    </w:p>
    <w:p w14:paraId="4491EF12" w14:textId="77777777" w:rsidR="001043FD" w:rsidRPr="00CE54E5" w:rsidRDefault="00000000">
      <w:pPr>
        <w:adjustRightInd w:val="0"/>
        <w:snapToGrid w:val="0"/>
        <w:spacing w:line="360" w:lineRule="auto"/>
        <w:jc w:val="both"/>
        <w:rPr>
          <w:rFonts w:ascii="Book Antiqua" w:eastAsia="宋体" w:hAnsi="Book Antiqua" w:cs="Book Antiqua"/>
          <w:szCs w:val="20"/>
          <w:lang w:eastAsia="zh-CN"/>
        </w:rPr>
      </w:pPr>
      <w:r w:rsidRPr="00CE54E5">
        <w:rPr>
          <w:rFonts w:ascii="Book Antiqua" w:eastAsia="Book Antiqua" w:hAnsi="Book Antiqua" w:cs="Book Antiqua"/>
          <w:b/>
          <w:bCs/>
        </w:rPr>
        <w:t xml:space="preserve">Figure 2 Mechanism of </w:t>
      </w:r>
      <w:r w:rsidRPr="00CE54E5">
        <w:rPr>
          <w:rFonts w:ascii="Book Antiqua" w:eastAsia="Book Antiqua" w:hAnsi="Book Antiqua" w:cs="Book Antiqua"/>
          <w:b/>
          <w:bCs/>
          <w:szCs w:val="20"/>
        </w:rPr>
        <w:t>inositol-1,4,5-trisphosphate receptor type 3</w:t>
      </w:r>
      <w:r w:rsidRPr="00CE54E5">
        <w:rPr>
          <w:rFonts w:ascii="Book Antiqua" w:eastAsia="Book Antiqua" w:hAnsi="Book Antiqua" w:cs="Book Antiqua"/>
          <w:b/>
          <w:bCs/>
        </w:rPr>
        <w:t xml:space="preserve"> and </w:t>
      </w:r>
      <w:r w:rsidRPr="00CE54E5">
        <w:rPr>
          <w:rFonts w:ascii="Book Antiqua" w:eastAsia="宋体" w:hAnsi="Book Antiqua" w:cs="Book Antiqua" w:hint="eastAsia"/>
          <w:b/>
          <w:bCs/>
          <w:color w:val="000000"/>
          <w:szCs w:val="20"/>
          <w:lang w:eastAsia="zh-CN"/>
        </w:rPr>
        <w:t>c</w:t>
      </w:r>
      <w:r w:rsidRPr="00CE54E5">
        <w:rPr>
          <w:rFonts w:ascii="Book Antiqua" w:eastAsia="Book Antiqua" w:hAnsi="Book Antiqua" w:cs="Book Antiqua"/>
          <w:b/>
          <w:bCs/>
          <w:color w:val="000000"/>
          <w:szCs w:val="20"/>
        </w:rPr>
        <w:t>hloride/carbonate (</w:t>
      </w:r>
      <w:r w:rsidRPr="00CE54E5">
        <w:rPr>
          <w:rFonts w:ascii="Book Antiqua" w:eastAsia="Book Antiqua" w:hAnsi="Book Antiqua" w:cs="Book Antiqua"/>
          <w:b/>
          <w:bCs/>
          <w:color w:val="000000"/>
        </w:rPr>
        <w:t>chloride</w:t>
      </w:r>
      <w:r w:rsidRPr="00CE54E5">
        <w:rPr>
          <w:rFonts w:ascii="Book Antiqua" w:eastAsia="Book Antiqua" w:hAnsi="Book Antiqua" w:cs="Book Antiqua"/>
          <w:b/>
          <w:bCs/>
          <w:color w:val="000000"/>
          <w:szCs w:val="20"/>
        </w:rPr>
        <w:t>/</w:t>
      </w:r>
      <w:r w:rsidRPr="00CE54E5">
        <w:rPr>
          <w:rFonts w:ascii="Book Antiqua" w:eastAsia="宋体" w:hAnsi="Book Antiqua" w:cs="Book Antiqua" w:hint="eastAsia"/>
          <w:b/>
          <w:bCs/>
          <w:szCs w:val="20"/>
          <w:lang w:eastAsia="zh-CN"/>
        </w:rPr>
        <w:t>bicarbonate</w:t>
      </w:r>
      <w:r w:rsidRPr="00CE54E5">
        <w:rPr>
          <w:rFonts w:ascii="Book Antiqua" w:eastAsia="Book Antiqua" w:hAnsi="Book Antiqua" w:cs="Book Antiqua"/>
          <w:b/>
          <w:bCs/>
          <w:color w:val="000000"/>
          <w:szCs w:val="20"/>
        </w:rPr>
        <w:t>) anion exchanger 2</w:t>
      </w:r>
      <w:r w:rsidRPr="00CE54E5">
        <w:rPr>
          <w:rFonts w:ascii="Book Antiqua" w:eastAsia="Book Antiqua" w:hAnsi="Book Antiqua" w:cs="Book Antiqua"/>
          <w:b/>
          <w:bCs/>
        </w:rPr>
        <w:t xml:space="preserve"> gene expression reduction due to the increase in the amount of </w:t>
      </w:r>
      <w:r w:rsidRPr="00CE54E5">
        <w:rPr>
          <w:rFonts w:ascii="Book Antiqua" w:eastAsia="Book Antiqua" w:hAnsi="Book Antiqua" w:cs="Book Antiqua"/>
          <w:b/>
          <w:bCs/>
          <w:szCs w:val="20"/>
        </w:rPr>
        <w:t>micro-RNA 506</w:t>
      </w:r>
      <w:r w:rsidRPr="00CE54E5">
        <w:rPr>
          <w:rFonts w:ascii="Book Antiqua" w:eastAsia="Book Antiqua" w:hAnsi="Book Antiqua" w:cs="Book Antiqua"/>
          <w:b/>
          <w:bCs/>
        </w:rPr>
        <w:t xml:space="preserve"> and its activity.</w:t>
      </w:r>
      <w:r w:rsidRPr="00CE54E5">
        <w:rPr>
          <w:rFonts w:ascii="Book Antiqua" w:eastAsia="宋体" w:hAnsi="Book Antiqua" w:cs="Book Antiqua" w:hint="eastAsia"/>
          <w:b/>
          <w:bCs/>
          <w:lang w:eastAsia="zh-CN"/>
        </w:rPr>
        <w:t xml:space="preserve"> </w:t>
      </w:r>
      <w:r w:rsidRPr="00CE54E5">
        <w:rPr>
          <w:rFonts w:ascii="Book Antiqua" w:eastAsia="Book Antiqua" w:hAnsi="Book Antiqua" w:cs="Book Antiqua"/>
          <w:szCs w:val="20"/>
        </w:rPr>
        <w:t>InsP</w:t>
      </w:r>
      <w:r w:rsidRPr="00CE54E5">
        <w:rPr>
          <w:rFonts w:ascii="Book Antiqua" w:eastAsia="Book Antiqua" w:hAnsi="Book Antiqua" w:cs="Book Antiqua"/>
          <w:szCs w:val="25"/>
          <w:vertAlign w:val="subscript"/>
        </w:rPr>
        <w:t>3</w:t>
      </w:r>
      <w:r w:rsidRPr="00CE54E5">
        <w:rPr>
          <w:rFonts w:ascii="Book Antiqua" w:eastAsia="Book Antiqua" w:hAnsi="Book Antiqua" w:cs="Book Antiqua"/>
          <w:szCs w:val="20"/>
        </w:rPr>
        <w:t>R3</w:t>
      </w:r>
      <w:r w:rsidRPr="00CE54E5">
        <w:rPr>
          <w:rFonts w:ascii="Book Antiqua" w:eastAsia="宋体" w:hAnsi="Book Antiqua" w:cs="Book Antiqua" w:hint="eastAsia"/>
          <w:szCs w:val="20"/>
          <w:lang w:eastAsia="zh-CN"/>
        </w:rPr>
        <w:t>:</w:t>
      </w:r>
      <w:r w:rsidRPr="00CE54E5">
        <w:rPr>
          <w:rFonts w:ascii="Book Antiqua" w:eastAsia="Book Antiqua" w:hAnsi="Book Antiqua" w:cs="Book Antiqua"/>
          <w:szCs w:val="20"/>
        </w:rPr>
        <w:t xml:space="preserve"> Inositol-1,4,5-trisphosphate receptor type 3; </w:t>
      </w:r>
      <w:r w:rsidRPr="00CE54E5">
        <w:rPr>
          <w:rFonts w:ascii="Book Antiqua" w:eastAsia="Book Antiqua" w:hAnsi="Book Antiqua" w:cs="Book Antiqua"/>
          <w:color w:val="000000"/>
          <w:szCs w:val="20"/>
        </w:rPr>
        <w:t>AE2</w:t>
      </w:r>
      <w:r w:rsidRPr="00CE54E5">
        <w:rPr>
          <w:rFonts w:ascii="Book Antiqua" w:eastAsia="宋体" w:hAnsi="Book Antiqua" w:cs="Book Antiqua" w:hint="eastAsia"/>
          <w:color w:val="000000"/>
          <w:szCs w:val="20"/>
          <w:lang w:eastAsia="zh-CN"/>
        </w:rPr>
        <w:t>:</w:t>
      </w:r>
      <w:r w:rsidRPr="00CE54E5">
        <w:rPr>
          <w:rFonts w:ascii="Book Antiqua" w:eastAsia="Book Antiqua" w:hAnsi="Book Antiqua" w:cs="Book Antiqua"/>
          <w:color w:val="000000"/>
          <w:szCs w:val="20"/>
        </w:rPr>
        <w:t xml:space="preserve"> </w:t>
      </w:r>
      <w:r w:rsidRPr="00CE54E5">
        <w:rPr>
          <w:rFonts w:ascii="Book Antiqua" w:eastAsia="宋体" w:hAnsi="Book Antiqua" w:cs="Book Antiqua" w:hint="eastAsia"/>
          <w:color w:val="000000"/>
          <w:szCs w:val="20"/>
          <w:lang w:eastAsia="zh-CN"/>
        </w:rPr>
        <w:t>C</w:t>
      </w:r>
      <w:r w:rsidRPr="00CE54E5">
        <w:rPr>
          <w:rFonts w:ascii="Book Antiqua" w:eastAsia="Book Antiqua" w:hAnsi="Book Antiqua" w:cs="Book Antiqua"/>
          <w:color w:val="000000"/>
          <w:szCs w:val="20"/>
        </w:rPr>
        <w:t>hloride/</w:t>
      </w:r>
      <w:r w:rsidRPr="00CE54E5">
        <w:rPr>
          <w:rFonts w:ascii="Book Antiqua" w:eastAsia="Book Antiqua" w:hAnsi="Book Antiqua" w:cs="Book Antiqua"/>
        </w:rPr>
        <w:t>bicarbonate</w:t>
      </w:r>
      <w:r w:rsidRPr="00CE54E5">
        <w:rPr>
          <w:rFonts w:ascii="Book Antiqua" w:eastAsia="Book Antiqua" w:hAnsi="Book Antiqua" w:cs="Book Antiqua"/>
          <w:color w:val="000000"/>
          <w:szCs w:val="20"/>
        </w:rPr>
        <w:t xml:space="preserve"> anion exchanger 2; </w:t>
      </w:r>
      <w:r w:rsidRPr="00CE54E5">
        <w:rPr>
          <w:rFonts w:ascii="Book Antiqua" w:eastAsia="Book Antiqua" w:hAnsi="Book Antiqua" w:cs="Book Antiqua"/>
          <w:szCs w:val="20"/>
        </w:rPr>
        <w:t>miR-506</w:t>
      </w:r>
      <w:r w:rsidRPr="00CE54E5">
        <w:rPr>
          <w:rFonts w:ascii="Book Antiqua" w:eastAsia="宋体" w:hAnsi="Book Antiqua" w:cs="Book Antiqua" w:hint="eastAsia"/>
          <w:szCs w:val="20"/>
          <w:lang w:eastAsia="zh-CN"/>
        </w:rPr>
        <w:t>:</w:t>
      </w:r>
      <w:r w:rsidRPr="00CE54E5">
        <w:rPr>
          <w:rFonts w:ascii="Book Antiqua" w:eastAsia="Book Antiqua" w:hAnsi="Book Antiqua" w:cs="Book Antiqua"/>
          <w:szCs w:val="20"/>
        </w:rPr>
        <w:t xml:space="preserve"> </w:t>
      </w:r>
      <w:r w:rsidRPr="00CE54E5">
        <w:rPr>
          <w:rFonts w:ascii="Book Antiqua" w:eastAsia="宋体" w:hAnsi="Book Antiqua" w:cs="Book Antiqua" w:hint="eastAsia"/>
          <w:szCs w:val="20"/>
          <w:lang w:eastAsia="zh-CN"/>
        </w:rPr>
        <w:t>M</w:t>
      </w:r>
      <w:r w:rsidRPr="00CE54E5">
        <w:rPr>
          <w:rFonts w:ascii="Book Antiqua" w:eastAsia="Book Antiqua" w:hAnsi="Book Antiqua" w:cs="Book Antiqua"/>
          <w:szCs w:val="20"/>
        </w:rPr>
        <w:t>icro-RNA 506</w:t>
      </w:r>
      <w:r w:rsidRPr="00CE54E5">
        <w:rPr>
          <w:rFonts w:ascii="Book Antiqua" w:eastAsia="宋体" w:hAnsi="Book Antiqua" w:cs="Book Antiqua" w:hint="eastAsia"/>
          <w:szCs w:val="20"/>
          <w:lang w:eastAsia="zh-CN"/>
        </w:rPr>
        <w:t xml:space="preserve">; TMEM16A: </w:t>
      </w:r>
      <w:r w:rsidRPr="00CE54E5">
        <w:rPr>
          <w:rFonts w:ascii="Book Antiqua" w:eastAsia="宋体" w:hAnsi="Book Antiqua" w:cs="Book Antiqua" w:hint="eastAsia"/>
          <w:color w:val="000000"/>
          <w:szCs w:val="20"/>
          <w:lang w:eastAsia="zh-CN"/>
        </w:rPr>
        <w:t>T</w:t>
      </w:r>
      <w:r w:rsidRPr="00CE54E5">
        <w:rPr>
          <w:rFonts w:ascii="Book Antiqua" w:eastAsia="Book Antiqua" w:hAnsi="Book Antiqua" w:cs="Book Antiqua"/>
          <w:color w:val="000000"/>
          <w:szCs w:val="20"/>
        </w:rPr>
        <w:t xml:space="preserve">ransmembrane </w:t>
      </w:r>
      <w:r w:rsidRPr="00CE54E5">
        <w:rPr>
          <w:rFonts w:ascii="Book Antiqua" w:eastAsia="Book Antiqua" w:hAnsi="Book Antiqua" w:cs="Book Antiqua"/>
          <w:szCs w:val="20"/>
        </w:rPr>
        <w:t>16A chloride channels</w:t>
      </w:r>
      <w:r w:rsidRPr="00CE54E5">
        <w:rPr>
          <w:rFonts w:ascii="Book Antiqua" w:eastAsia="宋体" w:hAnsi="Book Antiqua" w:cs="Book Antiqua" w:hint="eastAsia"/>
          <w:szCs w:val="20"/>
          <w:lang w:eastAsia="zh-CN"/>
        </w:rPr>
        <w:t>; HCO</w:t>
      </w:r>
      <w:r w:rsidRPr="00CE54E5">
        <w:rPr>
          <w:rFonts w:ascii="Book Antiqua" w:eastAsia="宋体" w:hAnsi="Book Antiqua" w:cs="Book Antiqua" w:hint="eastAsia"/>
          <w:szCs w:val="20"/>
          <w:vertAlign w:val="subscript"/>
          <w:lang w:eastAsia="zh-CN"/>
        </w:rPr>
        <w:t>3</w:t>
      </w:r>
      <w:r w:rsidRPr="00CE54E5">
        <w:rPr>
          <w:rFonts w:ascii="Book Antiqua" w:eastAsia="宋体" w:hAnsi="Book Antiqua" w:cs="Book Antiqua" w:hint="eastAsia"/>
          <w:szCs w:val="20"/>
          <w:vertAlign w:val="superscript"/>
          <w:lang w:eastAsia="zh-CN"/>
        </w:rPr>
        <w:t>-</w:t>
      </w:r>
      <w:r w:rsidRPr="00CE54E5">
        <w:rPr>
          <w:rFonts w:ascii="Book Antiqua" w:eastAsia="宋体" w:hAnsi="Book Antiqua" w:cs="Book Antiqua" w:hint="eastAsia"/>
          <w:szCs w:val="20"/>
          <w:lang w:eastAsia="zh-CN"/>
        </w:rPr>
        <w:t xml:space="preserve">: Bicarbonate; </w:t>
      </w:r>
      <w:r w:rsidRPr="00CE54E5">
        <w:rPr>
          <w:rFonts w:ascii="Book Antiqua" w:eastAsia="Book Antiqua" w:hAnsi="Book Antiqua" w:cs="Book Antiqua"/>
          <w:color w:val="000000"/>
        </w:rPr>
        <w:t>Cl</w:t>
      </w:r>
      <w:r w:rsidRPr="00CE54E5">
        <w:rPr>
          <w:rFonts w:ascii="Book Antiqua" w:eastAsia="Book Antiqua" w:hAnsi="Book Antiqua" w:cs="Book Antiqua"/>
          <w:color w:val="000000"/>
          <w:szCs w:val="36"/>
          <w:vertAlign w:val="superscript"/>
        </w:rPr>
        <w:t>-</w:t>
      </w:r>
      <w:r w:rsidRPr="00CE54E5">
        <w:rPr>
          <w:rFonts w:ascii="Book Antiqua" w:eastAsia="宋体" w:hAnsi="Book Antiqua" w:cs="Book Antiqua" w:hint="eastAsia"/>
          <w:color w:val="000000"/>
          <w:lang w:eastAsia="zh-CN"/>
        </w:rPr>
        <w:t>: C</w:t>
      </w:r>
      <w:r w:rsidRPr="00CE54E5">
        <w:rPr>
          <w:rFonts w:ascii="Book Antiqua" w:eastAsia="Book Antiqua" w:hAnsi="Book Antiqua" w:cs="Book Antiqua"/>
          <w:color w:val="000000"/>
        </w:rPr>
        <w:t>hloride</w:t>
      </w:r>
      <w:r w:rsidRPr="00CE54E5">
        <w:rPr>
          <w:rFonts w:ascii="Book Antiqua" w:eastAsia="宋体" w:hAnsi="Book Antiqua" w:cs="Book Antiqua" w:hint="eastAsia"/>
          <w:color w:val="000000"/>
          <w:lang w:eastAsia="zh-CN"/>
        </w:rPr>
        <w:t>.</w:t>
      </w:r>
    </w:p>
    <w:p w14:paraId="2D8D629A" w14:textId="6FA74279" w:rsidR="001043FD" w:rsidRPr="00CE54E5" w:rsidRDefault="005B3240">
      <w:pPr>
        <w:adjustRightInd w:val="0"/>
        <w:snapToGrid w:val="0"/>
        <w:spacing w:line="360" w:lineRule="auto"/>
        <w:jc w:val="both"/>
        <w:rPr>
          <w:rFonts w:ascii="Book Antiqua" w:eastAsia="Book Antiqua" w:hAnsi="Book Antiqua" w:cs="Book Antiqua"/>
          <w:szCs w:val="20"/>
        </w:rPr>
      </w:pPr>
      <w:r>
        <w:rPr>
          <w:noProof/>
        </w:rPr>
        <w:lastRenderedPageBreak/>
        <w:drawing>
          <wp:inline distT="0" distB="0" distL="0" distR="0" wp14:anchorId="30AE8864" wp14:editId="7EAE0DFF">
            <wp:extent cx="3621405" cy="3268345"/>
            <wp:effectExtent l="0" t="0" r="0" b="8255"/>
            <wp:docPr id="3761563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1405" cy="3268345"/>
                    </a:xfrm>
                    <a:prstGeom prst="rect">
                      <a:avLst/>
                    </a:prstGeom>
                    <a:noFill/>
                    <a:ln>
                      <a:noFill/>
                    </a:ln>
                  </pic:spPr>
                </pic:pic>
              </a:graphicData>
            </a:graphic>
          </wp:inline>
        </w:drawing>
      </w:r>
    </w:p>
    <w:p w14:paraId="240C785A" w14:textId="77777777" w:rsidR="001043FD" w:rsidRPr="00CE54E5" w:rsidRDefault="00000000">
      <w:pPr>
        <w:adjustRightInd w:val="0"/>
        <w:snapToGrid w:val="0"/>
        <w:spacing w:line="360" w:lineRule="auto"/>
        <w:jc w:val="both"/>
        <w:rPr>
          <w:rFonts w:ascii="Book Antiqua" w:eastAsia="宋体" w:hAnsi="Book Antiqua" w:cs="Book Antiqua"/>
          <w:b/>
          <w:bCs/>
          <w:lang w:eastAsia="zh-CN"/>
        </w:rPr>
      </w:pPr>
      <w:r w:rsidRPr="00CE54E5">
        <w:rPr>
          <w:rFonts w:ascii="Book Antiqua" w:eastAsia="Book Antiqua" w:hAnsi="Book Antiqua" w:cs="Book Antiqua"/>
          <w:b/>
          <w:bCs/>
        </w:rPr>
        <w:t>Figure 3 Solubilization of phospholipids and cholesterol from membrane structures by bile acids</w:t>
      </w:r>
      <w:r w:rsidRPr="00CE54E5">
        <w:rPr>
          <w:rFonts w:ascii="Book Antiqua" w:eastAsia="宋体" w:hAnsi="Book Antiqua" w:cs="Book Antiqua" w:hint="eastAsia"/>
          <w:b/>
          <w:bCs/>
          <w:lang w:eastAsia="zh-CN"/>
        </w:rPr>
        <w:t xml:space="preserve">. </w:t>
      </w:r>
      <w:r w:rsidRPr="00CE54E5">
        <w:rPr>
          <w:rFonts w:ascii="Book Antiqua" w:eastAsia="宋体" w:hAnsi="Book Antiqua" w:cs="Book Antiqua" w:hint="eastAsia"/>
          <w:lang w:eastAsia="zh-CN"/>
        </w:rPr>
        <w:t>BA: B</w:t>
      </w:r>
      <w:r w:rsidRPr="00CE54E5">
        <w:rPr>
          <w:rFonts w:ascii="Book Antiqua" w:eastAsia="Book Antiqua" w:hAnsi="Book Antiqua" w:cs="Book Antiqua"/>
        </w:rPr>
        <w:t>ile acids</w:t>
      </w:r>
      <w:r w:rsidRPr="00CE54E5">
        <w:rPr>
          <w:rFonts w:ascii="Book Antiqua" w:eastAsia="宋体" w:hAnsi="Book Antiqua" w:cs="Book Antiqua" w:hint="eastAsia"/>
          <w:lang w:eastAsia="zh-CN"/>
        </w:rPr>
        <w:t>.</w:t>
      </w:r>
    </w:p>
    <w:p w14:paraId="0D71D656" w14:textId="77777777" w:rsidR="001043FD" w:rsidRPr="00CE54E5" w:rsidRDefault="001043FD">
      <w:pPr>
        <w:adjustRightInd w:val="0"/>
        <w:snapToGrid w:val="0"/>
        <w:spacing w:line="360" w:lineRule="auto"/>
        <w:jc w:val="both"/>
        <w:rPr>
          <w:rFonts w:ascii="Book Antiqua" w:eastAsia="Book Antiqua" w:hAnsi="Book Antiqua" w:cs="Book Antiqua"/>
        </w:rPr>
      </w:pPr>
    </w:p>
    <w:p w14:paraId="63385936" w14:textId="7F83E3FE" w:rsidR="001043FD" w:rsidRPr="00CE54E5" w:rsidRDefault="00746CFC">
      <w:pPr>
        <w:adjustRightInd w:val="0"/>
        <w:snapToGrid w:val="0"/>
        <w:spacing w:line="360" w:lineRule="auto"/>
        <w:jc w:val="both"/>
        <w:rPr>
          <w:rFonts w:ascii="Book Antiqua" w:eastAsia="Book Antiqua" w:hAnsi="Book Antiqua" w:cs="Book Antiqua"/>
        </w:rPr>
      </w:pPr>
      <w:r>
        <w:rPr>
          <w:noProof/>
        </w:rPr>
        <w:drawing>
          <wp:inline distT="0" distB="0" distL="0" distR="0" wp14:anchorId="5912DB41" wp14:editId="304A3BB9">
            <wp:extent cx="5943600" cy="3401695"/>
            <wp:effectExtent l="0" t="0" r="0" b="8255"/>
            <wp:docPr id="463694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401695"/>
                    </a:xfrm>
                    <a:prstGeom prst="rect">
                      <a:avLst/>
                    </a:prstGeom>
                    <a:noFill/>
                    <a:ln>
                      <a:noFill/>
                    </a:ln>
                  </pic:spPr>
                </pic:pic>
              </a:graphicData>
            </a:graphic>
          </wp:inline>
        </w:drawing>
      </w:r>
    </w:p>
    <w:p w14:paraId="03C360C3" w14:textId="77777777" w:rsidR="001043FD" w:rsidRPr="00CE54E5" w:rsidRDefault="00000000">
      <w:pPr>
        <w:adjustRightInd w:val="0"/>
        <w:snapToGrid w:val="0"/>
        <w:spacing w:line="360" w:lineRule="auto"/>
        <w:jc w:val="both"/>
        <w:rPr>
          <w:rFonts w:ascii="Book Antiqua" w:eastAsia="宋体" w:hAnsi="Book Antiqua" w:cs="Book Antiqua"/>
          <w:szCs w:val="20"/>
          <w:lang w:eastAsia="zh-CN"/>
        </w:rPr>
      </w:pPr>
      <w:r w:rsidRPr="00CE54E5">
        <w:rPr>
          <w:rFonts w:ascii="Book Antiqua" w:eastAsia="Book Antiqua" w:hAnsi="Book Antiqua" w:cs="Book Antiqua"/>
          <w:b/>
          <w:bCs/>
        </w:rPr>
        <w:t xml:space="preserve">Figure 4 Mechanism of anti-mitochondrial antibody formation, development of ductulopenia, weakness, fatigue and malaise in the asymptomatic stage of primary </w:t>
      </w:r>
      <w:r w:rsidRPr="00CE54E5">
        <w:rPr>
          <w:rFonts w:ascii="Book Antiqua" w:eastAsia="Book Antiqua" w:hAnsi="Book Antiqua" w:cs="Book Antiqua"/>
          <w:b/>
          <w:bCs/>
        </w:rPr>
        <w:lastRenderedPageBreak/>
        <w:t>biliary cholangitis: hypothesis</w:t>
      </w:r>
      <w:r w:rsidRPr="00CE54E5">
        <w:rPr>
          <w:rFonts w:ascii="Book Antiqua" w:eastAsia="宋体" w:hAnsi="Book Antiqua" w:cs="Book Antiqua" w:hint="eastAsia"/>
          <w:b/>
          <w:bCs/>
          <w:lang w:eastAsia="zh-CN"/>
        </w:rPr>
        <w:t xml:space="preserve">. </w:t>
      </w:r>
      <w:r w:rsidRPr="00CE54E5">
        <w:rPr>
          <w:rFonts w:ascii="Book Antiqua" w:eastAsia="Book Antiqua" w:hAnsi="Book Antiqua" w:cs="Book Antiqua"/>
          <w:szCs w:val="20"/>
        </w:rPr>
        <w:t>InsP</w:t>
      </w:r>
      <w:r w:rsidRPr="00CE54E5">
        <w:rPr>
          <w:rFonts w:ascii="Book Antiqua" w:eastAsia="Book Antiqua" w:hAnsi="Book Antiqua" w:cs="Book Antiqua"/>
          <w:szCs w:val="25"/>
          <w:vertAlign w:val="subscript"/>
        </w:rPr>
        <w:t>3</w:t>
      </w:r>
      <w:r w:rsidRPr="00CE54E5">
        <w:rPr>
          <w:rFonts w:ascii="Book Antiqua" w:eastAsia="Book Antiqua" w:hAnsi="Book Antiqua" w:cs="Book Antiqua"/>
          <w:szCs w:val="20"/>
        </w:rPr>
        <w:t>R3</w:t>
      </w:r>
      <w:r w:rsidRPr="00CE54E5">
        <w:rPr>
          <w:rFonts w:ascii="Book Antiqua" w:eastAsia="宋体" w:hAnsi="Book Antiqua" w:cs="Book Antiqua" w:hint="eastAsia"/>
          <w:szCs w:val="20"/>
          <w:lang w:eastAsia="zh-CN"/>
        </w:rPr>
        <w:t>:</w:t>
      </w:r>
      <w:r w:rsidRPr="00CE54E5">
        <w:rPr>
          <w:rFonts w:ascii="Book Antiqua" w:eastAsia="Book Antiqua" w:hAnsi="Book Antiqua" w:cs="Book Antiqua"/>
          <w:szCs w:val="20"/>
        </w:rPr>
        <w:t xml:space="preserve"> Inositol-1,4,5-trisphosphate receptor type 3; </w:t>
      </w:r>
      <w:r w:rsidRPr="00CE54E5">
        <w:rPr>
          <w:rFonts w:ascii="Book Antiqua" w:eastAsia="Book Antiqua" w:hAnsi="Book Antiqua" w:cs="Book Antiqua"/>
          <w:color w:val="000000"/>
          <w:szCs w:val="20"/>
        </w:rPr>
        <w:t>AE2</w:t>
      </w:r>
      <w:r w:rsidRPr="00CE54E5">
        <w:rPr>
          <w:rFonts w:ascii="Book Antiqua" w:eastAsia="宋体" w:hAnsi="Book Antiqua" w:cs="Book Antiqua" w:hint="eastAsia"/>
          <w:color w:val="000000"/>
          <w:szCs w:val="20"/>
          <w:lang w:eastAsia="zh-CN"/>
        </w:rPr>
        <w:t>:</w:t>
      </w:r>
      <w:r w:rsidRPr="00CE54E5">
        <w:rPr>
          <w:rFonts w:ascii="Book Antiqua" w:eastAsia="Book Antiqua" w:hAnsi="Book Antiqua" w:cs="Book Antiqua"/>
          <w:color w:val="000000"/>
          <w:szCs w:val="20"/>
        </w:rPr>
        <w:t xml:space="preserve"> </w:t>
      </w:r>
      <w:r w:rsidRPr="00CE54E5">
        <w:rPr>
          <w:rFonts w:ascii="Book Antiqua" w:eastAsia="宋体" w:hAnsi="Book Antiqua" w:cs="Book Antiqua" w:hint="eastAsia"/>
          <w:color w:val="000000"/>
          <w:szCs w:val="20"/>
          <w:lang w:eastAsia="zh-CN"/>
        </w:rPr>
        <w:t>C</w:t>
      </w:r>
      <w:r w:rsidRPr="00CE54E5">
        <w:rPr>
          <w:rFonts w:ascii="Book Antiqua" w:eastAsia="Book Antiqua" w:hAnsi="Book Antiqua" w:cs="Book Antiqua"/>
          <w:color w:val="000000"/>
          <w:szCs w:val="20"/>
        </w:rPr>
        <w:t>hloride/</w:t>
      </w:r>
      <w:r w:rsidRPr="00CE54E5">
        <w:rPr>
          <w:rFonts w:ascii="Book Antiqua" w:eastAsia="Book Antiqua" w:hAnsi="Book Antiqua" w:cs="Book Antiqua"/>
        </w:rPr>
        <w:t>bicarbonate</w:t>
      </w:r>
      <w:r w:rsidRPr="00CE54E5">
        <w:rPr>
          <w:rFonts w:ascii="Book Antiqua" w:eastAsia="Book Antiqua" w:hAnsi="Book Antiqua" w:cs="Book Antiqua"/>
          <w:color w:val="000000"/>
          <w:szCs w:val="20"/>
        </w:rPr>
        <w:t xml:space="preserve"> anion exchanger 2;</w:t>
      </w:r>
      <w:r w:rsidRPr="00CE54E5">
        <w:rPr>
          <w:rFonts w:ascii="Book Antiqua" w:eastAsia="宋体" w:hAnsi="Book Antiqua" w:cs="Book Antiqua" w:hint="eastAsia"/>
          <w:color w:val="000000"/>
          <w:szCs w:val="20"/>
          <w:lang w:eastAsia="zh-CN"/>
        </w:rPr>
        <w:t xml:space="preserve"> </w:t>
      </w:r>
      <w:r w:rsidRPr="00CE54E5">
        <w:rPr>
          <w:rFonts w:ascii="Book Antiqua" w:eastAsia="Book Antiqua" w:hAnsi="Book Antiqua" w:cs="Book Antiqua"/>
          <w:color w:val="000000"/>
          <w:szCs w:val="20"/>
        </w:rPr>
        <w:t>PDG</w:t>
      </w:r>
      <w:r w:rsidRPr="00CE54E5">
        <w:rPr>
          <w:rFonts w:ascii="Book Antiqua" w:eastAsia="宋体" w:hAnsi="Book Antiqua" w:cs="Book Antiqua" w:hint="eastAsia"/>
          <w:color w:val="000000"/>
          <w:szCs w:val="20"/>
          <w:lang w:eastAsia="zh-CN"/>
        </w:rPr>
        <w:t xml:space="preserve">: Pyruvate dehydrogenase; ATP: </w:t>
      </w:r>
      <w:r w:rsidRPr="00CE54E5">
        <w:rPr>
          <w:rFonts w:ascii="Book Antiqua" w:eastAsia="宋体" w:hAnsi="Book Antiqua" w:cs="Book Antiqua" w:hint="eastAsia"/>
          <w:szCs w:val="20"/>
          <w:lang w:eastAsia="zh-CN"/>
        </w:rPr>
        <w:t>A</w:t>
      </w:r>
      <w:r w:rsidRPr="00CE54E5">
        <w:rPr>
          <w:rFonts w:ascii="Book Antiqua" w:eastAsia="Book Antiqua" w:hAnsi="Book Antiqua" w:cs="Book Antiqua"/>
          <w:szCs w:val="20"/>
        </w:rPr>
        <w:t>denosine triphosphate</w:t>
      </w:r>
      <w:r w:rsidRPr="00CE54E5">
        <w:rPr>
          <w:rFonts w:ascii="Book Antiqua" w:eastAsia="宋体" w:hAnsi="Book Antiqua" w:cs="Book Antiqua" w:hint="eastAsia"/>
          <w:szCs w:val="20"/>
          <w:lang w:eastAsia="zh-CN"/>
        </w:rPr>
        <w:t>.</w:t>
      </w:r>
    </w:p>
    <w:p w14:paraId="0A70B929" w14:textId="77777777" w:rsidR="00CE54E5" w:rsidRPr="00CE54E5" w:rsidRDefault="00CE54E5">
      <w:pPr>
        <w:adjustRightInd w:val="0"/>
        <w:snapToGrid w:val="0"/>
        <w:spacing w:line="360" w:lineRule="auto"/>
        <w:jc w:val="both"/>
        <w:rPr>
          <w:rFonts w:ascii="Book Antiqua" w:eastAsia="宋体" w:hAnsi="Book Antiqua" w:cs="Book Antiqua"/>
          <w:b/>
          <w:bCs/>
          <w:lang w:eastAsia="zh-CN"/>
        </w:rPr>
        <w:sectPr w:rsidR="00CE54E5" w:rsidRPr="00CE54E5">
          <w:pgSz w:w="12240" w:h="15840"/>
          <w:pgMar w:top="1440" w:right="1440" w:bottom="1440" w:left="1440" w:header="720" w:footer="720" w:gutter="0"/>
          <w:cols w:space="720"/>
          <w:docGrid w:linePitch="360"/>
        </w:sectPr>
      </w:pPr>
    </w:p>
    <w:p w14:paraId="217C18FD" w14:textId="77777777" w:rsidR="00CE54E5" w:rsidRPr="00CE54E5" w:rsidRDefault="00CE54E5" w:rsidP="00CE54E5">
      <w:pPr>
        <w:ind w:leftChars="100" w:left="240"/>
        <w:jc w:val="center"/>
        <w:rPr>
          <w:rFonts w:ascii="Book Antiqua" w:hAnsi="Book Antiqua"/>
          <w:lang w:val="pt-BR" w:eastAsia="zh-CN"/>
        </w:rPr>
      </w:pPr>
      <w:bookmarkStart w:id="8" w:name="_Hlk88512952"/>
    </w:p>
    <w:p w14:paraId="30D75324" w14:textId="77777777" w:rsidR="00CE54E5" w:rsidRPr="00CE54E5" w:rsidRDefault="00CE54E5" w:rsidP="00CE54E5">
      <w:pPr>
        <w:ind w:leftChars="100" w:left="240"/>
        <w:jc w:val="center"/>
        <w:rPr>
          <w:rFonts w:ascii="Book Antiqua" w:hAnsi="Book Antiqua"/>
          <w:lang w:val="pt-BR" w:eastAsia="zh-CN"/>
        </w:rPr>
      </w:pPr>
    </w:p>
    <w:p w14:paraId="4F9D4C84" w14:textId="77777777" w:rsidR="00CE54E5" w:rsidRPr="00CE54E5" w:rsidRDefault="00CE54E5" w:rsidP="00CE54E5">
      <w:pPr>
        <w:ind w:leftChars="100" w:left="240"/>
        <w:jc w:val="center"/>
        <w:rPr>
          <w:rFonts w:ascii="Book Antiqua" w:hAnsi="Book Antiqua"/>
          <w:lang w:val="pt-BR" w:eastAsia="zh-CN"/>
        </w:rPr>
      </w:pPr>
    </w:p>
    <w:p w14:paraId="608D45E2" w14:textId="77777777" w:rsidR="00CE54E5" w:rsidRPr="00CE54E5" w:rsidRDefault="00CE54E5" w:rsidP="00CE54E5">
      <w:pPr>
        <w:ind w:leftChars="100" w:left="240"/>
        <w:jc w:val="center"/>
        <w:rPr>
          <w:rFonts w:ascii="Book Antiqua" w:hAnsi="Book Antiqua"/>
          <w:lang w:val="pt-BR" w:eastAsia="zh-CN"/>
        </w:rPr>
      </w:pPr>
    </w:p>
    <w:p w14:paraId="26BED874" w14:textId="77777777" w:rsidR="00CE54E5" w:rsidRPr="00CE54E5" w:rsidRDefault="00CE54E5" w:rsidP="00CE54E5">
      <w:pPr>
        <w:ind w:leftChars="100" w:left="240"/>
        <w:jc w:val="center"/>
        <w:rPr>
          <w:rFonts w:ascii="Book Antiqua" w:hAnsi="Book Antiqua"/>
          <w:lang w:eastAsia="zh-CN"/>
        </w:rPr>
      </w:pPr>
      <w:r w:rsidRPr="00CE54E5">
        <w:rPr>
          <w:rFonts w:ascii="Book Antiqua" w:hAnsi="Book Antiqua"/>
          <w:noProof/>
          <w:lang w:eastAsia="zh-CN"/>
        </w:rPr>
        <w:drawing>
          <wp:inline distT="0" distB="0" distL="0" distR="0" wp14:anchorId="61D04F0A" wp14:editId="0F751937">
            <wp:extent cx="2499360" cy="1440180"/>
            <wp:effectExtent l="0" t="0" r="0" b="7620"/>
            <wp:docPr id="851491280" name="图片 85149128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2829C75" w14:textId="77777777" w:rsidR="00CE54E5" w:rsidRPr="00CE54E5" w:rsidRDefault="00CE54E5" w:rsidP="00CE54E5">
      <w:pPr>
        <w:ind w:leftChars="100" w:left="240"/>
        <w:jc w:val="center"/>
        <w:rPr>
          <w:rFonts w:ascii="Book Antiqua" w:hAnsi="Book Antiqua"/>
          <w:lang w:eastAsia="zh-CN"/>
        </w:rPr>
      </w:pPr>
    </w:p>
    <w:p w14:paraId="67B8DE76" w14:textId="77777777" w:rsidR="00CE54E5" w:rsidRPr="00CE54E5" w:rsidRDefault="00CE54E5" w:rsidP="00CE54E5">
      <w:pPr>
        <w:autoSpaceDE w:val="0"/>
        <w:autoSpaceDN w:val="0"/>
        <w:adjustRightInd w:val="0"/>
        <w:ind w:leftChars="100" w:left="240"/>
        <w:jc w:val="center"/>
        <w:rPr>
          <w:rFonts w:ascii="Book Antiqua" w:eastAsia="Garamond-Bold" w:hAnsi="Book Antiqua" w:cs="Garamond-Bold"/>
          <w:b/>
          <w:bCs/>
          <w:color w:val="000000"/>
          <w:sz w:val="28"/>
          <w:szCs w:val="28"/>
        </w:rPr>
      </w:pPr>
      <w:r w:rsidRPr="00CE54E5">
        <w:rPr>
          <w:rFonts w:ascii="Book Antiqua" w:eastAsia="TimesNewRomanPSMT" w:hAnsi="Book Antiqua" w:cs="TimesNewRomanPSMT"/>
          <w:color w:val="000000"/>
          <w:sz w:val="28"/>
          <w:szCs w:val="28"/>
        </w:rPr>
        <w:t xml:space="preserve">Published by </w:t>
      </w:r>
      <w:r w:rsidRPr="00CE54E5">
        <w:rPr>
          <w:rFonts w:ascii="Book Antiqua" w:eastAsia="Garamond-Bold" w:hAnsi="Book Antiqua" w:cs="Garamond-Bold"/>
          <w:b/>
          <w:bCs/>
          <w:color w:val="000000"/>
          <w:sz w:val="28"/>
          <w:szCs w:val="28"/>
        </w:rPr>
        <w:t>Baishideng Publishing Group Inc</w:t>
      </w:r>
    </w:p>
    <w:p w14:paraId="3A3B4A48" w14:textId="77777777" w:rsidR="00CE54E5" w:rsidRPr="00CE54E5" w:rsidRDefault="00CE54E5" w:rsidP="00CE54E5">
      <w:pPr>
        <w:autoSpaceDE w:val="0"/>
        <w:autoSpaceDN w:val="0"/>
        <w:adjustRightInd w:val="0"/>
        <w:ind w:leftChars="100" w:left="240"/>
        <w:jc w:val="center"/>
        <w:rPr>
          <w:rFonts w:ascii="Book Antiqua" w:eastAsia="TimesNewRomanPSMT" w:hAnsi="Book Antiqua" w:cs="Garamond"/>
          <w:color w:val="000000"/>
          <w:sz w:val="28"/>
          <w:szCs w:val="28"/>
        </w:rPr>
      </w:pPr>
      <w:r w:rsidRPr="00CE54E5">
        <w:rPr>
          <w:rFonts w:ascii="Book Antiqua" w:eastAsia="TimesNewRomanPSMT" w:hAnsi="Book Antiqua" w:cs="Garamond"/>
          <w:color w:val="000000"/>
          <w:sz w:val="28"/>
          <w:szCs w:val="28"/>
        </w:rPr>
        <w:t>7041 Koll Center Parkway, Suite 160, Pleasanton, CA 94566, USA</w:t>
      </w:r>
    </w:p>
    <w:p w14:paraId="0F9D8ED7" w14:textId="77777777" w:rsidR="00CE54E5" w:rsidRPr="00CE54E5" w:rsidRDefault="00CE54E5" w:rsidP="00CE54E5">
      <w:pPr>
        <w:autoSpaceDE w:val="0"/>
        <w:autoSpaceDN w:val="0"/>
        <w:adjustRightInd w:val="0"/>
        <w:ind w:leftChars="100" w:left="240"/>
        <w:jc w:val="center"/>
        <w:rPr>
          <w:rFonts w:ascii="Book Antiqua" w:eastAsia="TimesNewRomanPSMT" w:hAnsi="Book Antiqua" w:cs="Garamond"/>
          <w:color w:val="000000"/>
          <w:sz w:val="28"/>
          <w:szCs w:val="28"/>
        </w:rPr>
      </w:pPr>
      <w:r w:rsidRPr="00CE54E5">
        <w:rPr>
          <w:rFonts w:ascii="Book Antiqua" w:eastAsia="Garamond-Bold" w:hAnsi="Book Antiqua" w:cs="Garamond-Bold"/>
          <w:b/>
          <w:bCs/>
          <w:color w:val="000000"/>
          <w:sz w:val="28"/>
          <w:szCs w:val="28"/>
        </w:rPr>
        <w:t xml:space="preserve">Telephone: </w:t>
      </w:r>
      <w:r w:rsidRPr="00CE54E5">
        <w:rPr>
          <w:rFonts w:ascii="Book Antiqua" w:eastAsia="TimesNewRomanPSMT" w:hAnsi="Book Antiqua" w:cs="Garamond"/>
          <w:color w:val="000000"/>
          <w:sz w:val="28"/>
          <w:szCs w:val="28"/>
        </w:rPr>
        <w:t>+1-925-3991568</w:t>
      </w:r>
    </w:p>
    <w:p w14:paraId="2A7D8A0D" w14:textId="77777777" w:rsidR="00CE54E5" w:rsidRPr="00CE54E5" w:rsidRDefault="00CE54E5" w:rsidP="00CE54E5">
      <w:pPr>
        <w:autoSpaceDE w:val="0"/>
        <w:autoSpaceDN w:val="0"/>
        <w:adjustRightInd w:val="0"/>
        <w:ind w:leftChars="100" w:left="240"/>
        <w:jc w:val="center"/>
        <w:rPr>
          <w:rFonts w:ascii="Book Antiqua" w:eastAsia="TimesNewRomanPSMT" w:hAnsi="Book Antiqua" w:cs="Garamond"/>
          <w:color w:val="D56400"/>
          <w:sz w:val="28"/>
          <w:szCs w:val="28"/>
        </w:rPr>
      </w:pPr>
      <w:r w:rsidRPr="00CE54E5">
        <w:rPr>
          <w:rFonts w:ascii="Book Antiqua" w:eastAsia="Garamond-Bold" w:hAnsi="Book Antiqua" w:cs="Garamond-Bold"/>
          <w:b/>
          <w:bCs/>
          <w:color w:val="000000"/>
          <w:sz w:val="28"/>
          <w:szCs w:val="28"/>
        </w:rPr>
        <w:t xml:space="preserve">E-mail: </w:t>
      </w:r>
      <w:r w:rsidRPr="00CE54E5">
        <w:rPr>
          <w:rFonts w:ascii="Book Antiqua" w:eastAsia="TimesNewRomanPSMT" w:hAnsi="Book Antiqua" w:cs="Garamond"/>
          <w:color w:val="D56400"/>
          <w:sz w:val="28"/>
          <w:szCs w:val="28"/>
        </w:rPr>
        <w:t>bpgoffice@wjgnet.com</w:t>
      </w:r>
    </w:p>
    <w:p w14:paraId="2D25D430" w14:textId="77777777" w:rsidR="00CE54E5" w:rsidRPr="00CE54E5" w:rsidRDefault="00CE54E5" w:rsidP="00CE54E5">
      <w:pPr>
        <w:autoSpaceDE w:val="0"/>
        <w:autoSpaceDN w:val="0"/>
        <w:adjustRightInd w:val="0"/>
        <w:ind w:leftChars="100" w:left="240"/>
        <w:jc w:val="center"/>
        <w:rPr>
          <w:rFonts w:ascii="Book Antiqua" w:eastAsia="TimesNewRomanPSMT" w:hAnsi="Book Antiqua" w:cs="Garamond"/>
          <w:color w:val="D56400"/>
          <w:sz w:val="28"/>
          <w:szCs w:val="28"/>
        </w:rPr>
      </w:pPr>
      <w:r w:rsidRPr="00CE54E5">
        <w:rPr>
          <w:rFonts w:ascii="Book Antiqua" w:eastAsia="Garamond-Bold" w:hAnsi="Book Antiqua" w:cs="Garamond-Bold"/>
          <w:b/>
          <w:bCs/>
          <w:color w:val="000000"/>
          <w:sz w:val="28"/>
          <w:szCs w:val="28"/>
        </w:rPr>
        <w:t xml:space="preserve">Help Desk: </w:t>
      </w:r>
      <w:r w:rsidRPr="00CE54E5">
        <w:rPr>
          <w:rFonts w:ascii="Book Antiqua" w:eastAsia="TimesNewRomanPSMT" w:hAnsi="Book Antiqua" w:cs="Garamond"/>
          <w:color w:val="D56400"/>
          <w:sz w:val="28"/>
          <w:szCs w:val="28"/>
        </w:rPr>
        <w:t>https://www.f6publishing.com/helpdesk</w:t>
      </w:r>
    </w:p>
    <w:p w14:paraId="1F4A0982" w14:textId="77777777" w:rsidR="00CE54E5" w:rsidRPr="00CE54E5" w:rsidRDefault="00CE54E5" w:rsidP="00CE54E5">
      <w:pPr>
        <w:ind w:leftChars="100" w:left="240"/>
        <w:jc w:val="center"/>
        <w:rPr>
          <w:rFonts w:ascii="Book Antiqua" w:hAnsi="Book Antiqua"/>
          <w:lang w:eastAsia="zh-CN"/>
        </w:rPr>
      </w:pPr>
      <w:r w:rsidRPr="00CE54E5">
        <w:rPr>
          <w:rFonts w:ascii="Book Antiqua" w:eastAsia="TimesNewRomanPSMT" w:hAnsi="Book Antiqua" w:cs="Garamond"/>
          <w:color w:val="D56400"/>
          <w:sz w:val="28"/>
          <w:szCs w:val="28"/>
        </w:rPr>
        <w:t>https://www.wjgnet.com</w:t>
      </w:r>
    </w:p>
    <w:p w14:paraId="765B926B" w14:textId="77777777" w:rsidR="00CE54E5" w:rsidRPr="00CE54E5" w:rsidRDefault="00CE54E5" w:rsidP="00CE54E5">
      <w:pPr>
        <w:ind w:leftChars="100" w:left="240"/>
        <w:jc w:val="center"/>
        <w:rPr>
          <w:rFonts w:ascii="Book Antiqua" w:hAnsi="Book Antiqua"/>
          <w:lang w:eastAsia="zh-CN"/>
        </w:rPr>
      </w:pPr>
    </w:p>
    <w:p w14:paraId="320D1D0A" w14:textId="77777777" w:rsidR="00CE54E5" w:rsidRPr="00CE54E5" w:rsidRDefault="00CE54E5" w:rsidP="00CE54E5">
      <w:pPr>
        <w:ind w:leftChars="100" w:left="240"/>
        <w:jc w:val="center"/>
        <w:rPr>
          <w:rFonts w:ascii="Book Antiqua" w:hAnsi="Book Antiqua"/>
          <w:lang w:eastAsia="zh-CN"/>
        </w:rPr>
      </w:pPr>
    </w:p>
    <w:p w14:paraId="3C1FE060" w14:textId="77777777" w:rsidR="00CE54E5" w:rsidRPr="00CE54E5" w:rsidRDefault="00CE54E5" w:rsidP="00CE54E5">
      <w:pPr>
        <w:ind w:leftChars="100" w:left="240"/>
        <w:jc w:val="center"/>
        <w:rPr>
          <w:rFonts w:ascii="Book Antiqua" w:hAnsi="Book Antiqua"/>
          <w:lang w:eastAsia="zh-CN"/>
        </w:rPr>
      </w:pPr>
    </w:p>
    <w:p w14:paraId="2DEF9140" w14:textId="77777777" w:rsidR="00CE54E5" w:rsidRPr="00CE54E5" w:rsidRDefault="00CE54E5" w:rsidP="00CE54E5">
      <w:pPr>
        <w:ind w:leftChars="100" w:left="240"/>
        <w:jc w:val="center"/>
        <w:rPr>
          <w:rFonts w:ascii="Book Antiqua" w:hAnsi="Book Antiqua"/>
          <w:lang w:eastAsia="zh-CN"/>
        </w:rPr>
      </w:pPr>
      <w:r w:rsidRPr="00CE54E5">
        <w:rPr>
          <w:rFonts w:ascii="Book Antiqua" w:hAnsi="Book Antiqua"/>
          <w:noProof/>
          <w:lang w:eastAsia="zh-CN"/>
        </w:rPr>
        <w:drawing>
          <wp:inline distT="0" distB="0" distL="0" distR="0" wp14:anchorId="1A54F9A5" wp14:editId="48F9FE4A">
            <wp:extent cx="1447800" cy="1440180"/>
            <wp:effectExtent l="0" t="0" r="0" b="7620"/>
            <wp:docPr id="94830282" name="图片 9483028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AA41DF0" w14:textId="77777777" w:rsidR="00CE54E5" w:rsidRPr="00CE54E5" w:rsidRDefault="00CE54E5" w:rsidP="00CE54E5">
      <w:pPr>
        <w:ind w:leftChars="100" w:left="240"/>
        <w:jc w:val="center"/>
        <w:rPr>
          <w:rFonts w:ascii="Book Antiqua" w:hAnsi="Book Antiqua"/>
          <w:lang w:eastAsia="zh-CN"/>
        </w:rPr>
      </w:pPr>
    </w:p>
    <w:p w14:paraId="651D6A49" w14:textId="77777777" w:rsidR="00CE54E5" w:rsidRPr="00CE54E5" w:rsidRDefault="00CE54E5" w:rsidP="00CE54E5">
      <w:pPr>
        <w:ind w:leftChars="100" w:left="240"/>
        <w:jc w:val="center"/>
        <w:rPr>
          <w:rFonts w:ascii="Book Antiqua" w:hAnsi="Book Antiqua"/>
          <w:lang w:eastAsia="zh-CN"/>
        </w:rPr>
      </w:pPr>
    </w:p>
    <w:p w14:paraId="34835427" w14:textId="77777777" w:rsidR="00CE54E5" w:rsidRPr="00CE54E5" w:rsidRDefault="00CE54E5" w:rsidP="00CE54E5">
      <w:pPr>
        <w:ind w:leftChars="100" w:left="240"/>
        <w:jc w:val="center"/>
        <w:rPr>
          <w:rFonts w:ascii="Book Antiqua" w:hAnsi="Book Antiqua"/>
          <w:lang w:eastAsia="zh-CN"/>
        </w:rPr>
      </w:pPr>
    </w:p>
    <w:p w14:paraId="2D4029A5" w14:textId="77777777" w:rsidR="00CE54E5" w:rsidRPr="00CE54E5" w:rsidRDefault="00CE54E5" w:rsidP="00CE54E5">
      <w:pPr>
        <w:ind w:leftChars="100" w:left="240"/>
        <w:jc w:val="center"/>
        <w:rPr>
          <w:rFonts w:ascii="Book Antiqua" w:hAnsi="Book Antiqua"/>
          <w:lang w:eastAsia="zh-CN"/>
        </w:rPr>
      </w:pPr>
    </w:p>
    <w:p w14:paraId="118A71BE" w14:textId="77777777" w:rsidR="00CE54E5" w:rsidRPr="00CE54E5" w:rsidRDefault="00CE54E5" w:rsidP="00CE54E5">
      <w:pPr>
        <w:ind w:leftChars="100" w:left="240"/>
        <w:jc w:val="center"/>
        <w:rPr>
          <w:rFonts w:ascii="Book Antiqua" w:hAnsi="Book Antiqua"/>
          <w:lang w:eastAsia="zh-CN"/>
        </w:rPr>
      </w:pPr>
    </w:p>
    <w:p w14:paraId="073A2E7D" w14:textId="77777777" w:rsidR="00CE54E5" w:rsidRPr="00CE54E5" w:rsidRDefault="00CE54E5" w:rsidP="00CE54E5">
      <w:pPr>
        <w:ind w:leftChars="100" w:left="240"/>
        <w:jc w:val="center"/>
        <w:rPr>
          <w:rFonts w:ascii="Book Antiqua" w:hAnsi="Book Antiqua"/>
          <w:lang w:eastAsia="zh-CN"/>
        </w:rPr>
      </w:pPr>
    </w:p>
    <w:p w14:paraId="5E16282E" w14:textId="77777777" w:rsidR="00CE54E5" w:rsidRPr="00CE54E5" w:rsidRDefault="00CE54E5" w:rsidP="00CE54E5">
      <w:pPr>
        <w:ind w:leftChars="100" w:left="240"/>
        <w:jc w:val="center"/>
        <w:rPr>
          <w:rFonts w:ascii="Book Antiqua" w:hAnsi="Book Antiqua"/>
          <w:lang w:eastAsia="zh-CN"/>
        </w:rPr>
      </w:pPr>
    </w:p>
    <w:p w14:paraId="13106473" w14:textId="77777777" w:rsidR="00CE54E5" w:rsidRPr="00CE54E5" w:rsidRDefault="00CE54E5" w:rsidP="00CE54E5">
      <w:pPr>
        <w:ind w:leftChars="100" w:left="240"/>
        <w:jc w:val="center"/>
        <w:rPr>
          <w:rFonts w:ascii="Book Antiqua" w:hAnsi="Book Antiqua"/>
          <w:lang w:eastAsia="zh-CN"/>
        </w:rPr>
      </w:pPr>
    </w:p>
    <w:p w14:paraId="76EA4D4A" w14:textId="77777777" w:rsidR="00CE54E5" w:rsidRPr="00CE54E5" w:rsidRDefault="00CE54E5" w:rsidP="00CE54E5">
      <w:pPr>
        <w:ind w:leftChars="100" w:left="240"/>
        <w:jc w:val="center"/>
        <w:rPr>
          <w:rFonts w:ascii="Book Antiqua" w:hAnsi="Book Antiqua"/>
          <w:lang w:eastAsia="zh-CN"/>
        </w:rPr>
      </w:pPr>
    </w:p>
    <w:p w14:paraId="15A414F5" w14:textId="77777777" w:rsidR="00CE54E5" w:rsidRPr="00CE54E5" w:rsidRDefault="00CE54E5" w:rsidP="00CE54E5">
      <w:pPr>
        <w:ind w:leftChars="100" w:left="240"/>
        <w:jc w:val="right"/>
        <w:rPr>
          <w:rFonts w:ascii="Book Antiqua" w:hAnsi="Book Antiqua"/>
          <w:color w:val="000000" w:themeColor="text1"/>
          <w:lang w:eastAsia="zh-CN"/>
        </w:rPr>
      </w:pPr>
    </w:p>
    <w:p w14:paraId="52C4C542" w14:textId="77777777" w:rsidR="00CE54E5" w:rsidRPr="00763D22" w:rsidRDefault="00CE54E5" w:rsidP="00CE54E5">
      <w:pPr>
        <w:ind w:leftChars="100" w:left="240"/>
        <w:jc w:val="center"/>
        <w:rPr>
          <w:rFonts w:ascii="Book Antiqua" w:hAnsi="Book Antiqua"/>
          <w:color w:val="000000" w:themeColor="text1"/>
          <w:lang w:eastAsia="zh-CN"/>
        </w:rPr>
      </w:pPr>
      <w:r w:rsidRPr="00CE54E5">
        <w:rPr>
          <w:rFonts w:ascii="Book Antiqua" w:eastAsia="BookAntiqua-Bold" w:hAnsi="Book Antiqua" w:cs="BookAntiqua-Bold"/>
          <w:b/>
          <w:bCs/>
          <w:color w:val="000000" w:themeColor="text1"/>
        </w:rPr>
        <w:t>© 2023 Baishideng Publishing Group Inc. All rights reserved.</w:t>
      </w:r>
      <w:r w:rsidRPr="00CE54E5">
        <w:rPr>
          <w:rFonts w:ascii="Book Antiqua" w:hAnsi="Book Antiqua"/>
          <w:color w:val="000000" w:themeColor="text1"/>
          <w:lang w:eastAsia="zh-CN"/>
        </w:rPr>
        <w:fldChar w:fldCharType="begin"/>
      </w:r>
      <w:r w:rsidRPr="00CE54E5">
        <w:rPr>
          <w:rFonts w:ascii="Book Antiqua" w:hAnsi="Book Antiqua"/>
          <w:color w:val="000000" w:themeColor="text1"/>
          <w:lang w:eastAsia="zh-CN"/>
        </w:rPr>
        <w:instrText xml:space="preserve"> ADDIN EN.REFLIST </w:instrText>
      </w:r>
      <w:r w:rsidRPr="00CE54E5">
        <w:rPr>
          <w:rFonts w:ascii="Book Antiqua" w:hAnsi="Book Antiqua"/>
          <w:color w:val="000000" w:themeColor="text1"/>
          <w:lang w:eastAsia="zh-CN"/>
        </w:rPr>
        <w:fldChar w:fldCharType="end"/>
      </w:r>
      <w:bookmarkEnd w:id="8"/>
    </w:p>
    <w:p w14:paraId="56809B35" w14:textId="77777777" w:rsidR="00CE54E5" w:rsidRPr="00CE54E5" w:rsidRDefault="00CE54E5">
      <w:pPr>
        <w:adjustRightInd w:val="0"/>
        <w:snapToGrid w:val="0"/>
        <w:spacing w:line="360" w:lineRule="auto"/>
        <w:jc w:val="both"/>
        <w:rPr>
          <w:rFonts w:ascii="Book Antiqua" w:eastAsia="宋体" w:hAnsi="Book Antiqua" w:cs="Book Antiqua"/>
          <w:b/>
          <w:bCs/>
          <w:lang w:eastAsia="zh-CN"/>
        </w:rPr>
      </w:pPr>
    </w:p>
    <w:sectPr w:rsidR="00CE54E5" w:rsidRPr="00CE54E5" w:rsidSect="00BD7A2A">
      <w:footerReference w:type="default" r:id="rId15"/>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560A0" w14:textId="77777777" w:rsidR="002018BD" w:rsidRDefault="002018BD">
      <w:r>
        <w:separator/>
      </w:r>
    </w:p>
  </w:endnote>
  <w:endnote w:type="continuationSeparator" w:id="0">
    <w:p w14:paraId="1BD6D1F2" w14:textId="77777777" w:rsidR="002018BD" w:rsidRDefault="00201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989396"/>
    </w:sdtPr>
    <w:sdtContent>
      <w:sdt>
        <w:sdtPr>
          <w:id w:val="860082579"/>
        </w:sdtPr>
        <w:sdtContent>
          <w:p w14:paraId="6E6D46D8" w14:textId="77777777" w:rsidR="001043FD" w:rsidRDefault="00000000">
            <w:pPr>
              <w:pStyle w:val="a7"/>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36</w:t>
            </w:r>
            <w:r>
              <w:rPr>
                <w:rFonts w:ascii="Book Antiqua" w:hAnsi="Book Antiqua"/>
                <w:bCs/>
                <w:sz w:val="24"/>
                <w:szCs w:val="24"/>
              </w:rPr>
              <w:fldChar w:fldCharType="end"/>
            </w:r>
          </w:p>
        </w:sdtContent>
      </w:sdt>
    </w:sdtContent>
  </w:sdt>
  <w:p w14:paraId="7143B24B" w14:textId="77777777" w:rsidR="001043FD" w:rsidRDefault="001043F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399D446F" w14:textId="77777777" w:rsidR="004B5B87" w:rsidRDefault="00000000" w:rsidP="00134D22">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61573136" w14:textId="77777777" w:rsidR="004B5B87" w:rsidRDefault="004B5B8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FE216" w14:textId="77777777" w:rsidR="002018BD" w:rsidRDefault="002018BD">
      <w:r>
        <w:separator/>
      </w:r>
    </w:p>
  </w:footnote>
  <w:footnote w:type="continuationSeparator" w:id="0">
    <w:p w14:paraId="2690F721" w14:textId="77777777" w:rsidR="002018BD" w:rsidRDefault="002018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BiOTlmMGQyYmY0NDdlM2VkYzlhYjJlNGRkMjE0MzMifQ=="/>
  </w:docVars>
  <w:rsids>
    <w:rsidRoot w:val="00A77B3E"/>
    <w:rsid w:val="00042F53"/>
    <w:rsid w:val="00057A1B"/>
    <w:rsid w:val="00062BF5"/>
    <w:rsid w:val="000B55BC"/>
    <w:rsid w:val="000E25FB"/>
    <w:rsid w:val="000F2C09"/>
    <w:rsid w:val="001043FD"/>
    <w:rsid w:val="001832D1"/>
    <w:rsid w:val="002018BD"/>
    <w:rsid w:val="00241FF3"/>
    <w:rsid w:val="002550FF"/>
    <w:rsid w:val="00296707"/>
    <w:rsid w:val="002B247F"/>
    <w:rsid w:val="00373EA8"/>
    <w:rsid w:val="004164FF"/>
    <w:rsid w:val="004220F1"/>
    <w:rsid w:val="00491163"/>
    <w:rsid w:val="004B5B87"/>
    <w:rsid w:val="005906D5"/>
    <w:rsid w:val="005A55E0"/>
    <w:rsid w:val="005B3240"/>
    <w:rsid w:val="00652942"/>
    <w:rsid w:val="00665BAD"/>
    <w:rsid w:val="00675481"/>
    <w:rsid w:val="006C0B69"/>
    <w:rsid w:val="006C6F2F"/>
    <w:rsid w:val="006E5CD1"/>
    <w:rsid w:val="007340C7"/>
    <w:rsid w:val="00746CFC"/>
    <w:rsid w:val="00762539"/>
    <w:rsid w:val="007976CB"/>
    <w:rsid w:val="00836D81"/>
    <w:rsid w:val="008A1B26"/>
    <w:rsid w:val="008C2D37"/>
    <w:rsid w:val="00913D5F"/>
    <w:rsid w:val="00926676"/>
    <w:rsid w:val="009552DD"/>
    <w:rsid w:val="009653DD"/>
    <w:rsid w:val="009B7F3A"/>
    <w:rsid w:val="00A636A1"/>
    <w:rsid w:val="00A77B3E"/>
    <w:rsid w:val="00AA2C55"/>
    <w:rsid w:val="00AD1C87"/>
    <w:rsid w:val="00B2494E"/>
    <w:rsid w:val="00B62C3A"/>
    <w:rsid w:val="00BB3381"/>
    <w:rsid w:val="00C11035"/>
    <w:rsid w:val="00C11CCC"/>
    <w:rsid w:val="00C26D88"/>
    <w:rsid w:val="00C8222C"/>
    <w:rsid w:val="00CA2A55"/>
    <w:rsid w:val="00CC2B1A"/>
    <w:rsid w:val="00CD502B"/>
    <w:rsid w:val="00CD6AB2"/>
    <w:rsid w:val="00CE54E5"/>
    <w:rsid w:val="00D26DB0"/>
    <w:rsid w:val="00D70859"/>
    <w:rsid w:val="00D72607"/>
    <w:rsid w:val="00E1554B"/>
    <w:rsid w:val="00E22A0B"/>
    <w:rsid w:val="00E57DED"/>
    <w:rsid w:val="00E865C2"/>
    <w:rsid w:val="00EB3C51"/>
    <w:rsid w:val="00EC61BC"/>
    <w:rsid w:val="00F52A8D"/>
    <w:rsid w:val="012A2737"/>
    <w:rsid w:val="016519C1"/>
    <w:rsid w:val="01987FE8"/>
    <w:rsid w:val="019B53E2"/>
    <w:rsid w:val="01AD5116"/>
    <w:rsid w:val="01B3097E"/>
    <w:rsid w:val="01D408F4"/>
    <w:rsid w:val="02421D02"/>
    <w:rsid w:val="02497534"/>
    <w:rsid w:val="02581525"/>
    <w:rsid w:val="02A36C44"/>
    <w:rsid w:val="02E66B31"/>
    <w:rsid w:val="030A0A85"/>
    <w:rsid w:val="035241C7"/>
    <w:rsid w:val="035B12CD"/>
    <w:rsid w:val="039E11BA"/>
    <w:rsid w:val="03BC7892"/>
    <w:rsid w:val="03C54999"/>
    <w:rsid w:val="043833BC"/>
    <w:rsid w:val="04463D2B"/>
    <w:rsid w:val="044C0C16"/>
    <w:rsid w:val="046917C8"/>
    <w:rsid w:val="04A24CDA"/>
    <w:rsid w:val="04B54A0D"/>
    <w:rsid w:val="04B844FD"/>
    <w:rsid w:val="05065269"/>
    <w:rsid w:val="052D6C99"/>
    <w:rsid w:val="056B1570"/>
    <w:rsid w:val="058F1702"/>
    <w:rsid w:val="05A21435"/>
    <w:rsid w:val="05AB5E10"/>
    <w:rsid w:val="06021ED4"/>
    <w:rsid w:val="06624721"/>
    <w:rsid w:val="068154EF"/>
    <w:rsid w:val="06856661"/>
    <w:rsid w:val="068723D9"/>
    <w:rsid w:val="06A05249"/>
    <w:rsid w:val="06DD024B"/>
    <w:rsid w:val="0728596A"/>
    <w:rsid w:val="07585B24"/>
    <w:rsid w:val="075F6EB2"/>
    <w:rsid w:val="076646E5"/>
    <w:rsid w:val="079E5C2C"/>
    <w:rsid w:val="07DA364E"/>
    <w:rsid w:val="07EC6998"/>
    <w:rsid w:val="08607386"/>
    <w:rsid w:val="08A96637"/>
    <w:rsid w:val="09622C8A"/>
    <w:rsid w:val="09694018"/>
    <w:rsid w:val="09B72FD5"/>
    <w:rsid w:val="0A037FC9"/>
    <w:rsid w:val="0A344626"/>
    <w:rsid w:val="0A3E7253"/>
    <w:rsid w:val="0A4707FD"/>
    <w:rsid w:val="0A51342A"/>
    <w:rsid w:val="0A6071C9"/>
    <w:rsid w:val="0A670558"/>
    <w:rsid w:val="0A8E01DA"/>
    <w:rsid w:val="0AD100C7"/>
    <w:rsid w:val="0AD6392F"/>
    <w:rsid w:val="0AE41BA8"/>
    <w:rsid w:val="0B7C6285"/>
    <w:rsid w:val="0BB53545"/>
    <w:rsid w:val="0BCB0FBA"/>
    <w:rsid w:val="0BE61950"/>
    <w:rsid w:val="0BE91440"/>
    <w:rsid w:val="0C497A08"/>
    <w:rsid w:val="0C4B5C57"/>
    <w:rsid w:val="0C4F5747"/>
    <w:rsid w:val="0C62191E"/>
    <w:rsid w:val="0C874EE1"/>
    <w:rsid w:val="0CC51EAD"/>
    <w:rsid w:val="0D054058"/>
    <w:rsid w:val="0D272220"/>
    <w:rsid w:val="0D5154EF"/>
    <w:rsid w:val="0DAD0977"/>
    <w:rsid w:val="0DBF06AB"/>
    <w:rsid w:val="0DDA7292"/>
    <w:rsid w:val="0E1C3D4F"/>
    <w:rsid w:val="0E370B89"/>
    <w:rsid w:val="0EDC703A"/>
    <w:rsid w:val="0EF3685E"/>
    <w:rsid w:val="0EF425D6"/>
    <w:rsid w:val="0F452E31"/>
    <w:rsid w:val="0F9022FF"/>
    <w:rsid w:val="0FAC4C5F"/>
    <w:rsid w:val="0FB029A1"/>
    <w:rsid w:val="100E1475"/>
    <w:rsid w:val="104B26C9"/>
    <w:rsid w:val="10675755"/>
    <w:rsid w:val="109E4EEF"/>
    <w:rsid w:val="10F1501F"/>
    <w:rsid w:val="11056D1C"/>
    <w:rsid w:val="11C444E1"/>
    <w:rsid w:val="123E4294"/>
    <w:rsid w:val="12647A72"/>
    <w:rsid w:val="12887C05"/>
    <w:rsid w:val="12B02CB8"/>
    <w:rsid w:val="12E60488"/>
    <w:rsid w:val="130D1EB8"/>
    <w:rsid w:val="13453400"/>
    <w:rsid w:val="134A6C68"/>
    <w:rsid w:val="13561AB1"/>
    <w:rsid w:val="137361BF"/>
    <w:rsid w:val="13F217DA"/>
    <w:rsid w:val="141554C8"/>
    <w:rsid w:val="14307B9A"/>
    <w:rsid w:val="146F2E2A"/>
    <w:rsid w:val="148B12E6"/>
    <w:rsid w:val="14A43E5D"/>
    <w:rsid w:val="14BE790E"/>
    <w:rsid w:val="14D64C58"/>
    <w:rsid w:val="14F21366"/>
    <w:rsid w:val="15744470"/>
    <w:rsid w:val="15787ABD"/>
    <w:rsid w:val="15916DD0"/>
    <w:rsid w:val="15E46F00"/>
    <w:rsid w:val="15FD4466"/>
    <w:rsid w:val="163A2FC4"/>
    <w:rsid w:val="16473933"/>
    <w:rsid w:val="166718DF"/>
    <w:rsid w:val="167E55A7"/>
    <w:rsid w:val="17872239"/>
    <w:rsid w:val="1804388A"/>
    <w:rsid w:val="18506ACF"/>
    <w:rsid w:val="185B5474"/>
    <w:rsid w:val="18697B91"/>
    <w:rsid w:val="18787DD4"/>
    <w:rsid w:val="18934C0E"/>
    <w:rsid w:val="189A5F9C"/>
    <w:rsid w:val="18E15979"/>
    <w:rsid w:val="18EA6F23"/>
    <w:rsid w:val="18F558C8"/>
    <w:rsid w:val="19341F4D"/>
    <w:rsid w:val="19375EE1"/>
    <w:rsid w:val="196B7938"/>
    <w:rsid w:val="197131A1"/>
    <w:rsid w:val="19882298"/>
    <w:rsid w:val="19C239FC"/>
    <w:rsid w:val="19E27BFB"/>
    <w:rsid w:val="19E80F89"/>
    <w:rsid w:val="19EF40C6"/>
    <w:rsid w:val="19FE255B"/>
    <w:rsid w:val="1A2C70C8"/>
    <w:rsid w:val="1A6B4094"/>
    <w:rsid w:val="1AFC2F3E"/>
    <w:rsid w:val="1BBE6445"/>
    <w:rsid w:val="1C821221"/>
    <w:rsid w:val="1C980A44"/>
    <w:rsid w:val="1CA473E9"/>
    <w:rsid w:val="1CDA2E0B"/>
    <w:rsid w:val="1CED6FE2"/>
    <w:rsid w:val="1D0600A4"/>
    <w:rsid w:val="1D2D73DF"/>
    <w:rsid w:val="1D37200B"/>
    <w:rsid w:val="1D69418F"/>
    <w:rsid w:val="1D7768AC"/>
    <w:rsid w:val="1DD65CC8"/>
    <w:rsid w:val="1DE859FC"/>
    <w:rsid w:val="1DFB572F"/>
    <w:rsid w:val="1E0068A1"/>
    <w:rsid w:val="1E0839A8"/>
    <w:rsid w:val="1E1B36DB"/>
    <w:rsid w:val="1ED02718"/>
    <w:rsid w:val="1EE53CE9"/>
    <w:rsid w:val="1FEB532F"/>
    <w:rsid w:val="202A22FB"/>
    <w:rsid w:val="204C04C4"/>
    <w:rsid w:val="207277FE"/>
    <w:rsid w:val="20D34741"/>
    <w:rsid w:val="218872DA"/>
    <w:rsid w:val="21C30312"/>
    <w:rsid w:val="21E93AF0"/>
    <w:rsid w:val="21F84180"/>
    <w:rsid w:val="22123047"/>
    <w:rsid w:val="22615F0B"/>
    <w:rsid w:val="2297354C"/>
    <w:rsid w:val="23A979DB"/>
    <w:rsid w:val="23D700A4"/>
    <w:rsid w:val="23F8626D"/>
    <w:rsid w:val="24213A15"/>
    <w:rsid w:val="242D23BA"/>
    <w:rsid w:val="248C70E1"/>
    <w:rsid w:val="249917FE"/>
    <w:rsid w:val="24A7216D"/>
    <w:rsid w:val="24C543A1"/>
    <w:rsid w:val="24D80578"/>
    <w:rsid w:val="25315EDA"/>
    <w:rsid w:val="253908EB"/>
    <w:rsid w:val="25626093"/>
    <w:rsid w:val="25733DFD"/>
    <w:rsid w:val="25787665"/>
    <w:rsid w:val="258B7398"/>
    <w:rsid w:val="25B06DFF"/>
    <w:rsid w:val="266F6CBA"/>
    <w:rsid w:val="268169ED"/>
    <w:rsid w:val="26924756"/>
    <w:rsid w:val="26FB22FC"/>
    <w:rsid w:val="27135897"/>
    <w:rsid w:val="272555CB"/>
    <w:rsid w:val="27313F6F"/>
    <w:rsid w:val="27541A0C"/>
    <w:rsid w:val="280276BA"/>
    <w:rsid w:val="28041684"/>
    <w:rsid w:val="280653FC"/>
    <w:rsid w:val="28221B0A"/>
    <w:rsid w:val="287C56BE"/>
    <w:rsid w:val="28A569C3"/>
    <w:rsid w:val="28AA3FD9"/>
    <w:rsid w:val="28B44E58"/>
    <w:rsid w:val="28B60BD0"/>
    <w:rsid w:val="291C47AB"/>
    <w:rsid w:val="2927387C"/>
    <w:rsid w:val="29D3130E"/>
    <w:rsid w:val="29E057D9"/>
    <w:rsid w:val="2A314286"/>
    <w:rsid w:val="2A8D770F"/>
    <w:rsid w:val="2A905451"/>
    <w:rsid w:val="2AE31A25"/>
    <w:rsid w:val="2AED63FF"/>
    <w:rsid w:val="2B083239"/>
    <w:rsid w:val="2B1971F4"/>
    <w:rsid w:val="2B45448D"/>
    <w:rsid w:val="2B5841C1"/>
    <w:rsid w:val="2BAA2542"/>
    <w:rsid w:val="2C0A0EBC"/>
    <w:rsid w:val="2CC118F2"/>
    <w:rsid w:val="2CE33F5E"/>
    <w:rsid w:val="2D1660E1"/>
    <w:rsid w:val="2D4349FC"/>
    <w:rsid w:val="2DC45B3D"/>
    <w:rsid w:val="2DD1025A"/>
    <w:rsid w:val="2E982B26"/>
    <w:rsid w:val="2EA94D33"/>
    <w:rsid w:val="2F2443BA"/>
    <w:rsid w:val="2F320885"/>
    <w:rsid w:val="2F5C7FF7"/>
    <w:rsid w:val="2F9257C7"/>
    <w:rsid w:val="2FB90FA6"/>
    <w:rsid w:val="2FDD2EE6"/>
    <w:rsid w:val="304C5976"/>
    <w:rsid w:val="3078676B"/>
    <w:rsid w:val="307B2B80"/>
    <w:rsid w:val="31B47C77"/>
    <w:rsid w:val="31C53C32"/>
    <w:rsid w:val="321C75CA"/>
    <w:rsid w:val="3220355E"/>
    <w:rsid w:val="32544FB6"/>
    <w:rsid w:val="328F5FEE"/>
    <w:rsid w:val="3296737C"/>
    <w:rsid w:val="33095DA0"/>
    <w:rsid w:val="333A23FE"/>
    <w:rsid w:val="335C05C6"/>
    <w:rsid w:val="33785DCA"/>
    <w:rsid w:val="339A2E9C"/>
    <w:rsid w:val="33A31D51"/>
    <w:rsid w:val="33E5680D"/>
    <w:rsid w:val="34190265"/>
    <w:rsid w:val="345D45F6"/>
    <w:rsid w:val="34A044E2"/>
    <w:rsid w:val="34C226AB"/>
    <w:rsid w:val="35321C38"/>
    <w:rsid w:val="353A66E5"/>
    <w:rsid w:val="357339A5"/>
    <w:rsid w:val="35A973C7"/>
    <w:rsid w:val="35BB5A78"/>
    <w:rsid w:val="35E623C9"/>
    <w:rsid w:val="3626102A"/>
    <w:rsid w:val="36413AA3"/>
    <w:rsid w:val="36575075"/>
    <w:rsid w:val="369342FF"/>
    <w:rsid w:val="36E27AE8"/>
    <w:rsid w:val="3733163E"/>
    <w:rsid w:val="375021F0"/>
    <w:rsid w:val="378123A9"/>
    <w:rsid w:val="37963E29"/>
    <w:rsid w:val="37A4078E"/>
    <w:rsid w:val="37A675C2"/>
    <w:rsid w:val="37B02C8E"/>
    <w:rsid w:val="37F012DD"/>
    <w:rsid w:val="38066D52"/>
    <w:rsid w:val="384D2BD3"/>
    <w:rsid w:val="387E2D8D"/>
    <w:rsid w:val="38AD71CE"/>
    <w:rsid w:val="38BD5663"/>
    <w:rsid w:val="38EC7C55"/>
    <w:rsid w:val="395104A1"/>
    <w:rsid w:val="39A86313"/>
    <w:rsid w:val="39B76556"/>
    <w:rsid w:val="39BA6046"/>
    <w:rsid w:val="39EB26A4"/>
    <w:rsid w:val="39F01A68"/>
    <w:rsid w:val="3A2F07E2"/>
    <w:rsid w:val="3A3C6A5B"/>
    <w:rsid w:val="3A443B62"/>
    <w:rsid w:val="3A6164C2"/>
    <w:rsid w:val="3A9B5E78"/>
    <w:rsid w:val="3ADC3D9A"/>
    <w:rsid w:val="3AEC222F"/>
    <w:rsid w:val="3B581673"/>
    <w:rsid w:val="3B677B08"/>
    <w:rsid w:val="3B7566C9"/>
    <w:rsid w:val="3B8406BA"/>
    <w:rsid w:val="3BAB20EB"/>
    <w:rsid w:val="3BCE7B87"/>
    <w:rsid w:val="3CBE5E4E"/>
    <w:rsid w:val="3CCD42E3"/>
    <w:rsid w:val="3D1617E6"/>
    <w:rsid w:val="3D17730C"/>
    <w:rsid w:val="3D257C7B"/>
    <w:rsid w:val="3D5A3DC8"/>
    <w:rsid w:val="3D995F73"/>
    <w:rsid w:val="3D9A41C5"/>
    <w:rsid w:val="3E1D0952"/>
    <w:rsid w:val="3E5A3954"/>
    <w:rsid w:val="3EAD1CD6"/>
    <w:rsid w:val="3EB05C6A"/>
    <w:rsid w:val="3EBE2135"/>
    <w:rsid w:val="3ED2798E"/>
    <w:rsid w:val="3EFB5137"/>
    <w:rsid w:val="3F0833B0"/>
    <w:rsid w:val="3F3D74FE"/>
    <w:rsid w:val="3F450160"/>
    <w:rsid w:val="3F620D12"/>
    <w:rsid w:val="3FC714BD"/>
    <w:rsid w:val="3FE67B95"/>
    <w:rsid w:val="3FE71217"/>
    <w:rsid w:val="401D2E8B"/>
    <w:rsid w:val="4023709F"/>
    <w:rsid w:val="40297A82"/>
    <w:rsid w:val="4050500F"/>
    <w:rsid w:val="40572841"/>
    <w:rsid w:val="405F5252"/>
    <w:rsid w:val="407A02DD"/>
    <w:rsid w:val="40C17CBA"/>
    <w:rsid w:val="40C357E1"/>
    <w:rsid w:val="40DE086C"/>
    <w:rsid w:val="41250249"/>
    <w:rsid w:val="416845DA"/>
    <w:rsid w:val="41C71300"/>
    <w:rsid w:val="41E719A3"/>
    <w:rsid w:val="41FD2F74"/>
    <w:rsid w:val="420E33D3"/>
    <w:rsid w:val="420E6F2F"/>
    <w:rsid w:val="420F08E9"/>
    <w:rsid w:val="423D5A66"/>
    <w:rsid w:val="42935686"/>
    <w:rsid w:val="429D6505"/>
    <w:rsid w:val="42A2429F"/>
    <w:rsid w:val="42DF08CC"/>
    <w:rsid w:val="42F44377"/>
    <w:rsid w:val="42FE0D52"/>
    <w:rsid w:val="430976F7"/>
    <w:rsid w:val="43171E14"/>
    <w:rsid w:val="4339622E"/>
    <w:rsid w:val="440C56F0"/>
    <w:rsid w:val="446C2633"/>
    <w:rsid w:val="447119F7"/>
    <w:rsid w:val="4488746D"/>
    <w:rsid w:val="44CD30D2"/>
    <w:rsid w:val="44D75CFE"/>
    <w:rsid w:val="45462E84"/>
    <w:rsid w:val="45596713"/>
    <w:rsid w:val="456B28EB"/>
    <w:rsid w:val="456C25FC"/>
    <w:rsid w:val="456F4189"/>
    <w:rsid w:val="45A007E6"/>
    <w:rsid w:val="45AF4585"/>
    <w:rsid w:val="45C36283"/>
    <w:rsid w:val="45C67B21"/>
    <w:rsid w:val="45C73FC5"/>
    <w:rsid w:val="45E002ED"/>
    <w:rsid w:val="46003033"/>
    <w:rsid w:val="46130FB8"/>
    <w:rsid w:val="46FC37FA"/>
    <w:rsid w:val="471843AC"/>
    <w:rsid w:val="473A4323"/>
    <w:rsid w:val="475278BE"/>
    <w:rsid w:val="4779309D"/>
    <w:rsid w:val="47B642F1"/>
    <w:rsid w:val="47BC742D"/>
    <w:rsid w:val="47D14C87"/>
    <w:rsid w:val="47EA7AF7"/>
    <w:rsid w:val="47F95BF5"/>
    <w:rsid w:val="48013092"/>
    <w:rsid w:val="48537D92"/>
    <w:rsid w:val="485D476D"/>
    <w:rsid w:val="4876582E"/>
    <w:rsid w:val="48B545A9"/>
    <w:rsid w:val="48FD385A"/>
    <w:rsid w:val="499917D4"/>
    <w:rsid w:val="49CB1BAA"/>
    <w:rsid w:val="4A067C80"/>
    <w:rsid w:val="4A203CA4"/>
    <w:rsid w:val="4A5D6CA6"/>
    <w:rsid w:val="4A722025"/>
    <w:rsid w:val="4A9401EE"/>
    <w:rsid w:val="4AC07235"/>
    <w:rsid w:val="4AC97E97"/>
    <w:rsid w:val="4AE253FD"/>
    <w:rsid w:val="4AE66C9B"/>
    <w:rsid w:val="4AEA6060"/>
    <w:rsid w:val="4B076C12"/>
    <w:rsid w:val="4B702A09"/>
    <w:rsid w:val="4BAB1C93"/>
    <w:rsid w:val="4BB41A6E"/>
    <w:rsid w:val="4BDC1E4C"/>
    <w:rsid w:val="4C043151"/>
    <w:rsid w:val="4C215AB1"/>
    <w:rsid w:val="4C237A7B"/>
    <w:rsid w:val="4CA95EFF"/>
    <w:rsid w:val="4CBF59F6"/>
    <w:rsid w:val="4D221AE1"/>
    <w:rsid w:val="4D95296E"/>
    <w:rsid w:val="4DF07E31"/>
    <w:rsid w:val="4E044869"/>
    <w:rsid w:val="4E6600F3"/>
    <w:rsid w:val="4E944C60"/>
    <w:rsid w:val="4EDE5EDB"/>
    <w:rsid w:val="4EEC05F8"/>
    <w:rsid w:val="4F22401A"/>
    <w:rsid w:val="4F302BDB"/>
    <w:rsid w:val="4F4A531F"/>
    <w:rsid w:val="4F6463E1"/>
    <w:rsid w:val="4FC43323"/>
    <w:rsid w:val="4FE63299"/>
    <w:rsid w:val="5003209D"/>
    <w:rsid w:val="501047BA"/>
    <w:rsid w:val="503C110B"/>
    <w:rsid w:val="50416722"/>
    <w:rsid w:val="5060129E"/>
    <w:rsid w:val="50610B72"/>
    <w:rsid w:val="507C1E50"/>
    <w:rsid w:val="50DC644B"/>
    <w:rsid w:val="50F9524E"/>
    <w:rsid w:val="510A745C"/>
    <w:rsid w:val="51204589"/>
    <w:rsid w:val="513242BC"/>
    <w:rsid w:val="51491D32"/>
    <w:rsid w:val="5180327A"/>
    <w:rsid w:val="51A927D1"/>
    <w:rsid w:val="51C770FB"/>
    <w:rsid w:val="52377DDC"/>
    <w:rsid w:val="523D116B"/>
    <w:rsid w:val="52426781"/>
    <w:rsid w:val="528D5C4E"/>
    <w:rsid w:val="538F3C48"/>
    <w:rsid w:val="546155E5"/>
    <w:rsid w:val="54B24092"/>
    <w:rsid w:val="54BE6593"/>
    <w:rsid w:val="54BF40B9"/>
    <w:rsid w:val="55050666"/>
    <w:rsid w:val="55085A60"/>
    <w:rsid w:val="553D4864"/>
    <w:rsid w:val="554F7B33"/>
    <w:rsid w:val="555022BB"/>
    <w:rsid w:val="55603AEE"/>
    <w:rsid w:val="559612BE"/>
    <w:rsid w:val="55BD684B"/>
    <w:rsid w:val="55E4027B"/>
    <w:rsid w:val="56002BDB"/>
    <w:rsid w:val="56095F34"/>
    <w:rsid w:val="56A7547E"/>
    <w:rsid w:val="571E77BD"/>
    <w:rsid w:val="574C432A"/>
    <w:rsid w:val="577E025B"/>
    <w:rsid w:val="57931F59"/>
    <w:rsid w:val="57AE07FF"/>
    <w:rsid w:val="57CF18FE"/>
    <w:rsid w:val="57D52571"/>
    <w:rsid w:val="57E36310"/>
    <w:rsid w:val="57EC1669"/>
    <w:rsid w:val="581F37ED"/>
    <w:rsid w:val="58207565"/>
    <w:rsid w:val="58242BB1"/>
    <w:rsid w:val="583B7EFB"/>
    <w:rsid w:val="58492617"/>
    <w:rsid w:val="58550FBC"/>
    <w:rsid w:val="586E6522"/>
    <w:rsid w:val="58727DC0"/>
    <w:rsid w:val="58B24473"/>
    <w:rsid w:val="58DC7930"/>
    <w:rsid w:val="58EB36CF"/>
    <w:rsid w:val="59126EAD"/>
    <w:rsid w:val="594159E5"/>
    <w:rsid w:val="594352B9"/>
    <w:rsid w:val="59CC52AE"/>
    <w:rsid w:val="59F42A57"/>
    <w:rsid w:val="5A236E98"/>
    <w:rsid w:val="5A366BCB"/>
    <w:rsid w:val="5A5F4374"/>
    <w:rsid w:val="5A6373D1"/>
    <w:rsid w:val="5A7F4A16"/>
    <w:rsid w:val="5A89319F"/>
    <w:rsid w:val="5ABF4E13"/>
    <w:rsid w:val="5ADA1C4D"/>
    <w:rsid w:val="5AF96577"/>
    <w:rsid w:val="5B303F63"/>
    <w:rsid w:val="5B386973"/>
    <w:rsid w:val="5B392E17"/>
    <w:rsid w:val="5BB64468"/>
    <w:rsid w:val="5BBE50CA"/>
    <w:rsid w:val="5CE172C2"/>
    <w:rsid w:val="5D7874FB"/>
    <w:rsid w:val="5D8B36D2"/>
    <w:rsid w:val="5D924A61"/>
    <w:rsid w:val="5D97217A"/>
    <w:rsid w:val="5DE30E18"/>
    <w:rsid w:val="5E59557E"/>
    <w:rsid w:val="5EF12FE0"/>
    <w:rsid w:val="5F113BE4"/>
    <w:rsid w:val="5F1C6CD8"/>
    <w:rsid w:val="5F2913F5"/>
    <w:rsid w:val="5F2E2567"/>
    <w:rsid w:val="5F64242D"/>
    <w:rsid w:val="5F684CC6"/>
    <w:rsid w:val="5FB962D5"/>
    <w:rsid w:val="5FBA3DFB"/>
    <w:rsid w:val="5FF11F12"/>
    <w:rsid w:val="6051650D"/>
    <w:rsid w:val="60563B24"/>
    <w:rsid w:val="60A01243"/>
    <w:rsid w:val="614E087A"/>
    <w:rsid w:val="61646DB2"/>
    <w:rsid w:val="61695AD8"/>
    <w:rsid w:val="62CD2097"/>
    <w:rsid w:val="637F7835"/>
    <w:rsid w:val="63AD6150"/>
    <w:rsid w:val="63B00C8F"/>
    <w:rsid w:val="63B53257"/>
    <w:rsid w:val="641A130C"/>
    <w:rsid w:val="64267CB1"/>
    <w:rsid w:val="64A15589"/>
    <w:rsid w:val="64CE2822"/>
    <w:rsid w:val="64FB738F"/>
    <w:rsid w:val="65222B6E"/>
    <w:rsid w:val="65404DA2"/>
    <w:rsid w:val="657C227E"/>
    <w:rsid w:val="65801643"/>
    <w:rsid w:val="65C9123C"/>
    <w:rsid w:val="66344907"/>
    <w:rsid w:val="67283D40"/>
    <w:rsid w:val="67D16185"/>
    <w:rsid w:val="67F02AB0"/>
    <w:rsid w:val="683B27F5"/>
    <w:rsid w:val="683C7AA3"/>
    <w:rsid w:val="6870599E"/>
    <w:rsid w:val="687E00BB"/>
    <w:rsid w:val="68896A60"/>
    <w:rsid w:val="68914293"/>
    <w:rsid w:val="689C2C37"/>
    <w:rsid w:val="68BA4E6C"/>
    <w:rsid w:val="68DB72BC"/>
    <w:rsid w:val="697B284D"/>
    <w:rsid w:val="699658D9"/>
    <w:rsid w:val="69B95123"/>
    <w:rsid w:val="69BE2739"/>
    <w:rsid w:val="6A274783"/>
    <w:rsid w:val="6A3A710B"/>
    <w:rsid w:val="6A707ED8"/>
    <w:rsid w:val="6AAA163C"/>
    <w:rsid w:val="6AB53B3C"/>
    <w:rsid w:val="6ABC311D"/>
    <w:rsid w:val="6AC67AF8"/>
    <w:rsid w:val="6B122D3D"/>
    <w:rsid w:val="6B347157"/>
    <w:rsid w:val="6B454EC0"/>
    <w:rsid w:val="6B53250E"/>
    <w:rsid w:val="6BDB75D3"/>
    <w:rsid w:val="6BF84629"/>
    <w:rsid w:val="6C256AA0"/>
    <w:rsid w:val="6C2E3BA6"/>
    <w:rsid w:val="6CCA7D73"/>
    <w:rsid w:val="6D2D3E5E"/>
    <w:rsid w:val="6D380749"/>
    <w:rsid w:val="6DC9627D"/>
    <w:rsid w:val="6DFB21AE"/>
    <w:rsid w:val="6E146DCC"/>
    <w:rsid w:val="6E4C0C5C"/>
    <w:rsid w:val="6EB5235D"/>
    <w:rsid w:val="6EF465AD"/>
    <w:rsid w:val="6F394D3C"/>
    <w:rsid w:val="6FA53B98"/>
    <w:rsid w:val="6FD74555"/>
    <w:rsid w:val="6FF62C2D"/>
    <w:rsid w:val="70221C74"/>
    <w:rsid w:val="708C3333"/>
    <w:rsid w:val="70F21646"/>
    <w:rsid w:val="70FA499F"/>
    <w:rsid w:val="71724535"/>
    <w:rsid w:val="71B52674"/>
    <w:rsid w:val="71F4319C"/>
    <w:rsid w:val="720F6228"/>
    <w:rsid w:val="722C2936"/>
    <w:rsid w:val="72365637"/>
    <w:rsid w:val="72456675"/>
    <w:rsid w:val="72A5093A"/>
    <w:rsid w:val="72A77E7B"/>
    <w:rsid w:val="72C2329A"/>
    <w:rsid w:val="72D74F98"/>
    <w:rsid w:val="73217FC1"/>
    <w:rsid w:val="733F48EB"/>
    <w:rsid w:val="73AF7CC3"/>
    <w:rsid w:val="73F2195D"/>
    <w:rsid w:val="7423565D"/>
    <w:rsid w:val="74237D69"/>
    <w:rsid w:val="74455F31"/>
    <w:rsid w:val="74681C20"/>
    <w:rsid w:val="74B11819"/>
    <w:rsid w:val="74E7348C"/>
    <w:rsid w:val="7510653F"/>
    <w:rsid w:val="75153B55"/>
    <w:rsid w:val="751A0BE5"/>
    <w:rsid w:val="753C7334"/>
    <w:rsid w:val="756654CC"/>
    <w:rsid w:val="756D1BE3"/>
    <w:rsid w:val="75930F1E"/>
    <w:rsid w:val="759E1D9D"/>
    <w:rsid w:val="760616F0"/>
    <w:rsid w:val="768F16E6"/>
    <w:rsid w:val="76972408"/>
    <w:rsid w:val="76A038F3"/>
    <w:rsid w:val="76D35A76"/>
    <w:rsid w:val="76F1414E"/>
    <w:rsid w:val="76F679B7"/>
    <w:rsid w:val="775546DD"/>
    <w:rsid w:val="775547B2"/>
    <w:rsid w:val="77A13DC6"/>
    <w:rsid w:val="77B70EF4"/>
    <w:rsid w:val="77D45F4A"/>
    <w:rsid w:val="77D71596"/>
    <w:rsid w:val="77E51F05"/>
    <w:rsid w:val="782B3690"/>
    <w:rsid w:val="783A38D3"/>
    <w:rsid w:val="78414C61"/>
    <w:rsid w:val="785E3A65"/>
    <w:rsid w:val="7879089F"/>
    <w:rsid w:val="78FF0DA4"/>
    <w:rsid w:val="793842B6"/>
    <w:rsid w:val="79C97604"/>
    <w:rsid w:val="7A1563A6"/>
    <w:rsid w:val="7A4B0019"/>
    <w:rsid w:val="7A992B33"/>
    <w:rsid w:val="7ADA3086"/>
    <w:rsid w:val="7AE00762"/>
    <w:rsid w:val="7B340AAD"/>
    <w:rsid w:val="7B8657AD"/>
    <w:rsid w:val="7BE20509"/>
    <w:rsid w:val="7BF02C26"/>
    <w:rsid w:val="7C0641F8"/>
    <w:rsid w:val="7C3A64E7"/>
    <w:rsid w:val="7C6158D2"/>
    <w:rsid w:val="7C7B2E38"/>
    <w:rsid w:val="7C817D22"/>
    <w:rsid w:val="7CDB38D7"/>
    <w:rsid w:val="7D494CE4"/>
    <w:rsid w:val="7D60202E"/>
    <w:rsid w:val="7D897469"/>
    <w:rsid w:val="7D8B70AB"/>
    <w:rsid w:val="7DDA1DE0"/>
    <w:rsid w:val="7DEC566F"/>
    <w:rsid w:val="7E2748F9"/>
    <w:rsid w:val="7EC9775F"/>
    <w:rsid w:val="7EDC7FBD"/>
    <w:rsid w:val="7F2350C1"/>
    <w:rsid w:val="7F435763"/>
    <w:rsid w:val="7F4C286A"/>
    <w:rsid w:val="7F511C2E"/>
    <w:rsid w:val="7F8518D8"/>
    <w:rsid w:val="7F9164CE"/>
    <w:rsid w:val="7FDD5BB8"/>
    <w:rsid w:val="7FE900B8"/>
    <w:rsid w:val="7FE963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F23354"/>
  <w15:docId w15:val="{7A2CA940-8F9A-466C-A7A5-9056800E6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rFonts w:ascii="Tahoma" w:hAnsi="Tahoma" w:cs="Tahoma"/>
      <w:sz w:val="16"/>
      <w:szCs w:val="16"/>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sz w:val="20"/>
      <w:szCs w:val="20"/>
    </w:rPr>
  </w:style>
  <w:style w:type="character" w:styleId="ad">
    <w:name w:val="Hyperlink"/>
    <w:basedOn w:val="a0"/>
    <w:uiPriority w:val="99"/>
    <w:unhideWhenUsed/>
    <w:qFormat/>
    <w:rPr>
      <w:color w:val="0000FF"/>
      <w:u w:val="single"/>
    </w:rPr>
  </w:style>
  <w:style w:type="character" w:styleId="ae">
    <w:name w:val="annotation reference"/>
    <w:basedOn w:val="a0"/>
    <w:qFormat/>
    <w:rPr>
      <w:sz w:val="16"/>
      <w:szCs w:val="16"/>
    </w:rPr>
  </w:style>
  <w:style w:type="character" w:customStyle="1" w:styleId="15">
    <w:name w:val="15"/>
    <w:basedOn w:val="a0"/>
    <w:qFormat/>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paragraph" w:customStyle="1" w:styleId="Revision1">
    <w:name w:val="Revision1"/>
    <w:hidden/>
    <w:uiPriority w:val="99"/>
    <w:semiHidden/>
    <w:qFormat/>
    <w:rPr>
      <w:rFonts w:eastAsia="Times New Roman"/>
      <w:sz w:val="24"/>
      <w:szCs w:val="24"/>
      <w:lang w:eastAsia="en-US"/>
    </w:rPr>
  </w:style>
  <w:style w:type="paragraph" w:customStyle="1" w:styleId="nova-legacy-e-listitem">
    <w:name w:val="nova-legacy-e-list__item"/>
    <w:basedOn w:val="a"/>
    <w:qFormat/>
    <w:pPr>
      <w:spacing w:before="100" w:beforeAutospacing="1" w:after="100" w:afterAutospacing="1"/>
    </w:pPr>
    <w:rPr>
      <w:lang w:val="ru-RU" w:eastAsia="ru-RU"/>
    </w:rPr>
  </w:style>
  <w:style w:type="character" w:customStyle="1" w:styleId="apple-converted-space">
    <w:name w:val="apple-converted-space"/>
    <w:basedOn w:val="a0"/>
    <w:qFormat/>
  </w:style>
  <w:style w:type="character" w:customStyle="1" w:styleId="a6">
    <w:name w:val="批注框文本 字符"/>
    <w:basedOn w:val="a0"/>
    <w:link w:val="a5"/>
    <w:qFormat/>
    <w:rPr>
      <w:rFonts w:ascii="Tahoma" w:eastAsia="Times New Roman" w:hAnsi="Tahoma" w:cs="Tahoma"/>
      <w:sz w:val="16"/>
      <w:szCs w:val="16"/>
      <w:lang w:val="en-US" w:eastAsia="en-US"/>
    </w:rPr>
  </w:style>
  <w:style w:type="character" w:customStyle="1" w:styleId="a4">
    <w:name w:val="批注文字 字符"/>
    <w:basedOn w:val="a0"/>
    <w:link w:val="a3"/>
    <w:qFormat/>
    <w:rPr>
      <w:rFonts w:eastAsia="Times New Roman"/>
      <w:sz w:val="24"/>
      <w:szCs w:val="24"/>
      <w:lang w:val="en-US" w:eastAsia="en-US"/>
    </w:rPr>
  </w:style>
  <w:style w:type="character" w:customStyle="1" w:styleId="ac">
    <w:name w:val="批注主题 字符"/>
    <w:basedOn w:val="a4"/>
    <w:link w:val="ab"/>
    <w:qFormat/>
    <w:rPr>
      <w:rFonts w:eastAsia="Times New Roman"/>
      <w:b/>
      <w:bCs/>
      <w:sz w:val="24"/>
      <w:szCs w:val="24"/>
      <w:lang w:val="en-US" w:eastAsia="en-US"/>
    </w:rPr>
  </w:style>
  <w:style w:type="paragraph" w:customStyle="1" w:styleId="1">
    <w:name w:val="修订1"/>
    <w:hidden/>
    <w:uiPriority w:val="99"/>
    <w:unhideWhenUsed/>
    <w:qFormat/>
    <w:rPr>
      <w:rFonts w:eastAsia="Times New Roman"/>
      <w:sz w:val="24"/>
      <w:szCs w:val="24"/>
      <w:lang w:eastAsia="en-US"/>
    </w:rPr>
  </w:style>
  <w:style w:type="paragraph" w:styleId="af">
    <w:name w:val="Revision"/>
    <w:hidden/>
    <w:uiPriority w:val="99"/>
    <w:unhideWhenUsed/>
    <w:rsid w:val="00D26DB0"/>
    <w:rPr>
      <w:rFonts w:eastAsia="Times New Roman"/>
      <w:sz w:val="24"/>
      <w:szCs w:val="24"/>
      <w:lang w:eastAsia="en-US"/>
    </w:rPr>
  </w:style>
  <w:style w:type="character" w:styleId="af0">
    <w:name w:val="Unresolved Mention"/>
    <w:basedOn w:val="a0"/>
    <w:uiPriority w:val="99"/>
    <w:semiHidden/>
    <w:unhideWhenUsed/>
    <w:rsid w:val="00CE5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9/i37/5292.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F496C-4764-42F6-BDAA-E1D92F528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37</Pages>
  <Words>9545</Words>
  <Characters>54408</Characters>
  <Application>Microsoft Office Word</Application>
  <DocSecurity>0</DocSecurity>
  <Lines>453</Lines>
  <Paragraphs>127</Paragraphs>
  <ScaleCrop>false</ScaleCrop>
  <Company>Hewlett-Packard Company</Company>
  <LinksUpToDate>false</LinksUpToDate>
  <CharactersWithSpaces>63826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A9487</cp:lastModifiedBy>
  <cp:revision>17</cp:revision>
  <dcterms:created xsi:type="dcterms:W3CDTF">2023-09-01T09:09:00Z</dcterms:created>
  <dcterms:modified xsi:type="dcterms:W3CDTF">2023-09-27T01:40:00Z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B30AEE1B97CB4DB898729FF1AB205D70_12</vt:lpwstr>
  </property>
</Properties>
</file>