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15" w:rsidRPr="00572E26" w:rsidRDefault="00BD0315" w:rsidP="00572E26">
      <w:pPr>
        <w:spacing w:line="360" w:lineRule="auto"/>
        <w:rPr>
          <w:rFonts w:ascii="Book Antiqua" w:hAnsi="Book Antiqua"/>
          <w:b/>
          <w:color w:val="0000FF"/>
          <w:sz w:val="24"/>
          <w:szCs w:val="24"/>
        </w:rPr>
      </w:pPr>
      <w:bookmarkStart w:id="0" w:name="OLE_LINK176"/>
      <w:bookmarkStart w:id="1" w:name="OLE_LINK179"/>
      <w:bookmarkStart w:id="2" w:name="OLE_LINK313"/>
    </w:p>
    <w:p w:rsidR="00BD0315" w:rsidRPr="00572E26" w:rsidRDefault="00BD0315" w:rsidP="00572E26">
      <w:pPr>
        <w:spacing w:line="360" w:lineRule="auto"/>
        <w:rPr>
          <w:rFonts w:ascii="Book Antiqua" w:hAnsi="Book Antiqua"/>
          <w:b/>
          <w:color w:val="000000"/>
          <w:sz w:val="24"/>
          <w:szCs w:val="24"/>
        </w:rPr>
      </w:pPr>
      <w:bookmarkStart w:id="3" w:name="OLE_LINK319"/>
      <w:bookmarkStart w:id="4" w:name="OLE_LINK320"/>
      <w:bookmarkStart w:id="5" w:name="OLE_LINK355"/>
      <w:bookmarkEnd w:id="0"/>
      <w:bookmarkEnd w:id="1"/>
      <w:r w:rsidRPr="00572E26">
        <w:rPr>
          <w:rFonts w:ascii="Book Antiqua" w:hAnsi="Book Antiqua"/>
          <w:b/>
          <w:color w:val="0000FF"/>
          <w:sz w:val="24"/>
          <w:szCs w:val="24"/>
        </w:rPr>
        <w:t xml:space="preserve">Name of journal: </w:t>
      </w:r>
      <w:r w:rsidRPr="00572E26">
        <w:rPr>
          <w:rFonts w:ascii="Book Antiqua" w:hAnsi="Book Antiqua"/>
          <w:b/>
          <w:color w:val="000000"/>
          <w:sz w:val="24"/>
          <w:szCs w:val="24"/>
        </w:rPr>
        <w:t>World Journal of Gastroenterology</w:t>
      </w:r>
    </w:p>
    <w:p w:rsidR="00BD0315" w:rsidRPr="00572E26" w:rsidRDefault="00BD0315" w:rsidP="00572E26">
      <w:pPr>
        <w:spacing w:line="360" w:lineRule="auto"/>
        <w:rPr>
          <w:rFonts w:ascii="Book Antiqua" w:hAnsi="Book Antiqua"/>
          <w:b/>
          <w:color w:val="0000FF"/>
          <w:sz w:val="24"/>
          <w:szCs w:val="24"/>
        </w:rPr>
      </w:pPr>
      <w:r w:rsidRPr="00572E26">
        <w:rPr>
          <w:rFonts w:ascii="Book Antiqua" w:hAnsi="Book Antiqua"/>
          <w:b/>
          <w:color w:val="0000FF"/>
          <w:sz w:val="24"/>
          <w:szCs w:val="24"/>
        </w:rPr>
        <w:t>ESPS Manuscript NO: 8729</w:t>
      </w:r>
    </w:p>
    <w:bookmarkEnd w:id="2"/>
    <w:bookmarkEnd w:id="3"/>
    <w:bookmarkEnd w:id="4"/>
    <w:bookmarkEnd w:id="5"/>
    <w:p w:rsidR="00BD0315" w:rsidRPr="00572E26" w:rsidRDefault="00BD0315" w:rsidP="00572E26">
      <w:pPr>
        <w:spacing w:line="360" w:lineRule="auto"/>
        <w:rPr>
          <w:rFonts w:ascii="Book Antiqua" w:hAnsi="Book Antiqua"/>
          <w:sz w:val="24"/>
          <w:szCs w:val="24"/>
        </w:rPr>
      </w:pPr>
      <w:r w:rsidRPr="00572E26">
        <w:rPr>
          <w:rFonts w:ascii="Book Antiqua" w:hAnsi="Book Antiqua"/>
          <w:b/>
          <w:color w:val="0000FF"/>
          <w:sz w:val="24"/>
          <w:szCs w:val="24"/>
        </w:rPr>
        <w:t>Columns:</w:t>
      </w:r>
      <w:r w:rsidRPr="00572E26">
        <w:rPr>
          <w:rFonts w:ascii="Book Antiqua" w:hAnsi="Book Antiqua"/>
          <w:sz w:val="24"/>
          <w:szCs w:val="24"/>
        </w:rPr>
        <w:t xml:space="preserve"> </w:t>
      </w:r>
      <w:r w:rsidRPr="00572E26">
        <w:rPr>
          <w:rFonts w:ascii="Book Antiqua" w:hAnsi="Book Antiqua"/>
          <w:b/>
          <w:sz w:val="24"/>
          <w:szCs w:val="24"/>
        </w:rPr>
        <w:t>BRIEF ARTICLES</w:t>
      </w:r>
    </w:p>
    <w:p w:rsidR="00BD0315" w:rsidRPr="00572E26" w:rsidRDefault="00BD0315" w:rsidP="00572E26">
      <w:pPr>
        <w:spacing w:line="360" w:lineRule="auto"/>
        <w:rPr>
          <w:rFonts w:ascii="Book Antiqua" w:hAnsi="Book Antiqua"/>
          <w:b/>
          <w:sz w:val="24"/>
          <w:szCs w:val="24"/>
        </w:rPr>
      </w:pPr>
    </w:p>
    <w:p w:rsidR="00BD0315" w:rsidRPr="00572E26" w:rsidRDefault="00BD0315" w:rsidP="00572E26">
      <w:pPr>
        <w:spacing w:line="360" w:lineRule="auto"/>
        <w:rPr>
          <w:rFonts w:ascii="Book Antiqua" w:hAnsi="Book Antiqua"/>
          <w:b/>
          <w:sz w:val="24"/>
          <w:szCs w:val="24"/>
        </w:rPr>
      </w:pPr>
      <w:r w:rsidRPr="00572E26">
        <w:rPr>
          <w:rFonts w:ascii="Book Antiqua" w:hAnsi="Book Antiqua"/>
          <w:b/>
          <w:sz w:val="24"/>
          <w:szCs w:val="24"/>
        </w:rPr>
        <w:t>Tumors of the angle of Treitz: A single-center experience</w:t>
      </w:r>
    </w:p>
    <w:p w:rsidR="00BD0315" w:rsidRPr="00572E26" w:rsidRDefault="00BD0315" w:rsidP="00572E26">
      <w:pPr>
        <w:spacing w:line="360" w:lineRule="auto"/>
        <w:rPr>
          <w:rFonts w:ascii="Book Antiqua" w:hAnsi="Book Antiqua"/>
          <w:b/>
          <w:sz w:val="24"/>
          <w:szCs w:val="24"/>
        </w:rPr>
      </w:pPr>
    </w:p>
    <w:p w:rsidR="00BD0315" w:rsidRPr="00572E26" w:rsidRDefault="00BD0315" w:rsidP="00572E26">
      <w:pPr>
        <w:spacing w:line="360" w:lineRule="auto"/>
        <w:rPr>
          <w:rFonts w:ascii="Book Antiqua" w:hAnsi="Book Antiqua"/>
          <w:b/>
          <w:sz w:val="24"/>
          <w:szCs w:val="24"/>
        </w:rPr>
      </w:pPr>
      <w:bookmarkStart w:id="6" w:name="OLE_LINK108"/>
      <w:bookmarkStart w:id="7" w:name="OLE_LINK109"/>
      <w:bookmarkStart w:id="8" w:name="OLE_LINK110"/>
      <w:bookmarkStart w:id="9" w:name="OLE_LINK143"/>
      <w:bookmarkStart w:id="10" w:name="OLE_LINK257"/>
      <w:bookmarkStart w:id="11" w:name="OLE_LINK258"/>
      <w:bookmarkStart w:id="12" w:name="OLE_LINK276"/>
      <w:r w:rsidRPr="00572E26">
        <w:rPr>
          <w:rFonts w:ascii="Book Antiqua" w:hAnsi="Book Antiqua"/>
          <w:sz w:val="24"/>
          <w:szCs w:val="24"/>
        </w:rPr>
        <w:t>Xie</w:t>
      </w:r>
      <w:r w:rsidRPr="00572E26" w:rsidDel="00572E26">
        <w:rPr>
          <w:rFonts w:ascii="Book Antiqua" w:hAnsi="Book Antiqua"/>
          <w:sz w:val="24"/>
          <w:szCs w:val="24"/>
        </w:rPr>
        <w:t xml:space="preserve"> </w:t>
      </w:r>
      <w:r w:rsidRPr="00572E26">
        <w:rPr>
          <w:rFonts w:ascii="Book Antiqua" w:hAnsi="Book Antiqua"/>
          <w:sz w:val="24"/>
          <w:szCs w:val="24"/>
        </w:rPr>
        <w:t xml:space="preserve">YB </w:t>
      </w:r>
      <w:r w:rsidRPr="00572E26">
        <w:rPr>
          <w:rFonts w:ascii="Book Antiqua" w:hAnsi="Book Antiqua"/>
          <w:i/>
          <w:sz w:val="24"/>
          <w:szCs w:val="24"/>
        </w:rPr>
        <w:t>et al</w:t>
      </w:r>
      <w:r w:rsidRPr="00572E26">
        <w:rPr>
          <w:rFonts w:ascii="Book Antiqua" w:hAnsi="Book Antiqua"/>
          <w:sz w:val="24"/>
          <w:szCs w:val="24"/>
        </w:rPr>
        <w:t xml:space="preserve">. </w:t>
      </w:r>
      <w:bookmarkEnd w:id="6"/>
      <w:bookmarkEnd w:id="7"/>
      <w:bookmarkEnd w:id="8"/>
      <w:bookmarkEnd w:id="9"/>
      <w:bookmarkEnd w:id="10"/>
      <w:bookmarkEnd w:id="11"/>
      <w:bookmarkEnd w:id="12"/>
      <w:r w:rsidRPr="00CA13BD">
        <w:rPr>
          <w:rFonts w:ascii="Book Antiqua" w:hAnsi="Book Antiqua"/>
          <w:sz w:val="24"/>
          <w:szCs w:val="24"/>
        </w:rPr>
        <w:t>Tumors of the angle of Treitz</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Yi-Bin Xie, Hao Liu, Liang Cui, Gu-Sheng Xing, Lin Yang, Yue-Min Sun, Xiao-Feng Bai, Dong-Bing Zhao, Cheng-Feng Wang, Yan-Tao Tian</w:t>
      </w:r>
    </w:p>
    <w:p w:rsidR="00BD0315" w:rsidRPr="00572E26" w:rsidRDefault="00E17450" w:rsidP="00572E26">
      <w:pPr>
        <w:spacing w:line="360" w:lineRule="auto"/>
        <w:rPr>
          <w:rFonts w:ascii="Book Antiqua" w:hAnsi="Book Antiqua"/>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20320</wp:posOffset>
                </wp:positionH>
                <wp:positionV relativeFrom="paragraph">
                  <wp:posOffset>157479</wp:posOffset>
                </wp:positionV>
                <wp:extent cx="5196840" cy="0"/>
                <wp:effectExtent l="0" t="19050" r="381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2.4pt" to="410.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F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V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" strokecolor="gray" strokeweight="3pt"/>
            </w:pict>
          </mc:Fallback>
        </mc:AlternateContent>
      </w:r>
    </w:p>
    <w:p w:rsidR="00BD0315" w:rsidRPr="00572E26" w:rsidRDefault="00BD0315" w:rsidP="00572E26">
      <w:pPr>
        <w:spacing w:line="360" w:lineRule="auto"/>
        <w:rPr>
          <w:rFonts w:ascii="Book Antiqua" w:hAnsi="Book Antiqua"/>
          <w:sz w:val="24"/>
          <w:szCs w:val="24"/>
        </w:rPr>
      </w:pPr>
      <w:r w:rsidRPr="00572E26">
        <w:rPr>
          <w:rFonts w:ascii="Book Antiqua" w:hAnsi="Book Antiqua"/>
          <w:b/>
          <w:sz w:val="24"/>
          <w:szCs w:val="24"/>
        </w:rPr>
        <w:t>Yi-Bin Xie, Hao Liu, Liang Cui</w:t>
      </w:r>
      <w:r w:rsidRPr="00572E26">
        <w:rPr>
          <w:rFonts w:ascii="Book Antiqua" w:hAnsi="Book Antiqua" w:hint="eastAsia"/>
          <w:b/>
          <w:sz w:val="24"/>
          <w:szCs w:val="24"/>
        </w:rPr>
        <w:t>，</w:t>
      </w:r>
      <w:r w:rsidRPr="00572E26">
        <w:rPr>
          <w:rFonts w:ascii="Book Antiqua" w:hAnsi="Book Antiqua"/>
          <w:b/>
          <w:sz w:val="24"/>
          <w:szCs w:val="24"/>
        </w:rPr>
        <w:t>Yue-Min Sun, Xiao-Feng Bai, Dong-Bing Zhao, Cheng-Feng Wang, Yan-Tao Tian,</w:t>
      </w:r>
      <w:r w:rsidRPr="00572E26">
        <w:rPr>
          <w:rFonts w:ascii="Book Antiqua" w:hAnsi="Book Antiqua"/>
          <w:sz w:val="24"/>
          <w:szCs w:val="24"/>
        </w:rPr>
        <w:t xml:space="preserve"> Department of Abdominal Surgical Oncology, Cancer Hospital, Chinese </w:t>
      </w:r>
      <w:smartTag w:uri="urn:schemas-microsoft-com:office:smarttags" w:element="chmetcnv">
        <w:smartTagPr>
          <w:attr w:name="TCSC" w:val="0"/>
          <w:attr w:name="NumberType" w:val="1"/>
          <w:attr w:name="Negative" w:val="False"/>
          <w:attr w:name="HasSpace" w:val="False"/>
          <w:attr w:name="SourceValue" w:val="2"/>
          <w:attr w:name="UnitName" w:val="cm"/>
        </w:smartTagPr>
        <w:r w:rsidRPr="00572E26">
          <w:rPr>
            <w:rFonts w:ascii="Book Antiqua" w:hAnsi="Book Antiqua"/>
            <w:sz w:val="24"/>
            <w:szCs w:val="24"/>
          </w:rPr>
          <w:t>Academy</w:t>
        </w:r>
      </w:smartTag>
      <w:r w:rsidRPr="00572E26">
        <w:rPr>
          <w:rFonts w:ascii="Book Antiqua" w:hAnsi="Book Antiqua"/>
          <w:sz w:val="24"/>
          <w:szCs w:val="24"/>
        </w:rPr>
        <w:t xml:space="preserve"> of Medical Sciences, Beijing 100021, China</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sz w:val="24"/>
          <w:szCs w:val="24"/>
        </w:rPr>
      </w:pPr>
      <w:r w:rsidRPr="00572E26">
        <w:rPr>
          <w:rFonts w:ascii="Book Antiqua" w:hAnsi="Book Antiqua"/>
          <w:b/>
          <w:sz w:val="24"/>
          <w:szCs w:val="24"/>
        </w:rPr>
        <w:t>Gu-Sheng Xing,</w:t>
      </w:r>
      <w:r w:rsidRPr="00572E26">
        <w:rPr>
          <w:rFonts w:ascii="Book Antiqua" w:hAnsi="Book Antiqua"/>
          <w:sz w:val="24"/>
          <w:szCs w:val="24"/>
        </w:rPr>
        <w:t xml:space="preserve"> Department of Diagnostic Radiology, Cancer Hospital, Chinese </w:t>
      </w:r>
      <w:smartTag w:uri="urn:schemas-microsoft-com:office:smarttags" w:element="chmetcnv">
        <w:smartTagPr>
          <w:attr w:name="TCSC" w:val="0"/>
          <w:attr w:name="NumberType" w:val="1"/>
          <w:attr w:name="Negative" w:val="False"/>
          <w:attr w:name="HasSpace" w:val="False"/>
          <w:attr w:name="SourceValue" w:val="2"/>
          <w:attr w:name="UnitName" w:val="cm"/>
        </w:smartTagPr>
        <w:r w:rsidRPr="00572E26">
          <w:rPr>
            <w:rFonts w:ascii="Book Antiqua" w:hAnsi="Book Antiqua"/>
            <w:sz w:val="24"/>
            <w:szCs w:val="24"/>
          </w:rPr>
          <w:t>Academy</w:t>
        </w:r>
      </w:smartTag>
      <w:r w:rsidRPr="00572E26">
        <w:rPr>
          <w:rFonts w:ascii="Book Antiqua" w:hAnsi="Book Antiqua"/>
          <w:sz w:val="24"/>
          <w:szCs w:val="24"/>
        </w:rPr>
        <w:t xml:space="preserve"> of Medical Sciences, Beijing 100021, China</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sz w:val="24"/>
          <w:szCs w:val="24"/>
        </w:rPr>
      </w:pPr>
      <w:r w:rsidRPr="00572E26">
        <w:rPr>
          <w:rFonts w:ascii="Book Antiqua" w:hAnsi="Book Antiqua"/>
          <w:b/>
          <w:sz w:val="24"/>
          <w:szCs w:val="24"/>
        </w:rPr>
        <w:t xml:space="preserve">Lin Yang, </w:t>
      </w:r>
      <w:r w:rsidRPr="00572E26">
        <w:rPr>
          <w:rFonts w:ascii="Book Antiqua" w:hAnsi="Book Antiqua"/>
          <w:sz w:val="24"/>
          <w:szCs w:val="24"/>
        </w:rPr>
        <w:t xml:space="preserve">Department of Pathology, Cancer Hospital, Chinese </w:t>
      </w:r>
      <w:smartTag w:uri="urn:schemas-microsoft-com:office:smarttags" w:element="chmetcnv">
        <w:smartTagPr>
          <w:attr w:name="TCSC" w:val="0"/>
          <w:attr w:name="NumberType" w:val="1"/>
          <w:attr w:name="Negative" w:val="False"/>
          <w:attr w:name="HasSpace" w:val="False"/>
          <w:attr w:name="SourceValue" w:val="2"/>
          <w:attr w:name="UnitName" w:val="cm"/>
        </w:smartTagPr>
        <w:r w:rsidRPr="00572E26">
          <w:rPr>
            <w:rFonts w:ascii="Book Antiqua" w:hAnsi="Book Antiqua"/>
            <w:sz w:val="24"/>
            <w:szCs w:val="24"/>
          </w:rPr>
          <w:t>Academy</w:t>
        </w:r>
      </w:smartTag>
      <w:r w:rsidRPr="00572E26">
        <w:rPr>
          <w:rFonts w:ascii="Book Antiqua" w:hAnsi="Book Antiqua"/>
          <w:sz w:val="24"/>
          <w:szCs w:val="24"/>
        </w:rPr>
        <w:t xml:space="preserve"> of Medical Sciences, Beijing 100021, China</w:t>
      </w:r>
    </w:p>
    <w:p w:rsidR="00BD0315" w:rsidRPr="00572E26" w:rsidRDefault="00BD0315" w:rsidP="00572E26">
      <w:pPr>
        <w:spacing w:line="360" w:lineRule="auto"/>
        <w:rPr>
          <w:rFonts w:ascii="Book Antiqua" w:hAnsi="Book Antiqua"/>
          <w:sz w:val="24"/>
          <w:szCs w:val="24"/>
        </w:rPr>
      </w:pPr>
    </w:p>
    <w:p w:rsidR="00BD0315" w:rsidRDefault="00BD0315" w:rsidP="00572E26">
      <w:pPr>
        <w:spacing w:line="360" w:lineRule="auto"/>
        <w:rPr>
          <w:rFonts w:ascii="Book Antiqua" w:hAnsi="Book Antiqua"/>
          <w:sz w:val="24"/>
          <w:szCs w:val="24"/>
        </w:rPr>
      </w:pPr>
      <w:bookmarkStart w:id="13" w:name="OLE_LINK28"/>
      <w:bookmarkStart w:id="14" w:name="OLE_LINK29"/>
      <w:bookmarkStart w:id="15" w:name="OLE_LINK81"/>
      <w:bookmarkStart w:id="16" w:name="OLE_LINK125"/>
      <w:bookmarkStart w:id="17" w:name="OLE_LINK152"/>
      <w:bookmarkStart w:id="18" w:name="OLE_LINK173"/>
      <w:bookmarkStart w:id="19" w:name="OLE_LINK190"/>
      <w:bookmarkStart w:id="20" w:name="OLE_LINK228"/>
      <w:bookmarkStart w:id="21" w:name="OLE_LINK296"/>
      <w:r w:rsidRPr="00A7393F">
        <w:rPr>
          <w:rFonts w:ascii="Book Antiqua" w:eastAsia="MS Mincho" w:hAnsi="Book Antiqua"/>
          <w:b/>
          <w:sz w:val="24"/>
          <w:lang w:eastAsia="ja-JP"/>
        </w:rPr>
        <w:t>Author contributions:</w:t>
      </w:r>
      <w:bookmarkEnd w:id="13"/>
      <w:bookmarkEnd w:id="14"/>
      <w:bookmarkEnd w:id="15"/>
      <w:bookmarkEnd w:id="16"/>
      <w:bookmarkEnd w:id="17"/>
      <w:bookmarkEnd w:id="18"/>
      <w:bookmarkEnd w:id="19"/>
      <w:bookmarkEnd w:id="20"/>
      <w:bookmarkEnd w:id="21"/>
      <w:r>
        <w:rPr>
          <w:rFonts w:ascii="Book Antiqua" w:hAnsi="Book Antiqua"/>
          <w:b/>
          <w:sz w:val="24"/>
        </w:rPr>
        <w:t xml:space="preserve"> </w:t>
      </w:r>
      <w:r w:rsidRPr="00572E26">
        <w:rPr>
          <w:rFonts w:ascii="Book Antiqua" w:hAnsi="Book Antiqua"/>
          <w:sz w:val="24"/>
          <w:szCs w:val="24"/>
        </w:rPr>
        <w:t>Xie YB, Liu H, Cui L, Xing GS, Yang L, Sun YM, Bai XF, Zhao DB, and Wang CF performed the research; Xie YB and Tian YT were involved in designing the study and editing the manuscript.</w:t>
      </w:r>
    </w:p>
    <w:p w:rsidR="00BD0315" w:rsidRPr="00572E26" w:rsidRDefault="00BD0315" w:rsidP="00572E26">
      <w:pPr>
        <w:spacing w:line="360" w:lineRule="auto"/>
        <w:rPr>
          <w:rFonts w:ascii="Book Antiqua" w:hAnsi="Book Antiqua"/>
          <w:b/>
          <w:sz w:val="24"/>
        </w:rPr>
      </w:pPr>
    </w:p>
    <w:p w:rsidR="00BD0315" w:rsidRPr="00572E26" w:rsidRDefault="00BD0315" w:rsidP="00572E26">
      <w:pPr>
        <w:spacing w:line="360" w:lineRule="auto"/>
        <w:rPr>
          <w:rFonts w:ascii="Book Antiqua" w:hAnsi="Book Antiqua"/>
          <w:sz w:val="24"/>
          <w:szCs w:val="24"/>
        </w:rPr>
      </w:pPr>
      <w:r w:rsidRPr="00572E26">
        <w:rPr>
          <w:rFonts w:ascii="Book Antiqua" w:hAnsi="Book Antiqua"/>
          <w:b/>
          <w:sz w:val="24"/>
          <w:szCs w:val="24"/>
        </w:rPr>
        <w:t xml:space="preserve">Supported by </w:t>
      </w:r>
      <w:r w:rsidRPr="00572E26">
        <w:rPr>
          <w:rFonts w:ascii="Book Antiqua" w:hAnsi="Book Antiqua"/>
          <w:sz w:val="24"/>
          <w:szCs w:val="24"/>
        </w:rPr>
        <w:t>Beijing Municipal Science Technology Commission Fund No. Z131107002213164</w:t>
      </w:r>
      <w:r>
        <w:rPr>
          <w:rFonts w:ascii="Book Antiqua" w:hAnsi="Book Antiqua"/>
          <w:sz w:val="24"/>
          <w:szCs w:val="24"/>
        </w:rPr>
        <w:t xml:space="preserve"> </w:t>
      </w:r>
      <w:r w:rsidRPr="00572E26">
        <w:rPr>
          <w:rFonts w:ascii="Book Antiqua" w:hAnsi="Book Antiqua"/>
          <w:sz w:val="24"/>
          <w:szCs w:val="24"/>
        </w:rPr>
        <w:t>and the Beijing Hope Run Special Fund</w:t>
      </w:r>
      <w:r>
        <w:rPr>
          <w:rFonts w:ascii="Book Antiqua" w:hAnsi="Book Antiqua"/>
          <w:sz w:val="24"/>
          <w:szCs w:val="24"/>
        </w:rPr>
        <w:t xml:space="preserve"> </w:t>
      </w:r>
      <w:r w:rsidRPr="00572E26">
        <w:rPr>
          <w:rFonts w:ascii="Book Antiqua" w:hAnsi="Book Antiqua"/>
          <w:sz w:val="24"/>
          <w:szCs w:val="24"/>
        </w:rPr>
        <w:t>LC2012A09</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b/>
          <w:color w:val="000000"/>
          <w:sz w:val="24"/>
        </w:rPr>
      </w:pPr>
      <w:r>
        <w:rPr>
          <w:rFonts w:ascii="Book Antiqua" w:hAnsi="Book Antiqua"/>
          <w:b/>
          <w:color w:val="000000"/>
          <w:sz w:val="24"/>
        </w:rPr>
        <w:lastRenderedPageBreak/>
        <w:t xml:space="preserve">Correspondence to: </w:t>
      </w:r>
      <w:r w:rsidRPr="00572E26">
        <w:rPr>
          <w:rFonts w:ascii="Book Antiqua" w:hAnsi="Book Antiqua"/>
          <w:b/>
          <w:sz w:val="24"/>
          <w:szCs w:val="24"/>
        </w:rPr>
        <w:t>Yan</w:t>
      </w:r>
      <w:r>
        <w:rPr>
          <w:rFonts w:ascii="Book Antiqua" w:hAnsi="Book Antiqua"/>
          <w:b/>
          <w:sz w:val="24"/>
          <w:szCs w:val="24"/>
        </w:rPr>
        <w:t>-</w:t>
      </w:r>
      <w:r w:rsidRPr="00572E26">
        <w:rPr>
          <w:rFonts w:ascii="Book Antiqua" w:hAnsi="Book Antiqua"/>
          <w:b/>
          <w:sz w:val="24"/>
          <w:szCs w:val="24"/>
        </w:rPr>
        <w:t>Tao</w:t>
      </w:r>
      <w:r>
        <w:rPr>
          <w:rFonts w:ascii="Book Antiqua" w:hAnsi="Book Antiqua"/>
          <w:b/>
          <w:sz w:val="24"/>
          <w:szCs w:val="24"/>
        </w:rPr>
        <w:t xml:space="preserve"> </w:t>
      </w:r>
      <w:r w:rsidRPr="00572E26">
        <w:rPr>
          <w:rFonts w:ascii="Book Antiqua" w:hAnsi="Book Antiqua"/>
          <w:b/>
          <w:sz w:val="24"/>
          <w:szCs w:val="24"/>
        </w:rPr>
        <w:t xml:space="preserve">Tian, MD, </w:t>
      </w:r>
      <w:r w:rsidRPr="00572E26">
        <w:rPr>
          <w:rFonts w:ascii="Book Antiqua" w:hAnsi="Book Antiqua"/>
          <w:sz w:val="24"/>
          <w:szCs w:val="24"/>
        </w:rPr>
        <w:t xml:space="preserve">Department of Abdominal Surgical Oncology, Cancer Hospital, Chinese </w:t>
      </w:r>
      <w:smartTag w:uri="urn:schemas-microsoft-com:office:smarttags" w:element="chmetcnv">
        <w:smartTagPr>
          <w:attr w:name="TCSC" w:val="0"/>
          <w:attr w:name="NumberType" w:val="1"/>
          <w:attr w:name="Negative" w:val="False"/>
          <w:attr w:name="HasSpace" w:val="False"/>
          <w:attr w:name="SourceValue" w:val="2"/>
          <w:attr w:name="UnitName" w:val="cm"/>
        </w:smartTagPr>
        <w:r w:rsidRPr="00572E26">
          <w:rPr>
            <w:rFonts w:ascii="Book Antiqua" w:hAnsi="Book Antiqua"/>
            <w:sz w:val="24"/>
            <w:szCs w:val="24"/>
          </w:rPr>
          <w:t>Academy</w:t>
        </w:r>
      </w:smartTag>
      <w:r w:rsidRPr="00572E26">
        <w:rPr>
          <w:rFonts w:ascii="Book Antiqua" w:hAnsi="Book Antiqua"/>
          <w:sz w:val="24"/>
          <w:szCs w:val="24"/>
        </w:rPr>
        <w:t xml:space="preserve"> of Medical Sciences, 17 Pan Jia Yuan Nan Li, Beijing 100021, China. </w:t>
      </w:r>
      <w:r w:rsidRPr="00572E26">
        <w:rPr>
          <w:rFonts w:ascii="Book Antiqua" w:hAnsi="Book Antiqua"/>
          <w:iCs/>
          <w:sz w:val="24"/>
          <w:szCs w:val="24"/>
        </w:rPr>
        <w:t>tyt67@163.com</w:t>
      </w:r>
    </w:p>
    <w:p w:rsidR="00BD0315" w:rsidRDefault="00BD0315" w:rsidP="00572E26">
      <w:pPr>
        <w:adjustRightInd w:val="0"/>
        <w:snapToGrid w:val="0"/>
        <w:spacing w:line="360" w:lineRule="auto"/>
        <w:rPr>
          <w:rFonts w:ascii="Book Antiqua" w:hAnsi="Book Antiqua"/>
          <w:b/>
          <w:bCs/>
          <w:kern w:val="0"/>
          <w:sz w:val="24"/>
          <w:szCs w:val="24"/>
        </w:rPr>
      </w:pPr>
    </w:p>
    <w:p w:rsidR="00BD0315" w:rsidRPr="00572E26" w:rsidRDefault="00BD0315" w:rsidP="00572E26">
      <w:pPr>
        <w:adjustRightInd w:val="0"/>
        <w:snapToGrid w:val="0"/>
        <w:spacing w:line="360" w:lineRule="auto"/>
        <w:rPr>
          <w:rFonts w:ascii="Book Antiqua" w:hAnsi="Book Antiqua"/>
          <w:bCs/>
          <w:kern w:val="0"/>
          <w:sz w:val="24"/>
          <w:szCs w:val="24"/>
        </w:rPr>
      </w:pPr>
      <w:r w:rsidRPr="00572E26">
        <w:rPr>
          <w:rFonts w:ascii="Book Antiqua" w:hAnsi="Book Antiqua"/>
          <w:b/>
          <w:bCs/>
          <w:kern w:val="0"/>
          <w:sz w:val="24"/>
          <w:szCs w:val="24"/>
        </w:rPr>
        <w:t>Telephone</w:t>
      </w:r>
      <w:r w:rsidRPr="00572E26">
        <w:rPr>
          <w:rFonts w:ascii="Book Antiqua" w:hAnsi="Book Antiqua"/>
          <w:bCs/>
          <w:kern w:val="0"/>
          <w:sz w:val="24"/>
          <w:szCs w:val="24"/>
        </w:rPr>
        <w:t xml:space="preserve">: +86-10-87787120 </w:t>
      </w:r>
      <w:r w:rsidRPr="00572E26">
        <w:rPr>
          <w:rFonts w:ascii="Book Antiqua" w:hAnsi="Book Antiqua"/>
          <w:b/>
          <w:bCs/>
          <w:kern w:val="0"/>
          <w:sz w:val="24"/>
          <w:szCs w:val="24"/>
        </w:rPr>
        <w:t>Fax</w:t>
      </w:r>
      <w:r w:rsidRPr="00572E26">
        <w:rPr>
          <w:rFonts w:ascii="Book Antiqua" w:hAnsi="Book Antiqua"/>
          <w:bCs/>
          <w:kern w:val="0"/>
          <w:sz w:val="24"/>
          <w:szCs w:val="24"/>
        </w:rPr>
        <w:t>: +86-10-67730386</w:t>
      </w:r>
    </w:p>
    <w:p w:rsidR="00BD0315" w:rsidRPr="00572E26" w:rsidRDefault="00BD0315" w:rsidP="00572E26">
      <w:pPr>
        <w:spacing w:line="360" w:lineRule="auto"/>
        <w:rPr>
          <w:rFonts w:ascii="Book Antiqua" w:hAnsi="Book Antiqua"/>
          <w:b/>
          <w:color w:val="000000"/>
          <w:sz w:val="24"/>
          <w:szCs w:val="24"/>
        </w:rPr>
      </w:pPr>
      <w:bookmarkStart w:id="22" w:name="OLE_LINK4"/>
      <w:bookmarkStart w:id="23" w:name="OLE_LINK5"/>
      <w:bookmarkStart w:id="24" w:name="OLE_LINK332"/>
    </w:p>
    <w:p w:rsidR="00BD0315" w:rsidRPr="00572E26" w:rsidRDefault="00BD0315" w:rsidP="00572E26">
      <w:pPr>
        <w:spacing w:line="360" w:lineRule="auto"/>
        <w:rPr>
          <w:rFonts w:ascii="Book Antiqua" w:hAnsi="Book Antiqua"/>
          <w:b/>
          <w:color w:val="000000"/>
          <w:sz w:val="24"/>
          <w:szCs w:val="24"/>
        </w:rPr>
      </w:pPr>
      <w:r w:rsidRPr="00572E26">
        <w:rPr>
          <w:rFonts w:ascii="Book Antiqua" w:hAnsi="Book Antiqua"/>
          <w:b/>
          <w:color w:val="000000"/>
          <w:sz w:val="24"/>
          <w:szCs w:val="24"/>
        </w:rPr>
        <w:t xml:space="preserve">Received: </w:t>
      </w:r>
      <w:r>
        <w:rPr>
          <w:rFonts w:ascii="Book Antiqua" w:hAnsi="Book Antiqua"/>
          <w:color w:val="000000"/>
          <w:sz w:val="24"/>
          <w:szCs w:val="24"/>
        </w:rPr>
        <w:t>January</w:t>
      </w:r>
      <w:r w:rsidRPr="00572E26">
        <w:rPr>
          <w:rFonts w:ascii="Book Antiqua" w:hAnsi="Book Antiqua"/>
          <w:color w:val="000000"/>
          <w:sz w:val="24"/>
          <w:szCs w:val="24"/>
        </w:rPr>
        <w:t xml:space="preserve"> 2, 201</w:t>
      </w:r>
      <w:r>
        <w:rPr>
          <w:rFonts w:ascii="Book Antiqua" w:hAnsi="Book Antiqua"/>
          <w:color w:val="000000"/>
          <w:sz w:val="24"/>
          <w:szCs w:val="24"/>
        </w:rPr>
        <w:t xml:space="preserve">4 </w:t>
      </w:r>
      <w:r>
        <w:rPr>
          <w:rFonts w:ascii="Book Antiqua" w:hAnsi="Book Antiqua"/>
          <w:color w:val="000000"/>
          <w:sz w:val="24"/>
          <w:szCs w:val="24"/>
        </w:rPr>
        <w:tab/>
      </w:r>
      <w:r w:rsidRPr="00572E26">
        <w:rPr>
          <w:rFonts w:ascii="Book Antiqua" w:hAnsi="Book Antiqua"/>
          <w:b/>
          <w:color w:val="000000"/>
          <w:sz w:val="24"/>
          <w:szCs w:val="24"/>
        </w:rPr>
        <w:t>Revised:</w:t>
      </w:r>
      <w:r>
        <w:rPr>
          <w:rFonts w:ascii="Book Antiqua" w:hAnsi="Book Antiqua"/>
          <w:b/>
          <w:color w:val="000000"/>
          <w:sz w:val="24"/>
          <w:szCs w:val="24"/>
        </w:rPr>
        <w:t xml:space="preserve"> </w:t>
      </w:r>
      <w:r w:rsidRPr="00572E26">
        <w:rPr>
          <w:rFonts w:ascii="Book Antiqua" w:hAnsi="Book Antiqua"/>
          <w:color w:val="000000"/>
          <w:sz w:val="24"/>
          <w:szCs w:val="24"/>
        </w:rPr>
        <w:t>February 10, 2014</w:t>
      </w:r>
    </w:p>
    <w:p w:rsidR="00821704" w:rsidRPr="00702BB8" w:rsidRDefault="00BD0315" w:rsidP="00821704">
      <w:pPr>
        <w:rPr>
          <w:rFonts w:ascii="Book Antiqua" w:hAnsi="Book Antiqua"/>
          <w:sz w:val="24"/>
          <w:szCs w:val="24"/>
        </w:rPr>
      </w:pPr>
      <w:r w:rsidRPr="00572E26">
        <w:rPr>
          <w:rFonts w:ascii="Book Antiqua" w:hAnsi="Book Antiqua"/>
          <w:b/>
          <w:color w:val="000000"/>
          <w:sz w:val="24"/>
          <w:szCs w:val="24"/>
        </w:rPr>
        <w:t>Accepted:</w:t>
      </w:r>
      <w:bookmarkStart w:id="25" w:name="OLE_LINK1"/>
      <w:bookmarkStart w:id="26" w:name="OLE_LINK2"/>
      <w:bookmarkStart w:id="27" w:name="OLE_LINK3"/>
      <w:r w:rsidR="00821704" w:rsidRPr="00821704">
        <w:rPr>
          <w:rFonts w:ascii="Book Antiqua" w:hAnsi="Book Antiqua"/>
          <w:sz w:val="24"/>
          <w:szCs w:val="24"/>
        </w:rPr>
        <w:t xml:space="preserve"> </w:t>
      </w:r>
      <w:r w:rsidR="00821704" w:rsidRPr="00702BB8">
        <w:rPr>
          <w:rFonts w:ascii="Book Antiqua" w:hAnsi="Book Antiqua"/>
          <w:sz w:val="24"/>
          <w:szCs w:val="24"/>
        </w:rPr>
        <w:t>March 7, 2014</w:t>
      </w:r>
      <w:bookmarkEnd w:id="25"/>
      <w:bookmarkEnd w:id="26"/>
      <w:bookmarkEnd w:id="27"/>
    </w:p>
    <w:p w:rsidR="00BD0315" w:rsidRPr="00572E26" w:rsidRDefault="00BD0315" w:rsidP="00572E26">
      <w:pPr>
        <w:spacing w:line="360" w:lineRule="auto"/>
        <w:rPr>
          <w:rFonts w:ascii="Book Antiqua" w:hAnsi="Book Antiqua"/>
          <w:b/>
          <w:color w:val="000000"/>
          <w:sz w:val="24"/>
          <w:szCs w:val="24"/>
        </w:rPr>
      </w:pPr>
      <w:bookmarkStart w:id="28" w:name="_GoBack"/>
      <w:bookmarkEnd w:id="28"/>
    </w:p>
    <w:p w:rsidR="00BD0315" w:rsidRPr="00572E26" w:rsidRDefault="00BD0315" w:rsidP="00572E26">
      <w:pPr>
        <w:spacing w:line="360" w:lineRule="auto"/>
        <w:rPr>
          <w:rFonts w:ascii="Book Antiqua" w:hAnsi="Book Antiqua"/>
          <w:b/>
          <w:color w:val="000000"/>
          <w:sz w:val="24"/>
          <w:szCs w:val="24"/>
        </w:rPr>
      </w:pPr>
      <w:r w:rsidRPr="00572E26">
        <w:rPr>
          <w:rFonts w:ascii="Book Antiqua" w:hAnsi="Book Antiqua"/>
          <w:b/>
          <w:color w:val="000000"/>
          <w:sz w:val="24"/>
          <w:szCs w:val="24"/>
        </w:rPr>
        <w:t>Published online:</w:t>
      </w:r>
    </w:p>
    <w:bookmarkEnd w:id="22"/>
    <w:bookmarkEnd w:id="23"/>
    <w:bookmarkEnd w:id="24"/>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widowControl/>
        <w:spacing w:line="360" w:lineRule="auto"/>
        <w:rPr>
          <w:rFonts w:ascii="Book Antiqua" w:hAnsi="Book Antiqua"/>
          <w:sz w:val="24"/>
          <w:szCs w:val="24"/>
        </w:rPr>
      </w:pPr>
      <w:r w:rsidRPr="00572E26">
        <w:rPr>
          <w:rFonts w:ascii="Book Antiqua" w:hAnsi="Book Antiqua"/>
          <w:sz w:val="24"/>
          <w:szCs w:val="24"/>
        </w:rPr>
        <w:br w:type="page"/>
      </w:r>
    </w:p>
    <w:p w:rsidR="00BD0315" w:rsidRPr="00572E26" w:rsidRDefault="00BD0315" w:rsidP="00572E26">
      <w:pPr>
        <w:spacing w:line="360" w:lineRule="auto"/>
        <w:rPr>
          <w:rFonts w:ascii="Book Antiqua" w:hAnsi="Book Antiqua"/>
          <w:b/>
          <w:sz w:val="24"/>
          <w:szCs w:val="24"/>
        </w:rPr>
      </w:pPr>
      <w:r w:rsidRPr="00572E26">
        <w:rPr>
          <w:rFonts w:ascii="Book Antiqua" w:hAnsi="Book Antiqua"/>
          <w:b/>
          <w:sz w:val="24"/>
          <w:szCs w:val="24"/>
        </w:rPr>
        <w:t>Abstract</w:t>
      </w:r>
    </w:p>
    <w:p w:rsidR="00BD0315" w:rsidRDefault="00BD0315" w:rsidP="00572E26">
      <w:pPr>
        <w:spacing w:line="360" w:lineRule="auto"/>
        <w:rPr>
          <w:rFonts w:ascii="Book Antiqua" w:hAnsi="Book Antiqua"/>
          <w:sz w:val="24"/>
          <w:szCs w:val="24"/>
        </w:rPr>
      </w:pPr>
      <w:r w:rsidRPr="00572E26">
        <w:rPr>
          <w:rFonts w:ascii="Book Antiqua" w:hAnsi="Book Antiqua"/>
          <w:b/>
          <w:sz w:val="24"/>
          <w:szCs w:val="24"/>
        </w:rPr>
        <w:t>AIM</w:t>
      </w:r>
      <w:r w:rsidRPr="00572E26">
        <w:rPr>
          <w:rFonts w:ascii="Book Antiqua" w:hAnsi="Book Antiqua"/>
          <w:sz w:val="24"/>
          <w:szCs w:val="24"/>
        </w:rPr>
        <w:t>: To explore the feasibility and oncologic outcomes of segmental jejunal resection on the left side of the mesenteric vessels in patients with tumors of the angle of Treitz using data from a single center.</w:t>
      </w:r>
    </w:p>
    <w:p w:rsidR="00BD0315" w:rsidRPr="00572E26" w:rsidRDefault="00BD0315" w:rsidP="00572E26">
      <w:pPr>
        <w:spacing w:line="360" w:lineRule="auto"/>
        <w:rPr>
          <w:rFonts w:ascii="Book Antiqua" w:hAnsi="Book Antiqua"/>
          <w:sz w:val="24"/>
          <w:szCs w:val="24"/>
        </w:rPr>
      </w:pPr>
    </w:p>
    <w:p w:rsidR="00BD0315" w:rsidRDefault="00BD0315" w:rsidP="00572E26">
      <w:pPr>
        <w:spacing w:line="360" w:lineRule="auto"/>
        <w:rPr>
          <w:rFonts w:ascii="Book Antiqua" w:hAnsi="Book Antiqua"/>
          <w:sz w:val="24"/>
          <w:szCs w:val="24"/>
        </w:rPr>
      </w:pPr>
      <w:r w:rsidRPr="00572E26">
        <w:rPr>
          <w:rFonts w:ascii="Book Antiqua" w:hAnsi="Book Antiqua"/>
          <w:b/>
          <w:sz w:val="24"/>
          <w:szCs w:val="24"/>
        </w:rPr>
        <w:t>METHODS</w:t>
      </w:r>
      <w:r w:rsidRPr="00572E26">
        <w:rPr>
          <w:rFonts w:ascii="Book Antiqua" w:hAnsi="Book Antiqua"/>
          <w:sz w:val="24"/>
          <w:szCs w:val="24"/>
        </w:rPr>
        <w:t>: Thirteen patients with tumors of the angle of Treitz who underwent surgery at our institution were prospectively followed. A segmental jejunal resection on the left side of the mesenteric vessels was performed on all patients. Formalin-fixed and paraffin-embedded tumor samples were examined. The primary end point of this analysis was disease-free survival.</w:t>
      </w:r>
    </w:p>
    <w:p w:rsidR="00BD0315" w:rsidRPr="00572E26" w:rsidRDefault="00BD0315" w:rsidP="00572E26">
      <w:pPr>
        <w:spacing w:line="360" w:lineRule="auto"/>
        <w:rPr>
          <w:rFonts w:ascii="Book Antiqua" w:hAnsi="Book Antiqua"/>
          <w:sz w:val="24"/>
          <w:szCs w:val="24"/>
        </w:rPr>
      </w:pPr>
    </w:p>
    <w:p w:rsidR="00BD0315" w:rsidRDefault="00BD0315" w:rsidP="00572E26">
      <w:pPr>
        <w:spacing w:line="360" w:lineRule="auto"/>
        <w:rPr>
          <w:rFonts w:ascii="Book Antiqua" w:hAnsi="Book Antiqua"/>
          <w:sz w:val="24"/>
          <w:szCs w:val="24"/>
        </w:rPr>
      </w:pPr>
      <w:r w:rsidRPr="00572E26">
        <w:rPr>
          <w:rFonts w:ascii="Book Antiqua" w:hAnsi="Book Antiqua"/>
          <w:b/>
          <w:sz w:val="24"/>
          <w:szCs w:val="24"/>
        </w:rPr>
        <w:t>RESULTS</w:t>
      </w:r>
      <w:r w:rsidRPr="00572E26">
        <w:rPr>
          <w:rFonts w:ascii="Book Antiqua" w:hAnsi="Book Antiqua"/>
          <w:sz w:val="24"/>
          <w:szCs w:val="24"/>
        </w:rPr>
        <w:t>: In this study, there were 8 males and 5 females (mean age, 50.1 years; range, 36-74 years). The mean tumor size was 8.1 cm (range, 3.2-15 cm). The histologic examinations showed 11 gastrointestinal stromal tumors (GISTs) and 2 adenocarcinomas. Five of the GIST patients presented with potential low risk, and 6 presented with intermediate and high risks, according to the National Institutes of Health criteria. One potentially high-risk patient showed tumor progression at 46 mo and died 52 mo after surgery. One patient with locally advanced adenocarcinoma received neoadjuvant chemotherapy and adjuvant radiotherapy, but the disease progressed persistently, and the patient died 9 mo after surgery. One GIST patient without progression died 16 months after surgery because of a postoperative intestinal obstruction. The median overall survival rate was 84.6 mo, and the median disease-free survival rate was 94.5 mo.</w:t>
      </w:r>
    </w:p>
    <w:p w:rsidR="00BD0315" w:rsidRPr="00572E26" w:rsidRDefault="00BD0315" w:rsidP="00572E26">
      <w:pPr>
        <w:spacing w:line="360" w:lineRule="auto"/>
        <w:rPr>
          <w:rFonts w:ascii="Book Antiqua" w:hAnsi="Book Antiqua"/>
          <w:sz w:val="24"/>
          <w:szCs w:val="24"/>
        </w:rPr>
      </w:pPr>
    </w:p>
    <w:p w:rsidR="00BD0315" w:rsidRDefault="00BD0315" w:rsidP="00572E26">
      <w:pPr>
        <w:spacing w:line="360" w:lineRule="auto"/>
        <w:rPr>
          <w:rFonts w:ascii="Book Antiqua" w:hAnsi="Book Antiqua"/>
          <w:sz w:val="24"/>
          <w:szCs w:val="24"/>
        </w:rPr>
      </w:pPr>
      <w:r w:rsidRPr="00572E26">
        <w:rPr>
          <w:rFonts w:ascii="Book Antiqua" w:hAnsi="Book Antiqua"/>
          <w:b/>
          <w:sz w:val="24"/>
          <w:szCs w:val="24"/>
        </w:rPr>
        <w:t>CONCLUSION</w:t>
      </w:r>
      <w:r w:rsidRPr="00572E26">
        <w:rPr>
          <w:rFonts w:ascii="Book Antiqua" w:hAnsi="Book Antiqua"/>
          <w:sz w:val="24"/>
          <w:szCs w:val="24"/>
        </w:rPr>
        <w:t xml:space="preserve">: The overall survival of patients with tumors of the angle of Treitz was encouraging even when the tumor size was relatively large. A segmental resection on the left side of the mesenteric vessels is considered to </w:t>
      </w:r>
      <w:r w:rsidRPr="00572E26">
        <w:rPr>
          <w:rFonts w:ascii="Book Antiqua" w:hAnsi="Book Antiqua"/>
          <w:sz w:val="24"/>
          <w:szCs w:val="24"/>
        </w:rPr>
        <w:lastRenderedPageBreak/>
        <w:t xml:space="preserve">be a reliable and curative option for tumors of the angle of Treitz. </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sz w:val="24"/>
          <w:szCs w:val="24"/>
        </w:rPr>
      </w:pPr>
      <w:bookmarkStart w:id="29" w:name="OLE_LINK254"/>
      <w:r w:rsidRPr="00572E26">
        <w:rPr>
          <w:rFonts w:ascii="Book Antiqua" w:hAnsi="Book Antiqua"/>
          <w:b/>
          <w:sz w:val="24"/>
          <w:szCs w:val="24"/>
        </w:rPr>
        <w:t>Keywords:</w:t>
      </w:r>
      <w:r w:rsidRPr="00572E26">
        <w:rPr>
          <w:rFonts w:ascii="Book Antiqua" w:hAnsi="Book Antiqua"/>
          <w:sz w:val="24"/>
          <w:szCs w:val="24"/>
        </w:rPr>
        <w:t xml:space="preserve"> Gastrointestinal stromal tumor; Adenocarcinoma; Angle of Treitz; Surgical treatment; Prognosis</w:t>
      </w:r>
    </w:p>
    <w:p w:rsidR="00BD0315" w:rsidRPr="00572E26" w:rsidRDefault="00BD0315" w:rsidP="00572E26">
      <w:pPr>
        <w:spacing w:line="360" w:lineRule="auto"/>
        <w:rPr>
          <w:rFonts w:ascii="Book Antiqua" w:hAnsi="Book Antiqua"/>
          <w:b/>
          <w:sz w:val="24"/>
          <w:szCs w:val="24"/>
        </w:rPr>
      </w:pPr>
      <w:bookmarkStart w:id="30" w:name="OLE_LINK105"/>
      <w:bookmarkStart w:id="31" w:name="OLE_LINK116"/>
    </w:p>
    <w:p w:rsidR="00BD0315" w:rsidRPr="00572E26" w:rsidRDefault="00BD0315" w:rsidP="00572E26">
      <w:pPr>
        <w:spacing w:line="360" w:lineRule="auto"/>
        <w:rPr>
          <w:rFonts w:ascii="Book Antiqua" w:hAnsi="Book Antiqua"/>
          <w:sz w:val="24"/>
          <w:szCs w:val="24"/>
        </w:rPr>
      </w:pPr>
      <w:bookmarkStart w:id="32" w:name="OLE_LINK101"/>
      <w:bookmarkStart w:id="33" w:name="OLE_LINK107"/>
      <w:bookmarkStart w:id="34" w:name="OLE_LINK350"/>
      <w:bookmarkStart w:id="35" w:name="OLE_LINK351"/>
      <w:bookmarkEnd w:id="30"/>
      <w:bookmarkEnd w:id="31"/>
      <w:r w:rsidRPr="00572E26">
        <w:rPr>
          <w:rFonts w:ascii="Book Antiqua" w:hAnsi="Book Antiqua"/>
          <w:b/>
          <w:sz w:val="24"/>
          <w:szCs w:val="24"/>
        </w:rPr>
        <w:t>Core tip:</w:t>
      </w:r>
      <w:bookmarkEnd w:id="32"/>
      <w:bookmarkEnd w:id="33"/>
      <w:r w:rsidRPr="00572E26">
        <w:rPr>
          <w:rFonts w:ascii="Book Antiqua" w:hAnsi="Book Antiqua"/>
          <w:b/>
          <w:sz w:val="24"/>
          <w:szCs w:val="24"/>
        </w:rPr>
        <w:t xml:space="preserve"> </w:t>
      </w:r>
      <w:r w:rsidRPr="00572E26">
        <w:rPr>
          <w:rFonts w:ascii="Book Antiqua" w:hAnsi="Book Antiqua"/>
          <w:sz w:val="24"/>
          <w:szCs w:val="24"/>
        </w:rPr>
        <w:t>This single-center study investigated a type of rare tumor originating from the angel of Treitz. The symptoms, diagnosis, surgical procedure, histology, and prognosis of this tumor were evaluated. Although the tumors tended to be large, segmental jejunal resection on the left side of the mesenteric vessels was the treatment of choice.</w:t>
      </w:r>
    </w:p>
    <w:p w:rsidR="00BD0315" w:rsidRPr="00572E26" w:rsidRDefault="00BD0315" w:rsidP="00572E26">
      <w:pPr>
        <w:adjustRightInd w:val="0"/>
        <w:snapToGrid w:val="0"/>
        <w:spacing w:line="360" w:lineRule="auto"/>
        <w:rPr>
          <w:rFonts w:ascii="Book Antiqua" w:hAnsi="Book Antiqua"/>
          <w:sz w:val="24"/>
          <w:szCs w:val="24"/>
        </w:rPr>
      </w:pPr>
    </w:p>
    <w:p w:rsidR="00BD0315" w:rsidRPr="00572E26" w:rsidRDefault="00BD0315" w:rsidP="00572E26">
      <w:pPr>
        <w:adjustRightInd w:val="0"/>
        <w:snapToGrid w:val="0"/>
        <w:spacing w:line="360" w:lineRule="auto"/>
        <w:rPr>
          <w:rFonts w:ascii="Book Antiqua" w:hAnsi="Book Antiqua"/>
          <w:sz w:val="24"/>
          <w:szCs w:val="24"/>
        </w:rPr>
      </w:pPr>
      <w:bookmarkStart w:id="36" w:name="OLE_LINK130"/>
      <w:bookmarkStart w:id="37" w:name="OLE_LINK134"/>
      <w:r w:rsidRPr="00572E26">
        <w:rPr>
          <w:rFonts w:ascii="Book Antiqua" w:hAnsi="Book Antiqua"/>
          <w:sz w:val="24"/>
          <w:szCs w:val="24"/>
        </w:rPr>
        <w:t>Xie YB, Liu H, Cui L, Xing GS, Yang L, Sun YM, Bai XF, Zhao DB, Wang CF, Tian YT</w:t>
      </w:r>
      <w:r>
        <w:rPr>
          <w:rFonts w:ascii="Book Antiqua" w:hAnsi="Book Antiqua"/>
          <w:sz w:val="24"/>
          <w:szCs w:val="24"/>
        </w:rPr>
        <w:t>.</w:t>
      </w:r>
      <w:r w:rsidRPr="00572E26">
        <w:rPr>
          <w:rFonts w:ascii="Book Antiqua" w:hAnsi="Book Antiqua"/>
          <w:sz w:val="24"/>
          <w:szCs w:val="24"/>
        </w:rPr>
        <w:t xml:space="preserve"> Tumors of the angle of Treitz: a single-center experience.</w:t>
      </w:r>
    </w:p>
    <w:p w:rsidR="00BD0315" w:rsidRPr="00572E26" w:rsidRDefault="00BD0315" w:rsidP="00572E26">
      <w:pPr>
        <w:adjustRightInd w:val="0"/>
        <w:snapToGrid w:val="0"/>
        <w:spacing w:line="360" w:lineRule="auto"/>
        <w:ind w:rightChars="-506" w:right="-1063"/>
        <w:rPr>
          <w:rFonts w:ascii="Book Antiqua" w:hAnsi="Book Antiqua"/>
          <w:sz w:val="24"/>
          <w:szCs w:val="24"/>
        </w:rPr>
      </w:pPr>
      <w:r w:rsidRPr="00572E26">
        <w:rPr>
          <w:rFonts w:ascii="Book Antiqua" w:hAnsi="Book Antiqua"/>
          <w:i/>
          <w:sz w:val="24"/>
          <w:szCs w:val="24"/>
        </w:rPr>
        <w:t>World J Gastroenterol</w:t>
      </w:r>
      <w:r w:rsidRPr="00572E26">
        <w:rPr>
          <w:rFonts w:ascii="Book Antiqua" w:hAnsi="Book Antiqua"/>
          <w:sz w:val="24"/>
          <w:szCs w:val="24"/>
        </w:rPr>
        <w:t xml:space="preserve"> 2014;</w:t>
      </w:r>
    </w:p>
    <w:p w:rsidR="00BD0315" w:rsidRPr="00572E26" w:rsidRDefault="00BD0315" w:rsidP="00572E26">
      <w:pPr>
        <w:pStyle w:val="p0"/>
        <w:adjustRightInd w:val="0"/>
        <w:snapToGrid w:val="0"/>
        <w:spacing w:line="360" w:lineRule="auto"/>
        <w:jc w:val="both"/>
        <w:rPr>
          <w:rFonts w:ascii="Book Antiqua" w:hAnsi="Book Antiqua" w:cs="Times New Roman"/>
          <w:sz w:val="24"/>
          <w:szCs w:val="24"/>
        </w:rPr>
      </w:pPr>
      <w:r w:rsidRPr="00572E26">
        <w:rPr>
          <w:rFonts w:ascii="Book Antiqua" w:hAnsi="Book Antiqua" w:cs="Times New Roman"/>
          <w:b/>
          <w:bCs/>
          <w:sz w:val="24"/>
          <w:szCs w:val="24"/>
        </w:rPr>
        <w:t>Available from:</w:t>
      </w:r>
    </w:p>
    <w:p w:rsidR="00BD0315" w:rsidRPr="00572E26" w:rsidRDefault="00BD0315" w:rsidP="00572E26">
      <w:pPr>
        <w:pStyle w:val="p0"/>
        <w:adjustRightInd w:val="0"/>
        <w:snapToGrid w:val="0"/>
        <w:spacing w:line="360" w:lineRule="auto"/>
        <w:jc w:val="both"/>
        <w:rPr>
          <w:rFonts w:ascii="Book Antiqua" w:hAnsi="Book Antiqua" w:cs="Times New Roman"/>
          <w:kern w:val="2"/>
          <w:sz w:val="24"/>
          <w:szCs w:val="24"/>
        </w:rPr>
      </w:pPr>
      <w:r w:rsidRPr="00572E26">
        <w:rPr>
          <w:rFonts w:ascii="Book Antiqua" w:hAnsi="Book Antiqua" w:cs="Times New Roman"/>
          <w:b/>
          <w:kern w:val="2"/>
          <w:sz w:val="24"/>
          <w:szCs w:val="24"/>
        </w:rPr>
        <w:t>DOI:</w:t>
      </w:r>
    </w:p>
    <w:bookmarkEnd w:id="29"/>
    <w:bookmarkEnd w:id="34"/>
    <w:bookmarkEnd w:id="35"/>
    <w:bookmarkEnd w:id="36"/>
    <w:bookmarkEnd w:id="37"/>
    <w:p w:rsidR="00BD0315" w:rsidRPr="00572E26" w:rsidRDefault="00BD0315" w:rsidP="00572E26">
      <w:pPr>
        <w:widowControl/>
        <w:spacing w:line="360" w:lineRule="auto"/>
        <w:rPr>
          <w:rFonts w:ascii="Book Antiqua" w:hAnsi="Book Antiqua"/>
          <w:b/>
          <w:sz w:val="24"/>
          <w:szCs w:val="24"/>
        </w:rPr>
      </w:pPr>
      <w:r w:rsidRPr="00572E26">
        <w:rPr>
          <w:rFonts w:ascii="Book Antiqua" w:hAnsi="Book Antiqua"/>
          <w:b/>
          <w:sz w:val="24"/>
          <w:szCs w:val="24"/>
        </w:rPr>
        <w:br w:type="page"/>
      </w:r>
    </w:p>
    <w:p w:rsidR="00BD0315" w:rsidRPr="00572E26" w:rsidRDefault="00BD0315" w:rsidP="00572E26">
      <w:pPr>
        <w:spacing w:line="360" w:lineRule="auto"/>
        <w:rPr>
          <w:rFonts w:ascii="Book Antiqua" w:hAnsi="Book Antiqua"/>
          <w:b/>
          <w:sz w:val="24"/>
          <w:szCs w:val="24"/>
        </w:rPr>
      </w:pPr>
      <w:r w:rsidRPr="00572E26">
        <w:rPr>
          <w:rFonts w:ascii="Book Antiqua" w:hAnsi="Book Antiqua"/>
          <w:b/>
          <w:sz w:val="24"/>
          <w:szCs w:val="24"/>
        </w:rPr>
        <w:t>INTRODUCTION</w:t>
      </w:r>
    </w:p>
    <w:p w:rsidR="00BD0315" w:rsidRDefault="00BD0315" w:rsidP="00572E26">
      <w:pPr>
        <w:spacing w:line="360" w:lineRule="auto"/>
        <w:rPr>
          <w:rFonts w:ascii="Book Antiqua" w:hAnsi="Book Antiqua"/>
          <w:sz w:val="24"/>
          <w:szCs w:val="24"/>
        </w:rPr>
      </w:pPr>
      <w:r w:rsidRPr="00572E26">
        <w:rPr>
          <w:rFonts w:ascii="Book Antiqua" w:hAnsi="Book Antiqua"/>
          <w:sz w:val="24"/>
          <w:szCs w:val="24"/>
        </w:rPr>
        <w:t>It is known that tumors of the small intestine, which account for less than 5% of digestive tract tumors</w:t>
      </w:r>
      <w:r w:rsidRPr="00572E26">
        <w:rPr>
          <w:rFonts w:ascii="Book Antiqua" w:hAnsi="Book Antiqua"/>
          <w:sz w:val="24"/>
          <w:szCs w:val="24"/>
          <w:vertAlign w:val="superscript"/>
        </w:rPr>
        <w:t>[1]</w:t>
      </w:r>
      <w:r w:rsidRPr="00572E26">
        <w:rPr>
          <w:rFonts w:ascii="Book Antiqua" w:hAnsi="Book Antiqua"/>
          <w:sz w:val="24"/>
          <w:szCs w:val="24"/>
        </w:rPr>
        <w:t>, rarely occur. Tumors occurring in the angle of Treitz are even rarer. As a result, tumors of the angle of Treitz have never been reported on a large scale. Most published studies are case reports</w:t>
      </w:r>
      <w:r w:rsidRPr="00572E26">
        <w:rPr>
          <w:rFonts w:ascii="Book Antiqua" w:hAnsi="Book Antiqua"/>
          <w:sz w:val="24"/>
          <w:szCs w:val="24"/>
          <w:vertAlign w:val="superscript"/>
        </w:rPr>
        <w:t>[2-5]</w:t>
      </w:r>
      <w:r w:rsidRPr="00572E26">
        <w:rPr>
          <w:rFonts w:ascii="Book Antiqua" w:hAnsi="Book Antiqua"/>
          <w:sz w:val="24"/>
          <w:szCs w:val="24"/>
        </w:rPr>
        <w:t>. Most cases occur sporadically, but some may occur in the context of a familial syndrome (</w:t>
      </w:r>
      <w:r w:rsidRPr="00572E26">
        <w:rPr>
          <w:rFonts w:ascii="Book Antiqua" w:hAnsi="Book Antiqua"/>
          <w:i/>
          <w:sz w:val="24"/>
          <w:szCs w:val="24"/>
        </w:rPr>
        <w:t>i.e.,</w:t>
      </w:r>
      <w:r w:rsidRPr="00572E26">
        <w:rPr>
          <w:rFonts w:ascii="Book Antiqua" w:hAnsi="Book Antiqua"/>
          <w:sz w:val="24"/>
          <w:szCs w:val="24"/>
        </w:rPr>
        <w:t xml:space="preserve"> Peutz-Jeghers syndrome or Crohn’s disease)</w:t>
      </w:r>
      <w:r w:rsidRPr="00572E26">
        <w:rPr>
          <w:rFonts w:ascii="Book Antiqua" w:hAnsi="Book Antiqua"/>
          <w:sz w:val="24"/>
          <w:szCs w:val="24"/>
          <w:vertAlign w:val="superscript"/>
        </w:rPr>
        <w:t>[6]</w:t>
      </w:r>
      <w:r w:rsidRPr="00572E26">
        <w:rPr>
          <w:rFonts w:ascii="Book Antiqua" w:hAnsi="Book Antiqua"/>
          <w:sz w:val="24"/>
          <w:szCs w:val="24"/>
        </w:rPr>
        <w:t>. These patients usually present with abdominal pain, iron-deficiency anemia, gastrointestinal bleeding, or vomiting caused by an obstruction</w:t>
      </w:r>
      <w:r w:rsidRPr="00572E26">
        <w:rPr>
          <w:rFonts w:ascii="Book Antiqua" w:hAnsi="Book Antiqua"/>
          <w:sz w:val="24"/>
          <w:szCs w:val="24"/>
          <w:vertAlign w:val="superscript"/>
        </w:rPr>
        <w:t>[7]</w:t>
      </w:r>
      <w:r w:rsidRPr="00572E26">
        <w:rPr>
          <w:rFonts w:ascii="Book Antiqua" w:hAnsi="Book Antiqua"/>
          <w:sz w:val="24"/>
          <w:szCs w:val="24"/>
        </w:rPr>
        <w:t>. Tumors of the angle of Treitz may also be incidental findings during a clinical examination.</w:t>
      </w:r>
    </w:p>
    <w:p w:rsidR="00BD0315" w:rsidRPr="00572E26" w:rsidRDefault="00BD0315" w:rsidP="00572E26">
      <w:pPr>
        <w:spacing w:line="360" w:lineRule="auto"/>
        <w:ind w:firstLineChars="200" w:firstLine="480"/>
        <w:rPr>
          <w:rFonts w:ascii="Book Antiqua" w:hAnsi="Book Antiqua"/>
          <w:sz w:val="24"/>
          <w:szCs w:val="24"/>
        </w:rPr>
      </w:pPr>
      <w:r w:rsidRPr="00572E26">
        <w:rPr>
          <w:rFonts w:ascii="Book Antiqua" w:hAnsi="Book Antiqua"/>
          <w:sz w:val="24"/>
          <w:szCs w:val="24"/>
        </w:rPr>
        <w:t>Although segmental resection is the treatment of choice, this reality is not apparent from the literature. Moreover, data from our center suggest that most tumors of the angle of Treitz are gastrointestinal stromal tumors (GISTs), and only a few are adenocarcinomas. In this study, we report a series of patients with tumors of the angle of Treitz to clarify the treatment method and diagnosis.</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b/>
          <w:sz w:val="24"/>
          <w:szCs w:val="24"/>
        </w:rPr>
      </w:pPr>
      <w:r w:rsidRPr="00572E26">
        <w:rPr>
          <w:rFonts w:ascii="Book Antiqua" w:hAnsi="Book Antiqua"/>
          <w:b/>
          <w:sz w:val="24"/>
          <w:szCs w:val="24"/>
        </w:rPr>
        <w:t>MATERIALS AND METHODS</w:t>
      </w: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Patients and tumor specimens</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 xml:space="preserve">This study examined 13 patients (8 men and 5 women; mean age, 50.1 years; range, 36-74 years). All patients in this study underwent surgical resection of tumors of the angle of Treitz (Table 1). Formalin-fixed and paraffin-embedded tumor samples were examined. The pathological categories for the 13 patients were GIST (11 cases) and adenocarcinoma (2 cases). For the patients with GISTs, immunohistochemical evaluations of CD117, CD34, S-100, smooth-muscle actin (SMA), desmin, and Ki67 were performed in all cases (Table 2). Assessments of the maximal tumor size, histologic growth pattern, and mitotic count in 50 high-power fields (HPFs, for GISTs) were independently performed by two senior pathologists. The malignant potential </w:t>
      </w:r>
      <w:r w:rsidRPr="00572E26">
        <w:rPr>
          <w:rFonts w:ascii="Book Antiqua" w:hAnsi="Book Antiqua"/>
          <w:sz w:val="24"/>
          <w:szCs w:val="24"/>
        </w:rPr>
        <w:lastRenderedPageBreak/>
        <w:t>of the GISTs was estimated based on the tumor size, mitotic count, rupture, and tumor location, according to the criteria published in 2008 by the National Institutes of Health (NIH)</w:t>
      </w:r>
      <w:r w:rsidRPr="00572E26">
        <w:rPr>
          <w:rFonts w:ascii="Book Antiqua" w:hAnsi="Book Antiqua"/>
          <w:sz w:val="24"/>
          <w:szCs w:val="24"/>
          <w:vertAlign w:val="superscript"/>
        </w:rPr>
        <w:t>[8]</w:t>
      </w:r>
      <w:r w:rsidRPr="00572E26">
        <w:rPr>
          <w:rFonts w:ascii="Book Antiqua" w:hAnsi="Book Antiqua"/>
          <w:sz w:val="24"/>
          <w:szCs w:val="24"/>
        </w:rPr>
        <w:t>. The survival data were obtained either by reviewing the clinical records or at follow-up. In addition, the preoperative and postoperative therapies were assessed with tyrosine kinase inhibitors or chemotherapy.</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Surgical procedure</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The surgical procedure included segmental jejunal resection and multivisceral resection. The decision regarding which of the two procedures to use was made intraoperatively based on the tumor size and site. The segmental jejunal resection was performed on the left side of the mesenteric blood vessels (Figure 1). When the tumor infiltrated into adjacent organs, multivisceral resection was performed.</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Statistical analysis</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All statistical analyses were performed with the software program IBM SPSS Statistics 21 (IBM, United States). The disease-free survival and overall survival were estimated using the Kaplan-Meier method. The nonparametric log-rank test was used to compare the groups.</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b/>
          <w:sz w:val="24"/>
          <w:szCs w:val="24"/>
        </w:rPr>
      </w:pPr>
      <w:r w:rsidRPr="00572E26">
        <w:rPr>
          <w:rFonts w:ascii="Book Antiqua" w:hAnsi="Book Antiqua"/>
          <w:b/>
          <w:sz w:val="24"/>
          <w:szCs w:val="24"/>
        </w:rPr>
        <w:t>RESULTS</w:t>
      </w: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Clinicopathologic characteristics</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Table 1 summarizes the clinicopathologic characteristics of the 13 patients with tumors of the angle of Treitz. The mean patient age was 50.1 years, and there was no significant correlation between age and tumor recurrence (95% CI</w:t>
      </w:r>
      <w:r>
        <w:rPr>
          <w:rFonts w:ascii="Book Antiqua" w:hAnsi="Book Antiqua"/>
          <w:sz w:val="24"/>
          <w:szCs w:val="24"/>
        </w:rPr>
        <w:t>:</w:t>
      </w:r>
      <w:r w:rsidRPr="00572E26">
        <w:rPr>
          <w:rFonts w:ascii="Book Antiqua" w:hAnsi="Book Antiqua"/>
          <w:sz w:val="24"/>
          <w:szCs w:val="24"/>
        </w:rPr>
        <w:t xml:space="preserve"> 0.928-1.121, </w:t>
      </w:r>
      <w:r w:rsidRPr="00572E26">
        <w:rPr>
          <w:rFonts w:ascii="Book Antiqua" w:hAnsi="Book Antiqua"/>
          <w:i/>
          <w:sz w:val="24"/>
          <w:szCs w:val="24"/>
        </w:rPr>
        <w:t>P</w:t>
      </w:r>
      <w:r>
        <w:rPr>
          <w:rFonts w:ascii="Book Antiqua" w:hAnsi="Book Antiqua"/>
          <w:i/>
          <w:sz w:val="24"/>
          <w:szCs w:val="24"/>
        </w:rPr>
        <w:t xml:space="preserve"> </w:t>
      </w:r>
      <w:r w:rsidRPr="00572E26">
        <w:rPr>
          <w:rFonts w:ascii="Book Antiqua" w:hAnsi="Book Antiqua"/>
          <w:sz w:val="24"/>
          <w:szCs w:val="24"/>
        </w:rPr>
        <w:t>=</w:t>
      </w:r>
      <w:r>
        <w:rPr>
          <w:rFonts w:ascii="Book Antiqua" w:hAnsi="Book Antiqua"/>
          <w:sz w:val="24"/>
          <w:szCs w:val="24"/>
        </w:rPr>
        <w:t xml:space="preserve"> </w:t>
      </w:r>
      <w:r w:rsidRPr="00572E26">
        <w:rPr>
          <w:rFonts w:ascii="Book Antiqua" w:hAnsi="Book Antiqua"/>
          <w:sz w:val="24"/>
          <w:szCs w:val="24"/>
        </w:rPr>
        <w:t>0.686). The mean tumor size was 8.1 cm (range 3.2-15 cm). There was no significant correlation between tumor</w:t>
      </w:r>
      <w:r>
        <w:rPr>
          <w:rFonts w:ascii="Book Antiqua" w:hAnsi="Book Antiqua"/>
          <w:sz w:val="24"/>
          <w:szCs w:val="24"/>
        </w:rPr>
        <w:t xml:space="preserve"> size and tumor recurrence (95%</w:t>
      </w:r>
      <w:r w:rsidRPr="00572E26">
        <w:rPr>
          <w:rFonts w:ascii="Book Antiqua" w:hAnsi="Book Antiqua"/>
          <w:sz w:val="24"/>
          <w:szCs w:val="24"/>
        </w:rPr>
        <w:t>CI</w:t>
      </w:r>
      <w:r>
        <w:rPr>
          <w:rFonts w:ascii="Book Antiqua" w:hAnsi="Book Antiqua"/>
          <w:sz w:val="24"/>
          <w:szCs w:val="24"/>
        </w:rPr>
        <w:t xml:space="preserve">: </w:t>
      </w:r>
      <w:r w:rsidRPr="00572E26">
        <w:rPr>
          <w:rFonts w:ascii="Book Antiqua" w:hAnsi="Book Antiqua"/>
          <w:sz w:val="24"/>
          <w:szCs w:val="24"/>
        </w:rPr>
        <w:t xml:space="preserve">0.613-5.309, </w:t>
      </w:r>
      <w:r w:rsidRPr="00572E26">
        <w:rPr>
          <w:rFonts w:ascii="Book Antiqua" w:hAnsi="Book Antiqua"/>
          <w:i/>
          <w:sz w:val="24"/>
          <w:szCs w:val="24"/>
        </w:rPr>
        <w:t>P</w:t>
      </w:r>
      <w:r w:rsidRPr="00572E26">
        <w:rPr>
          <w:rFonts w:ascii="Book Antiqua" w:hAnsi="Book Antiqua"/>
          <w:sz w:val="24"/>
          <w:szCs w:val="24"/>
        </w:rPr>
        <w:t xml:space="preserve">=0.284). Six patients were diagnosed without symptoms in clinical examinations. Six of the remaining patients presented </w:t>
      </w:r>
      <w:r w:rsidRPr="00572E26">
        <w:rPr>
          <w:rFonts w:ascii="Book Antiqua" w:hAnsi="Book Antiqua"/>
          <w:sz w:val="24"/>
          <w:szCs w:val="24"/>
        </w:rPr>
        <w:lastRenderedPageBreak/>
        <w:t>with abdominal pain: 2 presented with vomiting; 2 presented with anemia; and 2 presented with gastrointestinal bleeding. Both of the patients with adenocarcinoma presented with vomiting, whereas none of the GIST patients had such symptoms. The GISTs tended to be sharply demarcated without infiltrative growth, which was in contrast to the adenocarcinomas (Figure 2). Based on tumor histology, 11 tumors were GISTs with spindle-cell differentiation, and the other 2 were adenocarcinomas (Figure 3). The immunohistochemical analysis showed that all GISTs expressed CD117. Five tumors expressed S-100, 8 tumors expressed CD34, and 5 tumors expressed SMA. There were no desmin positive tumors identified. The mitotic rate per 50 HPFs ranged from 1 to more than 10 (median 2 per 50 HPFs). The potential risk of malignancy (according to NIH criteria) was rated as low in 5 cases, medium in 3 cases, and high in 3 cases. All 13 patients underwent computed tomography (CT) examinations. The CT results indicated that 5 tumors originated from the angle of Treitz, and 8 tumors were detected in the left upper abdomen (Figure 4). Only one patient was diagnosed using traditional endoscopy.</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Follow-up</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Survival data for all patients were obtained. One of the two patients with adenocarcinoma had tumor progression and died 9 mo after surgery. The other patient with adenocarcinoma survived and showed no recurrence at the 18-month follow-up. For the 11 patients with GISTs, although only 1 of them showed tumor progression (high-risk potential), 2 patients ultimately died: one 16 mo postoperatively from postoperative obstruction and the other 52 mo postoperatively from tumor progression. The patient overall survival and disease-free survival rates are shown in Figure 5. The median overall survival rate was 84.6 mo, and the median disease-free survival rate was 94.5 mo.</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 xml:space="preserve">The surgical procedures included segmental jejunal resection in 11 patients </w:t>
      </w:r>
      <w:r w:rsidRPr="00572E26">
        <w:rPr>
          <w:rFonts w:ascii="Book Antiqua" w:hAnsi="Book Antiqua"/>
          <w:sz w:val="24"/>
          <w:szCs w:val="24"/>
        </w:rPr>
        <w:lastRenderedPageBreak/>
        <w:t>and multivisceral resection in 1 patient. The multivisceral resection comprised a segmental jejunal resection combined with segmental colon resection because of tumor infiltration into the middle colic artery. One of the patients who underwent segmental jejunal resection was treated with secondary descending duodenum jejunal side-to-side anastomosis 10 days after the initial operation because of postoperative obstruction by the greater omental adhesion, which constricted the fourth part of the duodenum. The patient died 16 mo</w:t>
      </w:r>
      <w:r>
        <w:rPr>
          <w:rFonts w:ascii="Book Antiqua" w:hAnsi="Book Antiqua"/>
          <w:sz w:val="24"/>
          <w:szCs w:val="24"/>
        </w:rPr>
        <w:t xml:space="preserve"> </w:t>
      </w:r>
      <w:r w:rsidRPr="00572E26">
        <w:rPr>
          <w:rFonts w:ascii="Book Antiqua" w:hAnsi="Book Antiqua"/>
          <w:sz w:val="24"/>
          <w:szCs w:val="24"/>
        </w:rPr>
        <w:t>later of intractable intestinal obstruction.</w:t>
      </w:r>
    </w:p>
    <w:p w:rsidR="00BD0315" w:rsidRPr="00572E26" w:rsidRDefault="00BD0315" w:rsidP="00572E26">
      <w:pPr>
        <w:spacing w:line="360" w:lineRule="auto"/>
        <w:ind w:firstLineChars="200" w:firstLine="480"/>
        <w:rPr>
          <w:rFonts w:ascii="Book Antiqua" w:hAnsi="Book Antiqua"/>
          <w:sz w:val="24"/>
          <w:szCs w:val="24"/>
        </w:rPr>
      </w:pPr>
      <w:r w:rsidRPr="00572E26">
        <w:rPr>
          <w:rFonts w:ascii="Book Antiqua" w:hAnsi="Book Antiqua"/>
          <w:sz w:val="24"/>
          <w:szCs w:val="24"/>
        </w:rPr>
        <w:t xml:space="preserve">Three of the 11 GIST patients received imatinib after the surgery, including one patient with a medium risk of progression and two high-risk patients. None of these patients had any evidence of relapse. The other 8 patients did not receive adjuvant imatinib therapy. One high-risk patient (patient 7) had a synchronous </w:t>
      </w:r>
      <w:hyperlink r:id="rId8" w:history="1">
        <w:r w:rsidRPr="00572E26">
          <w:rPr>
            <w:rFonts w:ascii="Book Antiqua" w:hAnsi="Book Antiqua"/>
            <w:sz w:val="24"/>
            <w:szCs w:val="24"/>
          </w:rPr>
          <w:t>carcinoma</w:t>
        </w:r>
      </w:hyperlink>
      <w:r w:rsidRPr="00572E26">
        <w:rPr>
          <w:rFonts w:ascii="Book Antiqua" w:hAnsi="Book Antiqua"/>
          <w:sz w:val="24"/>
          <w:szCs w:val="24"/>
        </w:rPr>
        <w:t xml:space="preserve"> </w:t>
      </w:r>
      <w:hyperlink r:id="rId9" w:history="1">
        <w:r w:rsidRPr="00572E26">
          <w:rPr>
            <w:rFonts w:ascii="Book Antiqua" w:hAnsi="Book Antiqua"/>
            <w:sz w:val="24"/>
            <w:szCs w:val="24"/>
          </w:rPr>
          <w:t>of</w:t>
        </w:r>
      </w:hyperlink>
      <w:r w:rsidRPr="00572E26">
        <w:rPr>
          <w:rFonts w:ascii="Book Antiqua" w:hAnsi="Book Antiqua"/>
          <w:sz w:val="24"/>
          <w:szCs w:val="24"/>
        </w:rPr>
        <w:t xml:space="preserve"> the </w:t>
      </w:r>
      <w:hyperlink r:id="rId10" w:history="1">
        <w:r w:rsidRPr="00572E26">
          <w:rPr>
            <w:rFonts w:ascii="Book Antiqua" w:hAnsi="Book Antiqua"/>
            <w:sz w:val="24"/>
            <w:szCs w:val="24"/>
          </w:rPr>
          <w:t>sigmoid</w:t>
        </w:r>
      </w:hyperlink>
      <w:r w:rsidRPr="00572E26">
        <w:rPr>
          <w:rFonts w:ascii="Book Antiqua" w:hAnsi="Book Antiqua"/>
          <w:sz w:val="24"/>
          <w:szCs w:val="24"/>
        </w:rPr>
        <w:t xml:space="preserve"> colon (pT3N0M0), which was resected simultaneously, and received systemic chemotherapy for 6 cycles (FOLFOX4 regimen). After 46 months, the patient developed liver metastasis and died 6 months later. One of the two adenocarcinoma patients (patient 12) did not receive any adjuvant therapy and remained alive at the 18-mo follow-up. Another patient (patient 13) received neoadjuvant chemotherapy (oxaliplatin + capecitabine) for 3 cycles, but the response was mild, and the tumor did not shrink. After palliative surgery, the patient underwent subsequent radiotherapy (2 Gy, 25 times, 5 w</w:t>
      </w:r>
      <w:r>
        <w:rPr>
          <w:rFonts w:ascii="Book Antiqua" w:hAnsi="Book Antiqua"/>
          <w:sz w:val="24"/>
          <w:szCs w:val="24"/>
        </w:rPr>
        <w:t>k</w:t>
      </w:r>
      <w:r w:rsidRPr="00572E26">
        <w:rPr>
          <w:rFonts w:ascii="Book Antiqua" w:hAnsi="Book Antiqua"/>
          <w:sz w:val="24"/>
          <w:szCs w:val="24"/>
        </w:rPr>
        <w:t>). However, the disease progressed persistently, and the patient died 9 mo after resection.</w:t>
      </w:r>
    </w:p>
    <w:p w:rsidR="00BD0315" w:rsidRPr="00572E26" w:rsidRDefault="00BD0315" w:rsidP="00572E26">
      <w:pPr>
        <w:spacing w:line="360" w:lineRule="auto"/>
        <w:rPr>
          <w:rFonts w:ascii="Book Antiqua" w:hAnsi="Book Antiqua"/>
          <w:sz w:val="24"/>
          <w:szCs w:val="24"/>
        </w:rPr>
      </w:pPr>
    </w:p>
    <w:p w:rsidR="00BD0315" w:rsidRPr="00572E26" w:rsidRDefault="00BD0315" w:rsidP="00572E26">
      <w:pPr>
        <w:spacing w:line="360" w:lineRule="auto"/>
        <w:rPr>
          <w:rFonts w:ascii="Book Antiqua" w:hAnsi="Book Antiqua"/>
          <w:b/>
          <w:sz w:val="24"/>
          <w:szCs w:val="24"/>
        </w:rPr>
      </w:pPr>
      <w:r w:rsidRPr="00572E26">
        <w:rPr>
          <w:rFonts w:ascii="Book Antiqua" w:hAnsi="Book Antiqua"/>
          <w:b/>
          <w:sz w:val="24"/>
          <w:szCs w:val="24"/>
        </w:rPr>
        <w:t>DISCUSSION</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Tumors of the angle of Treitz are difficult to diagnose because of their rarity and nonspecific symptoms</w:t>
      </w:r>
      <w:r w:rsidRPr="00572E26">
        <w:rPr>
          <w:rFonts w:ascii="Book Antiqua" w:hAnsi="Book Antiqua"/>
          <w:sz w:val="24"/>
          <w:szCs w:val="24"/>
          <w:vertAlign w:val="superscript"/>
        </w:rPr>
        <w:t>[9]</w:t>
      </w:r>
      <w:r w:rsidRPr="00572E26">
        <w:rPr>
          <w:rFonts w:ascii="Book Antiqua" w:hAnsi="Book Antiqua"/>
          <w:sz w:val="24"/>
          <w:szCs w:val="24"/>
        </w:rPr>
        <w:t xml:space="preserve">. In this group, 6 patients had no presentation and were diagnosed incidentally (by clinical examination); the average tumor size was 8.1 cm. Interestingly, these patients all had GISTs. In symptomatic patients, only those with acute gastrointestinal bleeding or vomiting were diagnosed within 2 weeks, whereas the diagnosis of patients with vague </w:t>
      </w:r>
      <w:r w:rsidRPr="00572E26">
        <w:rPr>
          <w:rFonts w:ascii="Book Antiqua" w:hAnsi="Book Antiqua"/>
          <w:sz w:val="24"/>
          <w:szCs w:val="24"/>
        </w:rPr>
        <w:lastRenderedPageBreak/>
        <w:t xml:space="preserve">abdominal pain was delayed beyond 2 mo (range, 2 mo to 5 years). Similar to our findings, the study of Cunningham </w:t>
      </w:r>
      <w:r w:rsidRPr="00572E26">
        <w:rPr>
          <w:rFonts w:ascii="Book Antiqua" w:hAnsi="Book Antiqua"/>
          <w:i/>
          <w:sz w:val="24"/>
          <w:szCs w:val="24"/>
        </w:rPr>
        <w:t>et al</w:t>
      </w:r>
      <w:r w:rsidRPr="00572E26">
        <w:rPr>
          <w:rFonts w:ascii="Book Antiqua" w:hAnsi="Book Antiqua"/>
          <w:sz w:val="24"/>
          <w:szCs w:val="24"/>
          <w:vertAlign w:val="superscript"/>
        </w:rPr>
        <w:t>[10]</w:t>
      </w:r>
      <w:r w:rsidRPr="00572E26">
        <w:rPr>
          <w:rFonts w:ascii="Book Antiqua" w:hAnsi="Book Antiqua"/>
          <w:sz w:val="24"/>
          <w:szCs w:val="24"/>
        </w:rPr>
        <w:t xml:space="preserve"> showed that the mean time from symptom onset to diag</w:t>
      </w:r>
      <w:r>
        <w:rPr>
          <w:rFonts w:ascii="Book Antiqua" w:hAnsi="Book Antiqua"/>
          <w:sz w:val="24"/>
          <w:szCs w:val="24"/>
        </w:rPr>
        <w:t>nosis was approximately 4 mo</w:t>
      </w:r>
      <w:r w:rsidRPr="00572E26">
        <w:rPr>
          <w:rFonts w:ascii="Book Antiqua" w:hAnsi="Book Antiqua"/>
          <w:sz w:val="24"/>
          <w:szCs w:val="24"/>
        </w:rPr>
        <w:t>. Therefore, the treatment of these tumors often occurs late.</w:t>
      </w:r>
    </w:p>
    <w:p w:rsidR="00BD0315" w:rsidRPr="00572E26" w:rsidRDefault="00BD0315" w:rsidP="00572E26">
      <w:pPr>
        <w:spacing w:line="360" w:lineRule="auto"/>
        <w:ind w:firstLineChars="200" w:firstLine="480"/>
        <w:rPr>
          <w:rFonts w:ascii="Book Antiqua" w:hAnsi="Book Antiqua"/>
          <w:sz w:val="24"/>
          <w:szCs w:val="24"/>
        </w:rPr>
      </w:pPr>
      <w:r w:rsidRPr="00572E26">
        <w:rPr>
          <w:rFonts w:ascii="Book Antiqua" w:hAnsi="Book Antiqua"/>
          <w:sz w:val="24"/>
          <w:szCs w:val="24"/>
        </w:rPr>
        <w:t>According to the literature</w:t>
      </w:r>
      <w:r w:rsidRPr="00572E26">
        <w:rPr>
          <w:rFonts w:ascii="Book Antiqua" w:hAnsi="Book Antiqua"/>
          <w:sz w:val="24"/>
          <w:szCs w:val="24"/>
          <w:vertAlign w:val="superscript"/>
        </w:rPr>
        <w:t>[11]</w:t>
      </w:r>
      <w:r w:rsidRPr="00572E26">
        <w:rPr>
          <w:rFonts w:ascii="Book Antiqua" w:hAnsi="Book Antiqua"/>
          <w:sz w:val="24"/>
          <w:szCs w:val="24"/>
        </w:rPr>
        <w:t xml:space="preserve">, barium meal radiography of the digestive tract is useful for detecting endoluminal diseases. However, the optimal examination method is </w:t>
      </w:r>
      <w:hyperlink r:id="rId11" w:history="1">
        <w:r w:rsidRPr="00572E26">
          <w:rPr>
            <w:rFonts w:ascii="Book Antiqua" w:hAnsi="Book Antiqua"/>
            <w:sz w:val="24"/>
            <w:szCs w:val="24"/>
          </w:rPr>
          <w:t>capsule</w:t>
        </w:r>
      </w:hyperlink>
      <w:r w:rsidRPr="00572E26">
        <w:rPr>
          <w:rFonts w:ascii="Book Antiqua" w:hAnsi="Book Antiqua"/>
          <w:sz w:val="24"/>
          <w:szCs w:val="24"/>
        </w:rPr>
        <w:t xml:space="preserve"> </w:t>
      </w:r>
      <w:hyperlink r:id="rId12" w:history="1">
        <w:r w:rsidRPr="00572E26">
          <w:rPr>
            <w:rFonts w:ascii="Book Antiqua" w:hAnsi="Book Antiqua"/>
            <w:sz w:val="24"/>
            <w:szCs w:val="24"/>
          </w:rPr>
          <w:t>endoscopy</w:t>
        </w:r>
      </w:hyperlink>
      <w:r w:rsidRPr="00572E26">
        <w:rPr>
          <w:rFonts w:ascii="Book Antiqua" w:hAnsi="Book Antiqua"/>
          <w:sz w:val="24"/>
          <w:szCs w:val="24"/>
        </w:rPr>
        <w:t xml:space="preserve"> or endoscopy using a tube capable of reaching the angle of Treitz</w:t>
      </w:r>
      <w:r w:rsidRPr="00572E26">
        <w:rPr>
          <w:rFonts w:ascii="Book Antiqua" w:hAnsi="Book Antiqua"/>
          <w:sz w:val="24"/>
          <w:szCs w:val="24"/>
          <w:vertAlign w:val="superscript"/>
        </w:rPr>
        <w:t>[12]</w:t>
      </w:r>
      <w:r w:rsidRPr="00572E26">
        <w:rPr>
          <w:rFonts w:ascii="Book Antiqua" w:hAnsi="Book Antiqua"/>
          <w:sz w:val="24"/>
          <w:szCs w:val="24"/>
        </w:rPr>
        <w:t xml:space="preserve">. Moreover, under </w:t>
      </w:r>
      <w:hyperlink r:id="rId13" w:history="1">
        <w:r w:rsidRPr="00572E26">
          <w:rPr>
            <w:rFonts w:ascii="Book Antiqua" w:hAnsi="Book Antiqua"/>
            <w:sz w:val="24"/>
            <w:szCs w:val="24"/>
          </w:rPr>
          <w:t>exophytic</w:t>
        </w:r>
      </w:hyperlink>
      <w:r w:rsidRPr="00572E26">
        <w:rPr>
          <w:rFonts w:ascii="Book Antiqua" w:hAnsi="Book Antiqua"/>
          <w:sz w:val="24"/>
          <w:szCs w:val="24"/>
        </w:rPr>
        <w:t xml:space="preserve"> </w:t>
      </w:r>
      <w:hyperlink r:id="rId14" w:history="1">
        <w:r w:rsidRPr="00572E26">
          <w:rPr>
            <w:rFonts w:ascii="Book Antiqua" w:hAnsi="Book Antiqua"/>
            <w:sz w:val="24"/>
            <w:szCs w:val="24"/>
          </w:rPr>
          <w:t>growth</w:t>
        </w:r>
      </w:hyperlink>
      <w:r w:rsidRPr="00572E26">
        <w:rPr>
          <w:rFonts w:ascii="Book Antiqua" w:hAnsi="Book Antiqua"/>
          <w:sz w:val="24"/>
          <w:szCs w:val="24"/>
        </w:rPr>
        <w:t xml:space="preserve"> conditions, as in most GISTs, CT may be useful for localizing and assessing resectability</w:t>
      </w:r>
      <w:r w:rsidRPr="00572E26">
        <w:rPr>
          <w:rFonts w:ascii="Book Antiqua" w:hAnsi="Book Antiqua"/>
          <w:sz w:val="24"/>
          <w:szCs w:val="24"/>
          <w:vertAlign w:val="superscript"/>
        </w:rPr>
        <w:t>[13]</w:t>
      </w:r>
      <w:r w:rsidRPr="00572E26">
        <w:rPr>
          <w:rFonts w:ascii="Book Antiqua" w:hAnsi="Book Antiqua"/>
          <w:sz w:val="24"/>
          <w:szCs w:val="24"/>
        </w:rPr>
        <w:t>. Before the use of capsule endoscopy and modern helical CT, upper intestinal barium study is the most frequently used radiographic diagnostic method. This approach has a diagnostic rate as low as 22%</w:t>
      </w:r>
      <w:r w:rsidRPr="00572E26">
        <w:rPr>
          <w:rFonts w:ascii="Book Antiqua" w:hAnsi="Book Antiqua"/>
          <w:sz w:val="24"/>
          <w:szCs w:val="24"/>
          <w:vertAlign w:val="superscript"/>
        </w:rPr>
        <w:t>[14]</w:t>
      </w:r>
      <w:r w:rsidRPr="00572E26">
        <w:rPr>
          <w:rFonts w:ascii="Book Antiqua" w:hAnsi="Book Antiqua"/>
          <w:sz w:val="24"/>
          <w:szCs w:val="24"/>
        </w:rPr>
        <w:t>. Recent studies</w:t>
      </w:r>
      <w:r w:rsidRPr="00572E26">
        <w:rPr>
          <w:rFonts w:ascii="Book Antiqua" w:hAnsi="Book Antiqua"/>
          <w:sz w:val="24"/>
          <w:szCs w:val="24"/>
          <w:vertAlign w:val="superscript"/>
        </w:rPr>
        <w:t>[15]</w:t>
      </w:r>
      <w:r w:rsidRPr="00572E26">
        <w:rPr>
          <w:rFonts w:ascii="Book Antiqua" w:hAnsi="Book Antiqua"/>
          <w:sz w:val="24"/>
          <w:szCs w:val="24"/>
        </w:rPr>
        <w:t xml:space="preserve"> have shown that CT enteroclysis using spiral and multidetector-row CT with an enteral contrast agent has become the radiographic diagnostic tool of choice for suspected small bowel neoplasms because the sensitivity and specificity are 100% and 95%, respectively.</w:t>
      </w:r>
    </w:p>
    <w:p w:rsidR="00BD0315" w:rsidRPr="00572E26" w:rsidRDefault="00BD0315" w:rsidP="00572E26">
      <w:pPr>
        <w:spacing w:line="360" w:lineRule="auto"/>
        <w:ind w:firstLineChars="150" w:firstLine="360"/>
        <w:rPr>
          <w:rFonts w:ascii="Book Antiqua" w:hAnsi="Book Antiqua"/>
          <w:sz w:val="24"/>
          <w:szCs w:val="24"/>
        </w:rPr>
      </w:pPr>
      <w:r w:rsidRPr="00572E26">
        <w:rPr>
          <w:rFonts w:ascii="Book Antiqua" w:hAnsi="Book Antiqua"/>
          <w:sz w:val="24"/>
          <w:szCs w:val="24"/>
        </w:rPr>
        <w:t>Regarding the resection margin and lymphadenectomy of GISTs, investigators have reached a consensus that R0 resection is sufficient and that there is no need for lymphadenectomy</w:t>
      </w:r>
      <w:r w:rsidRPr="00572E26">
        <w:rPr>
          <w:rFonts w:ascii="Book Antiqua" w:hAnsi="Book Antiqua"/>
          <w:sz w:val="24"/>
          <w:szCs w:val="24"/>
          <w:vertAlign w:val="superscript"/>
        </w:rPr>
        <w:t>[16]</w:t>
      </w:r>
      <w:r w:rsidRPr="00572E26">
        <w:rPr>
          <w:rFonts w:ascii="Book Antiqua" w:hAnsi="Book Antiqua"/>
          <w:sz w:val="24"/>
          <w:szCs w:val="24"/>
        </w:rPr>
        <w:t>. However, the surgical procedure for adenocarcinoma of the angle of Treitz remains controversial. The particular vascularization of this area is technically challenging for surgeons. To increase the resection margin, some investigators</w:t>
      </w:r>
      <w:r w:rsidRPr="00572E26">
        <w:rPr>
          <w:rFonts w:ascii="Book Antiqua" w:hAnsi="Book Antiqua"/>
          <w:sz w:val="24"/>
          <w:szCs w:val="24"/>
          <w:vertAlign w:val="superscript"/>
        </w:rPr>
        <w:t>[17]</w:t>
      </w:r>
      <w:r w:rsidRPr="00572E26">
        <w:rPr>
          <w:rFonts w:ascii="Book Antiqua" w:hAnsi="Book Antiqua"/>
          <w:sz w:val="24"/>
          <w:szCs w:val="24"/>
        </w:rPr>
        <w:t xml:space="preserve"> recommend resection with anastomosis on the right side of the mesenteric vessels even if there is a risk of damaging the papilla. Conversely, other investigators</w:t>
      </w:r>
      <w:r w:rsidRPr="00572E26">
        <w:rPr>
          <w:rFonts w:ascii="Book Antiqua" w:hAnsi="Book Antiqua"/>
          <w:sz w:val="24"/>
          <w:szCs w:val="24"/>
          <w:vertAlign w:val="superscript"/>
        </w:rPr>
        <w:t>[5]</w:t>
      </w:r>
      <w:r w:rsidRPr="00572E26">
        <w:rPr>
          <w:rFonts w:ascii="Book Antiqua" w:hAnsi="Book Antiqua"/>
          <w:sz w:val="24"/>
          <w:szCs w:val="24"/>
        </w:rPr>
        <w:t xml:space="preserve"> suggest a segmental resection on the left side of the mesenteric vessels to protect the blood supply of the duodenal stump. These investigators identified radical resection of this disease as having a proximal resection margin of &gt;2 cm instead of &gt;</w:t>
      </w:r>
      <w:r>
        <w:rPr>
          <w:rFonts w:ascii="Book Antiqua" w:hAnsi="Book Antiqua"/>
          <w:sz w:val="24"/>
          <w:szCs w:val="24"/>
        </w:rPr>
        <w:t xml:space="preserve"> </w:t>
      </w:r>
      <w:r w:rsidRPr="00572E26">
        <w:rPr>
          <w:rFonts w:ascii="Book Antiqua" w:hAnsi="Book Antiqua"/>
          <w:sz w:val="24"/>
          <w:szCs w:val="24"/>
        </w:rPr>
        <w:t>5 cm. Additionally, the extent of lymphadenectomy is also disputed. Although extended lymphadenectomy for adenocarcinoma is recommended</w:t>
      </w:r>
      <w:r w:rsidRPr="00572E26">
        <w:rPr>
          <w:rFonts w:ascii="Book Antiqua" w:hAnsi="Book Antiqua"/>
          <w:sz w:val="24"/>
          <w:szCs w:val="24"/>
          <w:vertAlign w:val="superscript"/>
        </w:rPr>
        <w:t>[18]</w:t>
      </w:r>
      <w:r w:rsidRPr="00572E26">
        <w:rPr>
          <w:rFonts w:ascii="Book Antiqua" w:hAnsi="Book Antiqua"/>
          <w:sz w:val="24"/>
          <w:szCs w:val="24"/>
        </w:rPr>
        <w:t xml:space="preserve">, total removal of all cancer cells for tumors in this area </w:t>
      </w:r>
      <w:r w:rsidRPr="00572E26">
        <w:rPr>
          <w:rFonts w:ascii="Book Antiqua" w:hAnsi="Book Antiqua"/>
          <w:sz w:val="24"/>
          <w:szCs w:val="24"/>
        </w:rPr>
        <w:lastRenderedPageBreak/>
        <w:t>makes lymphatic drainage difficult</w:t>
      </w:r>
      <w:r w:rsidRPr="00572E26">
        <w:rPr>
          <w:rFonts w:ascii="Book Antiqua" w:hAnsi="Book Antiqua"/>
          <w:sz w:val="24"/>
          <w:szCs w:val="24"/>
          <w:vertAlign w:val="superscript"/>
        </w:rPr>
        <w:t>[19]</w:t>
      </w:r>
      <w:r w:rsidRPr="00572E26">
        <w:rPr>
          <w:rFonts w:ascii="Book Antiqua" w:hAnsi="Book Antiqua"/>
          <w:sz w:val="24"/>
          <w:szCs w:val="24"/>
        </w:rPr>
        <w:t>. From a technical perspective, we believe that only lymph nodes visible to the naked eye or involved in the area of resection should be removed</w:t>
      </w:r>
      <w:r w:rsidRPr="00572E26">
        <w:rPr>
          <w:rFonts w:ascii="Book Antiqua" w:hAnsi="Book Antiqua"/>
          <w:sz w:val="24"/>
          <w:szCs w:val="24"/>
          <w:vertAlign w:val="superscript"/>
        </w:rPr>
        <w:t>[20]</w:t>
      </w:r>
      <w:r w:rsidRPr="00572E26">
        <w:rPr>
          <w:rFonts w:ascii="Book Antiqua" w:hAnsi="Book Antiqua"/>
          <w:sz w:val="24"/>
          <w:szCs w:val="24"/>
        </w:rPr>
        <w:t>. In this patient group, we performed resections only on the left side of the mesenteric vessels, and all patients recovered uneventfully.</w:t>
      </w:r>
    </w:p>
    <w:p w:rsidR="00BD0315" w:rsidRPr="00572E26" w:rsidRDefault="00BD0315" w:rsidP="00572E26">
      <w:pPr>
        <w:spacing w:line="360" w:lineRule="auto"/>
        <w:ind w:firstLineChars="200" w:firstLine="480"/>
        <w:rPr>
          <w:rFonts w:ascii="Book Antiqua" w:hAnsi="Book Antiqua"/>
          <w:sz w:val="24"/>
          <w:szCs w:val="24"/>
        </w:rPr>
      </w:pPr>
      <w:r w:rsidRPr="00572E26">
        <w:rPr>
          <w:rFonts w:ascii="Book Antiqua" w:hAnsi="Book Antiqua"/>
          <w:sz w:val="24"/>
          <w:szCs w:val="24"/>
        </w:rPr>
        <w:t xml:space="preserve">The prognoses and disease-free survival rates of GIST patients depend on tumor biology, which is determined by tumor size, localization, rupture, and mitotic index (using the NIH scale). This finding has been affirmed by </w:t>
      </w:r>
      <w:r>
        <w:rPr>
          <w:rFonts w:ascii="Book Antiqua" w:hAnsi="Book Antiqua"/>
          <w:sz w:val="24"/>
          <w:szCs w:val="24"/>
        </w:rPr>
        <w:t xml:space="preserve">Miettinen </w:t>
      </w:r>
      <w:r w:rsidRPr="00572E26">
        <w:rPr>
          <w:rFonts w:ascii="Book Antiqua" w:hAnsi="Book Antiqua"/>
          <w:i/>
          <w:sz w:val="24"/>
          <w:szCs w:val="24"/>
        </w:rPr>
        <w:t>et al</w:t>
      </w:r>
      <w:r w:rsidRPr="00572E26">
        <w:rPr>
          <w:rFonts w:ascii="Book Antiqua" w:hAnsi="Book Antiqua"/>
          <w:sz w:val="24"/>
          <w:szCs w:val="24"/>
          <w:vertAlign w:val="superscript"/>
        </w:rPr>
        <w:t xml:space="preserve">[21] </w:t>
      </w:r>
      <w:r w:rsidRPr="00572E26">
        <w:rPr>
          <w:rFonts w:ascii="Book Antiqua" w:hAnsi="Book Antiqua"/>
          <w:sz w:val="24"/>
          <w:szCs w:val="24"/>
        </w:rPr>
        <w:t xml:space="preserve">for duodenal GIST. This result was also verified by our patient who developed liver metastasis. In our series, 10 cases (90.9%) had a mitotic count of no more than 5 mitoses per 50 HPFs. This result is consistent with the findings of Winfield </w:t>
      </w:r>
      <w:r w:rsidRPr="00572E26">
        <w:rPr>
          <w:rFonts w:ascii="Book Antiqua" w:hAnsi="Book Antiqua"/>
          <w:i/>
          <w:sz w:val="24"/>
          <w:szCs w:val="24"/>
        </w:rPr>
        <w:t>et al</w:t>
      </w:r>
      <w:r w:rsidRPr="00572E26">
        <w:rPr>
          <w:rFonts w:ascii="Book Antiqua" w:hAnsi="Book Antiqua"/>
          <w:sz w:val="24"/>
          <w:szCs w:val="24"/>
          <w:vertAlign w:val="superscript"/>
        </w:rPr>
        <w:t>[22]</w:t>
      </w:r>
      <w:r w:rsidRPr="00572E26">
        <w:rPr>
          <w:rFonts w:ascii="Book Antiqua" w:hAnsi="Book Antiqua"/>
          <w:sz w:val="24"/>
          <w:szCs w:val="24"/>
        </w:rPr>
        <w:t>. The use of adjuvant imatinib after radical resection is widely accepted and is recommended at a dose of 400 mg/d</w:t>
      </w:r>
      <w:r>
        <w:rPr>
          <w:rFonts w:ascii="Book Antiqua" w:hAnsi="Book Antiqua"/>
          <w:sz w:val="24"/>
          <w:szCs w:val="24"/>
        </w:rPr>
        <w:t xml:space="preserve"> </w:t>
      </w:r>
      <w:r w:rsidRPr="00572E26">
        <w:rPr>
          <w:rFonts w:ascii="Book Antiqua" w:hAnsi="Book Antiqua"/>
          <w:sz w:val="24"/>
          <w:szCs w:val="24"/>
        </w:rPr>
        <w:t>for 1 year for medium-risk patients and for 3 years for high-risk patients</w:t>
      </w:r>
      <w:r w:rsidRPr="00572E26">
        <w:rPr>
          <w:rFonts w:ascii="Book Antiqua" w:hAnsi="Book Antiqua"/>
          <w:sz w:val="24"/>
          <w:szCs w:val="24"/>
          <w:vertAlign w:val="superscript"/>
        </w:rPr>
        <w:t>[23]</w:t>
      </w:r>
      <w:r w:rsidRPr="00572E26">
        <w:rPr>
          <w:rFonts w:ascii="Book Antiqua" w:hAnsi="Book Antiqua"/>
          <w:sz w:val="24"/>
          <w:szCs w:val="24"/>
        </w:rPr>
        <w:t>. In our group, only 3 of the 6 patients who were potentially at medium or high risk received adjuvant therapy for economic reasons. None of these patients developed recurrence.</w:t>
      </w:r>
    </w:p>
    <w:p w:rsidR="00BD0315" w:rsidRPr="00572E26" w:rsidRDefault="00BD0315" w:rsidP="00345277">
      <w:pPr>
        <w:spacing w:line="360" w:lineRule="auto"/>
        <w:ind w:firstLineChars="150" w:firstLine="360"/>
        <w:rPr>
          <w:rFonts w:ascii="Book Antiqua" w:hAnsi="Book Antiqua"/>
          <w:sz w:val="24"/>
          <w:szCs w:val="24"/>
        </w:rPr>
      </w:pPr>
      <w:r w:rsidRPr="00572E26">
        <w:rPr>
          <w:rFonts w:ascii="Book Antiqua" w:hAnsi="Book Antiqua"/>
          <w:sz w:val="24"/>
          <w:szCs w:val="24"/>
        </w:rPr>
        <w:t>Early studies showed that the 5-year survival rate of patients with carcinomas confined to duodenal segments D3, D4, and the angle of Treitz reached approximately 75%</w:t>
      </w:r>
      <w:r w:rsidRPr="00572E26">
        <w:rPr>
          <w:rFonts w:ascii="Book Antiqua" w:hAnsi="Book Antiqua"/>
          <w:sz w:val="24"/>
          <w:szCs w:val="24"/>
          <w:vertAlign w:val="superscript"/>
        </w:rPr>
        <w:t>[19]</w:t>
      </w:r>
      <w:r w:rsidRPr="00572E26">
        <w:rPr>
          <w:rFonts w:ascii="Book Antiqua" w:hAnsi="Book Antiqua"/>
          <w:sz w:val="24"/>
          <w:szCs w:val="24"/>
        </w:rPr>
        <w:t>. However, recent studies revealed a 5-year survival rate of only 23%-30%</w:t>
      </w:r>
      <w:r w:rsidRPr="00572E26">
        <w:rPr>
          <w:rFonts w:ascii="Book Antiqua" w:hAnsi="Book Antiqua"/>
          <w:sz w:val="24"/>
          <w:szCs w:val="24"/>
          <w:vertAlign w:val="superscript"/>
        </w:rPr>
        <w:t>[10,14]</w:t>
      </w:r>
      <w:r w:rsidRPr="00572E26">
        <w:rPr>
          <w:rFonts w:ascii="Book Antiqua" w:hAnsi="Book Antiqua"/>
          <w:sz w:val="24"/>
          <w:szCs w:val="24"/>
        </w:rPr>
        <w:t>, which might be attributed to the different disease stages among the patients who underwent resection. The factors influencing long-term survival include R1 or palliative resection, locally advanced tumor, positive regional lymph nodes, and poor response to adjuvant chemotherapy</w:t>
      </w:r>
      <w:r w:rsidRPr="00572E26">
        <w:rPr>
          <w:rFonts w:ascii="Book Antiqua" w:hAnsi="Book Antiqua"/>
          <w:sz w:val="24"/>
          <w:szCs w:val="24"/>
          <w:vertAlign w:val="superscript"/>
        </w:rPr>
        <w:t>[18]</w:t>
      </w:r>
      <w:r w:rsidRPr="00572E26">
        <w:rPr>
          <w:rFonts w:ascii="Book Antiqua" w:hAnsi="Book Antiqua"/>
          <w:sz w:val="24"/>
          <w:szCs w:val="24"/>
        </w:rPr>
        <w:t>. Consistent with the results of previous studies</w:t>
      </w:r>
      <w:r w:rsidRPr="00572E26">
        <w:rPr>
          <w:rFonts w:ascii="Book Antiqua" w:hAnsi="Book Antiqua"/>
          <w:sz w:val="24"/>
          <w:szCs w:val="24"/>
          <w:vertAlign w:val="superscript"/>
        </w:rPr>
        <w:t>[14,18]</w:t>
      </w:r>
      <w:r w:rsidRPr="00572E26">
        <w:rPr>
          <w:rFonts w:ascii="Book Antiqua" w:hAnsi="Book Antiqua"/>
          <w:sz w:val="24"/>
          <w:szCs w:val="24"/>
        </w:rPr>
        <w:t>, in our series, two adenocarcinoma patients had drastically different outcomes. One patient (with a relatively early-stage tumor) who underwent radical resection survived 18</w:t>
      </w:r>
      <w:r>
        <w:rPr>
          <w:rFonts w:ascii="Book Antiqua" w:hAnsi="Book Antiqua"/>
          <w:sz w:val="24"/>
          <w:szCs w:val="24"/>
        </w:rPr>
        <w:t>-</w:t>
      </w:r>
      <w:r w:rsidRPr="00572E26">
        <w:rPr>
          <w:rFonts w:ascii="Book Antiqua" w:hAnsi="Book Antiqua"/>
          <w:sz w:val="24"/>
          <w:szCs w:val="24"/>
        </w:rPr>
        <w:t xml:space="preserve">mo and showed no tumor progression. The other patient with a locally advanced tumor underwent palliative resection but died 9 months after surgery despite undergoing neoadjuvant chemotherapy and </w:t>
      </w:r>
      <w:r w:rsidRPr="00572E26">
        <w:rPr>
          <w:rFonts w:ascii="Book Antiqua" w:hAnsi="Book Antiqua"/>
          <w:sz w:val="24"/>
          <w:szCs w:val="24"/>
        </w:rPr>
        <w:lastRenderedPageBreak/>
        <w:t>adjuvant radiotherapy. Several studies have shown that adjuvant therapy has no benefit after radical resection</w:t>
      </w:r>
      <w:r w:rsidRPr="00572E26">
        <w:rPr>
          <w:rFonts w:ascii="Book Antiqua" w:hAnsi="Book Antiqua"/>
          <w:sz w:val="24"/>
          <w:szCs w:val="24"/>
          <w:vertAlign w:val="superscript"/>
        </w:rPr>
        <w:t>[24]</w:t>
      </w:r>
      <w:r w:rsidRPr="00572E26">
        <w:rPr>
          <w:rFonts w:ascii="Book Antiqua" w:hAnsi="Book Antiqua"/>
          <w:sz w:val="24"/>
          <w:szCs w:val="24"/>
        </w:rPr>
        <w:t>.</w:t>
      </w:r>
    </w:p>
    <w:p w:rsidR="00BD0315" w:rsidRPr="00345277" w:rsidRDefault="00BD0315" w:rsidP="00345277">
      <w:pPr>
        <w:spacing w:line="360" w:lineRule="auto"/>
        <w:ind w:firstLineChars="100" w:firstLine="240"/>
        <w:rPr>
          <w:rFonts w:ascii="Book Antiqua" w:hAnsi="Book Antiqua"/>
          <w:b/>
          <w:i/>
          <w:sz w:val="24"/>
          <w:szCs w:val="24"/>
        </w:rPr>
      </w:pPr>
      <w:r w:rsidRPr="00345277">
        <w:rPr>
          <w:rFonts w:ascii="Book Antiqua" w:hAnsi="Book Antiqua"/>
          <w:sz w:val="24"/>
          <w:szCs w:val="24"/>
        </w:rPr>
        <w:t>In conclusion,</w:t>
      </w:r>
      <w:r>
        <w:rPr>
          <w:rFonts w:ascii="Book Antiqua" w:hAnsi="Book Antiqua"/>
          <w:b/>
          <w:i/>
          <w:sz w:val="24"/>
          <w:szCs w:val="24"/>
        </w:rPr>
        <w:t xml:space="preserve"> </w:t>
      </w:r>
      <w:r w:rsidRPr="00572E26">
        <w:rPr>
          <w:rFonts w:ascii="Book Antiqua" w:hAnsi="Book Antiqua"/>
          <w:sz w:val="24"/>
          <w:szCs w:val="24"/>
        </w:rPr>
        <w:t>the overall survival of patients with tumors of the angle of Treitz was encouraging even though the tumor size was often relatively large. Segmental resection on the left side of the mesenteric vessels is considered to be a reliable and curative option for tumors of the angle of Treitz. For GIST patients, the prognosis depends on the risk scale. The use of adjuvant imatinib is recommended for patients at medium or high risk. Surgery remains the treatment of choice for adenocarcinoma patients. The role of neoadjuvant or adjuvant chemotherapy requires further investigation.</w:t>
      </w:r>
    </w:p>
    <w:p w:rsidR="00BD0315" w:rsidRPr="00572E26" w:rsidRDefault="00BD0315" w:rsidP="00572E26">
      <w:pPr>
        <w:spacing w:line="360" w:lineRule="auto"/>
        <w:rPr>
          <w:rFonts w:ascii="Book Antiqua" w:hAnsi="Book Antiqua"/>
          <w:b/>
          <w:sz w:val="24"/>
          <w:szCs w:val="24"/>
        </w:rPr>
      </w:pPr>
      <w:bookmarkStart w:id="38" w:name="OLE_LINK13"/>
      <w:bookmarkStart w:id="39" w:name="OLE_LINK323"/>
      <w:bookmarkStart w:id="40" w:name="OLE_LINK349"/>
      <w:bookmarkStart w:id="41" w:name="OLE_LINK378"/>
    </w:p>
    <w:p w:rsidR="00BD0315" w:rsidRPr="00572E26" w:rsidRDefault="00BD0315" w:rsidP="00F46099">
      <w:pPr>
        <w:widowControl/>
        <w:jc w:val="left"/>
        <w:rPr>
          <w:rFonts w:ascii="Book Antiqua" w:hAnsi="Book Antiqua"/>
          <w:b/>
          <w:sz w:val="24"/>
          <w:szCs w:val="24"/>
        </w:rPr>
      </w:pPr>
      <w:r w:rsidRPr="00572E26">
        <w:rPr>
          <w:rFonts w:ascii="Book Antiqua" w:hAnsi="Book Antiqua"/>
          <w:b/>
          <w:sz w:val="24"/>
          <w:szCs w:val="24"/>
        </w:rPr>
        <w:t>COMMENTS</w:t>
      </w: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Background</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It is known that tumors of the small intestine rarely occur, and tumors of the angle of Treitz are even rarer. The majority of the published literature consists of case reports. Patients usually present with abdominal pain, iron-deficiency anemia, gastrointestinal bleeding, or vomiting caused by obstruction. Tumors of the angle of Treitz may also be incidental findings during a clinical examination. The unique vascularization of this area is technically challenging for surgeons. Although segmental resection is the treatment of choice, this reality is not apparent from the literature.</w:t>
      </w:r>
    </w:p>
    <w:p w:rsidR="00BD0315" w:rsidRPr="00572E26" w:rsidRDefault="00BD0315" w:rsidP="00572E26">
      <w:pPr>
        <w:spacing w:line="360" w:lineRule="auto"/>
        <w:rPr>
          <w:rFonts w:ascii="Book Antiqua" w:hAnsi="Book Antiqua"/>
          <w:b/>
          <w:i/>
          <w:sz w:val="24"/>
          <w:szCs w:val="24"/>
        </w:rPr>
      </w:pP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Research frontiers</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Some authors recommend resection with anastomosis on the right side of the mesenteric vessels, whereas others suggest segmental resection on the left side. Surgeons debate over the best approach.</w:t>
      </w:r>
    </w:p>
    <w:p w:rsidR="00BD0315" w:rsidRPr="00572E26" w:rsidRDefault="00BD0315" w:rsidP="00572E26">
      <w:pPr>
        <w:spacing w:line="360" w:lineRule="auto"/>
        <w:rPr>
          <w:rFonts w:ascii="Book Antiqua" w:hAnsi="Book Antiqua"/>
          <w:b/>
          <w:i/>
          <w:sz w:val="24"/>
          <w:szCs w:val="24"/>
        </w:rPr>
      </w:pP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Innovations and breakthroughs</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 xml:space="preserve">Most previous studies involve case reports of adenocarcinoma of the angle of Treitz. According to our study, tumors of the angle of Treitz include more </w:t>
      </w:r>
      <w:r w:rsidRPr="00572E26">
        <w:rPr>
          <w:rFonts w:ascii="Book Antiqua" w:hAnsi="Book Antiqua"/>
          <w:sz w:val="24"/>
          <w:szCs w:val="24"/>
        </w:rPr>
        <w:lastRenderedPageBreak/>
        <w:t>GIST cases than adenocarcinoma cases. As previously reported, patients usually present with abdominal pain, iron-deficiency anemia, gastrointestinal bleeding, or vomiting caused by obstruction. Tumors of the angle of Treitz may also be incidental findings during a clinical examination. Based on experiences in our center, we performed all resections on the left side of the mesenteric vessels.</w:t>
      </w:r>
    </w:p>
    <w:p w:rsidR="00BD0315" w:rsidRPr="00572E26" w:rsidRDefault="00BD0315" w:rsidP="00572E26">
      <w:pPr>
        <w:spacing w:line="360" w:lineRule="auto"/>
        <w:rPr>
          <w:rFonts w:ascii="Book Antiqua" w:hAnsi="Book Antiqua"/>
          <w:b/>
          <w:i/>
          <w:sz w:val="24"/>
          <w:szCs w:val="24"/>
        </w:rPr>
      </w:pP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Applications</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The results of our study suggest that resection with anastomosis on the left side of the mesenteric vessels is a safe and effective treatment for tumors of the angle of Treitz.</w:t>
      </w:r>
    </w:p>
    <w:p w:rsidR="00BD0315" w:rsidRPr="00572E26" w:rsidRDefault="00BD0315" w:rsidP="00572E26">
      <w:pPr>
        <w:spacing w:line="360" w:lineRule="auto"/>
        <w:rPr>
          <w:rFonts w:ascii="Book Antiqua" w:hAnsi="Book Antiqua"/>
          <w:b/>
          <w:i/>
          <w:sz w:val="24"/>
          <w:szCs w:val="24"/>
        </w:rPr>
      </w:pP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Terminology</w:t>
      </w:r>
    </w:p>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The angle of Treitz is also known as the ligament of Treitz and is the junction of the duodenum and jejunum adjacent to the mesenteric vessels.</w:t>
      </w:r>
    </w:p>
    <w:p w:rsidR="00BD0315" w:rsidRPr="00572E26" w:rsidRDefault="00BD0315" w:rsidP="00572E26">
      <w:pPr>
        <w:spacing w:line="360" w:lineRule="auto"/>
        <w:rPr>
          <w:rFonts w:ascii="Book Antiqua" w:hAnsi="Book Antiqua"/>
          <w:b/>
          <w:i/>
          <w:sz w:val="24"/>
          <w:szCs w:val="24"/>
        </w:rPr>
      </w:pPr>
    </w:p>
    <w:p w:rsidR="00BD0315" w:rsidRPr="00572E26" w:rsidRDefault="00BD0315" w:rsidP="00572E26">
      <w:pPr>
        <w:spacing w:line="360" w:lineRule="auto"/>
        <w:rPr>
          <w:rFonts w:ascii="Book Antiqua" w:hAnsi="Book Antiqua"/>
          <w:b/>
          <w:i/>
          <w:sz w:val="24"/>
          <w:szCs w:val="24"/>
        </w:rPr>
      </w:pPr>
      <w:r w:rsidRPr="00572E26">
        <w:rPr>
          <w:rFonts w:ascii="Book Antiqua" w:hAnsi="Book Antiqua"/>
          <w:b/>
          <w:i/>
          <w:sz w:val="24"/>
          <w:szCs w:val="24"/>
        </w:rPr>
        <w:t>Peer review</w:t>
      </w:r>
    </w:p>
    <w:bookmarkEnd w:id="38"/>
    <w:bookmarkEnd w:id="39"/>
    <w:bookmarkEnd w:id="40"/>
    <w:bookmarkEnd w:id="41"/>
    <w:p w:rsidR="00BD0315" w:rsidRPr="00572E26" w:rsidRDefault="00BD0315" w:rsidP="00572E26">
      <w:pPr>
        <w:spacing w:line="360" w:lineRule="auto"/>
        <w:rPr>
          <w:rFonts w:ascii="Book Antiqua" w:hAnsi="Book Antiqua"/>
          <w:b/>
          <w:sz w:val="24"/>
          <w:szCs w:val="24"/>
        </w:rPr>
      </w:pPr>
      <w:r w:rsidRPr="00572E26">
        <w:rPr>
          <w:rFonts w:ascii="Book Antiqua" w:hAnsi="Book Antiqua"/>
          <w:sz w:val="24"/>
          <w:szCs w:val="24"/>
        </w:rPr>
        <w:t>In this manuscript, the authors describe clinicopathologic characteristics and surgical outcomes of tumors of the angle of Treitz, which is a rare condition, experienced at a single center. The results are of great value for further clinical study.</w:t>
      </w:r>
      <w:r w:rsidRPr="00572E26">
        <w:rPr>
          <w:rFonts w:ascii="Book Antiqua" w:hAnsi="Book Antiqua"/>
          <w:b/>
          <w:sz w:val="24"/>
          <w:szCs w:val="24"/>
        </w:rPr>
        <w:br w:type="page"/>
      </w:r>
    </w:p>
    <w:p w:rsidR="00BD0315" w:rsidRDefault="00BD0315" w:rsidP="00572E26">
      <w:pPr>
        <w:spacing w:line="360" w:lineRule="auto"/>
        <w:rPr>
          <w:rFonts w:ascii="Book Antiqua" w:hAnsi="Book Antiqua"/>
          <w:b/>
          <w:sz w:val="24"/>
          <w:szCs w:val="24"/>
        </w:rPr>
      </w:pPr>
      <w:r w:rsidRPr="00572E26">
        <w:rPr>
          <w:rFonts w:ascii="Book Antiqua" w:hAnsi="Book Antiqua"/>
          <w:b/>
          <w:sz w:val="24"/>
          <w:szCs w:val="24"/>
        </w:rPr>
        <w:t>REFERENCES</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1 </w:t>
      </w:r>
      <w:r w:rsidRPr="0068239E">
        <w:rPr>
          <w:rFonts w:ascii="Book Antiqua" w:hAnsi="Book Antiqua" w:cs="宋体"/>
          <w:b/>
          <w:bCs/>
          <w:kern w:val="0"/>
          <w:sz w:val="24"/>
          <w:szCs w:val="24"/>
        </w:rPr>
        <w:t>Moglia A</w:t>
      </w:r>
      <w:r w:rsidRPr="0068239E">
        <w:rPr>
          <w:rFonts w:ascii="Book Antiqua" w:hAnsi="Book Antiqua" w:cs="宋体"/>
          <w:kern w:val="0"/>
          <w:sz w:val="24"/>
          <w:szCs w:val="24"/>
        </w:rPr>
        <w:t>, Menciassi A, Dario P, Cuschieri A. Clinical update: endoscopy for small-bowel tumours. </w:t>
      </w:r>
      <w:r w:rsidRPr="0068239E">
        <w:rPr>
          <w:rFonts w:ascii="Book Antiqua" w:hAnsi="Book Antiqua" w:cs="宋体"/>
          <w:i/>
          <w:iCs/>
          <w:kern w:val="0"/>
          <w:sz w:val="24"/>
          <w:szCs w:val="24"/>
        </w:rPr>
        <w:t>Lancet</w:t>
      </w:r>
      <w:r w:rsidRPr="0068239E">
        <w:rPr>
          <w:rFonts w:ascii="Book Antiqua" w:hAnsi="Book Antiqua" w:cs="宋体"/>
          <w:kern w:val="0"/>
          <w:sz w:val="24"/>
          <w:szCs w:val="24"/>
        </w:rPr>
        <w:t> 2007; </w:t>
      </w:r>
      <w:r w:rsidRPr="0068239E">
        <w:rPr>
          <w:rFonts w:ascii="Book Antiqua" w:hAnsi="Book Antiqua" w:cs="宋体"/>
          <w:b/>
          <w:bCs/>
          <w:kern w:val="0"/>
          <w:sz w:val="24"/>
          <w:szCs w:val="24"/>
        </w:rPr>
        <w:t>370</w:t>
      </w:r>
      <w:r w:rsidRPr="0068239E">
        <w:rPr>
          <w:rFonts w:ascii="Book Antiqua" w:hAnsi="Book Antiqua" w:cs="宋体"/>
          <w:kern w:val="0"/>
          <w:sz w:val="24"/>
          <w:szCs w:val="24"/>
        </w:rPr>
        <w:t>: 114-116 [PMID: 17630023 DOI: 10.1016/S0140-67</w:t>
      </w:r>
      <w:r>
        <w:rPr>
          <w:rFonts w:ascii="Book Antiqua" w:hAnsi="Book Antiqua" w:cs="宋体"/>
          <w:kern w:val="0"/>
          <w:sz w:val="24"/>
          <w:szCs w:val="24"/>
        </w:rPr>
        <w:t>36(07)61066-6</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2 </w:t>
      </w:r>
      <w:r w:rsidRPr="0068239E">
        <w:rPr>
          <w:rFonts w:ascii="Book Antiqua" w:hAnsi="Book Antiqua" w:cs="宋体"/>
          <w:b/>
          <w:bCs/>
          <w:kern w:val="0"/>
          <w:sz w:val="24"/>
          <w:szCs w:val="24"/>
        </w:rPr>
        <w:t>Maglio R</w:t>
      </w:r>
      <w:r w:rsidRPr="0068239E">
        <w:rPr>
          <w:rFonts w:ascii="Book Antiqua" w:hAnsi="Book Antiqua" w:cs="宋体"/>
          <w:kern w:val="0"/>
          <w:sz w:val="24"/>
          <w:szCs w:val="24"/>
        </w:rPr>
        <w:t>, Valabrega S, Ramacciato G. Duodenal carcinoma at ligament of Treitz. Case report and review of the literature. </w:t>
      </w:r>
      <w:r w:rsidRPr="0068239E">
        <w:rPr>
          <w:rFonts w:ascii="Book Antiqua" w:hAnsi="Book Antiqua" w:cs="宋体"/>
          <w:i/>
          <w:iCs/>
          <w:kern w:val="0"/>
          <w:sz w:val="24"/>
          <w:szCs w:val="24"/>
        </w:rPr>
        <w:t>G Chir</w:t>
      </w:r>
      <w:r w:rsidRPr="0068239E">
        <w:rPr>
          <w:rFonts w:ascii="Book Antiqua" w:hAnsi="Book Antiqua" w:cs="宋体"/>
          <w:kern w:val="0"/>
          <w:sz w:val="24"/>
          <w:szCs w:val="24"/>
        </w:rPr>
        <w:t> 2012; </w:t>
      </w:r>
      <w:r w:rsidRPr="0068239E">
        <w:rPr>
          <w:rFonts w:ascii="Book Antiqua" w:hAnsi="Book Antiqua" w:cs="宋体"/>
          <w:b/>
          <w:bCs/>
          <w:kern w:val="0"/>
          <w:sz w:val="24"/>
          <w:szCs w:val="24"/>
        </w:rPr>
        <w:t>33</w:t>
      </w:r>
      <w:r w:rsidRPr="0068239E">
        <w:rPr>
          <w:rFonts w:ascii="Book Antiqua" w:hAnsi="Book Antiqua" w:cs="宋体"/>
          <w:kern w:val="0"/>
          <w:sz w:val="24"/>
          <w:szCs w:val="24"/>
        </w:rPr>
        <w:t>: 179-181 [PMID: 22709455]</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3 </w:t>
      </w:r>
      <w:r w:rsidRPr="0068239E">
        <w:rPr>
          <w:rFonts w:ascii="Book Antiqua" w:hAnsi="Book Antiqua" w:cs="宋体"/>
          <w:b/>
          <w:bCs/>
          <w:kern w:val="0"/>
          <w:sz w:val="24"/>
          <w:szCs w:val="24"/>
        </w:rPr>
        <w:t>Kalogerinis PT</w:t>
      </w:r>
      <w:r w:rsidRPr="0068239E">
        <w:rPr>
          <w:rFonts w:ascii="Book Antiqua" w:hAnsi="Book Antiqua" w:cs="宋体"/>
          <w:kern w:val="0"/>
          <w:sz w:val="24"/>
          <w:szCs w:val="24"/>
        </w:rPr>
        <w:t>, Poulos JE, Morfesis A, Daniels A, Georgakila S, Daignualt T, Georgakilas AG. Duodenal carcinoma at the ligament of Treitz. A molecular and clinical perspective. </w:t>
      </w:r>
      <w:r w:rsidRPr="0068239E">
        <w:rPr>
          <w:rFonts w:ascii="Book Antiqua" w:hAnsi="Book Antiqua" w:cs="宋体"/>
          <w:i/>
          <w:iCs/>
          <w:kern w:val="0"/>
          <w:sz w:val="24"/>
          <w:szCs w:val="24"/>
        </w:rPr>
        <w:t>BMC Gastroenterol</w:t>
      </w:r>
      <w:r w:rsidRPr="0068239E">
        <w:rPr>
          <w:rFonts w:ascii="Book Antiqua" w:hAnsi="Book Antiqua" w:cs="宋体"/>
          <w:kern w:val="0"/>
          <w:sz w:val="24"/>
          <w:szCs w:val="24"/>
        </w:rPr>
        <w:t> 2010; </w:t>
      </w:r>
      <w:r w:rsidRPr="0068239E">
        <w:rPr>
          <w:rFonts w:ascii="Book Antiqua" w:hAnsi="Book Antiqua" w:cs="宋体"/>
          <w:b/>
          <w:bCs/>
          <w:kern w:val="0"/>
          <w:sz w:val="24"/>
          <w:szCs w:val="24"/>
        </w:rPr>
        <w:t>10</w:t>
      </w:r>
      <w:r w:rsidRPr="0068239E">
        <w:rPr>
          <w:rFonts w:ascii="Book Antiqua" w:hAnsi="Book Antiqua" w:cs="宋体"/>
          <w:kern w:val="0"/>
          <w:sz w:val="24"/>
          <w:szCs w:val="24"/>
        </w:rPr>
        <w:t>: 109 [PMID: 2084962</w:t>
      </w:r>
      <w:r>
        <w:rPr>
          <w:rFonts w:ascii="Book Antiqua" w:hAnsi="Book Antiqua" w:cs="宋体"/>
          <w:kern w:val="0"/>
          <w:sz w:val="24"/>
          <w:szCs w:val="24"/>
        </w:rPr>
        <w:t>8 DOI: 10.1186/1471-230X-10-109</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4 </w:t>
      </w:r>
      <w:r w:rsidRPr="0068239E">
        <w:rPr>
          <w:rFonts w:ascii="Book Antiqua" w:hAnsi="Book Antiqua" w:cs="宋体"/>
          <w:b/>
          <w:bCs/>
          <w:kern w:val="0"/>
          <w:sz w:val="24"/>
          <w:szCs w:val="24"/>
        </w:rPr>
        <w:t>Nabeshima K</w:t>
      </w:r>
      <w:r w:rsidRPr="0068239E">
        <w:rPr>
          <w:rFonts w:ascii="Book Antiqua" w:hAnsi="Book Antiqua" w:cs="宋体"/>
          <w:kern w:val="0"/>
          <w:sz w:val="24"/>
          <w:szCs w:val="24"/>
        </w:rPr>
        <w:t>, Machimura T, Wasada M, Takayasu H, Ogoshi K, Makuuchi H. A case of primary jejunal cancer diagnosed by preoperative small intestinal endoscopy. </w:t>
      </w:r>
      <w:r w:rsidRPr="0068239E">
        <w:rPr>
          <w:rFonts w:ascii="Book Antiqua" w:hAnsi="Book Antiqua" w:cs="宋体"/>
          <w:i/>
          <w:iCs/>
          <w:kern w:val="0"/>
          <w:sz w:val="24"/>
          <w:szCs w:val="24"/>
        </w:rPr>
        <w:t>Tokai J Exp Clin Med</w:t>
      </w:r>
      <w:r w:rsidRPr="0068239E">
        <w:rPr>
          <w:rFonts w:ascii="Book Antiqua" w:hAnsi="Book Antiqua" w:cs="宋体"/>
          <w:kern w:val="0"/>
          <w:sz w:val="24"/>
          <w:szCs w:val="24"/>
        </w:rPr>
        <w:t> 2008; </w:t>
      </w:r>
      <w:r w:rsidRPr="0068239E">
        <w:rPr>
          <w:rFonts w:ascii="Book Antiqua" w:hAnsi="Book Antiqua" w:cs="宋体"/>
          <w:b/>
          <w:bCs/>
          <w:kern w:val="0"/>
          <w:sz w:val="24"/>
          <w:szCs w:val="24"/>
        </w:rPr>
        <w:t>33</w:t>
      </w:r>
      <w:r w:rsidRPr="0068239E">
        <w:rPr>
          <w:rFonts w:ascii="Book Antiqua" w:hAnsi="Book Antiqua" w:cs="宋体"/>
          <w:kern w:val="0"/>
          <w:sz w:val="24"/>
          <w:szCs w:val="24"/>
        </w:rPr>
        <w:t>: 42-45 [PMID: 21318964]</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5 </w:t>
      </w:r>
      <w:r w:rsidRPr="0068239E">
        <w:rPr>
          <w:rFonts w:ascii="Book Antiqua" w:hAnsi="Book Antiqua" w:cs="宋体"/>
          <w:b/>
          <w:bCs/>
          <w:kern w:val="0"/>
          <w:sz w:val="24"/>
          <w:szCs w:val="24"/>
        </w:rPr>
        <w:t>Fronticelli CM</w:t>
      </w:r>
      <w:r w:rsidRPr="0068239E">
        <w:rPr>
          <w:rFonts w:ascii="Book Antiqua" w:hAnsi="Book Antiqua" w:cs="宋体"/>
          <w:kern w:val="0"/>
          <w:sz w:val="24"/>
          <w:szCs w:val="24"/>
        </w:rPr>
        <w:t>, Borghi F, Gattolin A, Ferrero A, Delsedime L. Primary adenocarcinoma of the angle of Treitz. Case report and review of the literature. </w:t>
      </w:r>
      <w:r w:rsidRPr="0068239E">
        <w:rPr>
          <w:rFonts w:ascii="Book Antiqua" w:hAnsi="Book Antiqua" w:cs="宋体"/>
          <w:i/>
          <w:iCs/>
          <w:kern w:val="0"/>
          <w:sz w:val="24"/>
          <w:szCs w:val="24"/>
        </w:rPr>
        <w:t>Arch Surg</w:t>
      </w:r>
      <w:r w:rsidRPr="0068239E">
        <w:rPr>
          <w:rFonts w:ascii="Book Antiqua" w:hAnsi="Book Antiqua" w:cs="宋体"/>
          <w:kern w:val="0"/>
          <w:sz w:val="24"/>
          <w:szCs w:val="24"/>
        </w:rPr>
        <w:t> 1996; </w:t>
      </w:r>
      <w:r w:rsidRPr="0068239E">
        <w:rPr>
          <w:rFonts w:ascii="Book Antiqua" w:hAnsi="Book Antiqua" w:cs="宋体"/>
          <w:b/>
          <w:bCs/>
          <w:kern w:val="0"/>
          <w:sz w:val="24"/>
          <w:szCs w:val="24"/>
        </w:rPr>
        <w:t>131</w:t>
      </w:r>
      <w:r w:rsidRPr="0068239E">
        <w:rPr>
          <w:rFonts w:ascii="Book Antiqua" w:hAnsi="Book Antiqua" w:cs="宋体"/>
          <w:kern w:val="0"/>
          <w:sz w:val="24"/>
          <w:szCs w:val="24"/>
        </w:rPr>
        <w:t>: 1109-1111 [PMID: 8857913 DOI: 10.10</w:t>
      </w:r>
      <w:r>
        <w:rPr>
          <w:rFonts w:ascii="Book Antiqua" w:hAnsi="Book Antiqua" w:cs="宋体"/>
          <w:kern w:val="0"/>
          <w:sz w:val="24"/>
          <w:szCs w:val="24"/>
        </w:rPr>
        <w:t>01/archsurg.1996.01430220103025</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6 </w:t>
      </w:r>
      <w:r w:rsidRPr="0068239E">
        <w:rPr>
          <w:rFonts w:ascii="Book Antiqua" w:hAnsi="Book Antiqua" w:cs="宋体"/>
          <w:b/>
          <w:bCs/>
          <w:kern w:val="0"/>
          <w:sz w:val="24"/>
          <w:szCs w:val="24"/>
        </w:rPr>
        <w:t>Chang HK</w:t>
      </w:r>
      <w:r w:rsidRPr="0068239E">
        <w:rPr>
          <w:rFonts w:ascii="Book Antiqua" w:hAnsi="Book Antiqua" w:cs="宋体"/>
          <w:kern w:val="0"/>
          <w:sz w:val="24"/>
          <w:szCs w:val="24"/>
        </w:rPr>
        <w:t>, Yu E, Kim J, Bae YK, Jang KT, Jung ES, Yoon GS, Kim JM, Oh YH, Bae HI, Kim GI, Jung SJ, Gu MJ, Kim JY, Jang KY, Jun SY, Eom DW, Kwon KW, Kang GH, Park JB, Hong S, Lee JS, Park JY, Hong SM. Adenocarcinoma of the small intestine: a multi-institutional study of 197 surgically resected cases. </w:t>
      </w:r>
      <w:r w:rsidRPr="0068239E">
        <w:rPr>
          <w:rFonts w:ascii="Book Antiqua" w:hAnsi="Book Antiqua" w:cs="宋体"/>
          <w:i/>
          <w:iCs/>
          <w:kern w:val="0"/>
          <w:sz w:val="24"/>
          <w:szCs w:val="24"/>
        </w:rPr>
        <w:t>Hum Pathol</w:t>
      </w:r>
      <w:r w:rsidRPr="0068239E">
        <w:rPr>
          <w:rFonts w:ascii="Book Antiqua" w:hAnsi="Book Antiqua" w:cs="宋体"/>
          <w:kern w:val="0"/>
          <w:sz w:val="24"/>
          <w:szCs w:val="24"/>
        </w:rPr>
        <w:t> 2010; </w:t>
      </w:r>
      <w:r w:rsidRPr="0068239E">
        <w:rPr>
          <w:rFonts w:ascii="Book Antiqua" w:hAnsi="Book Antiqua" w:cs="宋体"/>
          <w:b/>
          <w:bCs/>
          <w:kern w:val="0"/>
          <w:sz w:val="24"/>
          <w:szCs w:val="24"/>
        </w:rPr>
        <w:t>41</w:t>
      </w:r>
      <w:r w:rsidRPr="0068239E">
        <w:rPr>
          <w:rFonts w:ascii="Book Antiqua" w:hAnsi="Book Antiqua" w:cs="宋体"/>
          <w:kern w:val="0"/>
          <w:sz w:val="24"/>
          <w:szCs w:val="24"/>
        </w:rPr>
        <w:t>: 1087-1096 [PMID: 20334897 DOI</w:t>
      </w:r>
      <w:r>
        <w:rPr>
          <w:rFonts w:ascii="Book Antiqua" w:hAnsi="Book Antiqua" w:cs="宋体"/>
          <w:kern w:val="0"/>
          <w:sz w:val="24"/>
          <w:szCs w:val="24"/>
        </w:rPr>
        <w:t>: 10.1016/j.humpath.2010.01.006</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7 </w:t>
      </w:r>
      <w:r w:rsidRPr="0068239E">
        <w:rPr>
          <w:rFonts w:ascii="Book Antiqua" w:hAnsi="Book Antiqua" w:cs="宋体"/>
          <w:b/>
          <w:bCs/>
          <w:kern w:val="0"/>
          <w:sz w:val="24"/>
          <w:szCs w:val="24"/>
        </w:rPr>
        <w:t>Chen WG</w:t>
      </w:r>
      <w:r w:rsidRPr="0068239E">
        <w:rPr>
          <w:rFonts w:ascii="Book Antiqua" w:hAnsi="Book Antiqua" w:cs="宋体"/>
          <w:kern w:val="0"/>
          <w:sz w:val="24"/>
          <w:szCs w:val="24"/>
        </w:rPr>
        <w:t>, Shan GD, Zhang H, Li L, Yue M, Xiang Z, Cheng Y, Wu CJ, Fang Y, Chen LH. Double-balloon enteroscopy in small bowel tumors: a Chinese single-center study. </w:t>
      </w:r>
      <w:r w:rsidRPr="0068239E">
        <w:rPr>
          <w:rFonts w:ascii="Book Antiqua" w:hAnsi="Book Antiqua" w:cs="宋体"/>
          <w:i/>
          <w:iCs/>
          <w:kern w:val="0"/>
          <w:sz w:val="24"/>
          <w:szCs w:val="24"/>
        </w:rPr>
        <w:t>World J Gastroenterol</w:t>
      </w:r>
      <w:r w:rsidRPr="0068239E">
        <w:rPr>
          <w:rFonts w:ascii="Book Antiqua" w:hAnsi="Book Antiqua" w:cs="宋体"/>
          <w:kern w:val="0"/>
          <w:sz w:val="24"/>
          <w:szCs w:val="24"/>
        </w:rPr>
        <w:t> 2013; </w:t>
      </w:r>
      <w:r w:rsidRPr="0068239E">
        <w:rPr>
          <w:rFonts w:ascii="Book Antiqua" w:hAnsi="Book Antiqua" w:cs="宋体"/>
          <w:b/>
          <w:bCs/>
          <w:kern w:val="0"/>
          <w:sz w:val="24"/>
          <w:szCs w:val="24"/>
        </w:rPr>
        <w:t>19</w:t>
      </w:r>
      <w:r w:rsidRPr="0068239E">
        <w:rPr>
          <w:rFonts w:ascii="Book Antiqua" w:hAnsi="Book Antiqua" w:cs="宋体"/>
          <w:kern w:val="0"/>
          <w:sz w:val="24"/>
          <w:szCs w:val="24"/>
        </w:rPr>
        <w:t>: 3665-3671 [PMID: 2380187</w:t>
      </w:r>
      <w:r>
        <w:rPr>
          <w:rFonts w:ascii="Book Antiqua" w:hAnsi="Book Antiqua" w:cs="宋体"/>
          <w:kern w:val="0"/>
          <w:sz w:val="24"/>
          <w:szCs w:val="24"/>
        </w:rPr>
        <w:t>0 DOI: 10.3748/wjg.v19.i23.3665</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lastRenderedPageBreak/>
        <w:t>8 </w:t>
      </w:r>
      <w:r w:rsidRPr="0068239E">
        <w:rPr>
          <w:rFonts w:ascii="Book Antiqua" w:hAnsi="Book Antiqua" w:cs="宋体"/>
          <w:b/>
          <w:bCs/>
          <w:kern w:val="0"/>
          <w:sz w:val="24"/>
          <w:szCs w:val="24"/>
        </w:rPr>
        <w:t>Joensuu H</w:t>
      </w:r>
      <w:r w:rsidRPr="0068239E">
        <w:rPr>
          <w:rFonts w:ascii="Book Antiqua" w:hAnsi="Book Antiqua" w:cs="宋体"/>
          <w:kern w:val="0"/>
          <w:sz w:val="24"/>
          <w:szCs w:val="24"/>
        </w:rPr>
        <w:t>. Risk stratification of patients diagnosed with gastrointestinal stromal tumor. </w:t>
      </w:r>
      <w:r w:rsidRPr="0068239E">
        <w:rPr>
          <w:rFonts w:ascii="Book Antiqua" w:hAnsi="Book Antiqua" w:cs="宋体"/>
          <w:i/>
          <w:iCs/>
          <w:kern w:val="0"/>
          <w:sz w:val="24"/>
          <w:szCs w:val="24"/>
        </w:rPr>
        <w:t>Hum Pathol</w:t>
      </w:r>
      <w:r w:rsidRPr="0068239E">
        <w:rPr>
          <w:rFonts w:ascii="Book Antiqua" w:hAnsi="Book Antiqua" w:cs="宋体"/>
          <w:kern w:val="0"/>
          <w:sz w:val="24"/>
          <w:szCs w:val="24"/>
        </w:rPr>
        <w:t> 2008; </w:t>
      </w:r>
      <w:r w:rsidRPr="0068239E">
        <w:rPr>
          <w:rFonts w:ascii="Book Antiqua" w:hAnsi="Book Antiqua" w:cs="宋体"/>
          <w:b/>
          <w:bCs/>
          <w:kern w:val="0"/>
          <w:sz w:val="24"/>
          <w:szCs w:val="24"/>
        </w:rPr>
        <w:t>39</w:t>
      </w:r>
      <w:r w:rsidRPr="0068239E">
        <w:rPr>
          <w:rFonts w:ascii="Book Antiqua" w:hAnsi="Book Antiqua" w:cs="宋体"/>
          <w:kern w:val="0"/>
          <w:sz w:val="24"/>
          <w:szCs w:val="24"/>
        </w:rPr>
        <w:t>: 1411-1419 [PMID: 18774375 DOI</w:t>
      </w:r>
      <w:r>
        <w:rPr>
          <w:rFonts w:ascii="Book Antiqua" w:hAnsi="Book Antiqua" w:cs="宋体"/>
          <w:kern w:val="0"/>
          <w:sz w:val="24"/>
          <w:szCs w:val="24"/>
        </w:rPr>
        <w:t>: 10.1016/j.humpath.2008.06.025</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9 </w:t>
      </w:r>
      <w:r w:rsidRPr="0068239E">
        <w:rPr>
          <w:rFonts w:ascii="Book Antiqua" w:hAnsi="Book Antiqua" w:cs="宋体"/>
          <w:b/>
          <w:bCs/>
          <w:kern w:val="0"/>
          <w:sz w:val="24"/>
          <w:szCs w:val="24"/>
        </w:rPr>
        <w:t>Han SL</w:t>
      </w:r>
      <w:r w:rsidRPr="0068239E">
        <w:rPr>
          <w:rFonts w:ascii="Book Antiqua" w:hAnsi="Book Antiqua" w:cs="宋体"/>
          <w:kern w:val="0"/>
          <w:sz w:val="24"/>
          <w:szCs w:val="24"/>
        </w:rPr>
        <w:t>, Cheng J, Zhou HZ, Guo SC, Jia ZR, Wang PF. Surgically treated primary malignant tumor of small bowel: a clinical analysis. </w:t>
      </w:r>
      <w:r w:rsidRPr="0068239E">
        <w:rPr>
          <w:rFonts w:ascii="Book Antiqua" w:hAnsi="Book Antiqua" w:cs="宋体"/>
          <w:i/>
          <w:iCs/>
          <w:kern w:val="0"/>
          <w:sz w:val="24"/>
          <w:szCs w:val="24"/>
        </w:rPr>
        <w:t>World J Gastroenterol</w:t>
      </w:r>
      <w:r w:rsidRPr="0068239E">
        <w:rPr>
          <w:rFonts w:ascii="Book Antiqua" w:hAnsi="Book Antiqua" w:cs="宋体"/>
          <w:kern w:val="0"/>
          <w:sz w:val="24"/>
          <w:szCs w:val="24"/>
        </w:rPr>
        <w:t> 2010; </w:t>
      </w:r>
      <w:r w:rsidRPr="0068239E">
        <w:rPr>
          <w:rFonts w:ascii="Book Antiqua" w:hAnsi="Book Antiqua" w:cs="宋体"/>
          <w:b/>
          <w:bCs/>
          <w:kern w:val="0"/>
          <w:sz w:val="24"/>
          <w:szCs w:val="24"/>
        </w:rPr>
        <w:t>16</w:t>
      </w:r>
      <w:r w:rsidRPr="0068239E">
        <w:rPr>
          <w:rFonts w:ascii="Book Antiqua" w:hAnsi="Book Antiqua" w:cs="宋体"/>
          <w:kern w:val="0"/>
          <w:sz w:val="24"/>
          <w:szCs w:val="24"/>
        </w:rPr>
        <w:t>: 1527-1532 [PMID: 2033379</w:t>
      </w:r>
      <w:r>
        <w:rPr>
          <w:rFonts w:ascii="Book Antiqua" w:hAnsi="Book Antiqua" w:cs="宋体"/>
          <w:kern w:val="0"/>
          <w:sz w:val="24"/>
          <w:szCs w:val="24"/>
        </w:rPr>
        <w:t>6 DOI: 10.3748/wjg.v16.i12.1527</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10 </w:t>
      </w:r>
      <w:r w:rsidRPr="0068239E">
        <w:rPr>
          <w:rFonts w:ascii="Book Antiqua" w:hAnsi="Book Antiqua" w:cs="宋体"/>
          <w:b/>
          <w:bCs/>
          <w:kern w:val="0"/>
          <w:sz w:val="24"/>
          <w:szCs w:val="24"/>
        </w:rPr>
        <w:t>Cunningham JD</w:t>
      </w:r>
      <w:r w:rsidRPr="0068239E">
        <w:rPr>
          <w:rFonts w:ascii="Book Antiqua" w:hAnsi="Book Antiqua" w:cs="宋体"/>
          <w:kern w:val="0"/>
          <w:sz w:val="24"/>
          <w:szCs w:val="24"/>
        </w:rPr>
        <w:t>, Aleali R, Aleali M, Brower ST, Aufses AH. Malignant small bowel neoplasms: histopathologic determinants of recurrence and survival. </w:t>
      </w:r>
      <w:r w:rsidRPr="0068239E">
        <w:rPr>
          <w:rFonts w:ascii="Book Antiqua" w:hAnsi="Book Antiqua" w:cs="宋体"/>
          <w:i/>
          <w:iCs/>
          <w:kern w:val="0"/>
          <w:sz w:val="24"/>
          <w:szCs w:val="24"/>
        </w:rPr>
        <w:t>Ann Surg</w:t>
      </w:r>
      <w:r w:rsidRPr="0068239E">
        <w:rPr>
          <w:rFonts w:ascii="Book Antiqua" w:hAnsi="Book Antiqua" w:cs="宋体"/>
          <w:kern w:val="0"/>
          <w:sz w:val="24"/>
          <w:szCs w:val="24"/>
        </w:rPr>
        <w:t> 1997; </w:t>
      </w:r>
      <w:r w:rsidRPr="0068239E">
        <w:rPr>
          <w:rFonts w:ascii="Book Antiqua" w:hAnsi="Book Antiqua" w:cs="宋体"/>
          <w:b/>
          <w:bCs/>
          <w:kern w:val="0"/>
          <w:sz w:val="24"/>
          <w:szCs w:val="24"/>
        </w:rPr>
        <w:t>225</w:t>
      </w:r>
      <w:r w:rsidRPr="0068239E">
        <w:rPr>
          <w:rFonts w:ascii="Book Antiqua" w:hAnsi="Book Antiqua" w:cs="宋体"/>
          <w:kern w:val="0"/>
          <w:sz w:val="24"/>
          <w:szCs w:val="24"/>
        </w:rPr>
        <w:t>: 300-306 [PMID: 9060587 DOI: 1</w:t>
      </w:r>
      <w:r>
        <w:rPr>
          <w:rFonts w:ascii="Book Antiqua" w:hAnsi="Book Antiqua" w:cs="宋体"/>
          <w:kern w:val="0"/>
          <w:sz w:val="24"/>
          <w:szCs w:val="24"/>
        </w:rPr>
        <w:t>0.1097/00000658-199703000-00010</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11 </w:t>
      </w:r>
      <w:r w:rsidRPr="0068239E">
        <w:rPr>
          <w:rFonts w:ascii="Book Antiqua" w:hAnsi="Book Antiqua" w:cs="宋体"/>
          <w:b/>
          <w:bCs/>
          <w:kern w:val="0"/>
          <w:sz w:val="24"/>
          <w:szCs w:val="24"/>
        </w:rPr>
        <w:t>Zhan J</w:t>
      </w:r>
      <w:r w:rsidRPr="0068239E">
        <w:rPr>
          <w:rFonts w:ascii="Book Antiqua" w:hAnsi="Book Antiqua" w:cs="宋体"/>
          <w:kern w:val="0"/>
          <w:sz w:val="24"/>
          <w:szCs w:val="24"/>
        </w:rPr>
        <w:t>, Xia ZS, Zhong YQ, Zhang SN, Wang LY, Shu H, Zhu ZH. Clinical analysis of primary small intestinal disease: A report of 309 cases. </w:t>
      </w:r>
      <w:r w:rsidRPr="0068239E">
        <w:rPr>
          <w:rFonts w:ascii="Book Antiqua" w:hAnsi="Book Antiqua" w:cs="宋体"/>
          <w:i/>
          <w:iCs/>
          <w:kern w:val="0"/>
          <w:sz w:val="24"/>
          <w:szCs w:val="24"/>
        </w:rPr>
        <w:t>World J Gastroenterol</w:t>
      </w:r>
      <w:r w:rsidRPr="0068239E">
        <w:rPr>
          <w:rFonts w:ascii="Book Antiqua" w:hAnsi="Book Antiqua" w:cs="宋体"/>
          <w:kern w:val="0"/>
          <w:sz w:val="24"/>
          <w:szCs w:val="24"/>
        </w:rPr>
        <w:t> 2004; </w:t>
      </w:r>
      <w:r w:rsidRPr="0068239E">
        <w:rPr>
          <w:rFonts w:ascii="Book Antiqua" w:hAnsi="Book Antiqua" w:cs="宋体"/>
          <w:b/>
          <w:bCs/>
          <w:kern w:val="0"/>
          <w:sz w:val="24"/>
          <w:szCs w:val="24"/>
        </w:rPr>
        <w:t>10</w:t>
      </w:r>
      <w:r w:rsidRPr="0068239E">
        <w:rPr>
          <w:rFonts w:ascii="Book Antiqua" w:hAnsi="Book Antiqua" w:cs="宋体"/>
          <w:kern w:val="0"/>
          <w:sz w:val="24"/>
          <w:szCs w:val="24"/>
        </w:rPr>
        <w:t>: 2585-2587 [PMID: 15300912]</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12 </w:t>
      </w:r>
      <w:r w:rsidRPr="0068239E">
        <w:rPr>
          <w:rFonts w:ascii="Book Antiqua" w:hAnsi="Book Antiqua" w:cs="宋体"/>
          <w:b/>
          <w:bCs/>
          <w:kern w:val="0"/>
          <w:sz w:val="24"/>
          <w:szCs w:val="24"/>
        </w:rPr>
        <w:t>He Q</w:t>
      </w:r>
      <w:r w:rsidRPr="0068239E">
        <w:rPr>
          <w:rFonts w:ascii="Book Antiqua" w:hAnsi="Book Antiqua" w:cs="宋体"/>
          <w:kern w:val="0"/>
          <w:sz w:val="24"/>
          <w:szCs w:val="24"/>
        </w:rPr>
        <w:t>, Bai Y, Zhi FC, Gong W, Gu HX, Xu ZM, Cai JQ, Pan DS, Jiang B. Double-balloon enteroscopy for mesenchymal tumors of small bowel: nine years' experience. </w:t>
      </w:r>
      <w:r w:rsidRPr="0068239E">
        <w:rPr>
          <w:rFonts w:ascii="Book Antiqua" w:hAnsi="Book Antiqua" w:cs="宋体"/>
          <w:i/>
          <w:iCs/>
          <w:kern w:val="0"/>
          <w:sz w:val="24"/>
          <w:szCs w:val="24"/>
        </w:rPr>
        <w:t>World J Gastroenterol</w:t>
      </w:r>
      <w:r w:rsidRPr="0068239E">
        <w:rPr>
          <w:rFonts w:ascii="Book Antiqua" w:hAnsi="Book Antiqua" w:cs="宋体"/>
          <w:kern w:val="0"/>
          <w:sz w:val="24"/>
          <w:szCs w:val="24"/>
        </w:rPr>
        <w:t> 2013; </w:t>
      </w:r>
      <w:r w:rsidRPr="0068239E">
        <w:rPr>
          <w:rFonts w:ascii="Book Antiqua" w:hAnsi="Book Antiqua" w:cs="宋体"/>
          <w:b/>
          <w:bCs/>
          <w:kern w:val="0"/>
          <w:sz w:val="24"/>
          <w:szCs w:val="24"/>
        </w:rPr>
        <w:t>19</w:t>
      </w:r>
      <w:r w:rsidRPr="0068239E">
        <w:rPr>
          <w:rFonts w:ascii="Book Antiqua" w:hAnsi="Book Antiqua" w:cs="宋体"/>
          <w:kern w:val="0"/>
          <w:sz w:val="24"/>
          <w:szCs w:val="24"/>
        </w:rPr>
        <w:t>: 1820-1826 [PMID: 23555171 DOI: 10.3748/wjg.v19.i11.1820]</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13 </w:t>
      </w:r>
      <w:r w:rsidRPr="0068239E">
        <w:rPr>
          <w:rFonts w:ascii="Book Antiqua" w:hAnsi="Book Antiqua" w:cs="宋体"/>
          <w:b/>
          <w:bCs/>
          <w:kern w:val="0"/>
          <w:sz w:val="24"/>
          <w:szCs w:val="24"/>
        </w:rPr>
        <w:t>Landi B</w:t>
      </w:r>
      <w:r w:rsidRPr="0068239E">
        <w:rPr>
          <w:rFonts w:ascii="Book Antiqua" w:hAnsi="Book Antiqua" w:cs="宋体"/>
          <w:kern w:val="0"/>
          <w:sz w:val="24"/>
          <w:szCs w:val="24"/>
        </w:rPr>
        <w:t>. [Gastrointestinal stromal tumors: clinical features and diagnosis]. </w:t>
      </w:r>
      <w:r w:rsidRPr="0068239E">
        <w:rPr>
          <w:rFonts w:ascii="Book Antiqua" w:hAnsi="Book Antiqua" w:cs="宋体"/>
          <w:i/>
          <w:iCs/>
          <w:kern w:val="0"/>
          <w:sz w:val="24"/>
          <w:szCs w:val="24"/>
        </w:rPr>
        <w:t>Bull Acad Natl Med</w:t>
      </w:r>
      <w:r w:rsidRPr="0068239E">
        <w:rPr>
          <w:rFonts w:ascii="Book Antiqua" w:hAnsi="Book Antiqua" w:cs="宋体"/>
          <w:kern w:val="0"/>
          <w:sz w:val="24"/>
          <w:szCs w:val="24"/>
        </w:rPr>
        <w:t> ; </w:t>
      </w:r>
      <w:r w:rsidRPr="0068239E">
        <w:rPr>
          <w:rFonts w:ascii="Book Antiqua" w:hAnsi="Book Antiqua" w:cs="宋体"/>
          <w:b/>
          <w:bCs/>
          <w:kern w:val="0"/>
          <w:sz w:val="24"/>
          <w:szCs w:val="24"/>
        </w:rPr>
        <w:t>196</w:t>
      </w:r>
      <w:r w:rsidRPr="0068239E">
        <w:rPr>
          <w:rFonts w:ascii="Book Antiqua" w:hAnsi="Book Antiqua" w:cs="宋体"/>
          <w:kern w:val="0"/>
          <w:sz w:val="24"/>
          <w:szCs w:val="24"/>
        </w:rPr>
        <w:t>: 845-52; discussion 852-3 [PMID: 23550447]</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14 </w:t>
      </w:r>
      <w:r w:rsidRPr="0068239E">
        <w:rPr>
          <w:rFonts w:ascii="Book Antiqua" w:hAnsi="Book Antiqua" w:cs="宋体"/>
          <w:b/>
          <w:bCs/>
          <w:kern w:val="0"/>
          <w:sz w:val="24"/>
          <w:szCs w:val="24"/>
        </w:rPr>
        <w:t>Dabaja BS</w:t>
      </w:r>
      <w:r w:rsidRPr="0068239E">
        <w:rPr>
          <w:rFonts w:ascii="Book Antiqua" w:hAnsi="Book Antiqua" w:cs="宋体"/>
          <w:kern w:val="0"/>
          <w:sz w:val="24"/>
          <w:szCs w:val="24"/>
        </w:rPr>
        <w:t>, Suki D, Pro B, Bonnen M, Ajani J. Adenocarcinoma of the small bowel: presentation, prognostic factors, and outcome of 217 patients. </w:t>
      </w:r>
      <w:r w:rsidRPr="0068239E">
        <w:rPr>
          <w:rFonts w:ascii="Book Antiqua" w:hAnsi="Book Antiqua" w:cs="宋体"/>
          <w:i/>
          <w:iCs/>
          <w:kern w:val="0"/>
          <w:sz w:val="24"/>
          <w:szCs w:val="24"/>
        </w:rPr>
        <w:t>Cancer</w:t>
      </w:r>
      <w:r w:rsidRPr="0068239E">
        <w:rPr>
          <w:rFonts w:ascii="Book Antiqua" w:hAnsi="Book Antiqua" w:cs="宋体"/>
          <w:kern w:val="0"/>
          <w:sz w:val="24"/>
          <w:szCs w:val="24"/>
        </w:rPr>
        <w:t> 2004; </w:t>
      </w:r>
      <w:r w:rsidRPr="0068239E">
        <w:rPr>
          <w:rFonts w:ascii="Book Antiqua" w:hAnsi="Book Antiqua" w:cs="宋体"/>
          <w:b/>
          <w:bCs/>
          <w:kern w:val="0"/>
          <w:sz w:val="24"/>
          <w:szCs w:val="24"/>
        </w:rPr>
        <w:t>101</w:t>
      </w:r>
      <w:r w:rsidRPr="0068239E">
        <w:rPr>
          <w:rFonts w:ascii="Book Antiqua" w:hAnsi="Book Antiqua" w:cs="宋体"/>
          <w:kern w:val="0"/>
          <w:sz w:val="24"/>
          <w:szCs w:val="24"/>
        </w:rPr>
        <w:t>: 518-526 [PMID: 1</w:t>
      </w:r>
      <w:r>
        <w:rPr>
          <w:rFonts w:ascii="Book Antiqua" w:hAnsi="Book Antiqua" w:cs="宋体"/>
          <w:kern w:val="0"/>
          <w:sz w:val="24"/>
          <w:szCs w:val="24"/>
        </w:rPr>
        <w:t>5274064 DOI: 10.1002/cncr.20404</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15 </w:t>
      </w:r>
      <w:r w:rsidRPr="0068239E">
        <w:rPr>
          <w:rFonts w:ascii="Book Antiqua" w:hAnsi="Book Antiqua" w:cs="宋体"/>
          <w:b/>
          <w:bCs/>
          <w:kern w:val="0"/>
          <w:sz w:val="24"/>
          <w:szCs w:val="24"/>
        </w:rPr>
        <w:t>Schmidt S</w:t>
      </w:r>
      <w:r w:rsidRPr="0068239E">
        <w:rPr>
          <w:rFonts w:ascii="Book Antiqua" w:hAnsi="Book Antiqua" w:cs="宋体"/>
          <w:kern w:val="0"/>
          <w:sz w:val="24"/>
          <w:szCs w:val="24"/>
        </w:rPr>
        <w:t>, Felley C, Meuwly JY, Schnyder P, Denys A. CT enteroclysis: technique and clinical applications. </w:t>
      </w:r>
      <w:r w:rsidRPr="0068239E">
        <w:rPr>
          <w:rFonts w:ascii="Book Antiqua" w:hAnsi="Book Antiqua" w:cs="宋体"/>
          <w:i/>
          <w:iCs/>
          <w:kern w:val="0"/>
          <w:sz w:val="24"/>
          <w:szCs w:val="24"/>
        </w:rPr>
        <w:t>Eur Radiol</w:t>
      </w:r>
      <w:r w:rsidRPr="0068239E">
        <w:rPr>
          <w:rFonts w:ascii="Book Antiqua" w:hAnsi="Book Antiqua" w:cs="宋体"/>
          <w:kern w:val="0"/>
          <w:sz w:val="24"/>
          <w:szCs w:val="24"/>
        </w:rPr>
        <w:t> 2006; </w:t>
      </w:r>
      <w:r w:rsidRPr="0068239E">
        <w:rPr>
          <w:rFonts w:ascii="Book Antiqua" w:hAnsi="Book Antiqua" w:cs="宋体"/>
          <w:b/>
          <w:bCs/>
          <w:kern w:val="0"/>
          <w:sz w:val="24"/>
          <w:szCs w:val="24"/>
        </w:rPr>
        <w:t>16</w:t>
      </w:r>
      <w:r w:rsidRPr="0068239E">
        <w:rPr>
          <w:rFonts w:ascii="Book Antiqua" w:hAnsi="Book Antiqua" w:cs="宋体"/>
          <w:kern w:val="0"/>
          <w:sz w:val="24"/>
          <w:szCs w:val="24"/>
        </w:rPr>
        <w:t>: 648-660 [PMID: 16220207</w:t>
      </w:r>
      <w:r>
        <w:rPr>
          <w:rFonts w:ascii="Book Antiqua" w:hAnsi="Book Antiqua" w:cs="宋体"/>
          <w:kern w:val="0"/>
          <w:sz w:val="24"/>
          <w:szCs w:val="24"/>
        </w:rPr>
        <w:t xml:space="preserve"> DOI: 10.1007/s00330-005-0005-4</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16 </w:t>
      </w:r>
      <w:r w:rsidRPr="0068239E">
        <w:rPr>
          <w:rFonts w:ascii="Book Antiqua" w:hAnsi="Book Antiqua" w:cs="宋体"/>
          <w:b/>
          <w:kern w:val="0"/>
          <w:sz w:val="24"/>
          <w:szCs w:val="24"/>
        </w:rPr>
        <w:t xml:space="preserve">Siu J, </w:t>
      </w:r>
      <w:r w:rsidRPr="0068239E">
        <w:rPr>
          <w:rFonts w:ascii="Book Antiqua" w:hAnsi="Book Antiqua" w:cs="宋体"/>
          <w:kern w:val="0"/>
          <w:sz w:val="24"/>
          <w:szCs w:val="24"/>
        </w:rPr>
        <w:t>Lim M, Fischer J, Dobbs B, Wakeman C, Ing A, Frizelle F. Ten-year review of gastrointestinal stromal tumours at a tertiary referral hospital in New Zealand.</w:t>
      </w:r>
      <w:r>
        <w:rPr>
          <w:rFonts w:ascii="Book Antiqua" w:hAnsi="Book Antiqua" w:cs="宋体"/>
          <w:kern w:val="0"/>
          <w:sz w:val="24"/>
          <w:szCs w:val="24"/>
        </w:rPr>
        <w:t xml:space="preserve"> </w:t>
      </w:r>
      <w:r w:rsidRPr="0068239E">
        <w:rPr>
          <w:rFonts w:ascii="Book Antiqua" w:hAnsi="Book Antiqua" w:cs="宋体"/>
          <w:kern w:val="0"/>
          <w:sz w:val="24"/>
          <w:szCs w:val="24"/>
        </w:rPr>
        <w:t xml:space="preserve">Ten-year review of gastrointestinal stromal tumours at a </w:t>
      </w:r>
      <w:r w:rsidRPr="0068239E">
        <w:rPr>
          <w:rFonts w:ascii="Book Antiqua" w:hAnsi="Book Antiqua" w:cs="宋体"/>
          <w:kern w:val="0"/>
          <w:sz w:val="24"/>
          <w:szCs w:val="24"/>
        </w:rPr>
        <w:lastRenderedPageBreak/>
        <w:t>tertiary referral hospital in New Zealand. </w:t>
      </w:r>
      <w:r w:rsidRPr="0068239E">
        <w:rPr>
          <w:rFonts w:ascii="Book Antiqua" w:hAnsi="Book Antiqua" w:cs="宋体"/>
          <w:i/>
          <w:iCs/>
          <w:kern w:val="0"/>
          <w:sz w:val="24"/>
          <w:szCs w:val="24"/>
        </w:rPr>
        <w:t>ANZ J Surg</w:t>
      </w:r>
      <w:r w:rsidRPr="0068239E">
        <w:rPr>
          <w:rFonts w:ascii="Book Antiqua" w:hAnsi="Book Antiqua" w:cs="宋体"/>
          <w:kern w:val="0"/>
          <w:sz w:val="24"/>
          <w:szCs w:val="24"/>
        </w:rPr>
        <w:t> 2013;</w:t>
      </w:r>
      <w:r>
        <w:rPr>
          <w:rFonts w:ascii="Book Antiqua" w:hAnsi="Book Antiqua" w:cs="宋体"/>
          <w:kern w:val="0"/>
          <w:sz w:val="24"/>
          <w:szCs w:val="24"/>
        </w:rPr>
        <w:t xml:space="preserve"> </w:t>
      </w:r>
      <w:r w:rsidRPr="0068239E">
        <w:rPr>
          <w:rFonts w:ascii="Book Antiqua" w:hAnsi="Book Antiqua" w:cs="宋体"/>
          <w:kern w:val="0"/>
          <w:sz w:val="24"/>
          <w:szCs w:val="24"/>
        </w:rPr>
        <w:t>[PMID: 24325620 DOI: 10.1111/ans.12429]</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17 </w:t>
      </w:r>
      <w:r w:rsidRPr="0068239E">
        <w:rPr>
          <w:rFonts w:ascii="Book Antiqua" w:hAnsi="Book Antiqua" w:cs="宋体"/>
          <w:b/>
          <w:bCs/>
          <w:kern w:val="0"/>
          <w:sz w:val="24"/>
          <w:szCs w:val="24"/>
        </w:rPr>
        <w:t>Sabiani P</w:t>
      </w:r>
      <w:r w:rsidRPr="0068239E">
        <w:rPr>
          <w:rFonts w:ascii="Book Antiqua" w:hAnsi="Book Antiqua" w:cs="宋体"/>
          <w:kern w:val="0"/>
          <w:sz w:val="24"/>
          <w:szCs w:val="24"/>
        </w:rPr>
        <w:t>, Le Treut YP, Maillet B, Bozon-Verduraz E, Bricot R. [Adenocarcinoma of the duodenojejunal angle. Diagnostic and therapeutic problems]. </w:t>
      </w:r>
      <w:r w:rsidRPr="0068239E">
        <w:rPr>
          <w:rFonts w:ascii="Book Antiqua" w:hAnsi="Book Antiqua" w:cs="宋体"/>
          <w:i/>
          <w:iCs/>
          <w:kern w:val="0"/>
          <w:sz w:val="24"/>
          <w:szCs w:val="24"/>
        </w:rPr>
        <w:t>J Chir (Paris)</w:t>
      </w:r>
      <w:r w:rsidRPr="0068239E">
        <w:rPr>
          <w:rFonts w:ascii="Book Antiqua" w:hAnsi="Book Antiqua" w:cs="宋体"/>
          <w:kern w:val="0"/>
          <w:sz w:val="24"/>
          <w:szCs w:val="24"/>
        </w:rPr>
        <w:t> 1987; </w:t>
      </w:r>
      <w:r w:rsidRPr="0068239E">
        <w:rPr>
          <w:rFonts w:ascii="Book Antiqua" w:hAnsi="Book Antiqua" w:cs="宋体"/>
          <w:b/>
          <w:bCs/>
          <w:kern w:val="0"/>
          <w:sz w:val="24"/>
          <w:szCs w:val="24"/>
        </w:rPr>
        <w:t>124</w:t>
      </w:r>
      <w:r w:rsidRPr="0068239E">
        <w:rPr>
          <w:rFonts w:ascii="Book Antiqua" w:hAnsi="Book Antiqua" w:cs="宋体"/>
          <w:kern w:val="0"/>
          <w:sz w:val="24"/>
          <w:szCs w:val="24"/>
        </w:rPr>
        <w:t>: 30-34 [PMID: 3558512]</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18 </w:t>
      </w:r>
      <w:r w:rsidRPr="0068239E">
        <w:rPr>
          <w:rFonts w:ascii="Book Antiqua" w:hAnsi="Book Antiqua" w:cs="宋体"/>
          <w:b/>
          <w:bCs/>
          <w:kern w:val="0"/>
          <w:sz w:val="24"/>
          <w:szCs w:val="24"/>
        </w:rPr>
        <w:t>Agrawal S</w:t>
      </w:r>
      <w:r w:rsidRPr="0068239E">
        <w:rPr>
          <w:rFonts w:ascii="Book Antiqua" w:hAnsi="Book Antiqua" w:cs="宋体"/>
          <w:kern w:val="0"/>
          <w:sz w:val="24"/>
          <w:szCs w:val="24"/>
        </w:rPr>
        <w:t>, McCarron EC, Gibbs JF, Nava HR, Wilding GE, Rajput A. Surgical management and outcome in primary adenocarcinoma of the small bowel. </w:t>
      </w:r>
      <w:r w:rsidRPr="0068239E">
        <w:rPr>
          <w:rFonts w:ascii="Book Antiqua" w:hAnsi="Book Antiqua" w:cs="宋体"/>
          <w:i/>
          <w:iCs/>
          <w:kern w:val="0"/>
          <w:sz w:val="24"/>
          <w:szCs w:val="24"/>
        </w:rPr>
        <w:t>Ann Surg Oncol</w:t>
      </w:r>
      <w:r w:rsidRPr="0068239E">
        <w:rPr>
          <w:rFonts w:ascii="Book Antiqua" w:hAnsi="Book Antiqua" w:cs="宋体"/>
          <w:kern w:val="0"/>
          <w:sz w:val="24"/>
          <w:szCs w:val="24"/>
        </w:rPr>
        <w:t> 2007; </w:t>
      </w:r>
      <w:r w:rsidRPr="0068239E">
        <w:rPr>
          <w:rFonts w:ascii="Book Antiqua" w:hAnsi="Book Antiqua" w:cs="宋体"/>
          <w:b/>
          <w:bCs/>
          <w:kern w:val="0"/>
          <w:sz w:val="24"/>
          <w:szCs w:val="24"/>
        </w:rPr>
        <w:t>14</w:t>
      </w:r>
      <w:r w:rsidRPr="0068239E">
        <w:rPr>
          <w:rFonts w:ascii="Book Antiqua" w:hAnsi="Book Antiqua" w:cs="宋体"/>
          <w:kern w:val="0"/>
          <w:sz w:val="24"/>
          <w:szCs w:val="24"/>
        </w:rPr>
        <w:t>: 2263-2269 [PMID: 17549572 DOI: 10.1245/s10434-</w:t>
      </w:r>
      <w:r>
        <w:rPr>
          <w:rFonts w:ascii="Book Antiqua" w:hAnsi="Book Antiqua" w:cs="宋体"/>
          <w:kern w:val="0"/>
          <w:sz w:val="24"/>
          <w:szCs w:val="24"/>
        </w:rPr>
        <w:t>007-9428-2</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19 </w:t>
      </w:r>
      <w:r w:rsidRPr="0068239E">
        <w:rPr>
          <w:rFonts w:ascii="Book Antiqua" w:hAnsi="Book Antiqua" w:cs="宋体"/>
          <w:b/>
          <w:bCs/>
          <w:kern w:val="0"/>
          <w:sz w:val="24"/>
          <w:szCs w:val="24"/>
        </w:rPr>
        <w:t>Lowell JA</w:t>
      </w:r>
      <w:r w:rsidRPr="0068239E">
        <w:rPr>
          <w:rFonts w:ascii="Book Antiqua" w:hAnsi="Book Antiqua" w:cs="宋体"/>
          <w:kern w:val="0"/>
          <w:sz w:val="24"/>
          <w:szCs w:val="24"/>
        </w:rPr>
        <w:t>, Rossi RL, Munson JL, Braasch JW. Primary adenocarcinoma of third and fourth portions of duodenum. Favorable prognosis after resection. </w:t>
      </w:r>
      <w:r w:rsidRPr="0068239E">
        <w:rPr>
          <w:rFonts w:ascii="Book Antiqua" w:hAnsi="Book Antiqua" w:cs="宋体"/>
          <w:i/>
          <w:iCs/>
          <w:kern w:val="0"/>
          <w:sz w:val="24"/>
          <w:szCs w:val="24"/>
        </w:rPr>
        <w:t>Arch Surg</w:t>
      </w:r>
      <w:r w:rsidRPr="0068239E">
        <w:rPr>
          <w:rFonts w:ascii="Book Antiqua" w:hAnsi="Book Antiqua" w:cs="宋体"/>
          <w:kern w:val="0"/>
          <w:sz w:val="24"/>
          <w:szCs w:val="24"/>
        </w:rPr>
        <w:t> 1992; </w:t>
      </w:r>
      <w:r w:rsidRPr="0068239E">
        <w:rPr>
          <w:rFonts w:ascii="Book Antiqua" w:hAnsi="Book Antiqua" w:cs="宋体"/>
          <w:b/>
          <w:bCs/>
          <w:kern w:val="0"/>
          <w:sz w:val="24"/>
          <w:szCs w:val="24"/>
        </w:rPr>
        <w:t>127</w:t>
      </w:r>
      <w:r w:rsidRPr="0068239E">
        <w:rPr>
          <w:rFonts w:ascii="Book Antiqua" w:hAnsi="Book Antiqua" w:cs="宋体"/>
          <w:kern w:val="0"/>
          <w:sz w:val="24"/>
          <w:szCs w:val="24"/>
        </w:rPr>
        <w:t>: 557-560 [PMID: 1349472 DOI: 10.10</w:t>
      </w:r>
      <w:r>
        <w:rPr>
          <w:rFonts w:ascii="Book Antiqua" w:hAnsi="Book Antiqua" w:cs="宋体"/>
          <w:kern w:val="0"/>
          <w:sz w:val="24"/>
          <w:szCs w:val="24"/>
        </w:rPr>
        <w:t>01/archsurg.1992.01420050081010</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20 </w:t>
      </w:r>
      <w:r w:rsidRPr="0068239E">
        <w:rPr>
          <w:rFonts w:ascii="Book Antiqua" w:hAnsi="Book Antiqua" w:cs="宋体"/>
          <w:b/>
          <w:bCs/>
          <w:kern w:val="0"/>
          <w:sz w:val="24"/>
          <w:szCs w:val="24"/>
        </w:rPr>
        <w:t>Barnes G</w:t>
      </w:r>
      <w:r w:rsidRPr="0068239E">
        <w:rPr>
          <w:rFonts w:ascii="Book Antiqua" w:hAnsi="Book Antiqua" w:cs="宋体"/>
          <w:kern w:val="0"/>
          <w:sz w:val="24"/>
          <w:szCs w:val="24"/>
        </w:rPr>
        <w:t>, Romero L, Hess KR, Curley SA. Primary adenocarcinoma of the duodenum: management and survival in 67 patients. </w:t>
      </w:r>
      <w:r w:rsidRPr="0068239E">
        <w:rPr>
          <w:rFonts w:ascii="Book Antiqua" w:hAnsi="Book Antiqua" w:cs="宋体"/>
          <w:i/>
          <w:iCs/>
          <w:kern w:val="0"/>
          <w:sz w:val="24"/>
          <w:szCs w:val="24"/>
        </w:rPr>
        <w:t>Ann Surg Oncol</w:t>
      </w:r>
      <w:r w:rsidRPr="0068239E">
        <w:rPr>
          <w:rFonts w:ascii="Book Antiqua" w:hAnsi="Book Antiqua" w:cs="宋体"/>
          <w:kern w:val="0"/>
          <w:sz w:val="24"/>
          <w:szCs w:val="24"/>
        </w:rPr>
        <w:t> 1994; </w:t>
      </w:r>
      <w:r w:rsidRPr="0068239E">
        <w:rPr>
          <w:rFonts w:ascii="Book Antiqua" w:hAnsi="Book Antiqua" w:cs="宋体"/>
          <w:b/>
          <w:bCs/>
          <w:kern w:val="0"/>
          <w:sz w:val="24"/>
          <w:szCs w:val="24"/>
        </w:rPr>
        <w:t>1</w:t>
      </w:r>
      <w:r w:rsidRPr="0068239E">
        <w:rPr>
          <w:rFonts w:ascii="Book Antiqua" w:hAnsi="Book Antiqua" w:cs="宋体"/>
          <w:kern w:val="0"/>
          <w:sz w:val="24"/>
          <w:szCs w:val="24"/>
        </w:rPr>
        <w:t xml:space="preserve">: 73-78 [PMID: </w:t>
      </w:r>
      <w:r>
        <w:rPr>
          <w:rFonts w:ascii="Book Antiqua" w:hAnsi="Book Antiqua" w:cs="宋体"/>
          <w:kern w:val="0"/>
          <w:sz w:val="24"/>
          <w:szCs w:val="24"/>
        </w:rPr>
        <w:t>7834432 DOI: 10.1007/BF02303544</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21 </w:t>
      </w:r>
      <w:r w:rsidRPr="0068239E">
        <w:rPr>
          <w:rFonts w:ascii="Book Antiqua" w:hAnsi="Book Antiqua" w:cs="宋体"/>
          <w:b/>
          <w:bCs/>
          <w:kern w:val="0"/>
          <w:sz w:val="24"/>
          <w:szCs w:val="24"/>
        </w:rPr>
        <w:t>Miettinen M</w:t>
      </w:r>
      <w:r w:rsidRPr="0068239E">
        <w:rPr>
          <w:rFonts w:ascii="Book Antiqua" w:hAnsi="Book Antiqua" w:cs="宋体"/>
          <w:kern w:val="0"/>
          <w:sz w:val="24"/>
          <w:szCs w:val="24"/>
        </w:rPr>
        <w:t>, Kopczynski J, Makhlouf HR, Sarlomo-Rikala M, Gyorffy H, Burke A, Sobin LH, Lasota J. Gastrointestinal stromal tumors, intramural leiomyomas, and leiomyosarcomas in the duodenum: a clinicopathologic, immunohistochemical, and molecular genetic study of 167 cases. </w:t>
      </w:r>
      <w:r w:rsidRPr="0068239E">
        <w:rPr>
          <w:rFonts w:ascii="Book Antiqua" w:hAnsi="Book Antiqua" w:cs="宋体"/>
          <w:i/>
          <w:iCs/>
          <w:kern w:val="0"/>
          <w:sz w:val="24"/>
          <w:szCs w:val="24"/>
        </w:rPr>
        <w:t>Am J Surg Pathol</w:t>
      </w:r>
      <w:r w:rsidRPr="0068239E">
        <w:rPr>
          <w:rFonts w:ascii="Book Antiqua" w:hAnsi="Book Antiqua" w:cs="宋体"/>
          <w:kern w:val="0"/>
          <w:sz w:val="24"/>
          <w:szCs w:val="24"/>
        </w:rPr>
        <w:t> 2003; </w:t>
      </w:r>
      <w:r w:rsidRPr="0068239E">
        <w:rPr>
          <w:rFonts w:ascii="Book Antiqua" w:hAnsi="Book Antiqua" w:cs="宋体"/>
          <w:b/>
          <w:bCs/>
          <w:kern w:val="0"/>
          <w:sz w:val="24"/>
          <w:szCs w:val="24"/>
        </w:rPr>
        <w:t>27</w:t>
      </w:r>
      <w:r w:rsidRPr="0068239E">
        <w:rPr>
          <w:rFonts w:ascii="Book Antiqua" w:hAnsi="Book Antiqua" w:cs="宋体"/>
          <w:kern w:val="0"/>
          <w:sz w:val="24"/>
          <w:szCs w:val="24"/>
        </w:rPr>
        <w:t>: 625-641 [PMID: 12717247 DOI: 1</w:t>
      </w:r>
      <w:r>
        <w:rPr>
          <w:rFonts w:ascii="Book Antiqua" w:hAnsi="Book Antiqua" w:cs="宋体"/>
          <w:kern w:val="0"/>
          <w:sz w:val="24"/>
          <w:szCs w:val="24"/>
        </w:rPr>
        <w:t>0.1097/00000478-200305000-00006</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22 </w:t>
      </w:r>
      <w:r w:rsidRPr="0068239E">
        <w:rPr>
          <w:rFonts w:ascii="Book Antiqua" w:hAnsi="Book Antiqua" w:cs="宋体"/>
          <w:b/>
          <w:bCs/>
          <w:kern w:val="0"/>
          <w:sz w:val="24"/>
          <w:szCs w:val="24"/>
        </w:rPr>
        <w:t>Winfield RD</w:t>
      </w:r>
      <w:r w:rsidRPr="0068239E">
        <w:rPr>
          <w:rFonts w:ascii="Book Antiqua" w:hAnsi="Book Antiqua" w:cs="宋体"/>
          <w:kern w:val="0"/>
          <w:sz w:val="24"/>
          <w:szCs w:val="24"/>
        </w:rPr>
        <w:t>, Hochwald SN, Vogel SB, Hemming AW, Liu C, Cance WG, Grobmyer SR. Presentation and management of gastrointestinal stromal tumors of the duodenum. </w:t>
      </w:r>
      <w:r w:rsidRPr="0068239E">
        <w:rPr>
          <w:rFonts w:ascii="Book Antiqua" w:hAnsi="Book Antiqua" w:cs="宋体"/>
          <w:i/>
          <w:iCs/>
          <w:kern w:val="0"/>
          <w:sz w:val="24"/>
          <w:szCs w:val="24"/>
        </w:rPr>
        <w:t>Am Surg</w:t>
      </w:r>
      <w:r w:rsidRPr="0068239E">
        <w:rPr>
          <w:rFonts w:ascii="Book Antiqua" w:hAnsi="Book Antiqua" w:cs="宋体"/>
          <w:kern w:val="0"/>
          <w:sz w:val="24"/>
          <w:szCs w:val="24"/>
        </w:rPr>
        <w:t> 2006; </w:t>
      </w:r>
      <w:r w:rsidRPr="0068239E">
        <w:rPr>
          <w:rFonts w:ascii="Book Antiqua" w:hAnsi="Book Antiqua" w:cs="宋体"/>
          <w:b/>
          <w:bCs/>
          <w:kern w:val="0"/>
          <w:sz w:val="24"/>
          <w:szCs w:val="24"/>
        </w:rPr>
        <w:t>72</w:t>
      </w:r>
      <w:r w:rsidRPr="0068239E">
        <w:rPr>
          <w:rFonts w:ascii="Book Antiqua" w:hAnsi="Book Antiqua" w:cs="宋体"/>
          <w:kern w:val="0"/>
          <w:sz w:val="24"/>
          <w:szCs w:val="24"/>
        </w:rPr>
        <w:t>: 719-22; discussion 722-3 [PMID: 16913316]</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23 </w:t>
      </w:r>
      <w:r w:rsidRPr="0068239E">
        <w:rPr>
          <w:rFonts w:ascii="Book Antiqua" w:hAnsi="Book Antiqua" w:cs="宋体"/>
          <w:b/>
          <w:bCs/>
          <w:kern w:val="0"/>
          <w:sz w:val="24"/>
          <w:szCs w:val="24"/>
        </w:rPr>
        <w:t>Dematteo RP</w:t>
      </w:r>
      <w:r w:rsidRPr="0068239E">
        <w:rPr>
          <w:rFonts w:ascii="Book Antiqua" w:hAnsi="Book Antiqua" w:cs="宋体"/>
          <w:kern w:val="0"/>
          <w:sz w:val="24"/>
          <w:szCs w:val="24"/>
        </w:rPr>
        <w:t xml:space="preserve">, Ballman KV, Antonescu CR, Maki RG, Pisters PW, Demetri GD, Blackstein ME, Blanke CD, von Mehren M, Brennan MF, Patel S, McCarter MD, Polikoff JA, Tan BR, Owzar K. Adjuvant imatinib mesylate after resection of localised, primary gastrointestinal stromal tumour: a </w:t>
      </w:r>
      <w:r w:rsidRPr="0068239E">
        <w:rPr>
          <w:rFonts w:ascii="Book Antiqua" w:hAnsi="Book Antiqua" w:cs="宋体"/>
          <w:kern w:val="0"/>
          <w:sz w:val="24"/>
          <w:szCs w:val="24"/>
        </w:rPr>
        <w:lastRenderedPageBreak/>
        <w:t>randomised, double-blind, placebo-controlled trial. </w:t>
      </w:r>
      <w:r w:rsidRPr="0068239E">
        <w:rPr>
          <w:rFonts w:ascii="Book Antiqua" w:hAnsi="Book Antiqua" w:cs="宋体"/>
          <w:i/>
          <w:iCs/>
          <w:kern w:val="0"/>
          <w:sz w:val="24"/>
          <w:szCs w:val="24"/>
        </w:rPr>
        <w:t>Lancet</w:t>
      </w:r>
      <w:r w:rsidRPr="0068239E">
        <w:rPr>
          <w:rFonts w:ascii="Book Antiqua" w:hAnsi="Book Antiqua" w:cs="宋体"/>
          <w:kern w:val="0"/>
          <w:sz w:val="24"/>
          <w:szCs w:val="24"/>
        </w:rPr>
        <w:t> 2009; </w:t>
      </w:r>
      <w:r w:rsidRPr="0068239E">
        <w:rPr>
          <w:rFonts w:ascii="Book Antiqua" w:hAnsi="Book Antiqua" w:cs="宋体"/>
          <w:b/>
          <w:bCs/>
          <w:kern w:val="0"/>
          <w:sz w:val="24"/>
          <w:szCs w:val="24"/>
        </w:rPr>
        <w:t>373</w:t>
      </w:r>
      <w:r w:rsidRPr="0068239E">
        <w:rPr>
          <w:rFonts w:ascii="Book Antiqua" w:hAnsi="Book Antiqua" w:cs="宋体"/>
          <w:kern w:val="0"/>
          <w:sz w:val="24"/>
          <w:szCs w:val="24"/>
        </w:rPr>
        <w:t>: 1097-1104 [PMID: 19303137 DOI</w:t>
      </w:r>
      <w:r>
        <w:rPr>
          <w:rFonts w:ascii="Book Antiqua" w:hAnsi="Book Antiqua" w:cs="宋体"/>
          <w:kern w:val="0"/>
          <w:sz w:val="24"/>
          <w:szCs w:val="24"/>
        </w:rPr>
        <w:t>: 10.1016/S0140-6736(09)60500-6</w:t>
      </w:r>
      <w:r w:rsidRPr="0068239E">
        <w:rPr>
          <w:rFonts w:ascii="Book Antiqua" w:hAnsi="Book Antiqua" w:cs="宋体"/>
          <w:kern w:val="0"/>
          <w:sz w:val="24"/>
          <w:szCs w:val="24"/>
        </w:rPr>
        <w:t>]</w:t>
      </w:r>
    </w:p>
    <w:p w:rsidR="00BD0315" w:rsidRPr="0068239E" w:rsidRDefault="00BD0315" w:rsidP="00E35221">
      <w:pPr>
        <w:widowControl/>
        <w:spacing w:line="360" w:lineRule="auto"/>
        <w:rPr>
          <w:rFonts w:ascii="Book Antiqua" w:hAnsi="Book Antiqua" w:cs="宋体"/>
          <w:kern w:val="0"/>
          <w:sz w:val="24"/>
          <w:szCs w:val="24"/>
        </w:rPr>
      </w:pPr>
      <w:r w:rsidRPr="0068239E">
        <w:rPr>
          <w:rFonts w:ascii="Book Antiqua" w:hAnsi="Book Antiqua" w:cs="宋体"/>
          <w:kern w:val="0"/>
          <w:sz w:val="24"/>
          <w:szCs w:val="24"/>
        </w:rPr>
        <w:t>24 </w:t>
      </w:r>
      <w:r w:rsidRPr="0068239E">
        <w:rPr>
          <w:rFonts w:ascii="Book Antiqua" w:hAnsi="Book Antiqua" w:cs="宋体"/>
          <w:b/>
          <w:bCs/>
          <w:kern w:val="0"/>
          <w:sz w:val="24"/>
          <w:szCs w:val="24"/>
        </w:rPr>
        <w:t>Scott-Coombes DM</w:t>
      </w:r>
      <w:r w:rsidRPr="0068239E">
        <w:rPr>
          <w:rFonts w:ascii="Book Antiqua" w:hAnsi="Book Antiqua" w:cs="宋体"/>
          <w:kern w:val="0"/>
          <w:sz w:val="24"/>
          <w:szCs w:val="24"/>
        </w:rPr>
        <w:t>, Williamson RC. Surgical treatment of primary duodenal carcinoma: a personal series. </w:t>
      </w:r>
      <w:r w:rsidRPr="0068239E">
        <w:rPr>
          <w:rFonts w:ascii="Book Antiqua" w:hAnsi="Book Antiqua" w:cs="宋体"/>
          <w:i/>
          <w:iCs/>
          <w:kern w:val="0"/>
          <w:sz w:val="24"/>
          <w:szCs w:val="24"/>
        </w:rPr>
        <w:t>Br J Surg</w:t>
      </w:r>
      <w:r w:rsidRPr="0068239E">
        <w:rPr>
          <w:rFonts w:ascii="Book Antiqua" w:hAnsi="Book Antiqua" w:cs="宋体"/>
          <w:kern w:val="0"/>
          <w:sz w:val="24"/>
          <w:szCs w:val="24"/>
        </w:rPr>
        <w:t> 1994; </w:t>
      </w:r>
      <w:r w:rsidRPr="0068239E">
        <w:rPr>
          <w:rFonts w:ascii="Book Antiqua" w:hAnsi="Book Antiqua" w:cs="宋体"/>
          <w:b/>
          <w:bCs/>
          <w:kern w:val="0"/>
          <w:sz w:val="24"/>
          <w:szCs w:val="24"/>
        </w:rPr>
        <w:t>81</w:t>
      </w:r>
      <w:r w:rsidRPr="0068239E">
        <w:rPr>
          <w:rFonts w:ascii="Book Antiqua" w:hAnsi="Book Antiqua" w:cs="宋体"/>
          <w:kern w:val="0"/>
          <w:sz w:val="24"/>
          <w:szCs w:val="24"/>
        </w:rPr>
        <w:t>: 1472-1474 [PMID: 7820</w:t>
      </w:r>
      <w:r>
        <w:rPr>
          <w:rFonts w:ascii="Book Antiqua" w:hAnsi="Book Antiqua" w:cs="宋体"/>
          <w:kern w:val="0"/>
          <w:sz w:val="24"/>
          <w:szCs w:val="24"/>
        </w:rPr>
        <w:t>475 DOI: 10.1002/bjs.1800811023</w:t>
      </w:r>
      <w:r w:rsidRPr="0068239E">
        <w:rPr>
          <w:rFonts w:ascii="Book Antiqua" w:hAnsi="Book Antiqua" w:cs="宋体"/>
          <w:kern w:val="0"/>
          <w:sz w:val="24"/>
          <w:szCs w:val="24"/>
        </w:rPr>
        <w:t>]</w:t>
      </w:r>
    </w:p>
    <w:p w:rsidR="00BD0315" w:rsidRPr="00572E26" w:rsidRDefault="00BD0315" w:rsidP="00572E26">
      <w:pPr>
        <w:spacing w:line="360" w:lineRule="auto"/>
        <w:rPr>
          <w:rFonts w:ascii="Book Antiqua" w:hAnsi="Book Antiqua"/>
          <w:b/>
          <w:sz w:val="24"/>
          <w:szCs w:val="24"/>
        </w:rPr>
      </w:pPr>
    </w:p>
    <w:p w:rsidR="00BD0315" w:rsidRDefault="00BD0315" w:rsidP="00572E26">
      <w:pPr>
        <w:pStyle w:val="a5"/>
        <w:wordWrap w:val="0"/>
        <w:spacing w:line="360" w:lineRule="auto"/>
        <w:ind w:left="360" w:right="225" w:firstLineChars="0" w:firstLine="0"/>
        <w:jc w:val="right"/>
        <w:rPr>
          <w:rFonts w:ascii="Book Antiqua" w:hAnsi="Book Antiqua"/>
          <w:b/>
          <w:bCs/>
          <w:color w:val="000000"/>
          <w:sz w:val="24"/>
          <w:szCs w:val="24"/>
        </w:rPr>
      </w:pPr>
      <w:bookmarkStart w:id="42" w:name="OLE_LINK277"/>
      <w:bookmarkStart w:id="43" w:name="OLE_LINK278"/>
      <w:bookmarkStart w:id="44" w:name="OLE_LINK279"/>
      <w:bookmarkStart w:id="45" w:name="OLE_LINK290"/>
      <w:bookmarkStart w:id="46" w:name="OLE_LINK301"/>
      <w:bookmarkStart w:id="47" w:name="OLE_LINK312"/>
      <w:bookmarkStart w:id="48" w:name="OLE_LINK315"/>
      <w:bookmarkStart w:id="49" w:name="OLE_LINK316"/>
      <w:bookmarkStart w:id="50" w:name="OLE_LINK317"/>
      <w:bookmarkStart w:id="51" w:name="OLE_LINK318"/>
      <w:bookmarkStart w:id="52" w:name="OLE_LINK326"/>
      <w:bookmarkStart w:id="53" w:name="OLE_LINK335"/>
      <w:bookmarkStart w:id="54" w:name="OLE_LINK339"/>
      <w:bookmarkStart w:id="55" w:name="OLE_LINK348"/>
      <w:bookmarkStart w:id="56" w:name="OLE_LINK329"/>
      <w:r w:rsidRPr="00572E26">
        <w:rPr>
          <w:rStyle w:val="ac"/>
          <w:rFonts w:ascii="Book Antiqua" w:hAnsi="Book Antiqua"/>
          <w:color w:val="000000"/>
          <w:sz w:val="24"/>
          <w:szCs w:val="24"/>
        </w:rPr>
        <w:t>P-Reviewers:</w:t>
      </w:r>
      <w:r w:rsidRPr="00572E26">
        <w:rPr>
          <w:rFonts w:ascii="Book Antiqua" w:hAnsi="Book Antiqua"/>
          <w:bCs/>
          <w:color w:val="000000"/>
          <w:sz w:val="24"/>
          <w:szCs w:val="24"/>
        </w:rPr>
        <w:t xml:space="preserve"> </w:t>
      </w:r>
      <w:r>
        <w:rPr>
          <w:rFonts w:ascii="Book Antiqua" w:hAnsi="Book Antiqua"/>
          <w:bCs/>
          <w:color w:val="000000"/>
          <w:sz w:val="24"/>
          <w:szCs w:val="24"/>
        </w:rPr>
        <w:t xml:space="preserve">Bar </w:t>
      </w:r>
      <w:r w:rsidRPr="00E35221">
        <w:rPr>
          <w:rFonts w:ascii="Book Antiqua" w:hAnsi="Book Antiqua"/>
          <w:bCs/>
          <w:color w:val="000000"/>
          <w:sz w:val="24"/>
          <w:szCs w:val="24"/>
        </w:rPr>
        <w:t>H</w:t>
      </w:r>
      <w:r>
        <w:rPr>
          <w:rFonts w:ascii="Book Antiqua" w:hAnsi="Book Antiqua"/>
          <w:bCs/>
          <w:color w:val="000000"/>
          <w:sz w:val="24"/>
          <w:szCs w:val="24"/>
        </w:rPr>
        <w:t xml:space="preserve">, </w:t>
      </w:r>
      <w:r w:rsidRPr="00E35221">
        <w:rPr>
          <w:rFonts w:ascii="Book Antiqua" w:hAnsi="Book Antiqua"/>
          <w:bCs/>
          <w:color w:val="000000"/>
          <w:sz w:val="24"/>
          <w:szCs w:val="24"/>
        </w:rPr>
        <w:t>Takahashi</w:t>
      </w:r>
      <w:r>
        <w:rPr>
          <w:rFonts w:ascii="Book Antiqua" w:hAnsi="Book Antiqua"/>
          <w:bCs/>
          <w:color w:val="000000"/>
          <w:sz w:val="24"/>
          <w:szCs w:val="24"/>
        </w:rPr>
        <w:t xml:space="preserve"> T </w:t>
      </w:r>
      <w:r w:rsidRPr="00572E26">
        <w:rPr>
          <w:rFonts w:ascii="Book Antiqua" w:hAnsi="Book Antiqua"/>
          <w:b/>
          <w:bCs/>
          <w:color w:val="000000"/>
          <w:sz w:val="24"/>
          <w:szCs w:val="24"/>
        </w:rPr>
        <w:t>S-Editor:</w:t>
      </w:r>
      <w:r w:rsidRPr="00572E26">
        <w:rPr>
          <w:rFonts w:ascii="Book Antiqua" w:hAnsi="Book Antiqua"/>
          <w:bCs/>
          <w:color w:val="000000"/>
          <w:sz w:val="24"/>
          <w:szCs w:val="24"/>
        </w:rPr>
        <w:t xml:space="preserve"> Qi Y</w:t>
      </w:r>
    </w:p>
    <w:p w:rsidR="00BD0315" w:rsidRPr="00572E26" w:rsidRDefault="00BD0315" w:rsidP="00E35221">
      <w:pPr>
        <w:pStyle w:val="a5"/>
        <w:spacing w:line="360" w:lineRule="auto"/>
        <w:ind w:left="360" w:right="225" w:firstLineChars="0" w:firstLine="0"/>
        <w:jc w:val="right"/>
        <w:rPr>
          <w:rFonts w:ascii="Book Antiqua" w:hAnsi="Book Antiqua"/>
          <w:b/>
          <w:bCs/>
          <w:color w:val="000000"/>
          <w:sz w:val="24"/>
          <w:szCs w:val="24"/>
        </w:rPr>
      </w:pPr>
      <w:r w:rsidRPr="00572E26">
        <w:rPr>
          <w:rFonts w:ascii="Book Antiqua" w:hAnsi="Book Antiqua"/>
          <w:b/>
          <w:bCs/>
          <w:color w:val="000000"/>
          <w:sz w:val="24"/>
          <w:szCs w:val="24"/>
        </w:rPr>
        <w:t>L-Editor: E-Editor:</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BD0315" w:rsidRDefault="00BD0315">
      <w:pPr>
        <w:widowControl/>
        <w:jc w:val="left"/>
        <w:rPr>
          <w:rFonts w:ascii="Book Antiqua" w:hAnsi="Book Antiqua"/>
          <w:sz w:val="24"/>
          <w:szCs w:val="24"/>
        </w:rPr>
      </w:pPr>
      <w:r>
        <w:rPr>
          <w:rFonts w:ascii="Book Antiqua" w:hAnsi="Book Antiqua"/>
          <w:sz w:val="24"/>
          <w:szCs w:val="24"/>
        </w:rPr>
        <w:br w:type="page"/>
      </w:r>
    </w:p>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Figure 1 An intraoperative photograph of the mesenteric vessels</w:t>
      </w:r>
      <w:r>
        <w:rPr>
          <w:rFonts w:ascii="Book Antiqua" w:hAnsi="Book Antiqua"/>
          <w:b/>
          <w:sz w:val="24"/>
          <w:szCs w:val="24"/>
        </w:rPr>
        <w:t xml:space="preserve"> </w:t>
      </w:r>
      <w:r w:rsidRPr="00E35221">
        <w:rPr>
          <w:rFonts w:ascii="Book Antiqua" w:hAnsi="Book Antiqua"/>
          <w:b/>
          <w:sz w:val="24"/>
          <w:szCs w:val="24"/>
        </w:rPr>
        <w:t>(A), A photograph of anastomosis on the left side of the mesenteric vessels (B).</w:t>
      </w:r>
    </w:p>
    <w:p w:rsidR="00BD0315" w:rsidRPr="00572E26" w:rsidRDefault="00BD0315" w:rsidP="00572E26">
      <w:pPr>
        <w:spacing w:line="360" w:lineRule="auto"/>
        <w:rPr>
          <w:rFonts w:ascii="Book Antiqua" w:hAnsi="Book Antiqua"/>
          <w:sz w:val="24"/>
          <w:szCs w:val="24"/>
        </w:rPr>
      </w:pPr>
    </w:p>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Figure 2 A well-encapsulated gastrointestinal st</w:t>
      </w:r>
      <w:r>
        <w:rPr>
          <w:rFonts w:ascii="Book Antiqua" w:hAnsi="Book Antiqua"/>
          <w:b/>
          <w:sz w:val="24"/>
          <w:szCs w:val="24"/>
        </w:rPr>
        <w:t xml:space="preserve">romal tumors </w:t>
      </w:r>
      <w:r w:rsidRPr="00E35221">
        <w:rPr>
          <w:rFonts w:ascii="Book Antiqua" w:hAnsi="Book Antiqua"/>
          <w:b/>
          <w:sz w:val="24"/>
          <w:szCs w:val="24"/>
        </w:rPr>
        <w:t>with a normal mucous membrane(A), An ulcerative carcinoma that has infiltrated into the adjacent tissue (B).</w:t>
      </w:r>
    </w:p>
    <w:p w:rsidR="00BD0315" w:rsidRPr="00572E26" w:rsidRDefault="00BD0315" w:rsidP="00572E26">
      <w:pPr>
        <w:spacing w:line="360" w:lineRule="auto"/>
        <w:rPr>
          <w:rFonts w:ascii="Book Antiqua" w:hAnsi="Book Antiqua"/>
          <w:sz w:val="24"/>
          <w:szCs w:val="24"/>
        </w:rPr>
      </w:pPr>
    </w:p>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Figure 3 Gastrointestinal stromal tumors with spindle cell differentiation (A) (</w:t>
      </w:r>
      <w:r w:rsidRPr="00E35221">
        <w:rPr>
          <w:rFonts w:ascii="Book Antiqua" w:hAnsi="Book Antiqua"/>
          <w:b/>
          <w:sz w:val="24"/>
          <w:szCs w:val="24"/>
        </w:rPr>
        <w:sym w:font="Symbol" w:char="F0B4"/>
      </w:r>
      <w:r w:rsidRPr="00E35221">
        <w:rPr>
          <w:rFonts w:ascii="Book Antiqua" w:hAnsi="Book Antiqua"/>
          <w:b/>
          <w:sz w:val="24"/>
          <w:szCs w:val="24"/>
        </w:rPr>
        <w:t xml:space="preserve"> 20), carcinoma with moderate to poor differentiation</w:t>
      </w:r>
      <w:r>
        <w:rPr>
          <w:rFonts w:ascii="Book Antiqua" w:hAnsi="Book Antiqua"/>
          <w:b/>
          <w:sz w:val="24"/>
          <w:szCs w:val="24"/>
        </w:rPr>
        <w:t xml:space="preserve"> </w:t>
      </w:r>
      <w:r w:rsidRPr="00E35221">
        <w:rPr>
          <w:rFonts w:ascii="Book Antiqua" w:hAnsi="Book Antiqua"/>
          <w:b/>
          <w:sz w:val="24"/>
          <w:szCs w:val="24"/>
        </w:rPr>
        <w:t>(B) (</w:t>
      </w:r>
      <w:r w:rsidRPr="00E35221">
        <w:rPr>
          <w:rFonts w:ascii="Book Antiqua" w:hAnsi="Book Antiqua"/>
          <w:b/>
          <w:sz w:val="24"/>
          <w:szCs w:val="24"/>
        </w:rPr>
        <w:sym w:font="Symbol" w:char="F0B4"/>
      </w:r>
      <w:r w:rsidRPr="00E35221">
        <w:rPr>
          <w:rFonts w:ascii="Book Antiqua" w:hAnsi="Book Antiqua"/>
          <w:b/>
          <w:sz w:val="24"/>
          <w:szCs w:val="24"/>
        </w:rPr>
        <w:t xml:space="preserve"> 20).</w:t>
      </w:r>
    </w:p>
    <w:p w:rsidR="00BD0315" w:rsidRPr="00572E26" w:rsidRDefault="00BD0315" w:rsidP="00572E26">
      <w:pPr>
        <w:spacing w:line="360" w:lineRule="auto"/>
        <w:rPr>
          <w:rFonts w:ascii="Book Antiqua" w:hAnsi="Book Antiqua"/>
          <w:sz w:val="24"/>
          <w:szCs w:val="24"/>
        </w:rPr>
      </w:pPr>
    </w:p>
    <w:p w:rsidR="00BD0315" w:rsidRDefault="00BD0315" w:rsidP="00572E26">
      <w:pPr>
        <w:spacing w:line="360" w:lineRule="auto"/>
        <w:rPr>
          <w:rFonts w:ascii="Book Antiqua" w:hAnsi="Book Antiqua"/>
          <w:sz w:val="24"/>
          <w:szCs w:val="24"/>
        </w:rPr>
      </w:pPr>
      <w:r w:rsidRPr="00E35221">
        <w:rPr>
          <w:rFonts w:ascii="Book Antiqua" w:hAnsi="Book Antiqua"/>
          <w:b/>
          <w:sz w:val="24"/>
          <w:szCs w:val="24"/>
        </w:rPr>
        <w:t xml:space="preserve">Figure 4 Computed tomography scan. </w:t>
      </w:r>
      <w:r w:rsidRPr="00E35221">
        <w:rPr>
          <w:rFonts w:ascii="Book Antiqua" w:hAnsi="Book Antiqua"/>
          <w:sz w:val="24"/>
          <w:szCs w:val="24"/>
        </w:rPr>
        <w:t>A,</w:t>
      </w:r>
      <w:r>
        <w:rPr>
          <w:rFonts w:ascii="Book Antiqua" w:hAnsi="Book Antiqua"/>
          <w:sz w:val="24"/>
          <w:szCs w:val="24"/>
        </w:rPr>
        <w:t xml:space="preserve"> </w:t>
      </w:r>
      <w:r w:rsidRPr="00E35221">
        <w:rPr>
          <w:rFonts w:ascii="Book Antiqua" w:hAnsi="Book Antiqua"/>
          <w:sz w:val="24"/>
          <w:szCs w:val="24"/>
        </w:rPr>
        <w:t>B: C</w:t>
      </w:r>
      <w:r>
        <w:rPr>
          <w:rFonts w:ascii="Book Antiqua" w:hAnsi="Book Antiqua"/>
          <w:sz w:val="24"/>
          <w:szCs w:val="24"/>
        </w:rPr>
        <w:t xml:space="preserve">omputed </w:t>
      </w:r>
      <w:r w:rsidRPr="00E35221">
        <w:rPr>
          <w:rFonts w:ascii="Book Antiqua" w:hAnsi="Book Antiqua"/>
          <w:sz w:val="24"/>
          <w:szCs w:val="24"/>
        </w:rPr>
        <w:t>t</w:t>
      </w:r>
      <w:r>
        <w:rPr>
          <w:rFonts w:ascii="Book Antiqua" w:hAnsi="Book Antiqua"/>
          <w:sz w:val="24"/>
          <w:szCs w:val="24"/>
        </w:rPr>
        <w:t>omography</w:t>
      </w:r>
      <w:r w:rsidRPr="00E35221">
        <w:rPr>
          <w:rFonts w:ascii="Book Antiqua" w:hAnsi="Book Antiqua"/>
          <w:sz w:val="24"/>
          <w:szCs w:val="24"/>
        </w:rPr>
        <w:t xml:space="preserve"> </w:t>
      </w:r>
      <w:r>
        <w:rPr>
          <w:rFonts w:ascii="Book Antiqua" w:hAnsi="Book Antiqua"/>
          <w:sz w:val="24"/>
          <w:szCs w:val="24"/>
        </w:rPr>
        <w:t xml:space="preserve">(CT) </w:t>
      </w:r>
      <w:r w:rsidRPr="00E35221">
        <w:rPr>
          <w:rFonts w:ascii="Book Antiqua" w:hAnsi="Book Antiqua"/>
          <w:sz w:val="24"/>
          <w:szCs w:val="24"/>
        </w:rPr>
        <w:t xml:space="preserve">scan and upper gastrointestinal radiography for </w:t>
      </w:r>
      <w:r w:rsidRPr="00CA13BD">
        <w:rPr>
          <w:rFonts w:ascii="Book Antiqua" w:hAnsi="Book Antiqua"/>
          <w:sz w:val="24"/>
          <w:szCs w:val="24"/>
        </w:rPr>
        <w:t xml:space="preserve">gastrointestinal stromal tumors </w:t>
      </w:r>
      <w:r>
        <w:rPr>
          <w:rFonts w:ascii="Book Antiqua" w:hAnsi="Book Antiqua"/>
          <w:sz w:val="24"/>
          <w:szCs w:val="24"/>
        </w:rPr>
        <w:t>(</w:t>
      </w:r>
      <w:r w:rsidRPr="00E35221">
        <w:rPr>
          <w:rFonts w:ascii="Book Antiqua" w:hAnsi="Book Antiqua"/>
          <w:sz w:val="24"/>
          <w:szCs w:val="24"/>
        </w:rPr>
        <w:t>GIST</w:t>
      </w:r>
      <w:r>
        <w:rPr>
          <w:rFonts w:ascii="Book Antiqua" w:hAnsi="Book Antiqua"/>
          <w:sz w:val="24"/>
          <w:szCs w:val="24"/>
        </w:rPr>
        <w:t>)</w:t>
      </w:r>
      <w:r w:rsidRPr="00E35221">
        <w:rPr>
          <w:rFonts w:ascii="Book Antiqua" w:hAnsi="Book Antiqua"/>
          <w:sz w:val="24"/>
          <w:szCs w:val="24"/>
        </w:rPr>
        <w:t xml:space="preserve"> of the angle of Treitz; C,</w:t>
      </w:r>
      <w:r>
        <w:rPr>
          <w:rFonts w:ascii="Book Antiqua" w:hAnsi="Book Antiqua"/>
          <w:sz w:val="24"/>
          <w:szCs w:val="24"/>
        </w:rPr>
        <w:t xml:space="preserve"> </w:t>
      </w:r>
      <w:r w:rsidRPr="00E35221">
        <w:rPr>
          <w:rFonts w:ascii="Book Antiqua" w:hAnsi="Book Antiqua"/>
          <w:sz w:val="24"/>
          <w:szCs w:val="24"/>
        </w:rPr>
        <w:t>D: CT scan for adenocarcinoma of the angle of Treitz before (c) and after (d) chemotherapy.</w:t>
      </w:r>
    </w:p>
    <w:p w:rsidR="00BD0315" w:rsidRPr="00572E26" w:rsidRDefault="00BD0315" w:rsidP="00572E26">
      <w:pPr>
        <w:spacing w:line="360" w:lineRule="auto"/>
        <w:rPr>
          <w:rFonts w:ascii="Book Antiqua" w:hAnsi="Book Antiqua"/>
          <w:sz w:val="24"/>
          <w:szCs w:val="24"/>
        </w:rPr>
      </w:pPr>
    </w:p>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Figure 5 The Kaplan-Meier estimator demonstrates the overall (A) and disease-free survival (B) rates for the 13 patients with tumors of the angle of Treitz.</w:t>
      </w:r>
    </w:p>
    <w:p w:rsidR="00BD0315" w:rsidRPr="00572E26" w:rsidRDefault="00BD0315" w:rsidP="00572E26">
      <w:pPr>
        <w:spacing w:line="360" w:lineRule="auto"/>
        <w:rPr>
          <w:rFonts w:ascii="Book Antiqua" w:hAnsi="Book Antiqua"/>
          <w:sz w:val="24"/>
          <w:szCs w:val="24"/>
        </w:rPr>
      </w:pPr>
    </w:p>
    <w:p w:rsidR="00BD0315" w:rsidRDefault="00BD0315" w:rsidP="00572E26">
      <w:pPr>
        <w:spacing w:line="360" w:lineRule="auto"/>
        <w:rPr>
          <w:rFonts w:ascii="Book Antiqua" w:hAnsi="Book Antiqua"/>
          <w:b/>
          <w:sz w:val="24"/>
          <w:szCs w:val="24"/>
        </w:rPr>
        <w:sectPr w:rsidR="00BD0315" w:rsidSect="00E46936">
          <w:pgSz w:w="11906" w:h="16838"/>
          <w:pgMar w:top="1440" w:right="1800" w:bottom="1440" w:left="1800" w:header="851" w:footer="992" w:gutter="0"/>
          <w:cols w:space="425"/>
          <w:docGrid w:type="lines" w:linePitch="312"/>
        </w:sectPr>
      </w:pPr>
    </w:p>
    <w:p w:rsidR="00BD0315" w:rsidRPr="00E35221" w:rsidRDefault="00BD0315" w:rsidP="00572E26">
      <w:pPr>
        <w:spacing w:line="360" w:lineRule="auto"/>
        <w:rPr>
          <w:rFonts w:ascii="Book Antiqua" w:hAnsi="Book Antiqua"/>
          <w:sz w:val="24"/>
          <w:szCs w:val="24"/>
        </w:rPr>
      </w:pPr>
      <w:r w:rsidRPr="00E35221">
        <w:rPr>
          <w:rFonts w:ascii="Book Antiqua" w:hAnsi="Book Antiqua"/>
          <w:b/>
          <w:sz w:val="24"/>
          <w:szCs w:val="24"/>
        </w:rPr>
        <w:lastRenderedPageBreak/>
        <w:t>Table 1 Clinical and pathologic characteristics of patients with tumors of the angle of treitz</w:t>
      </w:r>
    </w:p>
    <w:tbl>
      <w:tblPr>
        <w:tblW w:w="0" w:type="auto"/>
        <w:tblInd w:w="-1168" w:type="dxa"/>
        <w:tblLayout w:type="fixed"/>
        <w:tblLook w:val="00A0" w:firstRow="1" w:lastRow="0" w:firstColumn="1" w:lastColumn="0" w:noHBand="0" w:noVBand="0"/>
      </w:tblPr>
      <w:tblGrid>
        <w:gridCol w:w="850"/>
        <w:gridCol w:w="1135"/>
        <w:gridCol w:w="1134"/>
        <w:gridCol w:w="1134"/>
        <w:gridCol w:w="1276"/>
        <w:gridCol w:w="1559"/>
        <w:gridCol w:w="1843"/>
        <w:gridCol w:w="1843"/>
        <w:gridCol w:w="1275"/>
        <w:gridCol w:w="1843"/>
        <w:gridCol w:w="1134"/>
      </w:tblGrid>
      <w:tr w:rsidR="00BD0315" w:rsidRPr="00E35221" w:rsidTr="00E35221">
        <w:tc>
          <w:tcPr>
            <w:tcW w:w="850"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Patients</w:t>
            </w:r>
          </w:p>
        </w:tc>
        <w:tc>
          <w:tcPr>
            <w:tcW w:w="1135" w:type="dxa"/>
            <w:tcBorders>
              <w:top w:val="single" w:sz="4" w:space="0" w:color="auto"/>
              <w:bottom w:val="single" w:sz="4" w:space="0" w:color="auto"/>
            </w:tcBorders>
          </w:tcPr>
          <w:p w:rsidR="00BD0315" w:rsidRPr="00E35221" w:rsidRDefault="00BD0315" w:rsidP="00E35221">
            <w:pPr>
              <w:spacing w:line="360" w:lineRule="auto"/>
              <w:rPr>
                <w:rFonts w:ascii="Book Antiqua" w:hAnsi="Book Antiqua"/>
                <w:b/>
                <w:sz w:val="24"/>
                <w:szCs w:val="24"/>
              </w:rPr>
            </w:pPr>
            <w:r w:rsidRPr="00E35221">
              <w:rPr>
                <w:rFonts w:ascii="Book Antiqua" w:hAnsi="Book Antiqua"/>
                <w:b/>
                <w:sz w:val="24"/>
                <w:szCs w:val="24"/>
              </w:rPr>
              <w:t>Age (yr)</w:t>
            </w:r>
          </w:p>
        </w:tc>
        <w:tc>
          <w:tcPr>
            <w:tcW w:w="1134"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Gender</w:t>
            </w:r>
          </w:p>
        </w:tc>
        <w:tc>
          <w:tcPr>
            <w:tcW w:w="1134"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Size (cm)</w:t>
            </w:r>
          </w:p>
        </w:tc>
        <w:tc>
          <w:tcPr>
            <w:tcW w:w="1276"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Presentation</w:t>
            </w:r>
          </w:p>
        </w:tc>
        <w:tc>
          <w:tcPr>
            <w:tcW w:w="1559"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Pathology</w:t>
            </w:r>
          </w:p>
        </w:tc>
        <w:tc>
          <w:tcPr>
            <w:tcW w:w="1843"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Surgical procedure</w:t>
            </w:r>
          </w:p>
        </w:tc>
        <w:tc>
          <w:tcPr>
            <w:tcW w:w="1843"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Lymph node</w:t>
            </w:r>
          </w:p>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positive/total</w:t>
            </w:r>
          </w:p>
        </w:tc>
        <w:tc>
          <w:tcPr>
            <w:tcW w:w="1275"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Adjuvant therapy</w:t>
            </w:r>
          </w:p>
        </w:tc>
        <w:tc>
          <w:tcPr>
            <w:tcW w:w="1843" w:type="dxa"/>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Site of progress</w:t>
            </w:r>
          </w:p>
        </w:tc>
        <w:tc>
          <w:tcPr>
            <w:tcW w:w="1134" w:type="dxa"/>
            <w:tcBorders>
              <w:top w:val="single" w:sz="4" w:space="0" w:color="auto"/>
              <w:bottom w:val="single" w:sz="4" w:space="0" w:color="auto"/>
            </w:tcBorders>
          </w:tcPr>
          <w:p w:rsidR="00BD0315" w:rsidRPr="00E35221" w:rsidRDefault="00BD0315" w:rsidP="00572E26">
            <w:pPr>
              <w:tabs>
                <w:tab w:val="left" w:pos="4428"/>
              </w:tabs>
              <w:spacing w:line="360" w:lineRule="auto"/>
              <w:rPr>
                <w:rFonts w:ascii="Book Antiqua" w:hAnsi="Book Antiqua"/>
                <w:b/>
                <w:sz w:val="24"/>
                <w:szCs w:val="24"/>
              </w:rPr>
            </w:pPr>
            <w:r w:rsidRPr="00E35221">
              <w:rPr>
                <w:rFonts w:ascii="Book Antiqua" w:hAnsi="Book Antiqua"/>
                <w:b/>
                <w:sz w:val="24"/>
                <w:szCs w:val="24"/>
              </w:rPr>
              <w:t>Death reason</w:t>
            </w:r>
          </w:p>
        </w:tc>
      </w:tr>
      <w:tr w:rsidR="00BD0315" w:rsidRPr="00572E26" w:rsidTr="00E35221">
        <w:tc>
          <w:tcPr>
            <w:tcW w:w="850" w:type="dxa"/>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1</w:t>
            </w:r>
          </w:p>
        </w:tc>
        <w:tc>
          <w:tcPr>
            <w:tcW w:w="1135" w:type="dxa"/>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41</w:t>
            </w:r>
          </w:p>
        </w:tc>
        <w:tc>
          <w:tcPr>
            <w:tcW w:w="1134" w:type="dxa"/>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Male</w:t>
            </w:r>
          </w:p>
        </w:tc>
        <w:tc>
          <w:tcPr>
            <w:tcW w:w="1134" w:type="dxa"/>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15</w:t>
            </w:r>
          </w:p>
        </w:tc>
        <w:tc>
          <w:tcPr>
            <w:tcW w:w="1276" w:type="dxa"/>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health examination</w:t>
            </w:r>
          </w:p>
        </w:tc>
        <w:tc>
          <w:tcPr>
            <w:tcW w:w="1559" w:type="dxa"/>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0/0</w:t>
            </w:r>
          </w:p>
        </w:tc>
        <w:tc>
          <w:tcPr>
            <w:tcW w:w="1275" w:type="dxa"/>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Gleevec 3 years</w:t>
            </w:r>
          </w:p>
        </w:tc>
        <w:tc>
          <w:tcPr>
            <w:tcW w:w="1843" w:type="dxa"/>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p>
        </w:tc>
        <w:tc>
          <w:tcPr>
            <w:tcW w:w="1134" w:type="dxa"/>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2</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74</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4</w:t>
            </w:r>
          </w:p>
        </w:tc>
        <w:tc>
          <w:tcPr>
            <w:tcW w:w="1276" w:type="dxa"/>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health examination</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0/0</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3</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59</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5</w:t>
            </w:r>
          </w:p>
        </w:tc>
        <w:tc>
          <w:tcPr>
            <w:tcW w:w="1276" w:type="dxa"/>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health examination</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0/11</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4</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36</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5</w:t>
            </w:r>
          </w:p>
        </w:tc>
        <w:tc>
          <w:tcPr>
            <w:tcW w:w="1276" w:type="dxa"/>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health examination</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0/0</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5</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66</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Female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7.5</w:t>
            </w:r>
          </w:p>
        </w:tc>
        <w:tc>
          <w:tcPr>
            <w:tcW w:w="1276"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pain</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0/0</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obstruction</w:t>
            </w: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lastRenderedPageBreak/>
              <w:t>6</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51</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Female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6.7</w:t>
            </w:r>
          </w:p>
        </w:tc>
        <w:tc>
          <w:tcPr>
            <w:tcW w:w="1276"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health examination</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0/0</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Gleevec 1 year</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7</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61</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13</w:t>
            </w:r>
          </w:p>
        </w:tc>
        <w:tc>
          <w:tcPr>
            <w:tcW w:w="1276"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health examination</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0/0</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liver</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liver metastasis</w:t>
            </w: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8</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36</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4.5</w:t>
            </w:r>
          </w:p>
        </w:tc>
        <w:tc>
          <w:tcPr>
            <w:tcW w:w="1276"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bleeding</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0/2</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9</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58</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Female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3.2</w:t>
            </w:r>
          </w:p>
        </w:tc>
        <w:tc>
          <w:tcPr>
            <w:tcW w:w="1276"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pain</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0/0</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10</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40</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14</w:t>
            </w:r>
          </w:p>
        </w:tc>
        <w:tc>
          <w:tcPr>
            <w:tcW w:w="1276"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pain</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multi-visceral</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0/7</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Gleevec 3 years</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11</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60</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8.5</w:t>
            </w:r>
          </w:p>
        </w:tc>
        <w:tc>
          <w:tcPr>
            <w:tcW w:w="1276"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bleeding, pain, anemia</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GIST</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0/1</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12</w:t>
            </w:r>
          </w:p>
        </w:tc>
        <w:tc>
          <w:tcPr>
            <w:tcW w:w="1135"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62</w:t>
            </w:r>
          </w:p>
        </w:tc>
        <w:tc>
          <w:tcPr>
            <w:tcW w:w="1134"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Female</w:t>
            </w:r>
          </w:p>
        </w:tc>
        <w:tc>
          <w:tcPr>
            <w:tcW w:w="1134"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3.3</w:t>
            </w:r>
          </w:p>
        </w:tc>
        <w:tc>
          <w:tcPr>
            <w:tcW w:w="1276"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pain, vomiting</w:t>
            </w:r>
          </w:p>
        </w:tc>
        <w:tc>
          <w:tcPr>
            <w:tcW w:w="1559"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cancer</w:t>
            </w:r>
          </w:p>
        </w:tc>
        <w:tc>
          <w:tcPr>
            <w:tcW w:w="1843" w:type="dxa"/>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0/9</w:t>
            </w:r>
          </w:p>
        </w:tc>
        <w:tc>
          <w:tcPr>
            <w:tcW w:w="1275" w:type="dxa"/>
            <w:vAlign w:val="center"/>
          </w:tcPr>
          <w:p w:rsidR="00BD0315" w:rsidRPr="00572E26" w:rsidRDefault="00BD0315" w:rsidP="00572E26">
            <w:pPr>
              <w:spacing w:line="360" w:lineRule="auto"/>
              <w:rPr>
                <w:rFonts w:ascii="Book Antiqua" w:hAnsi="Book Antiqua"/>
                <w:color w:val="000000"/>
                <w:sz w:val="24"/>
                <w:szCs w:val="24"/>
              </w:rPr>
            </w:pPr>
          </w:p>
        </w:tc>
        <w:tc>
          <w:tcPr>
            <w:tcW w:w="1843" w:type="dxa"/>
            <w:vAlign w:val="center"/>
          </w:tcPr>
          <w:p w:rsidR="00BD0315" w:rsidRPr="00572E26" w:rsidRDefault="00BD0315" w:rsidP="00572E26">
            <w:pPr>
              <w:spacing w:line="360" w:lineRule="auto"/>
              <w:rPr>
                <w:rFonts w:ascii="Book Antiqua" w:hAnsi="Book Antiqua"/>
                <w:color w:val="000000"/>
                <w:sz w:val="24"/>
                <w:szCs w:val="24"/>
              </w:rPr>
            </w:pPr>
          </w:p>
        </w:tc>
        <w:tc>
          <w:tcPr>
            <w:tcW w:w="1134" w:type="dxa"/>
            <w:vAlign w:val="center"/>
          </w:tcPr>
          <w:p w:rsidR="00BD0315" w:rsidRPr="00572E26" w:rsidRDefault="00BD0315" w:rsidP="00572E26">
            <w:pPr>
              <w:spacing w:line="360" w:lineRule="auto"/>
              <w:rPr>
                <w:rFonts w:ascii="Book Antiqua" w:hAnsi="Book Antiqua"/>
                <w:color w:val="000000"/>
                <w:sz w:val="24"/>
                <w:szCs w:val="24"/>
              </w:rPr>
            </w:pPr>
          </w:p>
        </w:tc>
      </w:tr>
      <w:tr w:rsidR="00BD0315" w:rsidRPr="00572E26" w:rsidTr="00E35221">
        <w:tc>
          <w:tcPr>
            <w:tcW w:w="850" w:type="dxa"/>
            <w:tcBorders>
              <w:bottom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lastRenderedPageBreak/>
              <w:t>13</w:t>
            </w:r>
          </w:p>
        </w:tc>
        <w:tc>
          <w:tcPr>
            <w:tcW w:w="1135" w:type="dxa"/>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46</w:t>
            </w:r>
          </w:p>
        </w:tc>
        <w:tc>
          <w:tcPr>
            <w:tcW w:w="1134" w:type="dxa"/>
            <w:tcBorders>
              <w:bottom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Female</w:t>
            </w:r>
          </w:p>
        </w:tc>
        <w:tc>
          <w:tcPr>
            <w:tcW w:w="1134" w:type="dxa"/>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15</w:t>
            </w:r>
          </w:p>
        </w:tc>
        <w:tc>
          <w:tcPr>
            <w:tcW w:w="1276" w:type="dxa"/>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vomiting, pain, anemia</w:t>
            </w:r>
          </w:p>
        </w:tc>
        <w:tc>
          <w:tcPr>
            <w:tcW w:w="1559" w:type="dxa"/>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cancer</w:t>
            </w:r>
          </w:p>
        </w:tc>
        <w:tc>
          <w:tcPr>
            <w:tcW w:w="1843" w:type="dxa"/>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segmentectomy</w:t>
            </w:r>
          </w:p>
        </w:tc>
        <w:tc>
          <w:tcPr>
            <w:tcW w:w="1843" w:type="dxa"/>
            <w:tcBorders>
              <w:bottom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2/7</w:t>
            </w:r>
          </w:p>
        </w:tc>
        <w:tc>
          <w:tcPr>
            <w:tcW w:w="1275" w:type="dxa"/>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radiotherapy</w:t>
            </w:r>
          </w:p>
        </w:tc>
        <w:tc>
          <w:tcPr>
            <w:tcW w:w="1843" w:type="dxa"/>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local</w:t>
            </w:r>
          </w:p>
        </w:tc>
        <w:tc>
          <w:tcPr>
            <w:tcW w:w="1134" w:type="dxa"/>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tumor progression</w:t>
            </w:r>
          </w:p>
        </w:tc>
      </w:tr>
    </w:tbl>
    <w:p w:rsidR="00BD0315" w:rsidRDefault="00BD0315" w:rsidP="00572E26">
      <w:pPr>
        <w:spacing w:line="360" w:lineRule="auto"/>
        <w:rPr>
          <w:rFonts w:ascii="Book Antiqua" w:hAnsi="Book Antiqua"/>
          <w:sz w:val="24"/>
          <w:szCs w:val="24"/>
        </w:rPr>
      </w:pPr>
      <w:r w:rsidRPr="00E35221">
        <w:rPr>
          <w:rFonts w:ascii="Book Antiqua" w:hAnsi="Book Antiqua"/>
          <w:color w:val="000000"/>
          <w:sz w:val="24"/>
          <w:szCs w:val="24"/>
        </w:rPr>
        <w:t>GIST</w:t>
      </w:r>
      <w:r w:rsidRPr="00E35221">
        <w:rPr>
          <w:rFonts w:ascii="Book Antiqua" w:hAnsi="Book Antiqua"/>
          <w:sz w:val="24"/>
          <w:szCs w:val="24"/>
        </w:rPr>
        <w:t>: Gastrointestinal stromal tumors.</w:t>
      </w:r>
    </w:p>
    <w:p w:rsidR="00BD0315" w:rsidRDefault="00BD0315" w:rsidP="00572E26">
      <w:pPr>
        <w:spacing w:line="360" w:lineRule="auto"/>
        <w:rPr>
          <w:rFonts w:ascii="Book Antiqua" w:hAnsi="Book Antiqua"/>
          <w:sz w:val="24"/>
          <w:szCs w:val="24"/>
        </w:rPr>
      </w:pPr>
    </w:p>
    <w:p w:rsidR="00BD0315" w:rsidRPr="00E35221" w:rsidRDefault="00BD0315" w:rsidP="00572E26">
      <w:pPr>
        <w:spacing w:line="360" w:lineRule="auto"/>
        <w:rPr>
          <w:rFonts w:ascii="Book Antiqua" w:hAnsi="Book Antiqua"/>
          <w:sz w:val="24"/>
          <w:szCs w:val="24"/>
        </w:rPr>
      </w:pPr>
    </w:p>
    <w:p w:rsidR="00BD0315" w:rsidRDefault="00BD0315">
      <w:pPr>
        <w:widowControl/>
        <w:jc w:val="left"/>
        <w:rPr>
          <w:rFonts w:ascii="Book Antiqua" w:hAnsi="Book Antiqua"/>
          <w:b/>
          <w:sz w:val="24"/>
          <w:szCs w:val="24"/>
        </w:rPr>
      </w:pPr>
      <w:r>
        <w:rPr>
          <w:rFonts w:ascii="Book Antiqua" w:hAnsi="Book Antiqua"/>
          <w:b/>
          <w:sz w:val="24"/>
          <w:szCs w:val="24"/>
        </w:rPr>
        <w:br w:type="page"/>
      </w:r>
    </w:p>
    <w:p w:rsidR="00BD0315" w:rsidRDefault="00BD0315" w:rsidP="00572E26">
      <w:pPr>
        <w:spacing w:line="360" w:lineRule="auto"/>
        <w:rPr>
          <w:rFonts w:ascii="Book Antiqua" w:hAnsi="Book Antiqua"/>
          <w:b/>
          <w:sz w:val="24"/>
          <w:szCs w:val="24"/>
        </w:rPr>
      </w:pPr>
      <w:r w:rsidRPr="00E35221">
        <w:rPr>
          <w:rFonts w:ascii="Book Antiqua" w:hAnsi="Book Antiqua"/>
          <w:b/>
          <w:sz w:val="24"/>
          <w:szCs w:val="24"/>
        </w:rPr>
        <w:t>Table 2 Immunohistochemical examination and clinical data of 11 gastrointestinal stromal tumors</w:t>
      </w:r>
    </w:p>
    <w:p w:rsidR="00BD0315" w:rsidRPr="00572E26" w:rsidRDefault="00BD0315" w:rsidP="00572E26">
      <w:pPr>
        <w:spacing w:line="360" w:lineRule="auto"/>
        <w:rPr>
          <w:rFonts w:ascii="Book Antiqua" w:hAnsi="Book Antiqua"/>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989"/>
        <w:gridCol w:w="950"/>
        <w:gridCol w:w="830"/>
        <w:gridCol w:w="1083"/>
        <w:gridCol w:w="790"/>
        <w:gridCol w:w="803"/>
        <w:gridCol w:w="743"/>
        <w:gridCol w:w="2700"/>
        <w:gridCol w:w="3165"/>
        <w:gridCol w:w="1789"/>
      </w:tblGrid>
      <w:tr w:rsidR="00BD0315" w:rsidRPr="00572E26" w:rsidTr="00F9552F">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Patient</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CD117</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CD34</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Desmin</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SMA</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S-100</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Ki67</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Mitotic count (/50HPF)</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Other malignancy</w:t>
            </w:r>
          </w:p>
        </w:tc>
        <w:tc>
          <w:tcPr>
            <w:tcW w:w="0" w:type="auto"/>
            <w:tcBorders>
              <w:top w:val="single" w:sz="4" w:space="0" w:color="auto"/>
              <w:bottom w:val="single" w:sz="4" w:space="0" w:color="auto"/>
            </w:tcBorders>
          </w:tcPr>
          <w:p w:rsidR="00BD0315" w:rsidRPr="00E35221" w:rsidRDefault="00BD0315" w:rsidP="00572E26">
            <w:pPr>
              <w:spacing w:line="360" w:lineRule="auto"/>
              <w:rPr>
                <w:rFonts w:ascii="Book Antiqua" w:hAnsi="Book Antiqua"/>
                <w:b/>
                <w:sz w:val="24"/>
                <w:szCs w:val="24"/>
              </w:rPr>
            </w:pPr>
            <w:r w:rsidRPr="00E35221">
              <w:rPr>
                <w:rFonts w:ascii="Book Antiqua" w:hAnsi="Book Antiqua"/>
                <w:b/>
                <w:sz w:val="24"/>
                <w:szCs w:val="24"/>
              </w:rPr>
              <w:t>NIH risk scale</w:t>
            </w:r>
          </w:p>
        </w:tc>
      </w:tr>
      <w:tr w:rsidR="00BD0315" w:rsidRPr="00572E26" w:rsidTr="00F9552F">
        <w:tc>
          <w:tcPr>
            <w:tcW w:w="0" w:type="auto"/>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1</w:t>
            </w:r>
          </w:p>
        </w:tc>
        <w:tc>
          <w:tcPr>
            <w:tcW w:w="0" w:type="auto"/>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Borders>
              <w:top w:val="single" w:sz="4" w:space="0" w:color="auto"/>
            </w:tcBorders>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2%+</w:t>
            </w:r>
          </w:p>
        </w:tc>
        <w:tc>
          <w:tcPr>
            <w:tcW w:w="0" w:type="auto"/>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3</w:t>
            </w:r>
          </w:p>
        </w:tc>
        <w:tc>
          <w:tcPr>
            <w:tcW w:w="0" w:type="auto"/>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no</w:t>
            </w:r>
          </w:p>
        </w:tc>
        <w:tc>
          <w:tcPr>
            <w:tcW w:w="0" w:type="auto"/>
            <w:tcBorders>
              <w:top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High</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2</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&lt;</w:t>
            </w:r>
            <w:r>
              <w:rPr>
                <w:rFonts w:ascii="Book Antiqua" w:hAnsi="Book Antiqua"/>
                <w:sz w:val="24"/>
                <w:szCs w:val="24"/>
              </w:rPr>
              <w:t xml:space="preserve"> </w:t>
            </w:r>
            <w:r w:rsidRPr="00572E26">
              <w:rPr>
                <w:rFonts w:ascii="Book Antiqua" w:hAnsi="Book Antiqua"/>
                <w:sz w:val="24"/>
                <w:szCs w:val="24"/>
              </w:rPr>
              <w:t>5%</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&lt;</w:t>
            </w:r>
            <w:r>
              <w:rPr>
                <w:rFonts w:ascii="Book Antiqua" w:hAnsi="Book Antiqua"/>
                <w:color w:val="000000"/>
                <w:sz w:val="24"/>
                <w:szCs w:val="24"/>
              </w:rPr>
              <w:t xml:space="preserve"> </w:t>
            </w:r>
            <w:r w:rsidRPr="00572E26">
              <w:rPr>
                <w:rFonts w:ascii="Book Antiqua" w:hAnsi="Book Antiqua"/>
                <w:color w:val="000000"/>
                <w:sz w:val="24"/>
                <w:szCs w:val="24"/>
              </w:rPr>
              <w:t>2</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no</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Low</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3</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2%</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&lt;</w:t>
            </w:r>
            <w:r>
              <w:rPr>
                <w:rFonts w:ascii="Book Antiqua" w:hAnsi="Book Antiqua"/>
                <w:color w:val="000000"/>
                <w:sz w:val="24"/>
                <w:szCs w:val="24"/>
              </w:rPr>
              <w:t xml:space="preserve"> </w:t>
            </w:r>
            <w:r w:rsidRPr="00572E26">
              <w:rPr>
                <w:rFonts w:ascii="Book Antiqua" w:hAnsi="Book Antiqua"/>
                <w:color w:val="000000"/>
                <w:sz w:val="24"/>
                <w:szCs w:val="24"/>
              </w:rPr>
              <w:t>5</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no</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Low</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4</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2%+</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no</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Low</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5</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&lt;</w:t>
            </w:r>
            <w:r>
              <w:rPr>
                <w:rFonts w:ascii="Book Antiqua" w:hAnsi="Book Antiqua"/>
                <w:sz w:val="24"/>
                <w:szCs w:val="24"/>
              </w:rPr>
              <w:t xml:space="preserve"> </w:t>
            </w:r>
            <w:r w:rsidRPr="00572E26">
              <w:rPr>
                <w:rFonts w:ascii="Book Antiqua" w:hAnsi="Book Antiqua"/>
                <w:sz w:val="24"/>
                <w:szCs w:val="24"/>
              </w:rPr>
              <w:t>2%</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no</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Medium</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6</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&lt;</w:t>
            </w:r>
            <w:r>
              <w:rPr>
                <w:rFonts w:ascii="Book Antiqua" w:hAnsi="Book Antiqua"/>
                <w:sz w:val="24"/>
                <w:szCs w:val="24"/>
              </w:rPr>
              <w:t xml:space="preserve"> </w:t>
            </w:r>
            <w:r w:rsidRPr="00572E26">
              <w:rPr>
                <w:rFonts w:ascii="Book Antiqua" w:hAnsi="Book Antiqua"/>
                <w:sz w:val="24"/>
                <w:szCs w:val="24"/>
              </w:rPr>
              <w:t>2%</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3</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no</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Medium</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7</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5%</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colon cancer</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High</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8</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&lt;</w:t>
            </w:r>
            <w:r>
              <w:rPr>
                <w:rFonts w:ascii="Book Antiqua" w:hAnsi="Book Antiqua"/>
                <w:sz w:val="24"/>
                <w:szCs w:val="24"/>
              </w:rPr>
              <w:t xml:space="preserve"> </w:t>
            </w:r>
            <w:r w:rsidRPr="00572E26">
              <w:rPr>
                <w:rFonts w:ascii="Book Antiqua" w:hAnsi="Book Antiqua"/>
                <w:sz w:val="24"/>
                <w:szCs w:val="24"/>
              </w:rPr>
              <w:t>5%</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no</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low</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9</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&lt;</w:t>
            </w:r>
            <w:r>
              <w:rPr>
                <w:rFonts w:ascii="Book Antiqua" w:hAnsi="Book Antiqua"/>
                <w:sz w:val="24"/>
                <w:szCs w:val="24"/>
              </w:rPr>
              <w:t xml:space="preserve"> </w:t>
            </w:r>
            <w:r w:rsidRPr="00572E26">
              <w:rPr>
                <w:rFonts w:ascii="Book Antiqua" w:hAnsi="Book Antiqua"/>
                <w:sz w:val="24"/>
                <w:szCs w:val="24"/>
              </w:rPr>
              <w:t>2%</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gastric cancer</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low</w:t>
            </w:r>
          </w:p>
        </w:tc>
      </w:tr>
      <w:tr w:rsidR="00BD0315" w:rsidRPr="00572E26" w:rsidTr="00F9552F">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10</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w:t>
            </w:r>
          </w:p>
        </w:tc>
        <w:tc>
          <w:tcPr>
            <w:tcW w:w="0" w:type="auto"/>
          </w:tcPr>
          <w:p w:rsidR="00BD0315" w:rsidRPr="00572E26" w:rsidRDefault="00BD0315" w:rsidP="00572E26">
            <w:pPr>
              <w:spacing w:line="360" w:lineRule="auto"/>
              <w:rPr>
                <w:rFonts w:ascii="Book Antiqua" w:hAnsi="Book Antiqua"/>
                <w:sz w:val="24"/>
                <w:szCs w:val="24"/>
              </w:rPr>
            </w:pPr>
            <w:r w:rsidRPr="00572E26">
              <w:rPr>
                <w:rFonts w:ascii="Book Antiqua" w:hAnsi="Book Antiqua"/>
                <w:sz w:val="24"/>
                <w:szCs w:val="24"/>
              </w:rPr>
              <w:t>15%</w:t>
            </w:r>
          </w:p>
        </w:tc>
        <w:tc>
          <w:tcPr>
            <w:tcW w:w="0" w:type="auto"/>
            <w:vAlign w:val="center"/>
          </w:tcPr>
          <w:p w:rsidR="00BD0315" w:rsidRPr="00E35221" w:rsidRDefault="00BD0315" w:rsidP="00E35221">
            <w:pPr>
              <w:pStyle w:val="a5"/>
              <w:numPr>
                <w:ilvl w:val="0"/>
                <w:numId w:val="2"/>
              </w:numPr>
              <w:spacing w:line="360" w:lineRule="auto"/>
              <w:ind w:firstLineChars="0"/>
              <w:rPr>
                <w:rFonts w:ascii="Book Antiqua" w:hAnsi="Book Antiqua"/>
                <w:color w:val="000000"/>
                <w:sz w:val="24"/>
                <w:szCs w:val="24"/>
              </w:rPr>
            </w:pPr>
            <w:r w:rsidRPr="00E35221">
              <w:rPr>
                <w:rFonts w:ascii="Book Antiqua" w:hAnsi="Book Antiqua"/>
                <w:color w:val="000000"/>
                <w:sz w:val="24"/>
                <w:szCs w:val="24"/>
              </w:rPr>
              <w:t>10</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no</w:t>
            </w:r>
          </w:p>
        </w:tc>
        <w:tc>
          <w:tcPr>
            <w:tcW w:w="0" w:type="auto"/>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high</w:t>
            </w:r>
          </w:p>
        </w:tc>
      </w:tr>
      <w:tr w:rsidR="00BD0315" w:rsidRPr="00572E26" w:rsidTr="00F9552F">
        <w:tc>
          <w:tcPr>
            <w:tcW w:w="0" w:type="auto"/>
            <w:tcBorders>
              <w:bottom w:val="single" w:sz="4" w:space="0" w:color="auto"/>
            </w:tcBorders>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11</w:t>
            </w:r>
          </w:p>
        </w:tc>
        <w:tc>
          <w:tcPr>
            <w:tcW w:w="0" w:type="auto"/>
            <w:tcBorders>
              <w:bottom w:val="single" w:sz="4" w:space="0" w:color="auto"/>
            </w:tcBorders>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w:t>
            </w:r>
          </w:p>
        </w:tc>
        <w:tc>
          <w:tcPr>
            <w:tcW w:w="0" w:type="auto"/>
            <w:tcBorders>
              <w:bottom w:val="single" w:sz="4" w:space="0" w:color="auto"/>
            </w:tcBorders>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w:t>
            </w:r>
          </w:p>
        </w:tc>
        <w:tc>
          <w:tcPr>
            <w:tcW w:w="0" w:type="auto"/>
            <w:tcBorders>
              <w:bottom w:val="single" w:sz="4" w:space="0" w:color="auto"/>
            </w:tcBorders>
          </w:tcPr>
          <w:p w:rsidR="00BD0315" w:rsidRPr="00572E26" w:rsidRDefault="00BD0315" w:rsidP="00572E26">
            <w:pPr>
              <w:spacing w:line="360" w:lineRule="auto"/>
              <w:rPr>
                <w:rFonts w:ascii="Book Antiqua" w:hAnsi="Book Antiqua"/>
                <w:color w:val="000000"/>
                <w:sz w:val="24"/>
                <w:szCs w:val="24"/>
              </w:rPr>
            </w:pPr>
          </w:p>
        </w:tc>
        <w:tc>
          <w:tcPr>
            <w:tcW w:w="0" w:type="auto"/>
            <w:tcBorders>
              <w:bottom w:val="single" w:sz="4" w:space="0" w:color="auto"/>
            </w:tcBorders>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w:t>
            </w:r>
          </w:p>
        </w:tc>
        <w:tc>
          <w:tcPr>
            <w:tcW w:w="0" w:type="auto"/>
            <w:tcBorders>
              <w:bottom w:val="single" w:sz="4" w:space="0" w:color="auto"/>
            </w:tcBorders>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w:t>
            </w:r>
          </w:p>
        </w:tc>
        <w:tc>
          <w:tcPr>
            <w:tcW w:w="0" w:type="auto"/>
            <w:tcBorders>
              <w:bottom w:val="single" w:sz="4" w:space="0" w:color="auto"/>
            </w:tcBorders>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5%</w:t>
            </w:r>
          </w:p>
        </w:tc>
        <w:tc>
          <w:tcPr>
            <w:tcW w:w="0" w:type="auto"/>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2</w:t>
            </w:r>
          </w:p>
        </w:tc>
        <w:tc>
          <w:tcPr>
            <w:tcW w:w="0" w:type="auto"/>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intestinal GIST 16 years ago</w:t>
            </w:r>
          </w:p>
        </w:tc>
        <w:tc>
          <w:tcPr>
            <w:tcW w:w="0" w:type="auto"/>
            <w:tcBorders>
              <w:bottom w:val="single" w:sz="4" w:space="0" w:color="auto"/>
            </w:tcBorders>
            <w:vAlign w:val="center"/>
          </w:tcPr>
          <w:p w:rsidR="00BD0315" w:rsidRPr="00572E26" w:rsidRDefault="00BD0315" w:rsidP="00572E26">
            <w:pPr>
              <w:spacing w:line="360" w:lineRule="auto"/>
              <w:rPr>
                <w:rFonts w:ascii="Book Antiqua" w:hAnsi="Book Antiqua"/>
                <w:color w:val="000000"/>
                <w:sz w:val="24"/>
                <w:szCs w:val="24"/>
              </w:rPr>
            </w:pPr>
            <w:r w:rsidRPr="00572E26">
              <w:rPr>
                <w:rFonts w:ascii="Book Antiqua" w:hAnsi="Book Antiqua"/>
                <w:color w:val="000000"/>
                <w:sz w:val="24"/>
                <w:szCs w:val="24"/>
              </w:rPr>
              <w:t>Medium</w:t>
            </w:r>
          </w:p>
        </w:tc>
      </w:tr>
    </w:tbl>
    <w:p w:rsidR="00BD0315" w:rsidRPr="00572E26" w:rsidRDefault="00BD0315" w:rsidP="00572E26">
      <w:pPr>
        <w:spacing w:line="360" w:lineRule="auto"/>
        <w:rPr>
          <w:rFonts w:ascii="Book Antiqua" w:hAnsi="Book Antiqua"/>
          <w:sz w:val="24"/>
          <w:szCs w:val="24"/>
        </w:rPr>
      </w:pPr>
    </w:p>
    <w:sectPr w:rsidR="00BD0315" w:rsidRPr="00572E26" w:rsidSect="00E352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95" w:rsidRDefault="009F7A95" w:rsidP="00E568FE">
      <w:r>
        <w:separator/>
      </w:r>
    </w:p>
  </w:endnote>
  <w:endnote w:type="continuationSeparator" w:id="0">
    <w:p w:rsidR="009F7A95" w:rsidRDefault="009F7A95" w:rsidP="00E5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95" w:rsidRDefault="009F7A95" w:rsidP="00E568FE">
      <w:r>
        <w:separator/>
      </w:r>
    </w:p>
  </w:footnote>
  <w:footnote w:type="continuationSeparator" w:id="0">
    <w:p w:rsidR="009F7A95" w:rsidRDefault="009F7A95" w:rsidP="00E56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976"/>
    <w:multiLevelType w:val="hybridMultilevel"/>
    <w:tmpl w:val="328CA4BC"/>
    <w:lvl w:ilvl="0" w:tplc="BA80548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84A7496"/>
    <w:multiLevelType w:val="hybridMultilevel"/>
    <w:tmpl w:val="E7B6CA04"/>
    <w:lvl w:ilvl="0" w:tplc="BF8005E8">
      <w:start w:val="2"/>
      <w:numFmt w:val="bullet"/>
      <w:lvlText w:val="&gt;"/>
      <w:lvlJc w:val="left"/>
      <w:pPr>
        <w:ind w:left="360" w:hanging="360"/>
      </w:pPr>
      <w:rPr>
        <w:rFonts w:ascii="Book Antiqua" w:eastAsia="宋体" w:hAnsi="Book Antiqu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42"/>
    <w:rsid w:val="00002E9F"/>
    <w:rsid w:val="0002129F"/>
    <w:rsid w:val="000232DC"/>
    <w:rsid w:val="00024939"/>
    <w:rsid w:val="0003622D"/>
    <w:rsid w:val="000444A0"/>
    <w:rsid w:val="00044645"/>
    <w:rsid w:val="000517B7"/>
    <w:rsid w:val="00057B6B"/>
    <w:rsid w:val="00060786"/>
    <w:rsid w:val="00067C7F"/>
    <w:rsid w:val="00077127"/>
    <w:rsid w:val="00082000"/>
    <w:rsid w:val="0008213E"/>
    <w:rsid w:val="00093246"/>
    <w:rsid w:val="000937B8"/>
    <w:rsid w:val="00093EDA"/>
    <w:rsid w:val="00097778"/>
    <w:rsid w:val="000D00D5"/>
    <w:rsid w:val="000D3A33"/>
    <w:rsid w:val="000D43E3"/>
    <w:rsid w:val="000D6BCF"/>
    <w:rsid w:val="000E7E50"/>
    <w:rsid w:val="00121021"/>
    <w:rsid w:val="00131481"/>
    <w:rsid w:val="001564A7"/>
    <w:rsid w:val="00161C30"/>
    <w:rsid w:val="00165457"/>
    <w:rsid w:val="001663FB"/>
    <w:rsid w:val="0017178E"/>
    <w:rsid w:val="001720AE"/>
    <w:rsid w:val="001803B6"/>
    <w:rsid w:val="001807FF"/>
    <w:rsid w:val="00182E12"/>
    <w:rsid w:val="00184949"/>
    <w:rsid w:val="00187704"/>
    <w:rsid w:val="001B6EDB"/>
    <w:rsid w:val="001D3F59"/>
    <w:rsid w:val="001D5DE2"/>
    <w:rsid w:val="001D6A9C"/>
    <w:rsid w:val="001E5F93"/>
    <w:rsid w:val="001F62B2"/>
    <w:rsid w:val="002011FE"/>
    <w:rsid w:val="002018F1"/>
    <w:rsid w:val="002327CA"/>
    <w:rsid w:val="002331EF"/>
    <w:rsid w:val="00235ABD"/>
    <w:rsid w:val="00245A22"/>
    <w:rsid w:val="002534F6"/>
    <w:rsid w:val="0027438D"/>
    <w:rsid w:val="002776C9"/>
    <w:rsid w:val="0028325E"/>
    <w:rsid w:val="00286D1D"/>
    <w:rsid w:val="00287212"/>
    <w:rsid w:val="002902DE"/>
    <w:rsid w:val="002A4B1F"/>
    <w:rsid w:val="002B383E"/>
    <w:rsid w:val="002B3D4F"/>
    <w:rsid w:val="002D1C90"/>
    <w:rsid w:val="002D45C7"/>
    <w:rsid w:val="002F1E80"/>
    <w:rsid w:val="002F6EB6"/>
    <w:rsid w:val="00305C32"/>
    <w:rsid w:val="003201FB"/>
    <w:rsid w:val="00337998"/>
    <w:rsid w:val="00344D72"/>
    <w:rsid w:val="00345277"/>
    <w:rsid w:val="00351CB9"/>
    <w:rsid w:val="00356C72"/>
    <w:rsid w:val="0036061F"/>
    <w:rsid w:val="0036541E"/>
    <w:rsid w:val="003827B8"/>
    <w:rsid w:val="00384BAB"/>
    <w:rsid w:val="003A0A11"/>
    <w:rsid w:val="003A25A4"/>
    <w:rsid w:val="003A36E7"/>
    <w:rsid w:val="003B4503"/>
    <w:rsid w:val="003C27BA"/>
    <w:rsid w:val="003C6661"/>
    <w:rsid w:val="003D05A2"/>
    <w:rsid w:val="003D4C42"/>
    <w:rsid w:val="003D7A6A"/>
    <w:rsid w:val="003E2056"/>
    <w:rsid w:val="003E3EA1"/>
    <w:rsid w:val="003E4EB1"/>
    <w:rsid w:val="003E68EC"/>
    <w:rsid w:val="003E6DEE"/>
    <w:rsid w:val="003F315E"/>
    <w:rsid w:val="003F69E2"/>
    <w:rsid w:val="00414DB0"/>
    <w:rsid w:val="00431861"/>
    <w:rsid w:val="004558FE"/>
    <w:rsid w:val="004706E3"/>
    <w:rsid w:val="00476FB2"/>
    <w:rsid w:val="004C0BD9"/>
    <w:rsid w:val="004C18F2"/>
    <w:rsid w:val="004F079F"/>
    <w:rsid w:val="004F4448"/>
    <w:rsid w:val="0050316B"/>
    <w:rsid w:val="00507189"/>
    <w:rsid w:val="00507581"/>
    <w:rsid w:val="00513786"/>
    <w:rsid w:val="00531179"/>
    <w:rsid w:val="00532FF9"/>
    <w:rsid w:val="00563071"/>
    <w:rsid w:val="00563EF1"/>
    <w:rsid w:val="00571E6A"/>
    <w:rsid w:val="00572E26"/>
    <w:rsid w:val="0057557E"/>
    <w:rsid w:val="00575DB0"/>
    <w:rsid w:val="00583070"/>
    <w:rsid w:val="00595271"/>
    <w:rsid w:val="005A3709"/>
    <w:rsid w:val="005A48F4"/>
    <w:rsid w:val="005A4CB3"/>
    <w:rsid w:val="005A7D22"/>
    <w:rsid w:val="005A7DA5"/>
    <w:rsid w:val="005D1480"/>
    <w:rsid w:val="005E1289"/>
    <w:rsid w:val="005F395B"/>
    <w:rsid w:val="006063E0"/>
    <w:rsid w:val="00621C1B"/>
    <w:rsid w:val="00623319"/>
    <w:rsid w:val="00626D44"/>
    <w:rsid w:val="0067071F"/>
    <w:rsid w:val="006726D4"/>
    <w:rsid w:val="00676074"/>
    <w:rsid w:val="0068239E"/>
    <w:rsid w:val="00683436"/>
    <w:rsid w:val="0068520D"/>
    <w:rsid w:val="00687623"/>
    <w:rsid w:val="006932D1"/>
    <w:rsid w:val="006936A2"/>
    <w:rsid w:val="0069636D"/>
    <w:rsid w:val="006A4ADE"/>
    <w:rsid w:val="006C259B"/>
    <w:rsid w:val="006C3F91"/>
    <w:rsid w:val="006D494C"/>
    <w:rsid w:val="006D49A9"/>
    <w:rsid w:val="006F167B"/>
    <w:rsid w:val="00700685"/>
    <w:rsid w:val="0071308E"/>
    <w:rsid w:val="0072265C"/>
    <w:rsid w:val="007409AD"/>
    <w:rsid w:val="00746950"/>
    <w:rsid w:val="007514FA"/>
    <w:rsid w:val="0076304A"/>
    <w:rsid w:val="00765444"/>
    <w:rsid w:val="0077189E"/>
    <w:rsid w:val="00773D0E"/>
    <w:rsid w:val="00774CF7"/>
    <w:rsid w:val="007830C2"/>
    <w:rsid w:val="0079101D"/>
    <w:rsid w:val="00794B56"/>
    <w:rsid w:val="00795354"/>
    <w:rsid w:val="007A361B"/>
    <w:rsid w:val="007A3A1B"/>
    <w:rsid w:val="007C548E"/>
    <w:rsid w:val="007C7592"/>
    <w:rsid w:val="007D498F"/>
    <w:rsid w:val="007D5E78"/>
    <w:rsid w:val="007D78E1"/>
    <w:rsid w:val="007D79EA"/>
    <w:rsid w:val="007E6E3B"/>
    <w:rsid w:val="0080125B"/>
    <w:rsid w:val="00801EEA"/>
    <w:rsid w:val="00803D20"/>
    <w:rsid w:val="0081522E"/>
    <w:rsid w:val="00821704"/>
    <w:rsid w:val="00846631"/>
    <w:rsid w:val="0085394C"/>
    <w:rsid w:val="008763AB"/>
    <w:rsid w:val="00877893"/>
    <w:rsid w:val="00893948"/>
    <w:rsid w:val="00894602"/>
    <w:rsid w:val="008A26D9"/>
    <w:rsid w:val="008A35A7"/>
    <w:rsid w:val="008A379A"/>
    <w:rsid w:val="008B3FD3"/>
    <w:rsid w:val="008B4483"/>
    <w:rsid w:val="008B4B86"/>
    <w:rsid w:val="008D17B1"/>
    <w:rsid w:val="009009C1"/>
    <w:rsid w:val="00906BB7"/>
    <w:rsid w:val="0091743A"/>
    <w:rsid w:val="009229F7"/>
    <w:rsid w:val="009411A0"/>
    <w:rsid w:val="00941930"/>
    <w:rsid w:val="00950E91"/>
    <w:rsid w:val="00952EA9"/>
    <w:rsid w:val="00953F48"/>
    <w:rsid w:val="00975C28"/>
    <w:rsid w:val="00980D8D"/>
    <w:rsid w:val="00985257"/>
    <w:rsid w:val="0099290D"/>
    <w:rsid w:val="00994285"/>
    <w:rsid w:val="009A0624"/>
    <w:rsid w:val="009A6030"/>
    <w:rsid w:val="009B0AFE"/>
    <w:rsid w:val="009B2808"/>
    <w:rsid w:val="009C1ACC"/>
    <w:rsid w:val="009C58AB"/>
    <w:rsid w:val="009D12BF"/>
    <w:rsid w:val="009D41BB"/>
    <w:rsid w:val="009D612B"/>
    <w:rsid w:val="009E1167"/>
    <w:rsid w:val="009E37ED"/>
    <w:rsid w:val="009F3B07"/>
    <w:rsid w:val="009F7A95"/>
    <w:rsid w:val="00A12522"/>
    <w:rsid w:val="00A2095C"/>
    <w:rsid w:val="00A32380"/>
    <w:rsid w:val="00A3406B"/>
    <w:rsid w:val="00A37FFC"/>
    <w:rsid w:val="00A40075"/>
    <w:rsid w:val="00A408A7"/>
    <w:rsid w:val="00A41F3A"/>
    <w:rsid w:val="00A463E5"/>
    <w:rsid w:val="00A546DF"/>
    <w:rsid w:val="00A577F1"/>
    <w:rsid w:val="00A664D7"/>
    <w:rsid w:val="00A7393F"/>
    <w:rsid w:val="00AA1639"/>
    <w:rsid w:val="00AB4221"/>
    <w:rsid w:val="00AD3318"/>
    <w:rsid w:val="00AD66AE"/>
    <w:rsid w:val="00AE0495"/>
    <w:rsid w:val="00AE6AD1"/>
    <w:rsid w:val="00AF7FB3"/>
    <w:rsid w:val="00B111FD"/>
    <w:rsid w:val="00B11521"/>
    <w:rsid w:val="00B15442"/>
    <w:rsid w:val="00B2170D"/>
    <w:rsid w:val="00B34BCD"/>
    <w:rsid w:val="00B40537"/>
    <w:rsid w:val="00B57B79"/>
    <w:rsid w:val="00B71A93"/>
    <w:rsid w:val="00B74FB8"/>
    <w:rsid w:val="00B806C2"/>
    <w:rsid w:val="00B806F5"/>
    <w:rsid w:val="00B85F15"/>
    <w:rsid w:val="00B8603E"/>
    <w:rsid w:val="00B921A2"/>
    <w:rsid w:val="00BA0961"/>
    <w:rsid w:val="00BB14D8"/>
    <w:rsid w:val="00BB2E62"/>
    <w:rsid w:val="00BB7B54"/>
    <w:rsid w:val="00BC36F0"/>
    <w:rsid w:val="00BC7324"/>
    <w:rsid w:val="00BD0315"/>
    <w:rsid w:val="00BD18E1"/>
    <w:rsid w:val="00BD29A9"/>
    <w:rsid w:val="00BD500B"/>
    <w:rsid w:val="00BF29E0"/>
    <w:rsid w:val="00C04919"/>
    <w:rsid w:val="00C15FBC"/>
    <w:rsid w:val="00C24318"/>
    <w:rsid w:val="00C34AB6"/>
    <w:rsid w:val="00C35E5D"/>
    <w:rsid w:val="00C40298"/>
    <w:rsid w:val="00C44AE3"/>
    <w:rsid w:val="00C47356"/>
    <w:rsid w:val="00C51A9B"/>
    <w:rsid w:val="00C532E3"/>
    <w:rsid w:val="00C56E64"/>
    <w:rsid w:val="00C606EC"/>
    <w:rsid w:val="00C61388"/>
    <w:rsid w:val="00C63F71"/>
    <w:rsid w:val="00C73C14"/>
    <w:rsid w:val="00C9466E"/>
    <w:rsid w:val="00CA05D1"/>
    <w:rsid w:val="00CA13BD"/>
    <w:rsid w:val="00CA39A2"/>
    <w:rsid w:val="00CB6F6A"/>
    <w:rsid w:val="00CC277C"/>
    <w:rsid w:val="00CC4999"/>
    <w:rsid w:val="00CC70A5"/>
    <w:rsid w:val="00CD0FAD"/>
    <w:rsid w:val="00CD5872"/>
    <w:rsid w:val="00CF5121"/>
    <w:rsid w:val="00D01BA1"/>
    <w:rsid w:val="00D025F4"/>
    <w:rsid w:val="00D03710"/>
    <w:rsid w:val="00D062E8"/>
    <w:rsid w:val="00D16EF8"/>
    <w:rsid w:val="00D22070"/>
    <w:rsid w:val="00D22799"/>
    <w:rsid w:val="00D22909"/>
    <w:rsid w:val="00D36D02"/>
    <w:rsid w:val="00D379CA"/>
    <w:rsid w:val="00D420DC"/>
    <w:rsid w:val="00D4503E"/>
    <w:rsid w:val="00D556E1"/>
    <w:rsid w:val="00D70657"/>
    <w:rsid w:val="00D754F1"/>
    <w:rsid w:val="00D8177C"/>
    <w:rsid w:val="00D81826"/>
    <w:rsid w:val="00D8585D"/>
    <w:rsid w:val="00D91DAF"/>
    <w:rsid w:val="00D97A1A"/>
    <w:rsid w:val="00DA0249"/>
    <w:rsid w:val="00DA09BB"/>
    <w:rsid w:val="00DA2BBE"/>
    <w:rsid w:val="00DB14D3"/>
    <w:rsid w:val="00DB6038"/>
    <w:rsid w:val="00DB611F"/>
    <w:rsid w:val="00DC0627"/>
    <w:rsid w:val="00DC3850"/>
    <w:rsid w:val="00DD5DB0"/>
    <w:rsid w:val="00DE0497"/>
    <w:rsid w:val="00DF075D"/>
    <w:rsid w:val="00DF183C"/>
    <w:rsid w:val="00E114A1"/>
    <w:rsid w:val="00E126FC"/>
    <w:rsid w:val="00E16851"/>
    <w:rsid w:val="00E17450"/>
    <w:rsid w:val="00E17874"/>
    <w:rsid w:val="00E305C3"/>
    <w:rsid w:val="00E35221"/>
    <w:rsid w:val="00E46936"/>
    <w:rsid w:val="00E568FE"/>
    <w:rsid w:val="00E619B0"/>
    <w:rsid w:val="00E70117"/>
    <w:rsid w:val="00E74D93"/>
    <w:rsid w:val="00E8158C"/>
    <w:rsid w:val="00E81B69"/>
    <w:rsid w:val="00E96731"/>
    <w:rsid w:val="00E96744"/>
    <w:rsid w:val="00EB1865"/>
    <w:rsid w:val="00EC1F4E"/>
    <w:rsid w:val="00ED3C01"/>
    <w:rsid w:val="00F03025"/>
    <w:rsid w:val="00F263B0"/>
    <w:rsid w:val="00F275EA"/>
    <w:rsid w:val="00F34D55"/>
    <w:rsid w:val="00F400E6"/>
    <w:rsid w:val="00F46099"/>
    <w:rsid w:val="00F52DBE"/>
    <w:rsid w:val="00F53542"/>
    <w:rsid w:val="00F538E4"/>
    <w:rsid w:val="00F544B1"/>
    <w:rsid w:val="00F57302"/>
    <w:rsid w:val="00F820B0"/>
    <w:rsid w:val="00F93085"/>
    <w:rsid w:val="00F95522"/>
    <w:rsid w:val="00F9552F"/>
    <w:rsid w:val="00F975C7"/>
    <w:rsid w:val="00FB1564"/>
    <w:rsid w:val="00FB20BE"/>
    <w:rsid w:val="00FB2A81"/>
    <w:rsid w:val="00FB32F6"/>
    <w:rsid w:val="00FC7D2F"/>
    <w:rsid w:val="00FD0AEC"/>
    <w:rsid w:val="00FD2D52"/>
    <w:rsid w:val="00FD47A4"/>
    <w:rsid w:val="00FD7B51"/>
    <w:rsid w:val="00FE357A"/>
    <w:rsid w:val="00FE5C60"/>
    <w:rsid w:val="00FE6EB3"/>
    <w:rsid w:val="00FF016F"/>
    <w:rsid w:val="00FF5F14"/>
    <w:rsid w:val="00FF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85"/>
    <w:pPr>
      <w:widowControl w:val="0"/>
      <w:jc w:val="both"/>
    </w:pPr>
  </w:style>
  <w:style w:type="paragraph" w:styleId="1">
    <w:name w:val="heading 1"/>
    <w:basedOn w:val="a"/>
    <w:link w:val="1Char"/>
    <w:uiPriority w:val="99"/>
    <w:qFormat/>
    <w:rsid w:val="00C6138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61388"/>
    <w:rPr>
      <w:rFonts w:ascii="宋体" w:eastAsia="宋体" w:hAnsi="宋体"/>
      <w:b/>
      <w:kern w:val="36"/>
      <w:sz w:val="48"/>
    </w:rPr>
  </w:style>
  <w:style w:type="paragraph" w:styleId="a3">
    <w:name w:val="Balloon Text"/>
    <w:basedOn w:val="a"/>
    <w:link w:val="Char"/>
    <w:uiPriority w:val="99"/>
    <w:semiHidden/>
    <w:rsid w:val="00994285"/>
    <w:pPr>
      <w:jc w:val="left"/>
    </w:pPr>
    <w:rPr>
      <w:rFonts w:ascii="Tahoma" w:hAnsi="Tahoma"/>
      <w:kern w:val="0"/>
      <w:sz w:val="16"/>
      <w:szCs w:val="18"/>
    </w:rPr>
  </w:style>
  <w:style w:type="character" w:customStyle="1" w:styleId="Char">
    <w:name w:val="批注框文本 Char"/>
    <w:basedOn w:val="a0"/>
    <w:link w:val="a3"/>
    <w:uiPriority w:val="99"/>
    <w:semiHidden/>
    <w:locked/>
    <w:rsid w:val="00994285"/>
    <w:rPr>
      <w:rFonts w:ascii="Tahoma" w:hAnsi="Tahoma"/>
      <w:sz w:val="18"/>
      <w:lang w:eastAsia="zh-CN"/>
    </w:rPr>
  </w:style>
  <w:style w:type="character" w:customStyle="1" w:styleId="contenttitle">
    <w:name w:val="contenttitle"/>
    <w:basedOn w:val="a0"/>
    <w:uiPriority w:val="99"/>
    <w:rsid w:val="00D22799"/>
    <w:rPr>
      <w:rFonts w:cs="Times New Roman"/>
    </w:rPr>
  </w:style>
  <w:style w:type="character" w:styleId="a4">
    <w:name w:val="Hyperlink"/>
    <w:basedOn w:val="a0"/>
    <w:uiPriority w:val="99"/>
    <w:rsid w:val="00D22799"/>
    <w:rPr>
      <w:rFonts w:cs="Times New Roman"/>
      <w:color w:val="0000FF"/>
      <w:u w:val="single"/>
    </w:rPr>
  </w:style>
  <w:style w:type="character" w:customStyle="1" w:styleId="apple-converted-space">
    <w:name w:val="apple-converted-space"/>
    <w:basedOn w:val="a0"/>
    <w:uiPriority w:val="99"/>
    <w:rsid w:val="00D22799"/>
    <w:rPr>
      <w:rFonts w:cs="Times New Roman"/>
    </w:rPr>
  </w:style>
  <w:style w:type="character" w:customStyle="1" w:styleId="highlight">
    <w:name w:val="highlight"/>
    <w:basedOn w:val="a0"/>
    <w:uiPriority w:val="99"/>
    <w:rsid w:val="00F34D55"/>
    <w:rPr>
      <w:rFonts w:cs="Times New Roman"/>
    </w:rPr>
  </w:style>
  <w:style w:type="paragraph" w:styleId="a5">
    <w:name w:val="List Paragraph"/>
    <w:basedOn w:val="a"/>
    <w:uiPriority w:val="99"/>
    <w:qFormat/>
    <w:rsid w:val="00E619B0"/>
    <w:pPr>
      <w:ind w:firstLineChars="200" w:firstLine="420"/>
    </w:pPr>
  </w:style>
  <w:style w:type="table" w:styleId="a6">
    <w:name w:val="Table Grid"/>
    <w:basedOn w:val="a1"/>
    <w:uiPriority w:val="99"/>
    <w:rsid w:val="00D4503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E568FE"/>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7"/>
    <w:uiPriority w:val="99"/>
    <w:locked/>
    <w:rsid w:val="00E568FE"/>
    <w:rPr>
      <w:sz w:val="18"/>
    </w:rPr>
  </w:style>
  <w:style w:type="paragraph" w:styleId="a8">
    <w:name w:val="footer"/>
    <w:basedOn w:val="a"/>
    <w:link w:val="Char1"/>
    <w:uiPriority w:val="99"/>
    <w:rsid w:val="00E568FE"/>
    <w:pPr>
      <w:tabs>
        <w:tab w:val="center" w:pos="4153"/>
        <w:tab w:val="right" w:pos="8306"/>
      </w:tabs>
      <w:snapToGrid w:val="0"/>
      <w:jc w:val="left"/>
    </w:pPr>
    <w:rPr>
      <w:kern w:val="0"/>
      <w:sz w:val="18"/>
      <w:szCs w:val="18"/>
    </w:rPr>
  </w:style>
  <w:style w:type="character" w:customStyle="1" w:styleId="Char1">
    <w:name w:val="页脚 Char"/>
    <w:basedOn w:val="a0"/>
    <w:link w:val="a8"/>
    <w:uiPriority w:val="99"/>
    <w:locked/>
    <w:rsid w:val="00E568FE"/>
    <w:rPr>
      <w:sz w:val="18"/>
    </w:rPr>
  </w:style>
  <w:style w:type="character" w:styleId="a9">
    <w:name w:val="annotation reference"/>
    <w:basedOn w:val="a0"/>
    <w:uiPriority w:val="99"/>
    <w:rsid w:val="00E568FE"/>
    <w:rPr>
      <w:rFonts w:cs="Times New Roman"/>
      <w:sz w:val="21"/>
    </w:rPr>
  </w:style>
  <w:style w:type="paragraph" w:styleId="aa">
    <w:name w:val="annotation text"/>
    <w:basedOn w:val="a"/>
    <w:link w:val="Char2"/>
    <w:uiPriority w:val="99"/>
    <w:rsid w:val="00994285"/>
    <w:pPr>
      <w:widowControl/>
      <w:jc w:val="left"/>
    </w:pPr>
    <w:rPr>
      <w:rFonts w:ascii="Tahoma" w:hAnsi="Tahoma"/>
      <w:kern w:val="0"/>
      <w:sz w:val="16"/>
      <w:szCs w:val="24"/>
    </w:rPr>
  </w:style>
  <w:style w:type="character" w:customStyle="1" w:styleId="Char2">
    <w:name w:val="批注文字 Char"/>
    <w:basedOn w:val="a0"/>
    <w:link w:val="aa"/>
    <w:uiPriority w:val="99"/>
    <w:locked/>
    <w:rsid w:val="00994285"/>
    <w:rPr>
      <w:rFonts w:ascii="Tahoma" w:hAnsi="Tahoma"/>
      <w:sz w:val="24"/>
    </w:rPr>
  </w:style>
  <w:style w:type="paragraph" w:customStyle="1" w:styleId="p0">
    <w:name w:val="p0"/>
    <w:basedOn w:val="a"/>
    <w:uiPriority w:val="99"/>
    <w:rsid w:val="00E568FE"/>
    <w:pPr>
      <w:widowControl/>
      <w:spacing w:line="240" w:lineRule="atLeast"/>
      <w:jc w:val="left"/>
    </w:pPr>
    <w:rPr>
      <w:rFonts w:ascii="Century" w:hAnsi="Century" w:cs="宋体"/>
      <w:kern w:val="0"/>
      <w:szCs w:val="21"/>
    </w:rPr>
  </w:style>
  <w:style w:type="paragraph" w:styleId="ab">
    <w:name w:val="annotation subject"/>
    <w:basedOn w:val="aa"/>
    <w:next w:val="aa"/>
    <w:link w:val="Char3"/>
    <w:uiPriority w:val="99"/>
    <w:semiHidden/>
    <w:rsid w:val="00E568FE"/>
    <w:pPr>
      <w:widowControl w:val="0"/>
    </w:pPr>
    <w:rPr>
      <w:rFonts w:ascii="Times New Roman" w:hAnsi="Times New Roman"/>
      <w:b/>
      <w:bCs/>
      <w:sz w:val="24"/>
    </w:rPr>
  </w:style>
  <w:style w:type="character" w:customStyle="1" w:styleId="Char3">
    <w:name w:val="批注主题 Char"/>
    <w:basedOn w:val="Char2"/>
    <w:link w:val="ab"/>
    <w:uiPriority w:val="99"/>
    <w:semiHidden/>
    <w:locked/>
    <w:rsid w:val="00E568FE"/>
    <w:rPr>
      <w:rFonts w:ascii="Times New Roman" w:eastAsia="宋体" w:hAnsi="Times New Roman"/>
      <w:b/>
      <w:kern w:val="0"/>
      <w:sz w:val="24"/>
      <w:lang w:eastAsia="en-US"/>
    </w:rPr>
  </w:style>
  <w:style w:type="character" w:styleId="ac">
    <w:name w:val="Strong"/>
    <w:basedOn w:val="a0"/>
    <w:uiPriority w:val="99"/>
    <w:qFormat/>
    <w:rsid w:val="00E568FE"/>
    <w:rPr>
      <w:rFonts w:cs="Times New Roman"/>
      <w:b/>
    </w:rPr>
  </w:style>
  <w:style w:type="paragraph" w:styleId="ad">
    <w:name w:val="Revision"/>
    <w:hidden/>
    <w:uiPriority w:val="99"/>
    <w:semiHidden/>
    <w:rsid w:val="009F3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85"/>
    <w:pPr>
      <w:widowControl w:val="0"/>
      <w:jc w:val="both"/>
    </w:pPr>
  </w:style>
  <w:style w:type="paragraph" w:styleId="1">
    <w:name w:val="heading 1"/>
    <w:basedOn w:val="a"/>
    <w:link w:val="1Char"/>
    <w:uiPriority w:val="99"/>
    <w:qFormat/>
    <w:rsid w:val="00C6138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61388"/>
    <w:rPr>
      <w:rFonts w:ascii="宋体" w:eastAsia="宋体" w:hAnsi="宋体"/>
      <w:b/>
      <w:kern w:val="36"/>
      <w:sz w:val="48"/>
    </w:rPr>
  </w:style>
  <w:style w:type="paragraph" w:styleId="a3">
    <w:name w:val="Balloon Text"/>
    <w:basedOn w:val="a"/>
    <w:link w:val="Char"/>
    <w:uiPriority w:val="99"/>
    <w:semiHidden/>
    <w:rsid w:val="00994285"/>
    <w:pPr>
      <w:jc w:val="left"/>
    </w:pPr>
    <w:rPr>
      <w:rFonts w:ascii="Tahoma" w:hAnsi="Tahoma"/>
      <w:kern w:val="0"/>
      <w:sz w:val="16"/>
      <w:szCs w:val="18"/>
    </w:rPr>
  </w:style>
  <w:style w:type="character" w:customStyle="1" w:styleId="Char">
    <w:name w:val="批注框文本 Char"/>
    <w:basedOn w:val="a0"/>
    <w:link w:val="a3"/>
    <w:uiPriority w:val="99"/>
    <w:semiHidden/>
    <w:locked/>
    <w:rsid w:val="00994285"/>
    <w:rPr>
      <w:rFonts w:ascii="Tahoma" w:hAnsi="Tahoma"/>
      <w:sz w:val="18"/>
      <w:lang w:eastAsia="zh-CN"/>
    </w:rPr>
  </w:style>
  <w:style w:type="character" w:customStyle="1" w:styleId="contenttitle">
    <w:name w:val="contenttitle"/>
    <w:basedOn w:val="a0"/>
    <w:uiPriority w:val="99"/>
    <w:rsid w:val="00D22799"/>
    <w:rPr>
      <w:rFonts w:cs="Times New Roman"/>
    </w:rPr>
  </w:style>
  <w:style w:type="character" w:styleId="a4">
    <w:name w:val="Hyperlink"/>
    <w:basedOn w:val="a0"/>
    <w:uiPriority w:val="99"/>
    <w:rsid w:val="00D22799"/>
    <w:rPr>
      <w:rFonts w:cs="Times New Roman"/>
      <w:color w:val="0000FF"/>
      <w:u w:val="single"/>
    </w:rPr>
  </w:style>
  <w:style w:type="character" w:customStyle="1" w:styleId="apple-converted-space">
    <w:name w:val="apple-converted-space"/>
    <w:basedOn w:val="a0"/>
    <w:uiPriority w:val="99"/>
    <w:rsid w:val="00D22799"/>
    <w:rPr>
      <w:rFonts w:cs="Times New Roman"/>
    </w:rPr>
  </w:style>
  <w:style w:type="character" w:customStyle="1" w:styleId="highlight">
    <w:name w:val="highlight"/>
    <w:basedOn w:val="a0"/>
    <w:uiPriority w:val="99"/>
    <w:rsid w:val="00F34D55"/>
    <w:rPr>
      <w:rFonts w:cs="Times New Roman"/>
    </w:rPr>
  </w:style>
  <w:style w:type="paragraph" w:styleId="a5">
    <w:name w:val="List Paragraph"/>
    <w:basedOn w:val="a"/>
    <w:uiPriority w:val="99"/>
    <w:qFormat/>
    <w:rsid w:val="00E619B0"/>
    <w:pPr>
      <w:ind w:firstLineChars="200" w:firstLine="420"/>
    </w:pPr>
  </w:style>
  <w:style w:type="table" w:styleId="a6">
    <w:name w:val="Table Grid"/>
    <w:basedOn w:val="a1"/>
    <w:uiPriority w:val="99"/>
    <w:rsid w:val="00D4503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E568FE"/>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7"/>
    <w:uiPriority w:val="99"/>
    <w:locked/>
    <w:rsid w:val="00E568FE"/>
    <w:rPr>
      <w:sz w:val="18"/>
    </w:rPr>
  </w:style>
  <w:style w:type="paragraph" w:styleId="a8">
    <w:name w:val="footer"/>
    <w:basedOn w:val="a"/>
    <w:link w:val="Char1"/>
    <w:uiPriority w:val="99"/>
    <w:rsid w:val="00E568FE"/>
    <w:pPr>
      <w:tabs>
        <w:tab w:val="center" w:pos="4153"/>
        <w:tab w:val="right" w:pos="8306"/>
      </w:tabs>
      <w:snapToGrid w:val="0"/>
      <w:jc w:val="left"/>
    </w:pPr>
    <w:rPr>
      <w:kern w:val="0"/>
      <w:sz w:val="18"/>
      <w:szCs w:val="18"/>
    </w:rPr>
  </w:style>
  <w:style w:type="character" w:customStyle="1" w:styleId="Char1">
    <w:name w:val="页脚 Char"/>
    <w:basedOn w:val="a0"/>
    <w:link w:val="a8"/>
    <w:uiPriority w:val="99"/>
    <w:locked/>
    <w:rsid w:val="00E568FE"/>
    <w:rPr>
      <w:sz w:val="18"/>
    </w:rPr>
  </w:style>
  <w:style w:type="character" w:styleId="a9">
    <w:name w:val="annotation reference"/>
    <w:basedOn w:val="a0"/>
    <w:uiPriority w:val="99"/>
    <w:rsid w:val="00E568FE"/>
    <w:rPr>
      <w:rFonts w:cs="Times New Roman"/>
      <w:sz w:val="21"/>
    </w:rPr>
  </w:style>
  <w:style w:type="paragraph" w:styleId="aa">
    <w:name w:val="annotation text"/>
    <w:basedOn w:val="a"/>
    <w:link w:val="Char2"/>
    <w:uiPriority w:val="99"/>
    <w:rsid w:val="00994285"/>
    <w:pPr>
      <w:widowControl/>
      <w:jc w:val="left"/>
    </w:pPr>
    <w:rPr>
      <w:rFonts w:ascii="Tahoma" w:hAnsi="Tahoma"/>
      <w:kern w:val="0"/>
      <w:sz w:val="16"/>
      <w:szCs w:val="24"/>
    </w:rPr>
  </w:style>
  <w:style w:type="character" w:customStyle="1" w:styleId="Char2">
    <w:name w:val="批注文字 Char"/>
    <w:basedOn w:val="a0"/>
    <w:link w:val="aa"/>
    <w:uiPriority w:val="99"/>
    <w:locked/>
    <w:rsid w:val="00994285"/>
    <w:rPr>
      <w:rFonts w:ascii="Tahoma" w:hAnsi="Tahoma"/>
      <w:sz w:val="24"/>
    </w:rPr>
  </w:style>
  <w:style w:type="paragraph" w:customStyle="1" w:styleId="p0">
    <w:name w:val="p0"/>
    <w:basedOn w:val="a"/>
    <w:uiPriority w:val="99"/>
    <w:rsid w:val="00E568FE"/>
    <w:pPr>
      <w:widowControl/>
      <w:spacing w:line="240" w:lineRule="atLeast"/>
      <w:jc w:val="left"/>
    </w:pPr>
    <w:rPr>
      <w:rFonts w:ascii="Century" w:hAnsi="Century" w:cs="宋体"/>
      <w:kern w:val="0"/>
      <w:szCs w:val="21"/>
    </w:rPr>
  </w:style>
  <w:style w:type="paragraph" w:styleId="ab">
    <w:name w:val="annotation subject"/>
    <w:basedOn w:val="aa"/>
    <w:next w:val="aa"/>
    <w:link w:val="Char3"/>
    <w:uiPriority w:val="99"/>
    <w:semiHidden/>
    <w:rsid w:val="00E568FE"/>
    <w:pPr>
      <w:widowControl w:val="0"/>
    </w:pPr>
    <w:rPr>
      <w:rFonts w:ascii="Times New Roman" w:hAnsi="Times New Roman"/>
      <w:b/>
      <w:bCs/>
      <w:sz w:val="24"/>
    </w:rPr>
  </w:style>
  <w:style w:type="character" w:customStyle="1" w:styleId="Char3">
    <w:name w:val="批注主题 Char"/>
    <w:basedOn w:val="Char2"/>
    <w:link w:val="ab"/>
    <w:uiPriority w:val="99"/>
    <w:semiHidden/>
    <w:locked/>
    <w:rsid w:val="00E568FE"/>
    <w:rPr>
      <w:rFonts w:ascii="Times New Roman" w:eastAsia="宋体" w:hAnsi="Times New Roman"/>
      <w:b/>
      <w:kern w:val="0"/>
      <w:sz w:val="24"/>
      <w:lang w:eastAsia="en-US"/>
    </w:rPr>
  </w:style>
  <w:style w:type="character" w:styleId="ac">
    <w:name w:val="Strong"/>
    <w:basedOn w:val="a0"/>
    <w:uiPriority w:val="99"/>
    <w:qFormat/>
    <w:rsid w:val="00E568FE"/>
    <w:rPr>
      <w:rFonts w:cs="Times New Roman"/>
      <w:b/>
    </w:rPr>
  </w:style>
  <w:style w:type="paragraph" w:styleId="ad">
    <w:name w:val="Revision"/>
    <w:hidden/>
    <w:uiPriority w:val="99"/>
    <w:semiHidden/>
    <w:rsid w:val="009F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youdao.com/search?q=carcinoma&amp;keyfrom=E2Ctranslation" TargetMode="External"/><Relationship Id="rId13" Type="http://schemas.openxmlformats.org/officeDocument/2006/relationships/hyperlink" Target="http://dict.youdao.com/w/exophyt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t.youdao.com/search?q=endoscopy&amp;keyfrom=E2Ctransl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t.youdao.com/w/capsu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t.youdao.com/w/sigmoid/" TargetMode="External"/><Relationship Id="rId4" Type="http://schemas.openxmlformats.org/officeDocument/2006/relationships/settings" Target="settings.xml"/><Relationship Id="rId9" Type="http://schemas.openxmlformats.org/officeDocument/2006/relationships/hyperlink" Target="http://dict.youdao.com/w/of/" TargetMode="External"/><Relationship Id="rId14" Type="http://schemas.openxmlformats.org/officeDocument/2006/relationships/hyperlink" Target="http://dict.youdao.com/search?q=growth&amp;keyfrom=E2Ctran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4087</Words>
  <Characters>23300</Characters>
  <Application>Microsoft Office Word</Application>
  <DocSecurity>0</DocSecurity>
  <Lines>194</Lines>
  <Paragraphs>54</Paragraphs>
  <ScaleCrop>false</ScaleCrop>
  <Company>Microsoft</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xyb</dc:creator>
  <cp:lastModifiedBy>LS Ma</cp:lastModifiedBy>
  <cp:revision>2</cp:revision>
  <dcterms:created xsi:type="dcterms:W3CDTF">2014-03-07T06:44:00Z</dcterms:created>
  <dcterms:modified xsi:type="dcterms:W3CDTF">2014-03-07T06:44:00Z</dcterms:modified>
</cp:coreProperties>
</file>