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Name of journal: World Journal of Gastroenterology</w:t>
      </w: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ESPS Manuscript NO: 8730</w:t>
      </w: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Columns:</w:t>
      </w:r>
      <w:r w:rsidR="0025671F">
        <w:rPr>
          <w:rFonts w:ascii="Book Antiqua" w:hAnsi="Book Antiqua"/>
          <w:b/>
          <w:sz w:val="24"/>
          <w:szCs w:val="24"/>
        </w:rPr>
        <w:t xml:space="preserve"> OBSERVATIONAL STUDY</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 xml:space="preserve">Pro-atherosclerotic markers and cardiovascular risk factors one year after liver transplantation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roofErr w:type="spellStart"/>
      <w:r w:rsidRPr="00F31D0D">
        <w:rPr>
          <w:rFonts w:ascii="Book Antiqua" w:hAnsi="Book Antiqua"/>
          <w:sz w:val="24"/>
          <w:szCs w:val="24"/>
        </w:rPr>
        <w:t>Alvares</w:t>
      </w:r>
      <w:proofErr w:type="spellEnd"/>
      <w:r w:rsidRPr="00F31D0D">
        <w:rPr>
          <w:rFonts w:ascii="Book Antiqua" w:hAnsi="Book Antiqua"/>
          <w:sz w:val="24"/>
          <w:szCs w:val="24"/>
        </w:rPr>
        <w:t>-da-Silva MR</w:t>
      </w:r>
      <w:r w:rsidRPr="00F31D0D">
        <w:rPr>
          <w:rFonts w:ascii="Book Antiqua" w:hAnsi="Book Antiqua"/>
          <w:i/>
          <w:sz w:val="24"/>
          <w:szCs w:val="24"/>
        </w:rPr>
        <w:t xml:space="preserve"> et al.</w:t>
      </w:r>
      <w:r w:rsidRPr="00F31D0D">
        <w:rPr>
          <w:rFonts w:ascii="Book Antiqua" w:hAnsi="Book Antiqua"/>
          <w:sz w:val="24"/>
          <w:szCs w:val="24"/>
        </w:rPr>
        <w:t xml:space="preserve"> </w:t>
      </w:r>
      <w:r w:rsidRPr="00F31D0D">
        <w:rPr>
          <w:rFonts w:ascii="Book Antiqua" w:hAnsi="Book Antiqua"/>
          <w:sz w:val="24"/>
          <w:szCs w:val="24"/>
        </w:rPr>
        <w:tab/>
        <w:t xml:space="preserve">Pro-atherosclerotic markers after liver transplantation </w:t>
      </w:r>
    </w:p>
    <w:p w:rsidR="00F31D0D" w:rsidRPr="00F31D0D" w:rsidRDefault="00F31D0D" w:rsidP="00F31D0D">
      <w:pPr>
        <w:spacing w:line="360" w:lineRule="auto"/>
        <w:rPr>
          <w:rFonts w:ascii="Book Antiqua" w:hAnsi="Book Antiqua"/>
          <w:sz w:val="24"/>
          <w:szCs w:val="24"/>
        </w:rPr>
      </w:pPr>
    </w:p>
    <w:p w:rsidR="00F31D0D" w:rsidRPr="001B3BB0" w:rsidRDefault="00F31D0D" w:rsidP="00F31D0D">
      <w:pPr>
        <w:spacing w:line="360" w:lineRule="auto"/>
        <w:rPr>
          <w:rFonts w:ascii="Book Antiqua" w:hAnsi="Book Antiqua"/>
          <w:sz w:val="24"/>
          <w:szCs w:val="24"/>
        </w:rPr>
      </w:pPr>
      <w:bookmarkStart w:id="0" w:name="OLE_LINK1"/>
      <w:bookmarkStart w:id="1" w:name="OLE_LINK2"/>
      <w:r w:rsidRPr="001B3BB0">
        <w:rPr>
          <w:rFonts w:ascii="Book Antiqua" w:hAnsi="Book Antiqua"/>
          <w:sz w:val="24"/>
          <w:szCs w:val="24"/>
        </w:rPr>
        <w:t xml:space="preserve">Mario Reis </w:t>
      </w:r>
      <w:proofErr w:type="spellStart"/>
      <w:r w:rsidRPr="001B3BB0">
        <w:rPr>
          <w:rFonts w:ascii="Book Antiqua" w:hAnsi="Book Antiqua"/>
          <w:sz w:val="24"/>
          <w:szCs w:val="24"/>
        </w:rPr>
        <w:t>Alvares</w:t>
      </w:r>
      <w:proofErr w:type="spellEnd"/>
      <w:r w:rsidRPr="001B3BB0">
        <w:rPr>
          <w:rFonts w:ascii="Book Antiqua" w:hAnsi="Book Antiqua"/>
          <w:sz w:val="24"/>
          <w:szCs w:val="24"/>
        </w:rPr>
        <w:t xml:space="preserve">-da-Silva, Claudia Pinto Marques Souza de Oliveira, José </w:t>
      </w:r>
      <w:proofErr w:type="spellStart"/>
      <w:r w:rsidRPr="001B3BB0">
        <w:rPr>
          <w:rFonts w:ascii="Book Antiqua" w:hAnsi="Book Antiqua"/>
          <w:sz w:val="24"/>
          <w:szCs w:val="24"/>
        </w:rPr>
        <w:t>Tadeu</w:t>
      </w:r>
      <w:proofErr w:type="spellEnd"/>
      <w:r w:rsidRPr="001B3BB0">
        <w:rPr>
          <w:rFonts w:ascii="Book Antiqua" w:hAnsi="Book Antiqua"/>
          <w:sz w:val="24"/>
          <w:szCs w:val="24"/>
        </w:rPr>
        <w:t xml:space="preserve"> Stefano, Hermes V </w:t>
      </w:r>
      <w:proofErr w:type="spellStart"/>
      <w:r w:rsidRPr="001B3BB0">
        <w:rPr>
          <w:rFonts w:ascii="Book Antiqua" w:hAnsi="Book Antiqua"/>
          <w:sz w:val="24"/>
          <w:szCs w:val="24"/>
        </w:rPr>
        <w:t>Barbeiro</w:t>
      </w:r>
      <w:proofErr w:type="spellEnd"/>
      <w:r w:rsidRPr="001B3BB0">
        <w:rPr>
          <w:rFonts w:ascii="Book Antiqua" w:hAnsi="Book Antiqua"/>
          <w:sz w:val="24"/>
          <w:szCs w:val="24"/>
        </w:rPr>
        <w:t xml:space="preserve">, Denise </w:t>
      </w:r>
      <w:proofErr w:type="spellStart"/>
      <w:r w:rsidRPr="001B3BB0">
        <w:rPr>
          <w:rFonts w:ascii="Book Antiqua" w:hAnsi="Book Antiqua"/>
          <w:sz w:val="24"/>
          <w:szCs w:val="24"/>
        </w:rPr>
        <w:t>Barbeiro</w:t>
      </w:r>
      <w:proofErr w:type="spellEnd"/>
      <w:r w:rsidRPr="001B3BB0">
        <w:rPr>
          <w:rFonts w:ascii="Book Antiqua" w:hAnsi="Book Antiqua"/>
          <w:sz w:val="24"/>
          <w:szCs w:val="24"/>
        </w:rPr>
        <w:t xml:space="preserve">, Francisco G Soriano, Alberto </w:t>
      </w:r>
      <w:proofErr w:type="spellStart"/>
      <w:r w:rsidRPr="001B3BB0">
        <w:rPr>
          <w:rFonts w:ascii="Book Antiqua" w:hAnsi="Book Antiqua"/>
          <w:sz w:val="24"/>
          <w:szCs w:val="24"/>
        </w:rPr>
        <w:t>Queiroz</w:t>
      </w:r>
      <w:proofErr w:type="spellEnd"/>
      <w:r w:rsidRPr="001B3BB0">
        <w:rPr>
          <w:rFonts w:ascii="Book Antiqua" w:hAnsi="Book Antiqua"/>
          <w:sz w:val="24"/>
          <w:szCs w:val="24"/>
        </w:rPr>
        <w:t xml:space="preserve"> Farias, Flair José </w:t>
      </w:r>
      <w:proofErr w:type="spellStart"/>
      <w:r w:rsidRPr="001B3BB0">
        <w:rPr>
          <w:rFonts w:ascii="Book Antiqua" w:hAnsi="Book Antiqua"/>
          <w:sz w:val="24"/>
          <w:szCs w:val="24"/>
        </w:rPr>
        <w:t>Carrilho</w:t>
      </w:r>
      <w:proofErr w:type="spellEnd"/>
      <w:r w:rsidRPr="001B3BB0">
        <w:rPr>
          <w:rFonts w:ascii="Book Antiqua" w:hAnsi="Book Antiqua"/>
          <w:sz w:val="24"/>
          <w:szCs w:val="24"/>
        </w:rPr>
        <w:t xml:space="preserve">, Luiz Augusto </w:t>
      </w:r>
      <w:proofErr w:type="spellStart"/>
      <w:r w:rsidRPr="001B3BB0">
        <w:rPr>
          <w:rFonts w:ascii="Book Antiqua" w:hAnsi="Book Antiqua"/>
          <w:sz w:val="24"/>
          <w:szCs w:val="24"/>
        </w:rPr>
        <w:t>Carneiro</w:t>
      </w:r>
      <w:proofErr w:type="spellEnd"/>
      <w:r w:rsidRPr="001B3BB0">
        <w:rPr>
          <w:rFonts w:ascii="Book Antiqua" w:hAnsi="Book Antiqua"/>
          <w:sz w:val="24"/>
          <w:szCs w:val="24"/>
        </w:rPr>
        <w:t xml:space="preserve"> </w:t>
      </w:r>
      <w:proofErr w:type="spellStart"/>
      <w:r w:rsidRPr="001B3BB0">
        <w:rPr>
          <w:rFonts w:ascii="Book Antiqua" w:hAnsi="Book Antiqua"/>
          <w:sz w:val="24"/>
          <w:szCs w:val="24"/>
        </w:rPr>
        <w:t>D’Albuquerque</w:t>
      </w:r>
      <w:proofErr w:type="spellEnd"/>
    </w:p>
    <w:bookmarkEnd w:id="0"/>
    <w:bookmarkEnd w:id="1"/>
    <w:p w:rsidR="00F31D0D" w:rsidRPr="00F31D0D" w:rsidRDefault="001B3BB0" w:rsidP="00F31D0D">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14:anchorId="54EF1F9C" wp14:editId="749C7E68">
                <wp:simplePos x="0" y="0"/>
                <wp:positionH relativeFrom="column">
                  <wp:posOffset>6985</wp:posOffset>
                </wp:positionH>
                <wp:positionV relativeFrom="paragraph">
                  <wp:posOffset>158750</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40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" strokecolor="gray" strokeweight="3pt"/>
            </w:pict>
          </mc:Fallback>
        </mc:AlternateContent>
      </w: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Mario Reis </w:t>
      </w:r>
      <w:proofErr w:type="spellStart"/>
      <w:r w:rsidRPr="00F31D0D">
        <w:rPr>
          <w:rFonts w:ascii="Book Antiqua" w:hAnsi="Book Antiqua"/>
          <w:b/>
          <w:sz w:val="24"/>
          <w:szCs w:val="24"/>
        </w:rPr>
        <w:t>Alvares</w:t>
      </w:r>
      <w:proofErr w:type="spellEnd"/>
      <w:r w:rsidRPr="00F31D0D">
        <w:rPr>
          <w:rFonts w:ascii="Book Antiqua" w:hAnsi="Book Antiqua"/>
          <w:b/>
          <w:sz w:val="24"/>
          <w:szCs w:val="24"/>
        </w:rPr>
        <w:t xml:space="preserve">-da-Silva, Luiz Augusto </w:t>
      </w:r>
      <w:proofErr w:type="spellStart"/>
      <w:r w:rsidRPr="00F31D0D">
        <w:rPr>
          <w:rFonts w:ascii="Book Antiqua" w:hAnsi="Book Antiqua"/>
          <w:b/>
          <w:sz w:val="24"/>
          <w:szCs w:val="24"/>
        </w:rPr>
        <w:t>Carneiro</w:t>
      </w:r>
      <w:proofErr w:type="spellEnd"/>
      <w:r w:rsidRPr="00F31D0D">
        <w:rPr>
          <w:rFonts w:ascii="Book Antiqua" w:hAnsi="Book Antiqua"/>
          <w:b/>
          <w:sz w:val="24"/>
          <w:szCs w:val="24"/>
        </w:rPr>
        <w:t xml:space="preserve"> </w:t>
      </w:r>
      <w:proofErr w:type="spellStart"/>
      <w:r w:rsidRPr="00F31D0D">
        <w:rPr>
          <w:rFonts w:ascii="Book Antiqua" w:hAnsi="Book Antiqua"/>
          <w:b/>
          <w:sz w:val="24"/>
          <w:szCs w:val="24"/>
        </w:rPr>
        <w:t>D’Albuquerque</w:t>
      </w:r>
      <w:proofErr w:type="spellEnd"/>
      <w:r w:rsidRPr="00F31D0D">
        <w:rPr>
          <w:rFonts w:ascii="Book Antiqua" w:hAnsi="Book Antiqua"/>
          <w:b/>
          <w:sz w:val="24"/>
          <w:szCs w:val="24"/>
        </w:rPr>
        <w:t xml:space="preserve">, </w:t>
      </w:r>
      <w:r w:rsidR="001B3BB0" w:rsidRPr="00F31D0D">
        <w:rPr>
          <w:rFonts w:ascii="Book Antiqua" w:hAnsi="Book Antiqua"/>
          <w:sz w:val="24"/>
          <w:szCs w:val="24"/>
        </w:rPr>
        <w:t xml:space="preserve">Division of </w:t>
      </w:r>
      <w:r w:rsidRPr="00F31D0D">
        <w:rPr>
          <w:rFonts w:ascii="Book Antiqua" w:hAnsi="Book Antiqua"/>
          <w:sz w:val="24"/>
          <w:szCs w:val="24"/>
        </w:rPr>
        <w:t>Liver and Gastrointestinal Transplant (LIM-37), Department of Gastroenterology, University of São Paulo School of Medicine, 05508-070 São Paulo, Brazil</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Claudia Pinto Marques Souza de Oliveira, José </w:t>
      </w:r>
      <w:proofErr w:type="spellStart"/>
      <w:r w:rsidRPr="00F31D0D">
        <w:rPr>
          <w:rFonts w:ascii="Book Antiqua" w:hAnsi="Book Antiqua"/>
          <w:b/>
          <w:sz w:val="24"/>
          <w:szCs w:val="24"/>
        </w:rPr>
        <w:t>Tadeu</w:t>
      </w:r>
      <w:proofErr w:type="spellEnd"/>
      <w:r w:rsidRPr="00F31D0D">
        <w:rPr>
          <w:rFonts w:ascii="Book Antiqua" w:hAnsi="Book Antiqua"/>
          <w:b/>
          <w:sz w:val="24"/>
          <w:szCs w:val="24"/>
        </w:rPr>
        <w:t xml:space="preserve"> Stefano, </w:t>
      </w:r>
      <w:r w:rsidRPr="001B3BB0">
        <w:rPr>
          <w:rFonts w:ascii="Book Antiqua" w:hAnsi="Book Antiqua"/>
          <w:b/>
          <w:sz w:val="24"/>
          <w:szCs w:val="24"/>
        </w:rPr>
        <w:t xml:space="preserve">Alberto </w:t>
      </w:r>
      <w:proofErr w:type="spellStart"/>
      <w:r w:rsidRPr="001B3BB0">
        <w:rPr>
          <w:rFonts w:ascii="Book Antiqua" w:hAnsi="Book Antiqua"/>
          <w:b/>
          <w:sz w:val="24"/>
          <w:szCs w:val="24"/>
        </w:rPr>
        <w:t>Queiroz</w:t>
      </w:r>
      <w:proofErr w:type="spellEnd"/>
      <w:r w:rsidRPr="001B3BB0">
        <w:rPr>
          <w:rFonts w:ascii="Book Antiqua" w:hAnsi="Book Antiqua"/>
          <w:b/>
          <w:sz w:val="24"/>
          <w:szCs w:val="24"/>
        </w:rPr>
        <w:t xml:space="preserve"> Farias, Flair José </w:t>
      </w:r>
      <w:proofErr w:type="spellStart"/>
      <w:r w:rsidRPr="001B3BB0">
        <w:rPr>
          <w:rFonts w:ascii="Book Antiqua" w:hAnsi="Book Antiqua"/>
          <w:b/>
          <w:sz w:val="24"/>
          <w:szCs w:val="24"/>
        </w:rPr>
        <w:t>Carrilho</w:t>
      </w:r>
      <w:proofErr w:type="spellEnd"/>
      <w:r w:rsidRPr="001B3BB0">
        <w:rPr>
          <w:rFonts w:ascii="Book Antiqua" w:hAnsi="Book Antiqua"/>
          <w:b/>
          <w:sz w:val="24"/>
          <w:szCs w:val="24"/>
        </w:rPr>
        <w:t>,</w:t>
      </w:r>
      <w:r w:rsidRPr="00F31D0D">
        <w:rPr>
          <w:rFonts w:ascii="Book Antiqua" w:hAnsi="Book Antiqua"/>
          <w:sz w:val="24"/>
          <w:szCs w:val="24"/>
        </w:rPr>
        <w:t xml:space="preserve"> </w:t>
      </w:r>
      <w:r w:rsidR="001B3BB0" w:rsidRPr="00F31D0D">
        <w:rPr>
          <w:rFonts w:ascii="Book Antiqua" w:hAnsi="Book Antiqua"/>
          <w:sz w:val="24"/>
          <w:szCs w:val="24"/>
        </w:rPr>
        <w:t xml:space="preserve">Division of </w:t>
      </w:r>
      <w:r w:rsidRPr="00F31D0D">
        <w:rPr>
          <w:rFonts w:ascii="Book Antiqua" w:hAnsi="Book Antiqua"/>
          <w:sz w:val="24"/>
          <w:szCs w:val="24"/>
        </w:rPr>
        <w:t>Clinical (LIM-07), Department of Gastroenterology, University of São Paulo School of Medicine, 05508-070 São Paulo, Brazil</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Hermes V </w:t>
      </w:r>
      <w:proofErr w:type="spellStart"/>
      <w:r w:rsidRPr="00F31D0D">
        <w:rPr>
          <w:rFonts w:ascii="Book Antiqua" w:hAnsi="Book Antiqua"/>
          <w:b/>
          <w:sz w:val="24"/>
          <w:szCs w:val="24"/>
        </w:rPr>
        <w:t>Barbeiro</w:t>
      </w:r>
      <w:proofErr w:type="spellEnd"/>
      <w:r w:rsidRPr="00F31D0D">
        <w:rPr>
          <w:rFonts w:ascii="Book Antiqua" w:hAnsi="Book Antiqua"/>
          <w:b/>
          <w:sz w:val="24"/>
          <w:szCs w:val="24"/>
        </w:rPr>
        <w:t xml:space="preserve">, Denise </w:t>
      </w:r>
      <w:proofErr w:type="spellStart"/>
      <w:r w:rsidRPr="00F31D0D">
        <w:rPr>
          <w:rFonts w:ascii="Book Antiqua" w:hAnsi="Book Antiqua"/>
          <w:b/>
          <w:sz w:val="24"/>
          <w:szCs w:val="24"/>
        </w:rPr>
        <w:t>Barbeiro</w:t>
      </w:r>
      <w:proofErr w:type="spellEnd"/>
      <w:r w:rsidRPr="00F31D0D">
        <w:rPr>
          <w:rFonts w:ascii="Book Antiqua" w:hAnsi="Book Antiqua"/>
          <w:b/>
          <w:sz w:val="24"/>
          <w:szCs w:val="24"/>
        </w:rPr>
        <w:t>, Francisco G Soriano,</w:t>
      </w:r>
      <w:r w:rsidRPr="00F31D0D">
        <w:rPr>
          <w:rFonts w:ascii="Book Antiqua" w:hAnsi="Book Antiqua"/>
          <w:sz w:val="24"/>
          <w:szCs w:val="24"/>
        </w:rPr>
        <w:t xml:space="preserve"> </w:t>
      </w:r>
      <w:r w:rsidR="001B3BB0" w:rsidRPr="00F31D0D">
        <w:rPr>
          <w:rFonts w:ascii="Book Antiqua" w:hAnsi="Book Antiqua"/>
          <w:sz w:val="24"/>
          <w:szCs w:val="24"/>
        </w:rPr>
        <w:t xml:space="preserve">Division of </w:t>
      </w:r>
      <w:r w:rsidRPr="00F31D0D">
        <w:rPr>
          <w:rFonts w:ascii="Book Antiqua" w:hAnsi="Book Antiqua"/>
          <w:sz w:val="24"/>
          <w:szCs w:val="24"/>
        </w:rPr>
        <w:t>Emergency Medicine (LIM-51), University of São Paulo School of Medicine, 05508-070 São Paulo, Brazil</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Mario Reis </w:t>
      </w:r>
      <w:proofErr w:type="spellStart"/>
      <w:r w:rsidRPr="00F31D0D">
        <w:rPr>
          <w:rFonts w:ascii="Book Antiqua" w:hAnsi="Book Antiqua"/>
          <w:b/>
          <w:sz w:val="24"/>
          <w:szCs w:val="24"/>
        </w:rPr>
        <w:t>Alvares</w:t>
      </w:r>
      <w:proofErr w:type="spellEnd"/>
      <w:r w:rsidRPr="00F31D0D">
        <w:rPr>
          <w:rFonts w:ascii="Book Antiqua" w:hAnsi="Book Antiqua"/>
          <w:b/>
          <w:sz w:val="24"/>
          <w:szCs w:val="24"/>
        </w:rPr>
        <w:t xml:space="preserve">-da-Silva, </w:t>
      </w:r>
      <w:r w:rsidRPr="00F31D0D">
        <w:rPr>
          <w:rFonts w:ascii="Book Antiqua" w:hAnsi="Book Antiqua"/>
          <w:sz w:val="24"/>
          <w:szCs w:val="24"/>
        </w:rPr>
        <w:t xml:space="preserve">Division of Gastroenterology, Hospital de </w:t>
      </w:r>
      <w:proofErr w:type="spellStart"/>
      <w:r w:rsidRPr="00F31D0D">
        <w:rPr>
          <w:rFonts w:ascii="Book Antiqua" w:hAnsi="Book Antiqua"/>
          <w:sz w:val="24"/>
          <w:szCs w:val="24"/>
        </w:rPr>
        <w:lastRenderedPageBreak/>
        <w:t>Clínicas</w:t>
      </w:r>
      <w:proofErr w:type="spellEnd"/>
      <w:r w:rsidRPr="00F31D0D">
        <w:rPr>
          <w:rFonts w:ascii="Book Antiqua" w:hAnsi="Book Antiqua"/>
          <w:sz w:val="24"/>
          <w:szCs w:val="24"/>
        </w:rPr>
        <w:t xml:space="preserve"> de Porto </w:t>
      </w:r>
      <w:proofErr w:type="spellStart"/>
      <w:r w:rsidRPr="00F31D0D">
        <w:rPr>
          <w:rFonts w:ascii="Book Antiqua" w:hAnsi="Book Antiqua"/>
          <w:sz w:val="24"/>
          <w:szCs w:val="24"/>
        </w:rPr>
        <w:t>Alegre</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Universidade</w:t>
      </w:r>
      <w:proofErr w:type="spellEnd"/>
      <w:r w:rsidRPr="00F31D0D">
        <w:rPr>
          <w:rFonts w:ascii="Book Antiqua" w:hAnsi="Book Antiqua"/>
          <w:sz w:val="24"/>
          <w:szCs w:val="24"/>
        </w:rPr>
        <w:t xml:space="preserve"> Federal do Rio Grande do </w:t>
      </w:r>
      <w:proofErr w:type="spellStart"/>
      <w:r w:rsidRPr="00F31D0D">
        <w:rPr>
          <w:rFonts w:ascii="Book Antiqua" w:hAnsi="Book Antiqua"/>
          <w:sz w:val="24"/>
          <w:szCs w:val="24"/>
        </w:rPr>
        <w:t>Sul</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Rua</w:t>
      </w:r>
      <w:proofErr w:type="spellEnd"/>
      <w:r w:rsidRPr="00F31D0D">
        <w:rPr>
          <w:rFonts w:ascii="Book Antiqua" w:hAnsi="Book Antiqua"/>
          <w:sz w:val="24"/>
          <w:szCs w:val="24"/>
        </w:rPr>
        <w:t xml:space="preserve"> Ramiro </w:t>
      </w:r>
      <w:proofErr w:type="spellStart"/>
      <w:r w:rsidRPr="00F31D0D">
        <w:rPr>
          <w:rFonts w:ascii="Book Antiqua" w:hAnsi="Book Antiqua"/>
          <w:sz w:val="24"/>
          <w:szCs w:val="24"/>
        </w:rPr>
        <w:t>Barcellos</w:t>
      </w:r>
      <w:proofErr w:type="spellEnd"/>
      <w:r w:rsidRPr="00F31D0D">
        <w:rPr>
          <w:rFonts w:ascii="Book Antiqua" w:hAnsi="Book Antiqua"/>
          <w:sz w:val="24"/>
          <w:szCs w:val="24"/>
        </w:rPr>
        <w:t xml:space="preserve">, 90035-903 Porto </w:t>
      </w:r>
      <w:proofErr w:type="spellStart"/>
      <w:r w:rsidRPr="00F31D0D">
        <w:rPr>
          <w:rFonts w:ascii="Book Antiqua" w:hAnsi="Book Antiqua"/>
          <w:sz w:val="24"/>
          <w:szCs w:val="24"/>
        </w:rPr>
        <w:t>Alegre</w:t>
      </w:r>
      <w:proofErr w:type="spellEnd"/>
      <w:r w:rsidRPr="00F31D0D">
        <w:rPr>
          <w:rFonts w:ascii="Book Antiqua" w:hAnsi="Book Antiqua"/>
          <w:sz w:val="24"/>
          <w:szCs w:val="24"/>
        </w:rPr>
        <w:t>, Brazil</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Author contributions: </w:t>
      </w:r>
      <w:proofErr w:type="spellStart"/>
      <w:r w:rsidRPr="00F31D0D">
        <w:rPr>
          <w:rFonts w:ascii="Book Antiqua" w:hAnsi="Book Antiqua"/>
          <w:sz w:val="24"/>
          <w:szCs w:val="24"/>
        </w:rPr>
        <w:t>Alvares</w:t>
      </w:r>
      <w:proofErr w:type="spellEnd"/>
      <w:r w:rsidRPr="00F31D0D">
        <w:rPr>
          <w:rFonts w:ascii="Book Antiqua" w:hAnsi="Book Antiqua"/>
          <w:sz w:val="24"/>
          <w:szCs w:val="24"/>
        </w:rPr>
        <w:t>-da-Silva MR and Oliveira CP designe</w:t>
      </w:r>
      <w:r w:rsidR="00085BA6">
        <w:rPr>
          <w:rFonts w:ascii="Book Antiqua" w:hAnsi="Book Antiqua"/>
          <w:sz w:val="24"/>
          <w:szCs w:val="24"/>
        </w:rPr>
        <w:t>d the study, collected the data</w:t>
      </w:r>
      <w:r w:rsidRPr="00F31D0D">
        <w:rPr>
          <w:rFonts w:ascii="Book Antiqua" w:hAnsi="Book Antiqua"/>
          <w:sz w:val="24"/>
          <w:szCs w:val="24"/>
        </w:rPr>
        <w:t xml:space="preserve"> and performed and co-wrote the manuscript; Stefano JT provided and coordinated the collection of and provided the collection of all the human materials; </w:t>
      </w:r>
      <w:proofErr w:type="spellStart"/>
      <w:r w:rsidRPr="00F31D0D">
        <w:rPr>
          <w:rFonts w:ascii="Book Antiqua" w:hAnsi="Book Antiqua"/>
          <w:sz w:val="24"/>
          <w:szCs w:val="24"/>
        </w:rPr>
        <w:t>Barbeiro</w:t>
      </w:r>
      <w:proofErr w:type="spellEnd"/>
      <w:r w:rsidRPr="00F31D0D">
        <w:rPr>
          <w:rFonts w:ascii="Book Antiqua" w:hAnsi="Book Antiqua"/>
          <w:sz w:val="24"/>
          <w:szCs w:val="24"/>
        </w:rPr>
        <w:t xml:space="preserve"> HV, </w:t>
      </w:r>
      <w:proofErr w:type="spellStart"/>
      <w:r w:rsidRPr="00F31D0D">
        <w:rPr>
          <w:rFonts w:ascii="Book Antiqua" w:hAnsi="Book Antiqua"/>
          <w:sz w:val="24"/>
          <w:szCs w:val="24"/>
        </w:rPr>
        <w:t>Barbeiro</w:t>
      </w:r>
      <w:proofErr w:type="spellEnd"/>
      <w:r w:rsidRPr="00F31D0D">
        <w:rPr>
          <w:rFonts w:ascii="Book Antiqua" w:hAnsi="Book Antiqua"/>
          <w:sz w:val="24"/>
          <w:szCs w:val="24"/>
        </w:rPr>
        <w:t xml:space="preserve"> D and Soriano FG performed most of the laboratory analyses; Farias AQ coordinated the collection of all the human materials; </w:t>
      </w:r>
      <w:proofErr w:type="spellStart"/>
      <w:r w:rsidRPr="00F31D0D">
        <w:rPr>
          <w:rFonts w:ascii="Book Antiqua" w:hAnsi="Book Antiqua"/>
          <w:sz w:val="24"/>
          <w:szCs w:val="24"/>
        </w:rPr>
        <w:t>Carrilho</w:t>
      </w:r>
      <w:proofErr w:type="spellEnd"/>
      <w:r w:rsidRPr="00F31D0D">
        <w:rPr>
          <w:rFonts w:ascii="Book Antiqua" w:hAnsi="Book Antiqua"/>
          <w:sz w:val="24"/>
          <w:szCs w:val="24"/>
        </w:rPr>
        <w:t xml:space="preserve"> FJ and </w:t>
      </w:r>
      <w:proofErr w:type="spellStart"/>
      <w:r w:rsidRPr="00F31D0D">
        <w:rPr>
          <w:rFonts w:ascii="Book Antiqua" w:hAnsi="Book Antiqua"/>
          <w:sz w:val="24"/>
          <w:szCs w:val="24"/>
        </w:rPr>
        <w:t>Carneiro</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D’Albuquerque</w:t>
      </w:r>
      <w:proofErr w:type="spellEnd"/>
      <w:r w:rsidRPr="00F31D0D">
        <w:rPr>
          <w:rFonts w:ascii="Book Antiqua" w:hAnsi="Book Antiqua"/>
          <w:sz w:val="24"/>
          <w:szCs w:val="24"/>
        </w:rPr>
        <w:t xml:space="preserve"> LA co-designed the study, and provided financial support for this work; all co-authors reviewed and approved the final manuscript.</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sz w:val="24"/>
          <w:szCs w:val="24"/>
        </w:rPr>
      </w:pPr>
      <w:bookmarkStart w:id="2" w:name="OLE_LINK330"/>
      <w:bookmarkStart w:id="3" w:name="OLE_LINK331"/>
      <w:r w:rsidRPr="00F31D0D">
        <w:rPr>
          <w:rFonts w:ascii="Book Antiqua" w:hAnsi="Book Antiqua"/>
          <w:b/>
          <w:sz w:val="24"/>
          <w:szCs w:val="24"/>
        </w:rPr>
        <w:t>Supported by</w:t>
      </w:r>
      <w:bookmarkEnd w:id="2"/>
      <w:bookmarkEnd w:id="3"/>
      <w:r w:rsidRPr="00F31D0D">
        <w:rPr>
          <w:rFonts w:ascii="Book Antiqua" w:hAnsi="Book Antiqua"/>
          <w:sz w:val="24"/>
          <w:szCs w:val="24"/>
        </w:rPr>
        <w:t xml:space="preserve"> Department of Gastroenterology No.LIM-37/LIM07, School of Medicine, University of São Paulo, Brazil, supported this work</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 xml:space="preserve">Correspondence to: </w:t>
      </w:r>
      <w:r w:rsidRPr="00085BA6">
        <w:rPr>
          <w:rFonts w:ascii="Book Antiqua" w:hAnsi="Book Antiqua"/>
          <w:b/>
          <w:sz w:val="24"/>
          <w:szCs w:val="24"/>
        </w:rPr>
        <w:t xml:space="preserve">Mario Reis </w:t>
      </w:r>
      <w:proofErr w:type="spellStart"/>
      <w:r w:rsidRPr="00085BA6">
        <w:rPr>
          <w:rFonts w:ascii="Book Antiqua" w:hAnsi="Book Antiqua"/>
          <w:b/>
          <w:sz w:val="24"/>
          <w:szCs w:val="24"/>
        </w:rPr>
        <w:t>Alvares</w:t>
      </w:r>
      <w:proofErr w:type="spellEnd"/>
      <w:r w:rsidRPr="00085BA6">
        <w:rPr>
          <w:rFonts w:ascii="Book Antiqua" w:hAnsi="Book Antiqua"/>
          <w:b/>
          <w:sz w:val="24"/>
          <w:szCs w:val="24"/>
        </w:rPr>
        <w:t xml:space="preserve">-da-Silva, MD, PhD, </w:t>
      </w:r>
      <w:r w:rsidRPr="00F31D0D">
        <w:rPr>
          <w:rFonts w:ascii="Book Antiqua" w:hAnsi="Book Antiqua"/>
          <w:sz w:val="24"/>
          <w:szCs w:val="24"/>
        </w:rPr>
        <w:t xml:space="preserve">Division of Gastroenterology, Hospital de </w:t>
      </w:r>
      <w:proofErr w:type="spellStart"/>
      <w:r w:rsidRPr="00F31D0D">
        <w:rPr>
          <w:rFonts w:ascii="Book Antiqua" w:hAnsi="Book Antiqua"/>
          <w:sz w:val="24"/>
          <w:szCs w:val="24"/>
        </w:rPr>
        <w:t>Clínicas</w:t>
      </w:r>
      <w:proofErr w:type="spellEnd"/>
      <w:r w:rsidRPr="00F31D0D">
        <w:rPr>
          <w:rFonts w:ascii="Book Antiqua" w:hAnsi="Book Antiqua"/>
          <w:sz w:val="24"/>
          <w:szCs w:val="24"/>
        </w:rPr>
        <w:t xml:space="preserve"> de Porto </w:t>
      </w:r>
      <w:proofErr w:type="spellStart"/>
      <w:r w:rsidRPr="00F31D0D">
        <w:rPr>
          <w:rFonts w:ascii="Book Antiqua" w:hAnsi="Book Antiqua"/>
          <w:sz w:val="24"/>
          <w:szCs w:val="24"/>
        </w:rPr>
        <w:t>Alegre</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Universidade</w:t>
      </w:r>
      <w:proofErr w:type="spellEnd"/>
      <w:r w:rsidRPr="00F31D0D">
        <w:rPr>
          <w:rFonts w:ascii="Book Antiqua" w:hAnsi="Book Antiqua"/>
          <w:sz w:val="24"/>
          <w:szCs w:val="24"/>
        </w:rPr>
        <w:t xml:space="preserve"> Federal do Rio Grande do </w:t>
      </w:r>
      <w:proofErr w:type="spellStart"/>
      <w:r w:rsidRPr="00F31D0D">
        <w:rPr>
          <w:rFonts w:ascii="Book Antiqua" w:hAnsi="Book Antiqua"/>
          <w:sz w:val="24"/>
          <w:szCs w:val="24"/>
        </w:rPr>
        <w:t>Sul</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Rua</w:t>
      </w:r>
      <w:proofErr w:type="spellEnd"/>
      <w:r w:rsidRPr="00F31D0D">
        <w:rPr>
          <w:rFonts w:ascii="Book Antiqua" w:hAnsi="Book Antiqua"/>
          <w:sz w:val="24"/>
          <w:szCs w:val="24"/>
        </w:rPr>
        <w:t xml:space="preserve"> Ramiro </w:t>
      </w:r>
      <w:proofErr w:type="spellStart"/>
      <w:r w:rsidRPr="00F31D0D">
        <w:rPr>
          <w:rFonts w:ascii="Book Antiqua" w:hAnsi="Book Antiqua"/>
          <w:sz w:val="24"/>
          <w:szCs w:val="24"/>
        </w:rPr>
        <w:t>Barcellos</w:t>
      </w:r>
      <w:proofErr w:type="spellEnd"/>
      <w:r w:rsidRPr="00F31D0D">
        <w:rPr>
          <w:rFonts w:ascii="Book Antiqua" w:hAnsi="Book Antiqua"/>
          <w:sz w:val="24"/>
          <w:szCs w:val="24"/>
        </w:rPr>
        <w:t xml:space="preserve">, 2350, </w:t>
      </w:r>
      <w:proofErr w:type="spellStart"/>
      <w:r w:rsidRPr="00F31D0D">
        <w:rPr>
          <w:rFonts w:ascii="Book Antiqua" w:hAnsi="Book Antiqua"/>
          <w:sz w:val="24"/>
          <w:szCs w:val="24"/>
        </w:rPr>
        <w:t>sala</w:t>
      </w:r>
      <w:proofErr w:type="spellEnd"/>
      <w:r w:rsidRPr="00F31D0D">
        <w:rPr>
          <w:rFonts w:ascii="Book Antiqua" w:hAnsi="Book Antiqua"/>
          <w:sz w:val="24"/>
          <w:szCs w:val="24"/>
        </w:rPr>
        <w:t xml:space="preserve"> 2033, 90035-903 Porto </w:t>
      </w:r>
      <w:proofErr w:type="spellStart"/>
      <w:r w:rsidRPr="00F31D0D">
        <w:rPr>
          <w:rFonts w:ascii="Book Antiqua" w:hAnsi="Book Antiqua"/>
          <w:sz w:val="24"/>
          <w:szCs w:val="24"/>
        </w:rPr>
        <w:t>Ale</w:t>
      </w:r>
      <w:r w:rsidR="002E04BA">
        <w:rPr>
          <w:rFonts w:ascii="Book Antiqua" w:hAnsi="Book Antiqua"/>
          <w:sz w:val="24"/>
          <w:szCs w:val="24"/>
        </w:rPr>
        <w:t>gre</w:t>
      </w:r>
      <w:proofErr w:type="spellEnd"/>
      <w:r w:rsidR="002E04BA">
        <w:rPr>
          <w:rFonts w:ascii="Book Antiqua" w:hAnsi="Book Antiqua"/>
          <w:sz w:val="24"/>
          <w:szCs w:val="24"/>
        </w:rPr>
        <w:t>, Brazil. marioreis@live.com</w:t>
      </w: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Telephone</w:t>
      </w:r>
      <w:r w:rsidRPr="00F31D0D">
        <w:rPr>
          <w:rFonts w:ascii="Book Antiqua" w:hAnsi="Book Antiqua"/>
          <w:sz w:val="24"/>
          <w:szCs w:val="24"/>
        </w:rPr>
        <w:t xml:space="preserve">: +55-51-33598307 </w:t>
      </w:r>
      <w:r w:rsidRPr="00F31D0D">
        <w:rPr>
          <w:rFonts w:ascii="Book Antiqua" w:hAnsi="Book Antiqua"/>
          <w:sz w:val="24"/>
          <w:szCs w:val="24"/>
        </w:rPr>
        <w:tab/>
      </w:r>
      <w:r w:rsidRPr="00F31D0D">
        <w:rPr>
          <w:rFonts w:ascii="Book Antiqua" w:hAnsi="Book Antiqua"/>
          <w:sz w:val="24"/>
          <w:szCs w:val="24"/>
        </w:rPr>
        <w:tab/>
      </w:r>
      <w:r w:rsidRPr="00F31D0D">
        <w:rPr>
          <w:rFonts w:ascii="Book Antiqua" w:hAnsi="Book Antiqua"/>
          <w:b/>
          <w:sz w:val="24"/>
          <w:szCs w:val="24"/>
        </w:rPr>
        <w:t>Fax</w:t>
      </w:r>
      <w:r w:rsidRPr="00F31D0D">
        <w:rPr>
          <w:rFonts w:ascii="Book Antiqua" w:hAnsi="Book Antiqua"/>
          <w:sz w:val="24"/>
          <w:szCs w:val="24"/>
        </w:rPr>
        <w:t xml:space="preserve">: +55-51-33598307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Received</w:t>
      </w:r>
      <w:r w:rsidRPr="00F31D0D">
        <w:rPr>
          <w:rFonts w:ascii="Book Antiqua" w:hAnsi="Book Antiqua"/>
          <w:sz w:val="24"/>
          <w:szCs w:val="24"/>
        </w:rPr>
        <w:t>: January 30, 2014</w:t>
      </w:r>
      <w:r w:rsidRPr="00F31D0D">
        <w:rPr>
          <w:rFonts w:ascii="Book Antiqua" w:hAnsi="Book Antiqua"/>
          <w:sz w:val="24"/>
          <w:szCs w:val="24"/>
        </w:rPr>
        <w:tab/>
      </w:r>
      <w:r w:rsidRPr="00F31D0D">
        <w:rPr>
          <w:rFonts w:ascii="Book Antiqua" w:hAnsi="Book Antiqua"/>
          <w:sz w:val="24"/>
          <w:szCs w:val="24"/>
        </w:rPr>
        <w:tab/>
      </w:r>
      <w:r w:rsidRPr="00F31D0D">
        <w:rPr>
          <w:rFonts w:ascii="Book Antiqua" w:hAnsi="Book Antiqua"/>
          <w:b/>
          <w:sz w:val="24"/>
          <w:szCs w:val="24"/>
        </w:rPr>
        <w:t>Revised</w:t>
      </w:r>
      <w:r w:rsidRPr="00F31D0D">
        <w:rPr>
          <w:rFonts w:ascii="Book Antiqua" w:hAnsi="Book Antiqua"/>
          <w:sz w:val="24"/>
          <w:szCs w:val="24"/>
        </w:rPr>
        <w:t>: March 18, 2014</w:t>
      </w:r>
    </w:p>
    <w:p w:rsidR="00534995" w:rsidRDefault="00534995" w:rsidP="00534995">
      <w:pPr>
        <w:rPr>
          <w:rFonts w:ascii="Book Antiqua" w:hAnsi="Book Antiqua" w:hint="eastAsia"/>
          <w:sz w:val="24"/>
          <w:szCs w:val="24"/>
        </w:rPr>
      </w:pPr>
      <w:r>
        <w:rPr>
          <w:rFonts w:ascii="Book Antiqua" w:hAnsi="Book Antiqua"/>
          <w:b/>
          <w:sz w:val="24"/>
          <w:szCs w:val="24"/>
        </w:rPr>
        <w:t>Accepted:</w:t>
      </w:r>
      <w:r>
        <w:rPr>
          <w:rFonts w:ascii="Book Antiqua" w:hAnsi="Book Antiqua" w:hint="eastAsia"/>
          <w:b/>
          <w:sz w:val="24"/>
          <w:szCs w:val="24"/>
        </w:rPr>
        <w:t xml:space="preserve"> </w:t>
      </w:r>
      <w:bookmarkStart w:id="4" w:name="_GoBack"/>
      <w:bookmarkEnd w:id="4"/>
      <w:r w:rsidRPr="006045E8">
        <w:rPr>
          <w:rFonts w:ascii="Book Antiqua" w:hAnsi="Book Antiqua"/>
          <w:sz w:val="24"/>
          <w:szCs w:val="24"/>
        </w:rPr>
        <w:t>April 15, 2014</w:t>
      </w:r>
    </w:p>
    <w:p w:rsidR="00F31D0D" w:rsidRPr="00F31D0D" w:rsidRDefault="00F31D0D" w:rsidP="00F31D0D">
      <w:pPr>
        <w:spacing w:line="360" w:lineRule="auto"/>
        <w:rPr>
          <w:rFonts w:ascii="Book Antiqua" w:hAnsi="Book Antiqua"/>
          <w:b/>
          <w:sz w:val="24"/>
          <w:szCs w:val="24"/>
        </w:rPr>
      </w:pP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 xml:space="preserve">Published online: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widowControl/>
        <w:spacing w:line="360" w:lineRule="auto"/>
        <w:jc w:val="left"/>
        <w:rPr>
          <w:rFonts w:ascii="Book Antiqua" w:hAnsi="Book Antiqua"/>
          <w:sz w:val="24"/>
          <w:szCs w:val="24"/>
        </w:rPr>
      </w:pPr>
      <w:r w:rsidRPr="00F31D0D">
        <w:rPr>
          <w:rFonts w:ascii="Book Antiqua" w:hAnsi="Book Antiqua"/>
          <w:sz w:val="24"/>
          <w:szCs w:val="24"/>
        </w:rPr>
        <w:br w:type="page"/>
      </w: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lastRenderedPageBreak/>
        <w:t>Abstract</w:t>
      </w: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AIM</w:t>
      </w:r>
      <w:r w:rsidRPr="00F31D0D">
        <w:rPr>
          <w:rFonts w:ascii="Book Antiqua" w:hAnsi="Book Antiqua"/>
          <w:sz w:val="24"/>
          <w:szCs w:val="24"/>
        </w:rPr>
        <w:t xml:space="preserve">: To investigate pro-atherosclerotic markers (endothelial dysfunction and inflammation) in patients one year after liver transplantation.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METHODS</w:t>
      </w:r>
      <w:r w:rsidRPr="00F31D0D">
        <w:rPr>
          <w:rFonts w:ascii="Book Antiqua" w:hAnsi="Book Antiqua"/>
          <w:sz w:val="24"/>
          <w:szCs w:val="24"/>
        </w:rPr>
        <w:t xml:space="preserve">: Forty-four consecutive liver transplant (LT) outpatients who were admitted between August 2009 and July 2010, were followed-up by for 1 year, exhibited no evidences of infection or rejection, all of them underwent </w:t>
      </w:r>
      <w:proofErr w:type="spellStart"/>
      <w:r w:rsidRPr="00F31D0D">
        <w:rPr>
          <w:rFonts w:ascii="Book Antiqua" w:hAnsi="Book Antiqua"/>
          <w:sz w:val="24"/>
          <w:szCs w:val="24"/>
        </w:rPr>
        <w:t>tacrolimus</w:t>
      </w:r>
      <w:proofErr w:type="spellEnd"/>
      <w:r w:rsidRPr="00F31D0D">
        <w:rPr>
          <w:rFonts w:ascii="Book Antiqua" w:hAnsi="Book Antiqua"/>
          <w:sz w:val="24"/>
          <w:szCs w:val="24"/>
        </w:rPr>
        <w:t>-based immunosuppressive regimens were consecutively enrolled. Inflammatory cytokines (TNF, IFN</w:t>
      </w:r>
      <w:r w:rsidRPr="00F31D0D">
        <w:rPr>
          <w:rFonts w:ascii="Book Antiqua" w:hAnsi="Book Antiqua"/>
          <w:sz w:val="24"/>
          <w:szCs w:val="24"/>
        </w:rPr>
        <w:t xml:space="preserve">, IL-8, and IL-10), endothelial biomarkers (sVCAM-1, sICAM-1, MPO, </w:t>
      </w:r>
      <w:proofErr w:type="spellStart"/>
      <w:r w:rsidRPr="00F31D0D">
        <w:rPr>
          <w:rFonts w:ascii="Book Antiqua" w:hAnsi="Book Antiqua"/>
          <w:sz w:val="24"/>
          <w:szCs w:val="24"/>
        </w:rPr>
        <w:t>adiponectin</w:t>
      </w:r>
      <w:proofErr w:type="spellEnd"/>
      <w:r w:rsidRPr="00F31D0D">
        <w:rPr>
          <w:rFonts w:ascii="Book Antiqua" w:hAnsi="Book Antiqua"/>
          <w:sz w:val="24"/>
          <w:szCs w:val="24"/>
        </w:rPr>
        <w:t>, PAI-1, SAP, SAA, E-</w:t>
      </w:r>
      <w:proofErr w:type="spellStart"/>
      <w:r w:rsidRPr="00F31D0D">
        <w:rPr>
          <w:rFonts w:ascii="Book Antiqua" w:hAnsi="Book Antiqua"/>
          <w:sz w:val="24"/>
          <w:szCs w:val="24"/>
        </w:rPr>
        <w:t>selectin</w:t>
      </w:r>
      <w:proofErr w:type="spellEnd"/>
      <w:r w:rsidRPr="00F31D0D">
        <w:rPr>
          <w:rFonts w:ascii="Book Antiqua" w:hAnsi="Book Antiqua"/>
          <w:sz w:val="24"/>
          <w:szCs w:val="24"/>
        </w:rPr>
        <w:t xml:space="preserve">, and MMP-9), high sensitive C-reactive protein, and Framingham risk score (FRS) were assessed. The anthropometric data, aminotransferases, metabolic syndrome features, glucose and lipid profiles, and insulin resistance data were also collected. The LT recipients were compared to 22 biopsy-proven non-alcoholic </w:t>
      </w:r>
      <w:proofErr w:type="spellStart"/>
      <w:r w:rsidRPr="00F31D0D">
        <w:rPr>
          <w:rFonts w:ascii="Book Antiqua" w:hAnsi="Book Antiqua"/>
          <w:sz w:val="24"/>
          <w:szCs w:val="24"/>
        </w:rPr>
        <w:t>steatohepatitis</w:t>
      </w:r>
      <w:proofErr w:type="spellEnd"/>
      <w:r w:rsidRPr="00F31D0D">
        <w:rPr>
          <w:rFonts w:ascii="Book Antiqua" w:hAnsi="Book Antiqua"/>
          <w:sz w:val="24"/>
          <w:szCs w:val="24"/>
        </w:rPr>
        <w:t xml:space="preserve"> (NASH) patients and 20 healthy controls (non-obese, non-diabetics, and non-</w:t>
      </w:r>
      <w:proofErr w:type="spellStart"/>
      <w:r w:rsidRPr="00F31D0D">
        <w:rPr>
          <w:rFonts w:ascii="Book Antiqua" w:hAnsi="Book Antiqua"/>
          <w:sz w:val="24"/>
          <w:szCs w:val="24"/>
        </w:rPr>
        <w:t>dyslipidemic</w:t>
      </w:r>
      <w:proofErr w:type="spellEnd"/>
      <w:r w:rsidRPr="00F31D0D">
        <w:rPr>
          <w:rFonts w:ascii="Book Antiqua" w:hAnsi="Book Antiqua"/>
          <w:sz w:val="24"/>
          <w:szCs w:val="24"/>
        </w:rPr>
        <w:t xml:space="preserve">).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RESULTS</w:t>
      </w:r>
      <w:r w:rsidRPr="00F31D0D">
        <w:rPr>
          <w:rFonts w:ascii="Book Antiqua" w:hAnsi="Book Antiqua"/>
          <w:sz w:val="24"/>
          <w:szCs w:val="24"/>
        </w:rPr>
        <w:t>: The LT recipients had significantly younger ages and lower body mass indices, aminotransferases, fasting glucose and insulin levels, glucose homeostasis model and metabolic syndrome features than the NASH patients. Classic cardiovascular risk markers, such as Hs-CRP and FRS [2.0 (1.0-8.75)], were lower in the LT patients compared to those observed in the NASH patients (</w:t>
      </w:r>
      <w:r w:rsidRPr="001B3BB0">
        <w:rPr>
          <w:rFonts w:ascii="Book Antiqua" w:hAnsi="Book Antiqua"/>
          <w:i/>
          <w:sz w:val="24"/>
          <w:szCs w:val="24"/>
        </w:rPr>
        <w:t>P</w:t>
      </w:r>
      <w:r w:rsidRPr="00F31D0D">
        <w:rPr>
          <w:rFonts w:ascii="Book Antiqua" w:hAnsi="Book Antiqua"/>
          <w:sz w:val="24"/>
          <w:szCs w:val="24"/>
        </w:rPr>
        <w:t xml:space="preserve"> = 0.009). In contrast, the LT recipients and NASH patients had similar inflammatory and endothelial serum markers compared to the controls (</w:t>
      </w:r>
      <w:proofErr w:type="spellStart"/>
      <w:r w:rsidRPr="00F31D0D">
        <w:rPr>
          <w:rFonts w:ascii="Book Antiqua" w:hAnsi="Book Antiqua"/>
          <w:sz w:val="24"/>
          <w:szCs w:val="24"/>
        </w:rPr>
        <w:t>pg</w:t>
      </w:r>
      <w:proofErr w:type="spellEnd"/>
      <w:r w:rsidRPr="00F31D0D">
        <w:rPr>
          <w:rFonts w:ascii="Book Antiqua" w:hAnsi="Book Antiqua"/>
          <w:sz w:val="24"/>
          <w:szCs w:val="24"/>
        </w:rPr>
        <w:t>/mL): lower</w:t>
      </w:r>
      <w:r w:rsidR="001B3BB0">
        <w:rPr>
          <w:rFonts w:ascii="Book Antiqua" w:hAnsi="Book Antiqua"/>
          <w:sz w:val="24"/>
          <w:szCs w:val="24"/>
        </w:rPr>
        <w:t xml:space="preserve"> IL-10 levels (32.3 and 32.3 </w:t>
      </w:r>
      <w:r w:rsidR="001B3BB0" w:rsidRPr="001B3BB0">
        <w:rPr>
          <w:rFonts w:ascii="Book Antiqua" w:hAnsi="Book Antiqua"/>
          <w:i/>
          <w:sz w:val="24"/>
          <w:szCs w:val="24"/>
        </w:rPr>
        <w:t>vs</w:t>
      </w:r>
      <w:r w:rsidRPr="00F31D0D">
        <w:rPr>
          <w:rFonts w:ascii="Book Antiqua" w:hAnsi="Book Antiqua"/>
          <w:sz w:val="24"/>
          <w:szCs w:val="24"/>
        </w:rPr>
        <w:t xml:space="preserve"> 62.5, respectively, </w:t>
      </w:r>
      <w:r w:rsidRPr="001B3BB0">
        <w:rPr>
          <w:rFonts w:ascii="Book Antiqua" w:hAnsi="Book Antiqua"/>
          <w:i/>
          <w:sz w:val="24"/>
          <w:szCs w:val="24"/>
        </w:rPr>
        <w:t xml:space="preserve">P </w:t>
      </w:r>
      <w:r w:rsidRPr="00F31D0D">
        <w:rPr>
          <w:rFonts w:ascii="Book Antiqua" w:hAnsi="Book Antiqua"/>
          <w:sz w:val="24"/>
          <w:szCs w:val="24"/>
        </w:rPr>
        <w:t>= 0.019) and higher IFN</w:t>
      </w:r>
      <w:r w:rsidRPr="00F31D0D">
        <w:rPr>
          <w:rFonts w:ascii="Book Antiqua" w:hAnsi="Book Antiqua"/>
          <w:sz w:val="24"/>
          <w:szCs w:val="24"/>
        </w:rPr>
        <w:t xml:space="preserve"> (626.1 and 411.9 </w:t>
      </w:r>
      <w:r w:rsidRPr="001B3BB0">
        <w:rPr>
          <w:rFonts w:ascii="Book Antiqua" w:hAnsi="Book Antiqua"/>
          <w:i/>
          <w:sz w:val="24"/>
          <w:szCs w:val="24"/>
        </w:rPr>
        <w:t>vs</w:t>
      </w:r>
      <w:r w:rsidRPr="00F31D0D">
        <w:rPr>
          <w:rFonts w:ascii="Book Antiqua" w:hAnsi="Book Antiqua"/>
          <w:sz w:val="24"/>
          <w:szCs w:val="24"/>
        </w:rPr>
        <w:t xml:space="preserve"> 67.9, respectively, </w:t>
      </w:r>
      <w:r w:rsidRPr="001B3BB0">
        <w:rPr>
          <w:rFonts w:ascii="Book Antiqua" w:hAnsi="Book Antiqua"/>
          <w:i/>
          <w:sz w:val="24"/>
          <w:szCs w:val="24"/>
        </w:rPr>
        <w:t>P</w:t>
      </w:r>
      <w:r w:rsidRPr="00F31D0D">
        <w:rPr>
          <w:rFonts w:ascii="Book Antiqua" w:hAnsi="Book Antiqua"/>
          <w:sz w:val="24"/>
          <w:szCs w:val="24"/>
        </w:rPr>
        <w:t xml:space="preserve"> &lt; 0.001), E-</w:t>
      </w:r>
      <w:proofErr w:type="spellStart"/>
      <w:r w:rsidRPr="00F31D0D">
        <w:rPr>
          <w:rFonts w:ascii="Book Antiqua" w:hAnsi="Book Antiqua"/>
          <w:sz w:val="24"/>
          <w:szCs w:val="24"/>
        </w:rPr>
        <w:t>selectin</w:t>
      </w:r>
      <w:proofErr w:type="spellEnd"/>
      <w:r w:rsidRPr="00F31D0D">
        <w:rPr>
          <w:rFonts w:ascii="Book Antiqua" w:hAnsi="Book Antiqua"/>
          <w:sz w:val="24"/>
          <w:szCs w:val="24"/>
        </w:rPr>
        <w:t xml:space="preserve"> (48.5 and 90.03 </w:t>
      </w:r>
      <w:r w:rsidRPr="001B3BB0">
        <w:rPr>
          <w:rFonts w:ascii="Book Antiqua" w:hAnsi="Book Antiqua"/>
          <w:i/>
          <w:sz w:val="24"/>
          <w:szCs w:val="24"/>
        </w:rPr>
        <w:t>vs</w:t>
      </w:r>
      <w:r w:rsidRPr="00F31D0D">
        <w:rPr>
          <w:rFonts w:ascii="Book Antiqua" w:hAnsi="Book Antiqua"/>
          <w:sz w:val="24"/>
          <w:szCs w:val="24"/>
        </w:rPr>
        <w:t xml:space="preserve"> 35.7, respectively, </w:t>
      </w:r>
      <w:r w:rsidRPr="001B3BB0">
        <w:rPr>
          <w:rFonts w:ascii="Book Antiqua" w:hAnsi="Book Antiqua"/>
          <w:i/>
          <w:sz w:val="24"/>
          <w:szCs w:val="24"/>
        </w:rPr>
        <w:t>P</w:t>
      </w:r>
      <w:r w:rsidRPr="00F31D0D">
        <w:rPr>
          <w:rFonts w:ascii="Book Antiqua" w:hAnsi="Book Antiqua"/>
          <w:sz w:val="24"/>
          <w:szCs w:val="24"/>
        </w:rPr>
        <w:t xml:space="preserve"> &lt; 0.001), sVCAM-1 (1820.6 and 1692.4 </w:t>
      </w:r>
      <w:r w:rsidRPr="001B3BB0">
        <w:rPr>
          <w:rFonts w:ascii="Book Antiqua" w:hAnsi="Book Antiqua"/>
          <w:i/>
          <w:sz w:val="24"/>
          <w:szCs w:val="24"/>
        </w:rPr>
        <w:t>vs</w:t>
      </w:r>
      <w:r w:rsidRPr="00F31D0D">
        <w:rPr>
          <w:rFonts w:ascii="Book Antiqua" w:hAnsi="Book Antiqua"/>
          <w:sz w:val="24"/>
          <w:szCs w:val="24"/>
        </w:rPr>
        <w:t xml:space="preserve"> 1167.2, respectively,</w:t>
      </w:r>
      <w:r w:rsidRPr="001B3BB0">
        <w:rPr>
          <w:rFonts w:ascii="Book Antiqua" w:hAnsi="Book Antiqua"/>
          <w:i/>
          <w:sz w:val="24"/>
          <w:szCs w:val="24"/>
        </w:rPr>
        <w:t xml:space="preserve"> P </w:t>
      </w:r>
      <w:r w:rsidRPr="00F31D0D">
        <w:rPr>
          <w:rFonts w:ascii="Book Antiqua" w:hAnsi="Book Antiqua"/>
          <w:sz w:val="24"/>
          <w:szCs w:val="24"/>
        </w:rPr>
        <w:t xml:space="preserve">&lt; 0.001), </w:t>
      </w:r>
      <w:r w:rsidR="001B3BB0">
        <w:rPr>
          <w:rFonts w:ascii="Book Antiqua" w:hAnsi="Book Antiqua"/>
          <w:sz w:val="24"/>
          <w:szCs w:val="24"/>
        </w:rPr>
        <w:t xml:space="preserve">and sICAM-1 (230.3 and 259.7 </w:t>
      </w:r>
      <w:r w:rsidR="001B3BB0" w:rsidRPr="001B3BB0">
        <w:rPr>
          <w:rFonts w:ascii="Book Antiqua" w:hAnsi="Book Antiqua"/>
          <w:i/>
          <w:sz w:val="24"/>
          <w:szCs w:val="24"/>
        </w:rPr>
        <w:t>vs</w:t>
      </w:r>
      <w:r w:rsidRPr="00F31D0D">
        <w:rPr>
          <w:rFonts w:ascii="Book Antiqua" w:hAnsi="Book Antiqua"/>
          <w:sz w:val="24"/>
          <w:szCs w:val="24"/>
        </w:rPr>
        <w:t xml:space="preserve"> 152.9, respectively, </w:t>
      </w:r>
      <w:r w:rsidRPr="001B3BB0">
        <w:rPr>
          <w:rFonts w:ascii="Book Antiqua" w:hAnsi="Book Antiqua"/>
          <w:i/>
          <w:sz w:val="24"/>
          <w:szCs w:val="24"/>
        </w:rPr>
        <w:t xml:space="preserve">P </w:t>
      </w:r>
      <w:r w:rsidRPr="00F31D0D">
        <w:rPr>
          <w:rFonts w:ascii="Book Antiqua" w:hAnsi="Book Antiqua"/>
          <w:sz w:val="24"/>
          <w:szCs w:val="24"/>
        </w:rPr>
        <w:t xml:space="preserve">= 0.015) levels.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lastRenderedPageBreak/>
        <w:t>CONCLUSIONS</w:t>
      </w:r>
      <w:r w:rsidRPr="00F31D0D">
        <w:rPr>
          <w:rFonts w:ascii="Book Antiqua" w:hAnsi="Book Antiqua"/>
          <w:sz w:val="24"/>
          <w:szCs w:val="24"/>
        </w:rPr>
        <w:t>: Non-obese LT recipients have similar pro-atherosclerotic serum profiles after a short 1-year follow-up period compared to NASH patients, suggesting a high risk of atherosclerosis in this population.</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 2014 </w:t>
      </w:r>
      <w:proofErr w:type="spellStart"/>
      <w:r w:rsidRPr="00F31D0D">
        <w:rPr>
          <w:rFonts w:ascii="Book Antiqua" w:hAnsi="Book Antiqua"/>
          <w:sz w:val="24"/>
          <w:szCs w:val="24"/>
        </w:rPr>
        <w:t>Baishideng</w:t>
      </w:r>
      <w:proofErr w:type="spellEnd"/>
      <w:r w:rsidRPr="00F31D0D">
        <w:rPr>
          <w:rFonts w:ascii="Book Antiqua" w:hAnsi="Book Antiqua"/>
          <w:sz w:val="24"/>
          <w:szCs w:val="24"/>
        </w:rPr>
        <w:t xml:space="preserve"> Publishing Group Co., Limited. All rights reserved.</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Key words</w:t>
      </w:r>
      <w:r w:rsidRPr="00F31D0D">
        <w:rPr>
          <w:rFonts w:ascii="Book Antiqua" w:hAnsi="Book Antiqua"/>
          <w:sz w:val="24"/>
          <w:szCs w:val="24"/>
        </w:rPr>
        <w:t xml:space="preserve">: Cell adhesion molecules; </w:t>
      </w:r>
      <w:proofErr w:type="gramStart"/>
      <w:r w:rsidRPr="00F31D0D">
        <w:rPr>
          <w:rFonts w:ascii="Book Antiqua" w:hAnsi="Book Antiqua"/>
          <w:sz w:val="24"/>
          <w:szCs w:val="24"/>
        </w:rPr>
        <w:t>Endothelial</w:t>
      </w:r>
      <w:proofErr w:type="gramEnd"/>
      <w:r w:rsidRPr="00F31D0D">
        <w:rPr>
          <w:rFonts w:ascii="Book Antiqua" w:hAnsi="Book Antiqua"/>
          <w:sz w:val="24"/>
          <w:szCs w:val="24"/>
        </w:rPr>
        <w:t xml:space="preserve"> biomarkers; Cardiovascular disease; Nonalcoholic </w:t>
      </w:r>
      <w:proofErr w:type="spellStart"/>
      <w:r w:rsidRPr="00F31D0D">
        <w:rPr>
          <w:rFonts w:ascii="Book Antiqua" w:hAnsi="Book Antiqua"/>
          <w:sz w:val="24"/>
          <w:szCs w:val="24"/>
        </w:rPr>
        <w:t>steatohepatitis</w:t>
      </w:r>
      <w:proofErr w:type="spellEnd"/>
      <w:r w:rsidRPr="00F31D0D">
        <w:rPr>
          <w:rFonts w:ascii="Book Antiqua" w:hAnsi="Book Antiqua"/>
          <w:sz w:val="24"/>
          <w:szCs w:val="24"/>
        </w:rPr>
        <w:t>; Metabolic syndrome.</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t>Core tip</w:t>
      </w:r>
      <w:r w:rsidRPr="00F31D0D">
        <w:rPr>
          <w:rFonts w:ascii="Book Antiqua" w:hAnsi="Book Antiqua"/>
          <w:sz w:val="24"/>
          <w:szCs w:val="24"/>
        </w:rPr>
        <w:t xml:space="preserve">: Liver transplant (LT) patients a have high risk of long-term development of cardiovascular disease (CVD), which is currently recognized as an important cause of death 5 to 10 years after transplant in this population. Atherosclerosis is a hallmark of CVD, with both disorders involving a prolonged asymptomatic phase and often leading to morbidity and mortality upon initial clinical presentation. Regardless, endothelial dysfunction is the first step in developing early atherosclerosis. In the present study, we evaluated inflammatory and endothelial markers one year after transplantation in asymptomatic LT recipients in comparison to high-CVD-risk biopsy-proven nonalcoholic </w:t>
      </w:r>
      <w:proofErr w:type="spellStart"/>
      <w:r w:rsidRPr="00F31D0D">
        <w:rPr>
          <w:rFonts w:ascii="Book Antiqua" w:hAnsi="Book Antiqua"/>
          <w:sz w:val="24"/>
          <w:szCs w:val="24"/>
        </w:rPr>
        <w:t>steatohepatitis</w:t>
      </w:r>
      <w:proofErr w:type="spellEnd"/>
      <w:r w:rsidRPr="00F31D0D">
        <w:rPr>
          <w:rFonts w:ascii="Book Antiqua" w:hAnsi="Book Antiqua"/>
          <w:sz w:val="24"/>
          <w:szCs w:val="24"/>
        </w:rPr>
        <w:t xml:space="preserve"> (NASH) patients and healthy controls. We found that LT recipients had pro-inflammatory profiles and endothelial dysfunction similar to those of NASH patients, both of which were higher than those in the compared controls. These findings suggest that LT recipients, even in a short 1-year follow-up period, display a high atherosclerotic risk and should be carefully monitored to effectively prevent CVD.</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roofErr w:type="spellStart"/>
      <w:r w:rsidRPr="00F31D0D">
        <w:rPr>
          <w:rFonts w:ascii="Book Antiqua" w:hAnsi="Book Antiqua"/>
          <w:sz w:val="24"/>
          <w:szCs w:val="24"/>
        </w:rPr>
        <w:t>Alvares</w:t>
      </w:r>
      <w:proofErr w:type="spellEnd"/>
      <w:r w:rsidRPr="00F31D0D">
        <w:rPr>
          <w:rFonts w:ascii="Book Antiqua" w:hAnsi="Book Antiqua"/>
          <w:sz w:val="24"/>
          <w:szCs w:val="24"/>
        </w:rPr>
        <w:t xml:space="preserve">-da-Silva MR, Oliveira CP, Stefano JT, </w:t>
      </w:r>
      <w:proofErr w:type="spellStart"/>
      <w:r w:rsidRPr="00F31D0D">
        <w:rPr>
          <w:rFonts w:ascii="Book Antiqua" w:hAnsi="Book Antiqua"/>
          <w:sz w:val="24"/>
          <w:szCs w:val="24"/>
        </w:rPr>
        <w:t>Barbeiro</w:t>
      </w:r>
      <w:proofErr w:type="spellEnd"/>
      <w:r w:rsidRPr="00F31D0D">
        <w:rPr>
          <w:rFonts w:ascii="Book Antiqua" w:hAnsi="Book Antiqua"/>
          <w:sz w:val="24"/>
          <w:szCs w:val="24"/>
        </w:rPr>
        <w:t xml:space="preserve"> D, </w:t>
      </w:r>
      <w:proofErr w:type="spellStart"/>
      <w:r w:rsidRPr="00F31D0D">
        <w:rPr>
          <w:rFonts w:ascii="Book Antiqua" w:hAnsi="Book Antiqua"/>
          <w:sz w:val="24"/>
          <w:szCs w:val="24"/>
        </w:rPr>
        <w:t>Barbeiro</w:t>
      </w:r>
      <w:proofErr w:type="spellEnd"/>
      <w:r w:rsidRPr="00F31D0D">
        <w:rPr>
          <w:rFonts w:ascii="Book Antiqua" w:hAnsi="Book Antiqua"/>
          <w:sz w:val="24"/>
          <w:szCs w:val="24"/>
        </w:rPr>
        <w:t xml:space="preserve"> HV, Soriano FG, Farias AQ, </w:t>
      </w:r>
      <w:proofErr w:type="spellStart"/>
      <w:r w:rsidRPr="00F31D0D">
        <w:rPr>
          <w:rFonts w:ascii="Book Antiqua" w:hAnsi="Book Antiqua"/>
          <w:sz w:val="24"/>
          <w:szCs w:val="24"/>
        </w:rPr>
        <w:t>Carrilho</w:t>
      </w:r>
      <w:proofErr w:type="spellEnd"/>
      <w:r w:rsidRPr="00F31D0D">
        <w:rPr>
          <w:rFonts w:ascii="Book Antiqua" w:hAnsi="Book Antiqua"/>
          <w:sz w:val="24"/>
          <w:szCs w:val="24"/>
        </w:rPr>
        <w:t xml:space="preserve"> FJ, </w:t>
      </w:r>
      <w:proofErr w:type="spellStart"/>
      <w:r w:rsidRPr="00F31D0D">
        <w:rPr>
          <w:rFonts w:ascii="Book Antiqua" w:hAnsi="Book Antiqua"/>
          <w:sz w:val="24"/>
          <w:szCs w:val="24"/>
        </w:rPr>
        <w:t>Carneiro</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D’Albuquerque</w:t>
      </w:r>
      <w:proofErr w:type="spellEnd"/>
      <w:r w:rsidRPr="00F31D0D">
        <w:rPr>
          <w:rFonts w:ascii="Book Antiqua" w:hAnsi="Book Antiqua"/>
          <w:sz w:val="24"/>
          <w:szCs w:val="24"/>
        </w:rPr>
        <w:t xml:space="preserve"> LA. </w:t>
      </w:r>
      <w:proofErr w:type="gramStart"/>
      <w:r w:rsidRPr="00F31D0D">
        <w:rPr>
          <w:rFonts w:ascii="Book Antiqua" w:hAnsi="Book Antiqua"/>
          <w:sz w:val="24"/>
          <w:szCs w:val="24"/>
        </w:rPr>
        <w:t>Pro-atherosclerotic markers and cardiovascular risk factors one year after liver transplantation.</w:t>
      </w:r>
      <w:proofErr w:type="gramEnd"/>
    </w:p>
    <w:p w:rsidR="00F31D0D" w:rsidRPr="00F31D0D" w:rsidRDefault="00F31D0D" w:rsidP="00F31D0D">
      <w:pPr>
        <w:spacing w:line="360" w:lineRule="auto"/>
        <w:rPr>
          <w:rFonts w:ascii="Book Antiqua" w:hAnsi="Book Antiqua"/>
          <w:sz w:val="24"/>
          <w:szCs w:val="24"/>
        </w:rPr>
      </w:pPr>
      <w:r w:rsidRPr="00F31D0D">
        <w:rPr>
          <w:rFonts w:ascii="Book Antiqua" w:hAnsi="Book Antiqua"/>
          <w:i/>
          <w:sz w:val="24"/>
          <w:szCs w:val="24"/>
        </w:rPr>
        <w:lastRenderedPageBreak/>
        <w:t xml:space="preserve">World J </w:t>
      </w:r>
      <w:proofErr w:type="spellStart"/>
      <w:r w:rsidRPr="00F31D0D">
        <w:rPr>
          <w:rFonts w:ascii="Book Antiqua" w:hAnsi="Book Antiqua"/>
          <w:i/>
          <w:sz w:val="24"/>
          <w:szCs w:val="24"/>
        </w:rPr>
        <w:t>Gastroenterol</w:t>
      </w:r>
      <w:proofErr w:type="spellEnd"/>
      <w:r w:rsidRPr="00F31D0D">
        <w:rPr>
          <w:rFonts w:ascii="Book Antiqua" w:hAnsi="Book Antiqua"/>
          <w:i/>
          <w:sz w:val="24"/>
          <w:szCs w:val="24"/>
        </w:rPr>
        <w:t xml:space="preserve"> </w:t>
      </w:r>
      <w:r w:rsidRPr="00F31D0D">
        <w:rPr>
          <w:rFonts w:ascii="Book Antiqua" w:hAnsi="Book Antiqua"/>
          <w:sz w:val="24"/>
          <w:szCs w:val="24"/>
        </w:rPr>
        <w:t xml:space="preserve">2014;  </w:t>
      </w:r>
    </w:p>
    <w:p w:rsidR="00F31D0D" w:rsidRPr="001B3BB0" w:rsidRDefault="00F31D0D" w:rsidP="00F31D0D">
      <w:pPr>
        <w:spacing w:line="360" w:lineRule="auto"/>
        <w:rPr>
          <w:rFonts w:ascii="Book Antiqua" w:hAnsi="Book Antiqua"/>
          <w:b/>
          <w:sz w:val="24"/>
          <w:szCs w:val="24"/>
        </w:rPr>
      </w:pPr>
      <w:r w:rsidRPr="001B3BB0">
        <w:rPr>
          <w:rFonts w:ascii="Book Antiqua" w:hAnsi="Book Antiqua"/>
          <w:b/>
          <w:sz w:val="24"/>
          <w:szCs w:val="24"/>
        </w:rPr>
        <w:t>Available from:</w:t>
      </w:r>
    </w:p>
    <w:p w:rsidR="00F31D0D" w:rsidRPr="001B3BB0" w:rsidRDefault="00F31D0D" w:rsidP="00F31D0D">
      <w:pPr>
        <w:spacing w:line="360" w:lineRule="auto"/>
        <w:rPr>
          <w:rFonts w:ascii="Book Antiqua" w:hAnsi="Book Antiqua"/>
          <w:b/>
          <w:sz w:val="24"/>
          <w:szCs w:val="24"/>
        </w:rPr>
      </w:pPr>
      <w:r w:rsidRPr="001B3BB0">
        <w:rPr>
          <w:rFonts w:ascii="Book Antiqua" w:hAnsi="Book Antiqua"/>
          <w:b/>
          <w:sz w:val="24"/>
          <w:szCs w:val="24"/>
        </w:rPr>
        <w:t xml:space="preserve">DOI: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1B3BB0" w:rsidRDefault="001B3BB0">
      <w:pPr>
        <w:widowControl/>
        <w:jc w:val="left"/>
        <w:rPr>
          <w:rFonts w:ascii="Book Antiqua" w:hAnsi="Book Antiqua"/>
          <w:b/>
          <w:sz w:val="24"/>
          <w:szCs w:val="24"/>
        </w:rPr>
      </w:pPr>
      <w:r>
        <w:rPr>
          <w:rFonts w:ascii="Book Antiqua" w:hAnsi="Book Antiqua"/>
          <w:b/>
          <w:sz w:val="24"/>
          <w:szCs w:val="24"/>
        </w:rPr>
        <w:br w:type="page"/>
      </w:r>
    </w:p>
    <w:p w:rsidR="00F31D0D" w:rsidRPr="00F31D0D" w:rsidRDefault="00F31D0D" w:rsidP="00F31D0D">
      <w:pPr>
        <w:spacing w:line="360" w:lineRule="auto"/>
        <w:rPr>
          <w:rFonts w:ascii="Book Antiqua" w:hAnsi="Book Antiqua"/>
          <w:sz w:val="24"/>
          <w:szCs w:val="24"/>
        </w:rPr>
      </w:pPr>
      <w:r w:rsidRPr="00F31D0D">
        <w:rPr>
          <w:rFonts w:ascii="Book Antiqua" w:hAnsi="Book Antiqua"/>
          <w:b/>
          <w:sz w:val="24"/>
          <w:szCs w:val="24"/>
        </w:rPr>
        <w:lastRenderedPageBreak/>
        <w:t>INTRODUCTION</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Liver transplantation is the standard treatment for acute and chronic end-stage liver disease. Advances in medical therapy and surgical techniques have increased the life span of liver transplant (LT) recipients. As a result, medical complications that accompany long-term survival, including atherosclerotic cardiovascular disease (CVD), metabolic bone disease, and de novo malignancy, have accounted for an increasing proportion of late </w:t>
      </w:r>
      <w:proofErr w:type="spellStart"/>
      <w:r w:rsidRPr="00F31D0D">
        <w:rPr>
          <w:rFonts w:ascii="Book Antiqua" w:hAnsi="Book Antiqua"/>
          <w:sz w:val="24"/>
          <w:szCs w:val="24"/>
        </w:rPr>
        <w:t>morbimortality</w:t>
      </w:r>
      <w:proofErr w:type="spellEnd"/>
      <w:r w:rsidRPr="00F31D0D">
        <w:rPr>
          <w:rFonts w:ascii="Book Antiqua" w:hAnsi="Book Antiqua"/>
          <w:sz w:val="24"/>
          <w:szCs w:val="24"/>
        </w:rPr>
        <w:t xml:space="preserve"> in these patients. CVD, which is responsible for 19</w:t>
      </w:r>
      <w:r w:rsidR="00085BA6">
        <w:rPr>
          <w:rFonts w:ascii="Book Antiqua" w:hAnsi="Book Antiqua" w:hint="eastAsia"/>
          <w:sz w:val="24"/>
          <w:szCs w:val="24"/>
        </w:rPr>
        <w:t>%</w:t>
      </w:r>
      <w:r w:rsidRPr="00F31D0D">
        <w:rPr>
          <w:rFonts w:ascii="Book Antiqua" w:hAnsi="Book Antiqua"/>
          <w:sz w:val="24"/>
          <w:szCs w:val="24"/>
        </w:rPr>
        <w:t xml:space="preserve"> to 42% of all non-liver related mortality, is a major cause of morbidity and mortality after </w:t>
      </w:r>
      <w:proofErr w:type="gramStart"/>
      <w:r w:rsidRPr="00F31D0D">
        <w:rPr>
          <w:rFonts w:ascii="Book Antiqua" w:hAnsi="Book Antiqua"/>
          <w:sz w:val="24"/>
          <w:szCs w:val="24"/>
        </w:rPr>
        <w:t>LT</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1-5,6]</w:t>
      </w:r>
      <w:r w:rsidRPr="00F31D0D">
        <w:rPr>
          <w:rFonts w:ascii="Book Antiqua" w:hAnsi="Book Antiqua"/>
          <w:sz w:val="24"/>
          <w:szCs w:val="24"/>
        </w:rPr>
        <w:t xml:space="preserve">.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Atherosclerosis is the hallmark of CVD and remains an important health issue in the modern world despite research aimed at understanding its underlying pathogenesis. This condition involves a prolonged asymptomatic phase; symptoms only develop when blood flow is insufficient to ensure tissue vitality. The first clinical presentation often leads to morbidity and </w:t>
      </w:r>
      <w:proofErr w:type="gramStart"/>
      <w:r w:rsidRPr="00F31D0D">
        <w:rPr>
          <w:rFonts w:ascii="Book Antiqua" w:hAnsi="Book Antiqua"/>
          <w:sz w:val="24"/>
          <w:szCs w:val="24"/>
        </w:rPr>
        <w:t>mortality</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7]</w:t>
      </w:r>
      <w:r w:rsidRPr="00F31D0D">
        <w:rPr>
          <w:rFonts w:ascii="Book Antiqua" w:hAnsi="Book Antiqua"/>
          <w:sz w:val="24"/>
          <w:szCs w:val="24"/>
        </w:rPr>
        <w:t xml:space="preserve">. Arterial plaque with no symptoms is called subclinical atherosclerosis, and chronic inflammation is a risk factor for plaque rupture. High sensitivity C-reactive protein (Hs-CRP) is an inflammatory marker that predicts CVD in healthy </w:t>
      </w:r>
      <w:proofErr w:type="gramStart"/>
      <w:r w:rsidRPr="00F31D0D">
        <w:rPr>
          <w:rFonts w:ascii="Book Antiqua" w:hAnsi="Book Antiqua"/>
          <w:sz w:val="24"/>
          <w:szCs w:val="24"/>
        </w:rPr>
        <w:t>individuals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8,9]</w:t>
      </w:r>
      <w:r w:rsidRPr="00F31D0D">
        <w:rPr>
          <w:rFonts w:ascii="Book Antiqua" w:hAnsi="Book Antiqua"/>
          <w:sz w:val="24"/>
          <w:szCs w:val="24"/>
        </w:rPr>
        <w:t xml:space="preserve">. Endothelial dysfunction is the first step in developing early atherosclerosis. Several studies confirm that elevated plasma levels of endothelial markers, such as von </w:t>
      </w:r>
      <w:proofErr w:type="spellStart"/>
      <w:r w:rsidRPr="00F31D0D">
        <w:rPr>
          <w:rFonts w:ascii="Book Antiqua" w:hAnsi="Book Antiqua"/>
          <w:sz w:val="24"/>
          <w:szCs w:val="24"/>
        </w:rPr>
        <w:t>Willebrand</w:t>
      </w:r>
      <w:proofErr w:type="spellEnd"/>
      <w:r w:rsidRPr="00F31D0D">
        <w:rPr>
          <w:rFonts w:ascii="Book Antiqua" w:hAnsi="Book Antiqua"/>
          <w:sz w:val="24"/>
          <w:szCs w:val="24"/>
        </w:rPr>
        <w:t xml:space="preserve"> factor, and soluble vascular cell adhesion molecule-1 (sVCAM-1) may serve as molecular markers for atherosclerosis and are independent risk factors for the development of coronary heart </w:t>
      </w:r>
      <w:proofErr w:type="gramStart"/>
      <w:r w:rsidRPr="00F31D0D">
        <w:rPr>
          <w:rFonts w:ascii="Book Antiqua" w:hAnsi="Book Antiqua"/>
          <w:sz w:val="24"/>
          <w:szCs w:val="24"/>
        </w:rPr>
        <w:t>disease</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9]</w:t>
      </w:r>
      <w:r w:rsidRPr="00F31D0D">
        <w:rPr>
          <w:rFonts w:ascii="Book Antiqua" w:hAnsi="Book Antiqua"/>
          <w:sz w:val="24"/>
          <w:szCs w:val="24"/>
        </w:rPr>
        <w:t xml:space="preserve">. Risk estimation for atherosclerotic and cardiovascular events that is based only on the presence of classical risk factors is often insufficient. Therefore, efforts have been made to identify blood markers that indicate the presence of preclinical disease.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This study was designed to investigate pro-atherosclerotic markers (endothelial dysfunction and inflammation) in patients one year after LT.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lastRenderedPageBreak/>
        <w:t>MATERIALS AND METHODS</w:t>
      </w: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Population</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Between August 2009 and July 2010, 44 consecutive adult (older than 18 years old) outpatients who underwent </w:t>
      </w:r>
      <w:proofErr w:type="spellStart"/>
      <w:r w:rsidRPr="00F31D0D">
        <w:rPr>
          <w:rFonts w:ascii="Book Antiqua" w:hAnsi="Book Antiqua"/>
          <w:sz w:val="24"/>
          <w:szCs w:val="24"/>
        </w:rPr>
        <w:t>orthotopic</w:t>
      </w:r>
      <w:proofErr w:type="spellEnd"/>
      <w:r w:rsidRPr="00F31D0D">
        <w:rPr>
          <w:rFonts w:ascii="Book Antiqua" w:hAnsi="Book Antiqua"/>
          <w:sz w:val="24"/>
          <w:szCs w:val="24"/>
        </w:rPr>
        <w:t xml:space="preserve"> LT at the LT Unit of the University </w:t>
      </w:r>
      <w:proofErr w:type="gramStart"/>
      <w:r w:rsidRPr="00F31D0D">
        <w:rPr>
          <w:rFonts w:ascii="Book Antiqua" w:hAnsi="Book Antiqua"/>
          <w:sz w:val="24"/>
          <w:szCs w:val="24"/>
        </w:rPr>
        <w:t>of</w:t>
      </w:r>
      <w:proofErr w:type="gramEnd"/>
      <w:r w:rsidRPr="00F31D0D">
        <w:rPr>
          <w:rFonts w:ascii="Book Antiqua" w:hAnsi="Book Antiqua"/>
          <w:sz w:val="24"/>
          <w:szCs w:val="24"/>
        </w:rPr>
        <w:t xml:space="preserve"> São Paulo School of Medicine, Brazil, were followed for 1 year. The results were compared to 20 age-matched (10-year age classes) controls [body mass index (BMI) &lt; 30 kg/m</w:t>
      </w:r>
      <w:r w:rsidRPr="00F31D0D">
        <w:rPr>
          <w:rFonts w:ascii="Book Antiqua" w:hAnsi="Book Antiqua"/>
          <w:sz w:val="24"/>
          <w:szCs w:val="24"/>
          <w:vertAlign w:val="superscript"/>
        </w:rPr>
        <w:t>2</w:t>
      </w:r>
      <w:r w:rsidRPr="00F31D0D">
        <w:rPr>
          <w:rFonts w:ascii="Book Antiqua" w:hAnsi="Book Antiqua"/>
          <w:sz w:val="24"/>
          <w:szCs w:val="24"/>
        </w:rPr>
        <w:t>, non-diabetics, and non-</w:t>
      </w:r>
      <w:proofErr w:type="spellStart"/>
      <w:r w:rsidRPr="00F31D0D">
        <w:rPr>
          <w:rFonts w:ascii="Book Antiqua" w:hAnsi="Book Antiqua"/>
          <w:sz w:val="24"/>
          <w:szCs w:val="24"/>
        </w:rPr>
        <w:t>dyslipidemic</w:t>
      </w:r>
      <w:proofErr w:type="spellEnd"/>
      <w:r w:rsidRPr="00F31D0D">
        <w:rPr>
          <w:rFonts w:ascii="Book Antiqua" w:hAnsi="Book Antiqua"/>
          <w:sz w:val="24"/>
          <w:szCs w:val="24"/>
        </w:rPr>
        <w:t>]. Additionally, because NASH is an important risk factor for CVD, 22 patients with biopsy-proven NASH were also compared with the LT recipients and controls. One experienced pathologist graded the liver biopsies from the NASH patients, according to the NAFLD Activity Score (NAS</w:t>
      </w:r>
      <w:proofErr w:type="gramStart"/>
      <w:r w:rsidRPr="00F31D0D">
        <w:rPr>
          <w:rFonts w:ascii="Book Antiqua" w:hAnsi="Book Antiqua"/>
          <w:sz w:val="24"/>
          <w:szCs w:val="24"/>
        </w:rPr>
        <w:t>)</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10]</w:t>
      </w:r>
      <w:r w:rsidRPr="00F31D0D">
        <w:rPr>
          <w:rFonts w:ascii="Book Antiqua" w:hAnsi="Book Antiqua"/>
          <w:sz w:val="24"/>
          <w:szCs w:val="24"/>
        </w:rPr>
        <w:t xml:space="preserve">. The LT recipients had no evidence of infection or rejection and were evaluated during regular outpatient clinic visits.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The transplant data were reviewed from the patient’s charts. At the 1-year follow-up, features of MS, glucose and lipid profiles, HOMA-IR, inflammatory cytokines, and endothelial biomarkers were determined. MS was defined using the American Diabetes Association </w:t>
      </w:r>
      <w:proofErr w:type="gramStart"/>
      <w:r w:rsidRPr="00F31D0D">
        <w:rPr>
          <w:rFonts w:ascii="Book Antiqua" w:hAnsi="Book Antiqua"/>
          <w:sz w:val="24"/>
          <w:szCs w:val="24"/>
        </w:rPr>
        <w:t>criteria</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11]</w:t>
      </w:r>
      <w:r w:rsidRPr="00F31D0D">
        <w:rPr>
          <w:rFonts w:ascii="Book Antiqua" w:hAnsi="Book Antiqua"/>
          <w:sz w:val="24"/>
          <w:szCs w:val="24"/>
        </w:rPr>
        <w:t xml:space="preserve">.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Framingham risk scoring system and physical activity</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Framingham Risk Scoring System (FRS) was calculated by assigning gender-specific points for age, smoking, diabetes, blood pressure, low-density lipoprotein cholesterol (LDL-cholesterol), and high-density lipoprotein cholesterol (HDL-cholesterol). The gender-specific FRS equations were then used to calculate the risk of developing cardiovascular events over the next 10 </w:t>
      </w:r>
      <w:proofErr w:type="gramStart"/>
      <w:r w:rsidRPr="00F31D0D">
        <w:rPr>
          <w:rFonts w:ascii="Book Antiqua" w:hAnsi="Book Antiqua"/>
          <w:sz w:val="24"/>
          <w:szCs w:val="24"/>
        </w:rPr>
        <w:t>years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11]</w:t>
      </w:r>
      <w:r w:rsidRPr="00F31D0D">
        <w:rPr>
          <w:rFonts w:ascii="Book Antiqua" w:hAnsi="Book Antiqua"/>
          <w:sz w:val="24"/>
          <w:szCs w:val="24"/>
        </w:rPr>
        <w:t xml:space="preserve">. The patients were graded as low risk (&lt; 10%), intermediate risk (10%-20%), and high risk (&gt; 20%), according to the National Cholesterol Education Program Adult Treatment Panel III </w:t>
      </w:r>
      <w:proofErr w:type="gramStart"/>
      <w:r w:rsidRPr="00F31D0D">
        <w:rPr>
          <w:rFonts w:ascii="Book Antiqua" w:hAnsi="Book Antiqua"/>
          <w:sz w:val="24"/>
          <w:szCs w:val="24"/>
        </w:rPr>
        <w:t>guidelines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12]</w:t>
      </w:r>
      <w:r w:rsidRPr="00F31D0D">
        <w:rPr>
          <w:rFonts w:ascii="Book Antiqua" w:hAnsi="Book Antiqua"/>
          <w:sz w:val="24"/>
          <w:szCs w:val="24"/>
        </w:rPr>
        <w:t xml:space="preserve">.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The International Physical Activity Questionnaire assessed physical activity. Sedentary lifestyle was described as less than 10 min/</w:t>
      </w:r>
      <w:proofErr w:type="spellStart"/>
      <w:r w:rsidRPr="00F31D0D">
        <w:rPr>
          <w:rFonts w:ascii="Book Antiqua" w:hAnsi="Book Antiqua"/>
          <w:sz w:val="24"/>
          <w:szCs w:val="24"/>
        </w:rPr>
        <w:t>wek</w:t>
      </w:r>
      <w:proofErr w:type="spellEnd"/>
      <w:r w:rsidRPr="00F31D0D">
        <w:rPr>
          <w:rFonts w:ascii="Book Antiqua" w:hAnsi="Book Antiqua"/>
          <w:sz w:val="24"/>
          <w:szCs w:val="24"/>
        </w:rPr>
        <w:t xml:space="preserve"> of continuous </w:t>
      </w:r>
      <w:proofErr w:type="gramStart"/>
      <w:r w:rsidRPr="00F31D0D">
        <w:rPr>
          <w:rFonts w:ascii="Book Antiqua" w:hAnsi="Book Antiqua"/>
          <w:sz w:val="24"/>
          <w:szCs w:val="24"/>
        </w:rPr>
        <w:t>exercises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13]</w:t>
      </w:r>
      <w:r w:rsidRPr="00F31D0D">
        <w:rPr>
          <w:rFonts w:ascii="Book Antiqua" w:hAnsi="Book Antiqua"/>
          <w:sz w:val="24"/>
          <w:szCs w:val="24"/>
        </w:rPr>
        <w:t xml:space="preserve">. </w:t>
      </w: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lastRenderedPageBreak/>
        <w:t>Laboratory evaluation</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The laboratory evaluation in all patients included a blood cell count and the measurement of aspartate aminotransferase (AST), alanine aminotransferase (ALT), total cholesterol and fractions, triglycerides, and fasting glucose and insulin levels. These parameters were measured using the standard techniques of clinical chemistry laboratories (Modular P800, Hitachi, Roche Applied Science, </w:t>
      </w:r>
      <w:proofErr w:type="gramStart"/>
      <w:r w:rsidRPr="00F31D0D">
        <w:rPr>
          <w:rFonts w:ascii="Book Antiqua" w:hAnsi="Book Antiqua"/>
          <w:sz w:val="24"/>
          <w:szCs w:val="24"/>
        </w:rPr>
        <w:t>Indianapolis</w:t>
      </w:r>
      <w:proofErr w:type="gramEnd"/>
      <w:r w:rsidRPr="00F31D0D">
        <w:rPr>
          <w:rFonts w:ascii="Book Antiqua" w:hAnsi="Book Antiqua"/>
          <w:sz w:val="24"/>
          <w:szCs w:val="24"/>
        </w:rPr>
        <w:t>, IN, United States). Insulin resistance was measured using the glucose homeostasis model (HOMA-IR): the product of fasting plasma glucose level (mg/</w:t>
      </w:r>
      <w:proofErr w:type="spellStart"/>
      <w:r w:rsidRPr="00F31D0D">
        <w:rPr>
          <w:rFonts w:ascii="Book Antiqua" w:hAnsi="Book Antiqua"/>
          <w:sz w:val="24"/>
          <w:szCs w:val="24"/>
        </w:rPr>
        <w:t>dL</w:t>
      </w:r>
      <w:proofErr w:type="spellEnd"/>
      <w:r w:rsidRPr="00F31D0D">
        <w:rPr>
          <w:rFonts w:ascii="Book Antiqua" w:hAnsi="Book Antiqua"/>
          <w:sz w:val="24"/>
          <w:szCs w:val="24"/>
        </w:rPr>
        <w:t>) and insulin concentration (</w:t>
      </w:r>
      <w:proofErr w:type="spellStart"/>
      <w:r w:rsidRPr="00F31D0D">
        <w:rPr>
          <w:rFonts w:ascii="Book Antiqua" w:hAnsi="Book Antiqua"/>
          <w:sz w:val="24"/>
          <w:szCs w:val="24"/>
        </w:rPr>
        <w:t>mIU</w:t>
      </w:r>
      <w:proofErr w:type="spellEnd"/>
      <w:r w:rsidRPr="00F31D0D">
        <w:rPr>
          <w:rFonts w:ascii="Book Antiqua" w:hAnsi="Book Antiqua"/>
          <w:sz w:val="24"/>
          <w:szCs w:val="24"/>
        </w:rPr>
        <w:t>/L), divided by 405.</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Serum cytokine measurements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For the cytokine and chemokine measurements, the serum was stored at -80 °C until use. The serum cytokine levels (TNF-, IL-8, </w:t>
      </w:r>
      <w:proofErr w:type="spellStart"/>
      <w:r w:rsidRPr="00F31D0D">
        <w:rPr>
          <w:rFonts w:ascii="Book Antiqua" w:hAnsi="Book Antiqua"/>
          <w:sz w:val="24"/>
          <w:szCs w:val="24"/>
        </w:rPr>
        <w:t>IFNγ</w:t>
      </w:r>
      <w:proofErr w:type="spellEnd"/>
      <w:r w:rsidRPr="00F31D0D">
        <w:rPr>
          <w:rFonts w:ascii="Book Antiqua" w:hAnsi="Book Antiqua"/>
          <w:sz w:val="24"/>
          <w:szCs w:val="24"/>
        </w:rPr>
        <w:t xml:space="preserve">, and IL-10) were then measured using a sensitive sandwich enzyme-linked </w:t>
      </w:r>
      <w:proofErr w:type="spellStart"/>
      <w:r w:rsidRPr="00F31D0D">
        <w:rPr>
          <w:rFonts w:ascii="Book Antiqua" w:hAnsi="Book Antiqua"/>
          <w:sz w:val="24"/>
          <w:szCs w:val="24"/>
        </w:rPr>
        <w:t>immunosorbent</w:t>
      </w:r>
      <w:proofErr w:type="spellEnd"/>
      <w:r w:rsidRPr="00F31D0D">
        <w:rPr>
          <w:rFonts w:ascii="Book Antiqua" w:hAnsi="Book Antiqua"/>
          <w:sz w:val="24"/>
          <w:szCs w:val="24"/>
        </w:rPr>
        <w:t xml:space="preserve"> assay (ELISA) kit (RD System Inc., Minneapolis, MN, United States). All measurements were performed in duplicate, and the average values were used in the statistical analyses.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Inflammation and endothelial dysfunction markers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To detect changes in inflammation and endothelial dysfunction markers, we analyzed the levels of high-sensitive C-reactive protein (Hs-CRP), soluble intercellular adhesion molecule-1 (sICAM-1), soluble vascular cell adhesion molecule-1 (sVCAM-1), E-</w:t>
      </w:r>
      <w:proofErr w:type="spellStart"/>
      <w:r w:rsidRPr="00F31D0D">
        <w:rPr>
          <w:rFonts w:ascii="Book Antiqua" w:hAnsi="Book Antiqua"/>
          <w:sz w:val="24"/>
          <w:szCs w:val="24"/>
        </w:rPr>
        <w:t>selectin</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adiponectin</w:t>
      </w:r>
      <w:proofErr w:type="spellEnd"/>
      <w:r w:rsidRPr="00F31D0D">
        <w:rPr>
          <w:rFonts w:ascii="Book Antiqua" w:hAnsi="Book Antiqua"/>
          <w:sz w:val="24"/>
          <w:szCs w:val="24"/>
        </w:rPr>
        <w:t xml:space="preserve">, plasminogen activator inhibitor 1 (PAI-1), serum amyloid P (SAP), serum amyloid A (SAA); matrix </w:t>
      </w:r>
      <w:proofErr w:type="spellStart"/>
      <w:r w:rsidRPr="00F31D0D">
        <w:rPr>
          <w:rFonts w:ascii="Book Antiqua" w:hAnsi="Book Antiqua"/>
          <w:sz w:val="24"/>
          <w:szCs w:val="24"/>
        </w:rPr>
        <w:t>metallopeptidase</w:t>
      </w:r>
      <w:proofErr w:type="spellEnd"/>
      <w:r w:rsidRPr="00F31D0D">
        <w:rPr>
          <w:rFonts w:ascii="Book Antiqua" w:hAnsi="Book Antiqua"/>
          <w:sz w:val="24"/>
          <w:szCs w:val="24"/>
        </w:rPr>
        <w:t xml:space="preserve"> 9 (MMP-9), and myeloperoxidase (MPO). Each measurement was performed in </w:t>
      </w:r>
      <w:proofErr w:type="spellStart"/>
      <w:r w:rsidRPr="00F31D0D">
        <w:rPr>
          <w:rFonts w:ascii="Book Antiqua" w:hAnsi="Book Antiqua"/>
          <w:sz w:val="24"/>
          <w:szCs w:val="24"/>
        </w:rPr>
        <w:t>pg</w:t>
      </w:r>
      <w:proofErr w:type="spellEnd"/>
      <w:r w:rsidRPr="00F31D0D">
        <w:rPr>
          <w:rFonts w:ascii="Book Antiqua" w:hAnsi="Book Antiqua"/>
          <w:sz w:val="24"/>
          <w:szCs w:val="24"/>
        </w:rPr>
        <w:t xml:space="preserve">/mL in a multiplex assay on the </w:t>
      </w:r>
      <w:proofErr w:type="spellStart"/>
      <w:r w:rsidRPr="00F31D0D">
        <w:rPr>
          <w:rFonts w:ascii="Book Antiqua" w:hAnsi="Book Antiqua"/>
          <w:sz w:val="24"/>
          <w:szCs w:val="24"/>
        </w:rPr>
        <w:t>Luminex</w:t>
      </w:r>
      <w:proofErr w:type="spellEnd"/>
      <w:r w:rsidRPr="00F31D0D">
        <w:rPr>
          <w:rFonts w:ascii="Book Antiqua" w:hAnsi="Book Antiqua"/>
          <w:sz w:val="24"/>
          <w:szCs w:val="24"/>
        </w:rPr>
        <w:t xml:space="preserve"> platform, as described by the manufacturer (</w:t>
      </w:r>
      <w:proofErr w:type="spellStart"/>
      <w:r w:rsidRPr="00F31D0D">
        <w:rPr>
          <w:rFonts w:ascii="Book Antiqua" w:hAnsi="Book Antiqua"/>
          <w:sz w:val="24"/>
          <w:szCs w:val="24"/>
        </w:rPr>
        <w:t>Milliplex</w:t>
      </w:r>
      <w:proofErr w:type="spellEnd"/>
      <w:r w:rsidRPr="00F31D0D">
        <w:rPr>
          <w:rFonts w:ascii="Book Antiqua" w:hAnsi="Book Antiqua"/>
          <w:sz w:val="24"/>
          <w:szCs w:val="24"/>
        </w:rPr>
        <w:t xml:space="preserve"> CVD Panel 1, Millipore, </w:t>
      </w:r>
      <w:proofErr w:type="gramStart"/>
      <w:r w:rsidRPr="00F31D0D">
        <w:rPr>
          <w:rFonts w:ascii="Book Antiqua" w:hAnsi="Book Antiqua"/>
          <w:sz w:val="24"/>
          <w:szCs w:val="24"/>
        </w:rPr>
        <w:t>Copenhagen</w:t>
      </w:r>
      <w:proofErr w:type="gramEnd"/>
      <w:r w:rsidRPr="00F31D0D">
        <w:rPr>
          <w:rFonts w:ascii="Book Antiqua" w:hAnsi="Book Antiqua"/>
          <w:sz w:val="24"/>
          <w:szCs w:val="24"/>
        </w:rPr>
        <w:t xml:space="preserve">, Denmark). The readers of the index tests and reference standard were blinded to the other test results.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Ethical concerns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The study was performed in accordance with the ethical standards of the Helsinki Declaration. An institutional ethics review board approved the protocol, and written informed consent was obtained from each patient. The Department of Gastroenterology (LIM-37/LIM07), School of Medicine, University of São Paulo, Brazil, supported this work. The authors have no conflicts of interest to disclose.</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Statistical analysis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Sample estimation was not performed, as there was no similar study on which to base the calculation. The data are expressed as </w:t>
      </w:r>
      <w:proofErr w:type="spellStart"/>
      <w:r w:rsidRPr="00F31D0D">
        <w:rPr>
          <w:rFonts w:ascii="Book Antiqua" w:hAnsi="Book Antiqua"/>
          <w:sz w:val="24"/>
          <w:szCs w:val="24"/>
        </w:rPr>
        <w:t>mean±standard</w:t>
      </w:r>
      <w:proofErr w:type="spellEnd"/>
      <w:r w:rsidRPr="00F31D0D">
        <w:rPr>
          <w:rFonts w:ascii="Book Antiqua" w:hAnsi="Book Antiqua"/>
          <w:sz w:val="24"/>
          <w:szCs w:val="24"/>
        </w:rPr>
        <w:t xml:space="preserve"> deviation (SD) for variables with normal distribution and compared using one-way analysis of variance (ANOVA). The median and 25</w:t>
      </w:r>
      <w:r w:rsidRPr="00F31D0D">
        <w:rPr>
          <w:rFonts w:ascii="Book Antiqua" w:hAnsi="Book Antiqua"/>
          <w:sz w:val="24"/>
          <w:szCs w:val="24"/>
          <w:vertAlign w:val="superscript"/>
        </w:rPr>
        <w:t>th</w:t>
      </w:r>
      <w:r w:rsidRPr="00F31D0D">
        <w:rPr>
          <w:rFonts w:ascii="Book Antiqua" w:hAnsi="Book Antiqua"/>
          <w:sz w:val="24"/>
          <w:szCs w:val="24"/>
        </w:rPr>
        <w:t xml:space="preserve"> and 75</w:t>
      </w:r>
      <w:r w:rsidRPr="00F31D0D">
        <w:rPr>
          <w:rFonts w:ascii="Book Antiqua" w:hAnsi="Book Antiqua"/>
          <w:sz w:val="24"/>
          <w:szCs w:val="24"/>
          <w:vertAlign w:val="superscript"/>
        </w:rPr>
        <w:t>th</w:t>
      </w:r>
      <w:r w:rsidRPr="00F31D0D">
        <w:rPr>
          <w:rFonts w:ascii="Book Antiqua" w:hAnsi="Book Antiqua"/>
          <w:sz w:val="24"/>
          <w:szCs w:val="24"/>
        </w:rPr>
        <w:t xml:space="preserve"> percentiles were used for variables with skewed distribution, which were compared using the Mann-Whitney </w:t>
      </w:r>
      <w:r w:rsidRPr="00F31D0D">
        <w:rPr>
          <w:rFonts w:ascii="Book Antiqua" w:hAnsi="Book Antiqua"/>
          <w:i/>
          <w:sz w:val="24"/>
          <w:szCs w:val="24"/>
        </w:rPr>
        <w:t>U</w:t>
      </w:r>
      <w:r w:rsidRPr="00F31D0D">
        <w:rPr>
          <w:rFonts w:ascii="Book Antiqua" w:hAnsi="Book Antiqua"/>
          <w:sz w:val="24"/>
          <w:szCs w:val="24"/>
        </w:rPr>
        <w:t>-test. Multiple comparisons were conducted, and a significance level of 5% was established.</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RESULTS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Table 1 describes the demographic and clinical data from the LT recipients and donors. Most of the patients were males, with non-hepatitis C virus (HCV)-related liver disease. Only 4 (9.1%) patients were transplanted for NAFLD cirrhosis. In addition, most of the included patients had no hepatocellular carcinoma diagnosed during the pre-transplant period or at the explant analysis. The mean age of the donors was young (41.9 years), and the intraoperative data (ischemia times, intraoperative blood requirements, and intraoperative albumin infusion) demonstrated that undergoing the procedure was uneventful.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All included LT recipients underwent </w:t>
      </w:r>
      <w:proofErr w:type="spellStart"/>
      <w:r w:rsidRPr="00F31D0D">
        <w:rPr>
          <w:rFonts w:ascii="Book Antiqua" w:hAnsi="Book Antiqua"/>
          <w:sz w:val="24"/>
          <w:szCs w:val="24"/>
        </w:rPr>
        <w:t>tacrolimus</w:t>
      </w:r>
      <w:proofErr w:type="spellEnd"/>
      <w:r w:rsidRPr="00F31D0D">
        <w:rPr>
          <w:rFonts w:ascii="Book Antiqua" w:hAnsi="Book Antiqua"/>
          <w:sz w:val="24"/>
          <w:szCs w:val="24"/>
        </w:rPr>
        <w:t xml:space="preserve">-based immunosuppressive treatment, and steroids were withdrawn in 208.5-106.8 d. </w:t>
      </w:r>
      <w:r w:rsidRPr="00F31D0D">
        <w:rPr>
          <w:rFonts w:ascii="Book Antiqua" w:hAnsi="Book Antiqua"/>
          <w:sz w:val="24"/>
          <w:szCs w:val="24"/>
        </w:rPr>
        <w:lastRenderedPageBreak/>
        <w:t>During the 1-year follow-up, obesity was not a prevalent comorbidity, with a mean BMI of 24.3-4.3 kg/m</w:t>
      </w:r>
      <w:r w:rsidRPr="00F31D0D">
        <w:rPr>
          <w:rFonts w:ascii="Book Antiqua" w:hAnsi="Book Antiqua"/>
          <w:sz w:val="24"/>
          <w:szCs w:val="24"/>
          <w:vertAlign w:val="superscript"/>
        </w:rPr>
        <w:t>2</w:t>
      </w:r>
      <w:r w:rsidRPr="00F31D0D">
        <w:rPr>
          <w:rFonts w:ascii="Book Antiqua" w:hAnsi="Book Antiqua"/>
          <w:sz w:val="24"/>
          <w:szCs w:val="24"/>
        </w:rPr>
        <w:t xml:space="preserve">. The mean abdominal circumference 1 year post-transplant was 89.4-8.7 cm. MS features were present in only 22.7% of the LT recipients. While 38.7% of the patients had DM, and high blood pressure was identified in 36.4%. Only 18.2% of the patients smoked tobacco. Conversely, </w:t>
      </w:r>
      <w:proofErr w:type="spellStart"/>
      <w:r w:rsidRPr="00F31D0D">
        <w:rPr>
          <w:rFonts w:ascii="Book Antiqua" w:hAnsi="Book Antiqua"/>
          <w:sz w:val="24"/>
          <w:szCs w:val="24"/>
        </w:rPr>
        <w:t>sedentarism</w:t>
      </w:r>
      <w:proofErr w:type="spellEnd"/>
      <w:r w:rsidRPr="00F31D0D">
        <w:rPr>
          <w:rFonts w:ascii="Book Antiqua" w:hAnsi="Book Antiqua"/>
          <w:sz w:val="24"/>
          <w:szCs w:val="24"/>
        </w:rPr>
        <w:t xml:space="preserve"> was present in 66.3% of the studied sample. The mean FRS was low (2.0), consistent with the low MS prevalence.</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 Table 2 shows the laboratory results 1 year post-LT. The hepatic profiles were approximately normal and significantly lower than those of the NASH patients. The fasting glucose, insulin, and HOMA-IR levels were also lower than those in the NASH patients. Although NASH patients had higher total cholesterol levels, their HDL and LDL-cholesterol and triglyceride levels were not significantly different from those of the LT patients, likely because the NASH patients were taking medications. MS was observed more frequently in the NASH patients (100%) than in the LT recipients.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Regarding inflammation, the </w:t>
      </w:r>
      <w:proofErr w:type="spellStart"/>
      <w:r w:rsidRPr="00F31D0D">
        <w:rPr>
          <w:rFonts w:ascii="Book Antiqua" w:hAnsi="Book Antiqua"/>
          <w:sz w:val="24"/>
          <w:szCs w:val="24"/>
        </w:rPr>
        <w:t>IFNγ</w:t>
      </w:r>
      <w:proofErr w:type="spellEnd"/>
      <w:r w:rsidRPr="00F31D0D">
        <w:rPr>
          <w:rFonts w:ascii="Book Antiqua" w:hAnsi="Book Antiqua"/>
          <w:sz w:val="24"/>
          <w:szCs w:val="24"/>
        </w:rPr>
        <w:t xml:space="preserve"> level was comparable in the NASH patients and LT recipients (</w:t>
      </w:r>
      <w:r w:rsidRPr="00F31D0D">
        <w:rPr>
          <w:rFonts w:ascii="Book Antiqua" w:hAnsi="Book Antiqua"/>
          <w:i/>
          <w:sz w:val="24"/>
          <w:szCs w:val="24"/>
        </w:rPr>
        <w:t>P</w:t>
      </w:r>
      <w:r w:rsidRPr="00F31D0D">
        <w:rPr>
          <w:rFonts w:ascii="Book Antiqua" w:hAnsi="Book Antiqua"/>
          <w:sz w:val="24"/>
          <w:szCs w:val="24"/>
        </w:rPr>
        <w:t xml:space="preserve"> = 0.3); the levels in both groups were higher than that in the controls (</w:t>
      </w:r>
      <w:r w:rsidRPr="00F31D0D">
        <w:rPr>
          <w:rFonts w:ascii="Book Antiqua" w:hAnsi="Book Antiqua"/>
          <w:i/>
          <w:sz w:val="24"/>
          <w:szCs w:val="24"/>
        </w:rPr>
        <w:t>P</w:t>
      </w:r>
      <w:r w:rsidRPr="00F31D0D">
        <w:rPr>
          <w:rFonts w:ascii="Book Antiqua" w:hAnsi="Book Antiqua"/>
          <w:sz w:val="24"/>
          <w:szCs w:val="24"/>
        </w:rPr>
        <w:t xml:space="preserve"> &lt; 0.001). The anti-inflammatory IL-10 was similar in the LT and NASH patients (</w:t>
      </w:r>
      <w:r w:rsidRPr="00F31D0D">
        <w:rPr>
          <w:rFonts w:ascii="Book Antiqua" w:hAnsi="Book Antiqua"/>
          <w:i/>
          <w:sz w:val="24"/>
          <w:szCs w:val="24"/>
        </w:rPr>
        <w:t>P</w:t>
      </w:r>
      <w:r w:rsidRPr="00F31D0D">
        <w:rPr>
          <w:rFonts w:ascii="Book Antiqua" w:hAnsi="Book Antiqua"/>
          <w:sz w:val="24"/>
          <w:szCs w:val="24"/>
        </w:rPr>
        <w:t xml:space="preserve"> = 0.84), and significantly lower in both groups compared to the controls (</w:t>
      </w:r>
      <w:r w:rsidRPr="00F31D0D">
        <w:rPr>
          <w:rFonts w:ascii="Book Antiqua" w:hAnsi="Book Antiqua"/>
          <w:i/>
          <w:sz w:val="24"/>
          <w:szCs w:val="24"/>
        </w:rPr>
        <w:t>P</w:t>
      </w:r>
      <w:r w:rsidRPr="00F31D0D">
        <w:rPr>
          <w:rFonts w:ascii="Book Antiqua" w:hAnsi="Book Antiqua"/>
          <w:sz w:val="24"/>
          <w:szCs w:val="24"/>
        </w:rPr>
        <w:t xml:space="preserve"> </w:t>
      </w:r>
      <w:r w:rsidRPr="00F31D0D">
        <w:rPr>
          <w:rFonts w:ascii="Book Antiqua" w:hAnsi="Book Antiqua"/>
          <w:sz w:val="24"/>
          <w:szCs w:val="24"/>
        </w:rPr>
        <w:sym w:font="Symbol" w:char="F0A3"/>
      </w:r>
      <w:r w:rsidRPr="00F31D0D">
        <w:rPr>
          <w:rFonts w:ascii="Book Antiqua" w:hAnsi="Book Antiqua"/>
          <w:sz w:val="24"/>
          <w:szCs w:val="24"/>
        </w:rPr>
        <w:t xml:space="preserve"> 0.05), as shown in Table 3. There were no between-group differences in the TNF-α level, and the IL-8 levels were similar between the LT recipients and controls (</w:t>
      </w:r>
      <w:r w:rsidRPr="00F31D0D">
        <w:rPr>
          <w:rFonts w:ascii="Book Antiqua" w:hAnsi="Book Antiqua"/>
          <w:i/>
          <w:sz w:val="24"/>
          <w:szCs w:val="24"/>
        </w:rPr>
        <w:t>P</w:t>
      </w:r>
      <w:r w:rsidRPr="00F31D0D">
        <w:rPr>
          <w:rFonts w:ascii="Book Antiqua" w:hAnsi="Book Antiqua"/>
          <w:sz w:val="24"/>
          <w:szCs w:val="24"/>
        </w:rPr>
        <w:t xml:space="preserve"> &gt; 0.05).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The CVD risk (</w:t>
      </w:r>
      <w:r w:rsidRPr="00F31D0D">
        <w:rPr>
          <w:rFonts w:ascii="Book Antiqua" w:hAnsi="Book Antiqua"/>
          <w:i/>
          <w:sz w:val="24"/>
          <w:szCs w:val="24"/>
        </w:rPr>
        <w:t xml:space="preserve">i.e., </w:t>
      </w:r>
      <w:r w:rsidRPr="00F31D0D">
        <w:rPr>
          <w:rFonts w:ascii="Book Antiqua" w:hAnsi="Book Antiqua"/>
          <w:sz w:val="24"/>
          <w:szCs w:val="24"/>
        </w:rPr>
        <w:t>Hs-CRP) was similar in the LT recipients and controls (</w:t>
      </w:r>
      <w:r w:rsidRPr="00F31D0D">
        <w:rPr>
          <w:rFonts w:ascii="Book Antiqua" w:hAnsi="Book Antiqua"/>
          <w:i/>
          <w:sz w:val="24"/>
          <w:szCs w:val="24"/>
        </w:rPr>
        <w:t>P</w:t>
      </w:r>
      <w:r w:rsidRPr="00F31D0D">
        <w:rPr>
          <w:rFonts w:ascii="Book Antiqua" w:hAnsi="Book Antiqua"/>
          <w:sz w:val="24"/>
          <w:szCs w:val="24"/>
        </w:rPr>
        <w:t xml:space="preserve"> = 0.41) but significantly lower in the LT patients compared to the NASH (</w:t>
      </w:r>
      <w:r w:rsidRPr="00F31D0D">
        <w:rPr>
          <w:rFonts w:ascii="Book Antiqua" w:hAnsi="Book Antiqua"/>
          <w:i/>
          <w:sz w:val="24"/>
          <w:szCs w:val="24"/>
        </w:rPr>
        <w:t>P</w:t>
      </w:r>
      <w:r w:rsidRPr="00F31D0D">
        <w:rPr>
          <w:rFonts w:ascii="Book Antiqua" w:hAnsi="Book Antiqua"/>
          <w:sz w:val="24"/>
          <w:szCs w:val="24"/>
        </w:rPr>
        <w:t xml:space="preserve"> = 0.007) patients, Table 4.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Regarding endothelial biomarkers, the liver recipients and NASH patients were comparable considering sVCAM-1 and sICAM-1 (</w:t>
      </w:r>
      <w:r w:rsidRPr="00F31D0D">
        <w:rPr>
          <w:rFonts w:ascii="Book Antiqua" w:hAnsi="Book Antiqua"/>
          <w:i/>
          <w:sz w:val="24"/>
          <w:szCs w:val="24"/>
        </w:rPr>
        <w:t>P</w:t>
      </w:r>
      <w:r w:rsidRPr="00F31D0D">
        <w:rPr>
          <w:rFonts w:ascii="Book Antiqua" w:hAnsi="Book Antiqua"/>
          <w:sz w:val="24"/>
          <w:szCs w:val="24"/>
        </w:rPr>
        <w:t xml:space="preserve"> = 0.5), and these levels in both groups were higher than in the controls; sVCAM-1 was significantly higher in the LT recipients than in the controls (</w:t>
      </w:r>
      <w:r w:rsidRPr="00F31D0D">
        <w:rPr>
          <w:rFonts w:ascii="Book Antiqua" w:hAnsi="Book Antiqua"/>
          <w:i/>
          <w:sz w:val="24"/>
          <w:szCs w:val="24"/>
        </w:rPr>
        <w:t>P</w:t>
      </w:r>
      <w:r w:rsidRPr="00F31D0D">
        <w:rPr>
          <w:rFonts w:ascii="Book Antiqua" w:hAnsi="Book Antiqua"/>
          <w:sz w:val="24"/>
          <w:szCs w:val="24"/>
        </w:rPr>
        <w:t xml:space="preserve"> &lt; 0.001), and sICAM-1 exhibited an insignificant tendency to be higher between these </w:t>
      </w:r>
      <w:r w:rsidRPr="00F31D0D">
        <w:rPr>
          <w:rFonts w:ascii="Book Antiqua" w:hAnsi="Book Antiqua"/>
          <w:sz w:val="24"/>
          <w:szCs w:val="24"/>
        </w:rPr>
        <w:lastRenderedPageBreak/>
        <w:t>groups (</w:t>
      </w:r>
      <w:r w:rsidRPr="00F31D0D">
        <w:rPr>
          <w:rFonts w:ascii="Book Antiqua" w:hAnsi="Book Antiqua"/>
          <w:i/>
          <w:sz w:val="24"/>
          <w:szCs w:val="24"/>
        </w:rPr>
        <w:t>P</w:t>
      </w:r>
      <w:r w:rsidRPr="00F31D0D">
        <w:rPr>
          <w:rFonts w:ascii="Book Antiqua" w:hAnsi="Book Antiqua"/>
          <w:sz w:val="24"/>
          <w:szCs w:val="24"/>
        </w:rPr>
        <w:t xml:space="preserve"> = 0.05). The E-</w:t>
      </w:r>
      <w:proofErr w:type="spellStart"/>
      <w:r w:rsidRPr="00F31D0D">
        <w:rPr>
          <w:rFonts w:ascii="Book Antiqua" w:hAnsi="Book Antiqua"/>
          <w:sz w:val="24"/>
          <w:szCs w:val="24"/>
        </w:rPr>
        <w:t>selectin</w:t>
      </w:r>
      <w:proofErr w:type="spellEnd"/>
      <w:r w:rsidRPr="00F31D0D">
        <w:rPr>
          <w:rFonts w:ascii="Book Antiqua" w:hAnsi="Book Antiqua"/>
          <w:sz w:val="24"/>
          <w:szCs w:val="24"/>
        </w:rPr>
        <w:t xml:space="preserve"> level was higher in the NASH patients than in the transplanted patients, but it was also higher in the transplanted patients compared to the controls (</w:t>
      </w:r>
      <w:r w:rsidRPr="00F31D0D">
        <w:rPr>
          <w:rFonts w:ascii="Book Antiqua" w:hAnsi="Book Antiqua"/>
          <w:i/>
          <w:sz w:val="24"/>
          <w:szCs w:val="24"/>
        </w:rPr>
        <w:t>P</w:t>
      </w:r>
      <w:r w:rsidRPr="00F31D0D">
        <w:rPr>
          <w:rFonts w:ascii="Book Antiqua" w:hAnsi="Book Antiqua"/>
          <w:sz w:val="24"/>
          <w:szCs w:val="24"/>
        </w:rPr>
        <w:t xml:space="preserve"> = 0.04). MPO and PAI-1 were significantly lower in the LT recipients than in the other groups, while the SAP and SAA levels were significantly lower only when comparing the LT recipients with the NASH patients. The serum </w:t>
      </w:r>
      <w:proofErr w:type="spellStart"/>
      <w:r w:rsidRPr="00F31D0D">
        <w:rPr>
          <w:rFonts w:ascii="Book Antiqua" w:hAnsi="Book Antiqua"/>
          <w:sz w:val="24"/>
          <w:szCs w:val="24"/>
        </w:rPr>
        <w:t>adiponectin</w:t>
      </w:r>
      <w:proofErr w:type="spellEnd"/>
      <w:r w:rsidRPr="00F31D0D">
        <w:rPr>
          <w:rFonts w:ascii="Book Antiqua" w:hAnsi="Book Antiqua"/>
          <w:sz w:val="24"/>
          <w:szCs w:val="24"/>
        </w:rPr>
        <w:t xml:space="preserve"> levels were higher in the transplanted patients than in NASH patients (</w:t>
      </w:r>
      <w:r w:rsidRPr="00F31D0D">
        <w:rPr>
          <w:rFonts w:ascii="Book Antiqua" w:hAnsi="Book Antiqua"/>
          <w:i/>
          <w:sz w:val="24"/>
          <w:szCs w:val="24"/>
        </w:rPr>
        <w:t>P</w:t>
      </w:r>
      <w:r w:rsidRPr="00F31D0D">
        <w:rPr>
          <w:rFonts w:ascii="Book Antiqua" w:hAnsi="Book Antiqua"/>
          <w:sz w:val="24"/>
          <w:szCs w:val="24"/>
        </w:rPr>
        <w:t xml:space="preserve"> = 0.007).</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Only one patient (a patient with post-transplant myocardial infarction) developed cardiovascular events during the follow-up period. No patients presented with recurrent hepatocellular carcinoma within the 1-year follow-up.</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t>DISCUSSION</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CVD is a major cause of </w:t>
      </w:r>
      <w:proofErr w:type="spellStart"/>
      <w:r w:rsidRPr="00F31D0D">
        <w:rPr>
          <w:rFonts w:ascii="Book Antiqua" w:hAnsi="Book Antiqua"/>
          <w:sz w:val="24"/>
          <w:szCs w:val="24"/>
        </w:rPr>
        <w:t>morbimortality</w:t>
      </w:r>
      <w:proofErr w:type="spellEnd"/>
      <w:r w:rsidRPr="00F31D0D">
        <w:rPr>
          <w:rFonts w:ascii="Book Antiqua" w:hAnsi="Book Antiqua"/>
          <w:sz w:val="24"/>
          <w:szCs w:val="24"/>
        </w:rPr>
        <w:t xml:space="preserve"> after LT, and identifying those candidates who are at the greatest risk of postoperative complications is a cornerstone strategy for optimizing </w:t>
      </w:r>
      <w:proofErr w:type="gramStart"/>
      <w:r w:rsidRPr="00F31D0D">
        <w:rPr>
          <w:rFonts w:ascii="Book Antiqua" w:hAnsi="Book Antiqua"/>
          <w:sz w:val="24"/>
          <w:szCs w:val="24"/>
        </w:rPr>
        <w:t>outcomes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14,15]</w:t>
      </w:r>
      <w:r w:rsidRPr="00F31D0D">
        <w:rPr>
          <w:rFonts w:ascii="Book Antiqua" w:hAnsi="Book Antiqua"/>
          <w:sz w:val="24"/>
          <w:szCs w:val="24"/>
        </w:rPr>
        <w:t>. The present study demonstrated that at 1 year post-transplant, LT recipients have similar pro-atherosclerotic profiles, as measured by endothelial biomarkers and inflammatory cytokines, as patients with NASH, even when conventional cardiovascular risk factors, such as obesity or elevated Hs-CRP or/and high FRS, are not observed. In liver disease, NASH patients represent the major leading intersection between metabolic syndrome and CVD; therefore, they represent a good comparison group when considering CVD risk in a given population.</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Post-transplant MS is an important risk factor for CVD, and it should be </w:t>
      </w:r>
      <w:proofErr w:type="gramStart"/>
      <w:r w:rsidRPr="00F31D0D">
        <w:rPr>
          <w:rFonts w:ascii="Book Antiqua" w:hAnsi="Book Antiqua"/>
          <w:sz w:val="24"/>
          <w:szCs w:val="24"/>
        </w:rPr>
        <w:t>monitored</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16,17]</w:t>
      </w:r>
      <w:r w:rsidRPr="00F31D0D">
        <w:rPr>
          <w:rFonts w:ascii="Book Antiqua" w:hAnsi="Book Antiqua"/>
          <w:sz w:val="24"/>
          <w:szCs w:val="24"/>
        </w:rPr>
        <w:t>. In our study, patients presented relatively low BMIs pre-transplant, and diabetes was uncommon. Moreover, after LT, the prevalence of diabetes, hypertension, and MS remained low. This finding contrasts with several other studies that demonstrated relative</w:t>
      </w:r>
      <w:r w:rsidR="001B3BB0">
        <w:rPr>
          <w:rFonts w:ascii="Book Antiqua" w:hAnsi="Book Antiqua"/>
          <w:sz w:val="24"/>
          <w:szCs w:val="24"/>
        </w:rPr>
        <w:t xml:space="preserve">ly higher post-LT MS </w:t>
      </w:r>
      <w:proofErr w:type="gramStart"/>
      <w:r w:rsidR="001B3BB0">
        <w:rPr>
          <w:rFonts w:ascii="Book Antiqua" w:hAnsi="Book Antiqua"/>
          <w:sz w:val="24"/>
          <w:szCs w:val="24"/>
        </w:rPr>
        <w:t>prevalence</w:t>
      </w:r>
      <w:r w:rsidR="001B3BB0" w:rsidRPr="001B3BB0">
        <w:rPr>
          <w:rFonts w:ascii="Book Antiqua" w:hAnsi="Book Antiqua"/>
          <w:sz w:val="24"/>
          <w:szCs w:val="24"/>
          <w:vertAlign w:val="superscript"/>
        </w:rPr>
        <w:t>[</w:t>
      </w:r>
      <w:proofErr w:type="gramEnd"/>
      <w:r w:rsidR="001B3BB0" w:rsidRPr="001B3BB0">
        <w:rPr>
          <w:rFonts w:ascii="Book Antiqua" w:hAnsi="Book Antiqua"/>
          <w:sz w:val="24"/>
          <w:szCs w:val="24"/>
          <w:vertAlign w:val="superscript"/>
        </w:rPr>
        <w:t>6,</w:t>
      </w:r>
      <w:r w:rsidRPr="001B3BB0">
        <w:rPr>
          <w:rFonts w:ascii="Book Antiqua" w:hAnsi="Book Antiqua"/>
          <w:sz w:val="24"/>
          <w:szCs w:val="24"/>
          <w:vertAlign w:val="superscript"/>
        </w:rPr>
        <w:t>16]</w:t>
      </w:r>
      <w:r w:rsidRPr="00F31D0D">
        <w:rPr>
          <w:rFonts w:ascii="Book Antiqua" w:hAnsi="Book Antiqua"/>
          <w:sz w:val="24"/>
          <w:szCs w:val="24"/>
        </w:rPr>
        <w:t xml:space="preserve">. Additionally, BMI did not increase at the end of </w:t>
      </w:r>
      <w:r w:rsidRPr="00F31D0D">
        <w:rPr>
          <w:rFonts w:ascii="Book Antiqua" w:hAnsi="Book Antiqua"/>
          <w:sz w:val="24"/>
          <w:szCs w:val="24"/>
        </w:rPr>
        <w:lastRenderedPageBreak/>
        <w:t xml:space="preserve">the 1-year follow-up. Correspondingly, in the present study, the LT recipients displayed a normal lipid profile, and FRS was not elevated; the mean FRS was 2%, which indicates low-risk. Hs-CRP is a well-established predictive marker of risk of coronary events. CRP can induce endothelial </w:t>
      </w:r>
      <w:proofErr w:type="spellStart"/>
      <w:r w:rsidRPr="00F31D0D">
        <w:rPr>
          <w:rFonts w:ascii="Book Antiqua" w:hAnsi="Book Antiqua"/>
          <w:sz w:val="24"/>
          <w:szCs w:val="24"/>
        </w:rPr>
        <w:t>lectin</w:t>
      </w:r>
      <w:proofErr w:type="spellEnd"/>
      <w:r w:rsidRPr="00F31D0D">
        <w:rPr>
          <w:rFonts w:ascii="Book Antiqua" w:hAnsi="Book Antiqua"/>
          <w:sz w:val="24"/>
          <w:szCs w:val="24"/>
        </w:rPr>
        <w:t xml:space="preserve">-like oxidized low-density lipoprotein (ox-LDL) receptor-1, which is the primary endothelial receptor for </w:t>
      </w:r>
      <w:proofErr w:type="spellStart"/>
      <w:r w:rsidRPr="00F31D0D">
        <w:rPr>
          <w:rFonts w:ascii="Book Antiqua" w:hAnsi="Book Antiqua"/>
          <w:sz w:val="24"/>
          <w:szCs w:val="24"/>
        </w:rPr>
        <w:t>oxLDL</w:t>
      </w:r>
      <w:proofErr w:type="spellEnd"/>
      <w:r w:rsidRPr="00F31D0D">
        <w:rPr>
          <w:rFonts w:ascii="Book Antiqua" w:hAnsi="Book Antiqua"/>
          <w:sz w:val="24"/>
          <w:szCs w:val="24"/>
        </w:rPr>
        <w:t xml:space="preserve"> and may lead to the activation of pro-inflammatory genes, including IL-8, sICAM-1, and sVCAM-1</w:t>
      </w:r>
      <w:r w:rsidRPr="00F31D0D">
        <w:rPr>
          <w:rFonts w:ascii="Book Antiqua" w:hAnsi="Book Antiqua"/>
          <w:sz w:val="24"/>
          <w:szCs w:val="24"/>
          <w:vertAlign w:val="superscript"/>
        </w:rPr>
        <w:t>[17]</w:t>
      </w:r>
      <w:r w:rsidRPr="00F31D0D">
        <w:rPr>
          <w:rFonts w:ascii="Book Antiqua" w:hAnsi="Book Antiqua"/>
          <w:sz w:val="24"/>
          <w:szCs w:val="24"/>
        </w:rPr>
        <w:t xml:space="preserve">. Here, Hs-CRP was higher in the LT recipients than in the controls, but the difference was not significant. Indeed, this result is consistent with the aforementioned LT recipient characteristics and highlights the strength of our main results. Moreover, differences regarding age or BMI most likely have not influenced the results, as the LT recipients and controls had quite similar characteristics.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Increased levels of </w:t>
      </w:r>
      <w:proofErr w:type="spellStart"/>
      <w:r w:rsidRPr="00F31D0D">
        <w:rPr>
          <w:rFonts w:ascii="Book Antiqua" w:hAnsi="Book Antiqua"/>
          <w:sz w:val="24"/>
          <w:szCs w:val="24"/>
        </w:rPr>
        <w:t>selectins</w:t>
      </w:r>
      <w:proofErr w:type="spellEnd"/>
      <w:r w:rsidRPr="00F31D0D">
        <w:rPr>
          <w:rFonts w:ascii="Book Antiqua" w:hAnsi="Book Antiqua"/>
          <w:sz w:val="24"/>
          <w:szCs w:val="24"/>
        </w:rPr>
        <w:t xml:space="preserve"> and adhesion molecules are considered to be important indicators of </w:t>
      </w:r>
      <w:proofErr w:type="gramStart"/>
      <w:r w:rsidRPr="00F31D0D">
        <w:rPr>
          <w:rFonts w:ascii="Book Antiqua" w:hAnsi="Book Antiqua"/>
          <w:sz w:val="24"/>
          <w:szCs w:val="24"/>
        </w:rPr>
        <w:t>atherosclerosis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18]</w:t>
      </w:r>
      <w:r w:rsidRPr="00F31D0D">
        <w:rPr>
          <w:rFonts w:ascii="Book Antiqua" w:hAnsi="Book Antiqua"/>
          <w:sz w:val="24"/>
          <w:szCs w:val="24"/>
        </w:rPr>
        <w:t xml:space="preserve">. One of the key initial events in the development of atherosclerosis is the adhesion of monocytes to the endothelial cells, with subsequent transmigration into the vascular intima. Soluble leukocyte and vascular cell adhesion molecules (CAM), such as </w:t>
      </w:r>
      <w:proofErr w:type="spellStart"/>
      <w:r w:rsidRPr="00F31D0D">
        <w:rPr>
          <w:rFonts w:ascii="Book Antiqua" w:hAnsi="Book Antiqua"/>
          <w:sz w:val="24"/>
          <w:szCs w:val="24"/>
        </w:rPr>
        <w:t>selectins</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integrins</w:t>
      </w:r>
      <w:proofErr w:type="spellEnd"/>
      <w:r w:rsidRPr="00F31D0D">
        <w:rPr>
          <w:rFonts w:ascii="Book Antiqua" w:hAnsi="Book Antiqua"/>
          <w:sz w:val="24"/>
          <w:szCs w:val="24"/>
        </w:rPr>
        <w:t xml:space="preserve">, sVCAM-1, and sICAM-1, play critical roles in the adhesion of monocytes to endothelial </w:t>
      </w:r>
      <w:proofErr w:type="gramStart"/>
      <w:r w:rsidRPr="00F31D0D">
        <w:rPr>
          <w:rFonts w:ascii="Book Antiqua" w:hAnsi="Book Antiqua"/>
          <w:sz w:val="24"/>
          <w:szCs w:val="24"/>
        </w:rPr>
        <w:t>cells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17]</w:t>
      </w:r>
      <w:r w:rsidRPr="00F31D0D">
        <w:rPr>
          <w:rFonts w:ascii="Book Antiqua" w:hAnsi="Book Antiqua"/>
          <w:sz w:val="24"/>
          <w:szCs w:val="24"/>
        </w:rPr>
        <w:t>. In the present study, the sVCAM-1 and sICAM-1 levels were higher in the LT recipients than in the controls. Remarkably, the CAM levels were comparable between the LT recipients and NASH patients. In addition, the E-</w:t>
      </w:r>
      <w:proofErr w:type="spellStart"/>
      <w:r w:rsidRPr="00F31D0D">
        <w:rPr>
          <w:rFonts w:ascii="Book Antiqua" w:hAnsi="Book Antiqua"/>
          <w:sz w:val="24"/>
          <w:szCs w:val="24"/>
        </w:rPr>
        <w:t>selectin</w:t>
      </w:r>
      <w:proofErr w:type="spellEnd"/>
      <w:r w:rsidRPr="00F31D0D">
        <w:rPr>
          <w:rFonts w:ascii="Book Antiqua" w:hAnsi="Book Antiqua"/>
          <w:sz w:val="24"/>
          <w:szCs w:val="24"/>
        </w:rPr>
        <w:t xml:space="preserve"> levels in the LT recipients were significantly higher than in the controls. These results could indicate the initiation of an atherosclerotic disease process.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In contrast, the LT recipients displayed lower MPO, MMP-9, and PAI-1 levels than the controls and NASH patients. It is unknown why these markers were low in our study; although </w:t>
      </w:r>
      <w:proofErr w:type="spellStart"/>
      <w:r w:rsidRPr="00F31D0D">
        <w:rPr>
          <w:rFonts w:ascii="Book Antiqua" w:hAnsi="Book Antiqua"/>
          <w:sz w:val="24"/>
          <w:szCs w:val="24"/>
        </w:rPr>
        <w:t>tacrolimus</w:t>
      </w:r>
      <w:proofErr w:type="spellEnd"/>
      <w:r w:rsidRPr="00F31D0D">
        <w:rPr>
          <w:rFonts w:ascii="Book Antiqua" w:hAnsi="Book Antiqua"/>
          <w:sz w:val="24"/>
          <w:szCs w:val="24"/>
        </w:rPr>
        <w:t xml:space="preserve"> itself can negatively impact MMP-9</w:t>
      </w:r>
      <w:r w:rsidRPr="00F31D0D">
        <w:rPr>
          <w:rFonts w:ascii="Book Antiqua" w:hAnsi="Book Antiqua"/>
          <w:sz w:val="24"/>
          <w:szCs w:val="24"/>
          <w:vertAlign w:val="superscript"/>
        </w:rPr>
        <w:t>[19]</w:t>
      </w:r>
      <w:r w:rsidRPr="00F31D0D">
        <w:rPr>
          <w:rFonts w:ascii="Book Antiqua" w:hAnsi="Book Antiqua"/>
          <w:sz w:val="24"/>
          <w:szCs w:val="24"/>
        </w:rPr>
        <w:t xml:space="preserve">, and PAI-1 can be low in association with thrombocytopenia, as approximately 90% of blood PAI-1 is found in the platelet </w:t>
      </w:r>
      <w:proofErr w:type="gramStart"/>
      <w:r w:rsidRPr="00F31D0D">
        <w:rPr>
          <w:rFonts w:ascii="Book Antiqua" w:hAnsi="Book Antiqua"/>
          <w:sz w:val="24"/>
          <w:szCs w:val="24"/>
        </w:rPr>
        <w:t>compartment</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20]</w:t>
      </w:r>
      <w:r w:rsidRPr="00F31D0D">
        <w:rPr>
          <w:rFonts w:ascii="Book Antiqua" w:hAnsi="Book Antiqua"/>
          <w:sz w:val="24"/>
          <w:szCs w:val="24"/>
        </w:rPr>
        <w:t xml:space="preserve">. Regarding MPO, which promotes atherosclerosis via oxidative </w:t>
      </w:r>
      <w:proofErr w:type="gramStart"/>
      <w:r w:rsidRPr="00F31D0D">
        <w:rPr>
          <w:rFonts w:ascii="Book Antiqua" w:hAnsi="Book Antiqua"/>
          <w:sz w:val="24"/>
          <w:szCs w:val="24"/>
        </w:rPr>
        <w:t>stress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21]</w:t>
      </w:r>
      <w:r w:rsidRPr="00F31D0D">
        <w:rPr>
          <w:rFonts w:ascii="Book Antiqua" w:hAnsi="Book Antiqua"/>
          <w:sz w:val="24"/>
          <w:szCs w:val="24"/>
        </w:rPr>
        <w:t xml:space="preserve">, levels </w:t>
      </w:r>
      <w:r w:rsidRPr="00F31D0D">
        <w:rPr>
          <w:rFonts w:ascii="Book Antiqua" w:hAnsi="Book Antiqua"/>
          <w:sz w:val="24"/>
          <w:szCs w:val="24"/>
        </w:rPr>
        <w:lastRenderedPageBreak/>
        <w:t>under &lt; 115 ng/mL were recently correlated with a longer event-free period in a high-risk population suffering from peripheral arterial disease</w:t>
      </w:r>
      <w:r w:rsidRPr="00F31D0D">
        <w:rPr>
          <w:rFonts w:ascii="Book Antiqua" w:hAnsi="Book Antiqua"/>
          <w:sz w:val="24"/>
          <w:szCs w:val="24"/>
          <w:vertAlign w:val="superscript"/>
        </w:rPr>
        <w:t>[22]</w:t>
      </w:r>
      <w:r w:rsidRPr="00F31D0D">
        <w:rPr>
          <w:rFonts w:ascii="Book Antiqua" w:hAnsi="Book Antiqua"/>
          <w:sz w:val="24"/>
          <w:szCs w:val="24"/>
        </w:rPr>
        <w:t xml:space="preserve">. In our study, only the LT recipients had mean MPO levels ≤ 115.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Inflammation plays a leading role in atherosclerosis. Most of the studies on cytokines in LT patients indicate immediate complications, such as ischemia-reperfusion injury or rejection. In the current study, the TNFα levels were similar among the LT recipients, NASH patients, and controls, but a previous study from our group demonstrated that TNFα does not increase in </w:t>
      </w:r>
      <w:proofErr w:type="gramStart"/>
      <w:r w:rsidRPr="00F31D0D">
        <w:rPr>
          <w:rFonts w:ascii="Book Antiqua" w:hAnsi="Book Antiqua"/>
          <w:sz w:val="24"/>
          <w:szCs w:val="24"/>
        </w:rPr>
        <w:t>NAFLD</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23]</w:t>
      </w:r>
      <w:r w:rsidRPr="00F31D0D">
        <w:rPr>
          <w:rFonts w:ascii="Book Antiqua" w:hAnsi="Book Antiqua"/>
          <w:sz w:val="24"/>
          <w:szCs w:val="24"/>
        </w:rPr>
        <w:t xml:space="preserve">. </w:t>
      </w:r>
      <w:proofErr w:type="spellStart"/>
      <w:r w:rsidRPr="00F31D0D">
        <w:rPr>
          <w:rFonts w:ascii="Book Antiqua" w:hAnsi="Book Antiqua"/>
          <w:sz w:val="24"/>
          <w:szCs w:val="24"/>
        </w:rPr>
        <w:t>IFNγ</w:t>
      </w:r>
      <w:proofErr w:type="spellEnd"/>
      <w:r w:rsidRPr="00F31D0D">
        <w:rPr>
          <w:rFonts w:ascii="Book Antiqua" w:hAnsi="Book Antiqua"/>
          <w:sz w:val="24"/>
          <w:szCs w:val="24"/>
        </w:rPr>
        <w:t xml:space="preserve"> levels were lower in the controls than in the LT recipients, suggesting that LT recipients have more inflammation than normal. This result is confirmed by anti-inflammatory IL-10, a pivotal anti-inflammatory cytokine that showed higher levels in the controls compared to the LT patients. Down-regulation of IL-10 has also been recently demonstrated in NASH </w:t>
      </w:r>
      <w:proofErr w:type="gramStart"/>
      <w:r w:rsidRPr="00F31D0D">
        <w:rPr>
          <w:rFonts w:ascii="Book Antiqua" w:hAnsi="Book Antiqua"/>
          <w:sz w:val="24"/>
          <w:szCs w:val="24"/>
        </w:rPr>
        <w:t>patients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24]</w:t>
      </w:r>
      <w:r w:rsidRPr="00F31D0D">
        <w:rPr>
          <w:rFonts w:ascii="Book Antiqua" w:hAnsi="Book Antiqua"/>
          <w:sz w:val="24"/>
          <w:szCs w:val="24"/>
        </w:rPr>
        <w:t xml:space="preserve">, and low circulating levels have been demonstrated in obese patients. The role of IL-8 is not well documented, even in NAFLD. It has been suggested that cirrhosis itself (with hepatic shunts and liver dysfunction) can partially explain the higher systemic levels of pro-inflammatory </w:t>
      </w:r>
      <w:proofErr w:type="gramStart"/>
      <w:r w:rsidRPr="00F31D0D">
        <w:rPr>
          <w:rFonts w:ascii="Book Antiqua" w:hAnsi="Book Antiqua"/>
          <w:sz w:val="24"/>
          <w:szCs w:val="24"/>
        </w:rPr>
        <w:t>cytokines</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25]</w:t>
      </w:r>
      <w:r w:rsidRPr="00F31D0D">
        <w:rPr>
          <w:rFonts w:ascii="Book Antiqua" w:hAnsi="Book Antiqua"/>
          <w:sz w:val="24"/>
          <w:szCs w:val="24"/>
        </w:rPr>
        <w:t xml:space="preserve">. We hypothesized that hepatic clearance is not the cause of the cytokine profile in our LT population, as we only included outpatients who had no significant liver function damage. HCV was also recently associated with the pro-inflammatory </w:t>
      </w:r>
      <w:proofErr w:type="gramStart"/>
      <w:r w:rsidRPr="00F31D0D">
        <w:rPr>
          <w:rFonts w:ascii="Book Antiqua" w:hAnsi="Book Antiqua"/>
          <w:sz w:val="24"/>
          <w:szCs w:val="24"/>
        </w:rPr>
        <w:t>profile</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26]</w:t>
      </w:r>
      <w:r w:rsidRPr="00F31D0D">
        <w:rPr>
          <w:rFonts w:ascii="Book Antiqua" w:hAnsi="Book Antiqua"/>
          <w:sz w:val="24"/>
          <w:szCs w:val="24"/>
        </w:rPr>
        <w:t>; thus, this variable must be considered when analyzing our results, as 36.4% of the patients were HCV-positive.</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r>
      <w:proofErr w:type="spellStart"/>
      <w:r w:rsidRPr="00F31D0D">
        <w:rPr>
          <w:rFonts w:ascii="Book Antiqua" w:hAnsi="Book Antiqua"/>
          <w:sz w:val="24"/>
          <w:szCs w:val="24"/>
        </w:rPr>
        <w:t>Adiponectin</w:t>
      </w:r>
      <w:proofErr w:type="spellEnd"/>
      <w:r w:rsidRPr="00F31D0D">
        <w:rPr>
          <w:rFonts w:ascii="Book Antiqua" w:hAnsi="Book Antiqua"/>
          <w:sz w:val="24"/>
          <w:szCs w:val="24"/>
        </w:rPr>
        <w:t xml:space="preserve">, an anti-inflammatory </w:t>
      </w:r>
      <w:proofErr w:type="spellStart"/>
      <w:r w:rsidRPr="00F31D0D">
        <w:rPr>
          <w:rFonts w:ascii="Book Antiqua" w:hAnsi="Book Antiqua"/>
          <w:sz w:val="24"/>
          <w:szCs w:val="24"/>
        </w:rPr>
        <w:t>adipokine</w:t>
      </w:r>
      <w:proofErr w:type="spellEnd"/>
      <w:r w:rsidRPr="00F31D0D">
        <w:rPr>
          <w:rFonts w:ascii="Book Antiqua" w:hAnsi="Book Antiqua"/>
          <w:sz w:val="24"/>
          <w:szCs w:val="24"/>
        </w:rPr>
        <w:t xml:space="preserve"> that acts as an anti-obesity hormone, is usually down-regulated in </w:t>
      </w:r>
      <w:proofErr w:type="gramStart"/>
      <w:r w:rsidRPr="00F31D0D">
        <w:rPr>
          <w:rFonts w:ascii="Book Antiqua" w:hAnsi="Book Antiqua"/>
          <w:sz w:val="24"/>
          <w:szCs w:val="24"/>
        </w:rPr>
        <w:t>NAFLD</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27]</w:t>
      </w:r>
      <w:r w:rsidRPr="00F31D0D">
        <w:rPr>
          <w:rFonts w:ascii="Book Antiqua" w:hAnsi="Book Antiqua"/>
          <w:sz w:val="24"/>
          <w:szCs w:val="24"/>
        </w:rPr>
        <w:t xml:space="preserve">. Few studies have investigated </w:t>
      </w:r>
      <w:proofErr w:type="spellStart"/>
      <w:r w:rsidRPr="00F31D0D">
        <w:rPr>
          <w:rFonts w:ascii="Book Antiqua" w:hAnsi="Book Antiqua"/>
          <w:sz w:val="24"/>
          <w:szCs w:val="24"/>
        </w:rPr>
        <w:t>adiponectin</w:t>
      </w:r>
      <w:proofErr w:type="spellEnd"/>
      <w:r w:rsidRPr="00F31D0D">
        <w:rPr>
          <w:rFonts w:ascii="Book Antiqua" w:hAnsi="Book Antiqua"/>
          <w:sz w:val="24"/>
          <w:szCs w:val="24"/>
        </w:rPr>
        <w:t xml:space="preserve"> in LT patients. In the present study, the LT recipients had higher </w:t>
      </w:r>
      <w:proofErr w:type="spellStart"/>
      <w:r w:rsidRPr="00F31D0D">
        <w:rPr>
          <w:rFonts w:ascii="Book Antiqua" w:hAnsi="Book Antiqua"/>
          <w:sz w:val="24"/>
          <w:szCs w:val="24"/>
        </w:rPr>
        <w:t>adiponectin</w:t>
      </w:r>
      <w:proofErr w:type="spellEnd"/>
      <w:r w:rsidRPr="00F31D0D">
        <w:rPr>
          <w:rFonts w:ascii="Book Antiqua" w:hAnsi="Book Antiqua"/>
          <w:sz w:val="24"/>
          <w:szCs w:val="24"/>
        </w:rPr>
        <w:t xml:space="preserve"> levels than the NASH patients, and there were no differences between the patients and controls.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Immunosuppressive therapy should be considered, as steroids and </w:t>
      </w:r>
      <w:proofErr w:type="spellStart"/>
      <w:r w:rsidRPr="00F31D0D">
        <w:rPr>
          <w:rFonts w:ascii="Book Antiqua" w:hAnsi="Book Antiqua"/>
          <w:sz w:val="24"/>
          <w:szCs w:val="24"/>
        </w:rPr>
        <w:t>calcineurin</w:t>
      </w:r>
      <w:proofErr w:type="spellEnd"/>
      <w:r w:rsidRPr="00F31D0D">
        <w:rPr>
          <w:rFonts w:ascii="Book Antiqua" w:hAnsi="Book Antiqua"/>
          <w:sz w:val="24"/>
          <w:szCs w:val="24"/>
        </w:rPr>
        <w:t xml:space="preserve"> inhibitors are related to a high risk of metabolic </w:t>
      </w:r>
      <w:proofErr w:type="gramStart"/>
      <w:r w:rsidRPr="00F31D0D">
        <w:rPr>
          <w:rFonts w:ascii="Book Antiqua" w:hAnsi="Book Antiqua"/>
          <w:sz w:val="24"/>
          <w:szCs w:val="24"/>
        </w:rPr>
        <w:t>syndrome</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28]</w:t>
      </w:r>
      <w:r w:rsidRPr="00F31D0D">
        <w:rPr>
          <w:rFonts w:ascii="Book Antiqua" w:hAnsi="Book Antiqua"/>
          <w:sz w:val="24"/>
          <w:szCs w:val="24"/>
        </w:rPr>
        <w:t xml:space="preserve">. </w:t>
      </w:r>
      <w:proofErr w:type="spellStart"/>
      <w:r w:rsidRPr="00F31D0D">
        <w:rPr>
          <w:rFonts w:ascii="Book Antiqua" w:hAnsi="Book Antiqua"/>
          <w:sz w:val="24"/>
          <w:szCs w:val="24"/>
        </w:rPr>
        <w:lastRenderedPageBreak/>
        <w:t>Calcineurin</w:t>
      </w:r>
      <w:proofErr w:type="spellEnd"/>
      <w:r w:rsidRPr="00F31D0D">
        <w:rPr>
          <w:rFonts w:ascii="Book Antiqua" w:hAnsi="Book Antiqua"/>
          <w:sz w:val="24"/>
          <w:szCs w:val="24"/>
        </w:rPr>
        <w:t xml:space="preserve"> inhibitors are also linked to renal injury and are prone to increase oxidative stress and lipid peroxidation. Thus, immunosuppressive agents might be somehow associated with our main results. </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 </w:t>
      </w:r>
      <w:r w:rsidRPr="00F31D0D">
        <w:rPr>
          <w:rFonts w:ascii="Book Antiqua" w:hAnsi="Book Antiqua"/>
          <w:sz w:val="24"/>
          <w:szCs w:val="24"/>
        </w:rPr>
        <w:tab/>
        <w:t xml:space="preserve">Most LT studies focused on CVD after a long-term follow-up. Longer follow-ups are associated with an increased likelihood that a patient will suffer from MS, and it is presumably difficult to alter this path. Studies predicting cardiac complications based on short follow-ups are scarce and do not focus on atherosclerotic </w:t>
      </w:r>
      <w:proofErr w:type="gramStart"/>
      <w:r w:rsidRPr="00F31D0D">
        <w:rPr>
          <w:rFonts w:ascii="Book Antiqua" w:hAnsi="Book Antiqua"/>
          <w:sz w:val="24"/>
          <w:szCs w:val="24"/>
        </w:rPr>
        <w:t>disease</w:t>
      </w:r>
      <w:r w:rsidRPr="00F31D0D">
        <w:rPr>
          <w:rFonts w:ascii="Book Antiqua" w:hAnsi="Book Antiqua"/>
          <w:sz w:val="24"/>
          <w:szCs w:val="24"/>
          <w:vertAlign w:val="superscript"/>
        </w:rPr>
        <w:t>[</w:t>
      </w:r>
      <w:proofErr w:type="gramEnd"/>
      <w:r w:rsidRPr="00F31D0D">
        <w:rPr>
          <w:rFonts w:ascii="Book Antiqua" w:hAnsi="Book Antiqua"/>
          <w:sz w:val="24"/>
          <w:szCs w:val="24"/>
          <w:vertAlign w:val="superscript"/>
        </w:rPr>
        <w:t>29-32]</w:t>
      </w:r>
      <w:r w:rsidRPr="00F31D0D">
        <w:rPr>
          <w:rFonts w:ascii="Book Antiqua" w:hAnsi="Book Antiqua"/>
          <w:sz w:val="24"/>
          <w:szCs w:val="24"/>
        </w:rPr>
        <w:t>. The present study was not designed to assess long-term prognosis but rather to evaluate the risk of LT recipients within 1-year post-transplant.</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ab/>
        <w:t xml:space="preserve">This study has several strengths that should be emphasized. The sample selection was adequate, as only outpatients without clinically evident inflammatory complications, such as rejection or infection, were included. Inclusion at the end of the first year post-LT enabled the authors to evaluate cardiac risk factors late enough to avoid specific LT complication biases and early enough to allow to prevent disease progression. The LT recipients were not obese; the MS prevalence was low, and the LT recipients were compared to both controls and NASH patients. Several limitations should also be noted. The sample size was small, and the study was conducted at a single-center. Liver biopsies were not performed following a protocol schedule; baseline endothelial function and inflammatory profile information was not available for the LT recipients; and no cardiovascular imaging studies were performed. Finally, although unlikely, it is impossible for us to determine whether the inflammatory cytokines and endothelial marker profiles were related to some inherent transplant issues, such as a continuous rejection stimulus. </w:t>
      </w:r>
    </w:p>
    <w:p w:rsidR="00085BA6" w:rsidRDefault="00F31D0D" w:rsidP="00085BA6">
      <w:pPr>
        <w:spacing w:line="360" w:lineRule="auto"/>
        <w:rPr>
          <w:rFonts w:ascii="Book Antiqua" w:hAnsi="Book Antiqua"/>
          <w:sz w:val="24"/>
          <w:szCs w:val="24"/>
        </w:rPr>
      </w:pPr>
      <w:r w:rsidRPr="00F31D0D">
        <w:rPr>
          <w:rFonts w:ascii="Book Antiqua" w:hAnsi="Book Antiqua"/>
          <w:sz w:val="24"/>
          <w:szCs w:val="24"/>
        </w:rPr>
        <w:tab/>
        <w:t xml:space="preserve">In conclusion, we confirmed our hypothesis that LT recipients, even after a short follow-up period of 1-year post-transplant, are a population with a high atherosclerotic risk, as demonstrated by their inflammatory profiles and endothelial biomarkers. These results suggest that LT recipients should be carefully followed to prevent future CVD. </w:t>
      </w:r>
    </w:p>
    <w:p w:rsidR="00F31D0D" w:rsidRPr="00085BA6" w:rsidRDefault="00F31D0D" w:rsidP="00085BA6">
      <w:pPr>
        <w:spacing w:line="360" w:lineRule="auto"/>
        <w:rPr>
          <w:rFonts w:ascii="Book Antiqua" w:hAnsi="Book Antiqua"/>
          <w:sz w:val="24"/>
          <w:szCs w:val="24"/>
        </w:rPr>
      </w:pPr>
      <w:r w:rsidRPr="00F31D0D">
        <w:rPr>
          <w:rFonts w:ascii="Book Antiqua" w:hAnsi="Book Antiqua"/>
          <w:b/>
          <w:sz w:val="24"/>
          <w:szCs w:val="24"/>
        </w:rPr>
        <w:lastRenderedPageBreak/>
        <w:t>COMMENTS</w:t>
      </w: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Background</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Advances in medical therapy and surgical techniques made common the long-term survival of liver transplant recipients. Indeed, liver transplant recipients have a high risk of long-term development of cardiovascular disease. </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Research frontiers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Most post-transplantation studies are focused on noticeable cardiovascular after a long-term follow-up. Studies predicting cardiac complications based on short follow-ups are scarce and do not focus on atherosclerotic disease. The present study was not designed to assess long-term prognosis but rather to evaluate the risk of liver transplant recipients within 1-year post-transplant.</w:t>
      </w:r>
    </w:p>
    <w:p w:rsidR="00F31D0D" w:rsidRPr="00F31D0D" w:rsidRDefault="00F31D0D" w:rsidP="00F31D0D">
      <w:pPr>
        <w:spacing w:line="360" w:lineRule="auto"/>
        <w:rPr>
          <w:rFonts w:ascii="Book Antiqua" w:hAnsi="Book Antiqua"/>
          <w:sz w:val="24"/>
          <w:szCs w:val="24"/>
        </w:rPr>
      </w:pPr>
      <w:proofErr w:type="gramStart"/>
      <w:r w:rsidRPr="00F31D0D">
        <w:rPr>
          <w:rFonts w:ascii="Book Antiqua" w:hAnsi="Book Antiqua"/>
          <w:sz w:val="24"/>
          <w:szCs w:val="24"/>
        </w:rPr>
        <w:t>Innovations and breakthroughs.</w:t>
      </w:r>
      <w:proofErr w:type="gramEnd"/>
      <w:r w:rsidRPr="00F31D0D">
        <w:rPr>
          <w:rFonts w:ascii="Book Antiqua" w:hAnsi="Book Antiqua"/>
          <w:sz w:val="24"/>
          <w:szCs w:val="24"/>
        </w:rPr>
        <w:t xml:space="preserve"> This study demonstrated a high pro-inflammatory profile and endothelial dysfunction in low-risk liver transplant recipients one year post-transplantation.</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Applications</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Liver transplant recipients should be evaluated for cardiovascular early after transplantation to allow for effective preventative strategies.</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Terminology</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 xml:space="preserve">Endothelial dysfunction is the first step and inflammation plays an important role in developing early atherosclerosis. One of the key initial events is the adhesion of monocytes to the endothelial cells, with subsequent transmigration into the vascular intima. Soluble leukocyte and vascular cell adhesion molecules (CAM), such as </w:t>
      </w:r>
      <w:proofErr w:type="spellStart"/>
      <w:r w:rsidRPr="00F31D0D">
        <w:rPr>
          <w:rFonts w:ascii="Book Antiqua" w:hAnsi="Book Antiqua"/>
          <w:sz w:val="24"/>
          <w:szCs w:val="24"/>
        </w:rPr>
        <w:t>selectins</w:t>
      </w:r>
      <w:proofErr w:type="spellEnd"/>
      <w:r w:rsidRPr="00F31D0D">
        <w:rPr>
          <w:rFonts w:ascii="Book Antiqua" w:hAnsi="Book Antiqua"/>
          <w:sz w:val="24"/>
          <w:szCs w:val="24"/>
        </w:rPr>
        <w:t xml:space="preserve">, </w:t>
      </w:r>
      <w:proofErr w:type="spellStart"/>
      <w:r w:rsidRPr="00F31D0D">
        <w:rPr>
          <w:rFonts w:ascii="Book Antiqua" w:hAnsi="Book Antiqua"/>
          <w:sz w:val="24"/>
          <w:szCs w:val="24"/>
        </w:rPr>
        <w:t>integrins</w:t>
      </w:r>
      <w:proofErr w:type="spellEnd"/>
      <w:r w:rsidRPr="00F31D0D">
        <w:rPr>
          <w:rFonts w:ascii="Book Antiqua" w:hAnsi="Book Antiqua"/>
          <w:sz w:val="24"/>
          <w:szCs w:val="24"/>
        </w:rPr>
        <w:t>, sVCAM-1, and sICAM-1, play critical roles in the adhesion of monocytes to endothelial cells.</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b/>
          <w:i/>
          <w:sz w:val="24"/>
          <w:szCs w:val="24"/>
        </w:rPr>
      </w:pPr>
      <w:r w:rsidRPr="00F31D0D">
        <w:rPr>
          <w:rFonts w:ascii="Book Antiqua" w:hAnsi="Book Antiqua"/>
          <w:b/>
          <w:i/>
          <w:sz w:val="24"/>
          <w:szCs w:val="24"/>
        </w:rPr>
        <w:t>Peer review</w:t>
      </w:r>
    </w:p>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lastRenderedPageBreak/>
        <w:t>The manuscript provides information about pro-atherosclerotic markers and cardiovascular risk factors one year after liver transplantation. This subject would certainly contribute to improve the knowledge about liver transplantation.</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widowControl/>
        <w:spacing w:line="360" w:lineRule="auto"/>
        <w:jc w:val="left"/>
        <w:rPr>
          <w:rFonts w:ascii="Book Antiqua" w:hAnsi="Book Antiqua"/>
          <w:sz w:val="24"/>
          <w:szCs w:val="24"/>
        </w:rPr>
      </w:pPr>
      <w:r w:rsidRPr="00F31D0D">
        <w:rPr>
          <w:rFonts w:ascii="Book Antiqua" w:hAnsi="Book Antiqua"/>
          <w:sz w:val="24"/>
          <w:szCs w:val="24"/>
        </w:rPr>
        <w:br w:type="page"/>
      </w: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lastRenderedPageBreak/>
        <w:t>REFERENCES</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1 </w:t>
      </w:r>
      <w:r w:rsidRPr="001C5C2B">
        <w:rPr>
          <w:rFonts w:ascii="Book Antiqua" w:eastAsia="宋体" w:hAnsi="Book Antiqua" w:cs="宋体"/>
          <w:b/>
          <w:bCs/>
          <w:kern w:val="0"/>
          <w:sz w:val="24"/>
          <w:szCs w:val="24"/>
        </w:rPr>
        <w:t>Desai S</w:t>
      </w:r>
      <w:r w:rsidRPr="001C5C2B">
        <w:rPr>
          <w:rFonts w:ascii="Book Antiqua" w:eastAsia="宋体" w:hAnsi="Book Antiqua" w:cs="宋体"/>
          <w:kern w:val="0"/>
          <w:sz w:val="24"/>
          <w:szCs w:val="24"/>
        </w:rPr>
        <w:t xml:space="preserve">, Hong JC, Saab S. Cardiovascular risk factors following </w:t>
      </w:r>
      <w:proofErr w:type="spellStart"/>
      <w:r w:rsidRPr="001C5C2B">
        <w:rPr>
          <w:rFonts w:ascii="Book Antiqua" w:eastAsia="宋体" w:hAnsi="Book Antiqua" w:cs="宋体"/>
          <w:kern w:val="0"/>
          <w:sz w:val="24"/>
          <w:szCs w:val="24"/>
        </w:rPr>
        <w:t>orthotopic</w:t>
      </w:r>
      <w:proofErr w:type="spellEnd"/>
      <w:r w:rsidRPr="001C5C2B">
        <w:rPr>
          <w:rFonts w:ascii="Book Antiqua" w:eastAsia="宋体" w:hAnsi="Book Antiqua" w:cs="宋体"/>
          <w:kern w:val="0"/>
          <w:sz w:val="24"/>
          <w:szCs w:val="24"/>
        </w:rPr>
        <w:t xml:space="preserve"> liver transplantation: predisposing factors, incidence and management.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Int</w:t>
      </w:r>
      <w:proofErr w:type="spellEnd"/>
      <w:r w:rsidRPr="001C5C2B">
        <w:rPr>
          <w:rFonts w:ascii="Book Antiqua" w:eastAsia="宋体" w:hAnsi="Book Antiqua" w:cs="宋体"/>
          <w:kern w:val="0"/>
          <w:sz w:val="24"/>
          <w:szCs w:val="24"/>
        </w:rPr>
        <w:t> 2010; </w:t>
      </w:r>
      <w:r w:rsidRPr="001C5C2B">
        <w:rPr>
          <w:rFonts w:ascii="Book Antiqua" w:eastAsia="宋体" w:hAnsi="Book Antiqua" w:cs="宋体"/>
          <w:b/>
          <w:bCs/>
          <w:kern w:val="0"/>
          <w:sz w:val="24"/>
          <w:szCs w:val="24"/>
        </w:rPr>
        <w:t>30</w:t>
      </w:r>
      <w:r w:rsidRPr="001C5C2B">
        <w:rPr>
          <w:rFonts w:ascii="Book Antiqua" w:eastAsia="宋体" w:hAnsi="Book Antiqua" w:cs="宋体"/>
          <w:kern w:val="0"/>
          <w:sz w:val="24"/>
          <w:szCs w:val="24"/>
        </w:rPr>
        <w:t>: 948-957 [PMID: 20500807 DOI: 1</w:t>
      </w:r>
      <w:r>
        <w:rPr>
          <w:rFonts w:ascii="Book Antiqua" w:eastAsia="宋体" w:hAnsi="Book Antiqua" w:cs="宋体"/>
          <w:kern w:val="0"/>
          <w:sz w:val="24"/>
          <w:szCs w:val="24"/>
        </w:rPr>
        <w:t>0.1111/j.1478-3231.2010.02274.x</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proofErr w:type="gramStart"/>
      <w:r w:rsidRPr="001C5C2B">
        <w:rPr>
          <w:rFonts w:ascii="Book Antiqua" w:eastAsia="宋体" w:hAnsi="Book Antiqua" w:cs="宋体"/>
          <w:kern w:val="0"/>
          <w:sz w:val="24"/>
          <w:szCs w:val="24"/>
        </w:rPr>
        <w:t>2 </w:t>
      </w:r>
      <w:proofErr w:type="spellStart"/>
      <w:r w:rsidRPr="001C5C2B">
        <w:rPr>
          <w:rFonts w:ascii="Book Antiqua" w:eastAsia="宋体" w:hAnsi="Book Antiqua" w:cs="宋体"/>
          <w:b/>
          <w:bCs/>
          <w:kern w:val="0"/>
          <w:sz w:val="24"/>
          <w:szCs w:val="24"/>
        </w:rPr>
        <w:t>Stravitz</w:t>
      </w:r>
      <w:proofErr w:type="spellEnd"/>
      <w:r w:rsidRPr="001C5C2B">
        <w:rPr>
          <w:rFonts w:ascii="Book Antiqua" w:eastAsia="宋体" w:hAnsi="Book Antiqua" w:cs="宋体"/>
          <w:b/>
          <w:bCs/>
          <w:kern w:val="0"/>
          <w:sz w:val="24"/>
          <w:szCs w:val="24"/>
        </w:rPr>
        <w:t xml:space="preserve"> RT</w:t>
      </w:r>
      <w:r w:rsidRPr="001C5C2B">
        <w:rPr>
          <w:rFonts w:ascii="Book Antiqua" w:eastAsia="宋体" w:hAnsi="Book Antiqua" w:cs="宋体"/>
          <w:kern w:val="0"/>
          <w:sz w:val="24"/>
          <w:szCs w:val="24"/>
        </w:rPr>
        <w:t xml:space="preserve">, Carl DE, </w:t>
      </w:r>
      <w:proofErr w:type="spellStart"/>
      <w:r w:rsidRPr="001C5C2B">
        <w:rPr>
          <w:rFonts w:ascii="Book Antiqua" w:eastAsia="宋体" w:hAnsi="Book Antiqua" w:cs="宋体"/>
          <w:kern w:val="0"/>
          <w:sz w:val="24"/>
          <w:szCs w:val="24"/>
        </w:rPr>
        <w:t>Biskobing</w:t>
      </w:r>
      <w:proofErr w:type="spellEnd"/>
      <w:r w:rsidRPr="001C5C2B">
        <w:rPr>
          <w:rFonts w:ascii="Book Antiqua" w:eastAsia="宋体" w:hAnsi="Book Antiqua" w:cs="宋体"/>
          <w:kern w:val="0"/>
          <w:sz w:val="24"/>
          <w:szCs w:val="24"/>
        </w:rPr>
        <w:t xml:space="preserve"> DM. Medical management of the liver transplant recipient.</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Clin</w:t>
      </w:r>
      <w:proofErr w:type="spellEnd"/>
      <w:r w:rsidRPr="001C5C2B">
        <w:rPr>
          <w:rFonts w:ascii="Book Antiqua" w:eastAsia="宋体" w:hAnsi="Book Antiqua" w:cs="宋体"/>
          <w:i/>
          <w:iCs/>
          <w:kern w:val="0"/>
          <w:sz w:val="24"/>
          <w:szCs w:val="24"/>
        </w:rPr>
        <w:t xml:space="preserve"> Liver Dis</w:t>
      </w:r>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15</w:t>
      </w:r>
      <w:r w:rsidRPr="001C5C2B">
        <w:rPr>
          <w:rFonts w:ascii="Book Antiqua" w:eastAsia="宋体" w:hAnsi="Book Antiqua" w:cs="宋体"/>
          <w:kern w:val="0"/>
          <w:sz w:val="24"/>
          <w:szCs w:val="24"/>
        </w:rPr>
        <w:t>: 821-843 [PMID: 22032531</w:t>
      </w:r>
      <w:r>
        <w:rPr>
          <w:rFonts w:ascii="Book Antiqua" w:eastAsia="宋体" w:hAnsi="Book Antiqua" w:cs="宋体"/>
          <w:kern w:val="0"/>
          <w:sz w:val="24"/>
          <w:szCs w:val="24"/>
        </w:rPr>
        <w:t xml:space="preserve"> DOI: 10.1016/j.cld.2011.08.007</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3 </w:t>
      </w:r>
      <w:proofErr w:type="spellStart"/>
      <w:r w:rsidRPr="001C5C2B">
        <w:rPr>
          <w:rFonts w:ascii="Book Antiqua" w:eastAsia="宋体" w:hAnsi="Book Antiqua" w:cs="宋体"/>
          <w:b/>
          <w:bCs/>
          <w:kern w:val="0"/>
          <w:sz w:val="24"/>
          <w:szCs w:val="24"/>
        </w:rPr>
        <w:t>Hanouneh</w:t>
      </w:r>
      <w:proofErr w:type="spellEnd"/>
      <w:r w:rsidRPr="001C5C2B">
        <w:rPr>
          <w:rFonts w:ascii="Book Antiqua" w:eastAsia="宋体" w:hAnsi="Book Antiqua" w:cs="宋体"/>
          <w:b/>
          <w:bCs/>
          <w:kern w:val="0"/>
          <w:sz w:val="24"/>
          <w:szCs w:val="24"/>
        </w:rPr>
        <w:t xml:space="preserve"> IA</w:t>
      </w:r>
      <w:r w:rsidRPr="001C5C2B">
        <w:rPr>
          <w:rFonts w:ascii="Book Antiqua" w:eastAsia="宋体" w:hAnsi="Book Antiqua" w:cs="宋体"/>
          <w:kern w:val="0"/>
          <w:sz w:val="24"/>
          <w:szCs w:val="24"/>
        </w:rPr>
        <w:t xml:space="preserve">, Feldstein AE, McCullough AJ, Miller C, </w:t>
      </w:r>
      <w:proofErr w:type="spellStart"/>
      <w:r w:rsidRPr="001C5C2B">
        <w:rPr>
          <w:rFonts w:ascii="Book Antiqua" w:eastAsia="宋体" w:hAnsi="Book Antiqua" w:cs="宋体"/>
          <w:kern w:val="0"/>
          <w:sz w:val="24"/>
          <w:szCs w:val="24"/>
        </w:rPr>
        <w:t>Aucejo</w:t>
      </w:r>
      <w:proofErr w:type="spellEnd"/>
      <w:r w:rsidRPr="001C5C2B">
        <w:rPr>
          <w:rFonts w:ascii="Book Antiqua" w:eastAsia="宋体" w:hAnsi="Book Antiqua" w:cs="宋体"/>
          <w:kern w:val="0"/>
          <w:sz w:val="24"/>
          <w:szCs w:val="24"/>
        </w:rPr>
        <w:t xml:space="preserve"> F, </w:t>
      </w:r>
      <w:proofErr w:type="spellStart"/>
      <w:r w:rsidRPr="001C5C2B">
        <w:rPr>
          <w:rFonts w:ascii="Book Antiqua" w:eastAsia="宋体" w:hAnsi="Book Antiqua" w:cs="宋体"/>
          <w:kern w:val="0"/>
          <w:sz w:val="24"/>
          <w:szCs w:val="24"/>
        </w:rPr>
        <w:t>Yerian</w:t>
      </w:r>
      <w:proofErr w:type="spellEnd"/>
      <w:r w:rsidRPr="001C5C2B">
        <w:rPr>
          <w:rFonts w:ascii="Book Antiqua" w:eastAsia="宋体" w:hAnsi="Book Antiqua" w:cs="宋体"/>
          <w:kern w:val="0"/>
          <w:sz w:val="24"/>
          <w:szCs w:val="24"/>
        </w:rPr>
        <w:t xml:space="preserve"> L, Lopez R, </w:t>
      </w:r>
      <w:proofErr w:type="spellStart"/>
      <w:r w:rsidRPr="001C5C2B">
        <w:rPr>
          <w:rFonts w:ascii="Book Antiqua" w:eastAsia="宋体" w:hAnsi="Book Antiqua" w:cs="宋体"/>
          <w:kern w:val="0"/>
          <w:sz w:val="24"/>
          <w:szCs w:val="24"/>
        </w:rPr>
        <w:t>Zein</w:t>
      </w:r>
      <w:proofErr w:type="spellEnd"/>
      <w:r w:rsidRPr="001C5C2B">
        <w:rPr>
          <w:rFonts w:ascii="Book Antiqua" w:eastAsia="宋体" w:hAnsi="Book Antiqua" w:cs="宋体"/>
          <w:kern w:val="0"/>
          <w:sz w:val="24"/>
          <w:szCs w:val="24"/>
        </w:rPr>
        <w:t xml:space="preserve"> NN. </w:t>
      </w:r>
      <w:proofErr w:type="gramStart"/>
      <w:r w:rsidRPr="001C5C2B">
        <w:rPr>
          <w:rFonts w:ascii="Book Antiqua" w:eastAsia="宋体" w:hAnsi="Book Antiqua" w:cs="宋体"/>
          <w:kern w:val="0"/>
          <w:sz w:val="24"/>
          <w:szCs w:val="24"/>
        </w:rPr>
        <w:t>The significance of metabolic syndrome in the setting of recurrent hepatitis C after liver transplantation.</w:t>
      </w:r>
      <w:proofErr w:type="gramEnd"/>
      <w:r w:rsidRPr="001C5C2B">
        <w:rPr>
          <w:rFonts w:ascii="Book Antiqua" w:eastAsia="宋体" w:hAnsi="Book Antiqua" w:cs="宋体"/>
          <w:kern w:val="0"/>
          <w:sz w:val="24"/>
          <w:szCs w:val="24"/>
        </w:rPr>
        <w:t>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2008; </w:t>
      </w:r>
      <w:r w:rsidRPr="001C5C2B">
        <w:rPr>
          <w:rFonts w:ascii="Book Antiqua" w:eastAsia="宋体" w:hAnsi="Book Antiqua" w:cs="宋体"/>
          <w:b/>
          <w:bCs/>
          <w:kern w:val="0"/>
          <w:sz w:val="24"/>
          <w:szCs w:val="24"/>
        </w:rPr>
        <w:t>14</w:t>
      </w:r>
      <w:r w:rsidRPr="001C5C2B">
        <w:rPr>
          <w:rFonts w:ascii="Book Antiqua" w:eastAsia="宋体" w:hAnsi="Book Antiqua" w:cs="宋体"/>
          <w:kern w:val="0"/>
          <w:sz w:val="24"/>
          <w:szCs w:val="24"/>
        </w:rPr>
        <w:t>: 1287-1293 [PMID:</w:t>
      </w:r>
      <w:r>
        <w:rPr>
          <w:rFonts w:ascii="Book Antiqua" w:eastAsia="宋体" w:hAnsi="Book Antiqua" w:cs="宋体"/>
          <w:kern w:val="0"/>
          <w:sz w:val="24"/>
          <w:szCs w:val="24"/>
        </w:rPr>
        <w:t xml:space="preserve"> 18756451 DOI: 10.1002/lt.21524</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4 </w:t>
      </w:r>
      <w:proofErr w:type="spellStart"/>
      <w:r w:rsidRPr="001C5C2B">
        <w:rPr>
          <w:rFonts w:ascii="Book Antiqua" w:eastAsia="宋体" w:hAnsi="Book Antiqua" w:cs="宋体"/>
          <w:b/>
          <w:bCs/>
          <w:kern w:val="0"/>
          <w:sz w:val="24"/>
          <w:szCs w:val="24"/>
        </w:rPr>
        <w:t>Albeldawi</w:t>
      </w:r>
      <w:proofErr w:type="spellEnd"/>
      <w:r w:rsidRPr="001C5C2B">
        <w:rPr>
          <w:rFonts w:ascii="Book Antiqua" w:eastAsia="宋体" w:hAnsi="Book Antiqua" w:cs="宋体"/>
          <w:b/>
          <w:bCs/>
          <w:kern w:val="0"/>
          <w:sz w:val="24"/>
          <w:szCs w:val="24"/>
        </w:rPr>
        <w:t xml:space="preserve"> M</w:t>
      </w:r>
      <w:r w:rsidRPr="001C5C2B">
        <w:rPr>
          <w:rFonts w:ascii="Book Antiqua" w:eastAsia="宋体" w:hAnsi="Book Antiqua" w:cs="宋体"/>
          <w:kern w:val="0"/>
          <w:sz w:val="24"/>
          <w:szCs w:val="24"/>
        </w:rPr>
        <w:t xml:space="preserve">, Aggarwal A, </w:t>
      </w:r>
      <w:proofErr w:type="spellStart"/>
      <w:r w:rsidRPr="001C5C2B">
        <w:rPr>
          <w:rFonts w:ascii="Book Antiqua" w:eastAsia="宋体" w:hAnsi="Book Antiqua" w:cs="宋体"/>
          <w:kern w:val="0"/>
          <w:sz w:val="24"/>
          <w:szCs w:val="24"/>
        </w:rPr>
        <w:t>Madhwal</w:t>
      </w:r>
      <w:proofErr w:type="spellEnd"/>
      <w:r w:rsidRPr="001C5C2B">
        <w:rPr>
          <w:rFonts w:ascii="Book Antiqua" w:eastAsia="宋体" w:hAnsi="Book Antiqua" w:cs="宋体"/>
          <w:kern w:val="0"/>
          <w:sz w:val="24"/>
          <w:szCs w:val="24"/>
        </w:rPr>
        <w:t xml:space="preserve"> S, </w:t>
      </w:r>
      <w:proofErr w:type="spellStart"/>
      <w:r w:rsidRPr="001C5C2B">
        <w:rPr>
          <w:rFonts w:ascii="Book Antiqua" w:eastAsia="宋体" w:hAnsi="Book Antiqua" w:cs="宋体"/>
          <w:kern w:val="0"/>
          <w:sz w:val="24"/>
          <w:szCs w:val="24"/>
        </w:rPr>
        <w:t>Cywinski</w:t>
      </w:r>
      <w:proofErr w:type="spellEnd"/>
      <w:r w:rsidRPr="001C5C2B">
        <w:rPr>
          <w:rFonts w:ascii="Book Antiqua" w:eastAsia="宋体" w:hAnsi="Book Antiqua" w:cs="宋体"/>
          <w:kern w:val="0"/>
          <w:sz w:val="24"/>
          <w:szCs w:val="24"/>
        </w:rPr>
        <w:t xml:space="preserve"> J, Lopez R, </w:t>
      </w:r>
      <w:proofErr w:type="spellStart"/>
      <w:r w:rsidRPr="001C5C2B">
        <w:rPr>
          <w:rFonts w:ascii="Book Antiqua" w:eastAsia="宋体" w:hAnsi="Book Antiqua" w:cs="宋体"/>
          <w:kern w:val="0"/>
          <w:sz w:val="24"/>
          <w:szCs w:val="24"/>
        </w:rPr>
        <w:t>Eghtesad</w:t>
      </w:r>
      <w:proofErr w:type="spellEnd"/>
      <w:r w:rsidRPr="001C5C2B">
        <w:rPr>
          <w:rFonts w:ascii="Book Antiqua" w:eastAsia="宋体" w:hAnsi="Book Antiqua" w:cs="宋体"/>
          <w:kern w:val="0"/>
          <w:sz w:val="24"/>
          <w:szCs w:val="24"/>
        </w:rPr>
        <w:t xml:space="preserve"> B, </w:t>
      </w:r>
      <w:proofErr w:type="spellStart"/>
      <w:r w:rsidRPr="001C5C2B">
        <w:rPr>
          <w:rFonts w:ascii="Book Antiqua" w:eastAsia="宋体" w:hAnsi="Book Antiqua" w:cs="宋体"/>
          <w:kern w:val="0"/>
          <w:sz w:val="24"/>
          <w:szCs w:val="24"/>
        </w:rPr>
        <w:t>Zein</w:t>
      </w:r>
      <w:proofErr w:type="spellEnd"/>
      <w:r w:rsidRPr="001C5C2B">
        <w:rPr>
          <w:rFonts w:ascii="Book Antiqua" w:eastAsia="宋体" w:hAnsi="Book Antiqua" w:cs="宋体"/>
          <w:kern w:val="0"/>
          <w:sz w:val="24"/>
          <w:szCs w:val="24"/>
        </w:rPr>
        <w:t xml:space="preserve"> NN. </w:t>
      </w:r>
      <w:proofErr w:type="gramStart"/>
      <w:r w:rsidRPr="001C5C2B">
        <w:rPr>
          <w:rFonts w:ascii="Book Antiqua" w:eastAsia="宋体" w:hAnsi="Book Antiqua" w:cs="宋体"/>
          <w:kern w:val="0"/>
          <w:sz w:val="24"/>
          <w:szCs w:val="24"/>
        </w:rPr>
        <w:t xml:space="preserve">Cumulative risk of cardiovascular events after </w:t>
      </w:r>
      <w:proofErr w:type="spellStart"/>
      <w:r w:rsidRPr="001C5C2B">
        <w:rPr>
          <w:rFonts w:ascii="Book Antiqua" w:eastAsia="宋体" w:hAnsi="Book Antiqua" w:cs="宋体"/>
          <w:kern w:val="0"/>
          <w:sz w:val="24"/>
          <w:szCs w:val="24"/>
        </w:rPr>
        <w:t>orthotopic</w:t>
      </w:r>
      <w:proofErr w:type="spellEnd"/>
      <w:r w:rsidRPr="001C5C2B">
        <w:rPr>
          <w:rFonts w:ascii="Book Antiqua" w:eastAsia="宋体" w:hAnsi="Book Antiqua" w:cs="宋体"/>
          <w:kern w:val="0"/>
          <w:sz w:val="24"/>
          <w:szCs w:val="24"/>
        </w:rPr>
        <w:t xml:space="preserve"> liver transplantation.</w:t>
      </w:r>
      <w:proofErr w:type="gramEnd"/>
      <w:r w:rsidRPr="001C5C2B">
        <w:rPr>
          <w:rFonts w:ascii="Book Antiqua" w:eastAsia="宋体" w:hAnsi="Book Antiqua" w:cs="宋体"/>
          <w:kern w:val="0"/>
          <w:sz w:val="24"/>
          <w:szCs w:val="24"/>
        </w:rPr>
        <w:t>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2012; </w:t>
      </w:r>
      <w:r w:rsidRPr="001C5C2B">
        <w:rPr>
          <w:rFonts w:ascii="Book Antiqua" w:eastAsia="宋体" w:hAnsi="Book Antiqua" w:cs="宋体"/>
          <w:b/>
          <w:bCs/>
          <w:kern w:val="0"/>
          <w:sz w:val="24"/>
          <w:szCs w:val="24"/>
        </w:rPr>
        <w:t>18</w:t>
      </w:r>
      <w:r w:rsidRPr="001C5C2B">
        <w:rPr>
          <w:rFonts w:ascii="Book Antiqua" w:eastAsia="宋体" w:hAnsi="Book Antiqua" w:cs="宋体"/>
          <w:kern w:val="0"/>
          <w:sz w:val="24"/>
          <w:szCs w:val="24"/>
        </w:rPr>
        <w:t>: 370-375 [PMID:</w:t>
      </w:r>
      <w:r>
        <w:rPr>
          <w:rFonts w:ascii="Book Antiqua" w:eastAsia="宋体" w:hAnsi="Book Antiqua" w:cs="宋体"/>
          <w:kern w:val="0"/>
          <w:sz w:val="24"/>
          <w:szCs w:val="24"/>
        </w:rPr>
        <w:t xml:space="preserve"> 22140067 DOI: 10.1002/lt.22468</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5 </w:t>
      </w:r>
      <w:proofErr w:type="spellStart"/>
      <w:r w:rsidRPr="001C5C2B">
        <w:rPr>
          <w:rFonts w:ascii="Book Antiqua" w:eastAsia="宋体" w:hAnsi="Book Antiqua" w:cs="宋体"/>
          <w:b/>
          <w:bCs/>
          <w:kern w:val="0"/>
          <w:sz w:val="24"/>
          <w:szCs w:val="24"/>
        </w:rPr>
        <w:t>Raval</w:t>
      </w:r>
      <w:proofErr w:type="spellEnd"/>
      <w:r w:rsidRPr="001C5C2B">
        <w:rPr>
          <w:rFonts w:ascii="Book Antiqua" w:eastAsia="宋体" w:hAnsi="Book Antiqua" w:cs="宋体"/>
          <w:b/>
          <w:bCs/>
          <w:kern w:val="0"/>
          <w:sz w:val="24"/>
          <w:szCs w:val="24"/>
        </w:rPr>
        <w:t xml:space="preserve"> Z</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Harinstein</w:t>
      </w:r>
      <w:proofErr w:type="spellEnd"/>
      <w:r w:rsidRPr="001C5C2B">
        <w:rPr>
          <w:rFonts w:ascii="Book Antiqua" w:eastAsia="宋体" w:hAnsi="Book Antiqua" w:cs="宋体"/>
          <w:kern w:val="0"/>
          <w:sz w:val="24"/>
          <w:szCs w:val="24"/>
        </w:rPr>
        <w:t xml:space="preserve"> ME, </w:t>
      </w:r>
      <w:proofErr w:type="spellStart"/>
      <w:r w:rsidRPr="001C5C2B">
        <w:rPr>
          <w:rFonts w:ascii="Book Antiqua" w:eastAsia="宋体" w:hAnsi="Book Antiqua" w:cs="宋体"/>
          <w:kern w:val="0"/>
          <w:sz w:val="24"/>
          <w:szCs w:val="24"/>
        </w:rPr>
        <w:t>Skaro</w:t>
      </w:r>
      <w:proofErr w:type="spellEnd"/>
      <w:r w:rsidRPr="001C5C2B">
        <w:rPr>
          <w:rFonts w:ascii="Book Antiqua" w:eastAsia="宋体" w:hAnsi="Book Antiqua" w:cs="宋体"/>
          <w:kern w:val="0"/>
          <w:sz w:val="24"/>
          <w:szCs w:val="24"/>
        </w:rPr>
        <w:t xml:space="preserve"> AI, Erdogan A, </w:t>
      </w:r>
      <w:proofErr w:type="spellStart"/>
      <w:r w:rsidRPr="001C5C2B">
        <w:rPr>
          <w:rFonts w:ascii="Book Antiqua" w:eastAsia="宋体" w:hAnsi="Book Antiqua" w:cs="宋体"/>
          <w:kern w:val="0"/>
          <w:sz w:val="24"/>
          <w:szCs w:val="24"/>
        </w:rPr>
        <w:t>DeWolf</w:t>
      </w:r>
      <w:proofErr w:type="spellEnd"/>
      <w:r w:rsidRPr="001C5C2B">
        <w:rPr>
          <w:rFonts w:ascii="Book Antiqua" w:eastAsia="宋体" w:hAnsi="Book Antiqua" w:cs="宋体"/>
          <w:kern w:val="0"/>
          <w:sz w:val="24"/>
          <w:szCs w:val="24"/>
        </w:rPr>
        <w:t xml:space="preserve"> AM, Shah SJ, Fix OK, Kay N, </w:t>
      </w:r>
      <w:proofErr w:type="spellStart"/>
      <w:r w:rsidRPr="001C5C2B">
        <w:rPr>
          <w:rFonts w:ascii="Book Antiqua" w:eastAsia="宋体" w:hAnsi="Book Antiqua" w:cs="宋体"/>
          <w:kern w:val="0"/>
          <w:sz w:val="24"/>
          <w:szCs w:val="24"/>
        </w:rPr>
        <w:t>Abecassis</w:t>
      </w:r>
      <w:proofErr w:type="spellEnd"/>
      <w:r w:rsidRPr="001C5C2B">
        <w:rPr>
          <w:rFonts w:ascii="Book Antiqua" w:eastAsia="宋体" w:hAnsi="Book Antiqua" w:cs="宋体"/>
          <w:kern w:val="0"/>
          <w:sz w:val="24"/>
          <w:szCs w:val="24"/>
        </w:rPr>
        <w:t xml:space="preserve"> MI, </w:t>
      </w:r>
      <w:proofErr w:type="spellStart"/>
      <w:r w:rsidRPr="001C5C2B">
        <w:rPr>
          <w:rFonts w:ascii="Book Antiqua" w:eastAsia="宋体" w:hAnsi="Book Antiqua" w:cs="宋体"/>
          <w:kern w:val="0"/>
          <w:sz w:val="24"/>
          <w:szCs w:val="24"/>
        </w:rPr>
        <w:t>Gheorghiade</w:t>
      </w:r>
      <w:proofErr w:type="spellEnd"/>
      <w:r w:rsidRPr="001C5C2B">
        <w:rPr>
          <w:rFonts w:ascii="Book Antiqua" w:eastAsia="宋体" w:hAnsi="Book Antiqua" w:cs="宋体"/>
          <w:kern w:val="0"/>
          <w:sz w:val="24"/>
          <w:szCs w:val="24"/>
        </w:rPr>
        <w:t xml:space="preserve"> M, Flaherty JD. </w:t>
      </w:r>
      <w:proofErr w:type="gramStart"/>
      <w:r w:rsidRPr="001C5C2B">
        <w:rPr>
          <w:rFonts w:ascii="Book Antiqua" w:eastAsia="宋体" w:hAnsi="Book Antiqua" w:cs="宋体"/>
          <w:kern w:val="0"/>
          <w:sz w:val="24"/>
          <w:szCs w:val="24"/>
        </w:rPr>
        <w:t>Cardiovascular risk assessment of the liver transplant candidate.</w:t>
      </w:r>
      <w:proofErr w:type="gramEnd"/>
      <w:r w:rsidRPr="001C5C2B">
        <w:rPr>
          <w:rFonts w:ascii="Book Antiqua" w:eastAsia="宋体" w:hAnsi="Book Antiqua" w:cs="宋体"/>
          <w:kern w:val="0"/>
          <w:sz w:val="24"/>
          <w:szCs w:val="24"/>
        </w:rPr>
        <w:t> </w:t>
      </w:r>
      <w:r w:rsidRPr="001C5C2B">
        <w:rPr>
          <w:rFonts w:ascii="Book Antiqua" w:eastAsia="宋体" w:hAnsi="Book Antiqua" w:cs="宋体"/>
          <w:i/>
          <w:iCs/>
          <w:kern w:val="0"/>
          <w:sz w:val="24"/>
          <w:szCs w:val="24"/>
        </w:rPr>
        <w:t xml:space="preserve">J Am </w:t>
      </w:r>
      <w:proofErr w:type="spellStart"/>
      <w:r w:rsidRPr="001C5C2B">
        <w:rPr>
          <w:rFonts w:ascii="Book Antiqua" w:eastAsia="宋体" w:hAnsi="Book Antiqua" w:cs="宋体"/>
          <w:i/>
          <w:iCs/>
          <w:kern w:val="0"/>
          <w:sz w:val="24"/>
          <w:szCs w:val="24"/>
        </w:rPr>
        <w:t>Coll</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Cardiol</w:t>
      </w:r>
      <w:proofErr w:type="spellEnd"/>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58</w:t>
      </w:r>
      <w:r w:rsidRPr="001C5C2B">
        <w:rPr>
          <w:rFonts w:ascii="Book Antiqua" w:eastAsia="宋体" w:hAnsi="Book Antiqua" w:cs="宋体"/>
          <w:kern w:val="0"/>
          <w:sz w:val="24"/>
          <w:szCs w:val="24"/>
        </w:rPr>
        <w:t>: 223-231 [PMID: 21737011 DOI: 10.1016/j.jacc.201</w:t>
      </w:r>
      <w:r>
        <w:rPr>
          <w:rFonts w:ascii="Book Antiqua" w:eastAsia="宋体" w:hAnsi="Book Antiqua" w:cs="宋体"/>
          <w:kern w:val="0"/>
          <w:sz w:val="24"/>
          <w:szCs w:val="24"/>
        </w:rPr>
        <w:t>1.03.026</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6 </w:t>
      </w:r>
      <w:r w:rsidRPr="001C5C2B">
        <w:rPr>
          <w:rFonts w:ascii="Book Antiqua" w:eastAsia="宋体" w:hAnsi="Book Antiqua" w:cs="宋体"/>
          <w:b/>
          <w:bCs/>
          <w:kern w:val="0"/>
          <w:sz w:val="24"/>
          <w:szCs w:val="24"/>
        </w:rPr>
        <w:t>Watt KD</w:t>
      </w:r>
      <w:r w:rsidRPr="001C5C2B">
        <w:rPr>
          <w:rFonts w:ascii="Book Antiqua" w:eastAsia="宋体" w:hAnsi="Book Antiqua" w:cs="宋体"/>
          <w:kern w:val="0"/>
          <w:sz w:val="24"/>
          <w:szCs w:val="24"/>
        </w:rPr>
        <w:t>, Charlton MR. Metabolic syndrome and liver transplantation: a review and guide to management. </w:t>
      </w:r>
      <w:r w:rsidRPr="001C5C2B">
        <w:rPr>
          <w:rFonts w:ascii="Book Antiqua" w:eastAsia="宋体" w:hAnsi="Book Antiqua" w:cs="宋体"/>
          <w:i/>
          <w:iCs/>
          <w:kern w:val="0"/>
          <w:sz w:val="24"/>
          <w:szCs w:val="24"/>
        </w:rPr>
        <w:t xml:space="preserve">J </w:t>
      </w:r>
      <w:proofErr w:type="spellStart"/>
      <w:r w:rsidRPr="001C5C2B">
        <w:rPr>
          <w:rFonts w:ascii="Book Antiqua" w:eastAsia="宋体" w:hAnsi="Book Antiqua" w:cs="宋体"/>
          <w:i/>
          <w:iCs/>
          <w:kern w:val="0"/>
          <w:sz w:val="24"/>
          <w:szCs w:val="24"/>
        </w:rPr>
        <w:t>Hepatol</w:t>
      </w:r>
      <w:proofErr w:type="spellEnd"/>
      <w:r w:rsidRPr="001C5C2B">
        <w:rPr>
          <w:rFonts w:ascii="Book Antiqua" w:eastAsia="宋体" w:hAnsi="Book Antiqua" w:cs="宋体"/>
          <w:kern w:val="0"/>
          <w:sz w:val="24"/>
          <w:szCs w:val="24"/>
        </w:rPr>
        <w:t> 2010; </w:t>
      </w:r>
      <w:r w:rsidRPr="001C5C2B">
        <w:rPr>
          <w:rFonts w:ascii="Book Antiqua" w:eastAsia="宋体" w:hAnsi="Book Antiqua" w:cs="宋体"/>
          <w:b/>
          <w:bCs/>
          <w:kern w:val="0"/>
          <w:sz w:val="24"/>
          <w:szCs w:val="24"/>
        </w:rPr>
        <w:t>53</w:t>
      </w:r>
      <w:r w:rsidRPr="001C5C2B">
        <w:rPr>
          <w:rFonts w:ascii="Book Antiqua" w:eastAsia="宋体" w:hAnsi="Book Antiqua" w:cs="宋体"/>
          <w:kern w:val="0"/>
          <w:sz w:val="24"/>
          <w:szCs w:val="24"/>
        </w:rPr>
        <w:t xml:space="preserve">: 199-206 [PMID: 20451282 </w:t>
      </w:r>
      <w:r>
        <w:rPr>
          <w:rFonts w:ascii="Book Antiqua" w:eastAsia="宋体" w:hAnsi="Book Antiqua" w:cs="宋体"/>
          <w:kern w:val="0"/>
          <w:sz w:val="24"/>
          <w:szCs w:val="24"/>
        </w:rPr>
        <w:t>DOI: 10.1016/j.jhep.2010.01.040</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7 </w:t>
      </w:r>
      <w:r w:rsidRPr="001C5C2B">
        <w:rPr>
          <w:rFonts w:ascii="Book Antiqua" w:eastAsia="宋体" w:hAnsi="Book Antiqua" w:cs="宋体"/>
          <w:b/>
          <w:bCs/>
          <w:kern w:val="0"/>
          <w:sz w:val="24"/>
          <w:szCs w:val="24"/>
        </w:rPr>
        <w:t>Lauer MS</w:t>
      </w:r>
      <w:r w:rsidRPr="001C5C2B">
        <w:rPr>
          <w:rFonts w:ascii="Book Antiqua" w:eastAsia="宋体" w:hAnsi="Book Antiqua" w:cs="宋体"/>
          <w:kern w:val="0"/>
          <w:sz w:val="24"/>
          <w:szCs w:val="24"/>
        </w:rPr>
        <w:t>. Screening asymptomatic subjects for subclinical atherosclerosis: not so obvious. </w:t>
      </w:r>
      <w:r w:rsidRPr="001C5C2B">
        <w:rPr>
          <w:rFonts w:ascii="Book Antiqua" w:eastAsia="宋体" w:hAnsi="Book Antiqua" w:cs="宋体"/>
          <w:i/>
          <w:iCs/>
          <w:kern w:val="0"/>
          <w:sz w:val="24"/>
          <w:szCs w:val="24"/>
        </w:rPr>
        <w:t xml:space="preserve">J Am </w:t>
      </w:r>
      <w:proofErr w:type="spellStart"/>
      <w:r w:rsidRPr="001C5C2B">
        <w:rPr>
          <w:rFonts w:ascii="Book Antiqua" w:eastAsia="宋体" w:hAnsi="Book Antiqua" w:cs="宋体"/>
          <w:i/>
          <w:iCs/>
          <w:kern w:val="0"/>
          <w:sz w:val="24"/>
          <w:szCs w:val="24"/>
        </w:rPr>
        <w:t>Coll</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Cardiol</w:t>
      </w:r>
      <w:proofErr w:type="spellEnd"/>
      <w:r w:rsidRPr="001C5C2B">
        <w:rPr>
          <w:rFonts w:ascii="Book Antiqua" w:eastAsia="宋体" w:hAnsi="Book Antiqua" w:cs="宋体"/>
          <w:kern w:val="0"/>
          <w:sz w:val="24"/>
          <w:szCs w:val="24"/>
        </w:rPr>
        <w:t> 2010; </w:t>
      </w:r>
      <w:r w:rsidRPr="001C5C2B">
        <w:rPr>
          <w:rFonts w:ascii="Book Antiqua" w:eastAsia="宋体" w:hAnsi="Book Antiqua" w:cs="宋体"/>
          <w:b/>
          <w:bCs/>
          <w:kern w:val="0"/>
          <w:sz w:val="24"/>
          <w:szCs w:val="24"/>
        </w:rPr>
        <w:t>56</w:t>
      </w:r>
      <w:r w:rsidRPr="001C5C2B">
        <w:rPr>
          <w:rFonts w:ascii="Book Antiqua" w:eastAsia="宋体" w:hAnsi="Book Antiqua" w:cs="宋体"/>
          <w:kern w:val="0"/>
          <w:sz w:val="24"/>
          <w:szCs w:val="24"/>
        </w:rPr>
        <w:t>: 106-108 [PMID: 20620725]</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8 </w:t>
      </w:r>
      <w:proofErr w:type="spellStart"/>
      <w:r w:rsidRPr="001C5C2B">
        <w:rPr>
          <w:rFonts w:ascii="Book Antiqua" w:eastAsia="宋体" w:hAnsi="Book Antiqua" w:cs="宋体"/>
          <w:b/>
          <w:bCs/>
          <w:kern w:val="0"/>
          <w:sz w:val="24"/>
          <w:szCs w:val="24"/>
        </w:rPr>
        <w:t>Ridker</w:t>
      </w:r>
      <w:proofErr w:type="spellEnd"/>
      <w:r w:rsidRPr="001C5C2B">
        <w:rPr>
          <w:rFonts w:ascii="Book Antiqua" w:eastAsia="宋体" w:hAnsi="Book Antiqua" w:cs="宋体"/>
          <w:b/>
          <w:bCs/>
          <w:kern w:val="0"/>
          <w:sz w:val="24"/>
          <w:szCs w:val="24"/>
        </w:rPr>
        <w:t xml:space="preserve"> PM</w:t>
      </w:r>
      <w:r w:rsidRPr="001C5C2B">
        <w:rPr>
          <w:rFonts w:ascii="Book Antiqua" w:eastAsia="宋体" w:hAnsi="Book Antiqua" w:cs="宋体"/>
          <w:kern w:val="0"/>
          <w:sz w:val="24"/>
          <w:szCs w:val="24"/>
        </w:rPr>
        <w:t xml:space="preserve">. C-reactive </w:t>
      </w:r>
      <w:proofErr w:type="gramStart"/>
      <w:r w:rsidRPr="001C5C2B">
        <w:rPr>
          <w:rFonts w:ascii="Book Antiqua" w:eastAsia="宋体" w:hAnsi="Book Antiqua" w:cs="宋体"/>
          <w:kern w:val="0"/>
          <w:sz w:val="24"/>
          <w:szCs w:val="24"/>
        </w:rPr>
        <w:t>protein</w:t>
      </w:r>
      <w:proofErr w:type="gramEnd"/>
      <w:r w:rsidRPr="001C5C2B">
        <w:rPr>
          <w:rFonts w:ascii="Book Antiqua" w:eastAsia="宋体" w:hAnsi="Book Antiqua" w:cs="宋体"/>
          <w:kern w:val="0"/>
          <w:sz w:val="24"/>
          <w:szCs w:val="24"/>
        </w:rPr>
        <w:t xml:space="preserve"> and the prediction of cardiovascular events among those at intermediate risk: moving an inflammatory hypothesis toward consensus. </w:t>
      </w:r>
      <w:r w:rsidRPr="001C5C2B">
        <w:rPr>
          <w:rFonts w:ascii="Book Antiqua" w:eastAsia="宋体" w:hAnsi="Book Antiqua" w:cs="宋体"/>
          <w:i/>
          <w:iCs/>
          <w:kern w:val="0"/>
          <w:sz w:val="24"/>
          <w:szCs w:val="24"/>
        </w:rPr>
        <w:t xml:space="preserve">J Am </w:t>
      </w:r>
      <w:proofErr w:type="spellStart"/>
      <w:r w:rsidRPr="001C5C2B">
        <w:rPr>
          <w:rFonts w:ascii="Book Antiqua" w:eastAsia="宋体" w:hAnsi="Book Antiqua" w:cs="宋体"/>
          <w:i/>
          <w:iCs/>
          <w:kern w:val="0"/>
          <w:sz w:val="24"/>
          <w:szCs w:val="24"/>
        </w:rPr>
        <w:t>Coll</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Cardiol</w:t>
      </w:r>
      <w:proofErr w:type="spellEnd"/>
      <w:r w:rsidRPr="001C5C2B">
        <w:rPr>
          <w:rFonts w:ascii="Book Antiqua" w:eastAsia="宋体" w:hAnsi="Book Antiqua" w:cs="宋体"/>
          <w:kern w:val="0"/>
          <w:sz w:val="24"/>
          <w:szCs w:val="24"/>
        </w:rPr>
        <w:t> 2007; </w:t>
      </w:r>
      <w:r w:rsidRPr="001C5C2B">
        <w:rPr>
          <w:rFonts w:ascii="Book Antiqua" w:eastAsia="宋体" w:hAnsi="Book Antiqua" w:cs="宋体"/>
          <w:b/>
          <w:bCs/>
          <w:kern w:val="0"/>
          <w:sz w:val="24"/>
          <w:szCs w:val="24"/>
        </w:rPr>
        <w:t>49</w:t>
      </w:r>
      <w:r w:rsidRPr="001C5C2B">
        <w:rPr>
          <w:rFonts w:ascii="Book Antiqua" w:eastAsia="宋体" w:hAnsi="Book Antiqua" w:cs="宋体"/>
          <w:kern w:val="0"/>
          <w:sz w:val="24"/>
          <w:szCs w:val="24"/>
        </w:rPr>
        <w:t>: 2129-2138 [PMID: 17531663]</w:t>
      </w:r>
    </w:p>
    <w:p w:rsidR="001B3BB0" w:rsidRPr="001C5C2B" w:rsidRDefault="001B3BB0" w:rsidP="001B3BB0">
      <w:pPr>
        <w:widowControl/>
        <w:spacing w:line="360" w:lineRule="auto"/>
        <w:rPr>
          <w:rFonts w:ascii="Book Antiqua" w:eastAsia="宋体" w:hAnsi="Book Antiqua" w:cs="宋体"/>
          <w:kern w:val="0"/>
          <w:sz w:val="24"/>
          <w:szCs w:val="24"/>
        </w:rPr>
      </w:pPr>
      <w:proofErr w:type="gramStart"/>
      <w:r w:rsidRPr="001C5C2B">
        <w:rPr>
          <w:rFonts w:ascii="Book Antiqua" w:eastAsia="宋体" w:hAnsi="Book Antiqua" w:cs="宋体"/>
          <w:kern w:val="0"/>
          <w:sz w:val="24"/>
          <w:szCs w:val="24"/>
        </w:rPr>
        <w:t>9 </w:t>
      </w:r>
      <w:proofErr w:type="spellStart"/>
      <w:r w:rsidRPr="001C5C2B">
        <w:rPr>
          <w:rFonts w:ascii="Book Antiqua" w:eastAsia="宋体" w:hAnsi="Book Antiqua" w:cs="宋体"/>
          <w:b/>
          <w:bCs/>
          <w:kern w:val="0"/>
          <w:sz w:val="24"/>
          <w:szCs w:val="24"/>
        </w:rPr>
        <w:t>Kannel</w:t>
      </w:r>
      <w:proofErr w:type="spellEnd"/>
      <w:r w:rsidRPr="001C5C2B">
        <w:rPr>
          <w:rFonts w:ascii="Book Antiqua" w:eastAsia="宋体" w:hAnsi="Book Antiqua" w:cs="宋体"/>
          <w:b/>
          <w:bCs/>
          <w:kern w:val="0"/>
          <w:sz w:val="24"/>
          <w:szCs w:val="24"/>
        </w:rPr>
        <w:t xml:space="preserve"> WB</w:t>
      </w:r>
      <w:r w:rsidRPr="001C5C2B">
        <w:rPr>
          <w:rFonts w:ascii="Book Antiqua" w:eastAsia="宋体" w:hAnsi="Book Antiqua" w:cs="宋体"/>
          <w:kern w:val="0"/>
          <w:sz w:val="24"/>
          <w:szCs w:val="24"/>
        </w:rPr>
        <w:t>.</w:t>
      </w:r>
      <w:proofErr w:type="gramEnd"/>
      <w:r w:rsidRPr="001C5C2B">
        <w:rPr>
          <w:rFonts w:ascii="Book Antiqua" w:eastAsia="宋体" w:hAnsi="Book Antiqua" w:cs="宋体"/>
          <w:kern w:val="0"/>
          <w:sz w:val="24"/>
          <w:szCs w:val="24"/>
        </w:rPr>
        <w:t xml:space="preserve"> Overview of hemostatic factors involved in atherosclerotic cardiovascular disease. </w:t>
      </w:r>
      <w:r w:rsidRPr="001C5C2B">
        <w:rPr>
          <w:rFonts w:ascii="Book Antiqua" w:eastAsia="宋体" w:hAnsi="Book Antiqua" w:cs="宋体"/>
          <w:i/>
          <w:iCs/>
          <w:kern w:val="0"/>
          <w:sz w:val="24"/>
          <w:szCs w:val="24"/>
        </w:rPr>
        <w:t>Lipids</w:t>
      </w:r>
      <w:r w:rsidRPr="001C5C2B">
        <w:rPr>
          <w:rFonts w:ascii="Book Antiqua" w:eastAsia="宋体" w:hAnsi="Book Antiqua" w:cs="宋体"/>
          <w:kern w:val="0"/>
          <w:sz w:val="24"/>
          <w:szCs w:val="24"/>
        </w:rPr>
        <w:t> 2005; </w:t>
      </w:r>
      <w:r w:rsidRPr="001C5C2B">
        <w:rPr>
          <w:rFonts w:ascii="Book Antiqua" w:eastAsia="宋体" w:hAnsi="Book Antiqua" w:cs="宋体"/>
          <w:b/>
          <w:bCs/>
          <w:kern w:val="0"/>
          <w:sz w:val="24"/>
          <w:szCs w:val="24"/>
        </w:rPr>
        <w:t>40</w:t>
      </w:r>
      <w:r w:rsidRPr="001C5C2B">
        <w:rPr>
          <w:rFonts w:ascii="Book Antiqua" w:eastAsia="宋体" w:hAnsi="Book Antiqua" w:cs="宋体"/>
          <w:kern w:val="0"/>
          <w:sz w:val="24"/>
          <w:szCs w:val="24"/>
        </w:rPr>
        <w:t>: 1215-1220 [PMID: 16477805]</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lastRenderedPageBreak/>
        <w:t>10 </w:t>
      </w:r>
      <w:proofErr w:type="spellStart"/>
      <w:r w:rsidRPr="001C5C2B">
        <w:rPr>
          <w:rFonts w:ascii="Book Antiqua" w:eastAsia="宋体" w:hAnsi="Book Antiqua" w:cs="宋体"/>
          <w:b/>
          <w:bCs/>
          <w:kern w:val="0"/>
          <w:sz w:val="24"/>
          <w:szCs w:val="24"/>
        </w:rPr>
        <w:t>Kleiner</w:t>
      </w:r>
      <w:proofErr w:type="spellEnd"/>
      <w:r w:rsidRPr="001C5C2B">
        <w:rPr>
          <w:rFonts w:ascii="Book Antiqua" w:eastAsia="宋体" w:hAnsi="Book Antiqua" w:cs="宋体"/>
          <w:b/>
          <w:bCs/>
          <w:kern w:val="0"/>
          <w:sz w:val="24"/>
          <w:szCs w:val="24"/>
        </w:rPr>
        <w:t xml:space="preserve"> DE</w:t>
      </w:r>
      <w:r w:rsidRPr="001C5C2B">
        <w:rPr>
          <w:rFonts w:ascii="Book Antiqua" w:eastAsia="宋体" w:hAnsi="Book Antiqua" w:cs="宋体"/>
          <w:kern w:val="0"/>
          <w:sz w:val="24"/>
          <w:szCs w:val="24"/>
        </w:rPr>
        <w:t xml:space="preserve">, Brunt EM, Van Natta M, </w:t>
      </w:r>
      <w:proofErr w:type="spellStart"/>
      <w:r w:rsidRPr="001C5C2B">
        <w:rPr>
          <w:rFonts w:ascii="Book Antiqua" w:eastAsia="宋体" w:hAnsi="Book Antiqua" w:cs="宋体"/>
          <w:kern w:val="0"/>
          <w:sz w:val="24"/>
          <w:szCs w:val="24"/>
        </w:rPr>
        <w:t>Behling</w:t>
      </w:r>
      <w:proofErr w:type="spellEnd"/>
      <w:r w:rsidRPr="001C5C2B">
        <w:rPr>
          <w:rFonts w:ascii="Book Antiqua" w:eastAsia="宋体" w:hAnsi="Book Antiqua" w:cs="宋体"/>
          <w:kern w:val="0"/>
          <w:sz w:val="24"/>
          <w:szCs w:val="24"/>
        </w:rPr>
        <w:t xml:space="preserve"> C, </w:t>
      </w:r>
      <w:proofErr w:type="spellStart"/>
      <w:r w:rsidRPr="001C5C2B">
        <w:rPr>
          <w:rFonts w:ascii="Book Antiqua" w:eastAsia="宋体" w:hAnsi="Book Antiqua" w:cs="宋体"/>
          <w:kern w:val="0"/>
          <w:sz w:val="24"/>
          <w:szCs w:val="24"/>
        </w:rPr>
        <w:t>Contos</w:t>
      </w:r>
      <w:proofErr w:type="spellEnd"/>
      <w:r w:rsidRPr="001C5C2B">
        <w:rPr>
          <w:rFonts w:ascii="Book Antiqua" w:eastAsia="宋体" w:hAnsi="Book Antiqua" w:cs="宋体"/>
          <w:kern w:val="0"/>
          <w:sz w:val="24"/>
          <w:szCs w:val="24"/>
        </w:rPr>
        <w:t xml:space="preserve"> MJ, Cummings OW, Ferrell LD, Liu YC, </w:t>
      </w:r>
      <w:proofErr w:type="spellStart"/>
      <w:r w:rsidRPr="001C5C2B">
        <w:rPr>
          <w:rFonts w:ascii="Book Antiqua" w:eastAsia="宋体" w:hAnsi="Book Antiqua" w:cs="宋体"/>
          <w:kern w:val="0"/>
          <w:sz w:val="24"/>
          <w:szCs w:val="24"/>
        </w:rPr>
        <w:t>Torbenson</w:t>
      </w:r>
      <w:proofErr w:type="spellEnd"/>
      <w:r w:rsidRPr="001C5C2B">
        <w:rPr>
          <w:rFonts w:ascii="Book Antiqua" w:eastAsia="宋体" w:hAnsi="Book Antiqua" w:cs="宋体"/>
          <w:kern w:val="0"/>
          <w:sz w:val="24"/>
          <w:szCs w:val="24"/>
        </w:rPr>
        <w:t xml:space="preserve"> MS, </w:t>
      </w:r>
      <w:proofErr w:type="spellStart"/>
      <w:r w:rsidRPr="001C5C2B">
        <w:rPr>
          <w:rFonts w:ascii="Book Antiqua" w:eastAsia="宋体" w:hAnsi="Book Antiqua" w:cs="宋体"/>
          <w:kern w:val="0"/>
          <w:sz w:val="24"/>
          <w:szCs w:val="24"/>
        </w:rPr>
        <w:t>Unalp-Arida</w:t>
      </w:r>
      <w:proofErr w:type="spellEnd"/>
      <w:r w:rsidRPr="001C5C2B">
        <w:rPr>
          <w:rFonts w:ascii="Book Antiqua" w:eastAsia="宋体" w:hAnsi="Book Antiqua" w:cs="宋体"/>
          <w:kern w:val="0"/>
          <w:sz w:val="24"/>
          <w:szCs w:val="24"/>
        </w:rPr>
        <w:t xml:space="preserve"> A, </w:t>
      </w:r>
      <w:proofErr w:type="spellStart"/>
      <w:r w:rsidRPr="001C5C2B">
        <w:rPr>
          <w:rFonts w:ascii="Book Antiqua" w:eastAsia="宋体" w:hAnsi="Book Antiqua" w:cs="宋体"/>
          <w:kern w:val="0"/>
          <w:sz w:val="24"/>
          <w:szCs w:val="24"/>
        </w:rPr>
        <w:t>Yeh</w:t>
      </w:r>
      <w:proofErr w:type="spellEnd"/>
      <w:r w:rsidRPr="001C5C2B">
        <w:rPr>
          <w:rFonts w:ascii="Book Antiqua" w:eastAsia="宋体" w:hAnsi="Book Antiqua" w:cs="宋体"/>
          <w:kern w:val="0"/>
          <w:sz w:val="24"/>
          <w:szCs w:val="24"/>
        </w:rPr>
        <w:t xml:space="preserve"> M, McCullough AJ, </w:t>
      </w:r>
      <w:proofErr w:type="spellStart"/>
      <w:r w:rsidRPr="001C5C2B">
        <w:rPr>
          <w:rFonts w:ascii="Book Antiqua" w:eastAsia="宋体" w:hAnsi="Book Antiqua" w:cs="宋体"/>
          <w:kern w:val="0"/>
          <w:sz w:val="24"/>
          <w:szCs w:val="24"/>
        </w:rPr>
        <w:t>Sanyal</w:t>
      </w:r>
      <w:proofErr w:type="spellEnd"/>
      <w:r w:rsidRPr="001C5C2B">
        <w:rPr>
          <w:rFonts w:ascii="Book Antiqua" w:eastAsia="宋体" w:hAnsi="Book Antiqua" w:cs="宋体"/>
          <w:kern w:val="0"/>
          <w:sz w:val="24"/>
          <w:szCs w:val="24"/>
        </w:rPr>
        <w:t xml:space="preserve"> AJ. </w:t>
      </w:r>
      <w:proofErr w:type="gramStart"/>
      <w:r w:rsidRPr="001C5C2B">
        <w:rPr>
          <w:rFonts w:ascii="Book Antiqua" w:eastAsia="宋体" w:hAnsi="Book Antiqua" w:cs="宋体"/>
          <w:kern w:val="0"/>
          <w:sz w:val="24"/>
          <w:szCs w:val="24"/>
        </w:rPr>
        <w:t>Design and validation of a histological scoring system for nonalcoholic fatty liver disease.</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Hepatology</w:t>
      </w:r>
      <w:proofErr w:type="spellEnd"/>
      <w:r w:rsidRPr="001C5C2B">
        <w:rPr>
          <w:rFonts w:ascii="Book Antiqua" w:eastAsia="宋体" w:hAnsi="Book Antiqua" w:cs="宋体"/>
          <w:kern w:val="0"/>
          <w:sz w:val="24"/>
          <w:szCs w:val="24"/>
        </w:rPr>
        <w:t> 2005; </w:t>
      </w:r>
      <w:r w:rsidRPr="001C5C2B">
        <w:rPr>
          <w:rFonts w:ascii="Book Antiqua" w:eastAsia="宋体" w:hAnsi="Book Antiqua" w:cs="宋体"/>
          <w:b/>
          <w:bCs/>
          <w:kern w:val="0"/>
          <w:sz w:val="24"/>
          <w:szCs w:val="24"/>
        </w:rPr>
        <w:t>41</w:t>
      </w:r>
      <w:r w:rsidRPr="001C5C2B">
        <w:rPr>
          <w:rFonts w:ascii="Book Antiqua" w:eastAsia="宋体" w:hAnsi="Book Antiqua" w:cs="宋体"/>
          <w:kern w:val="0"/>
          <w:sz w:val="24"/>
          <w:szCs w:val="24"/>
        </w:rPr>
        <w:t>: 1313-1321 [PMID: 15915461]</w:t>
      </w:r>
    </w:p>
    <w:p w:rsidR="001B3BB0" w:rsidRPr="001C5C2B" w:rsidRDefault="001B3BB0" w:rsidP="001B3BB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11 </w:t>
      </w:r>
      <w:r w:rsidRPr="001C5C2B">
        <w:rPr>
          <w:rFonts w:ascii="Book Antiqua" w:eastAsia="宋体" w:hAnsi="Book Antiqua" w:cs="宋体"/>
          <w:b/>
          <w:kern w:val="0"/>
          <w:sz w:val="24"/>
          <w:szCs w:val="24"/>
        </w:rPr>
        <w:t xml:space="preserve">Expert </w:t>
      </w:r>
      <w:proofErr w:type="gramStart"/>
      <w:r w:rsidRPr="001C5C2B">
        <w:rPr>
          <w:rFonts w:ascii="Book Antiqua" w:eastAsia="宋体" w:hAnsi="Book Antiqua" w:cs="宋体"/>
          <w:b/>
          <w:kern w:val="0"/>
          <w:sz w:val="24"/>
          <w:szCs w:val="24"/>
        </w:rPr>
        <w:t>Panel</w:t>
      </w:r>
      <w:proofErr w:type="gramEnd"/>
      <w:r w:rsidRPr="001C5C2B">
        <w:rPr>
          <w:rFonts w:ascii="Book Antiqua" w:eastAsia="宋体" w:hAnsi="Book Antiqua" w:cs="宋体"/>
          <w:b/>
          <w:kern w:val="0"/>
          <w:sz w:val="24"/>
          <w:szCs w:val="24"/>
        </w:rPr>
        <w:t xml:space="preserve"> on Detection, Evaluation, and Treatment of High Blood Cholesterol in Adults.</w:t>
      </w:r>
      <w:r w:rsidRPr="001C5C2B">
        <w:rPr>
          <w:rFonts w:ascii="Book Antiqua" w:eastAsia="宋体" w:hAnsi="Book Antiqua" w:cs="宋体" w:hint="eastAsia"/>
          <w:b/>
          <w:kern w:val="0"/>
          <w:sz w:val="24"/>
          <w:szCs w:val="24"/>
        </w:rPr>
        <w:t xml:space="preserve"> </w:t>
      </w:r>
      <w:r w:rsidRPr="001C5C2B">
        <w:rPr>
          <w:rFonts w:ascii="Book Antiqua" w:eastAsia="宋体" w:hAnsi="Book Antiqua" w:cs="宋体"/>
          <w:kern w:val="0"/>
          <w:sz w:val="24"/>
          <w:szCs w:val="24"/>
        </w:rPr>
        <w:t xml:space="preserve">Executive Summary of </w:t>
      </w:r>
      <w:r w:rsidR="00085BA6" w:rsidRPr="001C5C2B">
        <w:rPr>
          <w:rFonts w:ascii="Book Antiqua" w:eastAsia="宋体" w:hAnsi="Book Antiqua" w:cs="宋体"/>
          <w:kern w:val="0"/>
          <w:sz w:val="24"/>
          <w:szCs w:val="24"/>
        </w:rPr>
        <w:t>the</w:t>
      </w:r>
      <w:r w:rsidRPr="001C5C2B">
        <w:rPr>
          <w:rFonts w:ascii="Book Antiqua" w:eastAsia="宋体" w:hAnsi="Book Antiqua" w:cs="宋体"/>
          <w:kern w:val="0"/>
          <w:sz w:val="24"/>
          <w:szCs w:val="24"/>
        </w:rPr>
        <w:t xml:space="preserve"> Third Report of </w:t>
      </w:r>
      <w:proofErr w:type="gramStart"/>
      <w:r w:rsidRPr="001C5C2B">
        <w:rPr>
          <w:rFonts w:ascii="Book Antiqua" w:eastAsia="宋体" w:hAnsi="Book Antiqua" w:cs="宋体"/>
          <w:kern w:val="0"/>
          <w:sz w:val="24"/>
          <w:szCs w:val="24"/>
        </w:rPr>
        <w:t>The</w:t>
      </w:r>
      <w:proofErr w:type="gramEnd"/>
      <w:r w:rsidRPr="001C5C2B">
        <w:rPr>
          <w:rFonts w:ascii="Book Antiqua" w:eastAsia="宋体" w:hAnsi="Book Antiqua" w:cs="宋体"/>
          <w:kern w:val="0"/>
          <w:sz w:val="24"/>
          <w:szCs w:val="24"/>
        </w:rPr>
        <w:t xml:space="preserve"> National Cholesterol Education Program (NCEP) Expert Panel on Detection, Evaluation, And Treatment of High Blood Cholesterol In Adults (Adult Treatment Panel III). </w:t>
      </w:r>
      <w:r w:rsidRPr="001C5C2B">
        <w:rPr>
          <w:rFonts w:ascii="Book Antiqua" w:eastAsia="宋体" w:hAnsi="Book Antiqua" w:cs="宋体"/>
          <w:i/>
          <w:iCs/>
          <w:kern w:val="0"/>
          <w:sz w:val="24"/>
          <w:szCs w:val="24"/>
        </w:rPr>
        <w:t>JAMA</w:t>
      </w:r>
      <w:r w:rsidRPr="001C5C2B">
        <w:rPr>
          <w:rFonts w:ascii="Book Antiqua" w:eastAsia="宋体" w:hAnsi="Book Antiqua" w:cs="宋体"/>
          <w:kern w:val="0"/>
          <w:sz w:val="24"/>
          <w:szCs w:val="24"/>
        </w:rPr>
        <w:t> 2001; </w:t>
      </w:r>
      <w:r w:rsidRPr="001C5C2B">
        <w:rPr>
          <w:rFonts w:ascii="Book Antiqua" w:eastAsia="宋体" w:hAnsi="Book Antiqua" w:cs="宋体"/>
          <w:b/>
          <w:bCs/>
          <w:kern w:val="0"/>
          <w:sz w:val="24"/>
          <w:szCs w:val="24"/>
        </w:rPr>
        <w:t>285</w:t>
      </w:r>
      <w:r w:rsidRPr="001C5C2B">
        <w:rPr>
          <w:rFonts w:ascii="Book Antiqua" w:eastAsia="宋体" w:hAnsi="Book Antiqua" w:cs="宋体"/>
          <w:kern w:val="0"/>
          <w:sz w:val="24"/>
          <w:szCs w:val="24"/>
        </w:rPr>
        <w:t>: 2486-2497 [PMID: 11368702]</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12 </w:t>
      </w:r>
      <w:r w:rsidRPr="001C5C2B">
        <w:rPr>
          <w:rFonts w:ascii="Book Antiqua" w:eastAsia="宋体" w:hAnsi="Book Antiqua" w:cs="宋体"/>
          <w:b/>
          <w:bCs/>
          <w:kern w:val="0"/>
          <w:sz w:val="24"/>
          <w:szCs w:val="24"/>
        </w:rPr>
        <w:t>Grundy SM</w:t>
      </w:r>
      <w:r w:rsidRPr="001C5C2B">
        <w:rPr>
          <w:rFonts w:ascii="Book Antiqua" w:eastAsia="宋体" w:hAnsi="Book Antiqua" w:cs="宋体"/>
          <w:kern w:val="0"/>
          <w:sz w:val="24"/>
          <w:szCs w:val="24"/>
        </w:rPr>
        <w:t xml:space="preserve">, Hansen B, Smith SC, </w:t>
      </w:r>
      <w:proofErr w:type="spellStart"/>
      <w:r w:rsidRPr="001C5C2B">
        <w:rPr>
          <w:rFonts w:ascii="Book Antiqua" w:eastAsia="宋体" w:hAnsi="Book Antiqua" w:cs="宋体"/>
          <w:kern w:val="0"/>
          <w:sz w:val="24"/>
          <w:szCs w:val="24"/>
        </w:rPr>
        <w:t>Cleeman</w:t>
      </w:r>
      <w:proofErr w:type="spellEnd"/>
      <w:r w:rsidRPr="001C5C2B">
        <w:rPr>
          <w:rFonts w:ascii="Book Antiqua" w:eastAsia="宋体" w:hAnsi="Book Antiqua" w:cs="宋体"/>
          <w:kern w:val="0"/>
          <w:sz w:val="24"/>
          <w:szCs w:val="24"/>
        </w:rPr>
        <w:t xml:space="preserve"> JI, Kahn RA. Clinical management of metabolic syndrome: report of the American Heart Association/National Heart, Lung, and Blood Institute/American Diabetes Association conference on scientific issues related to management. </w:t>
      </w:r>
      <w:proofErr w:type="spellStart"/>
      <w:r w:rsidRPr="001C5C2B">
        <w:rPr>
          <w:rFonts w:ascii="Book Antiqua" w:eastAsia="宋体" w:hAnsi="Book Antiqua" w:cs="宋体"/>
          <w:i/>
          <w:iCs/>
          <w:kern w:val="0"/>
          <w:sz w:val="24"/>
          <w:szCs w:val="24"/>
        </w:rPr>
        <w:t>Arterioscler</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Thromb</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Vasc</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Biol</w:t>
      </w:r>
      <w:proofErr w:type="spellEnd"/>
      <w:r w:rsidRPr="001C5C2B">
        <w:rPr>
          <w:rFonts w:ascii="Book Antiqua" w:eastAsia="宋体" w:hAnsi="Book Antiqua" w:cs="宋体"/>
          <w:kern w:val="0"/>
          <w:sz w:val="24"/>
          <w:szCs w:val="24"/>
        </w:rPr>
        <w:t> 2004; </w:t>
      </w:r>
      <w:r w:rsidRPr="001C5C2B">
        <w:rPr>
          <w:rFonts w:ascii="Book Antiqua" w:eastAsia="宋体" w:hAnsi="Book Antiqua" w:cs="宋体"/>
          <w:b/>
          <w:bCs/>
          <w:kern w:val="0"/>
          <w:sz w:val="24"/>
          <w:szCs w:val="24"/>
        </w:rPr>
        <w:t>24</w:t>
      </w:r>
      <w:r w:rsidRPr="001C5C2B">
        <w:rPr>
          <w:rFonts w:ascii="Book Antiqua" w:eastAsia="宋体" w:hAnsi="Book Antiqua" w:cs="宋体"/>
          <w:kern w:val="0"/>
          <w:sz w:val="24"/>
          <w:szCs w:val="24"/>
        </w:rPr>
        <w:t>: e19-e24 [PMID: 14766740]</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13 </w:t>
      </w:r>
      <w:r w:rsidRPr="001C5C2B">
        <w:rPr>
          <w:rFonts w:ascii="Book Antiqua" w:eastAsia="宋体" w:hAnsi="Book Antiqua" w:cs="宋体"/>
          <w:b/>
          <w:bCs/>
          <w:kern w:val="0"/>
          <w:sz w:val="24"/>
          <w:szCs w:val="24"/>
        </w:rPr>
        <w:t>Matsudo SM</w:t>
      </w:r>
      <w:r w:rsidRPr="001C5C2B">
        <w:rPr>
          <w:rFonts w:ascii="Book Antiqua" w:eastAsia="宋体" w:hAnsi="Book Antiqua" w:cs="宋体"/>
          <w:kern w:val="0"/>
          <w:sz w:val="24"/>
          <w:szCs w:val="24"/>
        </w:rPr>
        <w:t xml:space="preserve">, Matsudo VR, Araujo TL, Andrade DR, Andrade EL, de Oliveira LC, </w:t>
      </w:r>
      <w:proofErr w:type="spellStart"/>
      <w:r w:rsidRPr="001C5C2B">
        <w:rPr>
          <w:rFonts w:ascii="Book Antiqua" w:eastAsia="宋体" w:hAnsi="Book Antiqua" w:cs="宋体"/>
          <w:kern w:val="0"/>
          <w:sz w:val="24"/>
          <w:szCs w:val="24"/>
        </w:rPr>
        <w:t>Braggion</w:t>
      </w:r>
      <w:proofErr w:type="spellEnd"/>
      <w:r w:rsidRPr="001C5C2B">
        <w:rPr>
          <w:rFonts w:ascii="Book Antiqua" w:eastAsia="宋体" w:hAnsi="Book Antiqua" w:cs="宋体"/>
          <w:kern w:val="0"/>
          <w:sz w:val="24"/>
          <w:szCs w:val="24"/>
        </w:rPr>
        <w:t xml:space="preserve"> GF. The </w:t>
      </w:r>
      <w:proofErr w:type="spellStart"/>
      <w:r w:rsidRPr="001C5C2B">
        <w:rPr>
          <w:rFonts w:ascii="Book Antiqua" w:eastAsia="宋体" w:hAnsi="Book Antiqua" w:cs="宋体"/>
          <w:kern w:val="0"/>
          <w:sz w:val="24"/>
          <w:szCs w:val="24"/>
        </w:rPr>
        <w:t>Agita</w:t>
      </w:r>
      <w:proofErr w:type="spellEnd"/>
      <w:r w:rsidRPr="001C5C2B">
        <w:rPr>
          <w:rFonts w:ascii="Book Antiqua" w:eastAsia="宋体" w:hAnsi="Book Antiqua" w:cs="宋体"/>
          <w:kern w:val="0"/>
          <w:sz w:val="24"/>
          <w:szCs w:val="24"/>
        </w:rPr>
        <w:t xml:space="preserve"> São Paulo Program as a model for using physical activity to promote health. </w:t>
      </w:r>
      <w:r w:rsidRPr="001C5C2B">
        <w:rPr>
          <w:rFonts w:ascii="Book Antiqua" w:eastAsia="宋体" w:hAnsi="Book Antiqua" w:cs="宋体"/>
          <w:i/>
          <w:iCs/>
          <w:kern w:val="0"/>
          <w:sz w:val="24"/>
          <w:szCs w:val="24"/>
        </w:rPr>
        <w:t xml:space="preserve">Rev </w:t>
      </w:r>
      <w:proofErr w:type="spellStart"/>
      <w:r w:rsidRPr="001C5C2B">
        <w:rPr>
          <w:rFonts w:ascii="Book Antiqua" w:eastAsia="宋体" w:hAnsi="Book Antiqua" w:cs="宋体"/>
          <w:i/>
          <w:iCs/>
          <w:kern w:val="0"/>
          <w:sz w:val="24"/>
          <w:szCs w:val="24"/>
        </w:rPr>
        <w:t>Panam</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Salud</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Publica</w:t>
      </w:r>
      <w:proofErr w:type="spellEnd"/>
      <w:r w:rsidRPr="001C5C2B">
        <w:rPr>
          <w:rFonts w:ascii="Book Antiqua" w:eastAsia="宋体" w:hAnsi="Book Antiqua" w:cs="宋体"/>
          <w:kern w:val="0"/>
          <w:sz w:val="24"/>
          <w:szCs w:val="24"/>
        </w:rPr>
        <w:t> 2003; </w:t>
      </w:r>
      <w:r w:rsidRPr="001C5C2B">
        <w:rPr>
          <w:rFonts w:ascii="Book Antiqua" w:eastAsia="宋体" w:hAnsi="Book Antiqua" w:cs="宋体"/>
          <w:b/>
          <w:bCs/>
          <w:kern w:val="0"/>
          <w:sz w:val="24"/>
          <w:szCs w:val="24"/>
        </w:rPr>
        <w:t>14</w:t>
      </w:r>
      <w:r w:rsidRPr="001C5C2B">
        <w:rPr>
          <w:rFonts w:ascii="Book Antiqua" w:eastAsia="宋体" w:hAnsi="Book Antiqua" w:cs="宋体"/>
          <w:kern w:val="0"/>
          <w:sz w:val="24"/>
          <w:szCs w:val="24"/>
        </w:rPr>
        <w:t>: 265-272 [PMID: 14662077]</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14 </w:t>
      </w:r>
      <w:proofErr w:type="spellStart"/>
      <w:r w:rsidRPr="001C5C2B">
        <w:rPr>
          <w:rFonts w:ascii="Book Antiqua" w:eastAsia="宋体" w:hAnsi="Book Antiqua" w:cs="宋体"/>
          <w:b/>
          <w:bCs/>
          <w:kern w:val="0"/>
          <w:sz w:val="24"/>
          <w:szCs w:val="24"/>
        </w:rPr>
        <w:t>Pagadala</w:t>
      </w:r>
      <w:proofErr w:type="spellEnd"/>
      <w:r w:rsidRPr="001C5C2B">
        <w:rPr>
          <w:rFonts w:ascii="Book Antiqua" w:eastAsia="宋体" w:hAnsi="Book Antiqua" w:cs="宋体"/>
          <w:b/>
          <w:bCs/>
          <w:kern w:val="0"/>
          <w:sz w:val="24"/>
          <w:szCs w:val="24"/>
        </w:rPr>
        <w:t xml:space="preserve"> M</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Dasarathy</w:t>
      </w:r>
      <w:proofErr w:type="spellEnd"/>
      <w:r w:rsidRPr="001C5C2B">
        <w:rPr>
          <w:rFonts w:ascii="Book Antiqua" w:eastAsia="宋体" w:hAnsi="Book Antiqua" w:cs="宋体"/>
          <w:kern w:val="0"/>
          <w:sz w:val="24"/>
          <w:szCs w:val="24"/>
        </w:rPr>
        <w:t xml:space="preserve"> S, </w:t>
      </w:r>
      <w:proofErr w:type="spellStart"/>
      <w:r w:rsidRPr="001C5C2B">
        <w:rPr>
          <w:rFonts w:ascii="Book Antiqua" w:eastAsia="宋体" w:hAnsi="Book Antiqua" w:cs="宋体"/>
          <w:kern w:val="0"/>
          <w:sz w:val="24"/>
          <w:szCs w:val="24"/>
        </w:rPr>
        <w:t>Eghtesad</w:t>
      </w:r>
      <w:proofErr w:type="spellEnd"/>
      <w:r w:rsidRPr="001C5C2B">
        <w:rPr>
          <w:rFonts w:ascii="Book Antiqua" w:eastAsia="宋体" w:hAnsi="Book Antiqua" w:cs="宋体"/>
          <w:kern w:val="0"/>
          <w:sz w:val="24"/>
          <w:szCs w:val="24"/>
        </w:rPr>
        <w:t xml:space="preserve"> B, McCullough AJ. </w:t>
      </w:r>
      <w:proofErr w:type="spellStart"/>
      <w:r w:rsidRPr="001C5C2B">
        <w:rPr>
          <w:rFonts w:ascii="Book Antiqua" w:eastAsia="宋体" w:hAnsi="Book Antiqua" w:cs="宋体"/>
          <w:kern w:val="0"/>
          <w:sz w:val="24"/>
          <w:szCs w:val="24"/>
        </w:rPr>
        <w:t>Posttransplant</w:t>
      </w:r>
      <w:proofErr w:type="spellEnd"/>
      <w:r w:rsidRPr="001C5C2B">
        <w:rPr>
          <w:rFonts w:ascii="Book Antiqua" w:eastAsia="宋体" w:hAnsi="Book Antiqua" w:cs="宋体"/>
          <w:kern w:val="0"/>
          <w:sz w:val="24"/>
          <w:szCs w:val="24"/>
        </w:rPr>
        <w:t xml:space="preserve"> metabolic syndrome: an epidemic waiting to happen.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2009; </w:t>
      </w:r>
      <w:r w:rsidRPr="001C5C2B">
        <w:rPr>
          <w:rFonts w:ascii="Book Antiqua" w:eastAsia="宋体" w:hAnsi="Book Antiqua" w:cs="宋体"/>
          <w:b/>
          <w:bCs/>
          <w:kern w:val="0"/>
          <w:sz w:val="24"/>
          <w:szCs w:val="24"/>
        </w:rPr>
        <w:t>15</w:t>
      </w:r>
      <w:r w:rsidRPr="001C5C2B">
        <w:rPr>
          <w:rFonts w:ascii="Book Antiqua" w:eastAsia="宋体" w:hAnsi="Book Antiqua" w:cs="宋体"/>
          <w:kern w:val="0"/>
          <w:sz w:val="24"/>
          <w:szCs w:val="24"/>
        </w:rPr>
        <w:t>: 1662-1670 [PMID: 19938136 DO</w:t>
      </w:r>
      <w:r>
        <w:rPr>
          <w:rFonts w:ascii="Book Antiqua" w:eastAsia="宋体" w:hAnsi="Book Antiqua" w:cs="宋体"/>
          <w:kern w:val="0"/>
          <w:sz w:val="24"/>
          <w:szCs w:val="24"/>
        </w:rPr>
        <w:t>I: 10.1002/lt.21952</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15 </w:t>
      </w:r>
      <w:proofErr w:type="spellStart"/>
      <w:r w:rsidRPr="001C5C2B">
        <w:rPr>
          <w:rFonts w:ascii="Book Antiqua" w:eastAsia="宋体" w:hAnsi="Book Antiqua" w:cs="宋体"/>
          <w:b/>
          <w:bCs/>
          <w:kern w:val="0"/>
          <w:sz w:val="24"/>
          <w:szCs w:val="24"/>
        </w:rPr>
        <w:t>Coss</w:t>
      </w:r>
      <w:proofErr w:type="spellEnd"/>
      <w:r w:rsidRPr="001C5C2B">
        <w:rPr>
          <w:rFonts w:ascii="Book Antiqua" w:eastAsia="宋体" w:hAnsi="Book Antiqua" w:cs="宋体"/>
          <w:b/>
          <w:bCs/>
          <w:kern w:val="0"/>
          <w:sz w:val="24"/>
          <w:szCs w:val="24"/>
        </w:rPr>
        <w:t xml:space="preserve"> E</w:t>
      </w:r>
      <w:r w:rsidRPr="001C5C2B">
        <w:rPr>
          <w:rFonts w:ascii="Book Antiqua" w:eastAsia="宋体" w:hAnsi="Book Antiqua" w:cs="宋体"/>
          <w:kern w:val="0"/>
          <w:sz w:val="24"/>
          <w:szCs w:val="24"/>
        </w:rPr>
        <w:t xml:space="preserve">, Watt KD, Pedersen R, </w:t>
      </w:r>
      <w:proofErr w:type="spellStart"/>
      <w:r w:rsidRPr="001C5C2B">
        <w:rPr>
          <w:rFonts w:ascii="Book Antiqua" w:eastAsia="宋体" w:hAnsi="Book Antiqua" w:cs="宋体"/>
          <w:kern w:val="0"/>
          <w:sz w:val="24"/>
          <w:szCs w:val="24"/>
        </w:rPr>
        <w:t>Dierkhising</w:t>
      </w:r>
      <w:proofErr w:type="spellEnd"/>
      <w:r w:rsidRPr="001C5C2B">
        <w:rPr>
          <w:rFonts w:ascii="Book Antiqua" w:eastAsia="宋体" w:hAnsi="Book Antiqua" w:cs="宋体"/>
          <w:kern w:val="0"/>
          <w:sz w:val="24"/>
          <w:szCs w:val="24"/>
        </w:rPr>
        <w:t xml:space="preserve"> R, </w:t>
      </w:r>
      <w:proofErr w:type="spellStart"/>
      <w:r w:rsidRPr="001C5C2B">
        <w:rPr>
          <w:rFonts w:ascii="Book Antiqua" w:eastAsia="宋体" w:hAnsi="Book Antiqua" w:cs="宋体"/>
          <w:kern w:val="0"/>
          <w:sz w:val="24"/>
          <w:szCs w:val="24"/>
        </w:rPr>
        <w:t>Heimbach</w:t>
      </w:r>
      <w:proofErr w:type="spellEnd"/>
      <w:r w:rsidRPr="001C5C2B">
        <w:rPr>
          <w:rFonts w:ascii="Book Antiqua" w:eastAsia="宋体" w:hAnsi="Book Antiqua" w:cs="宋体"/>
          <w:kern w:val="0"/>
          <w:sz w:val="24"/>
          <w:szCs w:val="24"/>
        </w:rPr>
        <w:t xml:space="preserve"> JK, Charlton MR. Predictors of cardiovascular events after liver transplantation: a role for </w:t>
      </w:r>
      <w:proofErr w:type="spellStart"/>
      <w:r w:rsidRPr="001C5C2B">
        <w:rPr>
          <w:rFonts w:ascii="Book Antiqua" w:eastAsia="宋体" w:hAnsi="Book Antiqua" w:cs="宋体"/>
          <w:kern w:val="0"/>
          <w:sz w:val="24"/>
          <w:szCs w:val="24"/>
        </w:rPr>
        <w:t>pretransplant</w:t>
      </w:r>
      <w:proofErr w:type="spellEnd"/>
      <w:r w:rsidRPr="001C5C2B">
        <w:rPr>
          <w:rFonts w:ascii="Book Antiqua" w:eastAsia="宋体" w:hAnsi="Book Antiqua" w:cs="宋体"/>
          <w:kern w:val="0"/>
          <w:sz w:val="24"/>
          <w:szCs w:val="24"/>
        </w:rPr>
        <w:t xml:space="preserve"> serum troponin levels.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17</w:t>
      </w:r>
      <w:r w:rsidRPr="001C5C2B">
        <w:rPr>
          <w:rFonts w:ascii="Book Antiqua" w:eastAsia="宋体" w:hAnsi="Book Antiqua" w:cs="宋体"/>
          <w:kern w:val="0"/>
          <w:sz w:val="24"/>
          <w:szCs w:val="24"/>
        </w:rPr>
        <w:t>: 23-31 [PMID: 21254341 DO</w:t>
      </w:r>
      <w:r>
        <w:rPr>
          <w:rFonts w:ascii="Book Antiqua" w:eastAsia="宋体" w:hAnsi="Book Antiqua" w:cs="宋体"/>
          <w:kern w:val="0"/>
          <w:sz w:val="24"/>
          <w:szCs w:val="24"/>
        </w:rPr>
        <w:t>I: 10.1002/lt.22140</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16 </w:t>
      </w:r>
      <w:proofErr w:type="spellStart"/>
      <w:r w:rsidRPr="001C5C2B">
        <w:rPr>
          <w:rFonts w:ascii="Book Antiqua" w:eastAsia="宋体" w:hAnsi="Book Antiqua" w:cs="宋体"/>
          <w:b/>
          <w:bCs/>
          <w:kern w:val="0"/>
          <w:sz w:val="24"/>
          <w:szCs w:val="24"/>
        </w:rPr>
        <w:t>Calan</w:t>
      </w:r>
      <w:proofErr w:type="spellEnd"/>
      <w:r w:rsidRPr="001C5C2B">
        <w:rPr>
          <w:rFonts w:ascii="Book Antiqua" w:eastAsia="宋体" w:hAnsi="Book Antiqua" w:cs="宋体"/>
          <w:b/>
          <w:bCs/>
          <w:kern w:val="0"/>
          <w:sz w:val="24"/>
          <w:szCs w:val="24"/>
        </w:rPr>
        <w:t xml:space="preserve"> M</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Calan</w:t>
      </w:r>
      <w:proofErr w:type="spellEnd"/>
      <w:r w:rsidRPr="001C5C2B">
        <w:rPr>
          <w:rFonts w:ascii="Book Antiqua" w:eastAsia="宋体" w:hAnsi="Book Antiqua" w:cs="宋体"/>
          <w:kern w:val="0"/>
          <w:sz w:val="24"/>
          <w:szCs w:val="24"/>
        </w:rPr>
        <w:t xml:space="preserve"> O, </w:t>
      </w:r>
      <w:proofErr w:type="spellStart"/>
      <w:r w:rsidRPr="001C5C2B">
        <w:rPr>
          <w:rFonts w:ascii="Book Antiqua" w:eastAsia="宋体" w:hAnsi="Book Antiqua" w:cs="宋体"/>
          <w:kern w:val="0"/>
          <w:sz w:val="24"/>
          <w:szCs w:val="24"/>
        </w:rPr>
        <w:t>Gonen</w:t>
      </w:r>
      <w:proofErr w:type="spellEnd"/>
      <w:r w:rsidRPr="001C5C2B">
        <w:rPr>
          <w:rFonts w:ascii="Book Antiqua" w:eastAsia="宋体" w:hAnsi="Book Antiqua" w:cs="宋体"/>
          <w:kern w:val="0"/>
          <w:sz w:val="24"/>
          <w:szCs w:val="24"/>
        </w:rPr>
        <w:t xml:space="preserve"> MS, </w:t>
      </w:r>
      <w:proofErr w:type="spellStart"/>
      <w:r w:rsidRPr="001C5C2B">
        <w:rPr>
          <w:rFonts w:ascii="Book Antiqua" w:eastAsia="宋体" w:hAnsi="Book Antiqua" w:cs="宋体"/>
          <w:kern w:val="0"/>
          <w:sz w:val="24"/>
          <w:szCs w:val="24"/>
        </w:rPr>
        <w:t>Bilgir</w:t>
      </w:r>
      <w:proofErr w:type="spellEnd"/>
      <w:r w:rsidRPr="001C5C2B">
        <w:rPr>
          <w:rFonts w:ascii="Book Antiqua" w:eastAsia="宋体" w:hAnsi="Book Antiqua" w:cs="宋体"/>
          <w:kern w:val="0"/>
          <w:sz w:val="24"/>
          <w:szCs w:val="24"/>
        </w:rPr>
        <w:t xml:space="preserve"> F, </w:t>
      </w:r>
      <w:proofErr w:type="spellStart"/>
      <w:r w:rsidRPr="001C5C2B">
        <w:rPr>
          <w:rFonts w:ascii="Book Antiqua" w:eastAsia="宋体" w:hAnsi="Book Antiqua" w:cs="宋体"/>
          <w:kern w:val="0"/>
          <w:sz w:val="24"/>
          <w:szCs w:val="24"/>
        </w:rPr>
        <w:t>Kebapcilar</w:t>
      </w:r>
      <w:proofErr w:type="spellEnd"/>
      <w:r w:rsidRPr="001C5C2B">
        <w:rPr>
          <w:rFonts w:ascii="Book Antiqua" w:eastAsia="宋体" w:hAnsi="Book Antiqua" w:cs="宋体"/>
          <w:kern w:val="0"/>
          <w:sz w:val="24"/>
          <w:szCs w:val="24"/>
        </w:rPr>
        <w:t xml:space="preserve"> L, </w:t>
      </w:r>
      <w:proofErr w:type="spellStart"/>
      <w:r w:rsidRPr="001C5C2B">
        <w:rPr>
          <w:rFonts w:ascii="Book Antiqua" w:eastAsia="宋体" w:hAnsi="Book Antiqua" w:cs="宋体"/>
          <w:kern w:val="0"/>
          <w:sz w:val="24"/>
          <w:szCs w:val="24"/>
        </w:rPr>
        <w:t>Kulac</w:t>
      </w:r>
      <w:proofErr w:type="spellEnd"/>
      <w:r w:rsidRPr="001C5C2B">
        <w:rPr>
          <w:rFonts w:ascii="Book Antiqua" w:eastAsia="宋体" w:hAnsi="Book Antiqua" w:cs="宋体"/>
          <w:kern w:val="0"/>
          <w:sz w:val="24"/>
          <w:szCs w:val="24"/>
        </w:rPr>
        <w:t xml:space="preserve"> E, </w:t>
      </w:r>
      <w:proofErr w:type="spellStart"/>
      <w:r w:rsidRPr="001C5C2B">
        <w:rPr>
          <w:rFonts w:ascii="Book Antiqua" w:eastAsia="宋体" w:hAnsi="Book Antiqua" w:cs="宋体"/>
          <w:kern w:val="0"/>
          <w:sz w:val="24"/>
          <w:szCs w:val="24"/>
        </w:rPr>
        <w:t>Cinali</w:t>
      </w:r>
      <w:proofErr w:type="spellEnd"/>
      <w:r w:rsidRPr="001C5C2B">
        <w:rPr>
          <w:rFonts w:ascii="Book Antiqua" w:eastAsia="宋体" w:hAnsi="Book Antiqua" w:cs="宋体"/>
          <w:kern w:val="0"/>
          <w:sz w:val="24"/>
          <w:szCs w:val="24"/>
        </w:rPr>
        <w:t xml:space="preserve"> T, </w:t>
      </w:r>
      <w:proofErr w:type="spellStart"/>
      <w:r w:rsidRPr="001C5C2B">
        <w:rPr>
          <w:rFonts w:ascii="Book Antiqua" w:eastAsia="宋体" w:hAnsi="Book Antiqua" w:cs="宋体"/>
          <w:kern w:val="0"/>
          <w:sz w:val="24"/>
          <w:szCs w:val="24"/>
        </w:rPr>
        <w:t>Bilgir</w:t>
      </w:r>
      <w:proofErr w:type="spellEnd"/>
      <w:r w:rsidRPr="001C5C2B">
        <w:rPr>
          <w:rFonts w:ascii="Book Antiqua" w:eastAsia="宋体" w:hAnsi="Book Antiqua" w:cs="宋体"/>
          <w:kern w:val="0"/>
          <w:sz w:val="24"/>
          <w:szCs w:val="24"/>
        </w:rPr>
        <w:t xml:space="preserve"> O. Examination of adhesion molecules, </w:t>
      </w:r>
      <w:proofErr w:type="spellStart"/>
      <w:r w:rsidRPr="001C5C2B">
        <w:rPr>
          <w:rFonts w:ascii="Book Antiqua" w:eastAsia="宋体" w:hAnsi="Book Antiqua" w:cs="宋体"/>
          <w:kern w:val="0"/>
          <w:sz w:val="24"/>
          <w:szCs w:val="24"/>
        </w:rPr>
        <w:t>homocysteine</w:t>
      </w:r>
      <w:proofErr w:type="spellEnd"/>
      <w:r w:rsidRPr="001C5C2B">
        <w:rPr>
          <w:rFonts w:ascii="Book Antiqua" w:eastAsia="宋体" w:hAnsi="Book Antiqua" w:cs="宋体"/>
          <w:kern w:val="0"/>
          <w:sz w:val="24"/>
          <w:szCs w:val="24"/>
        </w:rPr>
        <w:t xml:space="preserve"> and </w:t>
      </w:r>
      <w:proofErr w:type="spellStart"/>
      <w:r w:rsidRPr="001C5C2B">
        <w:rPr>
          <w:rFonts w:ascii="Book Antiqua" w:eastAsia="宋体" w:hAnsi="Book Antiqua" w:cs="宋体"/>
          <w:kern w:val="0"/>
          <w:sz w:val="24"/>
          <w:szCs w:val="24"/>
        </w:rPr>
        <w:t>hs</w:t>
      </w:r>
      <w:proofErr w:type="spellEnd"/>
      <w:r w:rsidRPr="001C5C2B">
        <w:rPr>
          <w:rFonts w:ascii="Book Antiqua" w:eastAsia="宋体" w:hAnsi="Book Antiqua" w:cs="宋体"/>
          <w:kern w:val="0"/>
          <w:sz w:val="24"/>
          <w:szCs w:val="24"/>
        </w:rPr>
        <w:t>-CRP in patients with polygenic hypercholesterolemia and isolated hypertriglyceridemia. </w:t>
      </w:r>
      <w:r w:rsidRPr="001C5C2B">
        <w:rPr>
          <w:rFonts w:ascii="Book Antiqua" w:eastAsia="宋体" w:hAnsi="Book Antiqua" w:cs="宋体"/>
          <w:i/>
          <w:iCs/>
          <w:kern w:val="0"/>
          <w:sz w:val="24"/>
          <w:szCs w:val="24"/>
        </w:rPr>
        <w:t>Intern Med</w:t>
      </w:r>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50</w:t>
      </w:r>
      <w:r w:rsidRPr="001C5C2B">
        <w:rPr>
          <w:rFonts w:ascii="Book Antiqua" w:eastAsia="宋体" w:hAnsi="Book Antiqua" w:cs="宋体"/>
          <w:kern w:val="0"/>
          <w:sz w:val="24"/>
          <w:szCs w:val="24"/>
        </w:rPr>
        <w:t>: 1529-1535 [PMID: 21804277]</w:t>
      </w:r>
    </w:p>
    <w:p w:rsidR="001B3BB0" w:rsidRPr="001C5C2B" w:rsidRDefault="001B3BB0" w:rsidP="001B3BB0">
      <w:pPr>
        <w:widowControl/>
        <w:spacing w:line="360" w:lineRule="auto"/>
        <w:rPr>
          <w:rFonts w:ascii="Book Antiqua" w:eastAsia="宋体" w:hAnsi="Book Antiqua" w:cs="宋体"/>
          <w:kern w:val="0"/>
          <w:sz w:val="24"/>
          <w:szCs w:val="24"/>
        </w:rPr>
      </w:pPr>
      <w:proofErr w:type="gramStart"/>
      <w:r w:rsidRPr="001C5C2B">
        <w:rPr>
          <w:rFonts w:ascii="Book Antiqua" w:eastAsia="宋体" w:hAnsi="Book Antiqua" w:cs="宋体"/>
          <w:kern w:val="0"/>
          <w:sz w:val="24"/>
          <w:szCs w:val="24"/>
        </w:rPr>
        <w:lastRenderedPageBreak/>
        <w:t>17 </w:t>
      </w:r>
      <w:proofErr w:type="spellStart"/>
      <w:r w:rsidRPr="001C5C2B">
        <w:rPr>
          <w:rFonts w:ascii="Book Antiqua" w:eastAsia="宋体" w:hAnsi="Book Antiqua" w:cs="宋体"/>
          <w:b/>
          <w:bCs/>
          <w:kern w:val="0"/>
          <w:sz w:val="24"/>
          <w:szCs w:val="24"/>
        </w:rPr>
        <w:t>Yajnik</w:t>
      </w:r>
      <w:proofErr w:type="spellEnd"/>
      <w:r w:rsidRPr="001C5C2B">
        <w:rPr>
          <w:rFonts w:ascii="Book Antiqua" w:eastAsia="宋体" w:hAnsi="Book Antiqua" w:cs="宋体"/>
          <w:b/>
          <w:bCs/>
          <w:kern w:val="0"/>
          <w:sz w:val="24"/>
          <w:szCs w:val="24"/>
        </w:rPr>
        <w:t xml:space="preserve"> CS</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Joglekar</w:t>
      </w:r>
      <w:proofErr w:type="spellEnd"/>
      <w:r w:rsidRPr="001C5C2B">
        <w:rPr>
          <w:rFonts w:ascii="Book Antiqua" w:eastAsia="宋体" w:hAnsi="Book Antiqua" w:cs="宋体"/>
          <w:kern w:val="0"/>
          <w:sz w:val="24"/>
          <w:szCs w:val="24"/>
        </w:rPr>
        <w:t xml:space="preserve"> CV, </w:t>
      </w:r>
      <w:proofErr w:type="spellStart"/>
      <w:r w:rsidRPr="001C5C2B">
        <w:rPr>
          <w:rFonts w:ascii="Book Antiqua" w:eastAsia="宋体" w:hAnsi="Book Antiqua" w:cs="宋体"/>
          <w:kern w:val="0"/>
          <w:sz w:val="24"/>
          <w:szCs w:val="24"/>
        </w:rPr>
        <w:t>Chinchwadkar</w:t>
      </w:r>
      <w:proofErr w:type="spellEnd"/>
      <w:r w:rsidRPr="001C5C2B">
        <w:rPr>
          <w:rFonts w:ascii="Book Antiqua" w:eastAsia="宋体" w:hAnsi="Book Antiqua" w:cs="宋体"/>
          <w:kern w:val="0"/>
          <w:sz w:val="24"/>
          <w:szCs w:val="24"/>
        </w:rPr>
        <w:t xml:space="preserve"> MC, </w:t>
      </w:r>
      <w:proofErr w:type="spellStart"/>
      <w:r w:rsidRPr="001C5C2B">
        <w:rPr>
          <w:rFonts w:ascii="Book Antiqua" w:eastAsia="宋体" w:hAnsi="Book Antiqua" w:cs="宋体"/>
          <w:kern w:val="0"/>
          <w:sz w:val="24"/>
          <w:szCs w:val="24"/>
        </w:rPr>
        <w:t>Sayyad</w:t>
      </w:r>
      <w:proofErr w:type="spellEnd"/>
      <w:r w:rsidRPr="001C5C2B">
        <w:rPr>
          <w:rFonts w:ascii="Book Antiqua" w:eastAsia="宋体" w:hAnsi="Book Antiqua" w:cs="宋体"/>
          <w:kern w:val="0"/>
          <w:sz w:val="24"/>
          <w:szCs w:val="24"/>
        </w:rPr>
        <w:t xml:space="preserve"> MG, Deshpande SS, </w:t>
      </w:r>
      <w:proofErr w:type="spellStart"/>
      <w:r w:rsidRPr="001C5C2B">
        <w:rPr>
          <w:rFonts w:ascii="Book Antiqua" w:eastAsia="宋体" w:hAnsi="Book Antiqua" w:cs="宋体"/>
          <w:kern w:val="0"/>
          <w:sz w:val="24"/>
          <w:szCs w:val="24"/>
        </w:rPr>
        <w:t>Naik</w:t>
      </w:r>
      <w:proofErr w:type="spellEnd"/>
      <w:r w:rsidRPr="001C5C2B">
        <w:rPr>
          <w:rFonts w:ascii="Book Antiqua" w:eastAsia="宋体" w:hAnsi="Book Antiqua" w:cs="宋体"/>
          <w:kern w:val="0"/>
          <w:sz w:val="24"/>
          <w:szCs w:val="24"/>
        </w:rPr>
        <w:t xml:space="preserve"> SS, </w:t>
      </w:r>
      <w:proofErr w:type="spellStart"/>
      <w:r w:rsidRPr="001C5C2B">
        <w:rPr>
          <w:rFonts w:ascii="Book Antiqua" w:eastAsia="宋体" w:hAnsi="Book Antiqua" w:cs="宋体"/>
          <w:kern w:val="0"/>
          <w:sz w:val="24"/>
          <w:szCs w:val="24"/>
        </w:rPr>
        <w:t>Bhat</w:t>
      </w:r>
      <w:proofErr w:type="spellEnd"/>
      <w:r w:rsidRPr="001C5C2B">
        <w:rPr>
          <w:rFonts w:ascii="Book Antiqua" w:eastAsia="宋体" w:hAnsi="Book Antiqua" w:cs="宋体"/>
          <w:kern w:val="0"/>
          <w:sz w:val="24"/>
          <w:szCs w:val="24"/>
        </w:rPr>
        <w:t xml:space="preserve"> DS, </w:t>
      </w:r>
      <w:proofErr w:type="spellStart"/>
      <w:r w:rsidRPr="001C5C2B">
        <w:rPr>
          <w:rFonts w:ascii="Book Antiqua" w:eastAsia="宋体" w:hAnsi="Book Antiqua" w:cs="宋体"/>
          <w:kern w:val="0"/>
          <w:sz w:val="24"/>
          <w:szCs w:val="24"/>
        </w:rPr>
        <w:t>Ganpule</w:t>
      </w:r>
      <w:proofErr w:type="spellEnd"/>
      <w:r w:rsidRPr="001C5C2B">
        <w:rPr>
          <w:rFonts w:ascii="Book Antiqua" w:eastAsia="宋体" w:hAnsi="Book Antiqua" w:cs="宋体"/>
          <w:kern w:val="0"/>
          <w:sz w:val="24"/>
          <w:szCs w:val="24"/>
        </w:rPr>
        <w:t xml:space="preserve"> A, Shetty P, </w:t>
      </w:r>
      <w:proofErr w:type="spellStart"/>
      <w:r w:rsidRPr="001C5C2B">
        <w:rPr>
          <w:rFonts w:ascii="Book Antiqua" w:eastAsia="宋体" w:hAnsi="Book Antiqua" w:cs="宋体"/>
          <w:kern w:val="0"/>
          <w:sz w:val="24"/>
          <w:szCs w:val="24"/>
        </w:rPr>
        <w:t>Yudkin</w:t>
      </w:r>
      <w:proofErr w:type="spellEnd"/>
      <w:r w:rsidRPr="001C5C2B">
        <w:rPr>
          <w:rFonts w:ascii="Book Antiqua" w:eastAsia="宋体" w:hAnsi="Book Antiqua" w:cs="宋体"/>
          <w:kern w:val="0"/>
          <w:sz w:val="24"/>
          <w:szCs w:val="24"/>
        </w:rPr>
        <w:t xml:space="preserve"> JS.</w:t>
      </w:r>
      <w:proofErr w:type="gramEnd"/>
      <w:r w:rsidRPr="001C5C2B">
        <w:rPr>
          <w:rFonts w:ascii="Book Antiqua" w:eastAsia="宋体" w:hAnsi="Book Antiqua" w:cs="宋体"/>
          <w:kern w:val="0"/>
          <w:sz w:val="24"/>
          <w:szCs w:val="24"/>
        </w:rPr>
        <w:t xml:space="preserve"> </w:t>
      </w:r>
      <w:proofErr w:type="gramStart"/>
      <w:r w:rsidRPr="001C5C2B">
        <w:rPr>
          <w:rFonts w:ascii="Book Antiqua" w:eastAsia="宋体" w:hAnsi="Book Antiqua" w:cs="宋体"/>
          <w:kern w:val="0"/>
          <w:sz w:val="24"/>
          <w:szCs w:val="24"/>
        </w:rPr>
        <w:t>Conventional and novel cardiovascular risk factors and markers of vascular damage in rural and urban Indian men.</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Int</w:t>
      </w:r>
      <w:proofErr w:type="spellEnd"/>
      <w:r w:rsidRPr="001C5C2B">
        <w:rPr>
          <w:rFonts w:ascii="Book Antiqua" w:eastAsia="宋体" w:hAnsi="Book Antiqua" w:cs="宋体"/>
          <w:i/>
          <w:iCs/>
          <w:kern w:val="0"/>
          <w:sz w:val="24"/>
          <w:szCs w:val="24"/>
        </w:rPr>
        <w:t xml:space="preserve"> J </w:t>
      </w:r>
      <w:proofErr w:type="spellStart"/>
      <w:r w:rsidRPr="001C5C2B">
        <w:rPr>
          <w:rFonts w:ascii="Book Antiqua" w:eastAsia="宋体" w:hAnsi="Book Antiqua" w:cs="宋体"/>
          <w:i/>
          <w:iCs/>
          <w:kern w:val="0"/>
          <w:sz w:val="24"/>
          <w:szCs w:val="24"/>
        </w:rPr>
        <w:t>Cardiol</w:t>
      </w:r>
      <w:proofErr w:type="spellEnd"/>
      <w:r w:rsidRPr="001C5C2B">
        <w:rPr>
          <w:rFonts w:ascii="Book Antiqua" w:eastAsia="宋体" w:hAnsi="Book Antiqua" w:cs="宋体"/>
          <w:kern w:val="0"/>
          <w:sz w:val="24"/>
          <w:szCs w:val="24"/>
        </w:rPr>
        <w:t> 2013; </w:t>
      </w:r>
      <w:r w:rsidRPr="001C5C2B">
        <w:rPr>
          <w:rFonts w:ascii="Book Antiqua" w:eastAsia="宋体" w:hAnsi="Book Antiqua" w:cs="宋体"/>
          <w:b/>
          <w:bCs/>
          <w:kern w:val="0"/>
          <w:sz w:val="24"/>
          <w:szCs w:val="24"/>
        </w:rPr>
        <w:t>165</w:t>
      </w:r>
      <w:r w:rsidRPr="001C5C2B">
        <w:rPr>
          <w:rFonts w:ascii="Book Antiqua" w:eastAsia="宋体" w:hAnsi="Book Antiqua" w:cs="宋体"/>
          <w:kern w:val="0"/>
          <w:sz w:val="24"/>
          <w:szCs w:val="24"/>
        </w:rPr>
        <w:t>: 255-259 [PMID: 21925749 DO</w:t>
      </w:r>
      <w:r>
        <w:rPr>
          <w:rFonts w:ascii="Book Antiqua" w:eastAsia="宋体" w:hAnsi="Book Antiqua" w:cs="宋体"/>
          <w:kern w:val="0"/>
          <w:sz w:val="24"/>
          <w:szCs w:val="24"/>
        </w:rPr>
        <w:t>I: 10.1016/j.ijcard.2011.08.053</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18 </w:t>
      </w:r>
      <w:proofErr w:type="spellStart"/>
      <w:r w:rsidRPr="001C5C2B">
        <w:rPr>
          <w:rFonts w:ascii="Book Antiqua" w:eastAsia="宋体" w:hAnsi="Book Antiqua" w:cs="宋体"/>
          <w:b/>
          <w:bCs/>
          <w:kern w:val="0"/>
          <w:sz w:val="24"/>
          <w:szCs w:val="24"/>
        </w:rPr>
        <w:t>Jarrar</w:t>
      </w:r>
      <w:proofErr w:type="spellEnd"/>
      <w:r w:rsidRPr="001C5C2B">
        <w:rPr>
          <w:rFonts w:ascii="Book Antiqua" w:eastAsia="宋体" w:hAnsi="Book Antiqua" w:cs="宋体"/>
          <w:b/>
          <w:bCs/>
          <w:kern w:val="0"/>
          <w:sz w:val="24"/>
          <w:szCs w:val="24"/>
        </w:rPr>
        <w:t xml:space="preserve"> MH</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Baranova</w:t>
      </w:r>
      <w:proofErr w:type="spellEnd"/>
      <w:r w:rsidRPr="001C5C2B">
        <w:rPr>
          <w:rFonts w:ascii="Book Antiqua" w:eastAsia="宋体" w:hAnsi="Book Antiqua" w:cs="宋体"/>
          <w:kern w:val="0"/>
          <w:sz w:val="24"/>
          <w:szCs w:val="24"/>
        </w:rPr>
        <w:t xml:space="preserve"> A, </w:t>
      </w:r>
      <w:proofErr w:type="spellStart"/>
      <w:r w:rsidRPr="001C5C2B">
        <w:rPr>
          <w:rFonts w:ascii="Book Antiqua" w:eastAsia="宋体" w:hAnsi="Book Antiqua" w:cs="宋体"/>
          <w:kern w:val="0"/>
          <w:sz w:val="24"/>
          <w:szCs w:val="24"/>
        </w:rPr>
        <w:t>Collantes</w:t>
      </w:r>
      <w:proofErr w:type="spellEnd"/>
      <w:r w:rsidRPr="001C5C2B">
        <w:rPr>
          <w:rFonts w:ascii="Book Antiqua" w:eastAsia="宋体" w:hAnsi="Book Antiqua" w:cs="宋体"/>
          <w:kern w:val="0"/>
          <w:sz w:val="24"/>
          <w:szCs w:val="24"/>
        </w:rPr>
        <w:t xml:space="preserve"> R, </w:t>
      </w:r>
      <w:proofErr w:type="spellStart"/>
      <w:r w:rsidRPr="001C5C2B">
        <w:rPr>
          <w:rFonts w:ascii="Book Antiqua" w:eastAsia="宋体" w:hAnsi="Book Antiqua" w:cs="宋体"/>
          <w:kern w:val="0"/>
          <w:sz w:val="24"/>
          <w:szCs w:val="24"/>
        </w:rPr>
        <w:t>Ranard</w:t>
      </w:r>
      <w:proofErr w:type="spellEnd"/>
      <w:r w:rsidRPr="001C5C2B">
        <w:rPr>
          <w:rFonts w:ascii="Book Antiqua" w:eastAsia="宋体" w:hAnsi="Book Antiqua" w:cs="宋体"/>
          <w:kern w:val="0"/>
          <w:sz w:val="24"/>
          <w:szCs w:val="24"/>
        </w:rPr>
        <w:t xml:space="preserve"> B, </w:t>
      </w:r>
      <w:proofErr w:type="spellStart"/>
      <w:r w:rsidRPr="001C5C2B">
        <w:rPr>
          <w:rFonts w:ascii="Book Antiqua" w:eastAsia="宋体" w:hAnsi="Book Antiqua" w:cs="宋体"/>
          <w:kern w:val="0"/>
          <w:sz w:val="24"/>
          <w:szCs w:val="24"/>
        </w:rPr>
        <w:t>Stepanova</w:t>
      </w:r>
      <w:proofErr w:type="spellEnd"/>
      <w:r w:rsidRPr="001C5C2B">
        <w:rPr>
          <w:rFonts w:ascii="Book Antiqua" w:eastAsia="宋体" w:hAnsi="Book Antiqua" w:cs="宋体"/>
          <w:kern w:val="0"/>
          <w:sz w:val="24"/>
          <w:szCs w:val="24"/>
        </w:rPr>
        <w:t xml:space="preserve"> M, Bennett C, Fang Y, </w:t>
      </w:r>
      <w:proofErr w:type="spellStart"/>
      <w:r w:rsidRPr="001C5C2B">
        <w:rPr>
          <w:rFonts w:ascii="Book Antiqua" w:eastAsia="宋体" w:hAnsi="Book Antiqua" w:cs="宋体"/>
          <w:kern w:val="0"/>
          <w:sz w:val="24"/>
          <w:szCs w:val="24"/>
        </w:rPr>
        <w:t>Elariny</w:t>
      </w:r>
      <w:proofErr w:type="spellEnd"/>
      <w:r w:rsidRPr="001C5C2B">
        <w:rPr>
          <w:rFonts w:ascii="Book Antiqua" w:eastAsia="宋体" w:hAnsi="Book Antiqua" w:cs="宋体"/>
          <w:kern w:val="0"/>
          <w:sz w:val="24"/>
          <w:szCs w:val="24"/>
        </w:rPr>
        <w:t xml:space="preserve"> H, Goodman Z, </w:t>
      </w:r>
      <w:proofErr w:type="spellStart"/>
      <w:r w:rsidRPr="001C5C2B">
        <w:rPr>
          <w:rFonts w:ascii="Book Antiqua" w:eastAsia="宋体" w:hAnsi="Book Antiqua" w:cs="宋体"/>
          <w:kern w:val="0"/>
          <w:sz w:val="24"/>
          <w:szCs w:val="24"/>
        </w:rPr>
        <w:t>Chandhoke</w:t>
      </w:r>
      <w:proofErr w:type="spellEnd"/>
      <w:r w:rsidRPr="001C5C2B">
        <w:rPr>
          <w:rFonts w:ascii="Book Antiqua" w:eastAsia="宋体" w:hAnsi="Book Antiqua" w:cs="宋体"/>
          <w:kern w:val="0"/>
          <w:sz w:val="24"/>
          <w:szCs w:val="24"/>
        </w:rPr>
        <w:t xml:space="preserve"> V, </w:t>
      </w:r>
      <w:proofErr w:type="spellStart"/>
      <w:r w:rsidRPr="001C5C2B">
        <w:rPr>
          <w:rFonts w:ascii="Book Antiqua" w:eastAsia="宋体" w:hAnsi="Book Antiqua" w:cs="宋体"/>
          <w:kern w:val="0"/>
          <w:sz w:val="24"/>
          <w:szCs w:val="24"/>
        </w:rPr>
        <w:t>Younossi</w:t>
      </w:r>
      <w:proofErr w:type="spellEnd"/>
      <w:r w:rsidRPr="001C5C2B">
        <w:rPr>
          <w:rFonts w:ascii="Book Antiqua" w:eastAsia="宋体" w:hAnsi="Book Antiqua" w:cs="宋体"/>
          <w:kern w:val="0"/>
          <w:sz w:val="24"/>
          <w:szCs w:val="24"/>
        </w:rPr>
        <w:t xml:space="preserve"> ZM. </w:t>
      </w:r>
      <w:proofErr w:type="spellStart"/>
      <w:proofErr w:type="gramStart"/>
      <w:r w:rsidRPr="001C5C2B">
        <w:rPr>
          <w:rFonts w:ascii="Book Antiqua" w:eastAsia="宋体" w:hAnsi="Book Antiqua" w:cs="宋体"/>
          <w:kern w:val="0"/>
          <w:sz w:val="24"/>
          <w:szCs w:val="24"/>
        </w:rPr>
        <w:t>Adipokines</w:t>
      </w:r>
      <w:proofErr w:type="spellEnd"/>
      <w:r w:rsidRPr="001C5C2B">
        <w:rPr>
          <w:rFonts w:ascii="Book Antiqua" w:eastAsia="宋体" w:hAnsi="Book Antiqua" w:cs="宋体"/>
          <w:kern w:val="0"/>
          <w:sz w:val="24"/>
          <w:szCs w:val="24"/>
        </w:rPr>
        <w:t xml:space="preserve"> and cytokines in non-alcoholic fatty liver disease.</w:t>
      </w:r>
      <w:proofErr w:type="gramEnd"/>
      <w:r w:rsidRPr="001C5C2B">
        <w:rPr>
          <w:rFonts w:ascii="Book Antiqua" w:eastAsia="宋体" w:hAnsi="Book Antiqua" w:cs="宋体"/>
          <w:kern w:val="0"/>
          <w:sz w:val="24"/>
          <w:szCs w:val="24"/>
        </w:rPr>
        <w:t> </w:t>
      </w:r>
      <w:r w:rsidRPr="001C5C2B">
        <w:rPr>
          <w:rFonts w:ascii="Book Antiqua" w:eastAsia="宋体" w:hAnsi="Book Antiqua" w:cs="宋体"/>
          <w:i/>
          <w:iCs/>
          <w:kern w:val="0"/>
          <w:sz w:val="24"/>
          <w:szCs w:val="24"/>
        </w:rPr>
        <w:t xml:space="preserve">Aliment </w:t>
      </w:r>
      <w:proofErr w:type="spellStart"/>
      <w:r w:rsidRPr="001C5C2B">
        <w:rPr>
          <w:rFonts w:ascii="Book Antiqua" w:eastAsia="宋体" w:hAnsi="Book Antiqua" w:cs="宋体"/>
          <w:i/>
          <w:iCs/>
          <w:kern w:val="0"/>
          <w:sz w:val="24"/>
          <w:szCs w:val="24"/>
        </w:rPr>
        <w:t>Pharmacol</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Ther</w:t>
      </w:r>
      <w:proofErr w:type="spellEnd"/>
      <w:r w:rsidRPr="001C5C2B">
        <w:rPr>
          <w:rFonts w:ascii="Book Antiqua" w:eastAsia="宋体" w:hAnsi="Book Antiqua" w:cs="宋体"/>
          <w:kern w:val="0"/>
          <w:sz w:val="24"/>
          <w:szCs w:val="24"/>
        </w:rPr>
        <w:t> 2008; </w:t>
      </w:r>
      <w:r w:rsidRPr="001C5C2B">
        <w:rPr>
          <w:rFonts w:ascii="Book Antiqua" w:eastAsia="宋体" w:hAnsi="Book Antiqua" w:cs="宋体"/>
          <w:b/>
          <w:bCs/>
          <w:kern w:val="0"/>
          <w:sz w:val="24"/>
          <w:szCs w:val="24"/>
        </w:rPr>
        <w:t>27</w:t>
      </w:r>
      <w:r w:rsidRPr="001C5C2B">
        <w:rPr>
          <w:rFonts w:ascii="Book Antiqua" w:eastAsia="宋体" w:hAnsi="Book Antiqua" w:cs="宋体"/>
          <w:kern w:val="0"/>
          <w:sz w:val="24"/>
          <w:szCs w:val="24"/>
        </w:rPr>
        <w:t>: 412-421 [PMID: 18081738]</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19 </w:t>
      </w:r>
      <w:proofErr w:type="spellStart"/>
      <w:r w:rsidRPr="001C5C2B">
        <w:rPr>
          <w:rFonts w:ascii="Book Antiqua" w:eastAsia="宋体" w:hAnsi="Book Antiqua" w:cs="宋体"/>
          <w:b/>
          <w:bCs/>
          <w:kern w:val="0"/>
          <w:sz w:val="24"/>
          <w:szCs w:val="24"/>
        </w:rPr>
        <w:t>Aharinejad</w:t>
      </w:r>
      <w:proofErr w:type="spellEnd"/>
      <w:r w:rsidRPr="001C5C2B">
        <w:rPr>
          <w:rFonts w:ascii="Book Antiqua" w:eastAsia="宋体" w:hAnsi="Book Antiqua" w:cs="宋体"/>
          <w:b/>
          <w:bCs/>
          <w:kern w:val="0"/>
          <w:sz w:val="24"/>
          <w:szCs w:val="24"/>
        </w:rPr>
        <w:t xml:space="preserve"> S</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Krenn</w:t>
      </w:r>
      <w:proofErr w:type="spellEnd"/>
      <w:r w:rsidRPr="001C5C2B">
        <w:rPr>
          <w:rFonts w:ascii="Book Antiqua" w:eastAsia="宋体" w:hAnsi="Book Antiqua" w:cs="宋体"/>
          <w:kern w:val="0"/>
          <w:sz w:val="24"/>
          <w:szCs w:val="24"/>
        </w:rPr>
        <w:t xml:space="preserve"> K, </w:t>
      </w:r>
      <w:proofErr w:type="spellStart"/>
      <w:r w:rsidRPr="001C5C2B">
        <w:rPr>
          <w:rFonts w:ascii="Book Antiqua" w:eastAsia="宋体" w:hAnsi="Book Antiqua" w:cs="宋体"/>
          <w:kern w:val="0"/>
          <w:sz w:val="24"/>
          <w:szCs w:val="24"/>
        </w:rPr>
        <w:t>Zuckermann</w:t>
      </w:r>
      <w:proofErr w:type="spellEnd"/>
      <w:r w:rsidRPr="001C5C2B">
        <w:rPr>
          <w:rFonts w:ascii="Book Antiqua" w:eastAsia="宋体" w:hAnsi="Book Antiqua" w:cs="宋体"/>
          <w:kern w:val="0"/>
          <w:sz w:val="24"/>
          <w:szCs w:val="24"/>
        </w:rPr>
        <w:t xml:space="preserve"> A, </w:t>
      </w:r>
      <w:proofErr w:type="spellStart"/>
      <w:r w:rsidRPr="001C5C2B">
        <w:rPr>
          <w:rFonts w:ascii="Book Antiqua" w:eastAsia="宋体" w:hAnsi="Book Antiqua" w:cs="宋体"/>
          <w:kern w:val="0"/>
          <w:sz w:val="24"/>
          <w:szCs w:val="24"/>
        </w:rPr>
        <w:t>Schäfer</w:t>
      </w:r>
      <w:proofErr w:type="spellEnd"/>
      <w:r w:rsidRPr="001C5C2B">
        <w:rPr>
          <w:rFonts w:ascii="Book Antiqua" w:eastAsia="宋体" w:hAnsi="Book Antiqua" w:cs="宋体"/>
          <w:kern w:val="0"/>
          <w:sz w:val="24"/>
          <w:szCs w:val="24"/>
        </w:rPr>
        <w:t xml:space="preserve"> R, Paulus P, </w:t>
      </w:r>
      <w:proofErr w:type="spellStart"/>
      <w:r w:rsidRPr="001C5C2B">
        <w:rPr>
          <w:rFonts w:ascii="Book Antiqua" w:eastAsia="宋体" w:hAnsi="Book Antiqua" w:cs="宋体"/>
          <w:kern w:val="0"/>
          <w:sz w:val="24"/>
          <w:szCs w:val="24"/>
        </w:rPr>
        <w:t>Seebacher</w:t>
      </w:r>
      <w:proofErr w:type="spellEnd"/>
      <w:r w:rsidRPr="001C5C2B">
        <w:rPr>
          <w:rFonts w:ascii="Book Antiqua" w:eastAsia="宋体" w:hAnsi="Book Antiqua" w:cs="宋体"/>
          <w:kern w:val="0"/>
          <w:sz w:val="24"/>
          <w:szCs w:val="24"/>
        </w:rPr>
        <w:t xml:space="preserve"> G, </w:t>
      </w:r>
      <w:proofErr w:type="spellStart"/>
      <w:r w:rsidRPr="001C5C2B">
        <w:rPr>
          <w:rFonts w:ascii="Book Antiqua" w:eastAsia="宋体" w:hAnsi="Book Antiqua" w:cs="宋体"/>
          <w:kern w:val="0"/>
          <w:sz w:val="24"/>
          <w:szCs w:val="24"/>
        </w:rPr>
        <w:t>Wolner</w:t>
      </w:r>
      <w:proofErr w:type="spellEnd"/>
      <w:r w:rsidRPr="001C5C2B">
        <w:rPr>
          <w:rFonts w:ascii="Book Antiqua" w:eastAsia="宋体" w:hAnsi="Book Antiqua" w:cs="宋体"/>
          <w:kern w:val="0"/>
          <w:sz w:val="24"/>
          <w:szCs w:val="24"/>
        </w:rPr>
        <w:t xml:space="preserve"> E, Grimm M. Matrix </w:t>
      </w:r>
      <w:proofErr w:type="spellStart"/>
      <w:r w:rsidRPr="001C5C2B">
        <w:rPr>
          <w:rFonts w:ascii="Book Antiqua" w:eastAsia="宋体" w:hAnsi="Book Antiqua" w:cs="宋体"/>
          <w:kern w:val="0"/>
          <w:sz w:val="24"/>
          <w:szCs w:val="24"/>
        </w:rPr>
        <w:t>metalloproteases</w:t>
      </w:r>
      <w:proofErr w:type="spellEnd"/>
      <w:r w:rsidRPr="001C5C2B">
        <w:rPr>
          <w:rFonts w:ascii="Book Antiqua" w:eastAsia="宋体" w:hAnsi="Book Antiqua" w:cs="宋体"/>
          <w:kern w:val="0"/>
          <w:sz w:val="24"/>
          <w:szCs w:val="24"/>
        </w:rPr>
        <w:t xml:space="preserve"> and their tissue inhibitor in cardiac transplantation. </w:t>
      </w:r>
      <w:proofErr w:type="spellStart"/>
      <w:r w:rsidRPr="001C5C2B">
        <w:rPr>
          <w:rFonts w:ascii="Book Antiqua" w:eastAsia="宋体" w:hAnsi="Book Antiqua" w:cs="宋体"/>
          <w:i/>
          <w:iCs/>
          <w:kern w:val="0"/>
          <w:sz w:val="24"/>
          <w:szCs w:val="24"/>
        </w:rPr>
        <w:t>Eur</w:t>
      </w:r>
      <w:proofErr w:type="spellEnd"/>
      <w:r w:rsidRPr="001C5C2B">
        <w:rPr>
          <w:rFonts w:ascii="Book Antiqua" w:eastAsia="宋体" w:hAnsi="Book Antiqua" w:cs="宋体"/>
          <w:i/>
          <w:iCs/>
          <w:kern w:val="0"/>
          <w:sz w:val="24"/>
          <w:szCs w:val="24"/>
        </w:rPr>
        <w:t xml:space="preserve"> J </w:t>
      </w:r>
      <w:proofErr w:type="spellStart"/>
      <w:r w:rsidRPr="001C5C2B">
        <w:rPr>
          <w:rFonts w:ascii="Book Antiqua" w:eastAsia="宋体" w:hAnsi="Book Antiqua" w:cs="宋体"/>
          <w:i/>
          <w:iCs/>
          <w:kern w:val="0"/>
          <w:sz w:val="24"/>
          <w:szCs w:val="24"/>
        </w:rPr>
        <w:t>Cardiothorac</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Surg</w:t>
      </w:r>
      <w:proofErr w:type="spellEnd"/>
      <w:r w:rsidRPr="001C5C2B">
        <w:rPr>
          <w:rFonts w:ascii="Book Antiqua" w:eastAsia="宋体" w:hAnsi="Book Antiqua" w:cs="宋体"/>
          <w:kern w:val="0"/>
          <w:sz w:val="24"/>
          <w:szCs w:val="24"/>
        </w:rPr>
        <w:t> 2007; </w:t>
      </w:r>
      <w:r w:rsidRPr="001C5C2B">
        <w:rPr>
          <w:rFonts w:ascii="Book Antiqua" w:eastAsia="宋体" w:hAnsi="Book Antiqua" w:cs="宋体"/>
          <w:b/>
          <w:bCs/>
          <w:kern w:val="0"/>
          <w:sz w:val="24"/>
          <w:szCs w:val="24"/>
        </w:rPr>
        <w:t>32</w:t>
      </w:r>
      <w:r w:rsidRPr="001C5C2B">
        <w:rPr>
          <w:rFonts w:ascii="Book Antiqua" w:eastAsia="宋体" w:hAnsi="Book Antiqua" w:cs="宋体"/>
          <w:kern w:val="0"/>
          <w:sz w:val="24"/>
          <w:szCs w:val="24"/>
        </w:rPr>
        <w:t>: 48-51 [PMID: 17482473]</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20 </w:t>
      </w:r>
      <w:proofErr w:type="spellStart"/>
      <w:r w:rsidRPr="001C5C2B">
        <w:rPr>
          <w:rFonts w:ascii="Book Antiqua" w:eastAsia="宋体" w:hAnsi="Book Antiqua" w:cs="宋体"/>
          <w:b/>
          <w:bCs/>
          <w:kern w:val="0"/>
          <w:sz w:val="24"/>
          <w:szCs w:val="24"/>
        </w:rPr>
        <w:t>Migita</w:t>
      </w:r>
      <w:proofErr w:type="spellEnd"/>
      <w:r w:rsidRPr="001C5C2B">
        <w:rPr>
          <w:rFonts w:ascii="Book Antiqua" w:eastAsia="宋体" w:hAnsi="Book Antiqua" w:cs="宋体"/>
          <w:b/>
          <w:bCs/>
          <w:kern w:val="0"/>
          <w:sz w:val="24"/>
          <w:szCs w:val="24"/>
        </w:rPr>
        <w:t xml:space="preserve"> K</w:t>
      </w:r>
      <w:r w:rsidRPr="001C5C2B">
        <w:rPr>
          <w:rFonts w:ascii="Book Antiqua" w:eastAsia="宋体" w:hAnsi="Book Antiqua" w:cs="宋体"/>
          <w:kern w:val="0"/>
          <w:sz w:val="24"/>
          <w:szCs w:val="24"/>
        </w:rPr>
        <w:t xml:space="preserve">, Maeda Y, </w:t>
      </w:r>
      <w:proofErr w:type="spellStart"/>
      <w:r w:rsidRPr="001C5C2B">
        <w:rPr>
          <w:rFonts w:ascii="Book Antiqua" w:eastAsia="宋体" w:hAnsi="Book Antiqua" w:cs="宋体"/>
          <w:kern w:val="0"/>
          <w:sz w:val="24"/>
          <w:szCs w:val="24"/>
        </w:rPr>
        <w:t>Abiru</w:t>
      </w:r>
      <w:proofErr w:type="spellEnd"/>
      <w:r w:rsidRPr="001C5C2B">
        <w:rPr>
          <w:rFonts w:ascii="Book Antiqua" w:eastAsia="宋体" w:hAnsi="Book Antiqua" w:cs="宋体"/>
          <w:kern w:val="0"/>
          <w:sz w:val="24"/>
          <w:szCs w:val="24"/>
        </w:rPr>
        <w:t xml:space="preserve"> S, Nakamura M, Komori A, Yokoyama T, </w:t>
      </w:r>
      <w:proofErr w:type="spellStart"/>
      <w:r w:rsidRPr="001C5C2B">
        <w:rPr>
          <w:rFonts w:ascii="Book Antiqua" w:eastAsia="宋体" w:hAnsi="Book Antiqua" w:cs="宋体"/>
          <w:kern w:val="0"/>
          <w:sz w:val="24"/>
          <w:szCs w:val="24"/>
        </w:rPr>
        <w:t>Takii</w:t>
      </w:r>
      <w:proofErr w:type="spellEnd"/>
      <w:r w:rsidRPr="001C5C2B">
        <w:rPr>
          <w:rFonts w:ascii="Book Antiqua" w:eastAsia="宋体" w:hAnsi="Book Antiqua" w:cs="宋体"/>
          <w:kern w:val="0"/>
          <w:sz w:val="24"/>
          <w:szCs w:val="24"/>
        </w:rPr>
        <w:t xml:space="preserve"> Y, Mori T, </w:t>
      </w:r>
      <w:proofErr w:type="spellStart"/>
      <w:r w:rsidRPr="001C5C2B">
        <w:rPr>
          <w:rFonts w:ascii="Book Antiqua" w:eastAsia="宋体" w:hAnsi="Book Antiqua" w:cs="宋体"/>
          <w:kern w:val="0"/>
          <w:sz w:val="24"/>
          <w:szCs w:val="24"/>
        </w:rPr>
        <w:t>Yatsuhashi</w:t>
      </w:r>
      <w:proofErr w:type="spellEnd"/>
      <w:r w:rsidRPr="001C5C2B">
        <w:rPr>
          <w:rFonts w:ascii="Book Antiqua" w:eastAsia="宋体" w:hAnsi="Book Antiqua" w:cs="宋体"/>
          <w:kern w:val="0"/>
          <w:sz w:val="24"/>
          <w:szCs w:val="24"/>
        </w:rPr>
        <w:t xml:space="preserve"> H, </w:t>
      </w:r>
      <w:proofErr w:type="spellStart"/>
      <w:r w:rsidRPr="001C5C2B">
        <w:rPr>
          <w:rFonts w:ascii="Book Antiqua" w:eastAsia="宋体" w:hAnsi="Book Antiqua" w:cs="宋体"/>
          <w:kern w:val="0"/>
          <w:sz w:val="24"/>
          <w:szCs w:val="24"/>
        </w:rPr>
        <w:t>Eguchi</w:t>
      </w:r>
      <w:proofErr w:type="spellEnd"/>
      <w:r w:rsidRPr="001C5C2B">
        <w:rPr>
          <w:rFonts w:ascii="Book Antiqua" w:eastAsia="宋体" w:hAnsi="Book Antiqua" w:cs="宋体"/>
          <w:kern w:val="0"/>
          <w:sz w:val="24"/>
          <w:szCs w:val="24"/>
        </w:rPr>
        <w:t xml:space="preserve"> K, </w:t>
      </w:r>
      <w:proofErr w:type="spellStart"/>
      <w:r w:rsidRPr="001C5C2B">
        <w:rPr>
          <w:rFonts w:ascii="Book Antiqua" w:eastAsia="宋体" w:hAnsi="Book Antiqua" w:cs="宋体"/>
          <w:kern w:val="0"/>
          <w:sz w:val="24"/>
          <w:szCs w:val="24"/>
        </w:rPr>
        <w:t>Ishibashi</w:t>
      </w:r>
      <w:proofErr w:type="spellEnd"/>
      <w:r w:rsidRPr="001C5C2B">
        <w:rPr>
          <w:rFonts w:ascii="Book Antiqua" w:eastAsia="宋体" w:hAnsi="Book Antiqua" w:cs="宋体"/>
          <w:kern w:val="0"/>
          <w:sz w:val="24"/>
          <w:szCs w:val="24"/>
        </w:rPr>
        <w:t xml:space="preserve"> H. Immunosuppressant FK506 inhibits matrix metalloproteinase-9 induction in TNF-alpha-stimulated human hepatic stellate cells. </w:t>
      </w:r>
      <w:r w:rsidRPr="001C5C2B">
        <w:rPr>
          <w:rFonts w:ascii="Book Antiqua" w:eastAsia="宋体" w:hAnsi="Book Antiqua" w:cs="宋体"/>
          <w:i/>
          <w:iCs/>
          <w:kern w:val="0"/>
          <w:sz w:val="24"/>
          <w:szCs w:val="24"/>
        </w:rPr>
        <w:t xml:space="preserve">Life </w:t>
      </w:r>
      <w:proofErr w:type="spellStart"/>
      <w:r w:rsidRPr="001C5C2B">
        <w:rPr>
          <w:rFonts w:ascii="Book Antiqua" w:eastAsia="宋体" w:hAnsi="Book Antiqua" w:cs="宋体"/>
          <w:i/>
          <w:iCs/>
          <w:kern w:val="0"/>
          <w:sz w:val="24"/>
          <w:szCs w:val="24"/>
        </w:rPr>
        <w:t>Sci</w:t>
      </w:r>
      <w:proofErr w:type="spellEnd"/>
      <w:r w:rsidRPr="001C5C2B">
        <w:rPr>
          <w:rFonts w:ascii="Book Antiqua" w:eastAsia="宋体" w:hAnsi="Book Antiqua" w:cs="宋体"/>
          <w:kern w:val="0"/>
          <w:sz w:val="24"/>
          <w:szCs w:val="24"/>
        </w:rPr>
        <w:t> 2006; </w:t>
      </w:r>
      <w:r w:rsidRPr="001C5C2B">
        <w:rPr>
          <w:rFonts w:ascii="Book Antiqua" w:eastAsia="宋体" w:hAnsi="Book Antiqua" w:cs="宋体"/>
          <w:b/>
          <w:bCs/>
          <w:kern w:val="0"/>
          <w:sz w:val="24"/>
          <w:szCs w:val="24"/>
        </w:rPr>
        <w:t>78</w:t>
      </w:r>
      <w:r w:rsidRPr="001C5C2B">
        <w:rPr>
          <w:rFonts w:ascii="Book Antiqua" w:eastAsia="宋体" w:hAnsi="Book Antiqua" w:cs="宋体"/>
          <w:kern w:val="0"/>
          <w:sz w:val="24"/>
          <w:szCs w:val="24"/>
        </w:rPr>
        <w:t>: 2510-2515 [PMID: 16303143]</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21 </w:t>
      </w:r>
      <w:r w:rsidRPr="001C5C2B">
        <w:rPr>
          <w:rFonts w:ascii="Book Antiqua" w:eastAsia="宋体" w:hAnsi="Book Antiqua" w:cs="宋体"/>
          <w:b/>
          <w:bCs/>
          <w:kern w:val="0"/>
          <w:sz w:val="24"/>
          <w:szCs w:val="24"/>
        </w:rPr>
        <w:t>Mueller AR</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Platz</w:t>
      </w:r>
      <w:proofErr w:type="spellEnd"/>
      <w:r w:rsidRPr="001C5C2B">
        <w:rPr>
          <w:rFonts w:ascii="Book Antiqua" w:eastAsia="宋体" w:hAnsi="Book Antiqua" w:cs="宋体"/>
          <w:kern w:val="0"/>
          <w:sz w:val="24"/>
          <w:szCs w:val="24"/>
        </w:rPr>
        <w:t xml:space="preserve"> KP, </w:t>
      </w:r>
      <w:proofErr w:type="spellStart"/>
      <w:r w:rsidRPr="001C5C2B">
        <w:rPr>
          <w:rFonts w:ascii="Book Antiqua" w:eastAsia="宋体" w:hAnsi="Book Antiqua" w:cs="宋体"/>
          <w:kern w:val="0"/>
          <w:sz w:val="24"/>
          <w:szCs w:val="24"/>
        </w:rPr>
        <w:t>Haak</w:t>
      </w:r>
      <w:proofErr w:type="spellEnd"/>
      <w:r w:rsidRPr="001C5C2B">
        <w:rPr>
          <w:rFonts w:ascii="Book Antiqua" w:eastAsia="宋体" w:hAnsi="Book Antiqua" w:cs="宋体"/>
          <w:kern w:val="0"/>
          <w:sz w:val="24"/>
          <w:szCs w:val="24"/>
        </w:rPr>
        <w:t xml:space="preserve"> M, </w:t>
      </w:r>
      <w:proofErr w:type="spellStart"/>
      <w:r w:rsidRPr="001C5C2B">
        <w:rPr>
          <w:rFonts w:ascii="Book Antiqua" w:eastAsia="宋体" w:hAnsi="Book Antiqua" w:cs="宋体"/>
          <w:kern w:val="0"/>
          <w:sz w:val="24"/>
          <w:szCs w:val="24"/>
        </w:rPr>
        <w:t>Undi</w:t>
      </w:r>
      <w:proofErr w:type="spellEnd"/>
      <w:r w:rsidRPr="001C5C2B">
        <w:rPr>
          <w:rFonts w:ascii="Book Antiqua" w:eastAsia="宋体" w:hAnsi="Book Antiqua" w:cs="宋体"/>
          <w:kern w:val="0"/>
          <w:sz w:val="24"/>
          <w:szCs w:val="24"/>
        </w:rPr>
        <w:t xml:space="preserve"> H, Müller C, </w:t>
      </w:r>
      <w:proofErr w:type="spellStart"/>
      <w:r w:rsidRPr="001C5C2B">
        <w:rPr>
          <w:rFonts w:ascii="Book Antiqua" w:eastAsia="宋体" w:hAnsi="Book Antiqua" w:cs="宋体"/>
          <w:kern w:val="0"/>
          <w:sz w:val="24"/>
          <w:szCs w:val="24"/>
        </w:rPr>
        <w:t>Köttgen</w:t>
      </w:r>
      <w:proofErr w:type="spellEnd"/>
      <w:r w:rsidRPr="001C5C2B">
        <w:rPr>
          <w:rFonts w:ascii="Book Antiqua" w:eastAsia="宋体" w:hAnsi="Book Antiqua" w:cs="宋体"/>
          <w:kern w:val="0"/>
          <w:sz w:val="24"/>
          <w:szCs w:val="24"/>
        </w:rPr>
        <w:t xml:space="preserve"> E, </w:t>
      </w:r>
      <w:proofErr w:type="spellStart"/>
      <w:r w:rsidRPr="001C5C2B">
        <w:rPr>
          <w:rFonts w:ascii="Book Antiqua" w:eastAsia="宋体" w:hAnsi="Book Antiqua" w:cs="宋体"/>
          <w:kern w:val="0"/>
          <w:sz w:val="24"/>
          <w:szCs w:val="24"/>
        </w:rPr>
        <w:t>Weidemann</w:t>
      </w:r>
      <w:proofErr w:type="spellEnd"/>
      <w:r w:rsidRPr="001C5C2B">
        <w:rPr>
          <w:rFonts w:ascii="Book Antiqua" w:eastAsia="宋体" w:hAnsi="Book Antiqua" w:cs="宋体"/>
          <w:kern w:val="0"/>
          <w:sz w:val="24"/>
          <w:szCs w:val="24"/>
        </w:rPr>
        <w:t xml:space="preserve"> H, </w:t>
      </w:r>
      <w:proofErr w:type="spellStart"/>
      <w:r w:rsidRPr="001C5C2B">
        <w:rPr>
          <w:rFonts w:ascii="Book Antiqua" w:eastAsia="宋体" w:hAnsi="Book Antiqua" w:cs="宋体"/>
          <w:kern w:val="0"/>
          <w:sz w:val="24"/>
          <w:szCs w:val="24"/>
        </w:rPr>
        <w:t>Neuhaus</w:t>
      </w:r>
      <w:proofErr w:type="spellEnd"/>
      <w:r w:rsidRPr="001C5C2B">
        <w:rPr>
          <w:rFonts w:ascii="Book Antiqua" w:eastAsia="宋体" w:hAnsi="Book Antiqua" w:cs="宋体"/>
          <w:kern w:val="0"/>
          <w:sz w:val="24"/>
          <w:szCs w:val="24"/>
        </w:rPr>
        <w:t xml:space="preserve"> P. </w:t>
      </w:r>
      <w:proofErr w:type="gramStart"/>
      <w:r w:rsidRPr="001C5C2B">
        <w:rPr>
          <w:rFonts w:ascii="Book Antiqua" w:eastAsia="宋体" w:hAnsi="Book Antiqua" w:cs="宋体"/>
          <w:kern w:val="0"/>
          <w:sz w:val="24"/>
          <w:szCs w:val="24"/>
        </w:rPr>
        <w:t>The release of cytokines, adhesion molecules, and extracellular matrix parameters during and after reperfusion in human liver transplantation.</w:t>
      </w:r>
      <w:proofErr w:type="gramEnd"/>
      <w:r w:rsidRPr="001C5C2B">
        <w:rPr>
          <w:rFonts w:ascii="Book Antiqua" w:eastAsia="宋体" w:hAnsi="Book Antiqua" w:cs="宋体"/>
          <w:kern w:val="0"/>
          <w:sz w:val="24"/>
          <w:szCs w:val="24"/>
        </w:rPr>
        <w:t> </w:t>
      </w:r>
      <w:r w:rsidRPr="001C5C2B">
        <w:rPr>
          <w:rFonts w:ascii="Book Antiqua" w:eastAsia="宋体" w:hAnsi="Book Antiqua" w:cs="宋体"/>
          <w:i/>
          <w:iCs/>
          <w:kern w:val="0"/>
          <w:sz w:val="24"/>
          <w:szCs w:val="24"/>
        </w:rPr>
        <w:t>Transplantation</w:t>
      </w:r>
      <w:r w:rsidRPr="001C5C2B">
        <w:rPr>
          <w:rFonts w:ascii="Book Antiqua" w:eastAsia="宋体" w:hAnsi="Book Antiqua" w:cs="宋体"/>
          <w:kern w:val="0"/>
          <w:sz w:val="24"/>
          <w:szCs w:val="24"/>
        </w:rPr>
        <w:t> 1996; </w:t>
      </w:r>
      <w:r w:rsidRPr="001C5C2B">
        <w:rPr>
          <w:rFonts w:ascii="Book Antiqua" w:eastAsia="宋体" w:hAnsi="Book Antiqua" w:cs="宋体"/>
          <w:b/>
          <w:bCs/>
          <w:kern w:val="0"/>
          <w:sz w:val="24"/>
          <w:szCs w:val="24"/>
        </w:rPr>
        <w:t>62</w:t>
      </w:r>
      <w:r w:rsidRPr="001C5C2B">
        <w:rPr>
          <w:rFonts w:ascii="Book Antiqua" w:eastAsia="宋体" w:hAnsi="Book Antiqua" w:cs="宋体"/>
          <w:kern w:val="0"/>
          <w:sz w:val="24"/>
          <w:szCs w:val="24"/>
        </w:rPr>
        <w:t>: 1118-1126 [PMID: 8900313]</w:t>
      </w:r>
    </w:p>
    <w:p w:rsidR="001B3BB0" w:rsidRPr="001C5C2B" w:rsidRDefault="001B3BB0" w:rsidP="001B3BB0">
      <w:pPr>
        <w:widowControl/>
        <w:spacing w:line="360" w:lineRule="auto"/>
        <w:rPr>
          <w:rFonts w:ascii="Book Antiqua" w:eastAsia="宋体" w:hAnsi="Book Antiqua" w:cs="宋体"/>
          <w:kern w:val="0"/>
          <w:sz w:val="24"/>
          <w:szCs w:val="24"/>
        </w:rPr>
      </w:pPr>
      <w:proofErr w:type="gramStart"/>
      <w:r w:rsidRPr="001C5C2B">
        <w:rPr>
          <w:rFonts w:ascii="Book Antiqua" w:eastAsia="宋体" w:hAnsi="Book Antiqua" w:cs="宋体"/>
          <w:kern w:val="0"/>
          <w:sz w:val="24"/>
          <w:szCs w:val="24"/>
        </w:rPr>
        <w:t>22 </w:t>
      </w:r>
      <w:r w:rsidRPr="001C5C2B">
        <w:rPr>
          <w:rFonts w:ascii="Book Antiqua" w:eastAsia="宋体" w:hAnsi="Book Antiqua" w:cs="宋体"/>
          <w:b/>
          <w:bCs/>
          <w:kern w:val="0"/>
          <w:sz w:val="24"/>
          <w:szCs w:val="24"/>
        </w:rPr>
        <w:t>Elias-</w:t>
      </w:r>
      <w:proofErr w:type="spellStart"/>
      <w:r w:rsidRPr="001C5C2B">
        <w:rPr>
          <w:rFonts w:ascii="Book Antiqua" w:eastAsia="宋体" w:hAnsi="Book Antiqua" w:cs="宋体"/>
          <w:b/>
          <w:bCs/>
          <w:kern w:val="0"/>
          <w:sz w:val="24"/>
          <w:szCs w:val="24"/>
        </w:rPr>
        <w:t>Miro</w:t>
      </w:r>
      <w:proofErr w:type="spellEnd"/>
      <w:r w:rsidRPr="001C5C2B">
        <w:rPr>
          <w:rFonts w:ascii="Book Antiqua" w:eastAsia="宋体" w:hAnsi="Book Antiqua" w:cs="宋体"/>
          <w:b/>
          <w:bCs/>
          <w:kern w:val="0"/>
          <w:sz w:val="24"/>
          <w:szCs w:val="24"/>
        </w:rPr>
        <w:t xml:space="preserve"> M</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Massip</w:t>
      </w:r>
      <w:proofErr w:type="spellEnd"/>
      <w:r w:rsidRPr="001C5C2B">
        <w:rPr>
          <w:rFonts w:ascii="Book Antiqua" w:eastAsia="宋体" w:hAnsi="Book Antiqua" w:cs="宋体"/>
          <w:kern w:val="0"/>
          <w:sz w:val="24"/>
          <w:szCs w:val="24"/>
        </w:rPr>
        <w:t>-Salcedo M, Jimenez-Castro M, Peralta C.</w:t>
      </w:r>
      <w:proofErr w:type="gramEnd"/>
      <w:r w:rsidRPr="001C5C2B">
        <w:rPr>
          <w:rFonts w:ascii="Book Antiqua" w:eastAsia="宋体" w:hAnsi="Book Antiqua" w:cs="宋体"/>
          <w:kern w:val="0"/>
          <w:sz w:val="24"/>
          <w:szCs w:val="24"/>
        </w:rPr>
        <w:t xml:space="preserve"> Does </w:t>
      </w:r>
      <w:proofErr w:type="spellStart"/>
      <w:r w:rsidRPr="001C5C2B">
        <w:rPr>
          <w:rFonts w:ascii="Book Antiqua" w:eastAsia="宋体" w:hAnsi="Book Antiqua" w:cs="宋体"/>
          <w:kern w:val="0"/>
          <w:sz w:val="24"/>
          <w:szCs w:val="24"/>
        </w:rPr>
        <w:t>adiponectin</w:t>
      </w:r>
      <w:proofErr w:type="spellEnd"/>
      <w:r w:rsidRPr="001C5C2B">
        <w:rPr>
          <w:rFonts w:ascii="Book Antiqua" w:eastAsia="宋体" w:hAnsi="Book Antiqua" w:cs="宋体"/>
          <w:kern w:val="0"/>
          <w:sz w:val="24"/>
          <w:szCs w:val="24"/>
        </w:rPr>
        <w:t xml:space="preserve"> benefit </w:t>
      </w:r>
      <w:proofErr w:type="spellStart"/>
      <w:r w:rsidRPr="001C5C2B">
        <w:rPr>
          <w:rFonts w:ascii="Book Antiqua" w:eastAsia="宋体" w:hAnsi="Book Antiqua" w:cs="宋体"/>
          <w:kern w:val="0"/>
          <w:sz w:val="24"/>
          <w:szCs w:val="24"/>
        </w:rPr>
        <w:t>steatotic</w:t>
      </w:r>
      <w:proofErr w:type="spellEnd"/>
      <w:r w:rsidRPr="001C5C2B">
        <w:rPr>
          <w:rFonts w:ascii="Book Antiqua" w:eastAsia="宋体" w:hAnsi="Book Antiqua" w:cs="宋体"/>
          <w:kern w:val="0"/>
          <w:sz w:val="24"/>
          <w:szCs w:val="24"/>
        </w:rPr>
        <w:t xml:space="preserve"> liver transplantation?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17</w:t>
      </w:r>
      <w:r w:rsidRPr="001C5C2B">
        <w:rPr>
          <w:rFonts w:ascii="Book Antiqua" w:eastAsia="宋体" w:hAnsi="Book Antiqua" w:cs="宋体"/>
          <w:kern w:val="0"/>
          <w:sz w:val="24"/>
          <w:szCs w:val="24"/>
        </w:rPr>
        <w:t>: 993-1004 [PMID:</w:t>
      </w:r>
      <w:r>
        <w:rPr>
          <w:rFonts w:ascii="Book Antiqua" w:eastAsia="宋体" w:hAnsi="Book Antiqua" w:cs="宋体"/>
          <w:kern w:val="0"/>
          <w:sz w:val="24"/>
          <w:szCs w:val="24"/>
        </w:rPr>
        <w:t xml:space="preserve"> 21671349 DOI: 10.1002/lt.22358</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23 </w:t>
      </w:r>
      <w:proofErr w:type="spellStart"/>
      <w:r w:rsidRPr="001C5C2B">
        <w:rPr>
          <w:rFonts w:ascii="Book Antiqua" w:eastAsia="宋体" w:hAnsi="Book Antiqua" w:cs="宋体"/>
          <w:b/>
          <w:bCs/>
          <w:kern w:val="0"/>
          <w:sz w:val="24"/>
          <w:szCs w:val="24"/>
        </w:rPr>
        <w:t>Rabelo</w:t>
      </w:r>
      <w:proofErr w:type="spellEnd"/>
      <w:r w:rsidRPr="001C5C2B">
        <w:rPr>
          <w:rFonts w:ascii="Book Antiqua" w:eastAsia="宋体" w:hAnsi="Book Antiqua" w:cs="宋体"/>
          <w:b/>
          <w:bCs/>
          <w:kern w:val="0"/>
          <w:sz w:val="24"/>
          <w:szCs w:val="24"/>
        </w:rPr>
        <w:t xml:space="preserve"> F</w:t>
      </w:r>
      <w:r w:rsidRPr="001C5C2B">
        <w:rPr>
          <w:rFonts w:ascii="Book Antiqua" w:eastAsia="宋体" w:hAnsi="Book Antiqua" w:cs="宋体"/>
          <w:kern w:val="0"/>
          <w:sz w:val="24"/>
          <w:szCs w:val="24"/>
        </w:rPr>
        <w:t xml:space="preserve">, Oliveira CP, </w:t>
      </w:r>
      <w:proofErr w:type="spellStart"/>
      <w:r w:rsidRPr="001C5C2B">
        <w:rPr>
          <w:rFonts w:ascii="Book Antiqua" w:eastAsia="宋体" w:hAnsi="Book Antiqua" w:cs="宋体"/>
          <w:kern w:val="0"/>
          <w:sz w:val="24"/>
          <w:szCs w:val="24"/>
        </w:rPr>
        <w:t>Faintuch</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Mazo</w:t>
      </w:r>
      <w:proofErr w:type="spellEnd"/>
      <w:r w:rsidRPr="001C5C2B">
        <w:rPr>
          <w:rFonts w:ascii="Book Antiqua" w:eastAsia="宋体" w:hAnsi="Book Antiqua" w:cs="宋体"/>
          <w:kern w:val="0"/>
          <w:sz w:val="24"/>
          <w:szCs w:val="24"/>
        </w:rPr>
        <w:t xml:space="preserve"> DF, Lima VM, Stefano JT, </w:t>
      </w:r>
      <w:proofErr w:type="spellStart"/>
      <w:r w:rsidRPr="001C5C2B">
        <w:rPr>
          <w:rFonts w:ascii="Book Antiqua" w:eastAsia="宋体" w:hAnsi="Book Antiqua" w:cs="宋体"/>
          <w:kern w:val="0"/>
          <w:sz w:val="24"/>
          <w:szCs w:val="24"/>
        </w:rPr>
        <w:t>Barbeiro</w:t>
      </w:r>
      <w:proofErr w:type="spellEnd"/>
      <w:r w:rsidRPr="001C5C2B">
        <w:rPr>
          <w:rFonts w:ascii="Book Antiqua" w:eastAsia="宋体" w:hAnsi="Book Antiqua" w:cs="宋体"/>
          <w:kern w:val="0"/>
          <w:sz w:val="24"/>
          <w:szCs w:val="24"/>
        </w:rPr>
        <w:t xml:space="preserve"> HV, Soriano FG, </w:t>
      </w:r>
      <w:proofErr w:type="spellStart"/>
      <w:r w:rsidRPr="001C5C2B">
        <w:rPr>
          <w:rFonts w:ascii="Book Antiqua" w:eastAsia="宋体" w:hAnsi="Book Antiqua" w:cs="宋体"/>
          <w:kern w:val="0"/>
          <w:sz w:val="24"/>
          <w:szCs w:val="24"/>
        </w:rPr>
        <w:t>Alves</w:t>
      </w:r>
      <w:proofErr w:type="spellEnd"/>
      <w:r w:rsidRPr="001C5C2B">
        <w:rPr>
          <w:rFonts w:ascii="Book Antiqua" w:eastAsia="宋体" w:hAnsi="Book Antiqua" w:cs="宋体"/>
          <w:kern w:val="0"/>
          <w:sz w:val="24"/>
          <w:szCs w:val="24"/>
        </w:rPr>
        <w:t xml:space="preserve"> VA, </w:t>
      </w:r>
      <w:proofErr w:type="spellStart"/>
      <w:r w:rsidRPr="001C5C2B">
        <w:rPr>
          <w:rFonts w:ascii="Book Antiqua" w:eastAsia="宋体" w:hAnsi="Book Antiqua" w:cs="宋体"/>
          <w:kern w:val="0"/>
          <w:sz w:val="24"/>
          <w:szCs w:val="24"/>
        </w:rPr>
        <w:t>Carrilho</w:t>
      </w:r>
      <w:proofErr w:type="spellEnd"/>
      <w:r w:rsidRPr="001C5C2B">
        <w:rPr>
          <w:rFonts w:ascii="Book Antiqua" w:eastAsia="宋体" w:hAnsi="Book Antiqua" w:cs="宋体"/>
          <w:kern w:val="0"/>
          <w:sz w:val="24"/>
          <w:szCs w:val="24"/>
        </w:rPr>
        <w:t xml:space="preserve"> FJ. </w:t>
      </w:r>
      <w:proofErr w:type="gramStart"/>
      <w:r w:rsidRPr="001C5C2B">
        <w:rPr>
          <w:rFonts w:ascii="Book Antiqua" w:eastAsia="宋体" w:hAnsi="Book Antiqua" w:cs="宋体"/>
          <w:kern w:val="0"/>
          <w:sz w:val="24"/>
          <w:szCs w:val="24"/>
        </w:rPr>
        <w:t xml:space="preserve">Pro- and anti-inflammatory cytokines in </w:t>
      </w:r>
      <w:proofErr w:type="spellStart"/>
      <w:r w:rsidRPr="001C5C2B">
        <w:rPr>
          <w:rFonts w:ascii="Book Antiqua" w:eastAsia="宋体" w:hAnsi="Book Antiqua" w:cs="宋体"/>
          <w:kern w:val="0"/>
          <w:sz w:val="24"/>
          <w:szCs w:val="24"/>
        </w:rPr>
        <w:t>steatosis</w:t>
      </w:r>
      <w:proofErr w:type="spellEnd"/>
      <w:r w:rsidRPr="001C5C2B">
        <w:rPr>
          <w:rFonts w:ascii="Book Antiqua" w:eastAsia="宋体" w:hAnsi="Book Antiqua" w:cs="宋体"/>
          <w:kern w:val="0"/>
          <w:sz w:val="24"/>
          <w:szCs w:val="24"/>
        </w:rPr>
        <w:t xml:space="preserve"> and </w:t>
      </w:r>
      <w:proofErr w:type="spellStart"/>
      <w:r w:rsidRPr="001C5C2B">
        <w:rPr>
          <w:rFonts w:ascii="Book Antiqua" w:eastAsia="宋体" w:hAnsi="Book Antiqua" w:cs="宋体"/>
          <w:kern w:val="0"/>
          <w:sz w:val="24"/>
          <w:szCs w:val="24"/>
        </w:rPr>
        <w:t>steatohepatitis</w:t>
      </w:r>
      <w:proofErr w:type="spellEnd"/>
      <w:r w:rsidRPr="001C5C2B">
        <w:rPr>
          <w:rFonts w:ascii="Book Antiqua" w:eastAsia="宋体" w:hAnsi="Book Antiqua" w:cs="宋体"/>
          <w:kern w:val="0"/>
          <w:sz w:val="24"/>
          <w:szCs w:val="24"/>
        </w:rPr>
        <w:t>.</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Obes</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Surg</w:t>
      </w:r>
      <w:proofErr w:type="spellEnd"/>
      <w:r w:rsidRPr="001C5C2B">
        <w:rPr>
          <w:rFonts w:ascii="Book Antiqua" w:eastAsia="宋体" w:hAnsi="Book Antiqua" w:cs="宋体"/>
          <w:kern w:val="0"/>
          <w:sz w:val="24"/>
          <w:szCs w:val="24"/>
        </w:rPr>
        <w:t> 2010; </w:t>
      </w:r>
      <w:r w:rsidRPr="001C5C2B">
        <w:rPr>
          <w:rFonts w:ascii="Book Antiqua" w:eastAsia="宋体" w:hAnsi="Book Antiqua" w:cs="宋体"/>
          <w:b/>
          <w:bCs/>
          <w:kern w:val="0"/>
          <w:sz w:val="24"/>
          <w:szCs w:val="24"/>
        </w:rPr>
        <w:t>20</w:t>
      </w:r>
      <w:r w:rsidRPr="001C5C2B">
        <w:rPr>
          <w:rFonts w:ascii="Book Antiqua" w:eastAsia="宋体" w:hAnsi="Book Antiqua" w:cs="宋体"/>
          <w:kern w:val="0"/>
          <w:sz w:val="24"/>
          <w:szCs w:val="24"/>
        </w:rPr>
        <w:t>: 906-912 [PMID: 20454933]</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24 </w:t>
      </w:r>
      <w:proofErr w:type="spellStart"/>
      <w:r w:rsidRPr="001C5C2B">
        <w:rPr>
          <w:rFonts w:ascii="Book Antiqua" w:eastAsia="宋体" w:hAnsi="Book Antiqua" w:cs="宋体"/>
          <w:b/>
          <w:bCs/>
          <w:kern w:val="0"/>
          <w:sz w:val="24"/>
          <w:szCs w:val="24"/>
        </w:rPr>
        <w:t>Brogren</w:t>
      </w:r>
      <w:proofErr w:type="spellEnd"/>
      <w:r w:rsidRPr="001C5C2B">
        <w:rPr>
          <w:rFonts w:ascii="Book Antiqua" w:eastAsia="宋体" w:hAnsi="Book Antiqua" w:cs="宋体"/>
          <w:b/>
          <w:bCs/>
          <w:kern w:val="0"/>
          <w:sz w:val="24"/>
          <w:szCs w:val="24"/>
        </w:rPr>
        <w:t xml:space="preserve"> H</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Wallmark</w:t>
      </w:r>
      <w:proofErr w:type="spellEnd"/>
      <w:r w:rsidRPr="001C5C2B">
        <w:rPr>
          <w:rFonts w:ascii="Book Antiqua" w:eastAsia="宋体" w:hAnsi="Book Antiqua" w:cs="宋体"/>
          <w:kern w:val="0"/>
          <w:sz w:val="24"/>
          <w:szCs w:val="24"/>
        </w:rPr>
        <w:t xml:space="preserve"> K, </w:t>
      </w:r>
      <w:proofErr w:type="spellStart"/>
      <w:r w:rsidRPr="001C5C2B">
        <w:rPr>
          <w:rFonts w:ascii="Book Antiqua" w:eastAsia="宋体" w:hAnsi="Book Antiqua" w:cs="宋体"/>
          <w:kern w:val="0"/>
          <w:sz w:val="24"/>
          <w:szCs w:val="24"/>
        </w:rPr>
        <w:t>Deinum</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Karlsson</w:t>
      </w:r>
      <w:proofErr w:type="spellEnd"/>
      <w:r w:rsidRPr="001C5C2B">
        <w:rPr>
          <w:rFonts w:ascii="Book Antiqua" w:eastAsia="宋体" w:hAnsi="Book Antiqua" w:cs="宋体"/>
          <w:kern w:val="0"/>
          <w:sz w:val="24"/>
          <w:szCs w:val="24"/>
        </w:rPr>
        <w:t xml:space="preserve"> L, </w:t>
      </w:r>
      <w:proofErr w:type="spellStart"/>
      <w:r w:rsidRPr="001C5C2B">
        <w:rPr>
          <w:rFonts w:ascii="Book Antiqua" w:eastAsia="宋体" w:hAnsi="Book Antiqua" w:cs="宋体"/>
          <w:kern w:val="0"/>
          <w:sz w:val="24"/>
          <w:szCs w:val="24"/>
        </w:rPr>
        <w:t>Jern</w:t>
      </w:r>
      <w:proofErr w:type="spellEnd"/>
      <w:r w:rsidRPr="001C5C2B">
        <w:rPr>
          <w:rFonts w:ascii="Book Antiqua" w:eastAsia="宋体" w:hAnsi="Book Antiqua" w:cs="宋体"/>
          <w:kern w:val="0"/>
          <w:sz w:val="24"/>
          <w:szCs w:val="24"/>
        </w:rPr>
        <w:t xml:space="preserve"> S. Platelets retain high levels of active plasminogen activator inhibitor 1. </w:t>
      </w:r>
      <w:proofErr w:type="spellStart"/>
      <w:r w:rsidRPr="001C5C2B">
        <w:rPr>
          <w:rFonts w:ascii="Book Antiqua" w:eastAsia="宋体" w:hAnsi="Book Antiqua" w:cs="宋体"/>
          <w:i/>
          <w:iCs/>
          <w:kern w:val="0"/>
          <w:sz w:val="24"/>
          <w:szCs w:val="24"/>
        </w:rPr>
        <w:t>PLoS</w:t>
      </w:r>
      <w:proofErr w:type="spellEnd"/>
      <w:r w:rsidRPr="001C5C2B">
        <w:rPr>
          <w:rFonts w:ascii="Book Antiqua" w:eastAsia="宋体" w:hAnsi="Book Antiqua" w:cs="宋体"/>
          <w:i/>
          <w:iCs/>
          <w:kern w:val="0"/>
          <w:sz w:val="24"/>
          <w:szCs w:val="24"/>
        </w:rPr>
        <w:t xml:space="preserve"> One</w:t>
      </w:r>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6</w:t>
      </w:r>
      <w:r w:rsidRPr="001C5C2B">
        <w:rPr>
          <w:rFonts w:ascii="Book Antiqua" w:eastAsia="宋体" w:hAnsi="Book Antiqua" w:cs="宋体"/>
          <w:kern w:val="0"/>
          <w:sz w:val="24"/>
          <w:szCs w:val="24"/>
        </w:rPr>
        <w:t>: e26762 [PMID: 22069469 DO</w:t>
      </w:r>
      <w:r>
        <w:rPr>
          <w:rFonts w:ascii="Book Antiqua" w:eastAsia="宋体" w:hAnsi="Book Antiqua" w:cs="宋体"/>
          <w:kern w:val="0"/>
          <w:sz w:val="24"/>
          <w:szCs w:val="24"/>
        </w:rPr>
        <w:t>I: 10.1371/journal.pone.0026762</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lastRenderedPageBreak/>
        <w:t>25 </w:t>
      </w:r>
      <w:proofErr w:type="spellStart"/>
      <w:r w:rsidRPr="001C5C2B">
        <w:rPr>
          <w:rFonts w:ascii="Book Antiqua" w:eastAsia="宋体" w:hAnsi="Book Antiqua" w:cs="宋体"/>
          <w:b/>
          <w:bCs/>
          <w:kern w:val="0"/>
          <w:sz w:val="24"/>
          <w:szCs w:val="24"/>
        </w:rPr>
        <w:t>Wiest</w:t>
      </w:r>
      <w:proofErr w:type="spellEnd"/>
      <w:r w:rsidRPr="001C5C2B">
        <w:rPr>
          <w:rFonts w:ascii="Book Antiqua" w:eastAsia="宋体" w:hAnsi="Book Antiqua" w:cs="宋体"/>
          <w:b/>
          <w:bCs/>
          <w:kern w:val="0"/>
          <w:sz w:val="24"/>
          <w:szCs w:val="24"/>
        </w:rPr>
        <w:t xml:space="preserve"> R</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Weigert</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Wanninger</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Neumeier</w:t>
      </w:r>
      <w:proofErr w:type="spellEnd"/>
      <w:r w:rsidRPr="001C5C2B">
        <w:rPr>
          <w:rFonts w:ascii="Book Antiqua" w:eastAsia="宋体" w:hAnsi="Book Antiqua" w:cs="宋体"/>
          <w:kern w:val="0"/>
          <w:sz w:val="24"/>
          <w:szCs w:val="24"/>
        </w:rPr>
        <w:t xml:space="preserve"> M, Bauer S, </w:t>
      </w:r>
      <w:proofErr w:type="spellStart"/>
      <w:r w:rsidRPr="001C5C2B">
        <w:rPr>
          <w:rFonts w:ascii="Book Antiqua" w:eastAsia="宋体" w:hAnsi="Book Antiqua" w:cs="宋体"/>
          <w:kern w:val="0"/>
          <w:sz w:val="24"/>
          <w:szCs w:val="24"/>
        </w:rPr>
        <w:t>Schmidhofer</w:t>
      </w:r>
      <w:proofErr w:type="spellEnd"/>
      <w:r w:rsidRPr="001C5C2B">
        <w:rPr>
          <w:rFonts w:ascii="Book Antiqua" w:eastAsia="宋体" w:hAnsi="Book Antiqua" w:cs="宋体"/>
          <w:kern w:val="0"/>
          <w:sz w:val="24"/>
          <w:szCs w:val="24"/>
        </w:rPr>
        <w:t xml:space="preserve"> S, </w:t>
      </w:r>
      <w:proofErr w:type="spellStart"/>
      <w:r w:rsidRPr="001C5C2B">
        <w:rPr>
          <w:rFonts w:ascii="Book Antiqua" w:eastAsia="宋体" w:hAnsi="Book Antiqua" w:cs="宋体"/>
          <w:kern w:val="0"/>
          <w:sz w:val="24"/>
          <w:szCs w:val="24"/>
        </w:rPr>
        <w:t>Farkas</w:t>
      </w:r>
      <w:proofErr w:type="spellEnd"/>
      <w:r w:rsidRPr="001C5C2B">
        <w:rPr>
          <w:rFonts w:ascii="Book Antiqua" w:eastAsia="宋体" w:hAnsi="Book Antiqua" w:cs="宋体"/>
          <w:kern w:val="0"/>
          <w:sz w:val="24"/>
          <w:szCs w:val="24"/>
        </w:rPr>
        <w:t xml:space="preserve"> S, Scherer MN, </w:t>
      </w:r>
      <w:proofErr w:type="spellStart"/>
      <w:r w:rsidRPr="001C5C2B">
        <w:rPr>
          <w:rFonts w:ascii="Book Antiqua" w:eastAsia="宋体" w:hAnsi="Book Antiqua" w:cs="宋体"/>
          <w:kern w:val="0"/>
          <w:sz w:val="24"/>
          <w:szCs w:val="24"/>
        </w:rPr>
        <w:t>Schäffler</w:t>
      </w:r>
      <w:proofErr w:type="spellEnd"/>
      <w:r w:rsidRPr="001C5C2B">
        <w:rPr>
          <w:rFonts w:ascii="Book Antiqua" w:eastAsia="宋体" w:hAnsi="Book Antiqua" w:cs="宋体"/>
          <w:kern w:val="0"/>
          <w:sz w:val="24"/>
          <w:szCs w:val="24"/>
        </w:rPr>
        <w:t xml:space="preserve"> A, </w:t>
      </w:r>
      <w:proofErr w:type="spellStart"/>
      <w:r w:rsidRPr="001C5C2B">
        <w:rPr>
          <w:rFonts w:ascii="Book Antiqua" w:eastAsia="宋体" w:hAnsi="Book Antiqua" w:cs="宋体"/>
          <w:kern w:val="0"/>
          <w:sz w:val="24"/>
          <w:szCs w:val="24"/>
        </w:rPr>
        <w:t>Schölmerich</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Buechler</w:t>
      </w:r>
      <w:proofErr w:type="spellEnd"/>
      <w:r w:rsidRPr="001C5C2B">
        <w:rPr>
          <w:rFonts w:ascii="Book Antiqua" w:eastAsia="宋体" w:hAnsi="Book Antiqua" w:cs="宋体"/>
          <w:kern w:val="0"/>
          <w:sz w:val="24"/>
          <w:szCs w:val="24"/>
        </w:rPr>
        <w:t xml:space="preserve"> C. Impaired hepatic removal of interleukin-6 in patients with liver cirrhosis. </w:t>
      </w:r>
      <w:r w:rsidRPr="001C5C2B">
        <w:rPr>
          <w:rFonts w:ascii="Book Antiqua" w:eastAsia="宋体" w:hAnsi="Book Antiqua" w:cs="宋体"/>
          <w:i/>
          <w:iCs/>
          <w:kern w:val="0"/>
          <w:sz w:val="24"/>
          <w:szCs w:val="24"/>
        </w:rPr>
        <w:t>Cytokine</w:t>
      </w:r>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53</w:t>
      </w:r>
      <w:r w:rsidRPr="001C5C2B">
        <w:rPr>
          <w:rFonts w:ascii="Book Antiqua" w:eastAsia="宋体" w:hAnsi="Book Antiqua" w:cs="宋体"/>
          <w:kern w:val="0"/>
          <w:sz w:val="24"/>
          <w:szCs w:val="24"/>
        </w:rPr>
        <w:t xml:space="preserve">: 178-183 [PMID: 20637651 </w:t>
      </w:r>
      <w:r>
        <w:rPr>
          <w:rFonts w:ascii="Book Antiqua" w:eastAsia="宋体" w:hAnsi="Book Antiqua" w:cs="宋体"/>
          <w:kern w:val="0"/>
          <w:sz w:val="24"/>
          <w:szCs w:val="24"/>
        </w:rPr>
        <w:t>DOI: 10.1016/j.cyto.2010.06.013</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26 </w:t>
      </w:r>
      <w:r w:rsidRPr="001C5C2B">
        <w:rPr>
          <w:rFonts w:ascii="Book Antiqua" w:eastAsia="宋体" w:hAnsi="Book Antiqua" w:cs="宋体"/>
          <w:b/>
          <w:bCs/>
          <w:kern w:val="0"/>
          <w:sz w:val="24"/>
          <w:szCs w:val="24"/>
        </w:rPr>
        <w:t>Oliveira CP</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Kappel</w:t>
      </w:r>
      <w:proofErr w:type="spellEnd"/>
      <w:r w:rsidRPr="001C5C2B">
        <w:rPr>
          <w:rFonts w:ascii="Book Antiqua" w:eastAsia="宋体" w:hAnsi="Book Antiqua" w:cs="宋体"/>
          <w:kern w:val="0"/>
          <w:sz w:val="24"/>
          <w:szCs w:val="24"/>
        </w:rPr>
        <w:t xml:space="preserve"> CR, </w:t>
      </w:r>
      <w:proofErr w:type="spellStart"/>
      <w:r w:rsidRPr="001C5C2B">
        <w:rPr>
          <w:rFonts w:ascii="Book Antiqua" w:eastAsia="宋体" w:hAnsi="Book Antiqua" w:cs="宋体"/>
          <w:kern w:val="0"/>
          <w:sz w:val="24"/>
          <w:szCs w:val="24"/>
        </w:rPr>
        <w:t>Siqueira</w:t>
      </w:r>
      <w:proofErr w:type="spellEnd"/>
      <w:r w:rsidRPr="001C5C2B">
        <w:rPr>
          <w:rFonts w:ascii="Book Antiqua" w:eastAsia="宋体" w:hAnsi="Book Antiqua" w:cs="宋体"/>
          <w:kern w:val="0"/>
          <w:sz w:val="24"/>
          <w:szCs w:val="24"/>
        </w:rPr>
        <w:t xml:space="preserve"> ER, Lima VM, Stefano JT, </w:t>
      </w:r>
      <w:proofErr w:type="spellStart"/>
      <w:r w:rsidRPr="001C5C2B">
        <w:rPr>
          <w:rFonts w:ascii="Book Antiqua" w:eastAsia="宋体" w:hAnsi="Book Antiqua" w:cs="宋体"/>
          <w:kern w:val="0"/>
          <w:sz w:val="24"/>
          <w:szCs w:val="24"/>
        </w:rPr>
        <w:t>Michalczuk</w:t>
      </w:r>
      <w:proofErr w:type="spellEnd"/>
      <w:r w:rsidRPr="001C5C2B">
        <w:rPr>
          <w:rFonts w:ascii="Book Antiqua" w:eastAsia="宋体" w:hAnsi="Book Antiqua" w:cs="宋体"/>
          <w:kern w:val="0"/>
          <w:sz w:val="24"/>
          <w:szCs w:val="24"/>
        </w:rPr>
        <w:t xml:space="preserve"> MT, Marini SS, </w:t>
      </w:r>
      <w:proofErr w:type="spellStart"/>
      <w:r w:rsidRPr="001C5C2B">
        <w:rPr>
          <w:rFonts w:ascii="Book Antiqua" w:eastAsia="宋体" w:hAnsi="Book Antiqua" w:cs="宋体"/>
          <w:kern w:val="0"/>
          <w:sz w:val="24"/>
          <w:szCs w:val="24"/>
        </w:rPr>
        <w:t>Barbeiro</w:t>
      </w:r>
      <w:proofErr w:type="spellEnd"/>
      <w:r w:rsidRPr="001C5C2B">
        <w:rPr>
          <w:rFonts w:ascii="Book Antiqua" w:eastAsia="宋体" w:hAnsi="Book Antiqua" w:cs="宋体"/>
          <w:kern w:val="0"/>
          <w:sz w:val="24"/>
          <w:szCs w:val="24"/>
        </w:rPr>
        <w:t xml:space="preserve"> HV, Soriano FG, </w:t>
      </w:r>
      <w:proofErr w:type="spellStart"/>
      <w:r w:rsidRPr="001C5C2B">
        <w:rPr>
          <w:rFonts w:ascii="Book Antiqua" w:eastAsia="宋体" w:hAnsi="Book Antiqua" w:cs="宋体"/>
          <w:kern w:val="0"/>
          <w:sz w:val="24"/>
          <w:szCs w:val="24"/>
        </w:rPr>
        <w:t>Carrilho</w:t>
      </w:r>
      <w:proofErr w:type="spellEnd"/>
      <w:r w:rsidRPr="001C5C2B">
        <w:rPr>
          <w:rFonts w:ascii="Book Antiqua" w:eastAsia="宋体" w:hAnsi="Book Antiqua" w:cs="宋体"/>
          <w:kern w:val="0"/>
          <w:sz w:val="24"/>
          <w:szCs w:val="24"/>
        </w:rPr>
        <w:t xml:space="preserve"> FJ, Pereira LM, </w:t>
      </w:r>
      <w:proofErr w:type="spellStart"/>
      <w:r w:rsidRPr="001C5C2B">
        <w:rPr>
          <w:rFonts w:ascii="Book Antiqua" w:eastAsia="宋体" w:hAnsi="Book Antiqua" w:cs="宋体"/>
          <w:kern w:val="0"/>
          <w:sz w:val="24"/>
          <w:szCs w:val="24"/>
        </w:rPr>
        <w:t>Alvares</w:t>
      </w:r>
      <w:proofErr w:type="spellEnd"/>
      <w:r w:rsidRPr="001C5C2B">
        <w:rPr>
          <w:rFonts w:ascii="Book Antiqua" w:eastAsia="宋体" w:hAnsi="Book Antiqua" w:cs="宋体"/>
          <w:kern w:val="0"/>
          <w:sz w:val="24"/>
          <w:szCs w:val="24"/>
        </w:rPr>
        <w:t>-da-Silva MR. Effects of hepatitis C virus on cardiovascular risk in infected patients: a comparative study. </w:t>
      </w:r>
      <w:proofErr w:type="spellStart"/>
      <w:r w:rsidRPr="001C5C2B">
        <w:rPr>
          <w:rFonts w:ascii="Book Antiqua" w:eastAsia="宋体" w:hAnsi="Book Antiqua" w:cs="宋体"/>
          <w:i/>
          <w:iCs/>
          <w:kern w:val="0"/>
          <w:sz w:val="24"/>
          <w:szCs w:val="24"/>
        </w:rPr>
        <w:t>Int</w:t>
      </w:r>
      <w:proofErr w:type="spellEnd"/>
      <w:r w:rsidRPr="001C5C2B">
        <w:rPr>
          <w:rFonts w:ascii="Book Antiqua" w:eastAsia="宋体" w:hAnsi="Book Antiqua" w:cs="宋体"/>
          <w:i/>
          <w:iCs/>
          <w:kern w:val="0"/>
          <w:sz w:val="24"/>
          <w:szCs w:val="24"/>
        </w:rPr>
        <w:t xml:space="preserve"> J </w:t>
      </w:r>
      <w:proofErr w:type="spellStart"/>
      <w:r w:rsidRPr="001C5C2B">
        <w:rPr>
          <w:rFonts w:ascii="Book Antiqua" w:eastAsia="宋体" w:hAnsi="Book Antiqua" w:cs="宋体"/>
          <w:i/>
          <w:iCs/>
          <w:kern w:val="0"/>
          <w:sz w:val="24"/>
          <w:szCs w:val="24"/>
        </w:rPr>
        <w:t>Cardiol</w:t>
      </w:r>
      <w:proofErr w:type="spellEnd"/>
      <w:r w:rsidRPr="001C5C2B">
        <w:rPr>
          <w:rFonts w:ascii="Book Antiqua" w:eastAsia="宋体" w:hAnsi="Book Antiqua" w:cs="宋体"/>
          <w:kern w:val="0"/>
          <w:sz w:val="24"/>
          <w:szCs w:val="24"/>
        </w:rPr>
        <w:t> 2013; </w:t>
      </w:r>
      <w:r w:rsidRPr="001C5C2B">
        <w:rPr>
          <w:rFonts w:ascii="Book Antiqua" w:eastAsia="宋体" w:hAnsi="Book Antiqua" w:cs="宋体"/>
          <w:b/>
          <w:bCs/>
          <w:kern w:val="0"/>
          <w:sz w:val="24"/>
          <w:szCs w:val="24"/>
        </w:rPr>
        <w:t>164</w:t>
      </w:r>
      <w:r w:rsidRPr="001C5C2B">
        <w:rPr>
          <w:rFonts w:ascii="Book Antiqua" w:eastAsia="宋体" w:hAnsi="Book Antiqua" w:cs="宋体"/>
          <w:kern w:val="0"/>
          <w:sz w:val="24"/>
          <w:szCs w:val="24"/>
        </w:rPr>
        <w:t>: 221-226 [PMID: 21784542 DOI: 10.10</w:t>
      </w:r>
      <w:r>
        <w:rPr>
          <w:rFonts w:ascii="Book Antiqua" w:eastAsia="宋体" w:hAnsi="Book Antiqua" w:cs="宋体"/>
          <w:kern w:val="0"/>
          <w:sz w:val="24"/>
          <w:szCs w:val="24"/>
        </w:rPr>
        <w:t>16/j.ijcard.2011.07.016</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27 </w:t>
      </w:r>
      <w:proofErr w:type="spellStart"/>
      <w:r w:rsidRPr="001C5C2B">
        <w:rPr>
          <w:rFonts w:ascii="Book Antiqua" w:eastAsia="宋体" w:hAnsi="Book Antiqua" w:cs="宋体"/>
          <w:b/>
          <w:bCs/>
          <w:kern w:val="0"/>
          <w:sz w:val="24"/>
          <w:szCs w:val="24"/>
        </w:rPr>
        <w:t>Buechler</w:t>
      </w:r>
      <w:proofErr w:type="spellEnd"/>
      <w:r w:rsidRPr="001C5C2B">
        <w:rPr>
          <w:rFonts w:ascii="Book Antiqua" w:eastAsia="宋体" w:hAnsi="Book Antiqua" w:cs="宋体"/>
          <w:b/>
          <w:bCs/>
          <w:kern w:val="0"/>
          <w:sz w:val="24"/>
          <w:szCs w:val="24"/>
        </w:rPr>
        <w:t xml:space="preserve"> C</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Wanninger</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Neumeier</w:t>
      </w:r>
      <w:proofErr w:type="spellEnd"/>
      <w:r w:rsidRPr="001C5C2B">
        <w:rPr>
          <w:rFonts w:ascii="Book Antiqua" w:eastAsia="宋体" w:hAnsi="Book Antiqua" w:cs="宋体"/>
          <w:kern w:val="0"/>
          <w:sz w:val="24"/>
          <w:szCs w:val="24"/>
        </w:rPr>
        <w:t xml:space="preserve"> M. </w:t>
      </w:r>
      <w:proofErr w:type="spellStart"/>
      <w:r w:rsidRPr="001C5C2B">
        <w:rPr>
          <w:rFonts w:ascii="Book Antiqua" w:eastAsia="宋体" w:hAnsi="Book Antiqua" w:cs="宋体"/>
          <w:kern w:val="0"/>
          <w:sz w:val="24"/>
          <w:szCs w:val="24"/>
        </w:rPr>
        <w:t>Adiponectin</w:t>
      </w:r>
      <w:proofErr w:type="spellEnd"/>
      <w:r w:rsidRPr="001C5C2B">
        <w:rPr>
          <w:rFonts w:ascii="Book Antiqua" w:eastAsia="宋体" w:hAnsi="Book Antiqua" w:cs="宋体"/>
          <w:kern w:val="0"/>
          <w:sz w:val="24"/>
          <w:szCs w:val="24"/>
        </w:rPr>
        <w:t xml:space="preserve">, a key </w:t>
      </w:r>
      <w:proofErr w:type="spellStart"/>
      <w:r w:rsidRPr="001C5C2B">
        <w:rPr>
          <w:rFonts w:ascii="Book Antiqua" w:eastAsia="宋体" w:hAnsi="Book Antiqua" w:cs="宋体"/>
          <w:kern w:val="0"/>
          <w:sz w:val="24"/>
          <w:szCs w:val="24"/>
        </w:rPr>
        <w:t>adipokine</w:t>
      </w:r>
      <w:proofErr w:type="spellEnd"/>
      <w:r w:rsidRPr="001C5C2B">
        <w:rPr>
          <w:rFonts w:ascii="Book Antiqua" w:eastAsia="宋体" w:hAnsi="Book Antiqua" w:cs="宋体"/>
          <w:kern w:val="0"/>
          <w:sz w:val="24"/>
          <w:szCs w:val="24"/>
        </w:rPr>
        <w:t xml:space="preserve"> in obesity related liver diseases. </w:t>
      </w:r>
      <w:r w:rsidRPr="001C5C2B">
        <w:rPr>
          <w:rFonts w:ascii="Book Antiqua" w:eastAsia="宋体" w:hAnsi="Book Antiqua" w:cs="宋体"/>
          <w:i/>
          <w:iCs/>
          <w:kern w:val="0"/>
          <w:sz w:val="24"/>
          <w:szCs w:val="24"/>
        </w:rPr>
        <w:t xml:space="preserve">World J </w:t>
      </w:r>
      <w:proofErr w:type="spellStart"/>
      <w:r w:rsidRPr="001C5C2B">
        <w:rPr>
          <w:rFonts w:ascii="Book Antiqua" w:eastAsia="宋体" w:hAnsi="Book Antiqua" w:cs="宋体"/>
          <w:i/>
          <w:iCs/>
          <w:kern w:val="0"/>
          <w:sz w:val="24"/>
          <w:szCs w:val="24"/>
        </w:rPr>
        <w:t>Gastroenterol</w:t>
      </w:r>
      <w:proofErr w:type="spellEnd"/>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17</w:t>
      </w:r>
      <w:r w:rsidRPr="001C5C2B">
        <w:rPr>
          <w:rFonts w:ascii="Book Antiqua" w:eastAsia="宋体" w:hAnsi="Book Antiqua" w:cs="宋体"/>
          <w:kern w:val="0"/>
          <w:sz w:val="24"/>
          <w:szCs w:val="24"/>
        </w:rPr>
        <w:t>: 2801-2811 [PMID: 2173478</w:t>
      </w:r>
      <w:r>
        <w:rPr>
          <w:rFonts w:ascii="Book Antiqua" w:eastAsia="宋体" w:hAnsi="Book Antiqua" w:cs="宋体"/>
          <w:kern w:val="0"/>
          <w:sz w:val="24"/>
          <w:szCs w:val="24"/>
        </w:rPr>
        <w:t>7 DOI: 10.3748/wjg.v17.i23.2801</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28 </w:t>
      </w:r>
      <w:r w:rsidRPr="001C5C2B">
        <w:rPr>
          <w:rFonts w:ascii="Book Antiqua" w:eastAsia="宋体" w:hAnsi="Book Antiqua" w:cs="宋体"/>
          <w:b/>
          <w:bCs/>
          <w:kern w:val="0"/>
          <w:sz w:val="24"/>
          <w:szCs w:val="24"/>
        </w:rPr>
        <w:t>Oliveira CP</w:t>
      </w:r>
      <w:r w:rsidRPr="001C5C2B">
        <w:rPr>
          <w:rFonts w:ascii="Book Antiqua" w:eastAsia="宋体" w:hAnsi="Book Antiqua" w:cs="宋体"/>
          <w:kern w:val="0"/>
          <w:sz w:val="24"/>
          <w:szCs w:val="24"/>
        </w:rPr>
        <w:t xml:space="preserve">, Stefano JT, </w:t>
      </w:r>
      <w:proofErr w:type="spellStart"/>
      <w:proofErr w:type="gramStart"/>
      <w:r w:rsidRPr="001C5C2B">
        <w:rPr>
          <w:rFonts w:ascii="Book Antiqua" w:eastAsia="宋体" w:hAnsi="Book Antiqua" w:cs="宋体"/>
          <w:kern w:val="0"/>
          <w:sz w:val="24"/>
          <w:szCs w:val="24"/>
        </w:rPr>
        <w:t>Alvares</w:t>
      </w:r>
      <w:proofErr w:type="spellEnd"/>
      <w:proofErr w:type="gramEnd"/>
      <w:r w:rsidRPr="001C5C2B">
        <w:rPr>
          <w:rFonts w:ascii="Book Antiqua" w:eastAsia="宋体" w:hAnsi="Book Antiqua" w:cs="宋体"/>
          <w:kern w:val="0"/>
          <w:sz w:val="24"/>
          <w:szCs w:val="24"/>
        </w:rPr>
        <w:t>-da-Silva MR. Cardiovascular risk, atherosclerosis and metabolic syndrome after liver transplantation: a mini review. </w:t>
      </w:r>
      <w:r w:rsidRPr="001C5C2B">
        <w:rPr>
          <w:rFonts w:ascii="Book Antiqua" w:eastAsia="宋体" w:hAnsi="Book Antiqua" w:cs="宋体"/>
          <w:i/>
          <w:iCs/>
          <w:kern w:val="0"/>
          <w:sz w:val="24"/>
          <w:szCs w:val="24"/>
        </w:rPr>
        <w:t xml:space="preserve">Expert Rev </w:t>
      </w:r>
      <w:proofErr w:type="spellStart"/>
      <w:r w:rsidRPr="001C5C2B">
        <w:rPr>
          <w:rFonts w:ascii="Book Antiqua" w:eastAsia="宋体" w:hAnsi="Book Antiqua" w:cs="宋体"/>
          <w:i/>
          <w:iCs/>
          <w:kern w:val="0"/>
          <w:sz w:val="24"/>
          <w:szCs w:val="24"/>
        </w:rPr>
        <w:t>Gastroenterol</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Hepatol</w:t>
      </w:r>
      <w:proofErr w:type="spellEnd"/>
      <w:r w:rsidRPr="001C5C2B">
        <w:rPr>
          <w:rFonts w:ascii="Book Antiqua" w:eastAsia="宋体" w:hAnsi="Book Antiqua" w:cs="宋体"/>
          <w:kern w:val="0"/>
          <w:sz w:val="24"/>
          <w:szCs w:val="24"/>
        </w:rPr>
        <w:t> 2013; </w:t>
      </w:r>
      <w:r w:rsidRPr="001C5C2B">
        <w:rPr>
          <w:rFonts w:ascii="Book Antiqua" w:eastAsia="宋体" w:hAnsi="Book Antiqua" w:cs="宋体"/>
          <w:b/>
          <w:bCs/>
          <w:kern w:val="0"/>
          <w:sz w:val="24"/>
          <w:szCs w:val="24"/>
        </w:rPr>
        <w:t>7</w:t>
      </w:r>
      <w:r w:rsidRPr="001C5C2B">
        <w:rPr>
          <w:rFonts w:ascii="Book Antiqua" w:eastAsia="宋体" w:hAnsi="Book Antiqua" w:cs="宋体"/>
          <w:kern w:val="0"/>
          <w:sz w:val="24"/>
          <w:szCs w:val="24"/>
        </w:rPr>
        <w:t xml:space="preserve">: 361-364 [PMID: </w:t>
      </w:r>
      <w:r>
        <w:rPr>
          <w:rFonts w:ascii="Book Antiqua" w:eastAsia="宋体" w:hAnsi="Book Antiqua" w:cs="宋体"/>
          <w:kern w:val="0"/>
          <w:sz w:val="24"/>
          <w:szCs w:val="24"/>
        </w:rPr>
        <w:t>23639094 DOI: 10.1586/egh.13.19</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29 </w:t>
      </w:r>
      <w:r w:rsidRPr="001C5C2B">
        <w:rPr>
          <w:rFonts w:ascii="Book Antiqua" w:eastAsia="宋体" w:hAnsi="Book Antiqua" w:cs="宋体"/>
          <w:b/>
          <w:bCs/>
          <w:kern w:val="0"/>
          <w:sz w:val="24"/>
          <w:szCs w:val="24"/>
        </w:rPr>
        <w:t>Estep JM</w:t>
      </w:r>
      <w:r w:rsidRPr="001C5C2B">
        <w:rPr>
          <w:rFonts w:ascii="Book Antiqua" w:eastAsia="宋体" w:hAnsi="Book Antiqua" w:cs="宋体"/>
          <w:kern w:val="0"/>
          <w:sz w:val="24"/>
          <w:szCs w:val="24"/>
        </w:rPr>
        <w:t xml:space="preserve">, </w:t>
      </w:r>
      <w:proofErr w:type="spellStart"/>
      <w:r w:rsidRPr="001C5C2B">
        <w:rPr>
          <w:rFonts w:ascii="Book Antiqua" w:eastAsia="宋体" w:hAnsi="Book Antiqua" w:cs="宋体"/>
          <w:kern w:val="0"/>
          <w:sz w:val="24"/>
          <w:szCs w:val="24"/>
        </w:rPr>
        <w:t>Baranova</w:t>
      </w:r>
      <w:proofErr w:type="spellEnd"/>
      <w:r w:rsidRPr="001C5C2B">
        <w:rPr>
          <w:rFonts w:ascii="Book Antiqua" w:eastAsia="宋体" w:hAnsi="Book Antiqua" w:cs="宋体"/>
          <w:kern w:val="0"/>
          <w:sz w:val="24"/>
          <w:szCs w:val="24"/>
        </w:rPr>
        <w:t xml:space="preserve"> A, Hossain N, </w:t>
      </w:r>
      <w:proofErr w:type="spellStart"/>
      <w:r w:rsidRPr="001C5C2B">
        <w:rPr>
          <w:rFonts w:ascii="Book Antiqua" w:eastAsia="宋体" w:hAnsi="Book Antiqua" w:cs="宋体"/>
          <w:kern w:val="0"/>
          <w:sz w:val="24"/>
          <w:szCs w:val="24"/>
        </w:rPr>
        <w:t>Elariny</w:t>
      </w:r>
      <w:proofErr w:type="spellEnd"/>
      <w:r w:rsidRPr="001C5C2B">
        <w:rPr>
          <w:rFonts w:ascii="Book Antiqua" w:eastAsia="宋体" w:hAnsi="Book Antiqua" w:cs="宋体"/>
          <w:kern w:val="0"/>
          <w:sz w:val="24"/>
          <w:szCs w:val="24"/>
        </w:rPr>
        <w:t xml:space="preserve"> H, </w:t>
      </w:r>
      <w:proofErr w:type="spellStart"/>
      <w:r w:rsidRPr="001C5C2B">
        <w:rPr>
          <w:rFonts w:ascii="Book Antiqua" w:eastAsia="宋体" w:hAnsi="Book Antiqua" w:cs="宋体"/>
          <w:kern w:val="0"/>
          <w:sz w:val="24"/>
          <w:szCs w:val="24"/>
        </w:rPr>
        <w:t>Ankrah</w:t>
      </w:r>
      <w:proofErr w:type="spellEnd"/>
      <w:r w:rsidRPr="001C5C2B">
        <w:rPr>
          <w:rFonts w:ascii="Book Antiqua" w:eastAsia="宋体" w:hAnsi="Book Antiqua" w:cs="宋体"/>
          <w:kern w:val="0"/>
          <w:sz w:val="24"/>
          <w:szCs w:val="24"/>
        </w:rPr>
        <w:t xml:space="preserve"> K, </w:t>
      </w:r>
      <w:proofErr w:type="spellStart"/>
      <w:r w:rsidRPr="001C5C2B">
        <w:rPr>
          <w:rFonts w:ascii="Book Antiqua" w:eastAsia="宋体" w:hAnsi="Book Antiqua" w:cs="宋体"/>
          <w:kern w:val="0"/>
          <w:sz w:val="24"/>
          <w:szCs w:val="24"/>
        </w:rPr>
        <w:t>Afendy</w:t>
      </w:r>
      <w:proofErr w:type="spellEnd"/>
      <w:r w:rsidRPr="001C5C2B">
        <w:rPr>
          <w:rFonts w:ascii="Book Antiqua" w:eastAsia="宋体" w:hAnsi="Book Antiqua" w:cs="宋体"/>
          <w:kern w:val="0"/>
          <w:sz w:val="24"/>
          <w:szCs w:val="24"/>
        </w:rPr>
        <w:t xml:space="preserve"> A, </w:t>
      </w:r>
      <w:proofErr w:type="spellStart"/>
      <w:r w:rsidRPr="001C5C2B">
        <w:rPr>
          <w:rFonts w:ascii="Book Antiqua" w:eastAsia="宋体" w:hAnsi="Book Antiqua" w:cs="宋体"/>
          <w:kern w:val="0"/>
          <w:sz w:val="24"/>
          <w:szCs w:val="24"/>
        </w:rPr>
        <w:t>Chandhoke</w:t>
      </w:r>
      <w:proofErr w:type="spellEnd"/>
      <w:r w:rsidRPr="001C5C2B">
        <w:rPr>
          <w:rFonts w:ascii="Book Antiqua" w:eastAsia="宋体" w:hAnsi="Book Antiqua" w:cs="宋体"/>
          <w:kern w:val="0"/>
          <w:sz w:val="24"/>
          <w:szCs w:val="24"/>
        </w:rPr>
        <w:t xml:space="preserve"> V, </w:t>
      </w:r>
      <w:proofErr w:type="spellStart"/>
      <w:r w:rsidRPr="001C5C2B">
        <w:rPr>
          <w:rFonts w:ascii="Book Antiqua" w:eastAsia="宋体" w:hAnsi="Book Antiqua" w:cs="宋体"/>
          <w:kern w:val="0"/>
          <w:sz w:val="24"/>
          <w:szCs w:val="24"/>
        </w:rPr>
        <w:t>Younossi</w:t>
      </w:r>
      <w:proofErr w:type="spellEnd"/>
      <w:r w:rsidRPr="001C5C2B">
        <w:rPr>
          <w:rFonts w:ascii="Book Antiqua" w:eastAsia="宋体" w:hAnsi="Book Antiqua" w:cs="宋体"/>
          <w:kern w:val="0"/>
          <w:sz w:val="24"/>
          <w:szCs w:val="24"/>
        </w:rPr>
        <w:t xml:space="preserve"> ZM. </w:t>
      </w:r>
      <w:proofErr w:type="gramStart"/>
      <w:r w:rsidRPr="001C5C2B">
        <w:rPr>
          <w:rFonts w:ascii="Book Antiqua" w:eastAsia="宋体" w:hAnsi="Book Antiqua" w:cs="宋体"/>
          <w:kern w:val="0"/>
          <w:sz w:val="24"/>
          <w:szCs w:val="24"/>
        </w:rPr>
        <w:t xml:space="preserve">Expression of cytokine signaling genes in morbidly obese patients with non-alcoholic </w:t>
      </w:r>
      <w:proofErr w:type="spellStart"/>
      <w:r w:rsidRPr="001C5C2B">
        <w:rPr>
          <w:rFonts w:ascii="Book Antiqua" w:eastAsia="宋体" w:hAnsi="Book Antiqua" w:cs="宋体"/>
          <w:kern w:val="0"/>
          <w:sz w:val="24"/>
          <w:szCs w:val="24"/>
        </w:rPr>
        <w:t>steatohepatitis</w:t>
      </w:r>
      <w:proofErr w:type="spellEnd"/>
      <w:r w:rsidRPr="001C5C2B">
        <w:rPr>
          <w:rFonts w:ascii="Book Antiqua" w:eastAsia="宋体" w:hAnsi="Book Antiqua" w:cs="宋体"/>
          <w:kern w:val="0"/>
          <w:sz w:val="24"/>
          <w:szCs w:val="24"/>
        </w:rPr>
        <w:t xml:space="preserve"> and hepatic fibrosis.</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Obes</w:t>
      </w:r>
      <w:proofErr w:type="spellEnd"/>
      <w:r w:rsidRPr="001C5C2B">
        <w:rPr>
          <w:rFonts w:ascii="Book Antiqua" w:eastAsia="宋体" w:hAnsi="Book Antiqua" w:cs="宋体"/>
          <w:i/>
          <w:iCs/>
          <w:kern w:val="0"/>
          <w:sz w:val="24"/>
          <w:szCs w:val="24"/>
        </w:rPr>
        <w:t xml:space="preserve"> </w:t>
      </w:r>
      <w:proofErr w:type="spellStart"/>
      <w:r w:rsidRPr="001C5C2B">
        <w:rPr>
          <w:rFonts w:ascii="Book Antiqua" w:eastAsia="宋体" w:hAnsi="Book Antiqua" w:cs="宋体"/>
          <w:i/>
          <w:iCs/>
          <w:kern w:val="0"/>
          <w:sz w:val="24"/>
          <w:szCs w:val="24"/>
        </w:rPr>
        <w:t>Surg</w:t>
      </w:r>
      <w:proofErr w:type="spellEnd"/>
      <w:r w:rsidRPr="001C5C2B">
        <w:rPr>
          <w:rFonts w:ascii="Book Antiqua" w:eastAsia="宋体" w:hAnsi="Book Antiqua" w:cs="宋体"/>
          <w:kern w:val="0"/>
          <w:sz w:val="24"/>
          <w:szCs w:val="24"/>
        </w:rPr>
        <w:t> 2009; </w:t>
      </w:r>
      <w:r w:rsidRPr="001C5C2B">
        <w:rPr>
          <w:rFonts w:ascii="Book Antiqua" w:eastAsia="宋体" w:hAnsi="Book Antiqua" w:cs="宋体"/>
          <w:b/>
          <w:bCs/>
          <w:kern w:val="0"/>
          <w:sz w:val="24"/>
          <w:szCs w:val="24"/>
        </w:rPr>
        <w:t>19</w:t>
      </w:r>
      <w:r w:rsidRPr="001C5C2B">
        <w:rPr>
          <w:rFonts w:ascii="Book Antiqua" w:eastAsia="宋体" w:hAnsi="Book Antiqua" w:cs="宋体"/>
          <w:kern w:val="0"/>
          <w:sz w:val="24"/>
          <w:szCs w:val="24"/>
        </w:rPr>
        <w:t>: 617-624 [PMID: 19280268</w:t>
      </w:r>
      <w:r>
        <w:rPr>
          <w:rFonts w:ascii="Book Antiqua" w:eastAsia="宋体" w:hAnsi="Book Antiqua" w:cs="宋体"/>
          <w:kern w:val="0"/>
          <w:sz w:val="24"/>
          <w:szCs w:val="24"/>
        </w:rPr>
        <w:t xml:space="preserve"> DOI: 10.1007/s11695-009-9814-x</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30 </w:t>
      </w:r>
      <w:proofErr w:type="spellStart"/>
      <w:r w:rsidRPr="001C5C2B">
        <w:rPr>
          <w:rFonts w:ascii="Book Antiqua" w:eastAsia="宋体" w:hAnsi="Book Antiqua" w:cs="宋体"/>
          <w:b/>
          <w:bCs/>
          <w:kern w:val="0"/>
          <w:sz w:val="24"/>
          <w:szCs w:val="24"/>
        </w:rPr>
        <w:t>Laish</w:t>
      </w:r>
      <w:proofErr w:type="spellEnd"/>
      <w:r w:rsidRPr="001C5C2B">
        <w:rPr>
          <w:rFonts w:ascii="Book Antiqua" w:eastAsia="宋体" w:hAnsi="Book Antiqua" w:cs="宋体"/>
          <w:b/>
          <w:bCs/>
          <w:kern w:val="0"/>
          <w:sz w:val="24"/>
          <w:szCs w:val="24"/>
        </w:rPr>
        <w:t xml:space="preserve"> I</w:t>
      </w:r>
      <w:r w:rsidRPr="001C5C2B">
        <w:rPr>
          <w:rFonts w:ascii="Book Antiqua" w:eastAsia="宋体" w:hAnsi="Book Antiqua" w:cs="宋体"/>
          <w:kern w:val="0"/>
          <w:sz w:val="24"/>
          <w:szCs w:val="24"/>
        </w:rPr>
        <w:t xml:space="preserve">, Braun M, </w:t>
      </w:r>
      <w:proofErr w:type="spellStart"/>
      <w:r w:rsidRPr="001C5C2B">
        <w:rPr>
          <w:rFonts w:ascii="Book Antiqua" w:eastAsia="宋体" w:hAnsi="Book Antiqua" w:cs="宋体"/>
          <w:kern w:val="0"/>
          <w:sz w:val="24"/>
          <w:szCs w:val="24"/>
        </w:rPr>
        <w:t>Mor</w:t>
      </w:r>
      <w:proofErr w:type="spellEnd"/>
      <w:r w:rsidRPr="001C5C2B">
        <w:rPr>
          <w:rFonts w:ascii="Book Antiqua" w:eastAsia="宋体" w:hAnsi="Book Antiqua" w:cs="宋体"/>
          <w:kern w:val="0"/>
          <w:sz w:val="24"/>
          <w:szCs w:val="24"/>
        </w:rPr>
        <w:t xml:space="preserve"> E, </w:t>
      </w:r>
      <w:proofErr w:type="spellStart"/>
      <w:r w:rsidRPr="001C5C2B">
        <w:rPr>
          <w:rFonts w:ascii="Book Antiqua" w:eastAsia="宋体" w:hAnsi="Book Antiqua" w:cs="宋体"/>
          <w:kern w:val="0"/>
          <w:sz w:val="24"/>
          <w:szCs w:val="24"/>
        </w:rPr>
        <w:t>Sulkes</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Harif</w:t>
      </w:r>
      <w:proofErr w:type="spellEnd"/>
      <w:r w:rsidRPr="001C5C2B">
        <w:rPr>
          <w:rFonts w:ascii="Book Antiqua" w:eastAsia="宋体" w:hAnsi="Book Antiqua" w:cs="宋体"/>
          <w:kern w:val="0"/>
          <w:sz w:val="24"/>
          <w:szCs w:val="24"/>
        </w:rPr>
        <w:t xml:space="preserve"> Y, Ben Ari Z. Metabolic syndrome in liver transplant recipients: prevalence, risk factors, and association with cardiovascular events. </w:t>
      </w:r>
      <w:r w:rsidRPr="001C5C2B">
        <w:rPr>
          <w:rFonts w:ascii="Book Antiqua" w:eastAsia="宋体" w:hAnsi="Book Antiqua" w:cs="宋体"/>
          <w:i/>
          <w:iCs/>
          <w:kern w:val="0"/>
          <w:sz w:val="24"/>
          <w:szCs w:val="24"/>
        </w:rPr>
        <w:t xml:space="preserve">Liver </w:t>
      </w:r>
      <w:proofErr w:type="spellStart"/>
      <w:r w:rsidRPr="001C5C2B">
        <w:rPr>
          <w:rFonts w:ascii="Book Antiqua" w:eastAsia="宋体" w:hAnsi="Book Antiqua" w:cs="宋体"/>
          <w:i/>
          <w:iCs/>
          <w:kern w:val="0"/>
          <w:sz w:val="24"/>
          <w:szCs w:val="24"/>
        </w:rPr>
        <w:t>Transpl</w:t>
      </w:r>
      <w:proofErr w:type="spellEnd"/>
      <w:r w:rsidRPr="001C5C2B">
        <w:rPr>
          <w:rFonts w:ascii="Book Antiqua" w:eastAsia="宋体" w:hAnsi="Book Antiqua" w:cs="宋体"/>
          <w:kern w:val="0"/>
          <w:sz w:val="24"/>
          <w:szCs w:val="24"/>
        </w:rPr>
        <w:t> 2011; </w:t>
      </w:r>
      <w:r w:rsidRPr="001C5C2B">
        <w:rPr>
          <w:rFonts w:ascii="Book Antiqua" w:eastAsia="宋体" w:hAnsi="Book Antiqua" w:cs="宋体"/>
          <w:b/>
          <w:bCs/>
          <w:kern w:val="0"/>
          <w:sz w:val="24"/>
          <w:szCs w:val="24"/>
        </w:rPr>
        <w:t>17</w:t>
      </w:r>
      <w:r w:rsidRPr="001C5C2B">
        <w:rPr>
          <w:rFonts w:ascii="Book Antiqua" w:eastAsia="宋体" w:hAnsi="Book Antiqua" w:cs="宋体"/>
          <w:kern w:val="0"/>
          <w:sz w:val="24"/>
          <w:szCs w:val="24"/>
        </w:rPr>
        <w:t>: 15-22 [PMID:</w:t>
      </w:r>
      <w:r>
        <w:rPr>
          <w:rFonts w:ascii="Book Antiqua" w:eastAsia="宋体" w:hAnsi="Book Antiqua" w:cs="宋体"/>
          <w:kern w:val="0"/>
          <w:sz w:val="24"/>
          <w:szCs w:val="24"/>
        </w:rPr>
        <w:t xml:space="preserve"> 21254340 DOI: 10.1002/lt.22198</w:t>
      </w:r>
      <w:r w:rsidRPr="001C5C2B">
        <w:rPr>
          <w:rFonts w:ascii="Book Antiqua" w:eastAsia="宋体" w:hAnsi="Book Antiqua" w:cs="宋体"/>
          <w:kern w:val="0"/>
          <w:sz w:val="24"/>
          <w:szCs w:val="24"/>
        </w:rPr>
        <w:t>]</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t>31 </w:t>
      </w:r>
      <w:r w:rsidRPr="001C5C2B">
        <w:rPr>
          <w:rFonts w:ascii="Book Antiqua" w:eastAsia="宋体" w:hAnsi="Book Antiqua" w:cs="宋体"/>
          <w:b/>
          <w:bCs/>
          <w:kern w:val="0"/>
          <w:sz w:val="24"/>
          <w:szCs w:val="24"/>
        </w:rPr>
        <w:t>Dec GW</w:t>
      </w:r>
      <w:r w:rsidRPr="001C5C2B">
        <w:rPr>
          <w:rFonts w:ascii="Book Antiqua" w:eastAsia="宋体" w:hAnsi="Book Antiqua" w:cs="宋体"/>
          <w:kern w:val="0"/>
          <w:sz w:val="24"/>
          <w:szCs w:val="24"/>
        </w:rPr>
        <w:t xml:space="preserve">, Kondo N, Farrell ML, </w:t>
      </w:r>
      <w:proofErr w:type="spellStart"/>
      <w:r w:rsidRPr="001C5C2B">
        <w:rPr>
          <w:rFonts w:ascii="Book Antiqua" w:eastAsia="宋体" w:hAnsi="Book Antiqua" w:cs="宋体"/>
          <w:kern w:val="0"/>
          <w:sz w:val="24"/>
          <w:szCs w:val="24"/>
        </w:rPr>
        <w:t>Dienstag</w:t>
      </w:r>
      <w:proofErr w:type="spellEnd"/>
      <w:r w:rsidRPr="001C5C2B">
        <w:rPr>
          <w:rFonts w:ascii="Book Antiqua" w:eastAsia="宋体" w:hAnsi="Book Antiqua" w:cs="宋体"/>
          <w:kern w:val="0"/>
          <w:sz w:val="24"/>
          <w:szCs w:val="24"/>
        </w:rPr>
        <w:t xml:space="preserve"> J, </w:t>
      </w:r>
      <w:proofErr w:type="spellStart"/>
      <w:r w:rsidRPr="001C5C2B">
        <w:rPr>
          <w:rFonts w:ascii="Book Antiqua" w:eastAsia="宋体" w:hAnsi="Book Antiqua" w:cs="宋体"/>
          <w:kern w:val="0"/>
          <w:sz w:val="24"/>
          <w:szCs w:val="24"/>
        </w:rPr>
        <w:t>Cosimi</w:t>
      </w:r>
      <w:proofErr w:type="spellEnd"/>
      <w:r w:rsidRPr="001C5C2B">
        <w:rPr>
          <w:rFonts w:ascii="Book Antiqua" w:eastAsia="宋体" w:hAnsi="Book Antiqua" w:cs="宋体"/>
          <w:kern w:val="0"/>
          <w:sz w:val="24"/>
          <w:szCs w:val="24"/>
        </w:rPr>
        <w:t xml:space="preserve"> AB, </w:t>
      </w:r>
      <w:proofErr w:type="spellStart"/>
      <w:r w:rsidRPr="001C5C2B">
        <w:rPr>
          <w:rFonts w:ascii="Book Antiqua" w:eastAsia="宋体" w:hAnsi="Book Antiqua" w:cs="宋体"/>
          <w:kern w:val="0"/>
          <w:sz w:val="24"/>
          <w:szCs w:val="24"/>
        </w:rPr>
        <w:t>Semigran</w:t>
      </w:r>
      <w:proofErr w:type="spellEnd"/>
      <w:r w:rsidRPr="001C5C2B">
        <w:rPr>
          <w:rFonts w:ascii="Book Antiqua" w:eastAsia="宋体" w:hAnsi="Book Antiqua" w:cs="宋体"/>
          <w:kern w:val="0"/>
          <w:sz w:val="24"/>
          <w:szCs w:val="24"/>
        </w:rPr>
        <w:t xml:space="preserve"> MJ. </w:t>
      </w:r>
      <w:proofErr w:type="gramStart"/>
      <w:r w:rsidRPr="001C5C2B">
        <w:rPr>
          <w:rFonts w:ascii="Book Antiqua" w:eastAsia="宋体" w:hAnsi="Book Antiqua" w:cs="宋体"/>
          <w:kern w:val="0"/>
          <w:sz w:val="24"/>
          <w:szCs w:val="24"/>
        </w:rPr>
        <w:t>Cardiovascular complications following liver transplantation.</w:t>
      </w:r>
      <w:proofErr w:type="gramEnd"/>
      <w:r w:rsidRPr="001C5C2B">
        <w:rPr>
          <w:rFonts w:ascii="Book Antiqua" w:eastAsia="宋体" w:hAnsi="Book Antiqua" w:cs="宋体"/>
          <w:kern w:val="0"/>
          <w:sz w:val="24"/>
          <w:szCs w:val="24"/>
        </w:rPr>
        <w:t> </w:t>
      </w:r>
      <w:proofErr w:type="spellStart"/>
      <w:r w:rsidRPr="001C5C2B">
        <w:rPr>
          <w:rFonts w:ascii="Book Antiqua" w:eastAsia="宋体" w:hAnsi="Book Antiqua" w:cs="宋体"/>
          <w:i/>
          <w:iCs/>
          <w:kern w:val="0"/>
          <w:sz w:val="24"/>
          <w:szCs w:val="24"/>
        </w:rPr>
        <w:t>Clin</w:t>
      </w:r>
      <w:proofErr w:type="spellEnd"/>
      <w:r w:rsidRPr="001C5C2B">
        <w:rPr>
          <w:rFonts w:ascii="Book Antiqua" w:eastAsia="宋体" w:hAnsi="Book Antiqua" w:cs="宋体"/>
          <w:i/>
          <w:iCs/>
          <w:kern w:val="0"/>
          <w:sz w:val="24"/>
          <w:szCs w:val="24"/>
        </w:rPr>
        <w:t xml:space="preserve"> Transplant</w:t>
      </w:r>
      <w:r w:rsidRPr="001C5C2B">
        <w:rPr>
          <w:rFonts w:ascii="Book Antiqua" w:eastAsia="宋体" w:hAnsi="Book Antiqua" w:cs="宋体"/>
          <w:kern w:val="0"/>
          <w:sz w:val="24"/>
          <w:szCs w:val="24"/>
        </w:rPr>
        <w:t> 1995; </w:t>
      </w:r>
      <w:r w:rsidRPr="001C5C2B">
        <w:rPr>
          <w:rFonts w:ascii="Book Antiqua" w:eastAsia="宋体" w:hAnsi="Book Antiqua" w:cs="宋体"/>
          <w:b/>
          <w:bCs/>
          <w:kern w:val="0"/>
          <w:sz w:val="24"/>
          <w:szCs w:val="24"/>
        </w:rPr>
        <w:t>9</w:t>
      </w:r>
      <w:r w:rsidRPr="001C5C2B">
        <w:rPr>
          <w:rFonts w:ascii="Book Antiqua" w:eastAsia="宋体" w:hAnsi="Book Antiqua" w:cs="宋体"/>
          <w:kern w:val="0"/>
          <w:sz w:val="24"/>
          <w:szCs w:val="24"/>
        </w:rPr>
        <w:t>: 463-471 [PMID: 8645890]</w:t>
      </w:r>
    </w:p>
    <w:p w:rsidR="001B3BB0" w:rsidRPr="001C5C2B" w:rsidRDefault="001B3BB0" w:rsidP="001B3BB0">
      <w:pPr>
        <w:widowControl/>
        <w:spacing w:line="360" w:lineRule="auto"/>
        <w:rPr>
          <w:rFonts w:ascii="Book Antiqua" w:eastAsia="宋体" w:hAnsi="Book Antiqua" w:cs="宋体"/>
          <w:kern w:val="0"/>
          <w:sz w:val="24"/>
          <w:szCs w:val="24"/>
        </w:rPr>
      </w:pPr>
      <w:r w:rsidRPr="001C5C2B">
        <w:rPr>
          <w:rFonts w:ascii="Book Antiqua" w:eastAsia="宋体" w:hAnsi="Book Antiqua" w:cs="宋体"/>
          <w:kern w:val="0"/>
          <w:sz w:val="24"/>
          <w:szCs w:val="24"/>
        </w:rPr>
        <w:lastRenderedPageBreak/>
        <w:t>32 </w:t>
      </w:r>
      <w:proofErr w:type="spellStart"/>
      <w:r w:rsidRPr="001C5C2B">
        <w:rPr>
          <w:rFonts w:ascii="Book Antiqua" w:eastAsia="宋体" w:hAnsi="Book Antiqua" w:cs="宋体"/>
          <w:b/>
          <w:bCs/>
          <w:kern w:val="0"/>
          <w:sz w:val="24"/>
          <w:szCs w:val="24"/>
        </w:rPr>
        <w:t>Fouad</w:t>
      </w:r>
      <w:proofErr w:type="spellEnd"/>
      <w:r w:rsidRPr="001C5C2B">
        <w:rPr>
          <w:rFonts w:ascii="Book Antiqua" w:eastAsia="宋体" w:hAnsi="Book Antiqua" w:cs="宋体"/>
          <w:b/>
          <w:bCs/>
          <w:kern w:val="0"/>
          <w:sz w:val="24"/>
          <w:szCs w:val="24"/>
        </w:rPr>
        <w:t xml:space="preserve"> TR</w:t>
      </w:r>
      <w:r w:rsidRPr="001C5C2B">
        <w:rPr>
          <w:rFonts w:ascii="Book Antiqua" w:eastAsia="宋体" w:hAnsi="Book Antiqua" w:cs="宋体"/>
          <w:kern w:val="0"/>
          <w:sz w:val="24"/>
          <w:szCs w:val="24"/>
        </w:rPr>
        <w:t>, Abdel-</w:t>
      </w:r>
      <w:proofErr w:type="spellStart"/>
      <w:r w:rsidRPr="001C5C2B">
        <w:rPr>
          <w:rFonts w:ascii="Book Antiqua" w:eastAsia="宋体" w:hAnsi="Book Antiqua" w:cs="宋体"/>
          <w:kern w:val="0"/>
          <w:sz w:val="24"/>
          <w:szCs w:val="24"/>
        </w:rPr>
        <w:t>Razek</w:t>
      </w:r>
      <w:proofErr w:type="spellEnd"/>
      <w:r w:rsidRPr="001C5C2B">
        <w:rPr>
          <w:rFonts w:ascii="Book Antiqua" w:eastAsia="宋体" w:hAnsi="Book Antiqua" w:cs="宋体"/>
          <w:kern w:val="0"/>
          <w:sz w:val="24"/>
          <w:szCs w:val="24"/>
        </w:rPr>
        <w:t xml:space="preserve"> WM, </w:t>
      </w:r>
      <w:proofErr w:type="spellStart"/>
      <w:r w:rsidRPr="001C5C2B">
        <w:rPr>
          <w:rFonts w:ascii="Book Antiqua" w:eastAsia="宋体" w:hAnsi="Book Antiqua" w:cs="宋体"/>
          <w:kern w:val="0"/>
          <w:sz w:val="24"/>
          <w:szCs w:val="24"/>
        </w:rPr>
        <w:t>Burak</w:t>
      </w:r>
      <w:proofErr w:type="spellEnd"/>
      <w:r w:rsidRPr="001C5C2B">
        <w:rPr>
          <w:rFonts w:ascii="Book Antiqua" w:eastAsia="宋体" w:hAnsi="Book Antiqua" w:cs="宋体"/>
          <w:kern w:val="0"/>
          <w:sz w:val="24"/>
          <w:szCs w:val="24"/>
        </w:rPr>
        <w:t xml:space="preserve"> KW, Bain VG, Lee SS. Prediction of cardiac complications after liver transplantation. </w:t>
      </w:r>
      <w:r w:rsidRPr="001C5C2B">
        <w:rPr>
          <w:rFonts w:ascii="Book Antiqua" w:eastAsia="宋体" w:hAnsi="Book Antiqua" w:cs="宋体"/>
          <w:i/>
          <w:iCs/>
          <w:kern w:val="0"/>
          <w:sz w:val="24"/>
          <w:szCs w:val="24"/>
        </w:rPr>
        <w:t>Transplantation</w:t>
      </w:r>
      <w:r w:rsidRPr="001C5C2B">
        <w:rPr>
          <w:rFonts w:ascii="Book Antiqua" w:eastAsia="宋体" w:hAnsi="Book Antiqua" w:cs="宋体"/>
          <w:kern w:val="0"/>
          <w:sz w:val="24"/>
          <w:szCs w:val="24"/>
        </w:rPr>
        <w:t> 2009; </w:t>
      </w:r>
      <w:r w:rsidRPr="001C5C2B">
        <w:rPr>
          <w:rFonts w:ascii="Book Antiqua" w:eastAsia="宋体" w:hAnsi="Book Antiqua" w:cs="宋体"/>
          <w:b/>
          <w:bCs/>
          <w:kern w:val="0"/>
          <w:sz w:val="24"/>
          <w:szCs w:val="24"/>
        </w:rPr>
        <w:t>87</w:t>
      </w:r>
      <w:r w:rsidRPr="001C5C2B">
        <w:rPr>
          <w:rFonts w:ascii="Book Antiqua" w:eastAsia="宋体" w:hAnsi="Book Antiqua" w:cs="宋体"/>
          <w:kern w:val="0"/>
          <w:sz w:val="24"/>
          <w:szCs w:val="24"/>
        </w:rPr>
        <w:t>: 763-770 [PMID: 19295324 D</w:t>
      </w:r>
      <w:r>
        <w:rPr>
          <w:rFonts w:ascii="Book Antiqua" w:eastAsia="宋体" w:hAnsi="Book Antiqua" w:cs="宋体"/>
          <w:kern w:val="0"/>
          <w:sz w:val="24"/>
          <w:szCs w:val="24"/>
        </w:rPr>
        <w:t>OI: 10.1097/TP.0b013e318198d734</w:t>
      </w:r>
      <w:r w:rsidRPr="001C5C2B">
        <w:rPr>
          <w:rFonts w:ascii="Book Antiqua" w:eastAsia="宋体" w:hAnsi="Book Antiqua" w:cs="宋体"/>
          <w:kern w:val="0"/>
          <w:sz w:val="24"/>
          <w:szCs w:val="24"/>
        </w:rPr>
        <w:t>]</w:t>
      </w:r>
    </w:p>
    <w:p w:rsidR="00F31D0D" w:rsidRPr="00F31D0D" w:rsidRDefault="00F31D0D" w:rsidP="00F31D0D">
      <w:pPr>
        <w:spacing w:line="360" w:lineRule="auto"/>
        <w:rPr>
          <w:rFonts w:ascii="Book Antiqua" w:hAnsi="Book Antiqua"/>
          <w:sz w:val="24"/>
          <w:szCs w:val="24"/>
        </w:rPr>
      </w:pPr>
    </w:p>
    <w:p w:rsidR="00833C5B" w:rsidRDefault="00F31D0D" w:rsidP="00F31D0D">
      <w:pPr>
        <w:spacing w:line="360" w:lineRule="auto"/>
        <w:jc w:val="right"/>
        <w:rPr>
          <w:rFonts w:ascii="Book Antiqua" w:hAnsi="Book Antiqua"/>
          <w:b/>
          <w:sz w:val="24"/>
          <w:szCs w:val="24"/>
        </w:rPr>
      </w:pPr>
      <w:r w:rsidRPr="00F31D0D">
        <w:rPr>
          <w:rFonts w:ascii="Book Antiqua" w:hAnsi="Book Antiqua"/>
          <w:b/>
          <w:sz w:val="24"/>
          <w:szCs w:val="24"/>
        </w:rPr>
        <w:t xml:space="preserve">P-Reviewers: </w:t>
      </w:r>
      <w:proofErr w:type="spellStart"/>
      <w:r w:rsidR="00833C5B" w:rsidRPr="00833C5B">
        <w:rPr>
          <w:rFonts w:ascii="Book Antiqua" w:hAnsi="Book Antiqua"/>
          <w:sz w:val="24"/>
          <w:szCs w:val="24"/>
        </w:rPr>
        <w:t>Fourtounas</w:t>
      </w:r>
      <w:proofErr w:type="spellEnd"/>
      <w:r w:rsidR="00833C5B" w:rsidRPr="00833C5B">
        <w:rPr>
          <w:rFonts w:ascii="Book Antiqua" w:hAnsi="Book Antiqua"/>
          <w:sz w:val="24"/>
          <w:szCs w:val="24"/>
        </w:rPr>
        <w:t xml:space="preserve"> C</w:t>
      </w:r>
      <w:r w:rsidR="00833C5B" w:rsidRPr="00833C5B">
        <w:rPr>
          <w:rFonts w:ascii="Book Antiqua" w:hAnsi="Book Antiqua" w:hint="eastAsia"/>
          <w:sz w:val="24"/>
          <w:szCs w:val="24"/>
        </w:rPr>
        <w:t>,</w:t>
      </w:r>
      <w:r w:rsidRPr="00833C5B">
        <w:rPr>
          <w:rFonts w:ascii="Book Antiqua" w:hAnsi="Book Antiqua"/>
          <w:sz w:val="24"/>
          <w:szCs w:val="24"/>
        </w:rPr>
        <w:t xml:space="preserve"> </w:t>
      </w:r>
      <w:r w:rsidR="00833C5B" w:rsidRPr="00833C5B">
        <w:rPr>
          <w:rFonts w:ascii="Book Antiqua" w:hAnsi="Book Antiqua"/>
          <w:sz w:val="24"/>
          <w:szCs w:val="24"/>
        </w:rPr>
        <w:t>Silva</w:t>
      </w:r>
      <w:r w:rsidR="00833C5B" w:rsidRPr="00833C5B">
        <w:rPr>
          <w:rFonts w:ascii="Book Antiqua" w:hAnsi="Book Antiqua" w:hint="eastAsia"/>
          <w:sz w:val="24"/>
          <w:szCs w:val="24"/>
        </w:rPr>
        <w:t xml:space="preserve"> </w:t>
      </w:r>
      <w:r w:rsidR="00833C5B" w:rsidRPr="00833C5B">
        <w:rPr>
          <w:rFonts w:ascii="Book Antiqua" w:hAnsi="Book Antiqua"/>
          <w:sz w:val="24"/>
          <w:szCs w:val="24"/>
        </w:rPr>
        <w:t>R</w:t>
      </w:r>
      <w:r w:rsidR="00833C5B" w:rsidRPr="00833C5B">
        <w:rPr>
          <w:rFonts w:ascii="Book Antiqua" w:hAnsi="Book Antiqua" w:hint="eastAsia"/>
          <w:sz w:val="24"/>
          <w:szCs w:val="24"/>
        </w:rPr>
        <w:t>,</w:t>
      </w:r>
      <w:r w:rsidRPr="00833C5B">
        <w:rPr>
          <w:rFonts w:ascii="Book Antiqua" w:hAnsi="Book Antiqua"/>
          <w:sz w:val="24"/>
          <w:szCs w:val="24"/>
        </w:rPr>
        <w:t xml:space="preserve"> </w:t>
      </w:r>
      <w:proofErr w:type="spellStart"/>
      <w:r w:rsidR="00833C5B" w:rsidRPr="00833C5B">
        <w:rPr>
          <w:rFonts w:ascii="Book Antiqua" w:hAnsi="Book Antiqua"/>
          <w:sz w:val="24"/>
          <w:szCs w:val="24"/>
        </w:rPr>
        <w:t>ZouHQ</w:t>
      </w:r>
      <w:proofErr w:type="spellEnd"/>
      <w:r w:rsidRPr="00833C5B">
        <w:rPr>
          <w:rFonts w:ascii="Book Antiqua" w:hAnsi="Book Antiqua"/>
          <w:sz w:val="24"/>
          <w:szCs w:val="24"/>
        </w:rPr>
        <w:t xml:space="preserve"> </w:t>
      </w:r>
      <w:r w:rsidRPr="00F31D0D">
        <w:rPr>
          <w:rFonts w:ascii="Book Antiqua" w:hAnsi="Book Antiqua"/>
          <w:b/>
          <w:sz w:val="24"/>
          <w:szCs w:val="24"/>
        </w:rPr>
        <w:t>S-Editor: Qi Y</w:t>
      </w:r>
    </w:p>
    <w:p w:rsidR="00F31D0D" w:rsidRPr="00F31D0D" w:rsidRDefault="00F31D0D" w:rsidP="00F31D0D">
      <w:pPr>
        <w:spacing w:line="360" w:lineRule="auto"/>
        <w:jc w:val="right"/>
        <w:rPr>
          <w:rFonts w:ascii="Book Antiqua" w:hAnsi="Book Antiqua"/>
          <w:b/>
          <w:sz w:val="24"/>
          <w:szCs w:val="24"/>
        </w:rPr>
      </w:pPr>
      <w:r w:rsidRPr="00F31D0D">
        <w:rPr>
          <w:rFonts w:ascii="Book Antiqua" w:hAnsi="Book Antiqua"/>
          <w:b/>
          <w:sz w:val="24"/>
          <w:szCs w:val="24"/>
        </w:rPr>
        <w:t>L-Editor:   E-Editor:</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widowControl/>
        <w:spacing w:line="360" w:lineRule="auto"/>
        <w:jc w:val="left"/>
        <w:rPr>
          <w:rFonts w:ascii="Book Antiqua" w:hAnsi="Book Antiqua"/>
          <w:sz w:val="24"/>
          <w:szCs w:val="24"/>
        </w:rPr>
      </w:pPr>
      <w:r w:rsidRPr="00F31D0D">
        <w:rPr>
          <w:rFonts w:ascii="Book Antiqua" w:hAnsi="Book Antiqua"/>
          <w:sz w:val="24"/>
          <w:szCs w:val="24"/>
        </w:rPr>
        <w:br w:type="page"/>
      </w:r>
    </w:p>
    <w:p w:rsidR="00F31D0D" w:rsidRPr="00F31D0D" w:rsidRDefault="00F31D0D" w:rsidP="00F31D0D">
      <w:pPr>
        <w:spacing w:line="360" w:lineRule="auto"/>
        <w:rPr>
          <w:rFonts w:ascii="Book Antiqua" w:hAnsi="Book Antiqua"/>
          <w:b/>
          <w:sz w:val="24"/>
          <w:szCs w:val="24"/>
        </w:rPr>
      </w:pPr>
      <w:r w:rsidRPr="00F31D0D">
        <w:rPr>
          <w:rFonts w:ascii="Book Antiqua" w:hAnsi="Book Antiqua"/>
          <w:b/>
          <w:sz w:val="24"/>
          <w:szCs w:val="24"/>
        </w:rPr>
        <w:lastRenderedPageBreak/>
        <w:t>Table 1 Demographic and clinical data from liver</w:t>
      </w:r>
      <w:r>
        <w:rPr>
          <w:rFonts w:ascii="Book Antiqua" w:hAnsi="Book Antiqua"/>
          <w:b/>
          <w:sz w:val="24"/>
          <w:szCs w:val="24"/>
        </w:rPr>
        <w:t xml:space="preserve"> transplant recipients included</w:t>
      </w:r>
      <w:r w:rsidRPr="00F31D0D">
        <w:rPr>
          <w:rFonts w:ascii="Book Antiqua" w:hAnsi="Book Antiqua"/>
          <w:szCs w:val="21"/>
          <w:lang w:eastAsia="pt-BR"/>
        </w:rPr>
        <w:t xml:space="preserve"> </w:t>
      </w:r>
      <w:r w:rsidRPr="00F31D0D">
        <w:rPr>
          <w:rFonts w:ascii="Book Antiqua" w:hAnsi="Book Antiqua"/>
          <w:b/>
          <w:i/>
          <w:szCs w:val="21"/>
          <w:lang w:eastAsia="pt-BR"/>
        </w:rPr>
        <w:t>n</w:t>
      </w:r>
      <w:r w:rsidRPr="00F31D0D">
        <w:rPr>
          <w:rFonts w:ascii="Book Antiqua" w:hAnsi="Book Antiqua"/>
          <w:b/>
          <w:szCs w:val="21"/>
          <w:lang w:eastAsia="pt-BR"/>
        </w:rPr>
        <w:t xml:space="preserve"> (%)</w:t>
      </w:r>
    </w:p>
    <w:p w:rsidR="00F31D0D" w:rsidRPr="00F31D0D" w:rsidRDefault="00F31D0D" w:rsidP="00F31D0D">
      <w:pPr>
        <w:spacing w:line="360" w:lineRule="auto"/>
        <w:rPr>
          <w:rFonts w:ascii="Book Antiqua" w:hAnsi="Book Antiqua"/>
          <w:sz w:val="24"/>
          <w:szCs w:val="24"/>
        </w:rPr>
      </w:pPr>
    </w:p>
    <w:tbl>
      <w:tblPr>
        <w:tblW w:w="0" w:type="auto"/>
        <w:jc w:val="center"/>
        <w:tblBorders>
          <w:top w:val="single" w:sz="8" w:space="0" w:color="4F81BD"/>
          <w:bottom w:val="single" w:sz="8" w:space="0" w:color="4F81BD"/>
        </w:tblBorders>
        <w:tblLayout w:type="fixed"/>
        <w:tblLook w:val="04A0" w:firstRow="1" w:lastRow="0" w:firstColumn="1" w:lastColumn="0" w:noHBand="0" w:noVBand="1"/>
      </w:tblPr>
      <w:tblGrid>
        <w:gridCol w:w="5318"/>
        <w:gridCol w:w="2083"/>
      </w:tblGrid>
      <w:tr w:rsidR="00F31D0D" w:rsidRPr="00F31D0D" w:rsidTr="00B62F20">
        <w:trPr>
          <w:jc w:val="center"/>
        </w:trPr>
        <w:tc>
          <w:tcPr>
            <w:tcW w:w="5318" w:type="dxa"/>
            <w:tcBorders>
              <w:top w:val="single" w:sz="8" w:space="0" w:color="auto"/>
              <w:left w:val="nil"/>
              <w:bottom w:val="single" w:sz="8" w:space="0" w:color="auto"/>
              <w:right w:val="nil"/>
            </w:tcBorders>
            <w:shd w:val="clear" w:color="auto" w:fill="auto"/>
          </w:tcPr>
          <w:p w:rsidR="00F31D0D" w:rsidRPr="00F31D0D" w:rsidRDefault="00F31D0D" w:rsidP="00F31D0D">
            <w:pPr>
              <w:spacing w:line="360" w:lineRule="auto"/>
              <w:rPr>
                <w:rFonts w:ascii="Book Antiqua" w:hAnsi="Book Antiqua"/>
                <w:b/>
                <w:szCs w:val="21"/>
                <w:lang w:eastAsia="pt-BR"/>
              </w:rPr>
            </w:pPr>
            <w:r w:rsidRPr="00F31D0D">
              <w:rPr>
                <w:rFonts w:ascii="Book Antiqua" w:hAnsi="Book Antiqua"/>
                <w:b/>
                <w:szCs w:val="21"/>
                <w:lang w:eastAsia="pt-BR"/>
              </w:rPr>
              <w:t xml:space="preserve">Variable </w:t>
            </w:r>
          </w:p>
        </w:tc>
        <w:tc>
          <w:tcPr>
            <w:tcW w:w="2083" w:type="dxa"/>
            <w:tcBorders>
              <w:top w:val="single" w:sz="8" w:space="0" w:color="auto"/>
              <w:left w:val="nil"/>
              <w:bottom w:val="single" w:sz="8" w:space="0" w:color="auto"/>
              <w:right w:val="nil"/>
            </w:tcBorders>
            <w:shd w:val="clear" w:color="auto" w:fill="auto"/>
          </w:tcPr>
          <w:p w:rsidR="00F31D0D" w:rsidRPr="00F31D0D" w:rsidRDefault="00F31D0D" w:rsidP="00F31D0D">
            <w:pPr>
              <w:spacing w:line="360" w:lineRule="auto"/>
              <w:rPr>
                <w:rFonts w:ascii="Book Antiqua" w:hAnsi="Book Antiqua"/>
                <w:b/>
                <w:szCs w:val="21"/>
                <w:lang w:eastAsia="pt-BR"/>
              </w:rPr>
            </w:pPr>
            <w:r w:rsidRPr="00F31D0D">
              <w:rPr>
                <w:rFonts w:ascii="Book Antiqua" w:hAnsi="Book Antiqua"/>
                <w:b/>
                <w:szCs w:val="21"/>
                <w:lang w:eastAsia="pt-BR"/>
              </w:rPr>
              <w:t>Results</w:t>
            </w:r>
          </w:p>
          <w:p w:rsidR="00F31D0D" w:rsidRPr="00F31D0D" w:rsidRDefault="00F31D0D" w:rsidP="00F31D0D">
            <w:pPr>
              <w:spacing w:line="360" w:lineRule="auto"/>
              <w:rPr>
                <w:rFonts w:ascii="Book Antiqua" w:hAnsi="Book Antiqua"/>
                <w:b/>
                <w:szCs w:val="21"/>
                <w:lang w:eastAsia="pt-BR"/>
              </w:rPr>
            </w:pPr>
            <w:r w:rsidRPr="00F31D0D">
              <w:rPr>
                <w:rFonts w:ascii="Book Antiqua" w:hAnsi="Book Antiqua"/>
                <w:b/>
                <w:szCs w:val="21"/>
                <w:lang w:eastAsia="pt-BR"/>
              </w:rPr>
              <w:t>(</w:t>
            </w:r>
            <w:r w:rsidRPr="00F31D0D">
              <w:rPr>
                <w:rFonts w:ascii="Book Antiqua" w:hAnsi="Book Antiqua"/>
                <w:b/>
                <w:i/>
                <w:szCs w:val="21"/>
                <w:lang w:eastAsia="pt-BR"/>
              </w:rPr>
              <w:t>n</w:t>
            </w:r>
            <w:r w:rsidRPr="00F31D0D">
              <w:rPr>
                <w:rFonts w:ascii="Book Antiqua" w:hAnsi="Book Antiqua" w:hint="eastAsia"/>
                <w:b/>
                <w:szCs w:val="21"/>
              </w:rPr>
              <w:t xml:space="preserve"> </w:t>
            </w:r>
            <w:r w:rsidRPr="00F31D0D">
              <w:rPr>
                <w:rFonts w:ascii="Book Antiqua" w:hAnsi="Book Antiqua"/>
                <w:b/>
                <w:szCs w:val="21"/>
                <w:lang w:eastAsia="pt-BR"/>
              </w:rPr>
              <w:t>=</w:t>
            </w:r>
            <w:r w:rsidRPr="00F31D0D">
              <w:rPr>
                <w:rFonts w:ascii="Book Antiqua" w:hAnsi="Book Antiqua" w:hint="eastAsia"/>
                <w:b/>
                <w:szCs w:val="21"/>
              </w:rPr>
              <w:t xml:space="preserve"> </w:t>
            </w:r>
            <w:r w:rsidRPr="00F31D0D">
              <w:rPr>
                <w:rFonts w:ascii="Book Antiqua" w:hAnsi="Book Antiqua"/>
                <w:b/>
                <w:szCs w:val="21"/>
                <w:lang w:eastAsia="pt-BR"/>
              </w:rPr>
              <w:t>44)</w:t>
            </w:r>
          </w:p>
        </w:tc>
      </w:tr>
      <w:tr w:rsidR="00F31D0D" w:rsidRPr="00F31D0D" w:rsidTr="00B62F20">
        <w:trPr>
          <w:jc w:val="center"/>
        </w:trPr>
        <w:tc>
          <w:tcPr>
            <w:tcW w:w="5318"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Cs w:val="21"/>
              </w:rPr>
            </w:pPr>
            <w:r w:rsidRPr="00F31D0D">
              <w:rPr>
                <w:rFonts w:ascii="Book Antiqua" w:hAnsi="Book Antiqua"/>
                <w:szCs w:val="21"/>
                <w:lang w:eastAsia="pt-BR"/>
              </w:rPr>
              <w:t>Recipient age (y)</w:t>
            </w:r>
            <w:r>
              <w:rPr>
                <w:rFonts w:ascii="Book Antiqua" w:hAnsi="Book Antiqua" w:hint="eastAsia"/>
                <w:szCs w:val="21"/>
                <w:vertAlign w:val="superscript"/>
              </w:rPr>
              <w:t>1</w:t>
            </w:r>
          </w:p>
        </w:tc>
        <w:tc>
          <w:tcPr>
            <w:tcW w:w="2083"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50.8</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14.3</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Donor age (</w:t>
            </w:r>
            <w:proofErr w:type="spellStart"/>
            <w:r w:rsidRPr="00F31D0D">
              <w:rPr>
                <w:rFonts w:ascii="Book Antiqua" w:hAnsi="Book Antiqua"/>
                <w:szCs w:val="21"/>
                <w:lang w:eastAsia="pt-BR"/>
              </w:rPr>
              <w:t>y</w:t>
            </w:r>
            <w:r>
              <w:rPr>
                <w:rFonts w:ascii="Book Antiqua" w:hAnsi="Book Antiqua" w:hint="eastAsia"/>
                <w:szCs w:val="21"/>
              </w:rPr>
              <w:t>r</w:t>
            </w:r>
            <w:proofErr w:type="spellEnd"/>
            <w:r w:rsidRPr="00F31D0D">
              <w:rPr>
                <w:rFonts w:ascii="Book Antiqua" w:hAnsi="Book Antiqua"/>
                <w:szCs w:val="21"/>
                <w:lang w:eastAsia="pt-BR"/>
              </w:rPr>
              <w:t>)</w:t>
            </w:r>
            <w:r>
              <w:rPr>
                <w:rFonts w:ascii="Book Antiqua" w:hAnsi="Book Antiqua" w:hint="eastAsia"/>
                <w:szCs w:val="21"/>
                <w:vertAlign w:val="superscript"/>
              </w:rPr>
              <w:t xml:space="preserve"> 1</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41.9</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17.6</w:t>
            </w:r>
          </w:p>
        </w:tc>
      </w:tr>
      <w:tr w:rsidR="00F31D0D" w:rsidRPr="00F31D0D" w:rsidTr="00B62F20">
        <w:trPr>
          <w:trHeight w:val="899"/>
          <w:jc w:val="center"/>
        </w:trPr>
        <w:tc>
          <w:tcPr>
            <w:tcW w:w="5318" w:type="dxa"/>
            <w:tcBorders>
              <w:left w:val="nil"/>
              <w:right w:val="nil"/>
            </w:tcBorders>
            <w:shd w:val="clear" w:color="auto" w:fill="auto"/>
          </w:tcPr>
          <w:p w:rsidR="00F31D0D" w:rsidRDefault="00F31D0D" w:rsidP="00F31D0D">
            <w:pPr>
              <w:spacing w:line="360" w:lineRule="auto"/>
              <w:rPr>
                <w:rFonts w:ascii="Book Antiqua" w:hAnsi="Book Antiqua"/>
                <w:szCs w:val="21"/>
              </w:rPr>
            </w:pPr>
            <w:r w:rsidRPr="00F31D0D">
              <w:rPr>
                <w:rFonts w:ascii="Book Antiqua" w:hAnsi="Book Antiqua"/>
                <w:szCs w:val="21"/>
                <w:lang w:eastAsia="pt-BR"/>
              </w:rPr>
              <w:t>Gender</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Male</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Female</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29</w:t>
            </w:r>
            <w:r>
              <w:rPr>
                <w:rFonts w:ascii="Book Antiqua" w:hAnsi="Book Antiqua" w:hint="eastAsia"/>
                <w:szCs w:val="21"/>
              </w:rPr>
              <w:t xml:space="preserve"> </w:t>
            </w:r>
            <w:r w:rsidRPr="00F31D0D">
              <w:rPr>
                <w:rFonts w:ascii="Book Antiqua" w:hAnsi="Book Antiqua"/>
                <w:szCs w:val="21"/>
                <w:lang w:eastAsia="pt-BR"/>
              </w:rPr>
              <w:t>(65.9)</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15</w:t>
            </w:r>
            <w:r>
              <w:rPr>
                <w:rFonts w:ascii="Book Antiqua" w:hAnsi="Book Antiqua" w:hint="eastAsia"/>
                <w:szCs w:val="21"/>
              </w:rPr>
              <w:t xml:space="preserve"> </w:t>
            </w:r>
            <w:r w:rsidRPr="00F31D0D">
              <w:rPr>
                <w:rFonts w:ascii="Book Antiqua" w:hAnsi="Book Antiqua"/>
                <w:szCs w:val="21"/>
                <w:lang w:eastAsia="pt-BR"/>
              </w:rPr>
              <w:t>(34.1)</w:t>
            </w:r>
          </w:p>
        </w:tc>
      </w:tr>
      <w:tr w:rsidR="00F31D0D" w:rsidRPr="00F31D0D" w:rsidTr="00B62F20">
        <w:trPr>
          <w:trHeight w:val="1485"/>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Etiology of liver disease</w:t>
            </w:r>
            <w:r>
              <w:rPr>
                <w:rFonts w:ascii="Book Antiqua" w:hAnsi="Book Antiqua" w:hint="eastAsia"/>
                <w:szCs w:val="21"/>
                <w:vertAlign w:val="superscript"/>
              </w:rPr>
              <w:t>1</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 xml:space="preserve">HCV-related </w:t>
            </w:r>
          </w:p>
          <w:p w:rsidR="00F31D0D" w:rsidRPr="00F31D0D" w:rsidRDefault="00F31D0D" w:rsidP="00F31D0D">
            <w:pPr>
              <w:spacing w:line="360" w:lineRule="auto"/>
              <w:rPr>
                <w:rFonts w:ascii="Book Antiqua" w:hAnsi="Book Antiqua"/>
                <w:szCs w:val="21"/>
                <w:highlight w:val="yellow"/>
                <w:lang w:eastAsia="pt-BR"/>
              </w:rPr>
            </w:pPr>
            <w:r w:rsidRPr="00F31D0D">
              <w:rPr>
                <w:rFonts w:ascii="Book Antiqua" w:hAnsi="Book Antiqua"/>
                <w:szCs w:val="21"/>
                <w:lang w:eastAsia="pt-BR"/>
              </w:rPr>
              <w:t>Non-HCV-related</w:t>
            </w:r>
          </w:p>
          <w:p w:rsidR="00F31D0D" w:rsidRDefault="00F31D0D" w:rsidP="00F31D0D">
            <w:pPr>
              <w:spacing w:line="360" w:lineRule="auto"/>
              <w:rPr>
                <w:rFonts w:ascii="Book Antiqua" w:hAnsi="Book Antiqua"/>
                <w:szCs w:val="21"/>
              </w:rPr>
            </w:pPr>
            <w:r w:rsidRPr="00F31D0D">
              <w:rPr>
                <w:rFonts w:ascii="Book Antiqua" w:hAnsi="Book Antiqua"/>
                <w:szCs w:val="21"/>
                <w:lang w:eastAsia="pt-BR"/>
              </w:rPr>
              <w:t>Patients with NAFLD</w:t>
            </w:r>
          </w:p>
          <w:p w:rsidR="00F31D0D" w:rsidRPr="00F31D0D" w:rsidRDefault="00F31D0D" w:rsidP="00F31D0D">
            <w:pPr>
              <w:spacing w:line="360" w:lineRule="auto"/>
              <w:rPr>
                <w:rFonts w:ascii="Book Antiqua" w:hAnsi="Book Antiqua"/>
                <w:szCs w:val="21"/>
                <w:highlight w:val="yellow"/>
                <w:lang w:eastAsia="pt-BR"/>
              </w:rPr>
            </w:pPr>
            <w:r w:rsidRPr="00F31D0D">
              <w:rPr>
                <w:rFonts w:ascii="Book Antiqua" w:hAnsi="Book Antiqua"/>
                <w:szCs w:val="21"/>
                <w:lang w:eastAsia="pt-BR"/>
              </w:rPr>
              <w:t xml:space="preserve">Patients with hepatocellular carcinoma </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16</w:t>
            </w:r>
            <w:r>
              <w:rPr>
                <w:rFonts w:ascii="Book Antiqua" w:hAnsi="Book Antiqua" w:hint="eastAsia"/>
                <w:szCs w:val="21"/>
              </w:rPr>
              <w:t xml:space="preserve"> </w:t>
            </w:r>
            <w:r w:rsidRPr="00F31D0D">
              <w:rPr>
                <w:rFonts w:ascii="Book Antiqua" w:hAnsi="Book Antiqua"/>
                <w:szCs w:val="21"/>
                <w:lang w:eastAsia="pt-BR"/>
              </w:rPr>
              <w:t>(36.4)</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28</w:t>
            </w:r>
            <w:r>
              <w:rPr>
                <w:rFonts w:ascii="Book Antiqua" w:hAnsi="Book Antiqua" w:hint="eastAsia"/>
                <w:szCs w:val="21"/>
              </w:rPr>
              <w:t xml:space="preserve"> </w:t>
            </w:r>
            <w:r w:rsidRPr="00F31D0D">
              <w:rPr>
                <w:rFonts w:ascii="Book Antiqua" w:hAnsi="Book Antiqua"/>
                <w:szCs w:val="21"/>
                <w:lang w:eastAsia="pt-BR"/>
              </w:rPr>
              <w:t>(63.6)</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4(9.1)</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15</w:t>
            </w:r>
            <w:r>
              <w:rPr>
                <w:rFonts w:ascii="Book Antiqua" w:hAnsi="Book Antiqua" w:hint="eastAsia"/>
                <w:szCs w:val="21"/>
              </w:rPr>
              <w:t xml:space="preserve"> </w:t>
            </w:r>
            <w:r w:rsidRPr="00F31D0D">
              <w:rPr>
                <w:rFonts w:ascii="Book Antiqua" w:hAnsi="Book Antiqua"/>
                <w:szCs w:val="21"/>
                <w:lang w:eastAsia="pt-BR"/>
              </w:rPr>
              <w:t>(34.1)</w:t>
            </w:r>
          </w:p>
        </w:tc>
      </w:tr>
      <w:tr w:rsidR="00F31D0D" w:rsidRPr="00F31D0D" w:rsidTr="00B62F20">
        <w:trPr>
          <w:trHeight w:val="265"/>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Pre-transplant MELD</w:t>
            </w:r>
            <w:r>
              <w:rPr>
                <w:rFonts w:ascii="Book Antiqua" w:hAnsi="Book Antiqua" w:hint="eastAsia"/>
                <w:szCs w:val="21"/>
                <w:vertAlign w:val="superscript"/>
              </w:rPr>
              <w:t>1</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highlight w:val="red"/>
                <w:lang w:eastAsia="pt-BR"/>
              </w:rPr>
            </w:pPr>
            <w:r w:rsidRPr="00F31D0D">
              <w:rPr>
                <w:rFonts w:ascii="Book Antiqua" w:hAnsi="Book Antiqua"/>
                <w:szCs w:val="21"/>
                <w:lang w:eastAsia="pt-BR"/>
              </w:rPr>
              <w:t>19.3</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9.4</w:t>
            </w:r>
          </w:p>
        </w:tc>
      </w:tr>
      <w:tr w:rsidR="00F31D0D" w:rsidRPr="00F31D0D" w:rsidTr="00F31D0D">
        <w:trPr>
          <w:trHeight w:val="405"/>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Donor liver weight (g)</w:t>
            </w:r>
            <w:r>
              <w:rPr>
                <w:rFonts w:ascii="Book Antiqua" w:hAnsi="Book Antiqua" w:hint="eastAsia"/>
                <w:szCs w:val="21"/>
                <w:vertAlign w:val="superscript"/>
              </w:rPr>
              <w:t xml:space="preserve"> 1</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1374.3</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311.3</w:t>
            </w:r>
          </w:p>
        </w:tc>
      </w:tr>
      <w:tr w:rsidR="00F31D0D" w:rsidRPr="00F31D0D" w:rsidTr="00B62F20">
        <w:trPr>
          <w:trHeight w:val="265"/>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Recipient liver weight (g)</w:t>
            </w:r>
            <w:r>
              <w:rPr>
                <w:rFonts w:ascii="Book Antiqua" w:hAnsi="Book Antiqua" w:hint="eastAsia"/>
                <w:szCs w:val="21"/>
                <w:vertAlign w:val="superscript"/>
              </w:rPr>
              <w:t xml:space="preserve"> 1</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1399</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725.9</w:t>
            </w:r>
          </w:p>
        </w:tc>
      </w:tr>
      <w:tr w:rsidR="00F31D0D" w:rsidRPr="00F31D0D" w:rsidTr="00B62F20">
        <w:trPr>
          <w:trHeight w:val="265"/>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Cold ischemia time (min)</w:t>
            </w:r>
            <w:r>
              <w:rPr>
                <w:rFonts w:ascii="Book Antiqua" w:hAnsi="Book Antiqua" w:hint="eastAsia"/>
                <w:szCs w:val="21"/>
                <w:vertAlign w:val="superscript"/>
              </w:rPr>
              <w:t xml:space="preserve"> 1</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400.9</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137.9</w:t>
            </w:r>
          </w:p>
        </w:tc>
      </w:tr>
      <w:tr w:rsidR="00F31D0D" w:rsidRPr="00F31D0D" w:rsidTr="00B62F20">
        <w:trPr>
          <w:trHeight w:val="265"/>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Warm ischemia time (min)</w:t>
            </w:r>
            <w:r>
              <w:rPr>
                <w:rFonts w:ascii="Book Antiqua" w:hAnsi="Book Antiqua" w:hint="eastAsia"/>
                <w:szCs w:val="21"/>
                <w:vertAlign w:val="superscript"/>
              </w:rPr>
              <w:t xml:space="preserve"> 1</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47.2</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8.9</w:t>
            </w:r>
          </w:p>
        </w:tc>
      </w:tr>
      <w:tr w:rsidR="00F31D0D" w:rsidRPr="00F31D0D" w:rsidTr="00B62F20">
        <w:trPr>
          <w:trHeight w:val="995"/>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Intraoperative blood requirements</w:t>
            </w:r>
            <w:r>
              <w:rPr>
                <w:rFonts w:ascii="Book Antiqua" w:hAnsi="Book Antiqua" w:hint="eastAsia"/>
                <w:szCs w:val="21"/>
                <w:vertAlign w:val="superscript"/>
              </w:rPr>
              <w:t>1</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Packed red cells (Units)</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Plasma (Units)</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Platelets (Units)</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1.09</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1.6</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0.71</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1.8</w:t>
            </w:r>
          </w:p>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1.03</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3.53</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Intraoperative albumin infusion (10g bottles)</w:t>
            </w:r>
            <w:r>
              <w:rPr>
                <w:rFonts w:ascii="Book Antiqua" w:hAnsi="Book Antiqua" w:hint="eastAsia"/>
                <w:szCs w:val="21"/>
                <w:vertAlign w:val="superscript"/>
              </w:rPr>
              <w:t xml:space="preserve"> 1</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4.32</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4.8</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proofErr w:type="spellStart"/>
            <w:r w:rsidRPr="00F31D0D">
              <w:rPr>
                <w:rFonts w:ascii="Book Antiqua" w:hAnsi="Book Antiqua"/>
                <w:szCs w:val="21"/>
                <w:lang w:eastAsia="pt-BR"/>
              </w:rPr>
              <w:t>Tacrolimus</w:t>
            </w:r>
            <w:proofErr w:type="spellEnd"/>
            <w:r w:rsidRPr="00F31D0D">
              <w:rPr>
                <w:rFonts w:ascii="Book Antiqua" w:hAnsi="Book Antiqua"/>
                <w:szCs w:val="21"/>
                <w:lang w:eastAsia="pt-BR"/>
              </w:rPr>
              <w:t>-based immunosuppression</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44</w:t>
            </w:r>
            <w:r>
              <w:rPr>
                <w:rFonts w:ascii="Book Antiqua" w:hAnsi="Book Antiqua" w:hint="eastAsia"/>
                <w:szCs w:val="21"/>
              </w:rPr>
              <w:t xml:space="preserve"> </w:t>
            </w:r>
            <w:r w:rsidRPr="00F31D0D">
              <w:rPr>
                <w:rFonts w:ascii="Book Antiqua" w:hAnsi="Book Antiqua"/>
                <w:szCs w:val="21"/>
                <w:lang w:eastAsia="pt-BR"/>
              </w:rPr>
              <w:t>(100)</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Steroids withdrawal (d)</w:t>
            </w:r>
            <w:r>
              <w:rPr>
                <w:rFonts w:ascii="Book Antiqua" w:hAnsi="Book Antiqua" w:hint="eastAsia"/>
                <w:szCs w:val="21"/>
                <w:vertAlign w:val="superscript"/>
              </w:rPr>
              <w:t xml:space="preserve"> 1</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208.5</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106.8</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Pre-transplant diabetes mellitus</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16</w:t>
            </w:r>
            <w:r>
              <w:rPr>
                <w:rFonts w:ascii="Book Antiqua" w:hAnsi="Book Antiqua" w:hint="eastAsia"/>
                <w:szCs w:val="21"/>
              </w:rPr>
              <w:t xml:space="preserve"> </w:t>
            </w:r>
            <w:r w:rsidRPr="00F31D0D">
              <w:rPr>
                <w:rFonts w:ascii="Book Antiqua" w:hAnsi="Book Antiqua"/>
                <w:szCs w:val="21"/>
                <w:lang w:eastAsia="pt-BR"/>
              </w:rPr>
              <w:t>(36.4)</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 xml:space="preserve">Diabetes mellitus 1y after transplant </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17</w:t>
            </w:r>
            <w:r>
              <w:rPr>
                <w:rFonts w:ascii="Book Antiqua" w:hAnsi="Book Antiqua" w:hint="eastAsia"/>
                <w:szCs w:val="21"/>
              </w:rPr>
              <w:t xml:space="preserve"> </w:t>
            </w:r>
            <w:r w:rsidRPr="00F31D0D">
              <w:rPr>
                <w:rFonts w:ascii="Book Antiqua" w:hAnsi="Book Antiqua"/>
                <w:szCs w:val="21"/>
                <w:lang w:eastAsia="pt-BR"/>
              </w:rPr>
              <w:t>(38.6)</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lastRenderedPageBreak/>
              <w:t>Pre-transplant BMI</w:t>
            </w:r>
            <w:r>
              <w:rPr>
                <w:rFonts w:ascii="Book Antiqua" w:hAnsi="Book Antiqua" w:hint="eastAsia"/>
                <w:szCs w:val="21"/>
                <w:vertAlign w:val="superscript"/>
              </w:rPr>
              <w:t xml:space="preserve"> 1</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25.1</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5.3</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BMI 1y after transplant</w:t>
            </w:r>
            <w:r>
              <w:rPr>
                <w:rFonts w:ascii="Book Antiqua" w:hAnsi="Book Antiqua" w:hint="eastAsia"/>
                <w:szCs w:val="21"/>
                <w:vertAlign w:val="superscript"/>
              </w:rPr>
              <w:t xml:space="preserve"> 1</w:t>
            </w:r>
            <w:r w:rsidRPr="00F31D0D">
              <w:rPr>
                <w:rFonts w:ascii="Book Antiqua" w:hAnsi="Book Antiqua"/>
                <w:szCs w:val="21"/>
                <w:lang w:eastAsia="pt-BR"/>
              </w:rPr>
              <w:t xml:space="preserve"> </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24.3</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4.3</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Abdominal circumference 1y after transplant (cm)</w:t>
            </w:r>
            <w:r>
              <w:rPr>
                <w:rFonts w:ascii="Book Antiqua" w:hAnsi="Book Antiqua" w:hint="eastAsia"/>
                <w:szCs w:val="21"/>
                <w:vertAlign w:val="superscript"/>
              </w:rPr>
              <w:t xml:space="preserve"> 1</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89.4</w:t>
            </w:r>
            <w:r>
              <w:rPr>
                <w:rFonts w:ascii="Book Antiqua" w:hAnsi="Book Antiqua" w:hint="eastAsia"/>
                <w:szCs w:val="21"/>
              </w:rPr>
              <w:t xml:space="preserve"> </w:t>
            </w:r>
            <w:r w:rsidRPr="00F31D0D">
              <w:rPr>
                <w:rFonts w:ascii="Book Antiqua" w:hAnsi="Book Antiqua"/>
                <w:szCs w:val="21"/>
                <w:lang w:eastAsia="pt-BR"/>
              </w:rPr>
              <w:sym w:font="Symbol" w:char="F0B1"/>
            </w:r>
            <w:r>
              <w:rPr>
                <w:rFonts w:ascii="Book Antiqua" w:hAnsi="Book Antiqua" w:hint="eastAsia"/>
                <w:szCs w:val="21"/>
              </w:rPr>
              <w:t xml:space="preserve"> </w:t>
            </w:r>
            <w:r w:rsidRPr="00F31D0D">
              <w:rPr>
                <w:rFonts w:ascii="Book Antiqua" w:hAnsi="Book Antiqua"/>
                <w:szCs w:val="21"/>
                <w:lang w:eastAsia="pt-BR"/>
              </w:rPr>
              <w:t>8.7</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Tobacco consumption</w:t>
            </w:r>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8</w:t>
            </w:r>
            <w:r>
              <w:rPr>
                <w:rFonts w:ascii="Book Antiqua" w:hAnsi="Book Antiqua" w:hint="eastAsia"/>
                <w:szCs w:val="21"/>
              </w:rPr>
              <w:t xml:space="preserve"> </w:t>
            </w:r>
            <w:r w:rsidRPr="00F31D0D">
              <w:rPr>
                <w:rFonts w:ascii="Book Antiqua" w:hAnsi="Book Antiqua"/>
                <w:szCs w:val="21"/>
                <w:lang w:eastAsia="pt-BR"/>
              </w:rPr>
              <w:t>(18.2)</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 xml:space="preserve">Arterial hypertension </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16</w:t>
            </w:r>
            <w:r>
              <w:rPr>
                <w:rFonts w:ascii="Book Antiqua" w:hAnsi="Book Antiqua" w:hint="eastAsia"/>
                <w:szCs w:val="21"/>
              </w:rPr>
              <w:t xml:space="preserve"> </w:t>
            </w:r>
            <w:r w:rsidRPr="00F31D0D">
              <w:rPr>
                <w:rFonts w:ascii="Book Antiqua" w:hAnsi="Book Antiqua"/>
                <w:szCs w:val="21"/>
                <w:lang w:eastAsia="pt-BR"/>
              </w:rPr>
              <w:t>(36.4)</w:t>
            </w:r>
          </w:p>
        </w:tc>
      </w:tr>
      <w:tr w:rsidR="00F31D0D" w:rsidRPr="00F31D0D" w:rsidTr="00B62F20">
        <w:trPr>
          <w:jc w:val="center"/>
        </w:trPr>
        <w:tc>
          <w:tcPr>
            <w:tcW w:w="5318"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proofErr w:type="spellStart"/>
            <w:r w:rsidRPr="00F31D0D">
              <w:rPr>
                <w:rFonts w:ascii="Book Antiqua" w:hAnsi="Book Antiqua"/>
                <w:szCs w:val="21"/>
                <w:lang w:eastAsia="pt-BR"/>
              </w:rPr>
              <w:t>Sedentarism</w:t>
            </w:r>
            <w:proofErr w:type="spellEnd"/>
          </w:p>
        </w:tc>
        <w:tc>
          <w:tcPr>
            <w:tcW w:w="2083" w:type="dxa"/>
            <w:tcBorders>
              <w:left w:val="nil"/>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28</w:t>
            </w:r>
            <w:r>
              <w:rPr>
                <w:rFonts w:ascii="Book Antiqua" w:hAnsi="Book Antiqua" w:hint="eastAsia"/>
                <w:szCs w:val="21"/>
              </w:rPr>
              <w:t xml:space="preserve"> </w:t>
            </w:r>
            <w:r w:rsidRPr="00F31D0D">
              <w:rPr>
                <w:rFonts w:ascii="Book Antiqua" w:hAnsi="Book Antiqua"/>
                <w:szCs w:val="21"/>
                <w:lang w:eastAsia="pt-BR"/>
              </w:rPr>
              <w:t>(66.3)</w:t>
            </w:r>
          </w:p>
        </w:tc>
      </w:tr>
      <w:tr w:rsidR="00F31D0D" w:rsidRPr="00F31D0D" w:rsidTr="00B62F20">
        <w:trPr>
          <w:jc w:val="center"/>
        </w:trPr>
        <w:tc>
          <w:tcPr>
            <w:tcW w:w="5318"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Metabolic syndrome</w:t>
            </w:r>
          </w:p>
        </w:tc>
        <w:tc>
          <w:tcPr>
            <w:tcW w:w="2083" w:type="dxa"/>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10</w:t>
            </w:r>
            <w:r>
              <w:rPr>
                <w:rFonts w:ascii="Book Antiqua" w:hAnsi="Book Antiqua" w:hint="eastAsia"/>
                <w:szCs w:val="21"/>
              </w:rPr>
              <w:t xml:space="preserve"> </w:t>
            </w:r>
            <w:r w:rsidRPr="00F31D0D">
              <w:rPr>
                <w:rFonts w:ascii="Book Antiqua" w:hAnsi="Book Antiqua"/>
                <w:szCs w:val="21"/>
                <w:lang w:eastAsia="pt-BR"/>
              </w:rPr>
              <w:t>(22.7)</w:t>
            </w:r>
          </w:p>
        </w:tc>
      </w:tr>
      <w:tr w:rsidR="00F31D0D" w:rsidRPr="00F31D0D" w:rsidTr="00B62F20">
        <w:trPr>
          <w:jc w:val="center"/>
        </w:trPr>
        <w:tc>
          <w:tcPr>
            <w:tcW w:w="5318" w:type="dxa"/>
            <w:tcBorders>
              <w:left w:val="nil"/>
              <w:bottom w:val="single" w:sz="8" w:space="0" w:color="auto"/>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Framingham risk score (10-yr)</w:t>
            </w:r>
            <w:r>
              <w:rPr>
                <w:rFonts w:ascii="Book Antiqua" w:hAnsi="Book Antiqua" w:hint="eastAsia"/>
                <w:szCs w:val="21"/>
                <w:vertAlign w:val="superscript"/>
              </w:rPr>
              <w:t xml:space="preserve"> 2</w:t>
            </w:r>
          </w:p>
        </w:tc>
        <w:tc>
          <w:tcPr>
            <w:tcW w:w="2083" w:type="dxa"/>
            <w:tcBorders>
              <w:left w:val="nil"/>
              <w:bottom w:val="single" w:sz="8" w:space="0" w:color="auto"/>
              <w:right w:val="nil"/>
            </w:tcBorders>
            <w:shd w:val="clear" w:color="auto" w:fill="auto"/>
          </w:tcPr>
          <w:p w:rsidR="00F31D0D" w:rsidRPr="00F31D0D" w:rsidRDefault="00F31D0D" w:rsidP="00F31D0D">
            <w:pPr>
              <w:spacing w:line="360" w:lineRule="auto"/>
              <w:rPr>
                <w:rFonts w:ascii="Book Antiqua" w:hAnsi="Book Antiqua"/>
                <w:szCs w:val="21"/>
                <w:lang w:eastAsia="pt-BR"/>
              </w:rPr>
            </w:pPr>
            <w:r w:rsidRPr="00F31D0D">
              <w:rPr>
                <w:rFonts w:ascii="Book Antiqua" w:hAnsi="Book Antiqua"/>
                <w:szCs w:val="21"/>
                <w:lang w:eastAsia="pt-BR"/>
              </w:rPr>
              <w:t xml:space="preserve">2.0 </w:t>
            </w:r>
            <w:r>
              <w:rPr>
                <w:rFonts w:ascii="Book Antiqua" w:hAnsi="Book Antiqua" w:hint="eastAsia"/>
                <w:szCs w:val="21"/>
              </w:rPr>
              <w:t xml:space="preserve"> </w:t>
            </w:r>
            <w:r w:rsidRPr="00F31D0D">
              <w:rPr>
                <w:rFonts w:ascii="Book Antiqua" w:hAnsi="Book Antiqua"/>
                <w:szCs w:val="21"/>
                <w:lang w:eastAsia="pt-BR"/>
              </w:rPr>
              <w:t>(1.0-8.75)</w:t>
            </w:r>
          </w:p>
        </w:tc>
      </w:tr>
    </w:tbl>
    <w:p w:rsidR="00F31D0D" w:rsidRPr="00F31D0D" w:rsidRDefault="00F31D0D" w:rsidP="00F31D0D">
      <w:pPr>
        <w:spacing w:line="360" w:lineRule="auto"/>
        <w:rPr>
          <w:rFonts w:ascii="Book Antiqua" w:hAnsi="Book Antiqua"/>
          <w:sz w:val="24"/>
          <w:szCs w:val="24"/>
        </w:rPr>
      </w:pPr>
      <w:proofErr w:type="gramStart"/>
      <w:r>
        <w:rPr>
          <w:rFonts w:ascii="Book Antiqua" w:hAnsi="Book Antiqua" w:hint="eastAsia"/>
          <w:sz w:val="24"/>
          <w:szCs w:val="24"/>
          <w:vertAlign w:val="superscript"/>
        </w:rPr>
        <w:t>1</w:t>
      </w:r>
      <w:r w:rsidRPr="00F31D0D">
        <w:rPr>
          <w:rFonts w:ascii="Book Antiqua" w:hAnsi="Book Antiqua"/>
          <w:sz w:val="24"/>
          <w:szCs w:val="24"/>
        </w:rPr>
        <w:t xml:space="preserve">Mean and standard deviation; </w:t>
      </w:r>
      <w:r>
        <w:rPr>
          <w:rFonts w:ascii="Book Antiqua" w:hAnsi="Book Antiqua" w:hint="eastAsia"/>
          <w:sz w:val="24"/>
          <w:szCs w:val="24"/>
          <w:vertAlign w:val="superscript"/>
        </w:rPr>
        <w:t>2</w:t>
      </w:r>
      <w:r w:rsidRPr="00F31D0D">
        <w:rPr>
          <w:rFonts w:ascii="Book Antiqua" w:hAnsi="Book Antiqua"/>
          <w:sz w:val="24"/>
          <w:szCs w:val="24"/>
        </w:rPr>
        <w:t>Median and 25</w:t>
      </w:r>
      <w:r w:rsidRPr="00F31D0D">
        <w:rPr>
          <w:rFonts w:ascii="Book Antiqua" w:hAnsi="Book Antiqua"/>
          <w:sz w:val="24"/>
          <w:szCs w:val="24"/>
          <w:vertAlign w:val="superscript"/>
        </w:rPr>
        <w:t>th</w:t>
      </w:r>
      <w:r w:rsidRPr="00F31D0D">
        <w:rPr>
          <w:rFonts w:ascii="Book Antiqua" w:hAnsi="Book Antiqua"/>
          <w:sz w:val="24"/>
          <w:szCs w:val="24"/>
        </w:rPr>
        <w:t>-75</w:t>
      </w:r>
      <w:r w:rsidRPr="00F31D0D">
        <w:rPr>
          <w:rFonts w:ascii="Book Antiqua" w:hAnsi="Book Antiqua"/>
          <w:sz w:val="24"/>
          <w:szCs w:val="24"/>
          <w:vertAlign w:val="superscript"/>
        </w:rPr>
        <w:t>th</w:t>
      </w:r>
      <w:r>
        <w:rPr>
          <w:rFonts w:ascii="Book Antiqua" w:hAnsi="Book Antiqua"/>
          <w:sz w:val="24"/>
          <w:szCs w:val="24"/>
        </w:rPr>
        <w:t xml:space="preserve"> percentiles</w:t>
      </w:r>
      <w:r>
        <w:rPr>
          <w:rFonts w:ascii="Book Antiqua" w:hAnsi="Book Antiqua" w:hint="eastAsia"/>
          <w:sz w:val="24"/>
          <w:szCs w:val="24"/>
        </w:rPr>
        <w:t>.</w:t>
      </w:r>
      <w:proofErr w:type="gramEnd"/>
      <w:r>
        <w:rPr>
          <w:rFonts w:ascii="Book Antiqua" w:hAnsi="Book Antiqua" w:hint="eastAsia"/>
          <w:sz w:val="24"/>
          <w:szCs w:val="24"/>
        </w:rPr>
        <w:t xml:space="preserve"> </w:t>
      </w:r>
      <w:r w:rsidRPr="00F31D0D">
        <w:rPr>
          <w:rFonts w:ascii="Book Antiqua" w:hAnsi="Book Antiqua"/>
          <w:sz w:val="24"/>
          <w:szCs w:val="24"/>
        </w:rPr>
        <w:t>BMI</w:t>
      </w:r>
      <w:r>
        <w:rPr>
          <w:rFonts w:ascii="Book Antiqua" w:hAnsi="Book Antiqua" w:hint="eastAsia"/>
          <w:sz w:val="24"/>
          <w:szCs w:val="24"/>
        </w:rPr>
        <w:t>:</w:t>
      </w:r>
      <w:r w:rsidRPr="00F31D0D">
        <w:rPr>
          <w:rFonts w:ascii="Book Antiqua" w:hAnsi="Book Antiqua"/>
          <w:sz w:val="24"/>
          <w:szCs w:val="24"/>
        </w:rPr>
        <w:t xml:space="preserve"> Body mass index.</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Default="00F31D0D" w:rsidP="00F31D0D">
      <w:pPr>
        <w:spacing w:line="360" w:lineRule="auto"/>
        <w:rPr>
          <w:rFonts w:ascii="Book Antiqua" w:hAnsi="Book Antiqua"/>
          <w:sz w:val="24"/>
          <w:szCs w:val="24"/>
        </w:rPr>
      </w:pPr>
    </w:p>
    <w:p w:rsidR="00F31D0D" w:rsidRPr="00AD301C" w:rsidRDefault="00F31D0D" w:rsidP="00F31D0D">
      <w:pPr>
        <w:spacing w:line="360" w:lineRule="auto"/>
        <w:rPr>
          <w:rFonts w:ascii="Book Antiqua" w:hAnsi="Book Antiqua"/>
          <w:b/>
          <w:sz w:val="24"/>
          <w:szCs w:val="24"/>
        </w:rPr>
      </w:pPr>
      <w:r w:rsidRPr="00AD301C">
        <w:rPr>
          <w:rFonts w:ascii="Book Antiqua" w:hAnsi="Book Antiqua"/>
          <w:b/>
          <w:sz w:val="24"/>
          <w:szCs w:val="24"/>
        </w:rPr>
        <w:lastRenderedPageBreak/>
        <w:t>Table 2</w:t>
      </w:r>
      <w:r w:rsidRPr="00AD301C">
        <w:rPr>
          <w:rFonts w:ascii="Book Antiqua" w:hAnsi="Book Antiqua"/>
          <w:b/>
          <w:sz w:val="24"/>
          <w:szCs w:val="24"/>
        </w:rPr>
        <w:tab/>
        <w:t>Demographic and clinical characteristics of the studied population</w:t>
      </w:r>
    </w:p>
    <w:tbl>
      <w:tblPr>
        <w:tblW w:w="8421" w:type="dxa"/>
        <w:jc w:val="center"/>
        <w:tblBorders>
          <w:top w:val="single" w:sz="8" w:space="0" w:color="4F81BD"/>
          <w:bottom w:val="single" w:sz="8" w:space="0" w:color="4F81BD"/>
        </w:tblBorders>
        <w:tblLook w:val="04A0" w:firstRow="1" w:lastRow="0" w:firstColumn="1" w:lastColumn="0" w:noHBand="0" w:noVBand="1"/>
      </w:tblPr>
      <w:tblGrid>
        <w:gridCol w:w="2217"/>
        <w:gridCol w:w="1572"/>
        <w:gridCol w:w="1655"/>
        <w:gridCol w:w="1465"/>
        <w:gridCol w:w="1512"/>
      </w:tblGrid>
      <w:tr w:rsidR="00F31D0D" w:rsidRPr="00F31D0D" w:rsidTr="00AD301C">
        <w:trPr>
          <w:trHeight w:val="618"/>
          <w:jc w:val="center"/>
        </w:trPr>
        <w:tc>
          <w:tcPr>
            <w:tcW w:w="2217" w:type="dxa"/>
            <w:tcBorders>
              <w:top w:val="single" w:sz="8" w:space="0" w:color="4F81BD"/>
              <w:left w:val="nil"/>
              <w:bottom w:val="single" w:sz="8" w:space="0" w:color="4F81BD"/>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 xml:space="preserve">Variable </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(mean</w:t>
            </w:r>
            <w:r w:rsidRPr="00AD301C">
              <w:rPr>
                <w:rFonts w:ascii="Book Antiqua" w:hAnsi="Book Antiqua" w:hint="eastAsia"/>
                <w:b/>
                <w:sz w:val="24"/>
                <w:szCs w:val="24"/>
              </w:rPr>
              <w:t xml:space="preserve"> </w:t>
            </w:r>
            <w:r w:rsidRPr="00AD301C">
              <w:rPr>
                <w:rFonts w:ascii="Book Antiqua" w:hAnsi="Book Antiqua"/>
                <w:b/>
                <w:sz w:val="24"/>
                <w:szCs w:val="24"/>
                <w:lang w:eastAsia="pt-BR"/>
              </w:rPr>
              <w:t>±</w:t>
            </w:r>
            <w:r w:rsidRPr="00AD301C">
              <w:rPr>
                <w:rFonts w:ascii="Book Antiqua" w:hAnsi="Book Antiqua" w:hint="eastAsia"/>
                <w:b/>
                <w:sz w:val="24"/>
                <w:szCs w:val="24"/>
              </w:rPr>
              <w:t xml:space="preserve"> </w:t>
            </w:r>
            <w:r w:rsidRPr="00AD301C">
              <w:rPr>
                <w:rFonts w:ascii="Book Antiqua" w:hAnsi="Book Antiqua"/>
                <w:b/>
                <w:sz w:val="24"/>
                <w:szCs w:val="24"/>
                <w:lang w:eastAsia="pt-BR"/>
              </w:rPr>
              <w:t>SEM) otherwise indicated</w:t>
            </w:r>
          </w:p>
        </w:tc>
        <w:tc>
          <w:tcPr>
            <w:tcW w:w="1572" w:type="dxa"/>
            <w:tcBorders>
              <w:top w:val="single" w:sz="8" w:space="0" w:color="4F81BD"/>
              <w:left w:val="nil"/>
              <w:bottom w:val="single" w:sz="8" w:space="0" w:color="4F81BD"/>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NASH</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w:t>
            </w:r>
            <w:r w:rsidRPr="00AD301C">
              <w:rPr>
                <w:rFonts w:ascii="Book Antiqua" w:hAnsi="Book Antiqua"/>
                <w:b/>
                <w:i/>
                <w:sz w:val="24"/>
                <w:szCs w:val="24"/>
                <w:lang w:eastAsia="pt-BR"/>
              </w:rPr>
              <w:t>n</w:t>
            </w:r>
            <w:r w:rsidRPr="00AD301C">
              <w:rPr>
                <w:rFonts w:ascii="Book Antiqua" w:hAnsi="Book Antiqua" w:hint="eastAsia"/>
                <w:b/>
                <w:sz w:val="24"/>
                <w:szCs w:val="24"/>
              </w:rPr>
              <w:t xml:space="preserve"> </w:t>
            </w:r>
            <w:r w:rsidRPr="00AD301C">
              <w:rPr>
                <w:rFonts w:ascii="Book Antiqua" w:hAnsi="Book Antiqua"/>
                <w:b/>
                <w:sz w:val="24"/>
                <w:szCs w:val="24"/>
                <w:lang w:eastAsia="pt-BR"/>
              </w:rPr>
              <w:t>=</w:t>
            </w:r>
            <w:r w:rsidRPr="00AD301C">
              <w:rPr>
                <w:rFonts w:ascii="Book Antiqua" w:hAnsi="Book Antiqua" w:hint="eastAsia"/>
                <w:b/>
                <w:sz w:val="24"/>
                <w:szCs w:val="24"/>
              </w:rPr>
              <w:t xml:space="preserve"> </w:t>
            </w:r>
            <w:r w:rsidRPr="00AD301C">
              <w:rPr>
                <w:rFonts w:ascii="Book Antiqua" w:hAnsi="Book Antiqua"/>
                <w:b/>
                <w:sz w:val="24"/>
                <w:szCs w:val="24"/>
                <w:lang w:eastAsia="pt-BR"/>
              </w:rPr>
              <w:t>22)</w:t>
            </w:r>
          </w:p>
        </w:tc>
        <w:tc>
          <w:tcPr>
            <w:tcW w:w="1655" w:type="dxa"/>
            <w:tcBorders>
              <w:top w:val="single" w:sz="8" w:space="0" w:color="4F81BD"/>
              <w:left w:val="nil"/>
              <w:bottom w:val="single" w:sz="8" w:space="0" w:color="4F81BD"/>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LT                      (</w:t>
            </w:r>
            <w:r w:rsidRPr="00AD301C">
              <w:rPr>
                <w:rFonts w:ascii="Book Antiqua" w:hAnsi="Book Antiqua"/>
                <w:b/>
                <w:i/>
                <w:sz w:val="24"/>
                <w:szCs w:val="24"/>
                <w:lang w:eastAsia="pt-BR"/>
              </w:rPr>
              <w:t>n</w:t>
            </w:r>
            <w:r w:rsidRPr="00AD301C">
              <w:rPr>
                <w:rFonts w:ascii="Book Antiqua" w:hAnsi="Book Antiqua" w:hint="eastAsia"/>
                <w:b/>
                <w:sz w:val="24"/>
                <w:szCs w:val="24"/>
              </w:rPr>
              <w:t xml:space="preserve"> </w:t>
            </w:r>
            <w:r w:rsidRPr="00AD301C">
              <w:rPr>
                <w:rFonts w:ascii="Book Antiqua" w:hAnsi="Book Antiqua"/>
                <w:b/>
                <w:sz w:val="24"/>
                <w:szCs w:val="24"/>
                <w:lang w:eastAsia="pt-BR"/>
              </w:rPr>
              <w:t>=</w:t>
            </w:r>
            <w:r w:rsidRPr="00AD301C">
              <w:rPr>
                <w:rFonts w:ascii="Book Antiqua" w:hAnsi="Book Antiqua" w:hint="eastAsia"/>
                <w:b/>
                <w:sz w:val="24"/>
                <w:szCs w:val="24"/>
              </w:rPr>
              <w:t xml:space="preserve"> </w:t>
            </w:r>
            <w:r w:rsidRPr="00AD301C">
              <w:rPr>
                <w:rFonts w:ascii="Book Antiqua" w:hAnsi="Book Antiqua"/>
                <w:b/>
                <w:sz w:val="24"/>
                <w:szCs w:val="24"/>
                <w:lang w:eastAsia="pt-BR"/>
              </w:rPr>
              <w:t>44)</w:t>
            </w:r>
          </w:p>
        </w:tc>
        <w:tc>
          <w:tcPr>
            <w:tcW w:w="1465" w:type="dxa"/>
            <w:tcBorders>
              <w:top w:val="single" w:sz="8" w:space="0" w:color="4F81BD"/>
              <w:left w:val="nil"/>
              <w:bottom w:val="single" w:sz="8" w:space="0" w:color="4F81BD"/>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Controls  (</w:t>
            </w:r>
            <w:r w:rsidRPr="00AD301C">
              <w:rPr>
                <w:rFonts w:ascii="Book Antiqua" w:hAnsi="Book Antiqua"/>
                <w:b/>
                <w:i/>
                <w:sz w:val="24"/>
                <w:szCs w:val="24"/>
                <w:lang w:eastAsia="pt-BR"/>
              </w:rPr>
              <w:t>n</w:t>
            </w:r>
            <w:r w:rsidRPr="00AD301C">
              <w:rPr>
                <w:rFonts w:ascii="Book Antiqua" w:hAnsi="Book Antiqua" w:hint="eastAsia"/>
                <w:b/>
                <w:sz w:val="24"/>
                <w:szCs w:val="24"/>
              </w:rPr>
              <w:t xml:space="preserve"> </w:t>
            </w:r>
            <w:r w:rsidRPr="00AD301C">
              <w:rPr>
                <w:rFonts w:ascii="Book Antiqua" w:hAnsi="Book Antiqua"/>
                <w:b/>
                <w:sz w:val="24"/>
                <w:szCs w:val="24"/>
                <w:lang w:eastAsia="pt-BR"/>
              </w:rPr>
              <w:t>=</w:t>
            </w:r>
            <w:r w:rsidRPr="00AD301C">
              <w:rPr>
                <w:rFonts w:ascii="Book Antiqua" w:hAnsi="Book Antiqua" w:hint="eastAsia"/>
                <w:b/>
                <w:sz w:val="24"/>
                <w:szCs w:val="24"/>
              </w:rPr>
              <w:t xml:space="preserve"> </w:t>
            </w:r>
            <w:r w:rsidRPr="00AD301C">
              <w:rPr>
                <w:rFonts w:ascii="Book Antiqua" w:hAnsi="Book Antiqua"/>
                <w:b/>
                <w:sz w:val="24"/>
                <w:szCs w:val="24"/>
                <w:lang w:eastAsia="pt-BR"/>
              </w:rPr>
              <w:t>20)</w:t>
            </w:r>
          </w:p>
        </w:tc>
        <w:tc>
          <w:tcPr>
            <w:tcW w:w="1512" w:type="dxa"/>
            <w:tcBorders>
              <w:top w:val="single" w:sz="8" w:space="0" w:color="4F81BD"/>
              <w:left w:val="nil"/>
              <w:bottom w:val="single" w:sz="8" w:space="0" w:color="4F81BD"/>
              <w:right w:val="nil"/>
            </w:tcBorders>
            <w:shd w:val="clear" w:color="auto" w:fill="auto"/>
          </w:tcPr>
          <w:p w:rsidR="00F31D0D" w:rsidRPr="00AD301C" w:rsidRDefault="00F31D0D" w:rsidP="00F31D0D">
            <w:pPr>
              <w:spacing w:line="360" w:lineRule="auto"/>
              <w:rPr>
                <w:rFonts w:ascii="Book Antiqua" w:hAnsi="Book Antiqua"/>
                <w:b/>
                <w:sz w:val="24"/>
                <w:szCs w:val="24"/>
              </w:rPr>
            </w:pPr>
            <w:r w:rsidRPr="00AD301C">
              <w:rPr>
                <w:rFonts w:ascii="Book Antiqua" w:hAnsi="Book Antiqua"/>
                <w:b/>
                <w:i/>
                <w:sz w:val="24"/>
                <w:szCs w:val="24"/>
                <w:lang w:eastAsia="pt-BR"/>
              </w:rPr>
              <w:t>P</w:t>
            </w:r>
            <w:r w:rsidRPr="00AD301C">
              <w:rPr>
                <w:rFonts w:ascii="Book Antiqua" w:hAnsi="Book Antiqua" w:hint="eastAsia"/>
                <w:b/>
                <w:sz w:val="24"/>
                <w:szCs w:val="24"/>
                <w:vertAlign w:val="superscript"/>
              </w:rPr>
              <w:t>1</w:t>
            </w:r>
          </w:p>
        </w:tc>
      </w:tr>
      <w:tr w:rsidR="00F31D0D" w:rsidRPr="00F31D0D" w:rsidTr="00AD301C">
        <w:trPr>
          <w:trHeight w:val="528"/>
          <w:jc w:val="center"/>
        </w:trPr>
        <w:tc>
          <w:tcPr>
            <w:tcW w:w="2217"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Age </w:t>
            </w:r>
          </w:p>
        </w:tc>
        <w:tc>
          <w:tcPr>
            <w:tcW w:w="1572" w:type="dxa"/>
            <w:tcBorders>
              <w:left w:val="nil"/>
              <w:right w:val="nil"/>
            </w:tcBorders>
            <w:shd w:val="clear" w:color="auto" w:fill="auto"/>
          </w:tcPr>
          <w:p w:rsidR="00F31D0D" w:rsidRPr="00F31D0D" w:rsidRDefault="00F31D0D" w:rsidP="00AD301C">
            <w:pPr>
              <w:spacing w:line="360" w:lineRule="auto"/>
              <w:rPr>
                <w:rFonts w:ascii="Book Antiqua" w:hAnsi="Book Antiqua"/>
                <w:sz w:val="24"/>
                <w:szCs w:val="24"/>
                <w:lang w:eastAsia="pt-BR"/>
              </w:rPr>
            </w:pPr>
            <w:r w:rsidRPr="00F31D0D">
              <w:rPr>
                <w:rFonts w:ascii="Book Antiqua" w:hAnsi="Book Antiqua"/>
                <w:sz w:val="24"/>
                <w:szCs w:val="24"/>
                <w:lang w:eastAsia="pt-BR"/>
              </w:rPr>
              <w:t>58.5</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6.51</w:t>
            </w:r>
            <w:r w:rsidR="00AD301C">
              <w:rPr>
                <w:rFonts w:ascii="Book Antiqua" w:hAnsi="Book Antiqua" w:hint="eastAsia"/>
                <w:sz w:val="24"/>
                <w:szCs w:val="24"/>
                <w:vertAlign w:val="superscript"/>
              </w:rPr>
              <w:t>1</w:t>
            </w:r>
            <w:r w:rsidRPr="00F31D0D">
              <w:rPr>
                <w:rFonts w:ascii="Book Antiqua" w:hAnsi="Book Antiqua"/>
                <w:sz w:val="24"/>
                <w:szCs w:val="24"/>
                <w:lang w:eastAsia="pt-BR"/>
              </w:rPr>
              <w:t xml:space="preserve">                  </w:t>
            </w:r>
          </w:p>
        </w:tc>
        <w:tc>
          <w:tcPr>
            <w:tcW w:w="1655"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50.8</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 xml:space="preserve">14.3                      </w:t>
            </w:r>
          </w:p>
        </w:tc>
        <w:tc>
          <w:tcPr>
            <w:tcW w:w="1465"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51.2</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 xml:space="preserve">9.31                  </w:t>
            </w:r>
          </w:p>
        </w:tc>
        <w:tc>
          <w:tcPr>
            <w:tcW w:w="1512"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AD301C">
              <w:rPr>
                <w:rFonts w:ascii="Book Antiqua" w:hAnsi="Book Antiqua" w:hint="eastAsia"/>
                <w:sz w:val="24"/>
                <w:szCs w:val="24"/>
              </w:rPr>
              <w:t xml:space="preserve"> </w:t>
            </w:r>
            <w:r w:rsidRPr="00F31D0D">
              <w:rPr>
                <w:rFonts w:ascii="Book Antiqua" w:hAnsi="Book Antiqua"/>
                <w:sz w:val="24"/>
                <w:szCs w:val="24"/>
                <w:lang w:eastAsia="pt-BR"/>
              </w:rPr>
              <w:t>0.001</w:t>
            </w:r>
          </w:p>
        </w:tc>
      </w:tr>
      <w:tr w:rsidR="00F31D0D" w:rsidRPr="00F31D0D" w:rsidTr="00AD301C">
        <w:trPr>
          <w:trHeight w:val="528"/>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Sex %male/female</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36.3/63.7</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65.9/34.1</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53.4/46.7</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p>
        </w:tc>
      </w:tr>
      <w:tr w:rsidR="00F31D0D" w:rsidRPr="00F31D0D" w:rsidTr="00AD301C">
        <w:trPr>
          <w:trHeight w:val="528"/>
          <w:jc w:val="center"/>
        </w:trPr>
        <w:tc>
          <w:tcPr>
            <w:tcW w:w="2217"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BMI </w:t>
            </w:r>
          </w:p>
        </w:tc>
        <w:tc>
          <w:tcPr>
            <w:tcW w:w="1572" w:type="dxa"/>
            <w:tcBorders>
              <w:left w:val="nil"/>
              <w:right w:val="nil"/>
            </w:tcBorders>
            <w:shd w:val="clear" w:color="auto" w:fill="auto"/>
          </w:tcPr>
          <w:p w:rsidR="00F31D0D" w:rsidRPr="00F31D0D" w:rsidRDefault="00F31D0D" w:rsidP="00AD301C">
            <w:pPr>
              <w:spacing w:line="360" w:lineRule="auto"/>
              <w:rPr>
                <w:rFonts w:ascii="Book Antiqua" w:hAnsi="Book Antiqua"/>
                <w:sz w:val="24"/>
                <w:szCs w:val="24"/>
              </w:rPr>
            </w:pPr>
            <w:r w:rsidRPr="00F31D0D">
              <w:rPr>
                <w:rFonts w:ascii="Book Antiqua" w:hAnsi="Book Antiqua"/>
                <w:sz w:val="24"/>
                <w:szCs w:val="24"/>
                <w:lang w:eastAsia="pt-BR"/>
              </w:rPr>
              <w:t>31.7</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4.35</w:t>
            </w:r>
            <w:r w:rsidR="00AD301C">
              <w:rPr>
                <w:rFonts w:ascii="Book Antiqua" w:hAnsi="Book Antiqua" w:hint="eastAsia"/>
                <w:sz w:val="24"/>
                <w:szCs w:val="24"/>
                <w:vertAlign w:val="superscript"/>
              </w:rPr>
              <w:t>1</w:t>
            </w:r>
          </w:p>
        </w:tc>
        <w:tc>
          <w:tcPr>
            <w:tcW w:w="1655"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24.3</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4.3</w:t>
            </w:r>
          </w:p>
        </w:tc>
        <w:tc>
          <w:tcPr>
            <w:tcW w:w="1465"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25.1</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2.7</w:t>
            </w:r>
          </w:p>
        </w:tc>
        <w:tc>
          <w:tcPr>
            <w:tcW w:w="1512"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AD301C">
              <w:rPr>
                <w:rFonts w:ascii="Book Antiqua" w:hAnsi="Book Antiqua" w:hint="eastAsia"/>
                <w:sz w:val="24"/>
                <w:szCs w:val="24"/>
              </w:rPr>
              <w:t xml:space="preserve"> </w:t>
            </w:r>
            <w:r w:rsidRPr="00F31D0D">
              <w:rPr>
                <w:rFonts w:ascii="Book Antiqua" w:hAnsi="Book Antiqua"/>
                <w:sz w:val="24"/>
                <w:szCs w:val="24"/>
                <w:lang w:eastAsia="pt-BR"/>
              </w:rPr>
              <w:t>0.001</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Fasting glucose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139.7</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60.6</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118.1</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46.8</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AD301C">
              <w:rPr>
                <w:rFonts w:ascii="Book Antiqua" w:hAnsi="Book Antiqua" w:hint="eastAsia"/>
                <w:sz w:val="24"/>
                <w:szCs w:val="24"/>
              </w:rPr>
              <w:t xml:space="preserve"> </w:t>
            </w:r>
            <w:r w:rsidRPr="00F31D0D">
              <w:rPr>
                <w:rFonts w:ascii="Book Antiqua" w:hAnsi="Book Antiqua"/>
                <w:sz w:val="24"/>
                <w:szCs w:val="24"/>
                <w:lang w:eastAsia="pt-BR"/>
              </w:rPr>
              <w:t>0.001</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Fasting insulin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17.6</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8.68</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12.15</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7.7</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0.03</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HOMA-IR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6.173</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6.68</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3.43±</w:t>
            </w:r>
            <w:r w:rsidR="00AD301C">
              <w:rPr>
                <w:rFonts w:ascii="Book Antiqua" w:hAnsi="Book Antiqua" w:hint="eastAsia"/>
                <w:sz w:val="24"/>
                <w:szCs w:val="24"/>
              </w:rPr>
              <w:t xml:space="preserve"> </w:t>
            </w:r>
            <w:r w:rsidRPr="00F31D0D">
              <w:rPr>
                <w:rFonts w:ascii="Book Antiqua" w:hAnsi="Book Antiqua"/>
                <w:sz w:val="24"/>
                <w:szCs w:val="24"/>
                <w:lang w:eastAsia="pt-BR"/>
              </w:rPr>
              <w:t>2.4</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AD301C">
              <w:rPr>
                <w:rFonts w:ascii="Book Antiqua" w:hAnsi="Book Antiqua" w:hint="eastAsia"/>
                <w:sz w:val="24"/>
                <w:szCs w:val="24"/>
              </w:rPr>
              <w:t xml:space="preserve"> </w:t>
            </w:r>
            <w:r w:rsidRPr="00F31D0D">
              <w:rPr>
                <w:rFonts w:ascii="Book Antiqua" w:hAnsi="Book Antiqua"/>
                <w:sz w:val="24"/>
                <w:szCs w:val="24"/>
                <w:lang w:eastAsia="pt-BR"/>
              </w:rPr>
              <w:t>0.001</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AST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45.5</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28.5</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23</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18.1</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0.002</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ALT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58.8</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45.5</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23</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15.3</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AD301C">
              <w:rPr>
                <w:rFonts w:ascii="Book Antiqua" w:hAnsi="Book Antiqua" w:hint="eastAsia"/>
                <w:sz w:val="24"/>
                <w:szCs w:val="24"/>
              </w:rPr>
              <w:t xml:space="preserve"> </w:t>
            </w:r>
            <w:r w:rsidRPr="00F31D0D">
              <w:rPr>
                <w:rFonts w:ascii="Book Antiqua" w:hAnsi="Book Antiqua"/>
                <w:sz w:val="24"/>
                <w:szCs w:val="24"/>
                <w:lang w:eastAsia="pt-BR"/>
              </w:rPr>
              <w:t>0.001</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Total cholesterol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199.5</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44.3</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171.27</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26.8</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NS</w:t>
            </w:r>
          </w:p>
        </w:tc>
      </w:tr>
      <w:tr w:rsidR="00F31D0D" w:rsidRPr="00F31D0D" w:rsidTr="00AD301C">
        <w:trPr>
          <w:trHeight w:val="540"/>
          <w:jc w:val="center"/>
        </w:trPr>
        <w:tc>
          <w:tcPr>
            <w:tcW w:w="2217"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HDL cholesterol </w:t>
            </w:r>
          </w:p>
        </w:tc>
        <w:tc>
          <w:tcPr>
            <w:tcW w:w="15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50.1</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12.3</w:t>
            </w:r>
          </w:p>
        </w:tc>
        <w:tc>
          <w:tcPr>
            <w:tcW w:w="165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49.6</w:t>
            </w:r>
            <w:r w:rsidR="00AD301C">
              <w:rPr>
                <w:rFonts w:ascii="Book Antiqua" w:hAnsi="Book Antiqua" w:hint="eastAsia"/>
                <w:sz w:val="24"/>
                <w:szCs w:val="24"/>
              </w:rPr>
              <w:t xml:space="preserve"> </w:t>
            </w:r>
            <w:r w:rsidRPr="00F31D0D">
              <w:rPr>
                <w:rFonts w:ascii="Book Antiqua" w:hAnsi="Book Antiqua"/>
                <w:sz w:val="24"/>
                <w:szCs w:val="24"/>
                <w:lang w:eastAsia="pt-BR"/>
              </w:rPr>
              <w:t>±</w:t>
            </w:r>
            <w:r w:rsidR="00AD301C">
              <w:rPr>
                <w:rFonts w:ascii="Book Antiqua" w:hAnsi="Book Antiqua" w:hint="eastAsia"/>
                <w:sz w:val="24"/>
                <w:szCs w:val="24"/>
              </w:rPr>
              <w:t xml:space="preserve"> </w:t>
            </w:r>
            <w:r w:rsidRPr="00F31D0D">
              <w:rPr>
                <w:rFonts w:ascii="Book Antiqua" w:hAnsi="Book Antiqua"/>
                <w:sz w:val="24"/>
                <w:szCs w:val="24"/>
                <w:lang w:eastAsia="pt-BR"/>
              </w:rPr>
              <w:t>15.9</w:t>
            </w:r>
          </w:p>
        </w:tc>
        <w:tc>
          <w:tcPr>
            <w:tcW w:w="1465"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NA</w:t>
            </w:r>
          </w:p>
        </w:tc>
        <w:tc>
          <w:tcPr>
            <w:tcW w:w="151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NS</w:t>
            </w:r>
          </w:p>
        </w:tc>
      </w:tr>
    </w:tbl>
    <w:p w:rsidR="00F31D0D" w:rsidRPr="00F31D0D" w:rsidRDefault="00AD301C" w:rsidP="00F31D0D">
      <w:pPr>
        <w:spacing w:line="360" w:lineRule="auto"/>
        <w:rPr>
          <w:rFonts w:ascii="Book Antiqua" w:hAnsi="Book Antiqua"/>
          <w:sz w:val="24"/>
          <w:szCs w:val="24"/>
          <w:lang w:eastAsia="pt-BR"/>
        </w:rPr>
      </w:pPr>
      <w:r>
        <w:rPr>
          <w:rFonts w:ascii="Book Antiqua" w:hAnsi="Book Antiqua" w:hint="eastAsia"/>
          <w:sz w:val="24"/>
          <w:szCs w:val="24"/>
          <w:vertAlign w:val="superscript"/>
        </w:rPr>
        <w:t>1</w:t>
      </w:r>
      <w:r>
        <w:rPr>
          <w:rFonts w:ascii="Book Antiqua" w:hAnsi="Book Antiqua"/>
          <w:sz w:val="24"/>
          <w:szCs w:val="24"/>
          <w:lang w:eastAsia="pt-BR"/>
        </w:rPr>
        <w:t xml:space="preserve">LT </w:t>
      </w:r>
      <w:r w:rsidRPr="00AD301C">
        <w:rPr>
          <w:rFonts w:ascii="Book Antiqua" w:hAnsi="Book Antiqua"/>
          <w:i/>
          <w:sz w:val="24"/>
          <w:szCs w:val="24"/>
          <w:lang w:eastAsia="pt-BR"/>
        </w:rPr>
        <w:t>vs</w:t>
      </w:r>
      <w:r>
        <w:rPr>
          <w:rFonts w:ascii="Book Antiqua" w:hAnsi="Book Antiqua" w:hint="eastAsia"/>
          <w:sz w:val="24"/>
          <w:szCs w:val="24"/>
        </w:rPr>
        <w:t xml:space="preserve"> </w:t>
      </w:r>
      <w:r w:rsidR="00F31D0D" w:rsidRPr="00F31D0D">
        <w:rPr>
          <w:rFonts w:ascii="Book Antiqua" w:hAnsi="Book Antiqua"/>
          <w:sz w:val="24"/>
          <w:szCs w:val="24"/>
          <w:lang w:eastAsia="pt-BR"/>
        </w:rPr>
        <w:t>NASH; SEM</w:t>
      </w:r>
      <w:r>
        <w:rPr>
          <w:rFonts w:ascii="Book Antiqua" w:hAnsi="Book Antiqua" w:hint="eastAsia"/>
          <w:sz w:val="24"/>
          <w:szCs w:val="24"/>
        </w:rPr>
        <w:t xml:space="preserve">: </w:t>
      </w:r>
      <w:r w:rsidRPr="00F31D0D">
        <w:rPr>
          <w:rFonts w:ascii="Book Antiqua" w:hAnsi="Book Antiqua"/>
          <w:sz w:val="24"/>
          <w:szCs w:val="24"/>
          <w:lang w:eastAsia="pt-BR"/>
        </w:rPr>
        <w:t xml:space="preserve">Standard </w:t>
      </w:r>
      <w:r w:rsidR="00F31D0D" w:rsidRPr="00F31D0D">
        <w:rPr>
          <w:rFonts w:ascii="Book Antiqua" w:hAnsi="Book Antiqua"/>
          <w:sz w:val="24"/>
          <w:szCs w:val="24"/>
          <w:lang w:eastAsia="pt-BR"/>
        </w:rPr>
        <w:t>error of the mean; NS</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Non</w:t>
      </w:r>
      <w:r w:rsidR="00F31D0D" w:rsidRPr="00F31D0D">
        <w:rPr>
          <w:rFonts w:ascii="Book Antiqua" w:hAnsi="Book Antiqua"/>
          <w:sz w:val="24"/>
          <w:szCs w:val="24"/>
          <w:lang w:eastAsia="pt-BR"/>
        </w:rPr>
        <w:t>-significant; NA</w:t>
      </w:r>
      <w:r>
        <w:rPr>
          <w:rFonts w:ascii="Book Antiqua" w:hAnsi="Book Antiqua" w:hint="eastAsia"/>
          <w:sz w:val="24"/>
          <w:szCs w:val="24"/>
        </w:rPr>
        <w:t xml:space="preserve">: </w:t>
      </w:r>
      <w:r w:rsidRPr="00F31D0D">
        <w:rPr>
          <w:rFonts w:ascii="Book Antiqua" w:hAnsi="Book Antiqua"/>
          <w:sz w:val="24"/>
          <w:szCs w:val="24"/>
          <w:lang w:eastAsia="pt-BR"/>
        </w:rPr>
        <w:t xml:space="preserve">Not </w:t>
      </w:r>
      <w:r w:rsidR="00F31D0D" w:rsidRPr="00F31D0D">
        <w:rPr>
          <w:rFonts w:ascii="Book Antiqua" w:hAnsi="Book Antiqua"/>
          <w:sz w:val="24"/>
          <w:szCs w:val="24"/>
          <w:lang w:eastAsia="pt-BR"/>
        </w:rPr>
        <w:t>applied; AST</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Aspartate </w:t>
      </w:r>
      <w:r w:rsidR="00F31D0D" w:rsidRPr="00F31D0D">
        <w:rPr>
          <w:rFonts w:ascii="Book Antiqua" w:hAnsi="Book Antiqua"/>
          <w:sz w:val="24"/>
          <w:szCs w:val="24"/>
          <w:lang w:eastAsia="pt-BR"/>
        </w:rPr>
        <w:t>aminotransferase; ALT</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Alanine </w:t>
      </w:r>
      <w:r w:rsidR="00F31D0D" w:rsidRPr="00F31D0D">
        <w:rPr>
          <w:rFonts w:ascii="Book Antiqua" w:hAnsi="Book Antiqua"/>
          <w:sz w:val="24"/>
          <w:szCs w:val="24"/>
          <w:lang w:eastAsia="pt-BR"/>
        </w:rPr>
        <w:t>aminotransferase; HDL</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High</w:t>
      </w:r>
      <w:r w:rsidR="00F31D0D" w:rsidRPr="00F31D0D">
        <w:rPr>
          <w:rFonts w:ascii="Book Antiqua" w:hAnsi="Book Antiqua"/>
          <w:sz w:val="24"/>
          <w:szCs w:val="24"/>
          <w:lang w:eastAsia="pt-BR"/>
        </w:rPr>
        <w:t>-density lipoprotein.</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vertAlign w:val="superscript"/>
        </w:rPr>
      </w:pPr>
    </w:p>
    <w:p w:rsidR="00F31D0D" w:rsidRPr="00F31D0D" w:rsidRDefault="00F31D0D" w:rsidP="00F31D0D">
      <w:pPr>
        <w:spacing w:line="360" w:lineRule="auto"/>
        <w:rPr>
          <w:rFonts w:ascii="Book Antiqua" w:hAnsi="Book Antiqua"/>
          <w:sz w:val="24"/>
          <w:szCs w:val="24"/>
          <w:vertAlign w:val="superscript"/>
        </w:rPr>
      </w:pPr>
    </w:p>
    <w:p w:rsidR="00F31D0D" w:rsidRPr="00F31D0D" w:rsidRDefault="00F31D0D" w:rsidP="00F31D0D">
      <w:pPr>
        <w:spacing w:line="360" w:lineRule="auto"/>
        <w:rPr>
          <w:rFonts w:ascii="Book Antiqua" w:hAnsi="Book Antiqua"/>
          <w:sz w:val="24"/>
          <w:szCs w:val="24"/>
          <w:vertAlign w:val="superscript"/>
        </w:rPr>
      </w:pPr>
    </w:p>
    <w:p w:rsidR="00F31D0D" w:rsidRPr="00F31D0D" w:rsidRDefault="00F31D0D" w:rsidP="00F31D0D">
      <w:pPr>
        <w:spacing w:line="360" w:lineRule="auto"/>
        <w:rPr>
          <w:rFonts w:ascii="Book Antiqua" w:hAnsi="Book Antiqua"/>
          <w:sz w:val="24"/>
          <w:szCs w:val="24"/>
          <w:vertAlign w:val="superscript"/>
        </w:rPr>
      </w:pPr>
    </w:p>
    <w:p w:rsidR="00F31D0D" w:rsidRPr="00F31D0D" w:rsidRDefault="00F31D0D" w:rsidP="00F31D0D">
      <w:pPr>
        <w:spacing w:line="360" w:lineRule="auto"/>
        <w:rPr>
          <w:rFonts w:ascii="Book Antiqua" w:hAnsi="Book Antiqua"/>
          <w:sz w:val="24"/>
          <w:szCs w:val="24"/>
          <w:vertAlign w:val="superscript"/>
        </w:rPr>
      </w:pPr>
    </w:p>
    <w:p w:rsidR="00F31D0D" w:rsidRPr="00F31D0D" w:rsidRDefault="00F31D0D" w:rsidP="00F31D0D">
      <w:pPr>
        <w:spacing w:line="360" w:lineRule="auto"/>
        <w:rPr>
          <w:rFonts w:ascii="Book Antiqua" w:hAnsi="Book Antiqua"/>
          <w:sz w:val="24"/>
          <w:szCs w:val="24"/>
        </w:rPr>
      </w:pPr>
    </w:p>
    <w:p w:rsidR="00AD301C" w:rsidRDefault="00AD301C">
      <w:pPr>
        <w:widowControl/>
        <w:jc w:val="left"/>
        <w:rPr>
          <w:rFonts w:ascii="Book Antiqua" w:hAnsi="Book Antiqua"/>
          <w:sz w:val="24"/>
          <w:szCs w:val="24"/>
        </w:rPr>
      </w:pPr>
      <w:r>
        <w:rPr>
          <w:rFonts w:ascii="Book Antiqua" w:hAnsi="Book Antiqua"/>
          <w:sz w:val="24"/>
          <w:szCs w:val="24"/>
        </w:rPr>
        <w:br w:type="page"/>
      </w:r>
    </w:p>
    <w:p w:rsidR="00F31D0D" w:rsidRPr="00AD301C" w:rsidRDefault="00AD301C" w:rsidP="00F31D0D">
      <w:pPr>
        <w:spacing w:line="360" w:lineRule="auto"/>
        <w:rPr>
          <w:rFonts w:ascii="Book Antiqua" w:hAnsi="Book Antiqua"/>
          <w:b/>
          <w:sz w:val="24"/>
          <w:szCs w:val="24"/>
        </w:rPr>
      </w:pPr>
      <w:r w:rsidRPr="00AD301C">
        <w:rPr>
          <w:rFonts w:ascii="Book Antiqua" w:hAnsi="Book Antiqua"/>
          <w:b/>
          <w:sz w:val="24"/>
          <w:szCs w:val="24"/>
        </w:rPr>
        <w:lastRenderedPageBreak/>
        <w:t>Table 3</w:t>
      </w:r>
      <w:r w:rsidRPr="00AD301C">
        <w:rPr>
          <w:rFonts w:ascii="Book Antiqua" w:hAnsi="Book Antiqua" w:hint="eastAsia"/>
          <w:b/>
          <w:sz w:val="24"/>
          <w:szCs w:val="24"/>
        </w:rPr>
        <w:t xml:space="preserve"> </w:t>
      </w:r>
      <w:r w:rsidR="00F31D0D" w:rsidRPr="00AD301C">
        <w:rPr>
          <w:rFonts w:ascii="Book Antiqua" w:hAnsi="Book Antiqua"/>
          <w:b/>
          <w:sz w:val="24"/>
          <w:szCs w:val="24"/>
        </w:rPr>
        <w:t>Inflammatory cytokines in liver transplan</w:t>
      </w:r>
      <w:r w:rsidRPr="00AD301C">
        <w:rPr>
          <w:rFonts w:ascii="Book Antiqua" w:hAnsi="Book Antiqua"/>
          <w:b/>
          <w:sz w:val="24"/>
          <w:szCs w:val="24"/>
        </w:rPr>
        <w:t xml:space="preserve">t recipients, non-alcoholic </w:t>
      </w:r>
      <w:proofErr w:type="spellStart"/>
      <w:r w:rsidRPr="00AD301C">
        <w:rPr>
          <w:rFonts w:ascii="Book Antiqua" w:hAnsi="Book Antiqua"/>
          <w:b/>
          <w:sz w:val="24"/>
          <w:szCs w:val="24"/>
        </w:rPr>
        <w:t>steatohepatitis</w:t>
      </w:r>
      <w:proofErr w:type="spellEnd"/>
      <w:r w:rsidRPr="00AD301C">
        <w:rPr>
          <w:rFonts w:ascii="Book Antiqua" w:hAnsi="Book Antiqua"/>
          <w:b/>
          <w:sz w:val="24"/>
          <w:szCs w:val="24"/>
        </w:rPr>
        <w:t xml:space="preserve"> and controls</w:t>
      </w:r>
    </w:p>
    <w:p w:rsidR="00F31D0D" w:rsidRPr="00F31D0D" w:rsidRDefault="00F31D0D" w:rsidP="00F31D0D">
      <w:pPr>
        <w:spacing w:line="360" w:lineRule="auto"/>
        <w:rPr>
          <w:rFonts w:ascii="Book Antiqua" w:hAnsi="Book Antiqua"/>
          <w:sz w:val="24"/>
          <w:szCs w:val="24"/>
        </w:rPr>
      </w:pPr>
    </w:p>
    <w:tbl>
      <w:tblPr>
        <w:tblW w:w="8705" w:type="dxa"/>
        <w:jc w:val="center"/>
        <w:tblBorders>
          <w:top w:val="single" w:sz="8" w:space="0" w:color="4F81BD"/>
          <w:bottom w:val="single" w:sz="8" w:space="0" w:color="4F81BD"/>
        </w:tblBorders>
        <w:tblLook w:val="04A0" w:firstRow="1" w:lastRow="0" w:firstColumn="1" w:lastColumn="0" w:noHBand="0" w:noVBand="1"/>
      </w:tblPr>
      <w:tblGrid>
        <w:gridCol w:w="1389"/>
        <w:gridCol w:w="1850"/>
        <w:gridCol w:w="1871"/>
        <w:gridCol w:w="1772"/>
        <w:gridCol w:w="1823"/>
      </w:tblGrid>
      <w:tr w:rsidR="00F31D0D" w:rsidRPr="00F31D0D" w:rsidTr="00AD301C">
        <w:trPr>
          <w:trHeight w:val="618"/>
          <w:jc w:val="center"/>
        </w:trPr>
        <w:tc>
          <w:tcPr>
            <w:tcW w:w="1389" w:type="dxa"/>
            <w:tcBorders>
              <w:top w:val="single" w:sz="4" w:space="0" w:color="auto"/>
              <w:left w:val="nil"/>
              <w:bottom w:val="single" w:sz="8"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Variable (median – 25</w:t>
            </w:r>
            <w:r w:rsidRPr="00AD301C">
              <w:rPr>
                <w:rFonts w:ascii="Book Antiqua" w:hAnsi="Book Antiqua"/>
                <w:b/>
                <w:sz w:val="24"/>
                <w:szCs w:val="24"/>
                <w:vertAlign w:val="superscript"/>
                <w:lang w:eastAsia="pt-BR"/>
              </w:rPr>
              <w:t>th</w:t>
            </w:r>
            <w:r w:rsidRPr="00AD301C">
              <w:rPr>
                <w:rFonts w:ascii="Book Antiqua" w:hAnsi="Book Antiqua"/>
                <w:b/>
                <w:sz w:val="24"/>
                <w:szCs w:val="24"/>
                <w:lang w:eastAsia="pt-BR"/>
              </w:rPr>
              <w:t>-75</w:t>
            </w:r>
            <w:r w:rsidRPr="00AD301C">
              <w:rPr>
                <w:rFonts w:ascii="Book Antiqua" w:hAnsi="Book Antiqua"/>
                <w:b/>
                <w:sz w:val="24"/>
                <w:szCs w:val="24"/>
                <w:vertAlign w:val="superscript"/>
                <w:lang w:eastAsia="pt-BR"/>
              </w:rPr>
              <w:t>th</w:t>
            </w:r>
            <w:r w:rsidRPr="00AD301C">
              <w:rPr>
                <w:rFonts w:ascii="Book Antiqua" w:hAnsi="Book Antiqua"/>
                <w:b/>
                <w:sz w:val="24"/>
                <w:szCs w:val="24"/>
                <w:lang w:eastAsia="pt-BR"/>
              </w:rPr>
              <w:t xml:space="preserve"> percentile)</w:t>
            </w:r>
          </w:p>
        </w:tc>
        <w:tc>
          <w:tcPr>
            <w:tcW w:w="1850" w:type="dxa"/>
            <w:tcBorders>
              <w:top w:val="single" w:sz="4" w:space="0" w:color="auto"/>
              <w:left w:val="nil"/>
              <w:bottom w:val="single" w:sz="8"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NASH</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w:t>
            </w:r>
            <w:r w:rsidRPr="00AD301C">
              <w:rPr>
                <w:rFonts w:ascii="Book Antiqua" w:hAnsi="Book Antiqua"/>
                <w:b/>
                <w:i/>
                <w:sz w:val="24"/>
                <w:szCs w:val="24"/>
                <w:lang w:eastAsia="pt-BR"/>
              </w:rPr>
              <w:t>n</w:t>
            </w:r>
            <w:r w:rsidR="00AD301C">
              <w:rPr>
                <w:rFonts w:ascii="Book Antiqua" w:hAnsi="Book Antiqua" w:hint="eastAsia"/>
                <w:b/>
                <w:sz w:val="24"/>
                <w:szCs w:val="24"/>
              </w:rPr>
              <w:t xml:space="preserve"> </w:t>
            </w:r>
            <w:r w:rsidRPr="00AD301C">
              <w:rPr>
                <w:rFonts w:ascii="Book Antiqua" w:hAnsi="Book Antiqua"/>
                <w:b/>
                <w:sz w:val="24"/>
                <w:szCs w:val="24"/>
                <w:lang w:eastAsia="pt-BR"/>
              </w:rPr>
              <w:t>=</w:t>
            </w:r>
            <w:r w:rsidR="00AD301C">
              <w:rPr>
                <w:rFonts w:ascii="Book Antiqua" w:hAnsi="Book Antiqua" w:hint="eastAsia"/>
                <w:b/>
                <w:sz w:val="24"/>
                <w:szCs w:val="24"/>
              </w:rPr>
              <w:t xml:space="preserve"> </w:t>
            </w:r>
            <w:r w:rsidRPr="00AD301C">
              <w:rPr>
                <w:rFonts w:ascii="Book Antiqua" w:hAnsi="Book Antiqua"/>
                <w:b/>
                <w:sz w:val="24"/>
                <w:szCs w:val="24"/>
                <w:lang w:eastAsia="pt-BR"/>
              </w:rPr>
              <w:t>22)</w:t>
            </w:r>
          </w:p>
        </w:tc>
        <w:tc>
          <w:tcPr>
            <w:tcW w:w="1871" w:type="dxa"/>
            <w:tcBorders>
              <w:top w:val="single" w:sz="4" w:space="0" w:color="auto"/>
              <w:left w:val="nil"/>
              <w:bottom w:val="single" w:sz="8"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LT                      (</w:t>
            </w:r>
            <w:r w:rsidRPr="00AD301C">
              <w:rPr>
                <w:rFonts w:ascii="Book Antiqua" w:hAnsi="Book Antiqua"/>
                <w:b/>
                <w:i/>
                <w:sz w:val="24"/>
                <w:szCs w:val="24"/>
                <w:lang w:eastAsia="pt-BR"/>
              </w:rPr>
              <w:t>n</w:t>
            </w:r>
            <w:r w:rsidR="00AD301C">
              <w:rPr>
                <w:rFonts w:ascii="Book Antiqua" w:hAnsi="Book Antiqua" w:hint="eastAsia"/>
                <w:b/>
                <w:sz w:val="24"/>
                <w:szCs w:val="24"/>
              </w:rPr>
              <w:t xml:space="preserve"> </w:t>
            </w:r>
            <w:r w:rsidRPr="00AD301C">
              <w:rPr>
                <w:rFonts w:ascii="Book Antiqua" w:hAnsi="Book Antiqua"/>
                <w:b/>
                <w:sz w:val="24"/>
                <w:szCs w:val="24"/>
                <w:lang w:eastAsia="pt-BR"/>
              </w:rPr>
              <w:t>=</w:t>
            </w:r>
            <w:r w:rsidR="00AD301C">
              <w:rPr>
                <w:rFonts w:ascii="Book Antiqua" w:hAnsi="Book Antiqua" w:hint="eastAsia"/>
                <w:b/>
                <w:sz w:val="24"/>
                <w:szCs w:val="24"/>
              </w:rPr>
              <w:t xml:space="preserve"> </w:t>
            </w:r>
            <w:r w:rsidRPr="00AD301C">
              <w:rPr>
                <w:rFonts w:ascii="Book Antiqua" w:hAnsi="Book Antiqua"/>
                <w:b/>
                <w:sz w:val="24"/>
                <w:szCs w:val="24"/>
                <w:lang w:eastAsia="pt-BR"/>
              </w:rPr>
              <w:t>44)</w:t>
            </w:r>
          </w:p>
        </w:tc>
        <w:tc>
          <w:tcPr>
            <w:tcW w:w="1772" w:type="dxa"/>
            <w:tcBorders>
              <w:top w:val="single" w:sz="4" w:space="0" w:color="auto"/>
              <w:left w:val="nil"/>
              <w:bottom w:val="single" w:sz="8" w:space="0" w:color="auto"/>
              <w:right w:val="nil"/>
            </w:tcBorders>
            <w:shd w:val="clear" w:color="auto" w:fill="auto"/>
          </w:tcPr>
          <w:p w:rsidR="00F31D0D" w:rsidRPr="00AD301C" w:rsidRDefault="00AD301C" w:rsidP="00F31D0D">
            <w:pPr>
              <w:spacing w:line="360" w:lineRule="auto"/>
              <w:rPr>
                <w:rFonts w:ascii="Book Antiqua" w:hAnsi="Book Antiqua"/>
                <w:b/>
                <w:sz w:val="24"/>
                <w:szCs w:val="24"/>
                <w:lang w:eastAsia="pt-BR"/>
              </w:rPr>
            </w:pPr>
            <w:r>
              <w:rPr>
                <w:rFonts w:ascii="Book Antiqua" w:hAnsi="Book Antiqua" w:hint="eastAsia"/>
                <w:b/>
                <w:sz w:val="24"/>
                <w:szCs w:val="24"/>
                <w:vertAlign w:val="superscript"/>
              </w:rPr>
              <w:t>1</w:t>
            </w:r>
            <w:r>
              <w:rPr>
                <w:rFonts w:ascii="Book Antiqua" w:hAnsi="Book Antiqua"/>
                <w:b/>
                <w:sz w:val="24"/>
                <w:szCs w:val="24"/>
                <w:lang w:eastAsia="pt-BR"/>
              </w:rPr>
              <w:t>Controls</w:t>
            </w:r>
            <w:r w:rsidR="00F31D0D" w:rsidRPr="00AD301C">
              <w:rPr>
                <w:rFonts w:ascii="Book Antiqua" w:hAnsi="Book Antiqua"/>
                <w:b/>
                <w:sz w:val="24"/>
                <w:szCs w:val="24"/>
                <w:lang w:eastAsia="pt-BR"/>
              </w:rPr>
              <w:t xml:space="preserve"> (</w:t>
            </w:r>
            <w:r w:rsidR="00F31D0D" w:rsidRPr="00AD301C">
              <w:rPr>
                <w:rFonts w:ascii="Book Antiqua" w:hAnsi="Book Antiqua"/>
                <w:b/>
                <w:i/>
                <w:sz w:val="24"/>
                <w:szCs w:val="24"/>
                <w:lang w:eastAsia="pt-BR"/>
              </w:rPr>
              <w:t>n</w:t>
            </w:r>
            <w:r>
              <w:rPr>
                <w:rFonts w:ascii="Book Antiqua" w:hAnsi="Book Antiqua" w:hint="eastAsia"/>
                <w:b/>
                <w:sz w:val="24"/>
                <w:szCs w:val="24"/>
              </w:rPr>
              <w:t xml:space="preserve"> </w:t>
            </w:r>
            <w:r w:rsidR="00F31D0D" w:rsidRPr="00AD301C">
              <w:rPr>
                <w:rFonts w:ascii="Book Antiqua" w:hAnsi="Book Antiqua"/>
                <w:b/>
                <w:sz w:val="24"/>
                <w:szCs w:val="24"/>
                <w:lang w:eastAsia="pt-BR"/>
              </w:rPr>
              <w:t>=</w:t>
            </w:r>
            <w:r>
              <w:rPr>
                <w:rFonts w:ascii="Book Antiqua" w:hAnsi="Book Antiqua" w:hint="eastAsia"/>
                <w:b/>
                <w:sz w:val="24"/>
                <w:szCs w:val="24"/>
              </w:rPr>
              <w:t xml:space="preserve"> </w:t>
            </w:r>
            <w:r w:rsidR="00F31D0D" w:rsidRPr="00AD301C">
              <w:rPr>
                <w:rFonts w:ascii="Book Antiqua" w:hAnsi="Book Antiqua"/>
                <w:b/>
                <w:sz w:val="24"/>
                <w:szCs w:val="24"/>
                <w:lang w:eastAsia="pt-BR"/>
              </w:rPr>
              <w:t>20)</w:t>
            </w:r>
          </w:p>
        </w:tc>
        <w:tc>
          <w:tcPr>
            <w:tcW w:w="1823" w:type="dxa"/>
            <w:tcBorders>
              <w:top w:val="single" w:sz="4" w:space="0" w:color="auto"/>
              <w:left w:val="nil"/>
              <w:bottom w:val="single" w:sz="8" w:space="0" w:color="auto"/>
              <w:right w:val="nil"/>
            </w:tcBorders>
            <w:shd w:val="clear" w:color="auto" w:fill="auto"/>
          </w:tcPr>
          <w:p w:rsidR="00F31D0D" w:rsidRPr="00AD301C" w:rsidRDefault="00F31D0D" w:rsidP="00AD301C">
            <w:pPr>
              <w:spacing w:line="360" w:lineRule="auto"/>
              <w:rPr>
                <w:rFonts w:ascii="Book Antiqua" w:hAnsi="Book Antiqua"/>
                <w:b/>
                <w:sz w:val="24"/>
                <w:szCs w:val="24"/>
                <w:lang w:eastAsia="pt-BR"/>
              </w:rPr>
            </w:pPr>
            <w:r w:rsidRPr="00AD301C">
              <w:rPr>
                <w:rFonts w:ascii="Book Antiqua" w:hAnsi="Book Antiqua"/>
                <w:b/>
                <w:i/>
                <w:sz w:val="24"/>
                <w:szCs w:val="24"/>
                <w:lang w:eastAsia="pt-BR"/>
              </w:rPr>
              <w:t>P</w:t>
            </w:r>
          </w:p>
        </w:tc>
      </w:tr>
      <w:tr w:rsidR="00F31D0D" w:rsidRPr="00F31D0D" w:rsidTr="00AD301C">
        <w:trPr>
          <w:trHeight w:val="528"/>
          <w:jc w:val="center"/>
        </w:trPr>
        <w:tc>
          <w:tcPr>
            <w:tcW w:w="1389"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TNF</w:t>
            </w:r>
            <w:r w:rsidRPr="00F31D0D">
              <w:rPr>
                <w:rFonts w:ascii="Book Antiqua" w:hAnsi="Book Antiqua"/>
                <w:sz w:val="24"/>
                <w:szCs w:val="24"/>
                <w:lang w:eastAsia="pt-BR"/>
              </w:rPr>
              <w:sym w:font="Symbol" w:char="F061"/>
            </w:r>
            <w:r w:rsidRPr="00F31D0D">
              <w:rPr>
                <w:rFonts w:ascii="Book Antiqua" w:hAnsi="Book Antiqua"/>
                <w:sz w:val="24"/>
                <w:szCs w:val="24"/>
                <w:lang w:eastAsia="pt-BR"/>
              </w:rPr>
              <w:t xml:space="preserve">  (</w:t>
            </w:r>
            <w:proofErr w:type="spellStart"/>
            <w:r w:rsidRPr="00F31D0D">
              <w:rPr>
                <w:rFonts w:ascii="Book Antiqua" w:hAnsi="Book Antiqua"/>
                <w:sz w:val="24"/>
                <w:szCs w:val="24"/>
                <w:lang w:eastAsia="pt-BR"/>
              </w:rPr>
              <w:t>pg</w:t>
            </w:r>
            <w:proofErr w:type="spellEnd"/>
            <w:r w:rsidRPr="00F31D0D">
              <w:rPr>
                <w:rFonts w:ascii="Book Antiqua" w:hAnsi="Book Antiqua"/>
                <w:sz w:val="24"/>
                <w:szCs w:val="24"/>
                <w:lang w:eastAsia="pt-BR"/>
              </w:rPr>
              <w:t>/mL)</w:t>
            </w:r>
          </w:p>
        </w:tc>
        <w:tc>
          <w:tcPr>
            <w:tcW w:w="1850"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13.4                    (8.85 – 22.2)</w:t>
            </w:r>
          </w:p>
        </w:tc>
        <w:tc>
          <w:tcPr>
            <w:tcW w:w="1871"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12.1                     (8.58 – 26.6)</w:t>
            </w:r>
          </w:p>
        </w:tc>
        <w:tc>
          <w:tcPr>
            <w:tcW w:w="1772"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10.1                  (5.0 -13.6)</w:t>
            </w:r>
          </w:p>
        </w:tc>
        <w:tc>
          <w:tcPr>
            <w:tcW w:w="1823" w:type="dxa"/>
            <w:tcBorders>
              <w:top w:val="single" w:sz="8"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0.121</w:t>
            </w:r>
          </w:p>
        </w:tc>
      </w:tr>
      <w:tr w:rsidR="00F31D0D" w:rsidRPr="00F31D0D" w:rsidTr="00AD301C">
        <w:trPr>
          <w:trHeight w:val="528"/>
          <w:jc w:val="center"/>
        </w:trPr>
        <w:tc>
          <w:tcPr>
            <w:tcW w:w="1389"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IFN </w:t>
            </w:r>
            <w:r w:rsidRPr="00F31D0D">
              <w:rPr>
                <w:rFonts w:ascii="Book Antiqua" w:hAnsi="Book Antiqua"/>
                <w:sz w:val="24"/>
                <w:szCs w:val="24"/>
                <w:lang w:eastAsia="pt-BR"/>
              </w:rPr>
              <w:sym w:font="Symbol" w:char="F067"/>
            </w:r>
            <w:r w:rsidRPr="00F31D0D">
              <w:rPr>
                <w:rFonts w:ascii="Book Antiqua" w:hAnsi="Book Antiqua"/>
                <w:sz w:val="24"/>
                <w:szCs w:val="24"/>
                <w:lang w:eastAsia="pt-BR"/>
              </w:rPr>
              <w:t xml:space="preserve">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w:t>
            </w:r>
            <w:proofErr w:type="spellStart"/>
            <w:r w:rsidRPr="00F31D0D">
              <w:rPr>
                <w:rFonts w:ascii="Book Antiqua" w:hAnsi="Book Antiqua"/>
                <w:sz w:val="24"/>
                <w:szCs w:val="24"/>
                <w:lang w:eastAsia="pt-BR"/>
              </w:rPr>
              <w:t>pg</w:t>
            </w:r>
            <w:proofErr w:type="spellEnd"/>
            <w:r w:rsidRPr="00F31D0D">
              <w:rPr>
                <w:rFonts w:ascii="Book Antiqua" w:hAnsi="Book Antiqua"/>
                <w:sz w:val="24"/>
                <w:szCs w:val="24"/>
                <w:lang w:eastAsia="pt-BR"/>
              </w:rPr>
              <w:t>/mL)</w:t>
            </w:r>
          </w:p>
        </w:tc>
        <w:tc>
          <w:tcPr>
            <w:tcW w:w="1850"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411.9                 (192.3 – 1361.7)</w:t>
            </w:r>
          </w:p>
        </w:tc>
        <w:tc>
          <w:tcPr>
            <w:tcW w:w="1871"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626.1                  (286.9 – 1572.3)</w:t>
            </w:r>
          </w:p>
        </w:tc>
        <w:tc>
          <w:tcPr>
            <w:tcW w:w="1772"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67.9                  (42.2 – 100.6)</w:t>
            </w:r>
          </w:p>
        </w:tc>
        <w:tc>
          <w:tcPr>
            <w:tcW w:w="1823"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w:t>
            </w:r>
            <w:r w:rsidR="00085BA6">
              <w:rPr>
                <w:rFonts w:ascii="Book Antiqua" w:hAnsi="Book Antiqua" w:hint="eastAsia"/>
                <w:sz w:val="24"/>
                <w:szCs w:val="24"/>
              </w:rPr>
              <w:t xml:space="preserve"> </w:t>
            </w:r>
            <w:r w:rsidRPr="00F31D0D">
              <w:rPr>
                <w:rFonts w:ascii="Book Antiqua" w:hAnsi="Book Antiqua"/>
                <w:sz w:val="24"/>
                <w:szCs w:val="24"/>
                <w:lang w:eastAsia="pt-BR"/>
              </w:rPr>
              <w:t xml:space="preserve">0.001 </w:t>
            </w:r>
          </w:p>
        </w:tc>
      </w:tr>
      <w:tr w:rsidR="00F31D0D" w:rsidRPr="00F31D0D" w:rsidTr="00AD301C">
        <w:trPr>
          <w:trHeight w:val="528"/>
          <w:jc w:val="center"/>
        </w:trPr>
        <w:tc>
          <w:tcPr>
            <w:tcW w:w="1389"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IL-8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w:t>
            </w:r>
            <w:proofErr w:type="spellStart"/>
            <w:r w:rsidRPr="00F31D0D">
              <w:rPr>
                <w:rFonts w:ascii="Book Antiqua" w:hAnsi="Book Antiqua"/>
                <w:sz w:val="24"/>
                <w:szCs w:val="24"/>
                <w:lang w:eastAsia="pt-BR"/>
              </w:rPr>
              <w:t>pg</w:t>
            </w:r>
            <w:proofErr w:type="spellEnd"/>
            <w:r w:rsidRPr="00F31D0D">
              <w:rPr>
                <w:rFonts w:ascii="Book Antiqua" w:hAnsi="Book Antiqua"/>
                <w:sz w:val="24"/>
                <w:szCs w:val="24"/>
                <w:lang w:eastAsia="pt-BR"/>
              </w:rPr>
              <w:t>/mL)</w:t>
            </w:r>
          </w:p>
        </w:tc>
        <w:tc>
          <w:tcPr>
            <w:tcW w:w="1850"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57.8                     (43.8 – 70.2)</w:t>
            </w:r>
          </w:p>
        </w:tc>
        <w:tc>
          <w:tcPr>
            <w:tcW w:w="1871"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36.5                     (31.2 – 44.9)</w:t>
            </w:r>
          </w:p>
        </w:tc>
        <w:tc>
          <w:tcPr>
            <w:tcW w:w="1772"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40.7                (36.5 – 53.3)</w:t>
            </w:r>
          </w:p>
        </w:tc>
        <w:tc>
          <w:tcPr>
            <w:tcW w:w="1823"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&lt; 0.001</w:t>
            </w:r>
          </w:p>
        </w:tc>
      </w:tr>
      <w:tr w:rsidR="00F31D0D" w:rsidRPr="00F31D0D" w:rsidTr="00AD301C">
        <w:trPr>
          <w:trHeight w:val="540"/>
          <w:jc w:val="center"/>
        </w:trPr>
        <w:tc>
          <w:tcPr>
            <w:tcW w:w="1389" w:type="dxa"/>
            <w:tcBorders>
              <w:bottom w:val="single" w:sz="4" w:space="0" w:color="auto"/>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IL-10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w:t>
            </w:r>
            <w:proofErr w:type="spellStart"/>
            <w:r w:rsidRPr="00F31D0D">
              <w:rPr>
                <w:rFonts w:ascii="Book Antiqua" w:hAnsi="Book Antiqua"/>
                <w:sz w:val="24"/>
                <w:szCs w:val="24"/>
                <w:lang w:eastAsia="pt-BR"/>
              </w:rPr>
              <w:t>pg</w:t>
            </w:r>
            <w:proofErr w:type="spellEnd"/>
            <w:r w:rsidRPr="00F31D0D">
              <w:rPr>
                <w:rFonts w:ascii="Book Antiqua" w:hAnsi="Book Antiqua"/>
                <w:sz w:val="24"/>
                <w:szCs w:val="24"/>
                <w:lang w:eastAsia="pt-BR"/>
              </w:rPr>
              <w:t>/mL)</w:t>
            </w:r>
          </w:p>
        </w:tc>
        <w:tc>
          <w:tcPr>
            <w:tcW w:w="1850" w:type="dxa"/>
            <w:tcBorders>
              <w:bottom w:val="single" w:sz="4" w:space="0" w:color="auto"/>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32.3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(22.5 – 49.8)</w:t>
            </w:r>
          </w:p>
        </w:tc>
        <w:tc>
          <w:tcPr>
            <w:tcW w:w="1871" w:type="dxa"/>
            <w:tcBorders>
              <w:bottom w:val="single" w:sz="4" w:space="0" w:color="auto"/>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32.3</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 (25.8 – 62.5)</w:t>
            </w:r>
          </w:p>
        </w:tc>
        <w:tc>
          <w:tcPr>
            <w:tcW w:w="1772" w:type="dxa"/>
            <w:tcBorders>
              <w:bottom w:val="single" w:sz="4" w:space="0" w:color="auto"/>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62.5                (34.4 – 85.3)</w:t>
            </w:r>
          </w:p>
        </w:tc>
        <w:tc>
          <w:tcPr>
            <w:tcW w:w="1823" w:type="dxa"/>
            <w:tcBorders>
              <w:bottom w:val="single" w:sz="4" w:space="0" w:color="auto"/>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0.019</w:t>
            </w:r>
          </w:p>
        </w:tc>
      </w:tr>
    </w:tbl>
    <w:p w:rsidR="00F31D0D" w:rsidRPr="00F31D0D" w:rsidRDefault="00AD301C" w:rsidP="00F31D0D">
      <w:pPr>
        <w:spacing w:line="360" w:lineRule="auto"/>
        <w:rPr>
          <w:rFonts w:ascii="Book Antiqua" w:hAnsi="Book Antiqua"/>
          <w:sz w:val="24"/>
          <w:szCs w:val="24"/>
          <w:lang w:eastAsia="pt-BR"/>
        </w:rPr>
      </w:pPr>
      <w:r>
        <w:rPr>
          <w:rFonts w:ascii="Book Antiqua" w:hAnsi="Book Antiqua" w:hint="eastAsia"/>
          <w:sz w:val="24"/>
          <w:szCs w:val="24"/>
          <w:vertAlign w:val="superscript"/>
        </w:rPr>
        <w:t>1</w:t>
      </w:r>
      <w:r w:rsidR="00F31D0D" w:rsidRPr="00F31D0D">
        <w:rPr>
          <w:rFonts w:ascii="Book Antiqua" w:hAnsi="Book Antiqua"/>
          <w:sz w:val="24"/>
          <w:szCs w:val="24"/>
          <w:lang w:eastAsia="pt-BR"/>
        </w:rPr>
        <w:t>Comparisons: IFN</w:t>
      </w:r>
      <w:r w:rsidR="00F31D0D" w:rsidRPr="00F31D0D">
        <w:rPr>
          <w:rFonts w:ascii="Book Antiqua" w:hAnsi="Book Antiqua"/>
          <w:sz w:val="24"/>
          <w:szCs w:val="24"/>
          <w:lang w:eastAsia="pt-BR"/>
        </w:rPr>
        <w:sym w:font="Symbol" w:char="F067"/>
      </w:r>
      <w:r>
        <w:rPr>
          <w:rFonts w:ascii="Book Antiqua" w:hAnsi="Book Antiqua"/>
          <w:sz w:val="24"/>
          <w:szCs w:val="24"/>
          <w:lang w:eastAsia="pt-BR"/>
        </w:rPr>
        <w:t xml:space="preserve"> (NASH=LT–</w:t>
      </w:r>
      <w:r w:rsidR="00F31D0D" w:rsidRPr="00AD301C">
        <w:rPr>
          <w:rFonts w:ascii="Book Antiqua" w:hAnsi="Book Antiqua"/>
          <w:i/>
          <w:sz w:val="24"/>
          <w:szCs w:val="24"/>
          <w:lang w:eastAsia="pt-BR"/>
        </w:rPr>
        <w:t>P</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0.3; NASH and LT &gt; controls –</w:t>
      </w:r>
      <w:r w:rsidRPr="00AD301C">
        <w:rPr>
          <w:rFonts w:ascii="Book Antiqua" w:hAnsi="Book Antiqua"/>
          <w:i/>
          <w:sz w:val="24"/>
          <w:szCs w:val="24"/>
          <w:lang w:eastAsia="pt-BR"/>
        </w:rPr>
        <w:t>P</w:t>
      </w:r>
      <w:r w:rsidR="00F31D0D" w:rsidRPr="00F31D0D">
        <w:rPr>
          <w:rFonts w:ascii="Book Antiqua" w:hAnsi="Book Antiqua"/>
          <w:sz w:val="24"/>
          <w:szCs w:val="24"/>
          <w:lang w:eastAsia="pt-BR"/>
        </w:rPr>
        <w:t xml:space="preserve"> &lt; 0.001); IL-8 (NASH &gt; LT –</w:t>
      </w:r>
      <w:r w:rsidRPr="00AD301C">
        <w:rPr>
          <w:rFonts w:ascii="Book Antiqua" w:hAnsi="Book Antiqua"/>
          <w:i/>
          <w:sz w:val="24"/>
          <w:szCs w:val="24"/>
          <w:lang w:eastAsia="pt-BR"/>
        </w:rPr>
        <w:t>P</w:t>
      </w:r>
      <w:r w:rsidR="00F31D0D" w:rsidRPr="00F31D0D">
        <w:rPr>
          <w:rFonts w:ascii="Book Antiqua" w:hAnsi="Book Antiqua"/>
          <w:sz w:val="24"/>
          <w:szCs w:val="24"/>
          <w:lang w:eastAsia="pt-BR"/>
        </w:rPr>
        <w:t xml:space="preserve"> &lt; 0.001; NASH &gt; controls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 0.04; LT=cont</w:t>
      </w:r>
      <w:r>
        <w:rPr>
          <w:rFonts w:ascii="Book Antiqua" w:hAnsi="Book Antiqua"/>
          <w:sz w:val="24"/>
          <w:szCs w:val="24"/>
          <w:lang w:eastAsia="pt-BR"/>
        </w:rPr>
        <w:t>rols – P= 0.11); IL-10 (NASH=LT</w:t>
      </w:r>
      <w:r w:rsidR="00F31D0D" w:rsidRPr="00F31D0D">
        <w:rPr>
          <w:rFonts w:ascii="Book Antiqua" w:hAnsi="Book Antiqua"/>
          <w:sz w:val="24"/>
          <w:szCs w:val="24"/>
          <w:lang w:eastAsia="pt-BR"/>
        </w:rPr>
        <w:t>–</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Pr>
          <w:rFonts w:ascii="Book Antiqua" w:hAnsi="Book Antiqua"/>
          <w:sz w:val="24"/>
          <w:szCs w:val="24"/>
          <w:lang w:eastAsia="pt-BR"/>
        </w:rPr>
        <w:t>0.84; NASH &lt; controls</w:t>
      </w:r>
      <w:r w:rsidR="00F31D0D" w:rsidRPr="00F31D0D">
        <w:rPr>
          <w:rFonts w:ascii="Book Antiqua" w:hAnsi="Book Antiqua"/>
          <w:sz w:val="24"/>
          <w:szCs w:val="24"/>
          <w:lang w:eastAsia="pt-BR"/>
        </w:rPr>
        <w:t>–</w:t>
      </w:r>
      <w:r w:rsidRPr="00AD301C">
        <w:rPr>
          <w:rFonts w:ascii="Book Antiqua" w:hAnsi="Book Antiqua"/>
          <w:i/>
          <w:sz w:val="24"/>
          <w:szCs w:val="24"/>
          <w:lang w:eastAsia="pt-BR"/>
        </w:rPr>
        <w:t>P</w:t>
      </w:r>
      <w:r w:rsidR="00F31D0D" w:rsidRPr="00F31D0D">
        <w:rPr>
          <w:rFonts w:ascii="Book Antiqua" w:hAnsi="Book Antiqua"/>
          <w:sz w:val="24"/>
          <w:szCs w:val="24"/>
          <w:lang w:eastAsia="pt-BR"/>
        </w:rPr>
        <w:t xml:space="preserve"> = 0.02; LT &lt; controls – </w:t>
      </w:r>
      <w:r w:rsidR="00F31D0D" w:rsidRPr="00AD301C">
        <w:rPr>
          <w:rFonts w:ascii="Book Antiqua" w:hAnsi="Book Antiqua"/>
          <w:i/>
          <w:sz w:val="24"/>
          <w:szCs w:val="24"/>
          <w:lang w:eastAsia="pt-BR"/>
        </w:rPr>
        <w:t>P</w:t>
      </w:r>
      <w:r>
        <w:rPr>
          <w:rFonts w:ascii="Book Antiqua" w:hAnsi="Book Antiqua" w:hint="eastAsia"/>
          <w:sz w:val="24"/>
          <w:szCs w:val="24"/>
        </w:rPr>
        <w:t xml:space="preserve"> </w:t>
      </w:r>
      <w:r w:rsidR="00F31D0D" w:rsidRPr="00F31D0D">
        <w:rPr>
          <w:rFonts w:ascii="Book Antiqua" w:hAnsi="Book Antiqua"/>
          <w:sz w:val="24"/>
          <w:szCs w:val="24"/>
          <w:lang w:eastAsia="pt-BR"/>
        </w:rPr>
        <w:t>= 0.04).</w:t>
      </w: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F31D0D" w:rsidRDefault="00F31D0D" w:rsidP="00F31D0D">
      <w:pPr>
        <w:spacing w:line="360" w:lineRule="auto"/>
        <w:rPr>
          <w:rFonts w:ascii="Book Antiqua" w:hAnsi="Book Antiqua"/>
          <w:sz w:val="24"/>
          <w:szCs w:val="24"/>
        </w:rPr>
      </w:pPr>
    </w:p>
    <w:p w:rsidR="00F31D0D" w:rsidRPr="00AD301C" w:rsidRDefault="00AD301C" w:rsidP="00F31D0D">
      <w:pPr>
        <w:spacing w:line="360" w:lineRule="auto"/>
        <w:rPr>
          <w:rFonts w:ascii="Book Antiqua" w:hAnsi="Book Antiqua"/>
          <w:b/>
          <w:sz w:val="24"/>
          <w:szCs w:val="24"/>
        </w:rPr>
      </w:pPr>
      <w:r w:rsidRPr="00AD301C">
        <w:rPr>
          <w:rFonts w:ascii="Book Antiqua" w:hAnsi="Book Antiqua"/>
          <w:b/>
          <w:sz w:val="24"/>
          <w:szCs w:val="24"/>
        </w:rPr>
        <w:lastRenderedPageBreak/>
        <w:t>Table 4</w:t>
      </w:r>
      <w:r w:rsidRPr="00AD301C">
        <w:rPr>
          <w:rFonts w:ascii="Book Antiqua" w:hAnsi="Book Antiqua" w:hint="eastAsia"/>
          <w:b/>
          <w:sz w:val="24"/>
          <w:szCs w:val="24"/>
        </w:rPr>
        <w:t xml:space="preserve"> </w:t>
      </w:r>
      <w:r w:rsidR="00F31D0D" w:rsidRPr="00AD301C">
        <w:rPr>
          <w:rFonts w:ascii="Book Antiqua" w:hAnsi="Book Antiqua"/>
          <w:b/>
          <w:sz w:val="24"/>
          <w:szCs w:val="24"/>
        </w:rPr>
        <w:t xml:space="preserve">Comparison among liver transplant recipients, </w:t>
      </w:r>
      <w:r w:rsidRPr="00AD301C">
        <w:rPr>
          <w:rFonts w:ascii="Book Antiqua" w:hAnsi="Book Antiqua"/>
          <w:b/>
          <w:sz w:val="24"/>
          <w:szCs w:val="24"/>
        </w:rPr>
        <w:t xml:space="preserve">non-alcoholic </w:t>
      </w:r>
      <w:proofErr w:type="spellStart"/>
      <w:r w:rsidRPr="00AD301C">
        <w:rPr>
          <w:rFonts w:ascii="Book Antiqua" w:hAnsi="Book Antiqua"/>
          <w:b/>
          <w:sz w:val="24"/>
          <w:szCs w:val="24"/>
        </w:rPr>
        <w:t>steatohepatitis</w:t>
      </w:r>
      <w:proofErr w:type="spellEnd"/>
      <w:r w:rsidRPr="00AD301C">
        <w:rPr>
          <w:rFonts w:ascii="Book Antiqua" w:hAnsi="Book Antiqua"/>
          <w:b/>
          <w:sz w:val="24"/>
          <w:szCs w:val="24"/>
        </w:rPr>
        <w:t xml:space="preserve"> </w:t>
      </w:r>
      <w:r w:rsidR="00F31D0D" w:rsidRPr="00AD301C">
        <w:rPr>
          <w:rFonts w:ascii="Book Antiqua" w:hAnsi="Book Antiqua"/>
          <w:b/>
          <w:sz w:val="24"/>
          <w:szCs w:val="24"/>
        </w:rPr>
        <w:t>and controls r</w:t>
      </w:r>
      <w:r w:rsidRPr="00AD301C">
        <w:rPr>
          <w:rFonts w:ascii="Book Antiqua" w:hAnsi="Book Antiqua"/>
          <w:b/>
          <w:sz w:val="24"/>
          <w:szCs w:val="24"/>
        </w:rPr>
        <w:t>egarding endothelial biomarkers</w:t>
      </w:r>
    </w:p>
    <w:tbl>
      <w:tblPr>
        <w:tblW w:w="9586" w:type="dxa"/>
        <w:jc w:val="center"/>
        <w:tblInd w:w="-421" w:type="dxa"/>
        <w:tblBorders>
          <w:top w:val="single" w:sz="8" w:space="0" w:color="4F81BD"/>
          <w:bottom w:val="single" w:sz="8" w:space="0" w:color="4F81BD"/>
        </w:tblBorders>
        <w:tblLayout w:type="fixed"/>
        <w:tblLook w:val="04A0" w:firstRow="1" w:lastRow="0" w:firstColumn="1" w:lastColumn="0" w:noHBand="0" w:noVBand="1"/>
      </w:tblPr>
      <w:tblGrid>
        <w:gridCol w:w="1994"/>
        <w:gridCol w:w="1966"/>
        <w:gridCol w:w="1896"/>
        <w:gridCol w:w="1896"/>
        <w:gridCol w:w="1834"/>
      </w:tblGrid>
      <w:tr w:rsidR="00F31D0D" w:rsidRPr="00F31D0D" w:rsidTr="00AD301C">
        <w:trPr>
          <w:trHeight w:val="525"/>
          <w:jc w:val="center"/>
        </w:trPr>
        <w:tc>
          <w:tcPr>
            <w:tcW w:w="1994" w:type="dxa"/>
            <w:tcBorders>
              <w:top w:val="single" w:sz="4" w:space="0" w:color="000000" w:themeColor="text1"/>
              <w:left w:val="nil"/>
              <w:bottom w:val="single" w:sz="4"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 xml:space="preserve">Variable </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w:t>
            </w:r>
            <w:proofErr w:type="spellStart"/>
            <w:r w:rsidRPr="00AD301C">
              <w:rPr>
                <w:rFonts w:ascii="Book Antiqua" w:hAnsi="Book Antiqua"/>
                <w:b/>
                <w:sz w:val="24"/>
                <w:szCs w:val="24"/>
                <w:lang w:eastAsia="pt-BR"/>
              </w:rPr>
              <w:t>pg</w:t>
            </w:r>
            <w:proofErr w:type="spellEnd"/>
            <w:r w:rsidRPr="00AD301C">
              <w:rPr>
                <w:rFonts w:ascii="Book Antiqua" w:hAnsi="Book Antiqua"/>
                <w:b/>
                <w:sz w:val="24"/>
                <w:szCs w:val="24"/>
                <w:lang w:eastAsia="pt-BR"/>
              </w:rPr>
              <w:t>/mL)</w:t>
            </w:r>
          </w:p>
        </w:tc>
        <w:tc>
          <w:tcPr>
            <w:tcW w:w="1966" w:type="dxa"/>
            <w:tcBorders>
              <w:top w:val="single" w:sz="4" w:space="0" w:color="000000" w:themeColor="text1"/>
              <w:left w:val="nil"/>
              <w:bottom w:val="single" w:sz="4"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NASH</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w:t>
            </w:r>
            <w:r w:rsidRPr="00AD301C">
              <w:rPr>
                <w:rFonts w:ascii="Book Antiqua" w:hAnsi="Book Antiqua"/>
                <w:b/>
                <w:i/>
                <w:sz w:val="24"/>
                <w:szCs w:val="24"/>
                <w:lang w:eastAsia="pt-BR"/>
              </w:rPr>
              <w:t>n</w:t>
            </w:r>
            <w:r w:rsidR="00AD301C">
              <w:rPr>
                <w:rFonts w:ascii="Book Antiqua" w:hAnsi="Book Antiqua" w:hint="eastAsia"/>
                <w:b/>
                <w:sz w:val="24"/>
                <w:szCs w:val="24"/>
              </w:rPr>
              <w:t xml:space="preserve"> </w:t>
            </w:r>
            <w:r w:rsidRPr="00AD301C">
              <w:rPr>
                <w:rFonts w:ascii="Book Antiqua" w:hAnsi="Book Antiqua"/>
                <w:b/>
                <w:sz w:val="24"/>
                <w:szCs w:val="24"/>
                <w:lang w:eastAsia="pt-BR"/>
              </w:rPr>
              <w:t>=</w:t>
            </w:r>
            <w:r w:rsidR="00AD301C">
              <w:rPr>
                <w:rFonts w:ascii="Book Antiqua" w:hAnsi="Book Antiqua" w:hint="eastAsia"/>
                <w:b/>
                <w:sz w:val="24"/>
                <w:szCs w:val="24"/>
              </w:rPr>
              <w:t xml:space="preserve"> </w:t>
            </w:r>
            <w:r w:rsidRPr="00AD301C">
              <w:rPr>
                <w:rFonts w:ascii="Book Antiqua" w:hAnsi="Book Antiqua"/>
                <w:b/>
                <w:sz w:val="24"/>
                <w:szCs w:val="24"/>
                <w:lang w:eastAsia="pt-BR"/>
              </w:rPr>
              <w:t>22)</w:t>
            </w:r>
          </w:p>
        </w:tc>
        <w:tc>
          <w:tcPr>
            <w:tcW w:w="1896" w:type="dxa"/>
            <w:tcBorders>
              <w:top w:val="single" w:sz="4" w:space="0" w:color="000000" w:themeColor="text1"/>
              <w:left w:val="nil"/>
              <w:bottom w:val="single" w:sz="4"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LTR                     (</w:t>
            </w:r>
            <w:r w:rsidRPr="00AD301C">
              <w:rPr>
                <w:rFonts w:ascii="Book Antiqua" w:hAnsi="Book Antiqua"/>
                <w:b/>
                <w:i/>
                <w:sz w:val="24"/>
                <w:szCs w:val="24"/>
                <w:lang w:eastAsia="pt-BR"/>
              </w:rPr>
              <w:t>n</w:t>
            </w:r>
            <w:r w:rsidR="00AD301C">
              <w:rPr>
                <w:rFonts w:ascii="Book Antiqua" w:hAnsi="Book Antiqua" w:hint="eastAsia"/>
                <w:b/>
                <w:sz w:val="24"/>
                <w:szCs w:val="24"/>
              </w:rPr>
              <w:t xml:space="preserve"> </w:t>
            </w:r>
            <w:r w:rsidRPr="00AD301C">
              <w:rPr>
                <w:rFonts w:ascii="Book Antiqua" w:hAnsi="Book Antiqua"/>
                <w:b/>
                <w:sz w:val="24"/>
                <w:szCs w:val="24"/>
                <w:lang w:eastAsia="pt-BR"/>
              </w:rPr>
              <w:t>=</w:t>
            </w:r>
            <w:r w:rsidR="00AD301C">
              <w:rPr>
                <w:rFonts w:ascii="Book Antiqua" w:hAnsi="Book Antiqua" w:hint="eastAsia"/>
                <w:b/>
                <w:sz w:val="24"/>
                <w:szCs w:val="24"/>
              </w:rPr>
              <w:t xml:space="preserve"> </w:t>
            </w:r>
            <w:r w:rsidRPr="00AD301C">
              <w:rPr>
                <w:rFonts w:ascii="Book Antiqua" w:hAnsi="Book Antiqua"/>
                <w:b/>
                <w:sz w:val="24"/>
                <w:szCs w:val="24"/>
                <w:lang w:eastAsia="pt-BR"/>
              </w:rPr>
              <w:t>44)</w:t>
            </w:r>
          </w:p>
        </w:tc>
        <w:tc>
          <w:tcPr>
            <w:tcW w:w="1896" w:type="dxa"/>
            <w:tcBorders>
              <w:top w:val="single" w:sz="4" w:space="0" w:color="000000" w:themeColor="text1"/>
              <w:left w:val="nil"/>
              <w:bottom w:val="single" w:sz="4" w:space="0" w:color="auto"/>
              <w:right w:val="nil"/>
            </w:tcBorders>
            <w:shd w:val="clear" w:color="auto" w:fill="auto"/>
          </w:tcPr>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 xml:space="preserve">Controls  </w:t>
            </w:r>
          </w:p>
          <w:p w:rsidR="00F31D0D" w:rsidRPr="00AD301C" w:rsidRDefault="00F31D0D" w:rsidP="00F31D0D">
            <w:pPr>
              <w:spacing w:line="360" w:lineRule="auto"/>
              <w:rPr>
                <w:rFonts w:ascii="Book Antiqua" w:hAnsi="Book Antiqua"/>
                <w:b/>
                <w:sz w:val="24"/>
                <w:szCs w:val="24"/>
                <w:lang w:eastAsia="pt-BR"/>
              </w:rPr>
            </w:pPr>
            <w:r w:rsidRPr="00AD301C">
              <w:rPr>
                <w:rFonts w:ascii="Book Antiqua" w:hAnsi="Book Antiqua"/>
                <w:b/>
                <w:sz w:val="24"/>
                <w:szCs w:val="24"/>
                <w:lang w:eastAsia="pt-BR"/>
              </w:rPr>
              <w:t>(</w:t>
            </w:r>
            <w:r w:rsidRPr="00AD301C">
              <w:rPr>
                <w:rFonts w:ascii="Book Antiqua" w:hAnsi="Book Antiqua"/>
                <w:b/>
                <w:i/>
                <w:sz w:val="24"/>
                <w:szCs w:val="24"/>
                <w:lang w:eastAsia="pt-BR"/>
              </w:rPr>
              <w:t>n</w:t>
            </w:r>
            <w:r w:rsidR="00AD301C">
              <w:rPr>
                <w:rFonts w:ascii="Book Antiqua" w:hAnsi="Book Antiqua" w:hint="eastAsia"/>
                <w:b/>
                <w:sz w:val="24"/>
                <w:szCs w:val="24"/>
              </w:rPr>
              <w:t xml:space="preserve"> </w:t>
            </w:r>
            <w:r w:rsidRPr="00AD301C">
              <w:rPr>
                <w:rFonts w:ascii="Book Antiqua" w:hAnsi="Book Antiqua"/>
                <w:b/>
                <w:sz w:val="24"/>
                <w:szCs w:val="24"/>
                <w:lang w:eastAsia="pt-BR"/>
              </w:rPr>
              <w:t>=</w:t>
            </w:r>
            <w:r w:rsidR="00AD301C">
              <w:rPr>
                <w:rFonts w:ascii="Book Antiqua" w:hAnsi="Book Antiqua" w:hint="eastAsia"/>
                <w:b/>
                <w:sz w:val="24"/>
                <w:szCs w:val="24"/>
              </w:rPr>
              <w:t xml:space="preserve"> </w:t>
            </w:r>
            <w:r w:rsidRPr="00AD301C">
              <w:rPr>
                <w:rFonts w:ascii="Book Antiqua" w:hAnsi="Book Antiqua"/>
                <w:b/>
                <w:sz w:val="24"/>
                <w:szCs w:val="24"/>
                <w:lang w:eastAsia="pt-BR"/>
              </w:rPr>
              <w:t>10)</w:t>
            </w:r>
          </w:p>
        </w:tc>
        <w:tc>
          <w:tcPr>
            <w:tcW w:w="1834" w:type="dxa"/>
            <w:tcBorders>
              <w:top w:val="single" w:sz="4" w:space="0" w:color="000000" w:themeColor="text1"/>
              <w:left w:val="nil"/>
              <w:bottom w:val="single" w:sz="4" w:space="0" w:color="auto"/>
              <w:right w:val="nil"/>
            </w:tcBorders>
            <w:shd w:val="clear" w:color="auto" w:fill="auto"/>
          </w:tcPr>
          <w:p w:rsidR="00F31D0D" w:rsidRPr="00AD301C" w:rsidRDefault="00F31D0D" w:rsidP="00AD301C">
            <w:pPr>
              <w:spacing w:line="360" w:lineRule="auto"/>
              <w:rPr>
                <w:rFonts w:ascii="Book Antiqua" w:hAnsi="Book Antiqua"/>
                <w:b/>
                <w:sz w:val="24"/>
                <w:szCs w:val="24"/>
              </w:rPr>
            </w:pPr>
            <w:r w:rsidRPr="00AD301C">
              <w:rPr>
                <w:rFonts w:ascii="Book Antiqua" w:hAnsi="Book Antiqua"/>
                <w:b/>
                <w:i/>
                <w:sz w:val="24"/>
                <w:szCs w:val="24"/>
                <w:lang w:eastAsia="pt-BR"/>
              </w:rPr>
              <w:t>P</w:t>
            </w:r>
            <w:r w:rsidR="00AD301C">
              <w:rPr>
                <w:rFonts w:ascii="Book Antiqua" w:hAnsi="Book Antiqua" w:hint="eastAsia"/>
                <w:b/>
                <w:sz w:val="24"/>
                <w:szCs w:val="24"/>
                <w:vertAlign w:val="superscript"/>
              </w:rPr>
              <w:t>3</w:t>
            </w:r>
          </w:p>
        </w:tc>
      </w:tr>
      <w:tr w:rsidR="00F31D0D" w:rsidRPr="00F31D0D" w:rsidTr="00AD301C">
        <w:trPr>
          <w:trHeight w:val="276"/>
          <w:jc w:val="center"/>
        </w:trPr>
        <w:tc>
          <w:tcPr>
            <w:tcW w:w="1994" w:type="dxa"/>
            <w:tcBorders>
              <w:top w:val="single" w:sz="4"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sVCAM-1</w:t>
            </w:r>
            <w:r w:rsidR="00AD301C">
              <w:rPr>
                <w:rFonts w:ascii="Book Antiqua" w:hAnsi="Book Antiqua" w:hint="eastAsia"/>
                <w:color w:val="1B1B16"/>
                <w:sz w:val="24"/>
                <w:szCs w:val="24"/>
                <w:vertAlign w:val="superscript"/>
              </w:rPr>
              <w:t>1</w:t>
            </w:r>
          </w:p>
        </w:tc>
        <w:tc>
          <w:tcPr>
            <w:tcW w:w="1966" w:type="dxa"/>
            <w:tcBorders>
              <w:top w:val="single" w:sz="4"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1692.4</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457.4</w:t>
            </w:r>
          </w:p>
        </w:tc>
        <w:tc>
          <w:tcPr>
            <w:tcW w:w="1896" w:type="dxa"/>
            <w:tcBorders>
              <w:top w:val="single" w:sz="4"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1820.6</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443.9</w:t>
            </w:r>
          </w:p>
        </w:tc>
        <w:tc>
          <w:tcPr>
            <w:tcW w:w="1896" w:type="dxa"/>
            <w:tcBorders>
              <w:top w:val="single" w:sz="4"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1167.2</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121.8</w:t>
            </w:r>
          </w:p>
        </w:tc>
        <w:tc>
          <w:tcPr>
            <w:tcW w:w="1834" w:type="dxa"/>
            <w:tcBorders>
              <w:top w:val="single" w:sz="4" w:space="0" w:color="auto"/>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276"/>
          <w:jc w:val="center"/>
        </w:trPr>
        <w:tc>
          <w:tcPr>
            <w:tcW w:w="199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sICAM-1</w:t>
            </w:r>
            <w:r w:rsidR="00AD301C">
              <w:rPr>
                <w:rFonts w:ascii="Book Antiqua" w:hAnsi="Book Antiqua" w:hint="eastAsia"/>
                <w:color w:val="1B1B16"/>
                <w:sz w:val="24"/>
                <w:szCs w:val="24"/>
                <w:vertAlign w:val="superscript"/>
              </w:rPr>
              <w:t>1</w:t>
            </w:r>
          </w:p>
        </w:tc>
        <w:tc>
          <w:tcPr>
            <w:tcW w:w="196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259.7</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101</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230.3</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96.3</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152.9</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33.9</w:t>
            </w:r>
          </w:p>
        </w:tc>
        <w:tc>
          <w:tcPr>
            <w:tcW w:w="183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0.015</w:t>
            </w:r>
          </w:p>
        </w:tc>
      </w:tr>
      <w:tr w:rsidR="00F31D0D" w:rsidRPr="00F31D0D" w:rsidTr="00AD301C">
        <w:trPr>
          <w:trHeight w:val="276"/>
          <w:jc w:val="center"/>
        </w:trPr>
        <w:tc>
          <w:tcPr>
            <w:tcW w:w="199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MPO</w:t>
            </w:r>
            <w:r w:rsidR="00AD301C">
              <w:rPr>
                <w:rFonts w:ascii="Book Antiqua" w:hAnsi="Book Antiqua" w:hint="eastAsia"/>
                <w:color w:val="1B1B16"/>
                <w:sz w:val="24"/>
                <w:szCs w:val="24"/>
                <w:vertAlign w:val="superscript"/>
              </w:rPr>
              <w:t>1</w:t>
            </w:r>
          </w:p>
        </w:tc>
        <w:tc>
          <w:tcPr>
            <w:tcW w:w="196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198.3</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116.2</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93.7</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60.9</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409.2</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204.9</w:t>
            </w:r>
          </w:p>
        </w:tc>
        <w:tc>
          <w:tcPr>
            <w:tcW w:w="183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263"/>
          <w:jc w:val="center"/>
        </w:trPr>
        <w:tc>
          <w:tcPr>
            <w:tcW w:w="199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Adiponectin</w:t>
            </w:r>
            <w:r w:rsidR="00AD301C">
              <w:rPr>
                <w:rFonts w:ascii="Book Antiqua" w:hAnsi="Book Antiqua" w:hint="eastAsia"/>
                <w:color w:val="1B1B16"/>
                <w:sz w:val="24"/>
                <w:szCs w:val="24"/>
                <w:vertAlign w:val="superscript"/>
              </w:rPr>
              <w:t>1</w:t>
            </w:r>
          </w:p>
        </w:tc>
        <w:tc>
          <w:tcPr>
            <w:tcW w:w="196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23789.1</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12040.4</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47965.3</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33140.8</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32683.2</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25065.4</w:t>
            </w:r>
          </w:p>
        </w:tc>
        <w:tc>
          <w:tcPr>
            <w:tcW w:w="183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rPr>
              <w:t>0.008</w:t>
            </w:r>
          </w:p>
        </w:tc>
      </w:tr>
      <w:tr w:rsidR="00F31D0D" w:rsidRPr="00F31D0D" w:rsidTr="00AD301C">
        <w:trPr>
          <w:trHeight w:val="276"/>
          <w:jc w:val="center"/>
        </w:trPr>
        <w:tc>
          <w:tcPr>
            <w:tcW w:w="199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PAI-1</w:t>
            </w:r>
            <w:r w:rsidR="00AD301C">
              <w:rPr>
                <w:rFonts w:ascii="Book Antiqua" w:hAnsi="Book Antiqua" w:hint="eastAsia"/>
                <w:color w:val="1B1B16"/>
                <w:sz w:val="24"/>
                <w:szCs w:val="24"/>
                <w:vertAlign w:val="superscript"/>
              </w:rPr>
              <w:t>1</w:t>
            </w:r>
          </w:p>
        </w:tc>
        <w:tc>
          <w:tcPr>
            <w:tcW w:w="196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149.2</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63.1</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40.4</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28.7</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132.3</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58.4</w:t>
            </w:r>
          </w:p>
        </w:tc>
        <w:tc>
          <w:tcPr>
            <w:tcW w:w="183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276"/>
          <w:jc w:val="center"/>
        </w:trPr>
        <w:tc>
          <w:tcPr>
            <w:tcW w:w="199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SAP</w:t>
            </w:r>
            <w:r w:rsidR="00AD301C">
              <w:rPr>
                <w:rFonts w:ascii="Book Antiqua" w:hAnsi="Book Antiqua" w:hint="eastAsia"/>
                <w:color w:val="1B1B16"/>
                <w:sz w:val="24"/>
                <w:szCs w:val="24"/>
                <w:vertAlign w:val="superscript"/>
              </w:rPr>
              <w:t>1</w:t>
            </w:r>
          </w:p>
        </w:tc>
        <w:tc>
          <w:tcPr>
            <w:tcW w:w="196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59031.5</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17024.2</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29174.5</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20175.2</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40452.8</w:t>
            </w:r>
            <w:r w:rsidR="00AD301C">
              <w:rPr>
                <w:rFonts w:ascii="Book Antiqua" w:hAnsi="Book Antiqua" w:hint="eastAsia"/>
                <w:sz w:val="24"/>
                <w:szCs w:val="24"/>
              </w:rPr>
              <w:t xml:space="preserve"> </w:t>
            </w:r>
            <w:r w:rsidRPr="00F31D0D">
              <w:rPr>
                <w:rFonts w:ascii="Book Antiqua" w:hAnsi="Book Antiqua"/>
                <w:sz w:val="24"/>
                <w:szCs w:val="24"/>
                <w:lang w:eastAsia="pt-BR"/>
              </w:rPr>
              <w:sym w:font="Symbol" w:char="F0B1"/>
            </w:r>
            <w:r w:rsidR="00AD301C">
              <w:rPr>
                <w:rFonts w:ascii="Book Antiqua" w:hAnsi="Book Antiqua" w:hint="eastAsia"/>
                <w:sz w:val="24"/>
                <w:szCs w:val="24"/>
              </w:rPr>
              <w:t xml:space="preserve"> </w:t>
            </w:r>
            <w:r w:rsidRPr="00F31D0D">
              <w:rPr>
                <w:rFonts w:ascii="Book Antiqua" w:hAnsi="Book Antiqua"/>
                <w:sz w:val="24"/>
                <w:szCs w:val="24"/>
                <w:lang w:eastAsia="pt-BR"/>
              </w:rPr>
              <w:t>18557.44</w:t>
            </w:r>
          </w:p>
        </w:tc>
        <w:tc>
          <w:tcPr>
            <w:tcW w:w="183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525"/>
          <w:jc w:val="center"/>
        </w:trPr>
        <w:tc>
          <w:tcPr>
            <w:tcW w:w="1994" w:type="dxa"/>
            <w:tcBorders>
              <w:left w:val="nil"/>
              <w:right w:val="nil"/>
            </w:tcBorders>
            <w:shd w:val="clear" w:color="auto" w:fill="auto"/>
          </w:tcPr>
          <w:p w:rsidR="00F31D0D" w:rsidRPr="00F31D0D" w:rsidRDefault="00F31D0D" w:rsidP="00AD301C">
            <w:pPr>
              <w:spacing w:line="360" w:lineRule="auto"/>
              <w:rPr>
                <w:rFonts w:ascii="Book Antiqua" w:hAnsi="Book Antiqua"/>
                <w:sz w:val="24"/>
                <w:szCs w:val="24"/>
              </w:rPr>
            </w:pPr>
            <w:r w:rsidRPr="00F31D0D">
              <w:rPr>
                <w:rFonts w:ascii="Book Antiqua" w:hAnsi="Book Antiqua"/>
                <w:sz w:val="24"/>
                <w:szCs w:val="24"/>
                <w:lang w:eastAsia="pt-BR"/>
              </w:rPr>
              <w:t>SAA</w:t>
            </w:r>
            <w:r w:rsidR="00AD301C">
              <w:rPr>
                <w:rFonts w:ascii="Book Antiqua" w:hAnsi="Book Antiqua" w:hint="eastAsia"/>
                <w:sz w:val="24"/>
                <w:szCs w:val="24"/>
                <w:vertAlign w:val="superscript"/>
              </w:rPr>
              <w:t>2</w:t>
            </w:r>
          </w:p>
        </w:tc>
        <w:tc>
          <w:tcPr>
            <w:tcW w:w="196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21303               (8723.6-30583.2)</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5390,9             (2567.4-18562.04)</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9008.6             (3230.7-13977.4)</w:t>
            </w:r>
          </w:p>
        </w:tc>
        <w:tc>
          <w:tcPr>
            <w:tcW w:w="183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263"/>
          <w:jc w:val="center"/>
        </w:trPr>
        <w:tc>
          <w:tcPr>
            <w:tcW w:w="1994"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E-selectin</w:t>
            </w:r>
            <w:r w:rsidR="00AD301C">
              <w:rPr>
                <w:rFonts w:ascii="Book Antiqua" w:hAnsi="Book Antiqua" w:hint="eastAsia"/>
                <w:sz w:val="24"/>
                <w:szCs w:val="24"/>
                <w:vertAlign w:val="superscript"/>
              </w:rPr>
              <w:t>2</w:t>
            </w:r>
          </w:p>
        </w:tc>
        <w:tc>
          <w:tcPr>
            <w:tcW w:w="196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90.03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(69.5-137.1)</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48.5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(36.04-70.9)</w:t>
            </w:r>
          </w:p>
        </w:tc>
        <w:tc>
          <w:tcPr>
            <w:tcW w:w="1896" w:type="dxa"/>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35.7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(28.4-47.04)</w:t>
            </w:r>
          </w:p>
        </w:tc>
        <w:tc>
          <w:tcPr>
            <w:tcW w:w="1834" w:type="dxa"/>
            <w:shd w:val="clear" w:color="auto" w:fill="auto"/>
          </w:tcPr>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&lt;</w:t>
            </w:r>
            <w:r w:rsidR="00AD301C">
              <w:rPr>
                <w:rFonts w:ascii="Book Antiqua" w:hAnsi="Book Antiqua" w:hint="eastAsia"/>
                <w:sz w:val="24"/>
                <w:szCs w:val="24"/>
              </w:rPr>
              <w:t xml:space="preserve"> </w:t>
            </w:r>
            <w:r w:rsidRPr="00F31D0D">
              <w:rPr>
                <w:rFonts w:ascii="Book Antiqua" w:hAnsi="Book Antiqua"/>
                <w:sz w:val="24"/>
                <w:szCs w:val="24"/>
              </w:rPr>
              <w:t>0.001</w:t>
            </w:r>
          </w:p>
        </w:tc>
      </w:tr>
      <w:tr w:rsidR="00F31D0D" w:rsidRPr="00F31D0D" w:rsidTr="00AD301C">
        <w:trPr>
          <w:trHeight w:val="263"/>
          <w:jc w:val="center"/>
        </w:trPr>
        <w:tc>
          <w:tcPr>
            <w:tcW w:w="199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MMP-9</w:t>
            </w:r>
            <w:r w:rsidR="00AD301C">
              <w:rPr>
                <w:rFonts w:ascii="Book Antiqua" w:hAnsi="Book Antiqua" w:hint="eastAsia"/>
                <w:sz w:val="24"/>
                <w:szCs w:val="24"/>
                <w:vertAlign w:val="superscript"/>
              </w:rPr>
              <w:t>2</w:t>
            </w:r>
          </w:p>
        </w:tc>
        <w:tc>
          <w:tcPr>
            <w:tcW w:w="196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289.3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(107.6-410.4)</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50.5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(35.2-99.5)</w:t>
            </w:r>
          </w:p>
        </w:tc>
        <w:tc>
          <w:tcPr>
            <w:tcW w:w="1896"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411.5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(241.2-587.4)</w:t>
            </w:r>
          </w:p>
        </w:tc>
        <w:tc>
          <w:tcPr>
            <w:tcW w:w="1834" w:type="dxa"/>
            <w:tcBorders>
              <w:left w:val="nil"/>
              <w:right w:val="nil"/>
            </w:tcBorders>
            <w:shd w:val="clear" w:color="auto" w:fill="auto"/>
          </w:tcPr>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0.002</w:t>
            </w:r>
          </w:p>
        </w:tc>
      </w:tr>
      <w:tr w:rsidR="00F31D0D" w:rsidRPr="00F31D0D" w:rsidTr="00AD301C">
        <w:trPr>
          <w:trHeight w:val="539"/>
          <w:jc w:val="center"/>
        </w:trPr>
        <w:tc>
          <w:tcPr>
            <w:tcW w:w="1994" w:type="dxa"/>
            <w:tcBorders>
              <w:bottom w:val="single" w:sz="4" w:space="0" w:color="000000" w:themeColor="text1"/>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HsCRP</w:t>
            </w:r>
            <w:r w:rsidR="00AD301C">
              <w:rPr>
                <w:rFonts w:ascii="Book Antiqua" w:hAnsi="Book Antiqua" w:hint="eastAsia"/>
                <w:sz w:val="24"/>
                <w:szCs w:val="24"/>
                <w:vertAlign w:val="superscript"/>
              </w:rPr>
              <w:t>2</w:t>
            </w:r>
          </w:p>
        </w:tc>
        <w:tc>
          <w:tcPr>
            <w:tcW w:w="1966" w:type="dxa"/>
            <w:tcBorders>
              <w:bottom w:val="single" w:sz="4" w:space="0" w:color="000000" w:themeColor="text1"/>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1.78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(0.70-3.51)</w:t>
            </w:r>
          </w:p>
        </w:tc>
        <w:tc>
          <w:tcPr>
            <w:tcW w:w="1896" w:type="dxa"/>
            <w:tcBorders>
              <w:bottom w:val="single" w:sz="4" w:space="0" w:color="000000" w:themeColor="text1"/>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0.53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(0.21-1.13)</w:t>
            </w:r>
          </w:p>
        </w:tc>
        <w:tc>
          <w:tcPr>
            <w:tcW w:w="1896" w:type="dxa"/>
            <w:tcBorders>
              <w:bottom w:val="single" w:sz="4" w:space="0" w:color="000000" w:themeColor="text1"/>
            </w:tcBorders>
            <w:shd w:val="clear" w:color="auto" w:fill="auto"/>
          </w:tcPr>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 xml:space="preserve">0.29           </w:t>
            </w:r>
          </w:p>
          <w:p w:rsidR="00F31D0D" w:rsidRPr="00F31D0D" w:rsidRDefault="00F31D0D" w:rsidP="00F31D0D">
            <w:pPr>
              <w:spacing w:line="360" w:lineRule="auto"/>
              <w:rPr>
                <w:rFonts w:ascii="Book Antiqua" w:hAnsi="Book Antiqua"/>
                <w:sz w:val="24"/>
                <w:szCs w:val="24"/>
                <w:lang w:eastAsia="pt-BR"/>
              </w:rPr>
            </w:pPr>
            <w:r w:rsidRPr="00F31D0D">
              <w:rPr>
                <w:rFonts w:ascii="Book Antiqua" w:hAnsi="Book Antiqua"/>
                <w:sz w:val="24"/>
                <w:szCs w:val="24"/>
                <w:lang w:eastAsia="pt-BR"/>
              </w:rPr>
              <w:t>(0.16-0.55)</w:t>
            </w:r>
          </w:p>
        </w:tc>
        <w:tc>
          <w:tcPr>
            <w:tcW w:w="1834" w:type="dxa"/>
            <w:tcBorders>
              <w:bottom w:val="single" w:sz="4" w:space="0" w:color="000000" w:themeColor="text1"/>
            </w:tcBorders>
            <w:shd w:val="clear" w:color="auto" w:fill="auto"/>
          </w:tcPr>
          <w:p w:rsidR="00F31D0D" w:rsidRPr="00F31D0D" w:rsidRDefault="00F31D0D" w:rsidP="00F31D0D">
            <w:pPr>
              <w:spacing w:line="360" w:lineRule="auto"/>
              <w:rPr>
                <w:rFonts w:ascii="Book Antiqua" w:hAnsi="Book Antiqua"/>
                <w:sz w:val="24"/>
                <w:szCs w:val="24"/>
              </w:rPr>
            </w:pPr>
            <w:r w:rsidRPr="00F31D0D">
              <w:rPr>
                <w:rFonts w:ascii="Book Antiqua" w:hAnsi="Book Antiqua"/>
                <w:sz w:val="24"/>
                <w:szCs w:val="24"/>
              </w:rPr>
              <w:t>0.009</w:t>
            </w:r>
          </w:p>
        </w:tc>
      </w:tr>
    </w:tbl>
    <w:p w:rsidR="00F31D0D" w:rsidRPr="00F31D0D" w:rsidRDefault="00AD301C" w:rsidP="00F31D0D">
      <w:pPr>
        <w:spacing w:line="360" w:lineRule="auto"/>
        <w:rPr>
          <w:rFonts w:ascii="Book Antiqua" w:hAnsi="Book Antiqua"/>
          <w:sz w:val="24"/>
          <w:szCs w:val="24"/>
          <w:lang w:eastAsia="pt-BR"/>
        </w:rPr>
      </w:pPr>
      <w:r>
        <w:rPr>
          <w:rFonts w:ascii="Book Antiqua" w:hAnsi="Book Antiqua" w:hint="eastAsia"/>
          <w:color w:val="1B1B16"/>
          <w:sz w:val="24"/>
          <w:szCs w:val="24"/>
          <w:vertAlign w:val="superscript"/>
        </w:rPr>
        <w:t>1</w:t>
      </w:r>
      <w:r w:rsidR="00F31D0D" w:rsidRPr="00F31D0D">
        <w:rPr>
          <w:rFonts w:ascii="Book Antiqua" w:hAnsi="Book Antiqua"/>
          <w:color w:val="1B1B16"/>
          <w:sz w:val="24"/>
          <w:szCs w:val="24"/>
        </w:rPr>
        <w:t xml:space="preserve">Mean </w:t>
      </w:r>
      <w:r w:rsidR="00F31D0D" w:rsidRPr="00F31D0D">
        <w:rPr>
          <w:rFonts w:ascii="Book Antiqua" w:hAnsi="Book Antiqua"/>
          <w:sz w:val="24"/>
          <w:szCs w:val="24"/>
          <w:lang w:eastAsia="pt-BR"/>
        </w:rPr>
        <w:sym w:font="Symbol" w:char="F0B1"/>
      </w:r>
      <w:r w:rsidR="00F31D0D" w:rsidRPr="00F31D0D">
        <w:rPr>
          <w:rFonts w:ascii="Book Antiqua" w:hAnsi="Book Antiqua"/>
          <w:sz w:val="24"/>
          <w:szCs w:val="24"/>
          <w:lang w:eastAsia="pt-BR"/>
        </w:rPr>
        <w:t xml:space="preserve"> </w:t>
      </w:r>
      <w:r w:rsidR="00F31D0D" w:rsidRPr="00F31D0D">
        <w:rPr>
          <w:rFonts w:ascii="Book Antiqua" w:hAnsi="Book Antiqua"/>
          <w:color w:val="1B1B16"/>
          <w:sz w:val="24"/>
          <w:szCs w:val="24"/>
        </w:rPr>
        <w:t xml:space="preserve">SD; </w:t>
      </w:r>
      <w:r>
        <w:rPr>
          <w:rFonts w:ascii="Book Antiqua" w:hAnsi="Book Antiqua" w:hint="eastAsia"/>
          <w:color w:val="1B1B16"/>
          <w:sz w:val="24"/>
          <w:szCs w:val="24"/>
          <w:vertAlign w:val="superscript"/>
        </w:rPr>
        <w:t>2</w:t>
      </w:r>
      <w:r w:rsidR="00F31D0D" w:rsidRPr="00F31D0D">
        <w:rPr>
          <w:rFonts w:ascii="Book Antiqua" w:hAnsi="Book Antiqua"/>
          <w:color w:val="1B1B16"/>
          <w:sz w:val="24"/>
          <w:szCs w:val="24"/>
        </w:rPr>
        <w:t>Median (25</w:t>
      </w:r>
      <w:r w:rsidR="00F31D0D" w:rsidRPr="00F31D0D">
        <w:rPr>
          <w:rFonts w:ascii="Book Antiqua" w:hAnsi="Book Antiqua"/>
          <w:color w:val="1B1B16"/>
          <w:sz w:val="24"/>
          <w:szCs w:val="24"/>
          <w:vertAlign w:val="superscript"/>
        </w:rPr>
        <w:t>th</w:t>
      </w:r>
      <w:r w:rsidR="00F31D0D" w:rsidRPr="00F31D0D">
        <w:rPr>
          <w:rFonts w:ascii="Book Antiqua" w:hAnsi="Book Antiqua"/>
          <w:color w:val="1B1B16"/>
          <w:sz w:val="24"/>
          <w:szCs w:val="24"/>
        </w:rPr>
        <w:t>-75</w:t>
      </w:r>
      <w:r w:rsidR="00F31D0D" w:rsidRPr="00F31D0D">
        <w:rPr>
          <w:rFonts w:ascii="Book Antiqua" w:hAnsi="Book Antiqua"/>
          <w:color w:val="1B1B16"/>
          <w:sz w:val="24"/>
          <w:szCs w:val="24"/>
          <w:vertAlign w:val="superscript"/>
        </w:rPr>
        <w:t>th</w:t>
      </w:r>
      <w:r w:rsidR="00F31D0D" w:rsidRPr="00F31D0D">
        <w:rPr>
          <w:rFonts w:ascii="Book Antiqua" w:hAnsi="Book Antiqua"/>
          <w:color w:val="1B1B16"/>
          <w:sz w:val="24"/>
          <w:szCs w:val="24"/>
        </w:rPr>
        <w:t xml:space="preserve"> percentiles); </w:t>
      </w:r>
      <w:r>
        <w:rPr>
          <w:rFonts w:ascii="Book Antiqua" w:hAnsi="Book Antiqua" w:hint="eastAsia"/>
          <w:color w:val="1B1B16"/>
          <w:sz w:val="24"/>
          <w:szCs w:val="24"/>
          <w:vertAlign w:val="superscript"/>
        </w:rPr>
        <w:t>3</w:t>
      </w:r>
      <w:r w:rsidR="00F31D0D" w:rsidRPr="00F31D0D">
        <w:rPr>
          <w:rFonts w:ascii="Book Antiqua" w:hAnsi="Book Antiqua"/>
          <w:sz w:val="24"/>
          <w:szCs w:val="24"/>
          <w:lang w:eastAsia="pt-BR"/>
        </w:rPr>
        <w:t>Comparisons: sVCAM-1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NASH</w:t>
      </w:r>
      <w:r>
        <w:rPr>
          <w:rFonts w:ascii="Book Antiqua" w:hAnsi="Book Antiqua" w:hint="eastAsia"/>
          <w:sz w:val="24"/>
          <w:szCs w:val="24"/>
        </w:rPr>
        <w:t>-</w:t>
      </w:r>
      <w:r w:rsidR="00F31D0D" w:rsidRPr="00AD301C">
        <w:rPr>
          <w:rFonts w:ascii="Book Antiqua" w:hAnsi="Book Antiqua"/>
          <w:i/>
          <w:sz w:val="24"/>
          <w:szCs w:val="24"/>
          <w:lang w:eastAsia="pt-BR"/>
        </w:rPr>
        <w:t>P</w:t>
      </w:r>
      <w:r>
        <w:rPr>
          <w:rFonts w:ascii="Book Antiqua" w:hAnsi="Book Antiqua" w:hint="eastAsia"/>
          <w:i/>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0.5; LTR</w:t>
      </w:r>
      <w:r>
        <w:rPr>
          <w:rFonts w:ascii="Book Antiqua" w:hAnsi="Book Antiqua" w:hint="eastAsia"/>
          <w:sz w:val="24"/>
          <w:szCs w:val="24"/>
        </w:rPr>
        <w:t xml:space="preserve"> </w:t>
      </w:r>
      <w:r w:rsidR="00F31D0D" w:rsidRPr="00F31D0D">
        <w:rPr>
          <w:rFonts w:ascii="Book Antiqua" w:hAnsi="Book Antiqua"/>
          <w:sz w:val="24"/>
          <w:szCs w:val="24"/>
          <w:lang w:eastAsia="pt-BR"/>
        </w:rPr>
        <w:t>&gt;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&lt; 0.001); s-ICAM-1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0.48; LTR</w:t>
      </w:r>
      <w:r>
        <w:rPr>
          <w:rFonts w:ascii="Book Antiqua" w:hAnsi="Book Antiqua" w:hint="eastAsia"/>
          <w:sz w:val="24"/>
          <w:szCs w:val="24"/>
        </w:rPr>
        <w:t xml:space="preserve"> </w:t>
      </w:r>
      <w:r w:rsidR="00F31D0D" w:rsidRPr="00F31D0D">
        <w:rPr>
          <w:rFonts w:ascii="Book Antiqua" w:hAnsi="Book Antiqua"/>
          <w:sz w:val="24"/>
          <w:szCs w:val="24"/>
          <w:lang w:eastAsia="pt-BR"/>
        </w:rPr>
        <w:t>&gt;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Pr>
          <w:rFonts w:ascii="Book Antiqua" w:hAnsi="Book Antiqua" w:hint="eastAsia"/>
          <w:i/>
          <w:sz w:val="24"/>
          <w:szCs w:val="24"/>
        </w:rPr>
        <w:t xml:space="preserve"> </w:t>
      </w:r>
      <w:r>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0.05; MPO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 0.02;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 xml:space="preserve">controls – P&lt;0.001); </w:t>
      </w:r>
      <w:proofErr w:type="spellStart"/>
      <w:r w:rsidR="00F31D0D" w:rsidRPr="00F31D0D">
        <w:rPr>
          <w:rFonts w:ascii="Book Antiqua" w:hAnsi="Book Antiqua"/>
          <w:sz w:val="24"/>
          <w:szCs w:val="24"/>
          <w:lang w:eastAsia="pt-BR"/>
        </w:rPr>
        <w:t>Adiponectin</w:t>
      </w:r>
      <w:proofErr w:type="spellEnd"/>
      <w:r w:rsidR="00F31D0D" w:rsidRPr="00F31D0D">
        <w:rPr>
          <w:rFonts w:ascii="Book Antiqua" w:hAnsi="Book Antiqua"/>
          <w:sz w:val="24"/>
          <w:szCs w:val="24"/>
          <w:lang w:eastAsia="pt-BR"/>
        </w:rPr>
        <w:t xml:space="preserve"> (LTR</w:t>
      </w:r>
      <w:r>
        <w:rPr>
          <w:rFonts w:ascii="Book Antiqua" w:hAnsi="Book Antiqua" w:hint="eastAsia"/>
          <w:sz w:val="24"/>
          <w:szCs w:val="24"/>
        </w:rPr>
        <w:t xml:space="preserve"> </w:t>
      </w:r>
      <w:r w:rsidR="00F31D0D" w:rsidRPr="00F31D0D">
        <w:rPr>
          <w:rFonts w:ascii="Book Antiqua" w:hAnsi="Book Antiqua"/>
          <w:sz w:val="24"/>
          <w:szCs w:val="24"/>
          <w:lang w:eastAsia="pt-BR"/>
        </w:rPr>
        <w:t>&gt;</w:t>
      </w:r>
      <w:r>
        <w:rPr>
          <w:rFonts w:ascii="Book Antiqua" w:hAnsi="Book Antiqua" w:hint="eastAsia"/>
          <w:sz w:val="24"/>
          <w:szCs w:val="24"/>
        </w:rPr>
        <w:t xml:space="preserve"> </w:t>
      </w:r>
      <w:r w:rsidR="00F31D0D" w:rsidRPr="00F31D0D">
        <w:rPr>
          <w:rFonts w:ascii="Book Antiqua" w:hAnsi="Book Antiqua"/>
          <w:sz w:val="24"/>
          <w:szCs w:val="24"/>
          <w:lang w:eastAsia="pt-BR"/>
        </w:rPr>
        <w:t xml:space="preserve">NASH </w:t>
      </w:r>
      <w:r>
        <w:rPr>
          <w:rFonts w:ascii="Book Antiqua" w:hAnsi="Book Antiqua"/>
          <w:sz w:val="24"/>
          <w:szCs w:val="24"/>
          <w:lang w:eastAsia="pt-BR"/>
        </w:rPr>
        <w:t>–</w:t>
      </w:r>
      <w:r w:rsidRPr="00AD301C">
        <w:rPr>
          <w:rFonts w:ascii="Book Antiqua" w:hAnsi="Book Antiqua"/>
          <w:i/>
          <w:sz w:val="24"/>
          <w:szCs w:val="24"/>
          <w:lang w:eastAsia="pt-BR"/>
        </w:rPr>
        <w:t>P</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0.007;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sidR="00F31D0D" w:rsidRPr="00F31D0D">
        <w:rPr>
          <w:rFonts w:ascii="Book Antiqua" w:hAnsi="Book Antiqua"/>
          <w:sz w:val="24"/>
          <w:szCs w:val="24"/>
          <w:lang w:eastAsia="pt-BR"/>
        </w:rPr>
        <w:t xml:space="preserve"> = 0.27); PAI-1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and controls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0.001); SAP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0.001;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0.22); SAA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0.006;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0.91); E-</w:t>
      </w:r>
      <w:proofErr w:type="spellStart"/>
      <w:r w:rsidR="00F31D0D" w:rsidRPr="00F31D0D">
        <w:rPr>
          <w:rFonts w:ascii="Book Antiqua" w:hAnsi="Book Antiqua"/>
          <w:sz w:val="24"/>
          <w:szCs w:val="24"/>
          <w:lang w:eastAsia="pt-BR"/>
        </w:rPr>
        <w:t>selectin</w:t>
      </w:r>
      <w:proofErr w:type="spellEnd"/>
      <w:r w:rsidR="00F31D0D" w:rsidRPr="00F31D0D">
        <w:rPr>
          <w:rFonts w:ascii="Book Antiqua" w:hAnsi="Book Antiqua"/>
          <w:sz w:val="24"/>
          <w:szCs w:val="24"/>
          <w:lang w:eastAsia="pt-BR"/>
        </w:rPr>
        <w:t xml:space="preserve">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0.001; LTR</w:t>
      </w:r>
      <w:r>
        <w:rPr>
          <w:rFonts w:ascii="Book Antiqua" w:hAnsi="Book Antiqua" w:hint="eastAsia"/>
          <w:sz w:val="24"/>
          <w:szCs w:val="24"/>
        </w:rPr>
        <w:t xml:space="preserve"> </w:t>
      </w:r>
      <w:r w:rsidR="00F31D0D" w:rsidRPr="00F31D0D">
        <w:rPr>
          <w:rFonts w:ascii="Book Antiqua" w:hAnsi="Book Antiqua"/>
          <w:sz w:val="24"/>
          <w:szCs w:val="24"/>
          <w:lang w:eastAsia="pt-BR"/>
        </w:rPr>
        <w:t>&gt;</w:t>
      </w:r>
      <w:r>
        <w:rPr>
          <w:rFonts w:ascii="Book Antiqua" w:hAnsi="Book Antiqua" w:hint="eastAsia"/>
          <w:sz w:val="24"/>
          <w:szCs w:val="24"/>
        </w:rPr>
        <w:t xml:space="preserve"> </w:t>
      </w:r>
      <w:r w:rsidR="00F31D0D" w:rsidRPr="00F31D0D">
        <w:rPr>
          <w:rFonts w:ascii="Book Antiqua" w:hAnsi="Book Antiqua"/>
          <w:sz w:val="24"/>
          <w:szCs w:val="24"/>
          <w:lang w:eastAsia="pt-BR"/>
        </w:rPr>
        <w:t>controls –</w:t>
      </w:r>
      <w:r w:rsidRPr="00AD301C">
        <w:rPr>
          <w:rFonts w:ascii="Book Antiqua" w:hAnsi="Book Antiqua"/>
          <w:i/>
          <w:sz w:val="24"/>
          <w:szCs w:val="24"/>
          <w:lang w:eastAsia="pt-BR"/>
        </w:rPr>
        <w:t>P</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0.04); MMP-9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and controls</w:t>
      </w:r>
      <w:r>
        <w:rPr>
          <w:rFonts w:ascii="Book Antiqua" w:hAnsi="Book Antiqua" w:hint="eastAsia"/>
          <w:sz w:val="24"/>
          <w:szCs w:val="24"/>
        </w:rPr>
        <w:t>-</w:t>
      </w:r>
      <w:r w:rsidRPr="00AD301C">
        <w:rPr>
          <w:rFonts w:ascii="Book Antiqua" w:hAnsi="Book Antiqua"/>
          <w:i/>
          <w:sz w:val="24"/>
          <w:szCs w:val="24"/>
          <w:lang w:eastAsia="pt-BR"/>
        </w:rPr>
        <w:t xml:space="preserve"> P</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0.001); CRP (LTR</w:t>
      </w:r>
      <w:r>
        <w:rPr>
          <w:rFonts w:ascii="Book Antiqua" w:hAnsi="Book Antiqua" w:hint="eastAsia"/>
          <w:sz w:val="24"/>
          <w:szCs w:val="24"/>
        </w:rPr>
        <w:t xml:space="preserve"> </w:t>
      </w:r>
      <w:r w:rsidR="00F31D0D" w:rsidRPr="00F31D0D">
        <w:rPr>
          <w:rFonts w:ascii="Book Antiqua" w:hAnsi="Book Antiqua"/>
          <w:sz w:val="24"/>
          <w:szCs w:val="24"/>
          <w:lang w:eastAsia="pt-BR"/>
        </w:rPr>
        <w:t>&lt;</w:t>
      </w:r>
      <w:r>
        <w:rPr>
          <w:rFonts w:ascii="Book Antiqua" w:hAnsi="Book Antiqua" w:hint="eastAsia"/>
          <w:sz w:val="24"/>
          <w:szCs w:val="24"/>
        </w:rPr>
        <w:t xml:space="preserve"> </w:t>
      </w:r>
      <w:r w:rsidR="00F31D0D" w:rsidRPr="00F31D0D">
        <w:rPr>
          <w:rFonts w:ascii="Book Antiqua" w:hAnsi="Book Antiqua"/>
          <w:sz w:val="24"/>
          <w:szCs w:val="24"/>
          <w:lang w:eastAsia="pt-BR"/>
        </w:rPr>
        <w:t>NASH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0.007; LTR</w:t>
      </w:r>
      <w:r>
        <w:rPr>
          <w:rFonts w:ascii="Book Antiqua" w:hAnsi="Book Antiqua" w:hint="eastAsia"/>
          <w:sz w:val="24"/>
          <w:szCs w:val="24"/>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lastRenderedPageBreak/>
        <w:t>controls –</w:t>
      </w:r>
      <w:r w:rsidRPr="00AD301C">
        <w:rPr>
          <w:rFonts w:ascii="Book Antiqua" w:hAnsi="Book Antiqua"/>
          <w:i/>
          <w:sz w:val="24"/>
          <w:szCs w:val="24"/>
          <w:lang w:eastAsia="pt-BR"/>
        </w:rPr>
        <w:t>P</w:t>
      </w:r>
      <w:r w:rsidRPr="00F31D0D">
        <w:rPr>
          <w:rFonts w:ascii="Book Antiqua" w:hAnsi="Book Antiqua"/>
          <w:sz w:val="24"/>
          <w:szCs w:val="24"/>
          <w:lang w:eastAsia="pt-BR"/>
        </w:rPr>
        <w:t xml:space="preserve"> </w:t>
      </w:r>
      <w:r w:rsidR="00F31D0D" w:rsidRPr="00F31D0D">
        <w:rPr>
          <w:rFonts w:ascii="Book Antiqua" w:hAnsi="Book Antiqua"/>
          <w:sz w:val="24"/>
          <w:szCs w:val="24"/>
          <w:lang w:eastAsia="pt-BR"/>
        </w:rPr>
        <w:t>=</w:t>
      </w:r>
      <w:r>
        <w:rPr>
          <w:rFonts w:ascii="Book Antiqua" w:hAnsi="Book Antiqua" w:hint="eastAsia"/>
          <w:sz w:val="24"/>
          <w:szCs w:val="24"/>
        </w:rPr>
        <w:t xml:space="preserve"> </w:t>
      </w:r>
      <w:r w:rsidR="00F31D0D" w:rsidRPr="00F31D0D">
        <w:rPr>
          <w:rFonts w:ascii="Book Antiqua" w:hAnsi="Book Antiqua"/>
          <w:sz w:val="24"/>
          <w:szCs w:val="24"/>
          <w:lang w:eastAsia="pt-BR"/>
        </w:rPr>
        <w:t>0.41).</w:t>
      </w:r>
      <w:r>
        <w:rPr>
          <w:rFonts w:ascii="Book Antiqua" w:hAnsi="Book Antiqua" w:hint="eastAsia"/>
          <w:sz w:val="24"/>
          <w:szCs w:val="24"/>
        </w:rPr>
        <w:t xml:space="preserve"> </w:t>
      </w:r>
      <w:r w:rsidR="00F31D0D" w:rsidRPr="00F31D0D">
        <w:rPr>
          <w:rFonts w:ascii="Book Antiqua" w:hAnsi="Book Antiqua"/>
          <w:sz w:val="24"/>
          <w:szCs w:val="24"/>
          <w:lang w:eastAsia="pt-BR"/>
        </w:rPr>
        <w:t>sVCAM-1</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Soluble </w:t>
      </w:r>
      <w:r w:rsidR="00F31D0D" w:rsidRPr="00F31D0D">
        <w:rPr>
          <w:rFonts w:ascii="Book Antiqua" w:hAnsi="Book Antiqua"/>
          <w:sz w:val="24"/>
          <w:szCs w:val="24"/>
          <w:lang w:eastAsia="pt-BR"/>
        </w:rPr>
        <w:t>vascular cell adhesion molecule-1; sICAM-1</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Soluble </w:t>
      </w:r>
      <w:r w:rsidR="00F31D0D" w:rsidRPr="00F31D0D">
        <w:rPr>
          <w:rFonts w:ascii="Book Antiqua" w:hAnsi="Book Antiqua"/>
          <w:sz w:val="24"/>
          <w:szCs w:val="24"/>
          <w:lang w:eastAsia="pt-BR"/>
        </w:rPr>
        <w:t>intrace</w:t>
      </w:r>
      <w:r>
        <w:rPr>
          <w:rFonts w:ascii="Book Antiqua" w:hAnsi="Book Antiqua"/>
          <w:sz w:val="24"/>
          <w:szCs w:val="24"/>
          <w:lang w:eastAsia="pt-BR"/>
        </w:rPr>
        <w:t>llular cell adhesion molecule-1</w:t>
      </w:r>
      <w:r w:rsidR="00F31D0D" w:rsidRPr="00F31D0D">
        <w:rPr>
          <w:rFonts w:ascii="Book Antiqua" w:hAnsi="Book Antiqua"/>
          <w:sz w:val="24"/>
          <w:szCs w:val="24"/>
          <w:lang w:eastAsia="pt-BR"/>
        </w:rPr>
        <w:t>; PAI-1</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rPr>
        <w:t xml:space="preserve">Plasminogen </w:t>
      </w:r>
      <w:r w:rsidR="00F31D0D" w:rsidRPr="00F31D0D">
        <w:rPr>
          <w:rFonts w:ascii="Book Antiqua" w:hAnsi="Book Antiqua"/>
          <w:sz w:val="24"/>
          <w:szCs w:val="24"/>
        </w:rPr>
        <w:t>activator inhibitor 1</w:t>
      </w:r>
      <w:r w:rsidR="00F31D0D" w:rsidRPr="00F31D0D">
        <w:rPr>
          <w:rFonts w:ascii="Book Antiqua" w:hAnsi="Book Antiqua"/>
          <w:sz w:val="24"/>
          <w:szCs w:val="24"/>
          <w:lang w:eastAsia="pt-BR"/>
        </w:rPr>
        <w:t>; SAP</w:t>
      </w:r>
      <w:r>
        <w:rPr>
          <w:rFonts w:ascii="Book Antiqua" w:hAnsi="Book Antiqua" w:hint="eastAsia"/>
          <w:sz w:val="24"/>
          <w:szCs w:val="24"/>
        </w:rPr>
        <w:t>:</w:t>
      </w:r>
      <w:r>
        <w:rPr>
          <w:rFonts w:ascii="Book Antiqua" w:hAnsi="Book Antiqua"/>
          <w:sz w:val="24"/>
          <w:szCs w:val="24"/>
          <w:lang w:eastAsia="pt-BR"/>
        </w:rPr>
        <w:t xml:space="preserve"> </w:t>
      </w:r>
      <w:r w:rsidRPr="00F31D0D">
        <w:rPr>
          <w:rFonts w:ascii="Book Antiqua" w:hAnsi="Book Antiqua"/>
          <w:sz w:val="24"/>
          <w:szCs w:val="24"/>
          <w:lang w:eastAsia="pt-BR"/>
        </w:rPr>
        <w:t xml:space="preserve">Serum </w:t>
      </w:r>
      <w:r w:rsidR="00F31D0D" w:rsidRPr="00F31D0D">
        <w:rPr>
          <w:rFonts w:ascii="Book Antiqua" w:hAnsi="Book Antiqua"/>
          <w:sz w:val="24"/>
          <w:szCs w:val="24"/>
          <w:lang w:eastAsia="pt-BR"/>
        </w:rPr>
        <w:t>amyloid P; SAA</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Serum </w:t>
      </w:r>
      <w:r w:rsidR="00F31D0D" w:rsidRPr="00F31D0D">
        <w:rPr>
          <w:rFonts w:ascii="Book Antiqua" w:hAnsi="Book Antiqua"/>
          <w:sz w:val="24"/>
          <w:szCs w:val="24"/>
          <w:lang w:eastAsia="pt-BR"/>
        </w:rPr>
        <w:t>amyloid A; MMP-9</w:t>
      </w:r>
      <w:r>
        <w:rPr>
          <w:rFonts w:ascii="Book Antiqua" w:hAnsi="Book Antiqua" w:hint="eastAsia"/>
          <w:sz w:val="24"/>
          <w:szCs w:val="24"/>
        </w:rPr>
        <w:t>:</w:t>
      </w:r>
      <w:r w:rsidR="00F31D0D" w:rsidRPr="00F31D0D">
        <w:rPr>
          <w:rFonts w:ascii="Book Antiqua" w:hAnsi="Book Antiqua"/>
          <w:sz w:val="24"/>
          <w:szCs w:val="24"/>
          <w:lang w:eastAsia="pt-BR"/>
        </w:rPr>
        <w:t xml:space="preserve"> </w:t>
      </w:r>
      <w:r w:rsidRPr="00F31D0D">
        <w:rPr>
          <w:rFonts w:ascii="Book Antiqua" w:hAnsi="Book Antiqua"/>
          <w:sz w:val="24"/>
          <w:szCs w:val="24"/>
          <w:lang w:eastAsia="pt-BR"/>
        </w:rPr>
        <w:t xml:space="preserve">Matrix </w:t>
      </w:r>
      <w:proofErr w:type="spellStart"/>
      <w:r w:rsidR="00F31D0D" w:rsidRPr="00F31D0D">
        <w:rPr>
          <w:rFonts w:ascii="Book Antiqua" w:hAnsi="Book Antiqua"/>
          <w:sz w:val="24"/>
          <w:szCs w:val="24"/>
          <w:lang w:eastAsia="pt-BR"/>
        </w:rPr>
        <w:t>metallopeptidase</w:t>
      </w:r>
      <w:proofErr w:type="spellEnd"/>
      <w:r w:rsidR="00F31D0D" w:rsidRPr="00F31D0D">
        <w:rPr>
          <w:rFonts w:ascii="Book Antiqua" w:hAnsi="Book Antiqua"/>
          <w:sz w:val="24"/>
          <w:szCs w:val="24"/>
          <w:lang w:eastAsia="pt-BR"/>
        </w:rPr>
        <w:t xml:space="preserve"> 9; </w:t>
      </w:r>
      <w:proofErr w:type="spellStart"/>
      <w:r w:rsidR="00F31D0D" w:rsidRPr="00F31D0D">
        <w:rPr>
          <w:rFonts w:ascii="Book Antiqua" w:hAnsi="Book Antiqua"/>
          <w:sz w:val="24"/>
          <w:szCs w:val="24"/>
          <w:lang w:eastAsia="pt-BR"/>
        </w:rPr>
        <w:t>HsCRP</w:t>
      </w:r>
      <w:proofErr w:type="spellEnd"/>
      <w:r>
        <w:rPr>
          <w:rFonts w:ascii="Book Antiqua" w:hAnsi="Book Antiqua" w:hint="eastAsia"/>
          <w:sz w:val="24"/>
          <w:szCs w:val="24"/>
        </w:rPr>
        <w:t xml:space="preserve">: </w:t>
      </w:r>
      <w:r w:rsidRPr="00F31D0D">
        <w:rPr>
          <w:rFonts w:ascii="Book Antiqua" w:hAnsi="Book Antiqua"/>
          <w:sz w:val="24"/>
          <w:szCs w:val="24"/>
          <w:lang w:eastAsia="pt-BR"/>
        </w:rPr>
        <w:t>High</w:t>
      </w:r>
      <w:r w:rsidR="00F31D0D" w:rsidRPr="00F31D0D">
        <w:rPr>
          <w:rFonts w:ascii="Book Antiqua" w:hAnsi="Book Antiqua"/>
          <w:sz w:val="24"/>
          <w:szCs w:val="24"/>
          <w:lang w:eastAsia="pt-BR"/>
        </w:rPr>
        <w:t xml:space="preserve">-sensitivity C-reactive protein; </w:t>
      </w:r>
      <w:r w:rsidR="00F31D0D" w:rsidRPr="00F31D0D">
        <w:rPr>
          <w:rFonts w:ascii="Book Antiqua" w:hAnsi="Book Antiqua"/>
          <w:color w:val="1B1B16"/>
          <w:sz w:val="24"/>
          <w:szCs w:val="24"/>
        </w:rPr>
        <w:t>LTR</w:t>
      </w:r>
      <w:r>
        <w:rPr>
          <w:rFonts w:ascii="Book Antiqua" w:hAnsi="Book Antiqua" w:hint="eastAsia"/>
          <w:color w:val="1B1B16"/>
          <w:sz w:val="24"/>
          <w:szCs w:val="24"/>
        </w:rPr>
        <w:t>:</w:t>
      </w:r>
      <w:r w:rsidR="00F31D0D" w:rsidRPr="00F31D0D">
        <w:rPr>
          <w:rFonts w:ascii="Book Antiqua" w:hAnsi="Book Antiqua"/>
          <w:color w:val="1B1B16"/>
          <w:sz w:val="24"/>
          <w:szCs w:val="24"/>
        </w:rPr>
        <w:t xml:space="preserve"> </w:t>
      </w:r>
      <w:r w:rsidRPr="00F31D0D">
        <w:rPr>
          <w:rFonts w:ascii="Book Antiqua" w:hAnsi="Book Antiqua"/>
          <w:color w:val="1B1B16"/>
          <w:sz w:val="24"/>
          <w:szCs w:val="24"/>
        </w:rPr>
        <w:t xml:space="preserve">Liver </w:t>
      </w:r>
      <w:r w:rsidR="00F31D0D" w:rsidRPr="00F31D0D">
        <w:rPr>
          <w:rFonts w:ascii="Book Antiqua" w:hAnsi="Book Antiqua"/>
          <w:color w:val="1B1B16"/>
          <w:sz w:val="24"/>
          <w:szCs w:val="24"/>
        </w:rPr>
        <w:t>transplant recipients; NASH</w:t>
      </w:r>
      <w:r>
        <w:rPr>
          <w:rFonts w:ascii="Book Antiqua" w:hAnsi="Book Antiqua" w:hint="eastAsia"/>
          <w:color w:val="1B1B16"/>
          <w:sz w:val="24"/>
          <w:szCs w:val="24"/>
        </w:rPr>
        <w:t>:</w:t>
      </w:r>
      <w:r w:rsidR="00F31D0D" w:rsidRPr="00F31D0D">
        <w:rPr>
          <w:rFonts w:ascii="Book Antiqua" w:hAnsi="Book Antiqua"/>
          <w:color w:val="1B1B16"/>
          <w:sz w:val="24"/>
          <w:szCs w:val="24"/>
        </w:rPr>
        <w:t xml:space="preserve"> </w:t>
      </w:r>
      <w:r w:rsidRPr="00F31D0D">
        <w:rPr>
          <w:rFonts w:ascii="Book Antiqua" w:hAnsi="Book Antiqua"/>
          <w:color w:val="1B1B16"/>
          <w:sz w:val="24"/>
          <w:szCs w:val="24"/>
        </w:rPr>
        <w:t>Non</w:t>
      </w:r>
      <w:r w:rsidR="00F31D0D" w:rsidRPr="00F31D0D">
        <w:rPr>
          <w:rFonts w:ascii="Book Antiqua" w:hAnsi="Book Antiqua"/>
          <w:color w:val="1B1B16"/>
          <w:sz w:val="24"/>
          <w:szCs w:val="24"/>
        </w:rPr>
        <w:t xml:space="preserve">-alcoholic </w:t>
      </w:r>
      <w:proofErr w:type="spellStart"/>
      <w:r w:rsidR="00F31D0D" w:rsidRPr="00F31D0D">
        <w:rPr>
          <w:rFonts w:ascii="Book Antiqua" w:hAnsi="Book Antiqua"/>
          <w:color w:val="1B1B16"/>
          <w:sz w:val="24"/>
          <w:szCs w:val="24"/>
        </w:rPr>
        <w:t>steatohepatitis</w:t>
      </w:r>
      <w:proofErr w:type="spellEnd"/>
      <w:r w:rsidR="00F31D0D" w:rsidRPr="00F31D0D">
        <w:rPr>
          <w:rFonts w:ascii="Book Antiqua" w:hAnsi="Book Antiqua"/>
          <w:color w:val="1B1B16"/>
          <w:sz w:val="24"/>
          <w:szCs w:val="24"/>
        </w:rPr>
        <w:t>.</w:t>
      </w:r>
    </w:p>
    <w:p w:rsidR="004A7BC5" w:rsidRPr="00F31D0D" w:rsidRDefault="004A7BC5" w:rsidP="00F31D0D">
      <w:pPr>
        <w:spacing w:line="360" w:lineRule="auto"/>
        <w:rPr>
          <w:rFonts w:ascii="Book Antiqua" w:hAnsi="Book Antiqua"/>
          <w:sz w:val="24"/>
          <w:szCs w:val="24"/>
        </w:rPr>
      </w:pPr>
    </w:p>
    <w:sectPr w:rsidR="004A7BC5" w:rsidRPr="00F31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CE" w:rsidRDefault="00114DCE" w:rsidP="00EC24E2">
      <w:r>
        <w:separator/>
      </w:r>
    </w:p>
  </w:endnote>
  <w:endnote w:type="continuationSeparator" w:id="0">
    <w:p w:rsidR="00114DCE" w:rsidRDefault="00114DCE" w:rsidP="00E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CE" w:rsidRDefault="00114DCE" w:rsidP="00EC24E2">
      <w:r>
        <w:separator/>
      </w:r>
    </w:p>
  </w:footnote>
  <w:footnote w:type="continuationSeparator" w:id="0">
    <w:p w:rsidR="00114DCE" w:rsidRDefault="00114DCE" w:rsidP="00EC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0D"/>
    <w:rsid w:val="00085BA6"/>
    <w:rsid w:val="00114DCE"/>
    <w:rsid w:val="001843FA"/>
    <w:rsid w:val="001B3BB0"/>
    <w:rsid w:val="0025671F"/>
    <w:rsid w:val="002E04BA"/>
    <w:rsid w:val="0048324B"/>
    <w:rsid w:val="004A7BC5"/>
    <w:rsid w:val="004E0E1A"/>
    <w:rsid w:val="00534995"/>
    <w:rsid w:val="00833C5B"/>
    <w:rsid w:val="008C3410"/>
    <w:rsid w:val="00A82C3B"/>
    <w:rsid w:val="00AD301C"/>
    <w:rsid w:val="00B62F20"/>
    <w:rsid w:val="00D81719"/>
    <w:rsid w:val="00E01BD8"/>
    <w:rsid w:val="00EC24E2"/>
    <w:rsid w:val="00F3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4E2"/>
    <w:rPr>
      <w:sz w:val="18"/>
      <w:szCs w:val="18"/>
    </w:rPr>
  </w:style>
  <w:style w:type="paragraph" w:styleId="a4">
    <w:name w:val="footer"/>
    <w:basedOn w:val="a"/>
    <w:link w:val="Char0"/>
    <w:uiPriority w:val="99"/>
    <w:unhideWhenUsed/>
    <w:rsid w:val="00EC24E2"/>
    <w:pPr>
      <w:tabs>
        <w:tab w:val="center" w:pos="4153"/>
        <w:tab w:val="right" w:pos="8306"/>
      </w:tabs>
      <w:snapToGrid w:val="0"/>
      <w:jc w:val="left"/>
    </w:pPr>
    <w:rPr>
      <w:sz w:val="18"/>
      <w:szCs w:val="18"/>
    </w:rPr>
  </w:style>
  <w:style w:type="character" w:customStyle="1" w:styleId="Char0">
    <w:name w:val="页脚 Char"/>
    <w:basedOn w:val="a0"/>
    <w:link w:val="a4"/>
    <w:uiPriority w:val="99"/>
    <w:rsid w:val="00EC24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4E2"/>
    <w:rPr>
      <w:sz w:val="18"/>
      <w:szCs w:val="18"/>
    </w:rPr>
  </w:style>
  <w:style w:type="paragraph" w:styleId="a4">
    <w:name w:val="footer"/>
    <w:basedOn w:val="a"/>
    <w:link w:val="Char0"/>
    <w:uiPriority w:val="99"/>
    <w:unhideWhenUsed/>
    <w:rsid w:val="00EC24E2"/>
    <w:pPr>
      <w:tabs>
        <w:tab w:val="center" w:pos="4153"/>
        <w:tab w:val="right" w:pos="8306"/>
      </w:tabs>
      <w:snapToGrid w:val="0"/>
      <w:jc w:val="left"/>
    </w:pPr>
    <w:rPr>
      <w:sz w:val="18"/>
      <w:szCs w:val="18"/>
    </w:rPr>
  </w:style>
  <w:style w:type="character" w:customStyle="1" w:styleId="Char0">
    <w:name w:val="页脚 Char"/>
    <w:basedOn w:val="a0"/>
    <w:link w:val="a4"/>
    <w:uiPriority w:val="99"/>
    <w:rsid w:val="00EC24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5793</Words>
  <Characters>33021</Characters>
  <Application>Microsoft Office Word</Application>
  <DocSecurity>0</DocSecurity>
  <Lines>275</Lines>
  <Paragraphs>77</Paragraphs>
  <ScaleCrop>false</ScaleCrop>
  <Company>微软中国</Company>
  <LinksUpToDate>false</LinksUpToDate>
  <CharactersWithSpaces>38737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2014-04-14T23:44:00Z</dcterms:created>
  <dcterms:modified xsi:type="dcterms:W3CDTF">2014-04-14T23:44:00Z</dcterms:modified>
</cp:coreProperties>
</file>