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58DB"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Oncology</w:t>
      </w:r>
    </w:p>
    <w:p w14:paraId="50B79815"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87382</w:t>
      </w:r>
    </w:p>
    <w:p w14:paraId="2E524542"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META-ANALYSIS</w:t>
      </w:r>
    </w:p>
    <w:p w14:paraId="2537B079" w14:textId="77777777" w:rsidR="00DC05DB" w:rsidRDefault="00DC05DB">
      <w:pPr>
        <w:spacing w:line="360" w:lineRule="auto"/>
        <w:jc w:val="both"/>
        <w:rPr>
          <w:color w:val="000000" w:themeColor="text1"/>
        </w:rPr>
      </w:pPr>
    </w:p>
    <w:p w14:paraId="6479CDF9" w14:textId="77777777" w:rsidR="00DC05DB" w:rsidRDefault="00000000">
      <w:pPr>
        <w:spacing w:line="360" w:lineRule="auto"/>
        <w:jc w:val="both"/>
        <w:rPr>
          <w:color w:val="000000" w:themeColor="text1"/>
        </w:rPr>
      </w:pPr>
      <w:r>
        <w:rPr>
          <w:rFonts w:ascii="Book Antiqua" w:eastAsia="SimSun" w:hAnsi="Book Antiqua" w:cs="Book Antiqua"/>
          <w:b/>
          <w:bCs/>
          <w:color w:val="000000" w:themeColor="text1"/>
          <w:lang w:eastAsia="zh-CN"/>
        </w:rPr>
        <w:t>P</w:t>
      </w:r>
      <w:r>
        <w:rPr>
          <w:rFonts w:ascii="Book Antiqua" w:eastAsia="Book Antiqua" w:hAnsi="Book Antiqua" w:cs="Book Antiqua"/>
          <w:b/>
          <w:bCs/>
          <w:color w:val="000000" w:themeColor="text1"/>
        </w:rPr>
        <w:t xml:space="preserve">rognostic </w:t>
      </w:r>
      <w:r>
        <w:rPr>
          <w:rFonts w:ascii="Book Antiqua" w:eastAsia="SimSun" w:hAnsi="Book Antiqua" w:cs="Book Antiqua"/>
          <w:b/>
          <w:bCs/>
          <w:color w:val="000000" w:themeColor="text1"/>
          <w:lang w:eastAsia="zh-CN"/>
        </w:rPr>
        <w:t>value</w:t>
      </w:r>
      <w:r>
        <w:rPr>
          <w:rFonts w:ascii="Book Antiqua" w:eastAsia="Book Antiqua" w:hAnsi="Book Antiqua" w:cs="Book Antiqua"/>
          <w:b/>
          <w:bCs/>
          <w:color w:val="000000" w:themeColor="text1"/>
        </w:rPr>
        <w:t xml:space="preserve"> of T cell immunoglobulin and mucin-domain containing-3 </w:t>
      </w:r>
      <w:r>
        <w:rPr>
          <w:rFonts w:ascii="Book Antiqua" w:eastAsia="SimSun" w:hAnsi="Book Antiqua" w:cs="Book Antiqua"/>
          <w:b/>
          <w:bCs/>
          <w:color w:val="000000" w:themeColor="text1"/>
          <w:lang w:eastAsia="zh-CN"/>
        </w:rPr>
        <w:t xml:space="preserve">expression </w:t>
      </w:r>
      <w:r>
        <w:rPr>
          <w:rFonts w:ascii="Book Antiqua" w:eastAsia="Book Antiqua" w:hAnsi="Book Antiqua" w:cs="Book Antiqua"/>
          <w:b/>
          <w:bCs/>
          <w:color w:val="000000" w:themeColor="text1"/>
        </w:rPr>
        <w:t>in upper gastrointestinal tract tumors: A meta-analysis</w:t>
      </w:r>
    </w:p>
    <w:p w14:paraId="2FDFB641" w14:textId="77777777" w:rsidR="00DC05DB" w:rsidRDefault="00DC05DB">
      <w:pPr>
        <w:spacing w:line="360" w:lineRule="auto"/>
        <w:jc w:val="both"/>
        <w:rPr>
          <w:color w:val="000000" w:themeColor="text1"/>
        </w:rPr>
      </w:pPr>
    </w:p>
    <w:p w14:paraId="345FAB90"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Yan JJ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TIM3 prognosis in upper gastrointestinal tumors</w:t>
      </w:r>
    </w:p>
    <w:p w14:paraId="554585E2" w14:textId="77777777" w:rsidR="00DC05DB" w:rsidRDefault="00DC05DB">
      <w:pPr>
        <w:spacing w:line="360" w:lineRule="auto"/>
        <w:jc w:val="both"/>
        <w:rPr>
          <w:color w:val="000000" w:themeColor="text1"/>
        </w:rPr>
      </w:pPr>
    </w:p>
    <w:p w14:paraId="672E0F62"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Jing-Jing Yan, Bing-Bing Liu, Yan Yang, Meng-Ru Liu, Han Wang, Zhen-Quan Deng, </w:t>
      </w:r>
      <w:proofErr w:type="spellStart"/>
      <w:r>
        <w:rPr>
          <w:rFonts w:ascii="Book Antiqua" w:eastAsia="Book Antiqua" w:hAnsi="Book Antiqua" w:cs="Book Antiqua"/>
          <w:color w:val="000000" w:themeColor="text1"/>
        </w:rPr>
        <w:t>Zhi</w:t>
      </w:r>
      <w:proofErr w:type="spellEnd"/>
      <w:r>
        <w:rPr>
          <w:rFonts w:ascii="Book Antiqua" w:eastAsia="Book Antiqua" w:hAnsi="Book Antiqua" w:cs="Book Antiqua"/>
          <w:color w:val="000000" w:themeColor="text1"/>
        </w:rPr>
        <w:t>-Wei Zhang</w:t>
      </w:r>
    </w:p>
    <w:p w14:paraId="6D110C19" w14:textId="77777777" w:rsidR="00DC05DB" w:rsidRDefault="00DC05DB">
      <w:pPr>
        <w:spacing w:line="360" w:lineRule="auto"/>
        <w:jc w:val="both"/>
        <w:rPr>
          <w:color w:val="000000" w:themeColor="text1"/>
        </w:rPr>
      </w:pPr>
    </w:p>
    <w:p w14:paraId="420A11B2"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Jing-Jing Yan, Bing-Bing Liu, Yan Yang, Meng-Ru Liu, Han Wang, </w:t>
      </w:r>
      <w:r>
        <w:rPr>
          <w:rFonts w:ascii="Book Antiqua" w:eastAsia="Book Antiqua" w:hAnsi="Book Antiqua" w:cs="Book Antiqua"/>
          <w:color w:val="000000" w:themeColor="text1"/>
        </w:rPr>
        <w:t xml:space="preserve">College of Clinical Medicine, Hebei University of Engineering, Handan 056000, </w:t>
      </w:r>
      <w:bookmarkStart w:id="0" w:name="OLE_LINK2"/>
      <w:r>
        <w:rPr>
          <w:rFonts w:ascii="Book Antiqua" w:eastAsia="Book Antiqua" w:hAnsi="Book Antiqua" w:cs="Book Antiqua"/>
          <w:color w:val="000000" w:themeColor="text1"/>
        </w:rPr>
        <w:t>Hebei Province</w:t>
      </w:r>
      <w:bookmarkEnd w:id="0"/>
      <w:r>
        <w:rPr>
          <w:rFonts w:ascii="Book Antiqua" w:eastAsia="Book Antiqua" w:hAnsi="Book Antiqua" w:cs="Book Antiqua"/>
          <w:color w:val="000000" w:themeColor="text1"/>
        </w:rPr>
        <w:t>, China</w:t>
      </w:r>
    </w:p>
    <w:p w14:paraId="1755A1D3" w14:textId="77777777" w:rsidR="00DC05DB" w:rsidRDefault="00DC05DB">
      <w:pPr>
        <w:spacing w:line="360" w:lineRule="auto"/>
        <w:jc w:val="both"/>
        <w:rPr>
          <w:color w:val="000000" w:themeColor="text1"/>
        </w:rPr>
      </w:pPr>
    </w:p>
    <w:p w14:paraId="4B2DCC0E"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Zhen-Quan Deng, </w:t>
      </w:r>
      <w:r>
        <w:rPr>
          <w:rFonts w:ascii="Book Antiqua" w:eastAsia="Book Antiqua" w:hAnsi="Book Antiqua" w:cs="Book Antiqua"/>
          <w:color w:val="000000" w:themeColor="text1"/>
        </w:rPr>
        <w:t>Department of Oncology, Handan First Hospital, Handan 056002, Hebei Province, China</w:t>
      </w:r>
    </w:p>
    <w:p w14:paraId="36FA1BF7" w14:textId="77777777" w:rsidR="00DC05DB" w:rsidRDefault="00DC05DB">
      <w:pPr>
        <w:spacing w:line="360" w:lineRule="auto"/>
        <w:jc w:val="both"/>
        <w:rPr>
          <w:color w:val="000000" w:themeColor="text1"/>
        </w:rPr>
      </w:pPr>
    </w:p>
    <w:p w14:paraId="340F9545" w14:textId="77777777" w:rsidR="00DC05DB" w:rsidRDefault="00000000">
      <w:pPr>
        <w:spacing w:line="360" w:lineRule="auto"/>
        <w:jc w:val="both"/>
        <w:rPr>
          <w:color w:val="000000" w:themeColor="text1"/>
        </w:rPr>
      </w:pPr>
      <w:proofErr w:type="spellStart"/>
      <w:r>
        <w:rPr>
          <w:rFonts w:ascii="Book Antiqua" w:eastAsia="Book Antiqua" w:hAnsi="Book Antiqua" w:cs="Book Antiqua"/>
          <w:b/>
          <w:bCs/>
          <w:color w:val="000000" w:themeColor="text1"/>
        </w:rPr>
        <w:t>Zhi</w:t>
      </w:r>
      <w:proofErr w:type="spellEnd"/>
      <w:r>
        <w:rPr>
          <w:rFonts w:ascii="Book Antiqua" w:eastAsia="Book Antiqua" w:hAnsi="Book Antiqua" w:cs="Book Antiqua"/>
          <w:b/>
          <w:bCs/>
          <w:color w:val="000000" w:themeColor="text1"/>
        </w:rPr>
        <w:t xml:space="preserve">-Wei Zhang, </w:t>
      </w:r>
      <w:r>
        <w:rPr>
          <w:rFonts w:ascii="Book Antiqua" w:eastAsia="Book Antiqua" w:hAnsi="Book Antiqua" w:cs="Book Antiqua"/>
          <w:color w:val="000000" w:themeColor="text1"/>
        </w:rPr>
        <w:t>Department of Oncology, Affiliated Hospital of Hebei University of Engineering, Handan 056000, Hebei Province, China</w:t>
      </w:r>
    </w:p>
    <w:p w14:paraId="54DE36EE" w14:textId="77777777" w:rsidR="00DC05DB" w:rsidRDefault="00DC05DB">
      <w:pPr>
        <w:spacing w:line="360" w:lineRule="auto"/>
        <w:jc w:val="both"/>
        <w:rPr>
          <w:rFonts w:ascii="Book Antiqua" w:eastAsia="Book Antiqua" w:hAnsi="Book Antiqua" w:cs="Book Antiqua"/>
          <w:b/>
          <w:bCs/>
          <w:color w:val="000000" w:themeColor="text1"/>
        </w:rPr>
      </w:pPr>
    </w:p>
    <w:p w14:paraId="6BEE3182"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Zhang ZW conceptualized, designed, and revised the manuscript; Yan JJ searched the literature, collected the data, organized the data, and drafted the manuscript; Liu BB collected the data; Yang Y and Deng ZQ checked and collated the data; Liu MR and Wang H performed the statistical analyses; All authors approved the final version of the manuscript.</w:t>
      </w:r>
    </w:p>
    <w:p w14:paraId="2BEE3B65" w14:textId="77777777" w:rsidR="00DC05DB" w:rsidRDefault="00DC05DB">
      <w:pPr>
        <w:spacing w:line="360" w:lineRule="auto"/>
        <w:jc w:val="both"/>
        <w:rPr>
          <w:color w:val="000000" w:themeColor="text1"/>
        </w:rPr>
      </w:pPr>
    </w:p>
    <w:p w14:paraId="6D694C35"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 xml:space="preserve">the Science and Technology Research Project of Colleges and Universities of Hebei Province, No. QN2020234; the Precision Medicine Joint Cultivation Fund Project of Natural Science Foundation of Hebei Province, No. H2021402007; the Clinical </w:t>
      </w:r>
      <w:r>
        <w:rPr>
          <w:rFonts w:ascii="Book Antiqua" w:eastAsia="Book Antiqua" w:hAnsi="Book Antiqua" w:cs="Book Antiqua"/>
          <w:color w:val="000000" w:themeColor="text1"/>
        </w:rPr>
        <w:lastRenderedPageBreak/>
        <w:t>Medicine Talent Cultivation Project of Health Commission of Hebei Province, No. 2020; and the Medical Science Research Project of Health Commission of Hebei Province, No. 20211392.</w:t>
      </w:r>
    </w:p>
    <w:p w14:paraId="7B9D8822" w14:textId="77777777" w:rsidR="00DC05DB" w:rsidRDefault="00DC05DB">
      <w:pPr>
        <w:spacing w:line="360" w:lineRule="auto"/>
        <w:jc w:val="both"/>
        <w:rPr>
          <w:color w:val="000000" w:themeColor="text1"/>
        </w:rPr>
      </w:pPr>
    </w:p>
    <w:p w14:paraId="657C7C5B"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Corresponding author: </w:t>
      </w:r>
      <w:proofErr w:type="spellStart"/>
      <w:r>
        <w:rPr>
          <w:rFonts w:ascii="Book Antiqua" w:eastAsia="Book Antiqua" w:hAnsi="Book Antiqua" w:cs="Book Antiqua"/>
          <w:b/>
          <w:bCs/>
          <w:color w:val="000000" w:themeColor="text1"/>
        </w:rPr>
        <w:t>Zhi</w:t>
      </w:r>
      <w:proofErr w:type="spellEnd"/>
      <w:r>
        <w:rPr>
          <w:rFonts w:ascii="Book Antiqua" w:eastAsia="Book Antiqua" w:hAnsi="Book Antiqua" w:cs="Book Antiqua"/>
          <w:b/>
          <w:bCs/>
          <w:color w:val="000000" w:themeColor="text1"/>
        </w:rPr>
        <w:t xml:space="preserve">-Wei Zhang, MD, PhD, Attending Doctor, </w:t>
      </w:r>
      <w:r>
        <w:rPr>
          <w:rFonts w:ascii="Book Antiqua" w:eastAsia="Book Antiqua" w:hAnsi="Book Antiqua" w:cs="Book Antiqua"/>
          <w:color w:val="000000" w:themeColor="text1"/>
        </w:rPr>
        <w:t xml:space="preserve">Department of Oncology, Affiliated Hospital of Hebei University of Engineering, No. 81 </w:t>
      </w:r>
      <w:proofErr w:type="spellStart"/>
      <w:r>
        <w:rPr>
          <w:rFonts w:ascii="Book Antiqua" w:eastAsia="Book Antiqua" w:hAnsi="Book Antiqua" w:cs="Book Antiqua"/>
          <w:color w:val="000000" w:themeColor="text1"/>
        </w:rPr>
        <w:t>Congtai</w:t>
      </w:r>
      <w:proofErr w:type="spellEnd"/>
      <w:r>
        <w:rPr>
          <w:rFonts w:ascii="Book Antiqua" w:eastAsia="Book Antiqua" w:hAnsi="Book Antiqua" w:cs="Book Antiqua"/>
          <w:color w:val="000000" w:themeColor="text1"/>
        </w:rPr>
        <w:t xml:space="preserve"> Road, </w:t>
      </w:r>
      <w:proofErr w:type="spellStart"/>
      <w:r>
        <w:rPr>
          <w:rFonts w:ascii="Book Antiqua" w:eastAsia="Book Antiqua" w:hAnsi="Book Antiqua" w:cs="Book Antiqua"/>
          <w:color w:val="000000" w:themeColor="text1"/>
        </w:rPr>
        <w:t>Congtai</w:t>
      </w:r>
      <w:proofErr w:type="spellEnd"/>
      <w:r>
        <w:rPr>
          <w:rFonts w:ascii="Book Antiqua" w:eastAsia="Book Antiqua" w:hAnsi="Book Antiqua" w:cs="Book Antiqua"/>
          <w:color w:val="000000" w:themeColor="text1"/>
        </w:rPr>
        <w:t xml:space="preserve"> District, Handan 056000, Hebei Province, China. zhangzw128@126.com</w:t>
      </w:r>
    </w:p>
    <w:p w14:paraId="73BBA092" w14:textId="77777777" w:rsidR="00DC05DB" w:rsidRDefault="00DC05DB">
      <w:pPr>
        <w:spacing w:line="360" w:lineRule="auto"/>
        <w:jc w:val="both"/>
        <w:rPr>
          <w:color w:val="000000" w:themeColor="text1"/>
        </w:rPr>
      </w:pPr>
    </w:p>
    <w:p w14:paraId="000C085D"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August 12, 2023</w:t>
      </w:r>
    </w:p>
    <w:p w14:paraId="68A98D0F"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September 25, 2023</w:t>
      </w:r>
    </w:p>
    <w:p w14:paraId="4B9557E9"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October 16, 2023</w:t>
      </w:r>
    </w:p>
    <w:p w14:paraId="3B5A567E"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Published online: </w:t>
      </w:r>
    </w:p>
    <w:p w14:paraId="64955ED3" w14:textId="77777777" w:rsidR="00DC05DB" w:rsidRDefault="00DC05DB">
      <w:pPr>
        <w:spacing w:line="360" w:lineRule="auto"/>
        <w:jc w:val="both"/>
        <w:rPr>
          <w:color w:val="000000" w:themeColor="text1"/>
        </w:rPr>
        <w:sectPr w:rsidR="00DC05DB">
          <w:footerReference w:type="default" r:id="rId6"/>
          <w:pgSz w:w="12240" w:h="15840"/>
          <w:pgMar w:top="1440" w:right="1440" w:bottom="1440" w:left="1440" w:header="720" w:footer="720" w:gutter="0"/>
          <w:cols w:space="720"/>
          <w:docGrid w:linePitch="360"/>
        </w:sectPr>
      </w:pPr>
    </w:p>
    <w:p w14:paraId="5163AC94"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Abstract</w:t>
      </w:r>
    </w:p>
    <w:p w14:paraId="77E08121"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BACKGROUND</w:t>
      </w:r>
    </w:p>
    <w:p w14:paraId="7AC6C73F"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There is a lack of</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robust prognostic markers for upper gastrointestinal (GI) tract </w:t>
      </w:r>
      <w:commentRangeStart w:id="1"/>
      <w:commentRangeEnd w:id="1"/>
      <w:r>
        <w:commentReference w:id="1"/>
      </w:r>
      <w:r>
        <w:rPr>
          <w:rFonts w:ascii="Book Antiqua" w:eastAsia="Book Antiqua" w:hAnsi="Book Antiqua" w:cs="Book Antiqua"/>
          <w:color w:val="000000" w:themeColor="text1"/>
        </w:rPr>
        <w:t xml:space="preserve">cancers, including esophageal, gastric, and esophagogastric junction cancers. T cell immunoglobulin and mucin-domain containing-3 (TIM3) plays a key immunomodulatory role and </w:t>
      </w:r>
      <w:r>
        <w:rPr>
          <w:rFonts w:ascii="Book Antiqua" w:eastAsia="SimSun" w:hAnsi="Book Antiqua" w:cs="Book Antiqua"/>
          <w:color w:val="000000" w:themeColor="text1"/>
          <w:lang w:eastAsia="zh-CN"/>
        </w:rPr>
        <w:t>is</w:t>
      </w:r>
      <w:r>
        <w:rPr>
          <w:rFonts w:ascii="Book Antiqua" w:eastAsia="Book Antiqua" w:hAnsi="Book Antiqua" w:cs="Book Antiqua"/>
          <w:color w:val="000000" w:themeColor="text1"/>
        </w:rPr>
        <w:t xml:space="preserve"> linked to the prognosis of various cancers. However, the significance of TIM3 in upper GI tract tumors is still uncertain.</w:t>
      </w:r>
    </w:p>
    <w:p w14:paraId="3000A3D4" w14:textId="77777777" w:rsidR="00DC05DB" w:rsidRDefault="00DC05DB">
      <w:pPr>
        <w:spacing w:line="360" w:lineRule="auto"/>
        <w:jc w:val="both"/>
        <w:rPr>
          <w:color w:val="000000" w:themeColor="text1"/>
        </w:rPr>
      </w:pPr>
    </w:p>
    <w:p w14:paraId="2399B9AF"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AIM</w:t>
      </w:r>
    </w:p>
    <w:p w14:paraId="5B7534DB"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To investigate the prognostic value of TIM3 expression in upper GI tract tumors.</w:t>
      </w:r>
    </w:p>
    <w:p w14:paraId="3A799DEF" w14:textId="77777777" w:rsidR="00DC05DB" w:rsidRDefault="00DC05DB">
      <w:pPr>
        <w:spacing w:line="360" w:lineRule="auto"/>
        <w:jc w:val="both"/>
        <w:rPr>
          <w:color w:val="000000" w:themeColor="text1"/>
        </w:rPr>
      </w:pPr>
    </w:p>
    <w:p w14:paraId="66ACB4A3"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METHODS</w:t>
      </w:r>
    </w:p>
    <w:p w14:paraId="0A9AB0C1"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A literature search was conducted on the PubMed, Embase, and Web of Science databases for relevant studies published until June 2023. After screening and quality assessment, studies that met the criteria were included in the meta-analysis. Statistical methods were used for the pooled analysis to assess the association of TIM3 expression in upper GI tract tumors with the prognosis and clinicopathological parameters. The results were reported with the hazard ratio (HR) and 95% confidence interval (CI).</w:t>
      </w:r>
    </w:p>
    <w:p w14:paraId="6B7B7FED" w14:textId="77777777" w:rsidR="00DC05DB" w:rsidRDefault="00DC05DB">
      <w:pPr>
        <w:spacing w:line="360" w:lineRule="auto"/>
        <w:jc w:val="both"/>
        <w:rPr>
          <w:color w:val="000000" w:themeColor="text1"/>
        </w:rPr>
      </w:pPr>
    </w:p>
    <w:p w14:paraId="7BE7A08E"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RESULTS</w:t>
      </w:r>
    </w:p>
    <w:p w14:paraId="0007525D"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Nine studies involving 2556 patients with upper GI tract cancer were included. High TIM3 expression was associated with a worse prognosis in upper GI tract cancer (HR: 1.17, 95%CI: 1.01-1.36). Positive expression of TIM3 in gastric cancer was correlated with the </w:t>
      </w:r>
      <w:r w:rsidRPr="00020B86">
        <w:rPr>
          <w:rFonts w:ascii="Book Antiqua" w:eastAsia="Book Antiqua" w:hAnsi="Book Antiqua" w:cs="Book Antiqua"/>
          <w:strike/>
          <w:color w:val="000000" w:themeColor="text1"/>
        </w:rPr>
        <w:t>tumor (</w:t>
      </w:r>
      <w:r>
        <w:rPr>
          <w:rFonts w:ascii="Book Antiqua" w:eastAsia="Book Antiqua" w:hAnsi="Book Antiqua" w:cs="Book Antiqua"/>
          <w:color w:val="000000" w:themeColor="text1"/>
        </w:rPr>
        <w:t>T</w:t>
      </w:r>
      <w:r w:rsidRPr="00020B86">
        <w:rPr>
          <w:rFonts w:ascii="Book Antiqua" w:eastAsia="Book Antiqua" w:hAnsi="Book Antiqua" w:cs="Book Antiqua"/>
          <w:strike/>
          <w:color w:val="000000" w:themeColor="text1"/>
        </w:rPr>
        <w:t>)</w:t>
      </w:r>
      <w:r>
        <w:rPr>
          <w:rFonts w:ascii="Book Antiqua" w:eastAsia="Book Antiqua" w:hAnsi="Book Antiqua" w:cs="Book Antiqua"/>
          <w:color w:val="000000" w:themeColor="text1"/>
        </w:rPr>
        <w:t xml:space="preserve"> and </w:t>
      </w:r>
      <w:r w:rsidRPr="00020B86">
        <w:rPr>
          <w:rFonts w:ascii="Book Antiqua" w:eastAsia="Book Antiqua" w:hAnsi="Book Antiqua" w:cs="Book Antiqua"/>
          <w:strike/>
          <w:color w:val="000000" w:themeColor="text1"/>
        </w:rPr>
        <w:t>node (</w:t>
      </w:r>
      <w:r>
        <w:rPr>
          <w:rFonts w:ascii="Book Antiqua" w:eastAsia="Book Antiqua" w:hAnsi="Book Antiqua" w:cs="Book Antiqua"/>
          <w:color w:val="000000" w:themeColor="text1"/>
        </w:rPr>
        <w:t>N</w:t>
      </w:r>
      <w:r w:rsidRPr="00020B86">
        <w:rPr>
          <w:rFonts w:ascii="Book Antiqua" w:eastAsia="Book Antiqua" w:hAnsi="Book Antiqua" w:cs="Book Antiqua"/>
          <w:strike/>
          <w:color w:val="000000" w:themeColor="text1"/>
        </w:rPr>
        <w:t>)</w:t>
      </w:r>
      <w:r>
        <w:rPr>
          <w:rFonts w:ascii="Book Antiqua" w:eastAsia="Book Antiqua" w:hAnsi="Book Antiqua" w:cs="Book Antiqua"/>
          <w:color w:val="000000" w:themeColor="text1"/>
        </w:rPr>
        <w:t xml:space="preserve"> stage, but the difference was not statistically significant. However, TIM3 overexpression was significantly correlated with the </w:t>
      </w:r>
      <w:proofErr w:type="gramStart"/>
      <w:r w:rsidRPr="00020B86">
        <w:rPr>
          <w:rFonts w:ascii="Book Antiqua" w:eastAsia="Book Antiqua" w:hAnsi="Book Antiqua" w:cs="Book Antiqua"/>
          <w:strike/>
          <w:color w:val="000000" w:themeColor="text1"/>
        </w:rPr>
        <w:t>T,N</w:t>
      </w:r>
      <w:proofErr w:type="gramEnd"/>
      <w:r w:rsidRPr="00020B86">
        <w:rPr>
          <w:rFonts w:ascii="Book Antiqua" w:eastAsia="Book Antiqua" w:hAnsi="Book Antiqua" w:cs="Book Antiqua"/>
          <w:strike/>
          <w:color w:val="000000" w:themeColor="text1"/>
        </w:rPr>
        <w:t>, and metastasis (M)</w:t>
      </w:r>
      <w:r>
        <w:rPr>
          <w:rFonts w:ascii="Book Antiqua" w:eastAsia="Book Antiqua" w:hAnsi="Book Antiqua" w:cs="Book Antiqua"/>
          <w:color w:val="000000" w:themeColor="text1"/>
        </w:rPr>
        <w:t xml:space="preserve"> TNM</w:t>
      </w:r>
      <w:commentRangeStart w:id="2"/>
      <w:commentRangeEnd w:id="2"/>
      <w:r>
        <w:commentReference w:id="2"/>
      </w:r>
      <w:r>
        <w:rPr>
          <w:rFonts w:ascii="Book Antiqua" w:eastAsia="Book Antiqua" w:hAnsi="Book Antiqua" w:cs="Book Antiqua"/>
          <w:color w:val="000000" w:themeColor="text1"/>
        </w:rPr>
        <w:t xml:space="preserve"> stage (odds ratio: 1.21, 95%CI: 0.63-2.33;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TIM3 expression showed no association with the other clinicopathological parameters.</w:t>
      </w:r>
    </w:p>
    <w:p w14:paraId="0253BF9F" w14:textId="77777777" w:rsidR="00DC05DB" w:rsidRDefault="00DC05DB">
      <w:pPr>
        <w:spacing w:line="360" w:lineRule="auto"/>
        <w:jc w:val="both"/>
        <w:rPr>
          <w:color w:val="000000" w:themeColor="text1"/>
        </w:rPr>
      </w:pPr>
    </w:p>
    <w:p w14:paraId="61EAF015"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CONCLUSION</w:t>
      </w:r>
    </w:p>
    <w:p w14:paraId="0D092DC0"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 xml:space="preserve">High expression of TIM3 in the upper GI tract cancer is associated with </w:t>
      </w:r>
      <w:r>
        <w:rPr>
          <w:rFonts w:ascii="Book Antiqua" w:eastAsia="SimSun" w:hAnsi="Book Antiqua" w:cs="Book Antiqua" w:hint="eastAsia"/>
          <w:color w:val="000000" w:themeColor="text1"/>
          <w:lang w:eastAsia="zh-CN"/>
        </w:rPr>
        <w:t xml:space="preserve">a </w:t>
      </w:r>
      <w:r>
        <w:rPr>
          <w:rFonts w:ascii="Book Antiqua" w:eastAsia="Book Antiqua" w:hAnsi="Book Antiqua" w:cs="Book Antiqua"/>
          <w:color w:val="000000" w:themeColor="text1"/>
        </w:rPr>
        <w:t>worse prognosis and advanced T or N stage</w:t>
      </w:r>
      <w:r>
        <w:rPr>
          <w:rFonts w:ascii="Book Antiqua" w:eastAsia="SimSun" w:hAnsi="Book Antiqua" w:cs="Book Antiqua"/>
          <w:color w:val="000000" w:themeColor="text1"/>
          <w:lang w:eastAsia="zh-CN"/>
        </w:rPr>
        <w:t>s</w:t>
      </w:r>
      <w:r>
        <w:rPr>
          <w:rFonts w:ascii="Book Antiqua" w:eastAsia="Book Antiqua" w:hAnsi="Book Antiqua" w:cs="Book Antiqua"/>
          <w:color w:val="000000" w:themeColor="text1"/>
        </w:rPr>
        <w:t>, indicating its potential value as a prognostic biomarker. These findings may provide a basis for the personalized treatment of upper GI tract cancer</w:t>
      </w:r>
      <w:r w:rsidRPr="00020B86">
        <w:rPr>
          <w:rFonts w:ascii="Book Antiqua" w:eastAsia="SimSun" w:hAnsi="Book Antiqua" w:cs="Book Antiqua"/>
          <w:color w:val="000000" w:themeColor="text1"/>
          <w:highlight w:val="yellow"/>
          <w:lang w:eastAsia="zh-CN"/>
        </w:rPr>
        <w:t>s</w:t>
      </w:r>
      <w:r>
        <w:rPr>
          <w:rFonts w:ascii="Book Antiqua" w:eastAsia="Book Antiqua" w:hAnsi="Book Antiqua" w:cs="Book Antiqua"/>
          <w:color w:val="000000" w:themeColor="text1"/>
        </w:rPr>
        <w:t>.</w:t>
      </w:r>
    </w:p>
    <w:p w14:paraId="342CDA3E" w14:textId="77777777" w:rsidR="00DC05DB" w:rsidRDefault="00DC05DB">
      <w:pPr>
        <w:spacing w:line="360" w:lineRule="auto"/>
        <w:jc w:val="both"/>
        <w:rPr>
          <w:color w:val="000000" w:themeColor="text1"/>
        </w:rPr>
      </w:pPr>
    </w:p>
    <w:p w14:paraId="37BD5EE8"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Immune checkpoint; T cell </w:t>
      </w:r>
      <w:proofErr w:type="gramStart"/>
      <w:r>
        <w:rPr>
          <w:rFonts w:ascii="Book Antiqua" w:eastAsia="Book Antiqua" w:hAnsi="Book Antiqua" w:cs="Book Antiqua"/>
          <w:color w:val="000000" w:themeColor="text1"/>
        </w:rPr>
        <w:t>immunoglobulin-3</w:t>
      </w:r>
      <w:proofErr w:type="gramEnd"/>
      <w:r>
        <w:rPr>
          <w:rFonts w:ascii="Book Antiqua" w:eastAsia="Book Antiqua" w:hAnsi="Book Antiqua" w:cs="Book Antiqua"/>
          <w:color w:val="000000" w:themeColor="text1"/>
        </w:rPr>
        <w:t xml:space="preserve">; Upper gastrointestinal </w:t>
      </w:r>
      <w:r w:rsidRPr="00020B86">
        <w:rPr>
          <w:rFonts w:ascii="Book Antiqua" w:eastAsia="Book Antiqua" w:hAnsi="Book Antiqua" w:cs="Book Antiqua"/>
          <w:b/>
          <w:bCs/>
          <w:color w:val="000000" w:themeColor="text1"/>
          <w:highlight w:val="yellow"/>
        </w:rPr>
        <w:t>tract</w:t>
      </w:r>
      <w:r>
        <w:rPr>
          <w:rFonts w:ascii="Book Antiqua" w:eastAsia="SimSun" w:hAnsi="Book Antiqua" w:cs="Book Antiqua" w:hint="eastAsia"/>
          <w:b/>
          <w:bCs/>
          <w:color w:val="000000" w:themeColor="text1"/>
          <w:lang w:eastAsia="zh-CN"/>
        </w:rPr>
        <w:t xml:space="preserve"> </w:t>
      </w:r>
      <w:r>
        <w:rPr>
          <w:rFonts w:ascii="Book Antiqua" w:eastAsia="Book Antiqua" w:hAnsi="Book Antiqua" w:cs="Book Antiqua"/>
          <w:color w:val="000000" w:themeColor="text1"/>
        </w:rPr>
        <w:t>cancer; Overall survival; Clinicopathological features</w:t>
      </w:r>
    </w:p>
    <w:p w14:paraId="76EEB0B6" w14:textId="77777777" w:rsidR="00DC05DB" w:rsidRDefault="00DC05DB">
      <w:pPr>
        <w:spacing w:line="360" w:lineRule="auto"/>
        <w:jc w:val="both"/>
        <w:rPr>
          <w:color w:val="000000" w:themeColor="text1"/>
        </w:rPr>
      </w:pPr>
    </w:p>
    <w:p w14:paraId="3DFE2C6E"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Yan JJ, Liu BB, Yang Y, Liu MR, Wang H, Deng ZQ, Zhang ZW. Prognostic value of T cell immunoglobulin and mucin-domain containing-3 expression in upper gastrointestinal tract tumors: A meta-analysis.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Oncol</w:t>
      </w:r>
      <w:r>
        <w:rPr>
          <w:rFonts w:ascii="Book Antiqua" w:eastAsia="Book Antiqua" w:hAnsi="Book Antiqua" w:cs="Book Antiqua"/>
          <w:color w:val="000000" w:themeColor="text1"/>
        </w:rPr>
        <w:t xml:space="preserve"> 2023; In press</w:t>
      </w:r>
    </w:p>
    <w:p w14:paraId="5AFB4A9B" w14:textId="77777777" w:rsidR="00DC05DB" w:rsidRDefault="00DC05DB">
      <w:pPr>
        <w:spacing w:line="360" w:lineRule="auto"/>
        <w:jc w:val="both"/>
        <w:rPr>
          <w:color w:val="000000" w:themeColor="text1"/>
        </w:rPr>
      </w:pPr>
    </w:p>
    <w:p w14:paraId="756A038F"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Immune checkpoint receptor inhibitors have transformed cancer treatment in a wide range of tumor types, and T cell immunoglobulin and mucin-domain containing-3 (TIM3) is one of these immune checkpoint receptors. The study initially evaluated the survival-prognostic effect of TIM3 in upper gastrointestinal tract tumors by conducting a meta-analysis, aggregating data from several independent studies, and providing the latest comprehensive insights into the field. We believe that the results of this study will further advance immunotherapy and provide some value to future research.</w:t>
      </w:r>
    </w:p>
    <w:p w14:paraId="7F176A53" w14:textId="77777777" w:rsidR="00DC05DB" w:rsidRDefault="00DC05DB">
      <w:pPr>
        <w:spacing w:line="360" w:lineRule="auto"/>
        <w:jc w:val="both"/>
        <w:rPr>
          <w:color w:val="000000" w:themeColor="text1"/>
        </w:rPr>
      </w:pPr>
    </w:p>
    <w:p w14:paraId="4056E937" w14:textId="77777777" w:rsidR="00DC05DB"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INTRODUCTION</w:t>
      </w:r>
    </w:p>
    <w:p w14:paraId="613DAE95" w14:textId="3D6D1189"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The high incidence of cancer is a major public health concern </w:t>
      </w:r>
      <w:proofErr w:type="gramStart"/>
      <w:r>
        <w:rPr>
          <w:rFonts w:ascii="Book Antiqua" w:eastAsia="Book Antiqua" w:hAnsi="Book Antiqua" w:cs="Book Antiqua"/>
          <w:color w:val="000000" w:themeColor="text1"/>
        </w:rPr>
        <w:t>worldwide</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1]</w:t>
      </w:r>
      <w:r>
        <w:rPr>
          <w:rFonts w:ascii="Book Antiqua" w:eastAsia="Book Antiqua" w:hAnsi="Book Antiqua" w:cs="Book Antiqua"/>
          <w:color w:val="000000" w:themeColor="text1"/>
        </w:rPr>
        <w:t xml:space="preserve">. An analysis of cancer statistics in 2022 revealed a declining trend in the incidence and mortality rates of malignant tumors in the United </w:t>
      </w:r>
      <w:proofErr w:type="gramStart"/>
      <w:r>
        <w:rPr>
          <w:rFonts w:ascii="Book Antiqua" w:eastAsia="Book Antiqua" w:hAnsi="Book Antiqua" w:cs="Book Antiqua"/>
          <w:color w:val="000000" w:themeColor="text1"/>
        </w:rPr>
        <w:t>States</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2]</w:t>
      </w:r>
      <w:r>
        <w:rPr>
          <w:rFonts w:ascii="Book Antiqua" w:eastAsia="Book Antiqua" w:hAnsi="Book Antiqua" w:cs="Book Antiqua"/>
          <w:color w:val="000000" w:themeColor="text1"/>
        </w:rPr>
        <w:t xml:space="preserve">. However, upper gastrointestinal (GI) tract tumors, including esophageal cancer, gastric cancer, and esophagogastric junction cancer, continue to pose a serious threat to health. Gastric cancer is the fifth most common cancer worldwide, and the fourth highest contributor to cancer-associated mortality. Worldwide, esophageal cancer ranks seventh in terms of incidence and sixth in terms of </w:t>
      </w:r>
      <w:proofErr w:type="gramStart"/>
      <w:r>
        <w:rPr>
          <w:rFonts w:ascii="Book Antiqua" w:eastAsia="Book Antiqua" w:hAnsi="Book Antiqua" w:cs="Book Antiqua"/>
          <w:color w:val="000000" w:themeColor="text1"/>
        </w:rPr>
        <w:t>mortality</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3]</w:t>
      </w:r>
      <w:r>
        <w:rPr>
          <w:rFonts w:ascii="Book Antiqua" w:eastAsia="Book Antiqua" w:hAnsi="Book Antiqua" w:cs="Book Antiqua"/>
          <w:color w:val="000000" w:themeColor="text1"/>
        </w:rPr>
        <w:t>.</w:t>
      </w:r>
    </w:p>
    <w:p w14:paraId="165F6E89" w14:textId="1C4697C1"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lastRenderedPageBreak/>
        <w:t xml:space="preserve">Recent data have suggested a gradual decrease in the incidence of gastric cancer in China. However, it remains the fourth most commonly occurring cancer and the third most common cause of cancer-associated mortality in China, whereas esophageal cancer is among the top five causes of cancer-related </w:t>
      </w:r>
      <w:proofErr w:type="gramStart"/>
      <w:r>
        <w:rPr>
          <w:rFonts w:ascii="Book Antiqua" w:eastAsia="Book Antiqua" w:hAnsi="Book Antiqua" w:cs="Book Antiqua"/>
          <w:color w:val="000000" w:themeColor="text1"/>
        </w:rPr>
        <w:t>deaths</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4]</w:t>
      </w:r>
      <w:r>
        <w:rPr>
          <w:rFonts w:ascii="Book Antiqua" w:eastAsia="Book Antiqua" w:hAnsi="Book Antiqua" w:cs="Book Antiqua"/>
          <w:color w:val="000000" w:themeColor="text1"/>
        </w:rPr>
        <w:t>.</w:t>
      </w:r>
    </w:p>
    <w:p w14:paraId="66204087"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A diverse range of treatment methods are presently available for upper GI tract tumors. In addition to traditional treatments (surgery, chemotherapy, and radiotherapy), targeted therapy, immunotherapy, and combination therapy have exhibited promising results in certain subsets of patients. However, despite these novel therapeutic approaches, the prognosis of patients with middle- and advanced-stage upper GI tract tumors remain</w:t>
      </w:r>
      <w:r>
        <w:rPr>
          <w:rFonts w:ascii="Book Antiqua" w:eastAsia="SimSun" w:hAnsi="Book Antiqua" w:cs="Book Antiqua"/>
          <w:color w:val="000000" w:themeColor="text1"/>
          <w:lang w:eastAsia="zh-CN"/>
        </w:rPr>
        <w:t>s</w:t>
      </w:r>
      <w:r>
        <w:rPr>
          <w:rFonts w:ascii="Book Antiqua" w:eastAsia="Book Antiqua" w:hAnsi="Book Antiqua" w:cs="Book Antiqua"/>
          <w:color w:val="000000" w:themeColor="text1"/>
        </w:rPr>
        <w:t xml:space="preserve"> unsatisfactory. In recent years, immunotherapy using immune checkpoint inhibitors has transformed the treatment landscape for various types of cancers. Combination therapy containing immunotherapy has been the first-line treatment for advanced upper GI tract tumors. Approximately 15%-20% of patients with gastric adenocarcinoma overexpress</w:t>
      </w:r>
      <w:r>
        <w:t xml:space="preserve"> </w:t>
      </w:r>
      <w:r>
        <w:rPr>
          <w:rFonts w:ascii="Book Antiqua" w:eastAsia="Book Antiqua" w:hAnsi="Book Antiqua" w:cs="Book Antiqua"/>
          <w:color w:val="000000" w:themeColor="text1"/>
        </w:rPr>
        <w:t xml:space="preserve">human epidermal growth factor receptor 2 (HER2). While trastuzumab was once favored for treating HER2-positive advanced gastric cancer, the DESTINY-Gastric01 study highlighted trastuzumab </w:t>
      </w:r>
      <w:proofErr w:type="spellStart"/>
      <w:r>
        <w:rPr>
          <w:rFonts w:ascii="Book Antiqua" w:eastAsia="Book Antiqua" w:hAnsi="Book Antiqua" w:cs="Book Antiqua"/>
          <w:color w:val="000000" w:themeColor="text1"/>
        </w:rPr>
        <w:t>deruxtecan</w:t>
      </w:r>
      <w:proofErr w:type="spellEnd"/>
      <w:r>
        <w:rPr>
          <w:rFonts w:ascii="Book Antiqua" w:eastAsia="Book Antiqua" w:hAnsi="Book Antiqua" w:cs="Book Antiqua"/>
          <w:color w:val="000000" w:themeColor="text1"/>
        </w:rPr>
        <w:t xml:space="preserve"> as a superior </w:t>
      </w:r>
      <w:proofErr w:type="gramStart"/>
      <w:r>
        <w:rPr>
          <w:rFonts w:ascii="Book Antiqua" w:eastAsia="Book Antiqua" w:hAnsi="Book Antiqua" w:cs="Book Antiqua"/>
          <w:color w:val="000000" w:themeColor="text1"/>
        </w:rPr>
        <w:t>option</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5]</w:t>
      </w:r>
      <w:r>
        <w:rPr>
          <w:rFonts w:ascii="Book Antiqua" w:eastAsia="Book Antiqua" w:hAnsi="Book Antiqua" w:cs="Book Antiqua"/>
          <w:color w:val="000000" w:themeColor="text1"/>
        </w:rPr>
        <w:t xml:space="preserve">. The MOUSEION series indicates that immunotherapy benefits both men and women, but women may show a reduced response to </w:t>
      </w:r>
      <w:proofErr w:type="gramStart"/>
      <w:r>
        <w:rPr>
          <w:rFonts w:ascii="Book Antiqua" w:eastAsia="Book Antiqua" w:hAnsi="Book Antiqua" w:cs="Book Antiqua"/>
          <w:color w:val="000000" w:themeColor="text1"/>
        </w:rPr>
        <w:t>monotherapy</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6]</w:t>
      </w:r>
      <w:r>
        <w:rPr>
          <w:rFonts w:ascii="Book Antiqua" w:eastAsia="Book Antiqua" w:hAnsi="Book Antiqua" w:cs="Book Antiqua"/>
          <w:color w:val="000000" w:themeColor="text1"/>
        </w:rPr>
        <w:t xml:space="preserve">. Moreover, combining two immune checkpoint inhibitors yields better outcomes, and while not all gastric cancer patients show a positive response, those with high microsatellite instability or Epstein-Barr virus positivity exhibit a strong response to </w:t>
      </w:r>
      <w:proofErr w:type="gramStart"/>
      <w:r>
        <w:rPr>
          <w:rFonts w:ascii="Book Antiqua" w:eastAsia="Book Antiqua" w:hAnsi="Book Antiqua" w:cs="Book Antiqua"/>
          <w:color w:val="000000" w:themeColor="text1"/>
        </w:rPr>
        <w:t>pembrolizumab</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7]</w:t>
      </w:r>
      <w:r>
        <w:rPr>
          <w:rFonts w:ascii="Book Antiqua" w:eastAsia="Book Antiqua" w:hAnsi="Book Antiqua" w:cs="Book Antiqua"/>
          <w:color w:val="000000" w:themeColor="text1"/>
        </w:rPr>
        <w:t xml:space="preserve">. The synergy of chemotherapy and immunotherapy, especially targeting the DNA damage response pathway, offers promising prospects in gastric cancer </w:t>
      </w:r>
      <w:proofErr w:type="gramStart"/>
      <w:r>
        <w:rPr>
          <w:rFonts w:ascii="Book Antiqua" w:eastAsia="Book Antiqua" w:hAnsi="Book Antiqua" w:cs="Book Antiqua"/>
          <w:color w:val="000000" w:themeColor="text1"/>
        </w:rPr>
        <w:t>treatment</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8]</w:t>
      </w:r>
      <w:r>
        <w:rPr>
          <w:rFonts w:ascii="Book Antiqua" w:eastAsia="Book Antiqua" w:hAnsi="Book Antiqua" w:cs="Book Antiqua"/>
          <w:color w:val="000000" w:themeColor="text1"/>
        </w:rPr>
        <w:t>. Furthermore, immune checkpoints represent a contemporary research hotspot among prognostic markers.</w:t>
      </w:r>
    </w:p>
    <w:p w14:paraId="7E58752C"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Immune checkpoints are inhibitory molecules that can modulate the immune system to reduce unwanted autoimmune responses, thereby helping maintain self-tolerance and regulating the timing of physiological immune responses in peripheral </w:t>
      </w:r>
      <w:proofErr w:type="gramStart"/>
      <w:r>
        <w:rPr>
          <w:rFonts w:ascii="Book Antiqua" w:eastAsia="Book Antiqua" w:hAnsi="Book Antiqua" w:cs="Book Antiqua"/>
          <w:color w:val="000000" w:themeColor="text1"/>
        </w:rPr>
        <w:t>tissues</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9]</w:t>
      </w:r>
      <w:r>
        <w:rPr>
          <w:rFonts w:ascii="Book Antiqua" w:eastAsia="Book Antiqua" w:hAnsi="Book Antiqua" w:cs="Book Antiqua"/>
          <w:color w:val="000000" w:themeColor="text1"/>
        </w:rPr>
        <w:t>. In the cancer microenvironment, T lymphocytes play a central role in cell-mediated cytotoxicity. Activated T cells express inhibitory receptors, such as cytotoxic T-</w:t>
      </w:r>
      <w:r>
        <w:rPr>
          <w:rFonts w:ascii="Book Antiqua" w:eastAsia="Book Antiqua" w:hAnsi="Book Antiqua" w:cs="Book Antiqua"/>
          <w:color w:val="000000" w:themeColor="text1"/>
        </w:rPr>
        <w:lastRenderedPageBreak/>
        <w:t xml:space="preserve">lymphocyte-associated protein 4 (CTLA-4) and programmed cell death protein 1 (PD-1). Cancer cells express ligands, such as programmed death-ligand 1 (PD-L1), which can combine with PD-1 and further weaken the antitumor effects of T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10,11]</w:t>
      </w:r>
      <w:r>
        <w:rPr>
          <w:rFonts w:ascii="Book Antiqua" w:eastAsia="Book Antiqua" w:hAnsi="Book Antiqua" w:cs="Book Antiqua"/>
          <w:color w:val="000000" w:themeColor="text1"/>
        </w:rPr>
        <w:t>. The blockade of immune checkpoints can have powerful and durable antitumor effects.</w:t>
      </w:r>
    </w:p>
    <w:p w14:paraId="22941C09"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In March 2011, the United States Food and Drug Administration approved ipilimumab, a monoclonal CTLA-4 antibody, for the treatment of patients with late-stage </w:t>
      </w:r>
      <w:proofErr w:type="gramStart"/>
      <w:r>
        <w:rPr>
          <w:rFonts w:ascii="Book Antiqua" w:eastAsia="Book Antiqua" w:hAnsi="Book Antiqua" w:cs="Book Antiqua"/>
          <w:color w:val="000000" w:themeColor="text1"/>
        </w:rPr>
        <w:t>melanoma</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12]</w:t>
      </w:r>
      <w:r>
        <w:rPr>
          <w:rFonts w:ascii="Book Antiqua" w:eastAsia="Book Antiqua" w:hAnsi="Book Antiqua" w:cs="Book Antiqua"/>
          <w:color w:val="000000" w:themeColor="text1"/>
        </w:rPr>
        <w:t xml:space="preserve">. PD-1/PD-L1 blockers are among the most successful checkpoint </w:t>
      </w:r>
      <w:proofErr w:type="gramStart"/>
      <w:r>
        <w:rPr>
          <w:rFonts w:ascii="Book Antiqua" w:eastAsia="Book Antiqua" w:hAnsi="Book Antiqua" w:cs="Book Antiqua"/>
          <w:color w:val="000000" w:themeColor="text1"/>
        </w:rPr>
        <w:t>inhibitors</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13]</w:t>
      </w:r>
      <w:r>
        <w:rPr>
          <w:rFonts w:ascii="Book Antiqua" w:eastAsia="Book Antiqua" w:hAnsi="Book Antiqua" w:cs="Book Antiqua"/>
          <w:color w:val="000000" w:themeColor="text1"/>
        </w:rPr>
        <w:t xml:space="preserve">. PD-1 or PD-L1 inhibitors have been approved as first- or second-line treatment for several cancers, such as non-small cell lung cancer, melanoma, and gastric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14]</w:t>
      </w:r>
      <w:r>
        <w:rPr>
          <w:rFonts w:ascii="Book Antiqua" w:eastAsia="Book Antiqua" w:hAnsi="Book Antiqua" w:cs="Book Antiqua"/>
          <w:color w:val="000000" w:themeColor="text1"/>
        </w:rPr>
        <w:t>. Therefore, immune checkpoint inhibitors are presently an important component of comprehensive cancer therapy.</w:t>
      </w:r>
    </w:p>
    <w:p w14:paraId="27045346"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At present, the </w:t>
      </w:r>
      <w:proofErr w:type="gramStart"/>
      <w:r>
        <w:rPr>
          <w:rFonts w:ascii="Book Antiqua" w:eastAsia="Book Antiqua" w:hAnsi="Book Antiqua" w:cs="Book Antiqua"/>
          <w:color w:val="000000" w:themeColor="text1"/>
        </w:rPr>
        <w:t>most commonly used</w:t>
      </w:r>
      <w:proofErr w:type="gramEnd"/>
      <w:r>
        <w:rPr>
          <w:rFonts w:ascii="Book Antiqua" w:eastAsia="Book Antiqua" w:hAnsi="Book Antiqua" w:cs="Book Antiqua"/>
          <w:color w:val="000000" w:themeColor="text1"/>
        </w:rPr>
        <w:t xml:space="preserve"> immune checkpoint molecular targets are PD-1, CTLA-4, lymphocyte activation gene-3 (LAG-3), and T cell immunoglobulin-3 (TIM3). Among these, TIM3, also referred to as hepatitis A virus-cell receptor 2, is a transmembrane protein that negatively regulates type 1 immunity and plays an important regulatory role in carcinogenesis and </w:t>
      </w:r>
      <w:proofErr w:type="gramStart"/>
      <w:r>
        <w:rPr>
          <w:rFonts w:ascii="Book Antiqua" w:eastAsia="Book Antiqua" w:hAnsi="Book Antiqua" w:cs="Book Antiqua"/>
          <w:color w:val="000000" w:themeColor="text1"/>
        </w:rPr>
        <w:t>development</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15]</w:t>
      </w:r>
      <w:r>
        <w:rPr>
          <w:rFonts w:ascii="Book Antiqua" w:eastAsia="Book Antiqua" w:hAnsi="Book Antiqua" w:cs="Book Antiqua"/>
          <w:color w:val="000000" w:themeColor="text1"/>
        </w:rPr>
        <w:t xml:space="preserve">. This suppresses the activity of T cells and other immune cells by binding to its ligand galectin-9 (Gal-9), thereby regulating the intensity and duration of the immune </w:t>
      </w:r>
      <w:proofErr w:type="gramStart"/>
      <w:r>
        <w:rPr>
          <w:rFonts w:ascii="Book Antiqua" w:eastAsia="Book Antiqua" w:hAnsi="Book Antiqua" w:cs="Book Antiqua"/>
          <w:color w:val="000000" w:themeColor="text1"/>
        </w:rPr>
        <w:t>response</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16]</w:t>
      </w:r>
      <w:r>
        <w:rPr>
          <w:rFonts w:ascii="Book Antiqua" w:eastAsia="Book Antiqua" w:hAnsi="Book Antiqua" w:cs="Book Antiqua"/>
          <w:color w:val="000000" w:themeColor="text1"/>
        </w:rPr>
        <w:t>.</w:t>
      </w:r>
    </w:p>
    <w:p w14:paraId="6BFB5B46" w14:textId="77777777" w:rsidR="00DC05DB" w:rsidRDefault="00000000">
      <w:pPr>
        <w:spacing w:line="360" w:lineRule="auto"/>
        <w:ind w:firstLine="27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Recent studies have demonstrated high TIM3 expression in upper GI tract tumor tissues, and its close association with overall survival (OS). For example, studies have reported a correlation between TIM3 expression level and the prognosis of </w:t>
      </w:r>
      <w:proofErr w:type="gramStart"/>
      <w:r>
        <w:rPr>
          <w:rFonts w:ascii="Book Antiqua" w:eastAsia="Book Antiqua" w:hAnsi="Book Antiqua" w:cs="Book Antiqua"/>
          <w:color w:val="000000" w:themeColor="text1"/>
        </w:rPr>
        <w:t>gastric</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17-20]</w:t>
      </w:r>
      <w:r>
        <w:rPr>
          <w:rFonts w:ascii="Book Antiqua" w:eastAsia="Book Antiqua" w:hAnsi="Book Antiqua" w:cs="Book Antiqua"/>
          <w:color w:val="000000" w:themeColor="text1"/>
        </w:rPr>
        <w:t xml:space="preserve"> and esophageal</w:t>
      </w:r>
      <w:r>
        <w:rPr>
          <w:rFonts w:ascii="Book Antiqua" w:eastAsia="Book Antiqua" w:hAnsi="Book Antiqua" w:cs="Book Antiqua"/>
          <w:color w:val="000000" w:themeColor="text1"/>
          <w:szCs w:val="20"/>
          <w:vertAlign w:val="superscript"/>
        </w:rPr>
        <w:t>[21-25]</w:t>
      </w:r>
      <w:r>
        <w:rPr>
          <w:rFonts w:ascii="Book Antiqua" w:eastAsia="Book Antiqua" w:hAnsi="Book Antiqua" w:cs="Book Antiqua"/>
          <w:color w:val="000000" w:themeColor="text1"/>
        </w:rPr>
        <w:t xml:space="preserve"> cancers. However, the prognostic value of TIM3 in gastroesophageal junction cancer has not been reported. The results suggest the important role of TIM3 in these tumors. </w:t>
      </w:r>
    </w:p>
    <w:p w14:paraId="24E98B23"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Therefore, a meta-analysis was conducted to comprehensively assess the relationship between TIM3 expression level and the prognosis and clinicopathological parameters of upper GI tract tumors.</w:t>
      </w:r>
    </w:p>
    <w:p w14:paraId="2E8B7730" w14:textId="77777777" w:rsidR="00DC05DB" w:rsidRDefault="00DC05DB">
      <w:pPr>
        <w:spacing w:line="360" w:lineRule="auto"/>
        <w:ind w:firstLine="480"/>
        <w:jc w:val="both"/>
        <w:rPr>
          <w:color w:val="000000" w:themeColor="text1"/>
        </w:rPr>
      </w:pPr>
    </w:p>
    <w:p w14:paraId="37682C21" w14:textId="77777777" w:rsidR="00DC05DB"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MATERIALS AND METHODS</w:t>
      </w:r>
    </w:p>
    <w:p w14:paraId="3271B09A" w14:textId="77777777" w:rsidR="00DC05DB" w:rsidRDefault="00000000">
      <w:pPr>
        <w:spacing w:line="360" w:lineRule="auto"/>
        <w:jc w:val="both"/>
        <w:rPr>
          <w:i/>
          <w:iCs/>
          <w:color w:val="000000" w:themeColor="text1"/>
        </w:rPr>
      </w:pPr>
      <w:r>
        <w:rPr>
          <w:rFonts w:ascii="Book Antiqua" w:eastAsia="Book Antiqua" w:hAnsi="Book Antiqua" w:cs="Book Antiqua"/>
          <w:b/>
          <w:bCs/>
          <w:i/>
          <w:iCs/>
          <w:color w:val="000000" w:themeColor="text1"/>
        </w:rPr>
        <w:t>Search strategy and study selection</w:t>
      </w:r>
    </w:p>
    <w:p w14:paraId="4E90C9C7"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A literature search was performed in the PubMed, Web of Science, and Embase databases for studies published as of June 30, 2023. The keywords used were “TIM3,” “gastric cancer,” and “esophageal cancer.” No studies have investigated TIM3 expression in gastroesophageal junction cancer. In addition, to prevent the omission of relevant literature, especially focused literature, we used a new tool, Reference Citation Analysis (https://www.referencecitationanalysis.com)</w:t>
      </w:r>
      <w:r>
        <w:rPr>
          <w:rFonts w:ascii="Book Antiqua" w:eastAsia="SimSun" w:hAnsi="Book Antiqua" w:cs="Book Antiqua"/>
          <w:color w:val="000000" w:themeColor="text1"/>
          <w:lang w:eastAsia="zh-CN"/>
        </w:rPr>
        <w:t>, to analyze the articles</w:t>
      </w:r>
      <w:r>
        <w:rPr>
          <w:rFonts w:ascii="Book Antiqua" w:eastAsia="Book Antiqua" w:hAnsi="Book Antiqua" w:cs="Book Antiqua"/>
          <w:color w:val="000000" w:themeColor="text1"/>
        </w:rPr>
        <w:t>.</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Next, a systematic approach was used to select eligible studies and extract relevant data. The reference lists of the selected articles were screened to identify additional studies that met the criteria for inclusion in the present meta-analysis. Only publicly available published data were used for the present study, precluding any concerns related to personal privacy or ethical issues. The present meta-analysis is registered on the PROSPERO website (https://www.crd.york.ac.uk/PROSPERO/; Registration No. CRD42023438756).</w:t>
      </w:r>
    </w:p>
    <w:p w14:paraId="2399BC39" w14:textId="77777777" w:rsidR="00DC05DB" w:rsidRDefault="00DC05DB">
      <w:pPr>
        <w:spacing w:line="360" w:lineRule="auto"/>
        <w:jc w:val="both"/>
        <w:rPr>
          <w:color w:val="000000" w:themeColor="text1"/>
        </w:rPr>
      </w:pPr>
    </w:p>
    <w:p w14:paraId="5BD6A3E2" w14:textId="77777777" w:rsidR="00DC05DB" w:rsidRDefault="00000000">
      <w:pPr>
        <w:spacing w:line="360" w:lineRule="auto"/>
        <w:jc w:val="both"/>
        <w:rPr>
          <w:i/>
          <w:iCs/>
          <w:color w:val="000000" w:themeColor="text1"/>
        </w:rPr>
      </w:pPr>
      <w:r>
        <w:rPr>
          <w:rFonts w:ascii="Book Antiqua" w:eastAsia="Book Antiqua" w:hAnsi="Book Antiqua" w:cs="Book Antiqua"/>
          <w:b/>
          <w:bCs/>
          <w:i/>
          <w:iCs/>
          <w:color w:val="000000" w:themeColor="text1"/>
        </w:rPr>
        <w:t>Study selection criteria</w:t>
      </w:r>
    </w:p>
    <w:p w14:paraId="5459F263"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Studies that met the following criteria were eligible for inclusion: (1) case-control studies, cohort studies, or clinical trials; (2) patients with upper GI cancer; (3) diagnosis confirmed by histopathology; (4) detection of TIM3 expression by immunohistochemistry (IHC); and (5) variables reported of TIM3 expression levels and cancer prognosis-related outcomes (such as OS).</w:t>
      </w:r>
    </w:p>
    <w:p w14:paraId="19B49F47"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The exclusion criteria were: (1)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studies or animal experiments; (2) inability to extract the required data from the published results; (3) non-reporting of survival outcomes; and (4) patients who received chemotherapy or radiotherapy before the assessment of TIM3 expression.</w:t>
      </w:r>
    </w:p>
    <w:p w14:paraId="414F1C11" w14:textId="77777777" w:rsidR="00DC05DB" w:rsidRDefault="00DC05DB">
      <w:pPr>
        <w:spacing w:line="360" w:lineRule="auto"/>
        <w:ind w:firstLine="480"/>
        <w:jc w:val="both"/>
        <w:rPr>
          <w:color w:val="000000" w:themeColor="text1"/>
        </w:rPr>
      </w:pPr>
    </w:p>
    <w:p w14:paraId="12F497A3" w14:textId="77777777" w:rsidR="00DC05DB" w:rsidRDefault="00000000">
      <w:pPr>
        <w:spacing w:line="360" w:lineRule="auto"/>
        <w:jc w:val="both"/>
        <w:rPr>
          <w:i/>
          <w:iCs/>
          <w:color w:val="000000" w:themeColor="text1"/>
        </w:rPr>
      </w:pPr>
      <w:r>
        <w:rPr>
          <w:rFonts w:ascii="Book Antiqua" w:eastAsia="Book Antiqua" w:hAnsi="Book Antiqua" w:cs="Book Antiqua"/>
          <w:b/>
          <w:bCs/>
          <w:i/>
          <w:iCs/>
          <w:color w:val="000000" w:themeColor="text1"/>
        </w:rPr>
        <w:t>Data extraction and quality assessment</w:t>
      </w:r>
    </w:p>
    <w:p w14:paraId="4C6A0B6D" w14:textId="5B387891" w:rsidR="00DC05DB" w:rsidRDefault="00000000">
      <w:pPr>
        <w:spacing w:line="360" w:lineRule="auto"/>
        <w:jc w:val="both"/>
        <w:rPr>
          <w:color w:val="000000" w:themeColor="text1"/>
        </w:rPr>
      </w:pPr>
      <w:r>
        <w:rPr>
          <w:rFonts w:ascii="Book Antiqua" w:eastAsia="Book Antiqua" w:hAnsi="Book Antiqua" w:cs="Book Antiqua"/>
          <w:color w:val="000000" w:themeColor="text1"/>
        </w:rPr>
        <w:t>Two researchers independently extracted the data pertaining to the following variables from each study: study design, sample size, demographic characteristics (including age, sex, nationality, and ethnicity), clinicopathological parameters (T stage, lymph node metastasis, tumor-node-metastasis [T</w:t>
      </w:r>
      <w:r w:rsidRPr="00020B86">
        <w:rPr>
          <w:rFonts w:ascii="Book Antiqua" w:eastAsia="SimSun" w:hAnsi="Book Antiqua" w:cs="Book Antiqua"/>
          <w:color w:val="000000" w:themeColor="text1"/>
          <w:highlight w:val="yellow"/>
          <w:lang w:eastAsia="zh-CN"/>
        </w:rPr>
        <w:t>NM</w:t>
      </w:r>
      <w:r>
        <w:rPr>
          <w:rFonts w:ascii="Book Antiqua" w:eastAsia="Book Antiqua" w:hAnsi="Book Antiqua" w:cs="Book Antiqua"/>
          <w:color w:val="000000" w:themeColor="text1"/>
        </w:rPr>
        <w:t xml:space="preserve">] stage, and grade of differentiation), and prognostic indices (such as OS). The specifics of the TNM staging were meticulously </w:t>
      </w:r>
      <w:r>
        <w:rPr>
          <w:rFonts w:ascii="Book Antiqua" w:eastAsia="Book Antiqua" w:hAnsi="Book Antiqua" w:cs="Book Antiqua"/>
          <w:color w:val="000000" w:themeColor="text1"/>
        </w:rPr>
        <w:lastRenderedPageBreak/>
        <w:t>documented. The methods and thresholds for determining TIM3 expression, primarily through IHC, were outlined. Using the Newcastle-Ottawa Scale (NOS) for quality assessment, only studies that scored between 6 to 9 points, denoting high quality, were included in the meta-analysis.</w:t>
      </w:r>
    </w:p>
    <w:p w14:paraId="1B452BD1" w14:textId="77777777" w:rsidR="00DC05DB" w:rsidRDefault="00DC05DB">
      <w:pPr>
        <w:spacing w:line="360" w:lineRule="auto"/>
        <w:jc w:val="both"/>
        <w:rPr>
          <w:rFonts w:ascii="Book Antiqua" w:eastAsia="Book Antiqua" w:hAnsi="Book Antiqua" w:cs="Book Antiqua"/>
          <w:b/>
          <w:bCs/>
          <w:color w:val="000000" w:themeColor="text1"/>
        </w:rPr>
      </w:pPr>
    </w:p>
    <w:p w14:paraId="47AEB4E3" w14:textId="77777777" w:rsidR="00DC05DB" w:rsidRDefault="00000000">
      <w:pPr>
        <w:spacing w:line="360" w:lineRule="auto"/>
        <w:jc w:val="both"/>
        <w:rPr>
          <w:i/>
          <w:iCs/>
          <w:color w:val="000000" w:themeColor="text1"/>
        </w:rPr>
      </w:pPr>
      <w:r>
        <w:rPr>
          <w:rFonts w:ascii="Book Antiqua" w:eastAsia="Book Antiqua" w:hAnsi="Book Antiqua" w:cs="Book Antiqua"/>
          <w:b/>
          <w:bCs/>
          <w:i/>
          <w:iCs/>
          <w:color w:val="000000" w:themeColor="text1"/>
        </w:rPr>
        <w:t>Statistical analyses</w:t>
      </w:r>
    </w:p>
    <w:p w14:paraId="145E38A4" w14:textId="20762805"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Pooled analyses of data obtained from the included studies were performed using STATA statistical software, version 15.2.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was considered statistically significant for all analyses. The pooled hazard ratios (HRs) and 95% confidence interval (CIs) were calculated to assess the association between TIM3 expression and the prognosis and clinicopathological parameters (sex, age, T stage, lymph node metastasis, </w:t>
      </w:r>
      <w:r w:rsidRPr="00020B86">
        <w:rPr>
          <w:rFonts w:ascii="Book Antiqua" w:eastAsia="Book Antiqua" w:hAnsi="Book Antiqua" w:cs="Book Antiqua"/>
          <w:color w:val="000000" w:themeColor="text1"/>
          <w:highlight w:val="yellow"/>
        </w:rPr>
        <w:t>T</w:t>
      </w:r>
      <w:r w:rsidRPr="00020B86">
        <w:rPr>
          <w:rFonts w:ascii="Book Antiqua" w:eastAsia="SimSun" w:hAnsi="Book Antiqua" w:cs="Book Antiqua"/>
          <w:color w:val="000000" w:themeColor="text1"/>
          <w:highlight w:val="yellow"/>
          <w:lang w:eastAsia="zh-CN"/>
        </w:rPr>
        <w:t>NM</w:t>
      </w:r>
      <w:r>
        <w:rPr>
          <w:rFonts w:ascii="Book Antiqua" w:eastAsia="Book Antiqua" w:hAnsi="Book Antiqua" w:cs="Book Antiqua"/>
          <w:color w:val="000000" w:themeColor="text1"/>
        </w:rPr>
        <w:t xml:space="preserve"> stage, and grade of differentiation) of GI tract cancer. The individual HR estimates were pooled into a summary HR. The assumption of homogeneity was tested by performing Cochran’s Q-statistic and I</w:t>
      </w:r>
      <w:r>
        <w:rPr>
          <w:rFonts w:ascii="Book Antiqua" w:eastAsia="Book Antiqua" w:hAnsi="Book Antiqua" w:cs="Book Antiqua"/>
          <w:color w:val="000000" w:themeColor="text1"/>
          <w:szCs w:val="20"/>
          <w:vertAlign w:val="superscript"/>
        </w:rPr>
        <w:t>2</w:t>
      </w:r>
      <w:r>
        <w:rPr>
          <w:rFonts w:ascii="Book Antiqua" w:eastAsia="Book Antiqua" w:hAnsi="Book Antiqua" w:cs="Book Antiqua"/>
          <w:color w:val="000000" w:themeColor="text1"/>
        </w:rPr>
        <w:t xml:space="preserve"> test for heterogeneity.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in the Q-test or I</w:t>
      </w:r>
      <w:r>
        <w:rPr>
          <w:rFonts w:ascii="Book Antiqua" w:eastAsia="Book Antiqua" w:hAnsi="Book Antiqua" w:cs="Book Antiqua"/>
          <w:color w:val="000000" w:themeColor="text1"/>
          <w:szCs w:val="20"/>
          <w:vertAlign w:val="superscript"/>
        </w:rPr>
        <w:t>2</w:t>
      </w:r>
      <w:r>
        <w:rPr>
          <w:rFonts w:ascii="Book Antiqua" w:eastAsia="Book Antiqua" w:hAnsi="Book Antiqua" w:cs="Book Antiqua"/>
          <w:color w:val="000000" w:themeColor="text1"/>
        </w:rPr>
        <w:t xml:space="preserve"> &gt; 50% was considered indicative of significant heterogeneity. In case of significant heterogeneity, the random-effects model was used for the meta-analysis; otherwise, the fixed-effects model was used. HR or odds ratio (OR) &gt; 1 (indicating worse prognosis for cases with TIM3 expression positivity) was considered statistically significant when the 95%CI did not overlap 1. In case of significant heterogeneity among the included studies, subgroup analysis or sensitivity analysis was performed to identify the source of heterogeneity and explore the impact of potential factors on the results. The results were presented as forest plots. The effect of potential publication bias on the results of the meta-analysis was assessed by drawing funnel </w:t>
      </w:r>
      <w:proofErr w:type="gramStart"/>
      <w:r>
        <w:rPr>
          <w:rFonts w:ascii="Book Antiqua" w:eastAsia="Book Antiqua" w:hAnsi="Book Antiqua" w:cs="Book Antiqua"/>
          <w:color w:val="000000" w:themeColor="text1"/>
        </w:rPr>
        <w:t>plots, and</w:t>
      </w:r>
      <w:proofErr w:type="gramEnd"/>
      <w:r>
        <w:rPr>
          <w:rFonts w:ascii="Book Antiqua" w:eastAsia="Book Antiqua" w:hAnsi="Book Antiqua" w:cs="Book Antiqua"/>
          <w:color w:val="000000" w:themeColor="text1"/>
        </w:rPr>
        <w:t xml:space="preserve"> performing the </w:t>
      </w:r>
      <w:proofErr w:type="spellStart"/>
      <w:r>
        <w:rPr>
          <w:rFonts w:ascii="Book Antiqua" w:eastAsia="Book Antiqua" w:hAnsi="Book Antiqua" w:cs="Book Antiqua"/>
          <w:color w:val="000000" w:themeColor="text1"/>
        </w:rPr>
        <w:t>Begg’s</w:t>
      </w:r>
      <w:proofErr w:type="spellEnd"/>
      <w:r>
        <w:rPr>
          <w:rFonts w:ascii="Book Antiqua" w:eastAsia="Book Antiqua" w:hAnsi="Book Antiqua" w:cs="Book Antiqua"/>
          <w:color w:val="000000" w:themeColor="text1"/>
        </w:rPr>
        <w:t xml:space="preserve"> rank correlation test.</w:t>
      </w:r>
    </w:p>
    <w:p w14:paraId="7DAFACB0" w14:textId="77777777" w:rsidR="00DC05DB" w:rsidRDefault="00DC05DB">
      <w:pPr>
        <w:spacing w:line="360" w:lineRule="auto"/>
        <w:ind w:firstLine="480"/>
        <w:jc w:val="both"/>
        <w:rPr>
          <w:color w:val="000000" w:themeColor="text1"/>
        </w:rPr>
      </w:pPr>
    </w:p>
    <w:p w14:paraId="5780D638" w14:textId="77777777" w:rsidR="00DC05DB"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RESULTS</w:t>
      </w:r>
    </w:p>
    <w:p w14:paraId="04A70CF8" w14:textId="77777777" w:rsidR="00DC05DB" w:rsidRDefault="00000000">
      <w:pPr>
        <w:spacing w:line="360" w:lineRule="auto"/>
        <w:jc w:val="both"/>
        <w:rPr>
          <w:i/>
          <w:iCs/>
          <w:color w:val="000000" w:themeColor="text1"/>
        </w:rPr>
      </w:pPr>
      <w:r>
        <w:rPr>
          <w:rFonts w:ascii="Book Antiqua" w:eastAsia="Book Antiqua" w:hAnsi="Book Antiqua" w:cs="Book Antiqua"/>
          <w:b/>
          <w:bCs/>
          <w:i/>
          <w:iCs/>
          <w:color w:val="000000" w:themeColor="text1"/>
        </w:rPr>
        <w:t>Selection of trials</w:t>
      </w:r>
    </w:p>
    <w:p w14:paraId="17A94BC8"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The flow diagram illustrating the study selection process and criteria is presented in Figure 1. A total of 267 studies that investigated the association of TIM3 expression in upper GI tract cancer with both prognosis and clinicopathological parameters were retrieved during the database search. Among these studies, 51 duplicate publications </w:t>
      </w:r>
      <w:r>
        <w:rPr>
          <w:rFonts w:ascii="Book Antiqua" w:eastAsia="Book Antiqua" w:hAnsi="Book Antiqua" w:cs="Book Antiqua"/>
          <w:color w:val="000000" w:themeColor="text1"/>
        </w:rPr>
        <w:lastRenderedPageBreak/>
        <w:t>were excluded. Of the remaining 216 articles, 202 were excluded after the review of the abstracts and study methods, since these did not meet the inclusion criteria. Subsequently, the full texts of the remaining 14 articles were reviewed. Of these 14 studies, 5 that did not provide qualifying clinicopathological information were excluded. Finally, the remaining nine studies, which enrolled 2556 patients, were included in the pooled analysis. These studies were published between 2013 and 2022. In each of the eligible studies, TIM3 expression in upper GI tract cancer was reported to be associated with OS. All studies were considered high quality based on the NOS assessment (average score: 8). Table 1 summarizes the characteristics of the selected studies.</w:t>
      </w:r>
    </w:p>
    <w:p w14:paraId="54CCE849" w14:textId="77777777" w:rsidR="00DC05DB" w:rsidRDefault="00DC05DB">
      <w:pPr>
        <w:spacing w:line="360" w:lineRule="auto"/>
        <w:jc w:val="both"/>
        <w:rPr>
          <w:color w:val="000000" w:themeColor="text1"/>
        </w:rPr>
      </w:pPr>
    </w:p>
    <w:p w14:paraId="53F80DF0" w14:textId="77777777" w:rsidR="00DC05DB" w:rsidRDefault="00000000">
      <w:pPr>
        <w:spacing w:line="360" w:lineRule="auto"/>
        <w:jc w:val="both"/>
        <w:rPr>
          <w:i/>
          <w:iCs/>
          <w:color w:val="000000" w:themeColor="text1"/>
        </w:rPr>
      </w:pPr>
      <w:r>
        <w:rPr>
          <w:rFonts w:ascii="Book Antiqua" w:eastAsia="Book Antiqua" w:hAnsi="Book Antiqua" w:cs="Book Antiqua"/>
          <w:b/>
          <w:bCs/>
          <w:i/>
          <w:iCs/>
          <w:color w:val="000000" w:themeColor="text1"/>
        </w:rPr>
        <w:t>Association between TIM3 expression and OS</w:t>
      </w:r>
    </w:p>
    <w:p w14:paraId="6E3B8CB9"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Nine studies were included in the pooled analysis of the association between TIM3 expression and OS (Figure 2). It was noteworthy that no significant positive results were obtained from the literature data provided by Wang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18]</w:t>
      </w:r>
      <w:r>
        <w:rPr>
          <w:rFonts w:ascii="Book Antiqua" w:eastAsia="Book Antiqua" w:hAnsi="Book Antiqua" w:cs="Book Antiqua"/>
          <w:color w:val="000000" w:themeColor="text1"/>
        </w:rPr>
        <w:t xml:space="preserve"> and Park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20"/>
          <w:vertAlign w:val="superscript"/>
        </w:rPr>
        <w:t>[19]</w:t>
      </w:r>
      <w:r>
        <w:rPr>
          <w:rFonts w:ascii="Book Antiqua" w:eastAsia="Book Antiqua" w:hAnsi="Book Antiqua" w:cs="Book Antiqua"/>
          <w:color w:val="000000" w:themeColor="text1"/>
        </w:rPr>
        <w:t xml:space="preserve">. Nonetheless, these results revealed that high TIM3 expression was associated with </w:t>
      </w:r>
      <w:r>
        <w:rPr>
          <w:rFonts w:ascii="Book Antiqua" w:eastAsia="SimSun" w:hAnsi="Book Antiqua" w:cs="Book Antiqua" w:hint="eastAsia"/>
          <w:color w:val="000000" w:themeColor="text1"/>
          <w:lang w:eastAsia="zh-CN"/>
        </w:rPr>
        <w:t xml:space="preserve">a </w:t>
      </w:r>
      <w:r>
        <w:rPr>
          <w:rFonts w:ascii="Book Antiqua" w:eastAsia="Book Antiqua" w:hAnsi="Book Antiqua" w:cs="Book Antiqua"/>
          <w:color w:val="000000" w:themeColor="text1"/>
        </w:rPr>
        <w:t xml:space="preserve">worse prognosis of upper GI tract tumors, with a pooled HR of 1.17 (95%CI: 1.01-1.36). To </w:t>
      </w:r>
      <w:r>
        <w:rPr>
          <w:rFonts w:ascii="Book Antiqua" w:eastAsia="SimSun" w:hAnsi="Book Antiqua" w:cs="Book Antiqua"/>
          <w:color w:val="000000" w:themeColor="text1"/>
          <w:lang w:eastAsia="zh-CN"/>
        </w:rPr>
        <w:t xml:space="preserve">further </w:t>
      </w:r>
      <w:r>
        <w:rPr>
          <w:rFonts w:ascii="Book Antiqua" w:eastAsia="Book Antiqua" w:hAnsi="Book Antiqua" w:cs="Book Antiqua"/>
          <w:color w:val="000000" w:themeColor="text1"/>
        </w:rPr>
        <w:t xml:space="preserve">investigate the prognostic significance of TIM3 in different types of upper GI tumors, we performed </w:t>
      </w:r>
      <w:r>
        <w:rPr>
          <w:rFonts w:ascii="Book Antiqua" w:eastAsia="SimSun" w:hAnsi="Book Antiqua" w:cs="Book Antiqua"/>
          <w:color w:val="000000" w:themeColor="text1"/>
          <w:lang w:eastAsia="zh-CN"/>
        </w:rPr>
        <w:t xml:space="preserve">the </w:t>
      </w:r>
      <w:r>
        <w:rPr>
          <w:rFonts w:ascii="Book Antiqua" w:eastAsia="Book Antiqua" w:hAnsi="Book Antiqua" w:cs="Book Antiqua"/>
          <w:color w:val="000000" w:themeColor="text1"/>
        </w:rPr>
        <w:t>analyses grouped by cancer type</w:t>
      </w:r>
      <w:r>
        <w:rPr>
          <w:rFonts w:ascii="Book Antiqua" w:eastAsia="SimSun" w:hAnsi="Book Antiqua" w:cs="Book Antiqua"/>
          <w:color w:val="000000" w:themeColor="text1"/>
          <w:lang w:eastAsia="zh-CN"/>
        </w:rPr>
        <w:t xml:space="preserve"> (</w:t>
      </w:r>
      <w:r>
        <w:rPr>
          <w:rFonts w:ascii="Book Antiqua" w:hAnsi="Book Antiqua"/>
          <w:color w:val="000000"/>
        </w:rPr>
        <w:t>Supplementary Figures 1 and 2</w:t>
      </w:r>
      <w:r>
        <w:rPr>
          <w:rFonts w:ascii="Book Antiqua" w:hAnsi="Book Antiqua"/>
          <w:color w:val="000000"/>
          <w:lang w:eastAsia="zh-CN"/>
        </w:rPr>
        <w:t>)</w:t>
      </w:r>
      <w:r>
        <w:rPr>
          <w:rFonts w:ascii="Book Antiqua" w:eastAsia="Book Antiqua" w:hAnsi="Book Antiqua" w:cs="Book Antiqua"/>
          <w:color w:val="000000" w:themeColor="text1"/>
        </w:rPr>
        <w:t>.</w:t>
      </w:r>
      <w:r>
        <w:rPr>
          <w:rFonts w:ascii="Book Antiqua" w:eastAsia="SimSun" w:hAnsi="Book Antiqua" w:cs="Book Antiqua"/>
          <w:color w:val="000000" w:themeColor="text1"/>
          <w:lang w:eastAsia="zh-CN"/>
        </w:rPr>
        <w:t xml:space="preserve"> </w:t>
      </w:r>
      <w:r>
        <w:rPr>
          <w:rFonts w:ascii="Book Antiqua" w:hAnsi="Book Antiqua"/>
          <w:color w:val="000000"/>
          <w:lang w:eastAsia="zh-CN"/>
        </w:rPr>
        <w:t>In addition, there were two papers in which the data were obviously biased. To further illustrate the situation, we showed the result after removing these two papers (Supplementary Figure 3</w:t>
      </w:r>
      <w:proofErr w:type="gramStart"/>
      <w:r>
        <w:rPr>
          <w:rFonts w:ascii="Book Antiqua" w:hAnsi="Book Antiqua"/>
          <w:color w:val="000000"/>
          <w:lang w:eastAsia="zh-CN"/>
        </w:rPr>
        <w:t>), and</w:t>
      </w:r>
      <w:proofErr w:type="gramEnd"/>
      <w:r>
        <w:rPr>
          <w:rFonts w:ascii="Book Antiqua" w:hAnsi="Book Antiqua"/>
          <w:color w:val="000000"/>
          <w:lang w:eastAsia="zh-CN"/>
        </w:rPr>
        <w:t xml:space="preserve"> found that high TIM3 expression was significantly associated with poorer survival of upper GI cancer</w:t>
      </w:r>
      <w:r w:rsidRPr="00020B86">
        <w:rPr>
          <w:rFonts w:ascii="Book Antiqua" w:hAnsi="Book Antiqua"/>
          <w:color w:val="000000"/>
          <w:highlight w:val="yellow"/>
          <w:lang w:eastAsia="zh-CN"/>
        </w:rPr>
        <w:t>s</w:t>
      </w:r>
      <w:r>
        <w:rPr>
          <w:rFonts w:ascii="Book Antiqua" w:hAnsi="Book Antiqua"/>
          <w:color w:val="000000"/>
          <w:lang w:eastAsia="zh-CN"/>
        </w:rPr>
        <w:t>. The abovementioned results indicate</w:t>
      </w:r>
      <w:r>
        <w:rPr>
          <w:rFonts w:ascii="Book Antiqua" w:eastAsia="Book Antiqua" w:hAnsi="Book Antiqua" w:cs="Book Antiqua"/>
          <w:color w:val="000000" w:themeColor="text1"/>
        </w:rPr>
        <w:t xml:space="preserve"> that high expression of TIM3 may be a predictor of poor prognosis, shorter survival, and a higher risk of recurrence in patients with upper GI cancer</w:t>
      </w:r>
      <w:r w:rsidRPr="00020B86">
        <w:rPr>
          <w:rFonts w:ascii="Book Antiqua" w:eastAsia="SimSun" w:hAnsi="Book Antiqua" w:cs="Book Antiqua"/>
          <w:color w:val="000000" w:themeColor="text1"/>
          <w:highlight w:val="yellow"/>
          <w:lang w:eastAsia="zh-CN"/>
        </w:rPr>
        <w:t>s</w:t>
      </w:r>
      <w:r>
        <w:rPr>
          <w:rFonts w:ascii="Book Antiqua" w:eastAsia="Book Antiqua" w:hAnsi="Book Antiqua" w:cs="Book Antiqua"/>
          <w:color w:val="000000" w:themeColor="text1"/>
        </w:rPr>
        <w:t>.</w:t>
      </w:r>
    </w:p>
    <w:p w14:paraId="7D927B8E" w14:textId="77777777" w:rsidR="00DC05DB" w:rsidRDefault="00DC05DB">
      <w:pPr>
        <w:spacing w:line="360" w:lineRule="auto"/>
        <w:ind w:firstLine="480"/>
        <w:jc w:val="both"/>
        <w:rPr>
          <w:color w:val="000000" w:themeColor="text1"/>
        </w:rPr>
      </w:pPr>
    </w:p>
    <w:p w14:paraId="779AFB95" w14:textId="77777777" w:rsidR="00DC05DB" w:rsidRDefault="00000000">
      <w:pPr>
        <w:spacing w:line="360" w:lineRule="auto"/>
        <w:jc w:val="both"/>
        <w:rPr>
          <w:i/>
          <w:iCs/>
          <w:color w:val="000000" w:themeColor="text1"/>
        </w:rPr>
      </w:pPr>
      <w:r>
        <w:rPr>
          <w:rFonts w:ascii="Book Antiqua" w:eastAsia="Book Antiqua" w:hAnsi="Book Antiqua" w:cs="Book Antiqua"/>
          <w:b/>
          <w:bCs/>
          <w:i/>
          <w:iCs/>
          <w:color w:val="000000" w:themeColor="text1"/>
        </w:rPr>
        <w:t>Association between TIM3 expression and clinicopathological characteristics</w:t>
      </w:r>
    </w:p>
    <w:p w14:paraId="0FB26CDB"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All studies included in the meta-analysis had analyzed data on TIM3 expression, and at least one clinicopathological parameter for upper GI tract tumors (Figures 3 and 4, Table 2). TIM3 expression was associated with the T and N </w:t>
      </w:r>
      <w:proofErr w:type="gramStart"/>
      <w:r>
        <w:rPr>
          <w:rFonts w:ascii="Book Antiqua" w:eastAsia="Book Antiqua" w:hAnsi="Book Antiqua" w:cs="Book Antiqua"/>
          <w:color w:val="000000" w:themeColor="text1"/>
        </w:rPr>
        <w:t>stage, and</w:t>
      </w:r>
      <w:proofErr w:type="gramEnd"/>
      <w:r>
        <w:rPr>
          <w:rFonts w:ascii="Book Antiqua" w:eastAsia="Book Antiqua" w:hAnsi="Book Antiqua" w:cs="Book Antiqua"/>
          <w:color w:val="000000" w:themeColor="text1"/>
        </w:rPr>
        <w:t xml:space="preserve"> was significantly correlated with the TNM stage. However, among the other clinicopathological </w:t>
      </w:r>
      <w:r>
        <w:rPr>
          <w:rFonts w:ascii="Book Antiqua" w:eastAsia="Book Antiqua" w:hAnsi="Book Antiqua" w:cs="Book Antiqua"/>
          <w:color w:val="000000" w:themeColor="text1"/>
        </w:rPr>
        <w:lastRenderedPageBreak/>
        <w:t>parameters, TIM3 expression was not associated with sex, age, tumor location, size, or grade.</w:t>
      </w:r>
    </w:p>
    <w:p w14:paraId="4B06CC6C"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On analysis of the T stage for assessing the degree of primary tumor invasiveness, TIM3 expression was found to be associated with the T stage (T1-2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T3-4, OR: 1.39, 95%CI: 1.06-1.83; fixed effects model). Furthermore, TIM3 expression was higher in the T3-4 group compared to the T1-2 group, although the difference was not statistically significant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This result suggests the potential role of TIM3 expression in the depth of tumor invasion of upper GI tract tumors. The analysis of the distribution of involved lymph nodes (stage N) revealed that TIM3 expression was greater in the N2-3 group compared to the N0-1 group (N0-1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N2-3, OR: 1.5, 95%CI: 1.11–2.01; random effects model), although the difference was not statistically significant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Furthermore, the results suggested that TIM3 expression may be correlated with the N stage in upper GI tract tumors. However, further studies are required to explore this association. In further analyses, TIM3 overexpression was found to be correlated with the TNM stage, since TIM3 expression was higher in the III/IV stage of gastric cancer compared to the I/II stage (I/II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III/IV, OR: 1.21, 95%CI: 0.63–2.33, random-effects model). Therefore, TIM3 overexpression may play an important role in the development of upper GI tract tumors.</w:t>
      </w:r>
    </w:p>
    <w:p w14:paraId="5EDD3448" w14:textId="77777777" w:rsidR="00DC05DB" w:rsidRDefault="00DC05DB">
      <w:pPr>
        <w:spacing w:line="360" w:lineRule="auto"/>
        <w:ind w:firstLine="480"/>
        <w:jc w:val="both"/>
        <w:rPr>
          <w:color w:val="000000" w:themeColor="text1"/>
        </w:rPr>
      </w:pPr>
    </w:p>
    <w:p w14:paraId="672BA152" w14:textId="77777777" w:rsidR="00DC05DB" w:rsidRDefault="00000000">
      <w:pPr>
        <w:spacing w:line="360" w:lineRule="auto"/>
        <w:jc w:val="both"/>
        <w:rPr>
          <w:i/>
          <w:iCs/>
          <w:color w:val="000000" w:themeColor="text1"/>
        </w:rPr>
      </w:pPr>
      <w:r>
        <w:rPr>
          <w:rFonts w:ascii="Book Antiqua" w:eastAsia="Book Antiqua" w:hAnsi="Book Antiqua" w:cs="Book Antiqua"/>
          <w:b/>
          <w:bCs/>
          <w:i/>
          <w:iCs/>
          <w:color w:val="000000" w:themeColor="text1"/>
        </w:rPr>
        <w:t>Sensitivity analysis and publication bias assessment</w:t>
      </w:r>
    </w:p>
    <w:p w14:paraId="0FD8A79A"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In the sensitivity analysis, the pooled analysis results remained stable and consistent across the different statistical models and methods, reinforcing the reliability of the results. Furthermore, the funnel plot and </w:t>
      </w:r>
      <w:proofErr w:type="spellStart"/>
      <w:r>
        <w:rPr>
          <w:rFonts w:ascii="Book Antiqua" w:eastAsia="Book Antiqua" w:hAnsi="Book Antiqua" w:cs="Book Antiqua"/>
          <w:color w:val="000000" w:themeColor="text1"/>
        </w:rPr>
        <w:t>Begg’s</w:t>
      </w:r>
      <w:proofErr w:type="spellEnd"/>
      <w:r>
        <w:rPr>
          <w:rFonts w:ascii="Book Antiqua" w:eastAsia="Book Antiqua" w:hAnsi="Book Antiqua" w:cs="Book Antiqua"/>
          <w:color w:val="000000" w:themeColor="text1"/>
        </w:rPr>
        <w:t xml:space="preserve"> rank correlation test revealed no significant effect of potential publication bias on the results of the meta-analysis (Figure 5).</w:t>
      </w:r>
    </w:p>
    <w:p w14:paraId="05A26623" w14:textId="77777777" w:rsidR="00DC05DB" w:rsidRDefault="00DC05DB">
      <w:pPr>
        <w:spacing w:line="360" w:lineRule="auto"/>
        <w:ind w:firstLine="480"/>
        <w:jc w:val="both"/>
        <w:rPr>
          <w:color w:val="000000" w:themeColor="text1"/>
        </w:rPr>
      </w:pPr>
    </w:p>
    <w:p w14:paraId="4235001E" w14:textId="77777777" w:rsidR="00DC05DB"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DISCUSSION</w:t>
      </w:r>
    </w:p>
    <w:p w14:paraId="0652499B"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Upper GI tract tumors are a group of malignant tumors with a high incidence and associated mortality. The pathogenic mechanism of these tumors is complex, and intricately linked to the immune system. The immune system plays a crucial role in the </w:t>
      </w:r>
      <w:r>
        <w:rPr>
          <w:rFonts w:ascii="Book Antiqua" w:eastAsia="Book Antiqua" w:hAnsi="Book Antiqua" w:cs="Book Antiqua"/>
          <w:color w:val="000000" w:themeColor="text1"/>
        </w:rPr>
        <w:lastRenderedPageBreak/>
        <w:t xml:space="preserve">initiation, advancement, and spread of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26,27]</w:t>
      </w:r>
      <w:r>
        <w:rPr>
          <w:rFonts w:ascii="Book Antiqua" w:eastAsia="Book Antiqua" w:hAnsi="Book Antiqua" w:cs="Book Antiqua"/>
          <w:color w:val="000000" w:themeColor="text1"/>
        </w:rPr>
        <w:t xml:space="preserve">. As cancer advances, exosomes released by the tumor cells not only facilitate tumor immune evasion but also serve as biomarkers of autoimmune </w:t>
      </w:r>
      <w:proofErr w:type="gramStart"/>
      <w:r>
        <w:rPr>
          <w:rFonts w:ascii="Book Antiqua" w:eastAsia="Book Antiqua" w:hAnsi="Book Antiqua" w:cs="Book Antiqua"/>
          <w:color w:val="000000" w:themeColor="text1"/>
        </w:rPr>
        <w:t>response</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28]</w:t>
      </w:r>
      <w:r>
        <w:rPr>
          <w:rFonts w:ascii="Book Antiqua" w:eastAsia="Book Antiqua" w:hAnsi="Book Antiqua" w:cs="Book Antiqua"/>
          <w:color w:val="000000" w:themeColor="text1"/>
        </w:rPr>
        <w:t xml:space="preserve">. Notably, serum pepsinogen, a biomarker, is widely believed to reflect the pathological changes in the </w:t>
      </w:r>
      <w:proofErr w:type="gramStart"/>
      <w:r>
        <w:rPr>
          <w:rFonts w:ascii="Book Antiqua" w:eastAsia="Book Antiqua" w:hAnsi="Book Antiqua" w:cs="Book Antiqua"/>
          <w:color w:val="000000" w:themeColor="text1"/>
        </w:rPr>
        <w:t>stomach</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29]</w:t>
      </w:r>
      <w:r>
        <w:rPr>
          <w:rFonts w:ascii="Book Antiqua" w:eastAsia="Book Antiqua" w:hAnsi="Book Antiqua" w:cs="Book Antiqua"/>
          <w:color w:val="000000" w:themeColor="text1"/>
        </w:rPr>
        <w:t xml:space="preserve">. Biomarkers are indispensable in cancer diagnosis and treatment, aiding in early diagnosis, evaluating therapeutic efficacy, predicting disease progression, and offering vital information for personalized treatment. The immunomodulatory molecule TIM3, which is an important immune </w:t>
      </w:r>
      <w:proofErr w:type="gramStart"/>
      <w:r>
        <w:rPr>
          <w:rFonts w:ascii="Book Antiqua" w:eastAsia="Book Antiqua" w:hAnsi="Book Antiqua" w:cs="Book Antiqua"/>
          <w:color w:val="000000" w:themeColor="text1"/>
        </w:rPr>
        <w:t>checkpoint</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30,31]</w:t>
      </w:r>
      <w:r>
        <w:rPr>
          <w:rFonts w:ascii="Book Antiqua" w:eastAsia="Book Antiqua" w:hAnsi="Book Antiqua" w:cs="Book Antiqua"/>
          <w:color w:val="000000" w:themeColor="text1"/>
        </w:rPr>
        <w:t xml:space="preserve">, plays a key role in tumor immune evasion and treatment resistance, and is expressed in both serum and tumors. Furthermore, TIM3 can suppress tumor immune responses by modulating the function of T helper 1 CD4 T cells and cytotoxic CD8 T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32]</w:t>
      </w:r>
      <w:r>
        <w:rPr>
          <w:rFonts w:ascii="Book Antiqua" w:eastAsia="Book Antiqua" w:hAnsi="Book Antiqua" w:cs="Book Antiqua"/>
          <w:color w:val="000000" w:themeColor="text1"/>
        </w:rPr>
        <w:t xml:space="preserve">. Studies conducted in the context of melanoma, and head and neck cancers have revealed that TIM3 can limit the antitumor </w:t>
      </w:r>
      <w:proofErr w:type="gramStart"/>
      <w:r>
        <w:rPr>
          <w:rFonts w:ascii="Book Antiqua" w:eastAsia="Book Antiqua" w:hAnsi="Book Antiqua" w:cs="Book Antiqua"/>
          <w:color w:val="000000" w:themeColor="text1"/>
        </w:rPr>
        <w:t>immunity</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33,34]</w:t>
      </w:r>
      <w:r>
        <w:rPr>
          <w:rFonts w:ascii="Book Antiqua" w:eastAsia="Book Antiqua" w:hAnsi="Book Antiqua" w:cs="Book Antiqua"/>
          <w:color w:val="000000" w:themeColor="text1"/>
        </w:rPr>
        <w:t xml:space="preserve">. TIM3 enhances the growth of hepatocellular carcinoma by inducing the functional blockade of natural killer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35]</w:t>
      </w:r>
      <w:r>
        <w:rPr>
          <w:rFonts w:ascii="Book Antiqua" w:eastAsia="Book Antiqua" w:hAnsi="Book Antiqua" w:cs="Book Antiqua"/>
          <w:color w:val="000000" w:themeColor="text1"/>
        </w:rPr>
        <w:t xml:space="preserve">. Furthermore, TIM3 has been identified as a marker of microsatellite-stable colorectal carcinoma with immune failure and distinct clinicopathological </w:t>
      </w:r>
      <w:proofErr w:type="gramStart"/>
      <w:r>
        <w:rPr>
          <w:rFonts w:ascii="Book Antiqua" w:eastAsia="Book Antiqua" w:hAnsi="Book Antiqua" w:cs="Book Antiqua"/>
          <w:color w:val="000000" w:themeColor="text1"/>
        </w:rPr>
        <w:t>features</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36]</w:t>
      </w:r>
      <w:r>
        <w:rPr>
          <w:rFonts w:ascii="Book Antiqua" w:eastAsia="Book Antiqua" w:hAnsi="Book Antiqua" w:cs="Book Antiqua"/>
          <w:color w:val="000000" w:themeColor="text1"/>
        </w:rPr>
        <w:t xml:space="preserve">. Moreover, TIM3, which acts with its ligand CEA cell adhesion molecule 1, can suppress T cells, thereby downregulating antitumor </w:t>
      </w:r>
      <w:proofErr w:type="gramStart"/>
      <w:r>
        <w:rPr>
          <w:rFonts w:ascii="Book Antiqua" w:eastAsia="Book Antiqua" w:hAnsi="Book Antiqua" w:cs="Book Antiqua"/>
          <w:color w:val="000000" w:themeColor="text1"/>
        </w:rPr>
        <w:t>immunity</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37,38]</w:t>
      </w:r>
      <w:r>
        <w:rPr>
          <w:rFonts w:ascii="Book Antiqua" w:eastAsia="Book Antiqua" w:hAnsi="Book Antiqua" w:cs="Book Antiqua"/>
          <w:color w:val="000000" w:themeColor="text1"/>
        </w:rPr>
        <w:t xml:space="preserve">. Of note, the serum levels of TIM3 and Gal-9 are significantly elevated in patients with systemic </w:t>
      </w:r>
      <w:proofErr w:type="spellStart"/>
      <w:r>
        <w:rPr>
          <w:rFonts w:ascii="Book Antiqua" w:eastAsia="Book Antiqua" w:hAnsi="Book Antiqua" w:cs="Book Antiqua"/>
          <w:color w:val="000000" w:themeColor="text1"/>
        </w:rPr>
        <w:t>mastocytosis</w:t>
      </w:r>
      <w:proofErr w:type="spellEnd"/>
      <w:r>
        <w:rPr>
          <w:rFonts w:ascii="Book Antiqua" w:eastAsia="Book Antiqua" w:hAnsi="Book Antiqua" w:cs="Book Antiqua"/>
          <w:color w:val="000000" w:themeColor="text1"/>
        </w:rPr>
        <w:t xml:space="preserve">, suggesting the potential value of TIM3 in the diagnosis and treatment of this </w:t>
      </w:r>
      <w:proofErr w:type="gramStart"/>
      <w:r>
        <w:rPr>
          <w:rFonts w:ascii="Book Antiqua" w:eastAsia="Book Antiqua" w:hAnsi="Book Antiqua" w:cs="Book Antiqua"/>
          <w:color w:val="000000" w:themeColor="text1"/>
        </w:rPr>
        <w:t>condition</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39]</w:t>
      </w:r>
      <w:r>
        <w:rPr>
          <w:rFonts w:ascii="Book Antiqua" w:eastAsia="Book Antiqua" w:hAnsi="Book Antiqua" w:cs="Book Antiqua"/>
          <w:color w:val="000000" w:themeColor="text1"/>
        </w:rPr>
        <w:t>. However, the prognostic significance of TIM3 in upper GI tract tumors remain inconsistent. Therefore, we conducted a meta-analysis of the available evidence to comprehensively evaluate the potential prognostic value of TIM3 in patients with upper GI tract tumors. These findings may provide insights for guiding clinical treatment decisions and individualized therapy.</w:t>
      </w:r>
    </w:p>
    <w:p w14:paraId="1DDE7675"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A total of nine independent studies, which enrolled 2556 patients with upper GI tract tumors, were included. In the pooled analysis, high TIM3 expression was associated with worse prognosis. Specifically, a poorer prognosis was observed in patients with high TIM3 expression, with an HR of 1.17 (95%CI: 1.01-1.36). This suggests that high TIM3 expression may be a predictor of poor </w:t>
      </w:r>
      <w:proofErr w:type="gramStart"/>
      <w:r>
        <w:rPr>
          <w:rFonts w:ascii="Book Antiqua" w:eastAsia="Book Antiqua" w:hAnsi="Book Antiqua" w:cs="Book Antiqua"/>
          <w:color w:val="000000" w:themeColor="text1"/>
        </w:rPr>
        <w:t>prognosis, and</w:t>
      </w:r>
      <w:proofErr w:type="gramEnd"/>
      <w:r>
        <w:rPr>
          <w:rFonts w:ascii="Book Antiqua" w:eastAsia="Book Antiqua" w:hAnsi="Book Antiqua" w:cs="Book Antiqua"/>
          <w:color w:val="000000" w:themeColor="text1"/>
        </w:rPr>
        <w:t xml:space="preserve"> is associated with shorter survival and higher risk of recurrence in these patients. Of note, as shown in Figure 5, the results </w:t>
      </w:r>
      <w:r>
        <w:rPr>
          <w:rFonts w:ascii="Book Antiqua" w:eastAsia="Book Antiqua" w:hAnsi="Book Antiqua" w:cs="Book Antiqua"/>
          <w:color w:val="000000" w:themeColor="text1"/>
        </w:rPr>
        <w:lastRenderedPageBreak/>
        <w:t xml:space="preserve">were not very good. Hence, the investigators searched for the reason, and identified some deviations on the data obtained from two studies (Wang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18]</w:t>
      </w:r>
      <w:r>
        <w:rPr>
          <w:rFonts w:ascii="Book Antiqua" w:eastAsia="Book Antiqua" w:hAnsi="Book Antiqua" w:cs="Book Antiqua"/>
          <w:color w:val="000000" w:themeColor="text1"/>
        </w:rPr>
        <w:t xml:space="preserve"> and Park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20"/>
          <w:vertAlign w:val="superscript"/>
        </w:rPr>
        <w:t>[19]</w:t>
      </w:r>
      <w:r>
        <w:rPr>
          <w:rFonts w:ascii="Book Antiqua" w:eastAsia="Book Antiqua" w:hAnsi="Book Antiqua" w:cs="Book Antiqua"/>
          <w:color w:val="000000" w:themeColor="text1"/>
        </w:rPr>
        <w:t xml:space="preserve">). A graph was drawn to determine the effects of deleting these two articles, and it was observed that the results were very relevant to the </w:t>
      </w:r>
      <w:proofErr w:type="spellStart"/>
      <w:r>
        <w:rPr>
          <w:rFonts w:ascii="Book Antiqua" w:eastAsia="Book Antiqua" w:hAnsi="Book Antiqua" w:cs="Book Antiqua"/>
          <w:color w:val="000000" w:themeColor="text1"/>
        </w:rPr>
        <w:t>drawn</w:t>
      </w:r>
      <w:proofErr w:type="spellEnd"/>
      <w:r>
        <w:rPr>
          <w:rFonts w:ascii="Book Antiqua" w:eastAsia="Book Antiqua" w:hAnsi="Book Antiqua" w:cs="Book Antiqua"/>
          <w:color w:val="000000" w:themeColor="text1"/>
        </w:rPr>
        <w:t xml:space="preserve"> conclusions. Thus, it would be worthwhile to further investigate TIM3. It was notable that previous studies have identified the combination of TIM3, LAG-3, and others as potential </w:t>
      </w:r>
      <w:proofErr w:type="gramStart"/>
      <w:r>
        <w:rPr>
          <w:rFonts w:ascii="Book Antiqua" w:eastAsia="Book Antiqua" w:hAnsi="Book Antiqua" w:cs="Book Antiqua"/>
          <w:color w:val="000000" w:themeColor="text1"/>
        </w:rPr>
        <w:t>biomarkers</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40]</w:t>
      </w:r>
      <w:r>
        <w:rPr>
          <w:rFonts w:ascii="Book Antiqua" w:eastAsia="Book Antiqua" w:hAnsi="Book Antiqua" w:cs="Book Antiqua"/>
          <w:color w:val="000000" w:themeColor="text1"/>
        </w:rPr>
        <w:t>.</w:t>
      </w:r>
    </w:p>
    <w:p w14:paraId="7A73345A"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In the subgroup analysis, high expression of TIM3 was associated with a worse prognosis of patients with esophageal, gastric, and combined esophagogastric cancers. This highlights the potential role of TIM3 in the development and progression of these tumor </w:t>
      </w:r>
      <w:proofErr w:type="gramStart"/>
      <w:r>
        <w:rPr>
          <w:rFonts w:ascii="Book Antiqua" w:eastAsia="Book Antiqua" w:hAnsi="Book Antiqua" w:cs="Book Antiqua"/>
          <w:color w:val="000000" w:themeColor="text1"/>
        </w:rPr>
        <w:t>types, and</w:t>
      </w:r>
      <w:proofErr w:type="gramEnd"/>
      <w:r>
        <w:rPr>
          <w:rFonts w:ascii="Book Antiqua" w:eastAsia="Book Antiqua" w:hAnsi="Book Antiqua" w:cs="Book Antiqua"/>
          <w:color w:val="000000" w:themeColor="text1"/>
        </w:rPr>
        <w:t xml:space="preserve"> underlines its clinical relevance as a potential marker for prognostic assessment and treatment selection.</w:t>
      </w:r>
    </w:p>
    <w:p w14:paraId="30AC5656"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High expression of TIM3 may suggest immune escape and an immunosuppressive milieu in the tumor microenvironment. In this study, we found a significant correlation between high expression of TIM3 and the TNM staging of upper GI tumors. Given the pivotal role of TIM3 in tumor immune evasion and treatment resistance, we hypothesize that high expression of TIM3 may be intricately linked with the TNM staging of the tumor. TIM3 inhibits T cell activation and </w:t>
      </w:r>
      <w:proofErr w:type="gramStart"/>
      <w:r>
        <w:rPr>
          <w:rFonts w:ascii="Book Antiqua" w:eastAsia="Book Antiqua" w:hAnsi="Book Antiqua" w:cs="Book Antiqua"/>
          <w:color w:val="000000" w:themeColor="text1"/>
        </w:rPr>
        <w:t>function, and</w:t>
      </w:r>
      <w:proofErr w:type="gramEnd"/>
      <w:r>
        <w:rPr>
          <w:rFonts w:ascii="Book Antiqua" w:eastAsia="Book Antiqua" w:hAnsi="Book Antiqua" w:cs="Book Antiqua"/>
          <w:color w:val="000000" w:themeColor="text1"/>
        </w:rPr>
        <w:t xml:space="preserve"> induces immune tolerance by binding to its ligand Gal-9. Gal-9 promotes the persistence of PD-1 + TIM3 + T cells by binding to PD-1, and impairing Gal-9/TIM3-induced cell </w:t>
      </w:r>
      <w:proofErr w:type="gramStart"/>
      <w:r>
        <w:rPr>
          <w:rFonts w:ascii="Book Antiqua" w:eastAsia="Book Antiqua" w:hAnsi="Book Antiqua" w:cs="Book Antiqua"/>
          <w:color w:val="000000" w:themeColor="text1"/>
        </w:rPr>
        <w:t>death</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41]</w:t>
      </w:r>
      <w:r>
        <w:rPr>
          <w:rFonts w:ascii="Book Antiqua" w:eastAsia="Book Antiqua" w:hAnsi="Book Antiqua" w:cs="Book Antiqua"/>
          <w:color w:val="000000" w:themeColor="text1"/>
        </w:rPr>
        <w:t xml:space="preserve">. Furthermore, TIM3 and Gal9 have exhibited the potential as predictive biomarkers in different cancers. In-depth characterization of the TIM3/Gal9 signaling in cancers, and its underlying mechanisms can help identify patients who are likely to respond to the blockade of this pathway, and facilitate the design of combination </w:t>
      </w:r>
      <w:proofErr w:type="gramStart"/>
      <w:r>
        <w:rPr>
          <w:rFonts w:ascii="Book Antiqua" w:eastAsia="Book Antiqua" w:hAnsi="Book Antiqua" w:cs="Book Antiqua"/>
          <w:color w:val="000000" w:themeColor="text1"/>
        </w:rPr>
        <w:t>therapies</w:t>
      </w:r>
      <w:r>
        <w:rPr>
          <w:rFonts w:ascii="Book Antiqua" w:eastAsia="Book Antiqua" w:hAnsi="Book Antiqua" w:cs="Book Antiqua"/>
          <w:color w:val="000000" w:themeColor="text1"/>
          <w:szCs w:val="20"/>
          <w:vertAlign w:val="superscript"/>
        </w:rPr>
        <w:t>[</w:t>
      </w:r>
      <w:proofErr w:type="gramEnd"/>
      <w:r>
        <w:rPr>
          <w:rFonts w:ascii="Book Antiqua" w:eastAsia="Book Antiqua" w:hAnsi="Book Antiqua" w:cs="Book Antiqua"/>
          <w:color w:val="000000" w:themeColor="text1"/>
          <w:szCs w:val="20"/>
          <w:vertAlign w:val="superscript"/>
        </w:rPr>
        <w:t>42]</w:t>
      </w:r>
      <w:r>
        <w:rPr>
          <w:rFonts w:ascii="Book Antiqua" w:eastAsia="Book Antiqua" w:hAnsi="Book Antiqua" w:cs="Book Antiqua"/>
          <w:color w:val="000000" w:themeColor="text1"/>
        </w:rPr>
        <w:t>. High expression of TIM3 may lead to the suppression of immune response, and diminishing host immune clearance of tumors, thereby promoting tumor growth and proliferation. This may explain the association between high TIM3 expression and poor prognosis of upper GI tract tumors. This further emphasizes the significance of TIM3 as a potential therapeutic target and prognostic biomarker.</w:t>
      </w:r>
    </w:p>
    <w:p w14:paraId="5E78DB9C"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Through a meta-analysis approach, our study comprehensively assessed the prognostic significance of TIM3 in upper GI tract tumors. Our findings suggest that TIM3 </w:t>
      </w:r>
      <w:r>
        <w:rPr>
          <w:rFonts w:ascii="Book Antiqua" w:eastAsia="Book Antiqua" w:hAnsi="Book Antiqua" w:cs="Book Antiqua"/>
          <w:color w:val="000000" w:themeColor="text1"/>
        </w:rPr>
        <w:lastRenderedPageBreak/>
        <w:t xml:space="preserve">might be a biomarker warranting further attention. It not only offers a novel reference for classifying and staging upper GI tract tumors but may also shed light on the potential immunotherapeutic strategies for these tumors. Especially as immunotherapy becomes a focal point of cancer treatment, TIM3, as one of the immune checkpoints and a regulator of T-cell responses in the tumor microenvironment, may become an important test </w:t>
      </w:r>
      <w:proofErr w:type="gramStart"/>
      <w:r>
        <w:rPr>
          <w:rFonts w:ascii="Book Antiqua" w:eastAsia="Book Antiqua" w:hAnsi="Book Antiqua" w:cs="Book Antiqua"/>
          <w:color w:val="000000" w:themeColor="text1"/>
        </w:rPr>
        <w:t>similar to</w:t>
      </w:r>
      <w:proofErr w:type="gramEnd"/>
      <w:r>
        <w:rPr>
          <w:rFonts w:ascii="Book Antiqua" w:eastAsia="Book Antiqua" w:hAnsi="Book Antiqua" w:cs="Book Antiqua"/>
          <w:color w:val="000000" w:themeColor="text1"/>
        </w:rPr>
        <w:t xml:space="preserve"> PD-1/PD-L1. Such checkpoints are commonly associated with immune escape in cancer patients, and therefore, therapies targeting them may provide significant clinical benefits.</w:t>
      </w:r>
    </w:p>
    <w:p w14:paraId="5D8DDC9E"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Before embarking on this research, the existing literature presented conflicting views regarding the role of TIM3 in upper GI tract tumors. At present, we do not fully understand the specific role of TIM3 in various upper GI tract tumors and its potential interactions with other immune checkpoints, such as PD-1/PD-L1. We aim to consolidate a stronger evidence base in this area by systematically conducting meta-analyses covering a wider range of literature, employing state-of-the-art statistical techniques, and </w:t>
      </w:r>
      <w:proofErr w:type="gramStart"/>
      <w:r>
        <w:rPr>
          <w:rFonts w:ascii="Book Antiqua" w:eastAsia="Book Antiqua" w:hAnsi="Book Antiqua" w:cs="Book Antiqua"/>
          <w:color w:val="000000" w:themeColor="text1"/>
        </w:rPr>
        <w:t>taking into account</w:t>
      </w:r>
      <w:proofErr w:type="gramEnd"/>
      <w:r>
        <w:rPr>
          <w:rFonts w:ascii="Book Antiqua" w:eastAsia="Book Antiqua" w:hAnsi="Book Antiqua" w:cs="Book Antiqua"/>
          <w:color w:val="000000" w:themeColor="text1"/>
        </w:rPr>
        <w:t xml:space="preserve"> a variety of potential confounding factors. Recognizing the role of TIM3 as an immunomodulatory molecule and its expression trends in different tumors, we believe that studies around TIM3 will increase in the future. The benefits of TIM3-targeted therapeutic strategies may not be limited to upper GI tract tumors but also to other cancer types. In addition, TIM3-focused combination therapies, such as those paired with PD-1/PD-L1 inhibitors, may become a hot research topic. As more studies unravel the function of TIM3 and its interrelationships with other immune checkpoints, it may become an important target in cancer therapy. TIM3 is expected to serve as a biomarker to predict prognosis and provide guidance for immunotherapy and even chemotherapy.</w:t>
      </w:r>
    </w:p>
    <w:p w14:paraId="26557749" w14:textId="77777777" w:rsidR="00DC05DB" w:rsidRDefault="00000000">
      <w:pPr>
        <w:spacing w:line="360" w:lineRule="auto"/>
        <w:ind w:firstLine="270"/>
        <w:jc w:val="both"/>
        <w:rPr>
          <w:color w:val="000000" w:themeColor="text1"/>
        </w:rPr>
      </w:pPr>
      <w:r>
        <w:rPr>
          <w:rFonts w:ascii="Book Antiqua" w:eastAsia="Book Antiqua" w:hAnsi="Book Antiqua" w:cs="Book Antiqua"/>
          <w:color w:val="000000" w:themeColor="text1"/>
        </w:rPr>
        <w:t xml:space="preserve">Although our study provides strong evidence for the role of TIM3 in upper GI tract tumors, it also has its limitations. First, the studies included in the meta-analysis were conducted only in Asian populations. Thus, our conclusions may not be entirely generalizable to other ethnic groups. Second, the studies included in the meta-analysis were somewhat heterogeneous in terms of study design, sample source, and experimental method. Moreover, the experimental method used was IHC, which is a less </w:t>
      </w:r>
      <w:r>
        <w:rPr>
          <w:rFonts w:ascii="Book Antiqua" w:eastAsia="Book Antiqua" w:hAnsi="Book Antiqua" w:cs="Book Antiqua"/>
          <w:color w:val="000000" w:themeColor="text1"/>
        </w:rPr>
        <w:lastRenderedPageBreak/>
        <w:t>accurate method for quantitative analysis compared to other protein analysis methods. In addition, TIM3-related clinical drugs are not widely available, and further drug development is needed.</w:t>
      </w:r>
    </w:p>
    <w:p w14:paraId="37CDF5D9" w14:textId="77777777" w:rsidR="00DC05DB" w:rsidRDefault="00DC05DB">
      <w:pPr>
        <w:spacing w:line="360" w:lineRule="auto"/>
        <w:ind w:firstLine="480"/>
        <w:jc w:val="both"/>
        <w:rPr>
          <w:color w:val="000000" w:themeColor="text1"/>
        </w:rPr>
      </w:pPr>
    </w:p>
    <w:p w14:paraId="735D66DD" w14:textId="77777777" w:rsidR="00DC05DB"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CONCLUSION</w:t>
      </w:r>
    </w:p>
    <w:p w14:paraId="61400EBD"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In conclusion, the meta-analysis results suggest that high TIM3 expression in upper GI tract tumors is strongly associated with poor prognosis. The findings underline the role of TIM3 as a potential prognostic marker, which may provide guidance in the development of individualized treatment and immunotherapy strategies. However, more studies are needed to explore the prognostic value of TIM3 expression in upper GI tract tumors. Furthermore, unraveling its underlying mechanisms may provide a theoretical basis for the development of therapeutic strategies that target TIM3.</w:t>
      </w:r>
    </w:p>
    <w:p w14:paraId="71825C92" w14:textId="77777777" w:rsidR="00DC05DB" w:rsidRDefault="00DC05DB">
      <w:pPr>
        <w:jc w:val="both"/>
      </w:pPr>
    </w:p>
    <w:p w14:paraId="31264D2B" w14:textId="77777777" w:rsidR="00DC05DB"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ARTICLE HIGHLIGHTS</w:t>
      </w:r>
    </w:p>
    <w:p w14:paraId="256B357A" w14:textId="77777777" w:rsidR="00DC05DB" w:rsidRDefault="00000000">
      <w:pPr>
        <w:spacing w:line="360" w:lineRule="auto"/>
        <w:jc w:val="both"/>
        <w:rPr>
          <w:color w:val="000000" w:themeColor="text1"/>
        </w:rPr>
      </w:pPr>
      <w:r>
        <w:rPr>
          <w:rFonts w:ascii="Book Antiqua" w:eastAsia="Book Antiqua" w:hAnsi="Book Antiqua" w:cs="Book Antiqua"/>
          <w:b/>
          <w:i/>
          <w:color w:val="000000" w:themeColor="text1"/>
        </w:rPr>
        <w:t>Research background</w:t>
      </w:r>
    </w:p>
    <w:p w14:paraId="1CEF4E68"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T cell immunoglobulin and mucin-domain containing-3 (TIM3) is an immune checkpoint molecule. The prognostic value of TIM3 expression in upper gastrointestinal (GI) tract tumors has not been comprehensively analyzed.</w:t>
      </w:r>
    </w:p>
    <w:p w14:paraId="239FB164" w14:textId="77777777" w:rsidR="00DC05DB" w:rsidRDefault="00DC05DB">
      <w:pPr>
        <w:spacing w:line="360" w:lineRule="auto"/>
        <w:jc w:val="both"/>
        <w:rPr>
          <w:color w:val="000000" w:themeColor="text1"/>
        </w:rPr>
      </w:pPr>
    </w:p>
    <w:p w14:paraId="4065195A" w14:textId="77777777" w:rsidR="00DC05DB" w:rsidRDefault="00000000">
      <w:pPr>
        <w:spacing w:line="360" w:lineRule="auto"/>
        <w:jc w:val="both"/>
        <w:rPr>
          <w:color w:val="000000" w:themeColor="text1"/>
        </w:rPr>
      </w:pPr>
      <w:r>
        <w:rPr>
          <w:rFonts w:ascii="Book Antiqua" w:eastAsia="Book Antiqua" w:hAnsi="Book Antiqua" w:cs="Book Antiqua"/>
          <w:b/>
          <w:i/>
          <w:color w:val="000000" w:themeColor="text1"/>
        </w:rPr>
        <w:t>Research motivation</w:t>
      </w:r>
    </w:p>
    <w:p w14:paraId="018A6B3D"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The study clarifies the prognostic value of TIM3 in upper GI tumors and assesses whether TIM3 could be used as a research target to guide future clinical treatment.</w:t>
      </w:r>
    </w:p>
    <w:p w14:paraId="3640B8F6" w14:textId="77777777" w:rsidR="00DC05DB" w:rsidRDefault="00DC05DB">
      <w:pPr>
        <w:spacing w:line="360" w:lineRule="auto"/>
        <w:jc w:val="both"/>
        <w:rPr>
          <w:color w:val="000000" w:themeColor="text1"/>
        </w:rPr>
      </w:pPr>
    </w:p>
    <w:p w14:paraId="6C0478E0" w14:textId="77777777" w:rsidR="00DC05DB" w:rsidRDefault="00000000">
      <w:pPr>
        <w:spacing w:line="360" w:lineRule="auto"/>
        <w:jc w:val="both"/>
        <w:rPr>
          <w:color w:val="000000" w:themeColor="text1"/>
        </w:rPr>
      </w:pPr>
      <w:r>
        <w:rPr>
          <w:rFonts w:ascii="Book Antiqua" w:eastAsia="Book Antiqua" w:hAnsi="Book Antiqua" w:cs="Book Antiqua"/>
          <w:b/>
          <w:i/>
          <w:color w:val="000000" w:themeColor="text1"/>
        </w:rPr>
        <w:t>Research objectives</w:t>
      </w:r>
    </w:p>
    <w:p w14:paraId="029E27EF"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The study investigates the immunohistochemical expression of TIM3 in upper GI tract tumors and assesses its clinical and prognostic value.</w:t>
      </w:r>
    </w:p>
    <w:p w14:paraId="086EA75C" w14:textId="77777777" w:rsidR="00DC05DB" w:rsidRDefault="00DC05DB">
      <w:pPr>
        <w:spacing w:line="360" w:lineRule="auto"/>
        <w:jc w:val="both"/>
        <w:rPr>
          <w:color w:val="000000" w:themeColor="text1"/>
        </w:rPr>
      </w:pPr>
    </w:p>
    <w:p w14:paraId="18173C5C" w14:textId="77777777" w:rsidR="00DC05DB" w:rsidRDefault="00000000">
      <w:pPr>
        <w:spacing w:line="360" w:lineRule="auto"/>
        <w:jc w:val="both"/>
        <w:rPr>
          <w:color w:val="000000" w:themeColor="text1"/>
        </w:rPr>
      </w:pPr>
      <w:r>
        <w:rPr>
          <w:rFonts w:ascii="Book Antiqua" w:eastAsia="Book Antiqua" w:hAnsi="Book Antiqua" w:cs="Book Antiqua"/>
          <w:b/>
          <w:i/>
          <w:color w:val="000000" w:themeColor="text1"/>
        </w:rPr>
        <w:t>Research methods</w:t>
      </w:r>
    </w:p>
    <w:p w14:paraId="4E7347EA"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 xml:space="preserve">The PubMed, Web of Science, and Embase databases were searched for subject terms, including “TIM3,” “gastric cancer,” and “esophageal cancer,” Data analyses were </w:t>
      </w:r>
      <w:r>
        <w:rPr>
          <w:rFonts w:ascii="Book Antiqua" w:eastAsia="Book Antiqua" w:hAnsi="Book Antiqua" w:cs="Book Antiqua"/>
          <w:color w:val="000000" w:themeColor="text1"/>
        </w:rPr>
        <w:lastRenderedPageBreak/>
        <w:t>performed using STATA 15.2. The results were expressed as hazard ratio (HR) and odds ratio (OR), with the respective 95% confidence interval (CI). Heterogeneity was assessed using the I</w:t>
      </w:r>
      <w:r>
        <w:rPr>
          <w:rFonts w:ascii="Book Antiqua" w:eastAsia="Book Antiqua" w:hAnsi="Book Antiqua" w:cs="Book Antiqua"/>
          <w:color w:val="000000" w:themeColor="text1"/>
          <w:szCs w:val="20"/>
          <w:vertAlign w:val="superscript"/>
        </w:rPr>
        <w:t>2</w:t>
      </w:r>
      <w:r>
        <w:rPr>
          <w:rFonts w:ascii="Book Antiqua" w:eastAsia="Book Antiqua" w:hAnsi="Book Antiqua" w:cs="Book Antiqua"/>
          <w:color w:val="000000" w:themeColor="text1"/>
        </w:rPr>
        <w:t xml:space="preserve"> statistic.</w:t>
      </w:r>
    </w:p>
    <w:p w14:paraId="379AB6EF" w14:textId="77777777" w:rsidR="00DC05DB" w:rsidRDefault="00DC05DB">
      <w:pPr>
        <w:spacing w:line="360" w:lineRule="auto"/>
        <w:jc w:val="both"/>
        <w:rPr>
          <w:color w:val="000000" w:themeColor="text1"/>
        </w:rPr>
      </w:pPr>
    </w:p>
    <w:p w14:paraId="4568C597" w14:textId="77777777" w:rsidR="00DC05DB" w:rsidRDefault="00000000">
      <w:pPr>
        <w:spacing w:line="360" w:lineRule="auto"/>
        <w:jc w:val="both"/>
        <w:rPr>
          <w:color w:val="000000" w:themeColor="text1"/>
        </w:rPr>
      </w:pPr>
      <w:r>
        <w:rPr>
          <w:rFonts w:ascii="Book Antiqua" w:eastAsia="Book Antiqua" w:hAnsi="Book Antiqua" w:cs="Book Antiqua"/>
          <w:b/>
          <w:i/>
          <w:color w:val="000000" w:themeColor="text1"/>
        </w:rPr>
        <w:t>Research results</w:t>
      </w:r>
    </w:p>
    <w:p w14:paraId="5F7118BB"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High TIM3 expression was associated with a worse prognosis in upper GI tract cancer</w:t>
      </w:r>
      <w:r w:rsidRPr="00020B86">
        <w:rPr>
          <w:rFonts w:ascii="Book Antiqua" w:eastAsia="SimSun" w:hAnsi="Book Antiqua" w:cs="Book Antiqua"/>
          <w:color w:val="000000" w:themeColor="text1"/>
          <w:highlight w:val="yellow"/>
          <w:lang w:eastAsia="zh-CN"/>
        </w:rPr>
        <w:t>s</w:t>
      </w:r>
      <w:r>
        <w:rPr>
          <w:rFonts w:ascii="Book Antiqua" w:eastAsia="Book Antiqua" w:hAnsi="Book Antiqua" w:cs="Book Antiqua"/>
          <w:color w:val="000000" w:themeColor="text1"/>
        </w:rPr>
        <w:t xml:space="preserve"> (HR: 1.17, 95%CI: 1.01-1.36). TIM3 overexpression was significantly correlated with the TNM stage (OR: 1.21, 95%CI: 0.63-2.33;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TIM3 expression showed no association with other clinicopathological parameters.</w:t>
      </w:r>
    </w:p>
    <w:p w14:paraId="10CEA6D6" w14:textId="77777777" w:rsidR="00DC05DB" w:rsidRDefault="00DC05DB">
      <w:pPr>
        <w:spacing w:line="360" w:lineRule="auto"/>
        <w:jc w:val="both"/>
        <w:rPr>
          <w:color w:val="000000" w:themeColor="text1"/>
        </w:rPr>
      </w:pPr>
    </w:p>
    <w:p w14:paraId="62E31E9B" w14:textId="77777777" w:rsidR="00DC05DB" w:rsidRDefault="00000000">
      <w:pPr>
        <w:spacing w:line="360" w:lineRule="auto"/>
        <w:jc w:val="both"/>
        <w:rPr>
          <w:color w:val="000000" w:themeColor="text1"/>
        </w:rPr>
      </w:pPr>
      <w:r>
        <w:rPr>
          <w:rFonts w:ascii="Book Antiqua" w:eastAsia="Book Antiqua" w:hAnsi="Book Antiqua" w:cs="Book Antiqua"/>
          <w:b/>
          <w:i/>
          <w:color w:val="000000" w:themeColor="text1"/>
        </w:rPr>
        <w:t>Research conclusions</w:t>
      </w:r>
    </w:p>
    <w:p w14:paraId="3E1A095C" w14:textId="6FEA1D62" w:rsidR="00DC05DB" w:rsidRDefault="00000000">
      <w:pPr>
        <w:spacing w:line="360" w:lineRule="auto"/>
        <w:jc w:val="both"/>
        <w:rPr>
          <w:color w:val="000000" w:themeColor="text1"/>
        </w:rPr>
      </w:pPr>
      <w:r>
        <w:rPr>
          <w:rFonts w:ascii="Book Antiqua" w:eastAsia="Book Antiqua" w:hAnsi="Book Antiqua" w:cs="Book Antiqua"/>
          <w:color w:val="000000" w:themeColor="text1"/>
        </w:rPr>
        <w:t>High expression of TIM3 in upper GI tract cancer</w:t>
      </w:r>
      <w:r w:rsidRPr="00020B86">
        <w:rPr>
          <w:rFonts w:ascii="Book Antiqua" w:eastAsia="SimSun" w:hAnsi="Book Antiqua" w:cs="Book Antiqua"/>
          <w:color w:val="000000" w:themeColor="text1"/>
          <w:highlight w:val="yellow"/>
          <w:lang w:eastAsia="zh-CN"/>
        </w:rPr>
        <w:t>s</w:t>
      </w:r>
      <w:r>
        <w:rPr>
          <w:rFonts w:ascii="Book Antiqua" w:eastAsia="Book Antiqua" w:hAnsi="Book Antiqua" w:cs="Book Antiqua"/>
          <w:color w:val="000000" w:themeColor="text1"/>
        </w:rPr>
        <w:t xml:space="preserve"> is associated with a poorer prognosis and advanced T or N stage.</w:t>
      </w:r>
    </w:p>
    <w:p w14:paraId="07E5DB3A" w14:textId="77777777" w:rsidR="00DC05DB" w:rsidRDefault="00DC05DB">
      <w:pPr>
        <w:spacing w:line="360" w:lineRule="auto"/>
        <w:jc w:val="both"/>
        <w:rPr>
          <w:color w:val="000000" w:themeColor="text1"/>
        </w:rPr>
      </w:pPr>
    </w:p>
    <w:p w14:paraId="1817FA84" w14:textId="77777777" w:rsidR="00DC05DB" w:rsidRDefault="00000000">
      <w:pPr>
        <w:spacing w:line="360" w:lineRule="auto"/>
        <w:jc w:val="both"/>
        <w:rPr>
          <w:color w:val="000000" w:themeColor="text1"/>
        </w:rPr>
      </w:pPr>
      <w:r>
        <w:rPr>
          <w:rFonts w:ascii="Book Antiqua" w:eastAsia="Book Antiqua" w:hAnsi="Book Antiqua" w:cs="Book Antiqua"/>
          <w:b/>
          <w:i/>
          <w:color w:val="000000" w:themeColor="text1"/>
        </w:rPr>
        <w:t>Research perspectives</w:t>
      </w:r>
    </w:p>
    <w:p w14:paraId="6AF26780"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None of the studies included in the meta-analysis evaluated the prognostic value of TIM3 expression in esophagogastric junction cancer. In addition, the small sample size of the studies was a limitation and the effect of confounding factors on the results cannot be ruled out. However, the results revealed a significant association between high expression of TIM3 and poor survival outcomes in upper GI tract tumors. Our analysis suggests that TIM3, as an immune checkpoint receptor, may be a useful prognostic marker and a potential therapeutic target worthy of further research.</w:t>
      </w:r>
    </w:p>
    <w:p w14:paraId="707999A0" w14:textId="77777777" w:rsidR="00DC05DB" w:rsidRDefault="00DC05DB">
      <w:pPr>
        <w:spacing w:line="360" w:lineRule="auto"/>
        <w:jc w:val="both"/>
        <w:rPr>
          <w:color w:val="000000" w:themeColor="text1"/>
        </w:rPr>
      </w:pPr>
    </w:p>
    <w:p w14:paraId="04078058"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REFERENCES</w:t>
      </w:r>
    </w:p>
    <w:p w14:paraId="2ED37521"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Siegel RL</w:t>
      </w:r>
      <w:r>
        <w:rPr>
          <w:rFonts w:ascii="Book Antiqua" w:hAnsi="Book Antiqua"/>
        </w:rPr>
        <w:t xml:space="preserve">, Miller KD, Wagle NS, Jemal A. Cancer statistics, 2023. </w:t>
      </w:r>
      <w:r>
        <w:rPr>
          <w:rFonts w:ascii="Book Antiqua" w:hAnsi="Book Antiqua"/>
          <w:i/>
          <w:iCs/>
        </w:rPr>
        <w:t>CA Cancer J Clin</w:t>
      </w:r>
      <w:r>
        <w:rPr>
          <w:rFonts w:ascii="Book Antiqua" w:hAnsi="Book Antiqua"/>
        </w:rPr>
        <w:t xml:space="preserve"> 2023; </w:t>
      </w:r>
      <w:r>
        <w:rPr>
          <w:rFonts w:ascii="Book Antiqua" w:hAnsi="Book Antiqua"/>
          <w:b/>
          <w:bCs/>
        </w:rPr>
        <w:t>73</w:t>
      </w:r>
      <w:r>
        <w:rPr>
          <w:rFonts w:ascii="Book Antiqua" w:hAnsi="Book Antiqua"/>
        </w:rPr>
        <w:t>: 17-48 [</w:t>
      </w:r>
      <w:bookmarkStart w:id="3" w:name="OLE_LINK1"/>
      <w:r>
        <w:rPr>
          <w:rFonts w:ascii="Book Antiqua" w:hAnsi="Book Antiqua"/>
        </w:rPr>
        <w:t>PMID</w:t>
      </w:r>
      <w:bookmarkEnd w:id="3"/>
      <w:r>
        <w:rPr>
          <w:rFonts w:ascii="Book Antiqua" w:hAnsi="Book Antiqua"/>
        </w:rPr>
        <w:t>: 36633525 DOI: 10.3322/caac.21763]</w:t>
      </w:r>
    </w:p>
    <w:p w14:paraId="01413F92"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Xia C</w:t>
      </w:r>
      <w:r>
        <w:rPr>
          <w:rFonts w:ascii="Book Antiqua" w:hAnsi="Book Antiqua"/>
        </w:rPr>
        <w:t xml:space="preserve">, Dong X, Li H, Cao M, Sun D, He S, Yang F, Yan X, Zhang S, Li N, Chen W. Cancer statistics in China and United States, 2022: profiles, trends, and determinants. </w:t>
      </w:r>
      <w:r>
        <w:rPr>
          <w:rFonts w:ascii="Book Antiqua" w:hAnsi="Book Antiqua"/>
          <w:i/>
          <w:iCs/>
        </w:rPr>
        <w:t>Chin Med J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2022; </w:t>
      </w:r>
      <w:r>
        <w:rPr>
          <w:rFonts w:ascii="Book Antiqua" w:hAnsi="Book Antiqua"/>
          <w:b/>
          <w:bCs/>
        </w:rPr>
        <w:t>135</w:t>
      </w:r>
      <w:r>
        <w:rPr>
          <w:rFonts w:ascii="Book Antiqua" w:hAnsi="Book Antiqua"/>
        </w:rPr>
        <w:t>: 584-590 [PMID: 35143424 DOI: 10.1097/CM9.0000000000002108]</w:t>
      </w:r>
    </w:p>
    <w:p w14:paraId="3F306994" w14:textId="77777777" w:rsidR="00DC05DB" w:rsidRDefault="00000000">
      <w:pPr>
        <w:adjustRightInd w:val="0"/>
        <w:snapToGrid w:val="0"/>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3F4F2CAE"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Zheng R,</w:t>
      </w:r>
      <w:r>
        <w:rPr>
          <w:rFonts w:ascii="Book Antiqua" w:hAnsi="Book Antiqua"/>
        </w:rPr>
        <w:t xml:space="preserve"> Zhang S, Zeng H, Wang S, Sun K, Chen R, Li L, Wei W, He J. Cancer incidence and mortality in China, 2016. </w:t>
      </w:r>
      <w:r>
        <w:rPr>
          <w:rFonts w:ascii="Book Antiqua" w:hAnsi="Book Antiqua"/>
          <w:i/>
          <w:iCs/>
        </w:rPr>
        <w:t>J Natl Cancer Cent</w:t>
      </w:r>
      <w:r>
        <w:rPr>
          <w:rFonts w:ascii="Book Antiqua" w:hAnsi="Book Antiqua"/>
        </w:rPr>
        <w:t xml:space="preserve"> 2022; </w:t>
      </w:r>
      <w:r>
        <w:rPr>
          <w:rFonts w:ascii="Book Antiqua" w:hAnsi="Book Antiqua"/>
          <w:b/>
          <w:bCs/>
        </w:rPr>
        <w:t>2</w:t>
      </w:r>
      <w:r>
        <w:rPr>
          <w:rFonts w:ascii="Book Antiqua" w:hAnsi="Book Antiqua"/>
        </w:rPr>
        <w:t>: 1-9 [10.1016/j.jncc.2022.02.002]</w:t>
      </w:r>
    </w:p>
    <w:p w14:paraId="5B71F350"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Ricci AD</w:t>
      </w:r>
      <w:r>
        <w:rPr>
          <w:rFonts w:ascii="Book Antiqua" w:hAnsi="Book Antiqua"/>
        </w:rPr>
        <w:t xml:space="preserve">, Rizzo A, Rojas </w:t>
      </w:r>
      <w:proofErr w:type="spellStart"/>
      <w:r>
        <w:rPr>
          <w:rFonts w:ascii="Book Antiqua" w:hAnsi="Book Antiqua"/>
        </w:rPr>
        <w:t>Llimpe</w:t>
      </w:r>
      <w:proofErr w:type="spellEnd"/>
      <w:r>
        <w:rPr>
          <w:rFonts w:ascii="Book Antiqua" w:hAnsi="Book Antiqua"/>
        </w:rPr>
        <w:t xml:space="preserve"> FL, Di Fabio F, De </w:t>
      </w:r>
      <w:proofErr w:type="spellStart"/>
      <w:r>
        <w:rPr>
          <w:rFonts w:ascii="Book Antiqua" w:hAnsi="Book Antiqua"/>
        </w:rPr>
        <w:t>Biase</w:t>
      </w:r>
      <w:proofErr w:type="spellEnd"/>
      <w:r>
        <w:rPr>
          <w:rFonts w:ascii="Book Antiqua" w:hAnsi="Book Antiqua"/>
        </w:rPr>
        <w:t xml:space="preserve"> D, </w:t>
      </w:r>
      <w:proofErr w:type="spellStart"/>
      <w:r>
        <w:rPr>
          <w:rFonts w:ascii="Book Antiqua" w:hAnsi="Book Antiqua"/>
        </w:rPr>
        <w:t>Rihawi</w:t>
      </w:r>
      <w:proofErr w:type="spellEnd"/>
      <w:r>
        <w:rPr>
          <w:rFonts w:ascii="Book Antiqua" w:hAnsi="Book Antiqua"/>
        </w:rPr>
        <w:t xml:space="preserve"> K. Novel HER2-Directed Treatments in Advanced Gastric Carcinoma: </w:t>
      </w:r>
      <w:proofErr w:type="spellStart"/>
      <w:r>
        <w:rPr>
          <w:rFonts w:ascii="Book Antiqua" w:hAnsi="Book Antiqua"/>
        </w:rPr>
        <w:t>AnotHER</w:t>
      </w:r>
      <w:proofErr w:type="spellEnd"/>
      <w:r>
        <w:rPr>
          <w:rFonts w:ascii="Book Antiqua" w:hAnsi="Book Antiqua"/>
        </w:rPr>
        <w:t xml:space="preserve"> Paradigm Shift? </w:t>
      </w:r>
      <w:r>
        <w:rPr>
          <w:rFonts w:ascii="Book Antiqua" w:hAnsi="Book Antiqua"/>
          <w:i/>
          <w:iCs/>
        </w:rPr>
        <w:t>Cancers (Basel)</w:t>
      </w:r>
      <w:r>
        <w:rPr>
          <w:rFonts w:ascii="Book Antiqua" w:hAnsi="Book Antiqua"/>
        </w:rPr>
        <w:t xml:space="preserve"> 2021; </w:t>
      </w:r>
      <w:r>
        <w:rPr>
          <w:rFonts w:ascii="Book Antiqua" w:hAnsi="Book Antiqua"/>
          <w:b/>
          <w:bCs/>
        </w:rPr>
        <w:t>13</w:t>
      </w:r>
      <w:r>
        <w:rPr>
          <w:rFonts w:ascii="Book Antiqua" w:hAnsi="Book Antiqua"/>
        </w:rPr>
        <w:t xml:space="preserve"> [PMID: 33916206 DOI: 10.3390/cancers13071664]</w:t>
      </w:r>
    </w:p>
    <w:p w14:paraId="3D9037AD"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Santoni</w:t>
      </w:r>
      <w:proofErr w:type="spellEnd"/>
      <w:r>
        <w:rPr>
          <w:rFonts w:ascii="Book Antiqua" w:hAnsi="Book Antiqua"/>
          <w:b/>
          <w:bCs/>
        </w:rPr>
        <w:t xml:space="preserve"> M</w:t>
      </w:r>
      <w:r>
        <w:rPr>
          <w:rFonts w:ascii="Book Antiqua" w:hAnsi="Book Antiqua"/>
        </w:rPr>
        <w:t xml:space="preserve">, Rizzo A, </w:t>
      </w:r>
      <w:proofErr w:type="spellStart"/>
      <w:r>
        <w:rPr>
          <w:rFonts w:ascii="Book Antiqua" w:hAnsi="Book Antiqua"/>
        </w:rPr>
        <w:t>Mollica</w:t>
      </w:r>
      <w:proofErr w:type="spellEnd"/>
      <w:r>
        <w:rPr>
          <w:rFonts w:ascii="Book Antiqua" w:hAnsi="Book Antiqua"/>
        </w:rPr>
        <w:t xml:space="preserve"> V, </w:t>
      </w:r>
      <w:proofErr w:type="spellStart"/>
      <w:r>
        <w:rPr>
          <w:rFonts w:ascii="Book Antiqua" w:hAnsi="Book Antiqua"/>
        </w:rPr>
        <w:t>Matrana</w:t>
      </w:r>
      <w:proofErr w:type="spellEnd"/>
      <w:r>
        <w:rPr>
          <w:rFonts w:ascii="Book Antiqua" w:hAnsi="Book Antiqua"/>
        </w:rPr>
        <w:t xml:space="preserve"> MR, </w:t>
      </w:r>
      <w:proofErr w:type="spellStart"/>
      <w:r>
        <w:rPr>
          <w:rFonts w:ascii="Book Antiqua" w:hAnsi="Book Antiqua"/>
        </w:rPr>
        <w:t>Rosellini</w:t>
      </w:r>
      <w:proofErr w:type="spellEnd"/>
      <w:r>
        <w:rPr>
          <w:rFonts w:ascii="Book Antiqua" w:hAnsi="Book Antiqua"/>
        </w:rPr>
        <w:t xml:space="preserve"> M, </w:t>
      </w:r>
      <w:proofErr w:type="spellStart"/>
      <w:r>
        <w:rPr>
          <w:rFonts w:ascii="Book Antiqua" w:hAnsi="Book Antiqua"/>
        </w:rPr>
        <w:t>Faloppi</w:t>
      </w:r>
      <w:proofErr w:type="spellEnd"/>
      <w:r>
        <w:rPr>
          <w:rFonts w:ascii="Book Antiqua" w:hAnsi="Book Antiqua"/>
        </w:rPr>
        <w:t xml:space="preserve"> L, Marchetti A, </w:t>
      </w:r>
      <w:proofErr w:type="spellStart"/>
      <w:r>
        <w:rPr>
          <w:rFonts w:ascii="Book Antiqua" w:hAnsi="Book Antiqua"/>
        </w:rPr>
        <w:t>Battelli</w:t>
      </w:r>
      <w:proofErr w:type="spellEnd"/>
      <w:r>
        <w:rPr>
          <w:rFonts w:ascii="Book Antiqua" w:hAnsi="Book Antiqua"/>
        </w:rPr>
        <w:t xml:space="preserve"> N, </w:t>
      </w:r>
      <w:proofErr w:type="spellStart"/>
      <w:r>
        <w:rPr>
          <w:rFonts w:ascii="Book Antiqua" w:hAnsi="Book Antiqua"/>
        </w:rPr>
        <w:t>Massari</w:t>
      </w:r>
      <w:proofErr w:type="spellEnd"/>
      <w:r>
        <w:rPr>
          <w:rFonts w:ascii="Book Antiqua" w:hAnsi="Book Antiqua"/>
        </w:rPr>
        <w:t xml:space="preserve"> F. The impact of gender on </w:t>
      </w:r>
      <w:proofErr w:type="gramStart"/>
      <w:r>
        <w:rPr>
          <w:rFonts w:ascii="Book Antiqua" w:hAnsi="Book Antiqua"/>
        </w:rPr>
        <w:t>The</w:t>
      </w:r>
      <w:proofErr w:type="gramEnd"/>
      <w:r>
        <w:rPr>
          <w:rFonts w:ascii="Book Antiqua" w:hAnsi="Book Antiqua"/>
        </w:rPr>
        <w:t xml:space="preserve"> efficacy of immune checkpoint inhibitors in cancer patients: The MOUSEION-01 study. </w:t>
      </w:r>
      <w:r>
        <w:rPr>
          <w:rFonts w:ascii="Book Antiqua" w:hAnsi="Book Antiqua"/>
          <w:i/>
          <w:iCs/>
        </w:rPr>
        <w:t xml:space="preserve">Crit Rev Oncol </w:t>
      </w:r>
      <w:proofErr w:type="spellStart"/>
      <w:r>
        <w:rPr>
          <w:rFonts w:ascii="Book Antiqua" w:hAnsi="Book Antiqua"/>
          <w:i/>
          <w:iCs/>
        </w:rPr>
        <w:t>Hematol</w:t>
      </w:r>
      <w:proofErr w:type="spellEnd"/>
      <w:r>
        <w:rPr>
          <w:rFonts w:ascii="Book Antiqua" w:hAnsi="Book Antiqua"/>
        </w:rPr>
        <w:t xml:space="preserve"> 2022; </w:t>
      </w:r>
      <w:r>
        <w:rPr>
          <w:rFonts w:ascii="Book Antiqua" w:hAnsi="Book Antiqua"/>
          <w:b/>
          <w:bCs/>
        </w:rPr>
        <w:t>170</w:t>
      </w:r>
      <w:r>
        <w:rPr>
          <w:rFonts w:ascii="Book Antiqua" w:hAnsi="Book Antiqua"/>
        </w:rPr>
        <w:t>: 103596 [PMID: 35031442 DOI: 10.1016/j.critrevonc.2022.103596]</w:t>
      </w:r>
    </w:p>
    <w:p w14:paraId="60B4CC1A"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Santoni</w:t>
      </w:r>
      <w:proofErr w:type="spellEnd"/>
      <w:r>
        <w:rPr>
          <w:rFonts w:ascii="Book Antiqua" w:hAnsi="Book Antiqua"/>
          <w:b/>
          <w:bCs/>
        </w:rPr>
        <w:t xml:space="preserve"> M</w:t>
      </w:r>
      <w:r>
        <w:rPr>
          <w:rFonts w:ascii="Book Antiqua" w:hAnsi="Book Antiqua"/>
        </w:rPr>
        <w:t xml:space="preserve">, Rizzo A, </w:t>
      </w:r>
      <w:proofErr w:type="spellStart"/>
      <w:r>
        <w:rPr>
          <w:rFonts w:ascii="Book Antiqua" w:hAnsi="Book Antiqua"/>
        </w:rPr>
        <w:t>Kucharz</w:t>
      </w:r>
      <w:proofErr w:type="spellEnd"/>
      <w:r>
        <w:rPr>
          <w:rFonts w:ascii="Book Antiqua" w:hAnsi="Book Antiqua"/>
        </w:rPr>
        <w:t xml:space="preserve"> J, </w:t>
      </w:r>
      <w:proofErr w:type="spellStart"/>
      <w:r>
        <w:rPr>
          <w:rFonts w:ascii="Book Antiqua" w:hAnsi="Book Antiqua"/>
        </w:rPr>
        <w:t>Mollica</w:t>
      </w:r>
      <w:proofErr w:type="spellEnd"/>
      <w:r>
        <w:rPr>
          <w:rFonts w:ascii="Book Antiqua" w:hAnsi="Book Antiqua"/>
        </w:rPr>
        <w:t xml:space="preserve"> V, </w:t>
      </w:r>
      <w:proofErr w:type="spellStart"/>
      <w:r>
        <w:rPr>
          <w:rFonts w:ascii="Book Antiqua" w:hAnsi="Book Antiqua"/>
        </w:rPr>
        <w:t>Rosellini</w:t>
      </w:r>
      <w:proofErr w:type="spellEnd"/>
      <w:r>
        <w:rPr>
          <w:rFonts w:ascii="Book Antiqua" w:hAnsi="Book Antiqua"/>
        </w:rPr>
        <w:t xml:space="preserve"> M, Marchetti A, </w:t>
      </w:r>
      <w:proofErr w:type="spellStart"/>
      <w:r>
        <w:rPr>
          <w:rFonts w:ascii="Book Antiqua" w:hAnsi="Book Antiqua"/>
        </w:rPr>
        <w:t>Tassinari</w:t>
      </w:r>
      <w:proofErr w:type="spellEnd"/>
      <w:r>
        <w:rPr>
          <w:rFonts w:ascii="Book Antiqua" w:hAnsi="Book Antiqua"/>
        </w:rPr>
        <w:t xml:space="preserve"> E, Monteiro FSM, Soares A, Molina-</w:t>
      </w:r>
      <w:proofErr w:type="spellStart"/>
      <w:r>
        <w:rPr>
          <w:rFonts w:ascii="Book Antiqua" w:hAnsi="Book Antiqua"/>
        </w:rPr>
        <w:t>Cerrillo</w:t>
      </w:r>
      <w:proofErr w:type="spellEnd"/>
      <w:r>
        <w:rPr>
          <w:rFonts w:ascii="Book Antiqua" w:hAnsi="Book Antiqua"/>
        </w:rPr>
        <w:t xml:space="preserve"> J, Grande E, </w:t>
      </w:r>
      <w:proofErr w:type="spellStart"/>
      <w:r>
        <w:rPr>
          <w:rFonts w:ascii="Book Antiqua" w:hAnsi="Book Antiqua"/>
        </w:rPr>
        <w:t>Battelli</w:t>
      </w:r>
      <w:proofErr w:type="spellEnd"/>
      <w:r>
        <w:rPr>
          <w:rFonts w:ascii="Book Antiqua" w:hAnsi="Book Antiqua"/>
        </w:rPr>
        <w:t xml:space="preserve"> N, </w:t>
      </w:r>
      <w:proofErr w:type="spellStart"/>
      <w:r>
        <w:rPr>
          <w:rFonts w:ascii="Book Antiqua" w:hAnsi="Book Antiqua"/>
        </w:rPr>
        <w:t>Massari</w:t>
      </w:r>
      <w:proofErr w:type="spellEnd"/>
      <w:r>
        <w:rPr>
          <w:rFonts w:ascii="Book Antiqua" w:hAnsi="Book Antiqua"/>
        </w:rPr>
        <w:t xml:space="preserve"> F. Complete remissions following immunotherapy or immuno-oncology combinations in cancer patients: the MOUSEION-03 meta-analysis. </w:t>
      </w:r>
      <w:r>
        <w:rPr>
          <w:rFonts w:ascii="Book Antiqua" w:hAnsi="Book Antiqua"/>
          <w:i/>
          <w:iCs/>
        </w:rPr>
        <w:t xml:space="preserve">Cancer Immunol </w:t>
      </w:r>
      <w:proofErr w:type="spellStart"/>
      <w:r>
        <w:rPr>
          <w:rFonts w:ascii="Book Antiqua" w:hAnsi="Book Antiqua"/>
          <w:i/>
          <w:iCs/>
        </w:rPr>
        <w:t>Immunother</w:t>
      </w:r>
      <w:proofErr w:type="spellEnd"/>
      <w:r>
        <w:rPr>
          <w:rFonts w:ascii="Book Antiqua" w:hAnsi="Book Antiqua"/>
        </w:rPr>
        <w:t xml:space="preserve"> 2023; </w:t>
      </w:r>
      <w:r>
        <w:rPr>
          <w:rFonts w:ascii="Book Antiqua" w:hAnsi="Book Antiqua"/>
          <w:b/>
          <w:bCs/>
        </w:rPr>
        <w:t>72</w:t>
      </w:r>
      <w:r>
        <w:rPr>
          <w:rFonts w:ascii="Book Antiqua" w:hAnsi="Book Antiqua"/>
        </w:rPr>
        <w:t>: 1365-1379 [PMID: 36633661 DOI: 10.1007/s00262-022-03349-4]</w:t>
      </w:r>
    </w:p>
    <w:p w14:paraId="1306DCA3"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Ricci AD</w:t>
      </w:r>
      <w:r>
        <w:rPr>
          <w:rFonts w:ascii="Book Antiqua" w:hAnsi="Book Antiqua"/>
        </w:rPr>
        <w:t xml:space="preserve">, Rizzo A, Brandi G. DNA damage response alterations in gastric cancer: knocking down a new wall. </w:t>
      </w:r>
      <w:r>
        <w:rPr>
          <w:rFonts w:ascii="Book Antiqua" w:hAnsi="Book Antiqua"/>
          <w:i/>
          <w:iCs/>
        </w:rPr>
        <w:t>Future Oncol</w:t>
      </w:r>
      <w:r>
        <w:rPr>
          <w:rFonts w:ascii="Book Antiqua" w:hAnsi="Book Antiqua"/>
        </w:rPr>
        <w:t xml:space="preserve"> 2021; </w:t>
      </w:r>
      <w:r>
        <w:rPr>
          <w:rFonts w:ascii="Book Antiqua" w:hAnsi="Book Antiqua"/>
          <w:b/>
          <w:bCs/>
        </w:rPr>
        <w:t>17</w:t>
      </w:r>
      <w:r>
        <w:rPr>
          <w:rFonts w:ascii="Book Antiqua" w:hAnsi="Book Antiqua"/>
        </w:rPr>
        <w:t>: 865-868 [PMID: 33508962 DOI: 10.2217/fon-2020-0989]</w:t>
      </w:r>
    </w:p>
    <w:p w14:paraId="094B0EDE"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Pardoll</w:t>
      </w:r>
      <w:proofErr w:type="spellEnd"/>
      <w:r>
        <w:rPr>
          <w:rFonts w:ascii="Book Antiqua" w:hAnsi="Book Antiqua"/>
          <w:b/>
          <w:bCs/>
        </w:rPr>
        <w:t xml:space="preserve"> DM</w:t>
      </w:r>
      <w:r>
        <w:rPr>
          <w:rFonts w:ascii="Book Antiqua" w:hAnsi="Book Antiqua"/>
        </w:rPr>
        <w:t xml:space="preserve">. The blockade of immune checkpoints in cancer immunotherapy. </w:t>
      </w:r>
      <w:r>
        <w:rPr>
          <w:rFonts w:ascii="Book Antiqua" w:hAnsi="Book Antiqua"/>
          <w:i/>
          <w:iCs/>
        </w:rPr>
        <w:t>Nat Rev Cancer</w:t>
      </w:r>
      <w:r>
        <w:rPr>
          <w:rFonts w:ascii="Book Antiqua" w:hAnsi="Book Antiqua"/>
        </w:rPr>
        <w:t xml:space="preserve"> 2012; </w:t>
      </w:r>
      <w:r>
        <w:rPr>
          <w:rFonts w:ascii="Book Antiqua" w:hAnsi="Book Antiqua"/>
          <w:b/>
          <w:bCs/>
        </w:rPr>
        <w:t>12</w:t>
      </w:r>
      <w:r>
        <w:rPr>
          <w:rFonts w:ascii="Book Antiqua" w:hAnsi="Book Antiqua"/>
        </w:rPr>
        <w:t>: 252-264 [PMID: 22437870 DOI: 10.1038/nrc3239]</w:t>
      </w:r>
    </w:p>
    <w:p w14:paraId="1F861039"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Li B</w:t>
      </w:r>
      <w:r>
        <w:rPr>
          <w:rFonts w:ascii="Book Antiqua" w:hAnsi="Book Antiqua"/>
        </w:rPr>
        <w:t xml:space="preserve">, Chan HL, Chen P. Immune Checkpoint Inhibitors: Basics and Challenges. </w:t>
      </w:r>
      <w:proofErr w:type="spellStart"/>
      <w:r>
        <w:rPr>
          <w:rFonts w:ascii="Book Antiqua" w:hAnsi="Book Antiqua"/>
          <w:i/>
          <w:iCs/>
        </w:rPr>
        <w:t>Curr</w:t>
      </w:r>
      <w:proofErr w:type="spellEnd"/>
      <w:r>
        <w:rPr>
          <w:rFonts w:ascii="Book Antiqua" w:hAnsi="Book Antiqua"/>
          <w:i/>
          <w:iCs/>
        </w:rPr>
        <w:t xml:space="preserve"> Med Chem</w:t>
      </w:r>
      <w:r>
        <w:rPr>
          <w:rFonts w:ascii="Book Antiqua" w:hAnsi="Book Antiqua"/>
        </w:rPr>
        <w:t xml:space="preserve"> 2019; </w:t>
      </w:r>
      <w:r>
        <w:rPr>
          <w:rFonts w:ascii="Book Antiqua" w:hAnsi="Book Antiqua"/>
          <w:b/>
          <w:bCs/>
        </w:rPr>
        <w:t>26</w:t>
      </w:r>
      <w:r>
        <w:rPr>
          <w:rFonts w:ascii="Book Antiqua" w:hAnsi="Book Antiqua"/>
        </w:rPr>
        <w:t>: 3009-3025 [PMID: 28782469 DOI: 10.2174/0929867324666170804143706]</w:t>
      </w:r>
    </w:p>
    <w:p w14:paraId="75292FAC"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Tang Q</w:t>
      </w:r>
      <w:r>
        <w:rPr>
          <w:rFonts w:ascii="Book Antiqua" w:hAnsi="Book Antiqua"/>
        </w:rPr>
        <w:t xml:space="preserve">, Chen Y, Li X, Long S, Shi Y, Yu Y, Wu W, Han L, Wang S. The role of PD-1/PD-L1 and application of immune-checkpoint inhibitors in human cancers.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964442 [PMID: 36177034 DOI: 10.3389/fimmu.2022.964442]</w:t>
      </w:r>
    </w:p>
    <w:p w14:paraId="4816D8F0" w14:textId="77777777" w:rsidR="00DC05DB" w:rsidRDefault="00000000">
      <w:pPr>
        <w:adjustRightInd w:val="0"/>
        <w:snapToGrid w:val="0"/>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Lipson EJ</w:t>
      </w:r>
      <w:r>
        <w:rPr>
          <w:rFonts w:ascii="Book Antiqua" w:hAnsi="Book Antiqua"/>
        </w:rPr>
        <w:t xml:space="preserve">, Drake CG. Ipilimumab: an anti-CTLA-4 antibody for metastatic melanoma. </w:t>
      </w:r>
      <w:r>
        <w:rPr>
          <w:rFonts w:ascii="Book Antiqua" w:hAnsi="Book Antiqua"/>
          <w:i/>
          <w:iCs/>
        </w:rPr>
        <w:t>Clin Cancer Res</w:t>
      </w:r>
      <w:r>
        <w:rPr>
          <w:rFonts w:ascii="Book Antiqua" w:hAnsi="Book Antiqua"/>
        </w:rPr>
        <w:t xml:space="preserve"> 2011; </w:t>
      </w:r>
      <w:r>
        <w:rPr>
          <w:rFonts w:ascii="Book Antiqua" w:hAnsi="Book Antiqua"/>
          <w:b/>
          <w:bCs/>
        </w:rPr>
        <w:t>17</w:t>
      </w:r>
      <w:r>
        <w:rPr>
          <w:rFonts w:ascii="Book Antiqua" w:hAnsi="Book Antiqua"/>
        </w:rPr>
        <w:t>: 6958-6962 [PMID: 21900389 DOI: 10.1158/1078-0432.CCR-11-1595]</w:t>
      </w:r>
    </w:p>
    <w:p w14:paraId="2F8D47FB"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Yi M</w:t>
      </w:r>
      <w:r>
        <w:rPr>
          <w:rFonts w:ascii="Book Antiqua" w:hAnsi="Book Antiqua"/>
        </w:rPr>
        <w:t xml:space="preserve">, Zheng X, </w:t>
      </w:r>
      <w:proofErr w:type="spellStart"/>
      <w:r>
        <w:rPr>
          <w:rFonts w:ascii="Book Antiqua" w:hAnsi="Book Antiqua"/>
        </w:rPr>
        <w:t>Niu</w:t>
      </w:r>
      <w:proofErr w:type="spellEnd"/>
      <w:r>
        <w:rPr>
          <w:rFonts w:ascii="Book Antiqua" w:hAnsi="Book Antiqua"/>
        </w:rPr>
        <w:t xml:space="preserve"> M, Zhu S, Ge H, Wu K. Combination strategies with PD-1/PD-L1 blockade: current advances and future directions. </w:t>
      </w:r>
      <w:r>
        <w:rPr>
          <w:rFonts w:ascii="Book Antiqua" w:hAnsi="Book Antiqua"/>
          <w:i/>
          <w:iCs/>
        </w:rPr>
        <w:t>Mol Cancer</w:t>
      </w:r>
      <w:r>
        <w:rPr>
          <w:rFonts w:ascii="Book Antiqua" w:hAnsi="Book Antiqua"/>
        </w:rPr>
        <w:t xml:space="preserve"> 2022; </w:t>
      </w:r>
      <w:r>
        <w:rPr>
          <w:rFonts w:ascii="Book Antiqua" w:hAnsi="Book Antiqua"/>
          <w:b/>
          <w:bCs/>
        </w:rPr>
        <w:t>21</w:t>
      </w:r>
      <w:r>
        <w:rPr>
          <w:rFonts w:ascii="Book Antiqua" w:hAnsi="Book Antiqua"/>
        </w:rPr>
        <w:t>: 28 [PMID: 35062949 DOI: 10.1186/s12943-021-01489-2]</w:t>
      </w:r>
    </w:p>
    <w:p w14:paraId="5A0F2506"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Chang E</w:t>
      </w:r>
      <w:r>
        <w:rPr>
          <w:rFonts w:ascii="Book Antiqua" w:hAnsi="Book Antiqua"/>
        </w:rPr>
        <w:t xml:space="preserve">, </w:t>
      </w:r>
      <w:proofErr w:type="spellStart"/>
      <w:r>
        <w:rPr>
          <w:rFonts w:ascii="Book Antiqua" w:hAnsi="Book Antiqua"/>
        </w:rPr>
        <w:t>Pelosof</w:t>
      </w:r>
      <w:proofErr w:type="spellEnd"/>
      <w:r>
        <w:rPr>
          <w:rFonts w:ascii="Book Antiqua" w:hAnsi="Book Antiqua"/>
        </w:rPr>
        <w:t xml:space="preserve"> L, </w:t>
      </w:r>
      <w:proofErr w:type="spellStart"/>
      <w:r>
        <w:rPr>
          <w:rFonts w:ascii="Book Antiqua" w:hAnsi="Book Antiqua"/>
        </w:rPr>
        <w:t>Lemery</w:t>
      </w:r>
      <w:proofErr w:type="spellEnd"/>
      <w:r>
        <w:rPr>
          <w:rFonts w:ascii="Book Antiqua" w:hAnsi="Book Antiqua"/>
        </w:rPr>
        <w:t xml:space="preserve"> S, Gong Y, Goldberg KB, Farrell AT, Keegan P, </w:t>
      </w:r>
      <w:proofErr w:type="spellStart"/>
      <w:r>
        <w:rPr>
          <w:rFonts w:ascii="Book Antiqua" w:hAnsi="Book Antiqua"/>
        </w:rPr>
        <w:t>Veeraraghavan</w:t>
      </w:r>
      <w:proofErr w:type="spellEnd"/>
      <w:r>
        <w:rPr>
          <w:rFonts w:ascii="Book Antiqua" w:hAnsi="Book Antiqua"/>
        </w:rPr>
        <w:t xml:space="preserve"> J, Wei G, Blumenthal GM, Amiri-</w:t>
      </w:r>
      <w:proofErr w:type="spellStart"/>
      <w:r>
        <w:rPr>
          <w:rFonts w:ascii="Book Antiqua" w:hAnsi="Book Antiqua"/>
        </w:rPr>
        <w:t>Kordestani</w:t>
      </w:r>
      <w:proofErr w:type="spellEnd"/>
      <w:r>
        <w:rPr>
          <w:rFonts w:ascii="Book Antiqua" w:hAnsi="Book Antiqua"/>
        </w:rPr>
        <w:t xml:space="preserve"> L, Singh H, </w:t>
      </w:r>
      <w:proofErr w:type="spellStart"/>
      <w:r>
        <w:rPr>
          <w:rFonts w:ascii="Book Antiqua" w:hAnsi="Book Antiqua"/>
        </w:rPr>
        <w:t>Fashoyin</w:t>
      </w:r>
      <w:proofErr w:type="spellEnd"/>
      <w:r>
        <w:rPr>
          <w:rFonts w:ascii="Book Antiqua" w:hAnsi="Book Antiqua"/>
        </w:rPr>
        <w:t xml:space="preserve">-Aje L, Gormley N, </w:t>
      </w:r>
      <w:proofErr w:type="spellStart"/>
      <w:r>
        <w:rPr>
          <w:rFonts w:ascii="Book Antiqua" w:hAnsi="Book Antiqua"/>
        </w:rPr>
        <w:t>Kluetz</w:t>
      </w:r>
      <w:proofErr w:type="spellEnd"/>
      <w:r>
        <w:rPr>
          <w:rFonts w:ascii="Book Antiqua" w:hAnsi="Book Antiqua"/>
        </w:rPr>
        <w:t xml:space="preserve"> PG, </w:t>
      </w:r>
      <w:proofErr w:type="spellStart"/>
      <w:r>
        <w:rPr>
          <w:rFonts w:ascii="Book Antiqua" w:hAnsi="Book Antiqua"/>
        </w:rPr>
        <w:t>Pazdur</w:t>
      </w:r>
      <w:proofErr w:type="spellEnd"/>
      <w:r>
        <w:rPr>
          <w:rFonts w:ascii="Book Antiqua" w:hAnsi="Book Antiqua"/>
        </w:rPr>
        <w:t xml:space="preserve"> R, Beaver JA, </w:t>
      </w:r>
      <w:proofErr w:type="spellStart"/>
      <w:r>
        <w:rPr>
          <w:rFonts w:ascii="Book Antiqua" w:hAnsi="Book Antiqua"/>
        </w:rPr>
        <w:t>Theoret</w:t>
      </w:r>
      <w:proofErr w:type="spellEnd"/>
      <w:r>
        <w:rPr>
          <w:rFonts w:ascii="Book Antiqua" w:hAnsi="Book Antiqua"/>
        </w:rPr>
        <w:t xml:space="preserve"> MR. Systematic Review of PD-1/PD-L1 Inhibitors in Oncology: From Personalized Medicine to Public Health. </w:t>
      </w:r>
      <w:r>
        <w:rPr>
          <w:rFonts w:ascii="Book Antiqua" w:hAnsi="Book Antiqua"/>
          <w:i/>
          <w:iCs/>
        </w:rPr>
        <w:t>Oncologist</w:t>
      </w:r>
      <w:r>
        <w:rPr>
          <w:rFonts w:ascii="Book Antiqua" w:hAnsi="Book Antiqua"/>
        </w:rPr>
        <w:t xml:space="preserve"> 2021; </w:t>
      </w:r>
      <w:r>
        <w:rPr>
          <w:rFonts w:ascii="Book Antiqua" w:hAnsi="Book Antiqua"/>
          <w:b/>
          <w:bCs/>
        </w:rPr>
        <w:t>26</w:t>
      </w:r>
      <w:r>
        <w:rPr>
          <w:rFonts w:ascii="Book Antiqua" w:hAnsi="Book Antiqua"/>
        </w:rPr>
        <w:t>: e1786-e1799 [PMID: 34196068 DOI: 10.1002/onco.13887]</w:t>
      </w:r>
    </w:p>
    <w:p w14:paraId="120C43E7"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Monney</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Sabatos</w:t>
      </w:r>
      <w:proofErr w:type="spellEnd"/>
      <w:r>
        <w:rPr>
          <w:rFonts w:ascii="Book Antiqua" w:hAnsi="Book Antiqua"/>
        </w:rPr>
        <w:t xml:space="preserve"> CA, </w:t>
      </w:r>
      <w:proofErr w:type="spellStart"/>
      <w:r>
        <w:rPr>
          <w:rFonts w:ascii="Book Antiqua" w:hAnsi="Book Antiqua"/>
        </w:rPr>
        <w:t>Gaglia</w:t>
      </w:r>
      <w:proofErr w:type="spellEnd"/>
      <w:r>
        <w:rPr>
          <w:rFonts w:ascii="Book Antiqua" w:hAnsi="Book Antiqua"/>
        </w:rPr>
        <w:t xml:space="preserve"> JL, Ryu A, Waldner H, </w:t>
      </w:r>
      <w:proofErr w:type="spellStart"/>
      <w:r>
        <w:rPr>
          <w:rFonts w:ascii="Book Antiqua" w:hAnsi="Book Antiqua"/>
        </w:rPr>
        <w:t>Chernova</w:t>
      </w:r>
      <w:proofErr w:type="spellEnd"/>
      <w:r>
        <w:rPr>
          <w:rFonts w:ascii="Book Antiqua" w:hAnsi="Book Antiqua"/>
        </w:rPr>
        <w:t xml:space="preserve"> T, Manning S, Greenfield EA, Coyle AJ, Sobel RA, Freeman GJ, </w:t>
      </w:r>
      <w:proofErr w:type="spellStart"/>
      <w:r>
        <w:rPr>
          <w:rFonts w:ascii="Book Antiqua" w:hAnsi="Book Antiqua"/>
        </w:rPr>
        <w:t>Kuchroo</w:t>
      </w:r>
      <w:proofErr w:type="spellEnd"/>
      <w:r>
        <w:rPr>
          <w:rFonts w:ascii="Book Antiqua" w:hAnsi="Book Antiqua"/>
        </w:rPr>
        <w:t xml:space="preserve"> VK. Th1-specific cell surface protein Tim-3 regulates macrophage activation and severity of an autoimmune disease. </w:t>
      </w:r>
      <w:r>
        <w:rPr>
          <w:rFonts w:ascii="Book Antiqua" w:hAnsi="Book Antiqua"/>
          <w:i/>
          <w:iCs/>
        </w:rPr>
        <w:t>Nature</w:t>
      </w:r>
      <w:r>
        <w:rPr>
          <w:rFonts w:ascii="Book Antiqua" w:hAnsi="Book Antiqua"/>
        </w:rPr>
        <w:t xml:space="preserve"> 2002; </w:t>
      </w:r>
      <w:r>
        <w:rPr>
          <w:rFonts w:ascii="Book Antiqua" w:hAnsi="Book Antiqua"/>
          <w:b/>
          <w:bCs/>
        </w:rPr>
        <w:t>415</w:t>
      </w:r>
      <w:r>
        <w:rPr>
          <w:rFonts w:ascii="Book Antiqua" w:hAnsi="Book Antiqua"/>
        </w:rPr>
        <w:t>: 536-541 [PMID: 11823861 DOI: 10.1038/415536a]</w:t>
      </w:r>
    </w:p>
    <w:p w14:paraId="7B95BDE5"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Zheng S</w:t>
      </w:r>
      <w:r>
        <w:rPr>
          <w:rFonts w:ascii="Book Antiqua" w:hAnsi="Book Antiqua"/>
        </w:rPr>
        <w:t xml:space="preserve">, Song J, </w:t>
      </w:r>
      <w:proofErr w:type="spellStart"/>
      <w:r>
        <w:rPr>
          <w:rFonts w:ascii="Book Antiqua" w:hAnsi="Book Antiqua"/>
        </w:rPr>
        <w:t>Linghu</w:t>
      </w:r>
      <w:proofErr w:type="spellEnd"/>
      <w:r>
        <w:rPr>
          <w:rFonts w:ascii="Book Antiqua" w:hAnsi="Book Antiqua"/>
        </w:rPr>
        <w:t xml:space="preserve"> D, Yang R, Liu B, </w:t>
      </w:r>
      <w:proofErr w:type="spellStart"/>
      <w:r>
        <w:rPr>
          <w:rFonts w:ascii="Book Antiqua" w:hAnsi="Book Antiqua"/>
        </w:rPr>
        <w:t>Xue</w:t>
      </w:r>
      <w:proofErr w:type="spellEnd"/>
      <w:r>
        <w:rPr>
          <w:rFonts w:ascii="Book Antiqua" w:hAnsi="Book Antiqua"/>
        </w:rPr>
        <w:t xml:space="preserve"> Z, Chen Q, Liu C, Zhong D, Hung MC, Sun L. Galectin-9 blockade synergizes with ATM inhibition to induce potent anti-tumor immunity. </w:t>
      </w:r>
      <w:r>
        <w:rPr>
          <w:rFonts w:ascii="Book Antiqua" w:hAnsi="Book Antiqua"/>
          <w:i/>
          <w:iCs/>
        </w:rPr>
        <w:t>Int J Biol Sci</w:t>
      </w:r>
      <w:r>
        <w:rPr>
          <w:rFonts w:ascii="Book Antiqua" w:hAnsi="Book Antiqua"/>
        </w:rPr>
        <w:t xml:space="preserve"> 2023; </w:t>
      </w:r>
      <w:r>
        <w:rPr>
          <w:rFonts w:ascii="Book Antiqua" w:hAnsi="Book Antiqua"/>
          <w:b/>
          <w:bCs/>
        </w:rPr>
        <w:t>19</w:t>
      </w:r>
      <w:r>
        <w:rPr>
          <w:rFonts w:ascii="Book Antiqua" w:hAnsi="Book Antiqua"/>
        </w:rPr>
        <w:t>: 981-993 [PMID: 36778120 DOI: 10.7150/ijbs.79852]</w:t>
      </w:r>
    </w:p>
    <w:p w14:paraId="3AA2F73F"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Jiang J</w:t>
      </w:r>
      <w:r>
        <w:rPr>
          <w:rFonts w:ascii="Book Antiqua" w:hAnsi="Book Antiqua"/>
        </w:rPr>
        <w:t xml:space="preserve">, </w:t>
      </w:r>
      <w:proofErr w:type="spellStart"/>
      <w:r>
        <w:rPr>
          <w:rFonts w:ascii="Book Antiqua" w:hAnsi="Book Antiqua"/>
        </w:rPr>
        <w:t>Jin</w:t>
      </w:r>
      <w:proofErr w:type="spellEnd"/>
      <w:r>
        <w:rPr>
          <w:rFonts w:ascii="Book Antiqua" w:hAnsi="Book Antiqua"/>
        </w:rPr>
        <w:t xml:space="preserve"> MS, Kong F, Cao D, Ma HX, Jia Z, Wang YP, Suo J, Cao X. Decreased galectin-9 and increased Tim-3 expression are related to poor prognosis in gastric cancer.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e81799 [PMID: 24339967 DOI: 10.1371/journal.pone.0081799]</w:t>
      </w:r>
    </w:p>
    <w:p w14:paraId="18F40BDF"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Wang Y</w:t>
      </w:r>
      <w:r>
        <w:rPr>
          <w:rFonts w:ascii="Book Antiqua" w:hAnsi="Book Antiqua"/>
        </w:rPr>
        <w:t>, Zhao E, Zhang Z, Zhao G, Cao H. Association between Tim</w:t>
      </w:r>
      <w:r>
        <w:rPr>
          <w:rFonts w:ascii="Book Antiqua" w:hAnsi="Book Antiqua"/>
        </w:rPr>
        <w:noBreakHyphen/>
        <w:t>3 and Gal</w:t>
      </w:r>
      <w:r>
        <w:rPr>
          <w:rFonts w:ascii="Book Antiqua" w:hAnsi="Book Antiqua"/>
        </w:rPr>
        <w:noBreakHyphen/>
        <w:t xml:space="preserve">9 expression and gastric cancer prognosis. </w:t>
      </w:r>
      <w:r>
        <w:rPr>
          <w:rFonts w:ascii="Book Antiqua" w:hAnsi="Book Antiqua"/>
          <w:i/>
          <w:iCs/>
        </w:rPr>
        <w:t>Oncol Rep</w:t>
      </w:r>
      <w:r>
        <w:rPr>
          <w:rFonts w:ascii="Book Antiqua" w:hAnsi="Book Antiqua"/>
        </w:rPr>
        <w:t xml:space="preserve"> 2018; </w:t>
      </w:r>
      <w:r>
        <w:rPr>
          <w:rFonts w:ascii="Book Antiqua" w:hAnsi="Book Antiqua"/>
          <w:b/>
          <w:bCs/>
        </w:rPr>
        <w:t>40</w:t>
      </w:r>
      <w:r>
        <w:rPr>
          <w:rFonts w:ascii="Book Antiqua" w:hAnsi="Book Antiqua"/>
        </w:rPr>
        <w:t>: 2115-2126 [PMID: 30106451 DOI: 10.3892/or.2018.6627]</w:t>
      </w:r>
    </w:p>
    <w:p w14:paraId="657837A3"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Park Y</w:t>
      </w:r>
      <w:r>
        <w:rPr>
          <w:rFonts w:ascii="Book Antiqua" w:hAnsi="Book Antiqua"/>
        </w:rPr>
        <w:t xml:space="preserve">, </w:t>
      </w:r>
      <w:proofErr w:type="spellStart"/>
      <w:r>
        <w:rPr>
          <w:rFonts w:ascii="Book Antiqua" w:hAnsi="Book Antiqua"/>
        </w:rPr>
        <w:t>Seo</w:t>
      </w:r>
      <w:proofErr w:type="spellEnd"/>
      <w:r>
        <w:rPr>
          <w:rFonts w:ascii="Book Antiqua" w:hAnsi="Book Antiqua"/>
        </w:rPr>
        <w:t xml:space="preserve"> AN, Koh J, Nam SK, Kwak Y, </w:t>
      </w:r>
      <w:proofErr w:type="spellStart"/>
      <w:r>
        <w:rPr>
          <w:rFonts w:ascii="Book Antiqua" w:hAnsi="Book Antiqua"/>
        </w:rPr>
        <w:t>Ahn</w:t>
      </w:r>
      <w:proofErr w:type="spellEnd"/>
      <w:r>
        <w:rPr>
          <w:rFonts w:ascii="Book Antiqua" w:hAnsi="Book Antiqua"/>
        </w:rPr>
        <w:t xml:space="preserve"> SH, Park DJ, Kim HH, Lee HS. Expression of the immune checkpoint receptors PD-1, LAG3, and TIM3 in the immune context of stage II and III gastric cancer by using single and chromogenic multiplex immunohistochemistry. </w:t>
      </w:r>
      <w:proofErr w:type="spellStart"/>
      <w:r>
        <w:rPr>
          <w:rFonts w:ascii="Book Antiqua" w:hAnsi="Book Antiqua"/>
          <w:i/>
          <w:iCs/>
        </w:rPr>
        <w:t>Oncoimmunology</w:t>
      </w:r>
      <w:proofErr w:type="spellEnd"/>
      <w:r>
        <w:rPr>
          <w:rFonts w:ascii="Book Antiqua" w:hAnsi="Book Antiqua"/>
        </w:rPr>
        <w:t xml:space="preserve"> 2021; </w:t>
      </w:r>
      <w:r>
        <w:rPr>
          <w:rFonts w:ascii="Book Antiqua" w:hAnsi="Book Antiqua"/>
          <w:b/>
          <w:bCs/>
        </w:rPr>
        <w:t>10</w:t>
      </w:r>
      <w:r>
        <w:rPr>
          <w:rFonts w:ascii="Book Antiqua" w:hAnsi="Book Antiqua"/>
        </w:rPr>
        <w:t>: 1954761 [PMID: 34367732 DOI: 10.1080/2162402X.2021.1954761]</w:t>
      </w:r>
    </w:p>
    <w:p w14:paraId="4FFB48F2" w14:textId="77777777" w:rsidR="00DC05DB" w:rsidRDefault="00000000">
      <w:pPr>
        <w:adjustRightInd w:val="0"/>
        <w:snapToGrid w:val="0"/>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Chen K</w:t>
      </w:r>
      <w:r>
        <w:rPr>
          <w:rFonts w:ascii="Book Antiqua" w:hAnsi="Book Antiqua"/>
        </w:rPr>
        <w:t xml:space="preserve">, Gu Y, Cao Y, Fang H, </w:t>
      </w:r>
      <w:proofErr w:type="spellStart"/>
      <w:r>
        <w:rPr>
          <w:rFonts w:ascii="Book Antiqua" w:hAnsi="Book Antiqua"/>
        </w:rPr>
        <w:t>Lv</w:t>
      </w:r>
      <w:proofErr w:type="spellEnd"/>
      <w:r>
        <w:rPr>
          <w:rFonts w:ascii="Book Antiqua" w:hAnsi="Book Antiqua"/>
        </w:rPr>
        <w:t xml:space="preserve"> K, Liu X, He X, Wang J, Lin C, Liu H, Zhang H, He H, Xu J, Li H, Li R. TIM3(+) cells in gastric cancer: clinical correlates and association with immune context. </w:t>
      </w:r>
      <w:r>
        <w:rPr>
          <w:rFonts w:ascii="Book Antiqua" w:hAnsi="Book Antiqua"/>
          <w:i/>
          <w:iCs/>
        </w:rPr>
        <w:t>Br J Cancer</w:t>
      </w:r>
      <w:r>
        <w:rPr>
          <w:rFonts w:ascii="Book Antiqua" w:hAnsi="Book Antiqua"/>
        </w:rPr>
        <w:t xml:space="preserve"> 2022; </w:t>
      </w:r>
      <w:r>
        <w:rPr>
          <w:rFonts w:ascii="Book Antiqua" w:hAnsi="Book Antiqua"/>
          <w:b/>
          <w:bCs/>
        </w:rPr>
        <w:t>126</w:t>
      </w:r>
      <w:r>
        <w:rPr>
          <w:rFonts w:ascii="Book Antiqua" w:hAnsi="Book Antiqua"/>
        </w:rPr>
        <w:t>: 100-108 [PMID: 34725458 DOI: 10.1038/s41416-021-01607-3]</w:t>
      </w:r>
    </w:p>
    <w:p w14:paraId="762A58DB"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Shan B</w:t>
      </w:r>
      <w:r>
        <w:rPr>
          <w:rFonts w:ascii="Book Antiqua" w:hAnsi="Book Antiqua"/>
        </w:rPr>
        <w:t xml:space="preserve">, Man H, Liu J, Wang L, Zhu T, Ma M, </w:t>
      </w:r>
      <w:proofErr w:type="spellStart"/>
      <w:r>
        <w:rPr>
          <w:rFonts w:ascii="Book Antiqua" w:hAnsi="Book Antiqua"/>
        </w:rPr>
        <w:t>Xv</w:t>
      </w:r>
      <w:proofErr w:type="spellEnd"/>
      <w:r>
        <w:rPr>
          <w:rFonts w:ascii="Book Antiqua" w:hAnsi="Book Antiqua"/>
        </w:rPr>
        <w:t xml:space="preserve"> Z, Chen X, Yang X, Li P. TIM-3 promotes the metastasis of esophageal squamous cell carcinoma by targeting epithelial-mesenchymal transition via the Akt/GSK-3β/Snail signaling pathway. </w:t>
      </w:r>
      <w:r>
        <w:rPr>
          <w:rFonts w:ascii="Book Antiqua" w:hAnsi="Book Antiqua"/>
          <w:i/>
          <w:iCs/>
        </w:rPr>
        <w:t>Oncol Rep</w:t>
      </w:r>
      <w:r>
        <w:rPr>
          <w:rFonts w:ascii="Book Antiqua" w:hAnsi="Book Antiqua"/>
        </w:rPr>
        <w:t xml:space="preserve"> 2016; </w:t>
      </w:r>
      <w:r>
        <w:rPr>
          <w:rFonts w:ascii="Book Antiqua" w:hAnsi="Book Antiqua"/>
          <w:b/>
          <w:bCs/>
        </w:rPr>
        <w:t>36</w:t>
      </w:r>
      <w:r>
        <w:rPr>
          <w:rFonts w:ascii="Book Antiqua" w:hAnsi="Book Antiqua"/>
        </w:rPr>
        <w:t>: 1551-1561 [PMID: 27430162 DOI: 10.3892/or.2016.4938]</w:t>
      </w:r>
    </w:p>
    <w:p w14:paraId="519FCDCE"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Hou N</w:t>
      </w:r>
      <w:r>
        <w:rPr>
          <w:rFonts w:ascii="Book Antiqua" w:hAnsi="Book Antiqua"/>
        </w:rPr>
        <w:t xml:space="preserve">, Ma J, Li W, Zhao L, Gao Q, Mai L. T-cell </w:t>
      </w:r>
      <w:proofErr w:type="gramStart"/>
      <w:r>
        <w:rPr>
          <w:rFonts w:ascii="Book Antiqua" w:hAnsi="Book Antiqua"/>
        </w:rPr>
        <w:t>immunoglobulin</w:t>
      </w:r>
      <w:proofErr w:type="gramEnd"/>
      <w:r>
        <w:rPr>
          <w:rFonts w:ascii="Book Antiqua" w:hAnsi="Book Antiqua"/>
        </w:rPr>
        <w:t xml:space="preserve"> and mucin domain-containing protein-3 and galectin-9 protein expression: Potential prognostic significance in esophageal squamous cell carcinoma for Chinese patients. </w:t>
      </w:r>
      <w:r>
        <w:rPr>
          <w:rFonts w:ascii="Book Antiqua" w:hAnsi="Book Antiqua"/>
          <w:i/>
          <w:iCs/>
        </w:rPr>
        <w:t>Oncol Lett</w:t>
      </w:r>
      <w:r>
        <w:rPr>
          <w:rFonts w:ascii="Book Antiqua" w:hAnsi="Book Antiqua"/>
        </w:rPr>
        <w:t xml:space="preserve"> 2017; </w:t>
      </w:r>
      <w:r>
        <w:rPr>
          <w:rFonts w:ascii="Book Antiqua" w:hAnsi="Book Antiqua"/>
          <w:b/>
          <w:bCs/>
        </w:rPr>
        <w:t>14</w:t>
      </w:r>
      <w:r>
        <w:rPr>
          <w:rFonts w:ascii="Book Antiqua" w:hAnsi="Book Antiqua"/>
        </w:rPr>
        <w:t>: 8007-8013 [PMID: 29344243 DOI: 10.3892/ol.2017.7188]</w:t>
      </w:r>
    </w:p>
    <w:p w14:paraId="7AA7489A"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Duan J</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Y, Qu L, Wang L, Zhou S, Wang Y, Fan Z, Yang S, Jiao S. A nomogram-based </w:t>
      </w:r>
      <w:proofErr w:type="spellStart"/>
      <w:r>
        <w:rPr>
          <w:rFonts w:ascii="Book Antiqua" w:hAnsi="Book Antiqua"/>
        </w:rPr>
        <w:t>immunoprofile</w:t>
      </w:r>
      <w:proofErr w:type="spellEnd"/>
      <w:r>
        <w:rPr>
          <w:rFonts w:ascii="Book Antiqua" w:hAnsi="Book Antiqua"/>
        </w:rPr>
        <w:t xml:space="preserve"> predicts overall survival for previously untreated patients with esophageal squamous cell carcinoma after esophagectomy. </w:t>
      </w:r>
      <w:r>
        <w:rPr>
          <w:rFonts w:ascii="Book Antiqua" w:hAnsi="Book Antiqua"/>
          <w:i/>
          <w:iCs/>
        </w:rPr>
        <w:t xml:space="preserve">J </w:t>
      </w:r>
      <w:proofErr w:type="spellStart"/>
      <w:r>
        <w:rPr>
          <w:rFonts w:ascii="Book Antiqua" w:hAnsi="Book Antiqua"/>
          <w:i/>
          <w:iCs/>
        </w:rPr>
        <w:t>Immunother</w:t>
      </w:r>
      <w:proofErr w:type="spellEnd"/>
      <w:r>
        <w:rPr>
          <w:rFonts w:ascii="Book Antiqua" w:hAnsi="Book Antiqua"/>
          <w:i/>
          <w:iCs/>
        </w:rPr>
        <w:t xml:space="preserve"> Cancer</w:t>
      </w:r>
      <w:r>
        <w:rPr>
          <w:rFonts w:ascii="Book Antiqua" w:hAnsi="Book Antiqua"/>
        </w:rPr>
        <w:t xml:space="preserve"> 2018; </w:t>
      </w:r>
      <w:r>
        <w:rPr>
          <w:rFonts w:ascii="Book Antiqua" w:hAnsi="Book Antiqua"/>
          <w:b/>
          <w:bCs/>
        </w:rPr>
        <w:t>6</w:t>
      </w:r>
      <w:r>
        <w:rPr>
          <w:rFonts w:ascii="Book Antiqua" w:hAnsi="Book Antiqua"/>
        </w:rPr>
        <w:t>: 100 [PMID: 30285868 DOI: 10.1186/s40425-018-0418-7]</w:t>
      </w:r>
    </w:p>
    <w:p w14:paraId="7E9923F1"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Hong MH</w:t>
      </w:r>
      <w:r>
        <w:rPr>
          <w:rFonts w:ascii="Book Antiqua" w:hAnsi="Book Antiqua"/>
        </w:rPr>
        <w:t xml:space="preserve">, Shin SJ, Shin SK, Kim DJ, Zo JI, Shim YM, Lee SE, Cho BC, Park SY, Choi YL, Kim HR. High CD3 and ICOS and low TIM-3 expression predict </w:t>
      </w:r>
      <w:proofErr w:type="spellStart"/>
      <w:r>
        <w:rPr>
          <w:rFonts w:ascii="Book Antiqua" w:hAnsi="Book Antiqua"/>
        </w:rPr>
        <w:t>favourable</w:t>
      </w:r>
      <w:proofErr w:type="spellEnd"/>
      <w:r>
        <w:rPr>
          <w:rFonts w:ascii="Book Antiqua" w:hAnsi="Book Antiqua"/>
        </w:rPr>
        <w:t xml:space="preserve"> survival in resected </w:t>
      </w:r>
      <w:proofErr w:type="spellStart"/>
      <w:r>
        <w:rPr>
          <w:rFonts w:ascii="Book Antiqua" w:hAnsi="Book Antiqua"/>
        </w:rPr>
        <w:t>oesophageal</w:t>
      </w:r>
      <w:proofErr w:type="spellEnd"/>
      <w:r>
        <w:rPr>
          <w:rFonts w:ascii="Book Antiqua" w:hAnsi="Book Antiqua"/>
        </w:rPr>
        <w:t xml:space="preserve"> squamous cell carcinoma.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20197 [PMID: 31882943 DOI: 10.1038/s41598-019-56828-7]</w:t>
      </w:r>
    </w:p>
    <w:p w14:paraId="5404D93F"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Zhao Y</w:t>
      </w:r>
      <w:r>
        <w:rPr>
          <w:rFonts w:ascii="Book Antiqua" w:hAnsi="Book Antiqua"/>
        </w:rPr>
        <w:t xml:space="preserve">, Chen D, Wang W, Zhao T, Wen J, Zhang F, Duan S, Chen C, Sang Y, Zhang Y, Chen Y. Significance of TIM-3 Expression in Resected Esophageal Squamous Cell Carcinoma. </w:t>
      </w:r>
      <w:r>
        <w:rPr>
          <w:rFonts w:ascii="Book Antiqua" w:hAnsi="Book Antiqua"/>
          <w:i/>
          <w:iCs/>
        </w:rPr>
        <w:t xml:space="preserve">Ann </w:t>
      </w:r>
      <w:proofErr w:type="spellStart"/>
      <w:r>
        <w:rPr>
          <w:rFonts w:ascii="Book Antiqua" w:hAnsi="Book Antiqua"/>
          <w:i/>
          <w:iCs/>
        </w:rPr>
        <w:t>Thorac</w:t>
      </w:r>
      <w:proofErr w:type="spellEnd"/>
      <w:r>
        <w:rPr>
          <w:rFonts w:ascii="Book Antiqua" w:hAnsi="Book Antiqua"/>
          <w:i/>
          <w:iCs/>
        </w:rPr>
        <w:t xml:space="preserve"> Surg</w:t>
      </w:r>
      <w:r>
        <w:rPr>
          <w:rFonts w:ascii="Book Antiqua" w:hAnsi="Book Antiqua"/>
        </w:rPr>
        <w:t xml:space="preserve"> 2020; </w:t>
      </w:r>
      <w:r>
        <w:rPr>
          <w:rFonts w:ascii="Book Antiqua" w:hAnsi="Book Antiqua"/>
          <w:b/>
          <w:bCs/>
        </w:rPr>
        <w:t>109</w:t>
      </w:r>
      <w:r>
        <w:rPr>
          <w:rFonts w:ascii="Book Antiqua" w:hAnsi="Book Antiqua"/>
        </w:rPr>
        <w:t>: 1551-1557 [PMID: 31987829 DOI: 10.1016/j.athoracsur.2019.12.017]</w:t>
      </w:r>
    </w:p>
    <w:p w14:paraId="590F3A19"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Aragon-Sanabria V</w:t>
      </w:r>
      <w:r>
        <w:rPr>
          <w:rFonts w:ascii="Book Antiqua" w:hAnsi="Book Antiqua"/>
        </w:rPr>
        <w:t xml:space="preserve">, Kim GB, Dong C. From Cancer Immunoediting to New Strategies in Cancer Immunotherapy: The Roles of Immune Cells and Mechanics in Oncology. </w:t>
      </w:r>
      <w:r>
        <w:rPr>
          <w:rFonts w:ascii="Book Antiqua" w:hAnsi="Book Antiqua"/>
          <w:i/>
          <w:iCs/>
        </w:rPr>
        <w:t>Adv Exp Med Biol</w:t>
      </w:r>
      <w:r>
        <w:rPr>
          <w:rFonts w:ascii="Book Antiqua" w:hAnsi="Book Antiqua"/>
        </w:rPr>
        <w:t xml:space="preserve"> 2018; </w:t>
      </w:r>
      <w:r>
        <w:rPr>
          <w:rFonts w:ascii="Book Antiqua" w:hAnsi="Book Antiqua"/>
          <w:b/>
          <w:bCs/>
        </w:rPr>
        <w:t>1092</w:t>
      </w:r>
      <w:r>
        <w:rPr>
          <w:rFonts w:ascii="Book Antiqua" w:hAnsi="Book Antiqua"/>
        </w:rPr>
        <w:t>: 113-138 [PMID: 30368751 DOI: 10.1007/978-3-319-95294-9_7]</w:t>
      </w:r>
    </w:p>
    <w:p w14:paraId="3834C6B8"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Janssen LME</w:t>
      </w:r>
      <w:r>
        <w:rPr>
          <w:rFonts w:ascii="Book Antiqua" w:hAnsi="Book Antiqua"/>
        </w:rPr>
        <w:t xml:space="preserve">, Ramsay EE, Logsdon CD, </w:t>
      </w:r>
      <w:proofErr w:type="spellStart"/>
      <w:r>
        <w:rPr>
          <w:rFonts w:ascii="Book Antiqua" w:hAnsi="Book Antiqua"/>
        </w:rPr>
        <w:t>Overwijk</w:t>
      </w:r>
      <w:proofErr w:type="spellEnd"/>
      <w:r>
        <w:rPr>
          <w:rFonts w:ascii="Book Antiqua" w:hAnsi="Book Antiqua"/>
        </w:rPr>
        <w:t xml:space="preserve"> WW. The immune system in cancer metastasis: friend or foe? </w:t>
      </w:r>
      <w:r>
        <w:rPr>
          <w:rFonts w:ascii="Book Antiqua" w:hAnsi="Book Antiqua"/>
          <w:i/>
          <w:iCs/>
        </w:rPr>
        <w:t xml:space="preserve">J </w:t>
      </w:r>
      <w:proofErr w:type="spellStart"/>
      <w:r>
        <w:rPr>
          <w:rFonts w:ascii="Book Antiqua" w:hAnsi="Book Antiqua"/>
          <w:i/>
          <w:iCs/>
        </w:rPr>
        <w:t>Immunother</w:t>
      </w:r>
      <w:proofErr w:type="spellEnd"/>
      <w:r>
        <w:rPr>
          <w:rFonts w:ascii="Book Antiqua" w:hAnsi="Book Antiqua"/>
          <w:i/>
          <w:iCs/>
        </w:rPr>
        <w:t xml:space="preserve"> Cancer</w:t>
      </w:r>
      <w:r>
        <w:rPr>
          <w:rFonts w:ascii="Book Antiqua" w:hAnsi="Book Antiqua"/>
        </w:rPr>
        <w:t xml:space="preserve"> 2017; </w:t>
      </w:r>
      <w:r>
        <w:rPr>
          <w:rFonts w:ascii="Book Antiqua" w:hAnsi="Book Antiqua"/>
          <w:b/>
          <w:bCs/>
        </w:rPr>
        <w:t>5</w:t>
      </w:r>
      <w:r>
        <w:rPr>
          <w:rFonts w:ascii="Book Antiqua" w:hAnsi="Book Antiqua"/>
        </w:rPr>
        <w:t>: 79 [PMID: 29037250 DOI: 10.1186/s40425-017-0283-9]</w:t>
      </w:r>
    </w:p>
    <w:p w14:paraId="5BB8616D" w14:textId="77777777" w:rsidR="00DC05DB" w:rsidRDefault="00000000">
      <w:pPr>
        <w:adjustRightInd w:val="0"/>
        <w:snapToGrid w:val="0"/>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Jiang J</w:t>
      </w:r>
      <w:r>
        <w:rPr>
          <w:rFonts w:ascii="Book Antiqua" w:hAnsi="Book Antiqua"/>
        </w:rPr>
        <w:t xml:space="preserve">, Li J, Zhou X, Zhao X, Huang B, Qin Y. Exosomes Regulate the Epithelial-Mesenchymal Transition in Cancer.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864980 [PMID: 35359397 DOI: 10.3389/fonc.2022.864980]</w:t>
      </w:r>
    </w:p>
    <w:p w14:paraId="4B7E719B"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Qin Y</w:t>
      </w:r>
      <w:r>
        <w:rPr>
          <w:rFonts w:ascii="Book Antiqua" w:hAnsi="Book Antiqua"/>
        </w:rPr>
        <w:t xml:space="preserve">, </w:t>
      </w:r>
      <w:proofErr w:type="spellStart"/>
      <w:r>
        <w:rPr>
          <w:rFonts w:ascii="Book Antiqua" w:hAnsi="Book Antiqua"/>
        </w:rPr>
        <w:t>Geng</w:t>
      </w:r>
      <w:proofErr w:type="spellEnd"/>
      <w:r>
        <w:rPr>
          <w:rFonts w:ascii="Book Antiqua" w:hAnsi="Book Antiqua"/>
        </w:rPr>
        <w:t xml:space="preserve"> JX, Huang B. Clinical value of serum pepsinogen in the diagnosis and treatment of gastric diseases.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Oncol</w:t>
      </w:r>
      <w:r>
        <w:rPr>
          <w:rFonts w:ascii="Book Antiqua" w:hAnsi="Book Antiqua"/>
        </w:rPr>
        <w:t xml:space="preserve"> 2023; </w:t>
      </w:r>
      <w:r>
        <w:rPr>
          <w:rFonts w:ascii="Book Antiqua" w:hAnsi="Book Antiqua"/>
          <w:b/>
          <w:bCs/>
        </w:rPr>
        <w:t>15</w:t>
      </w:r>
      <w:r>
        <w:rPr>
          <w:rFonts w:ascii="Book Antiqua" w:hAnsi="Book Antiqua"/>
        </w:rPr>
        <w:t>: 1174-1181 [PMID: 37546552 DOI: 10.4251/</w:t>
      </w:r>
      <w:proofErr w:type="gramStart"/>
      <w:r>
        <w:rPr>
          <w:rFonts w:ascii="Book Antiqua" w:hAnsi="Book Antiqua"/>
        </w:rPr>
        <w:t>wjgo.v15.i</w:t>
      </w:r>
      <w:proofErr w:type="gramEnd"/>
      <w:r>
        <w:rPr>
          <w:rFonts w:ascii="Book Antiqua" w:hAnsi="Book Antiqua"/>
        </w:rPr>
        <w:t>7.1174]</w:t>
      </w:r>
    </w:p>
    <w:p w14:paraId="4CD92D6F"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Das M</w:t>
      </w:r>
      <w:r>
        <w:rPr>
          <w:rFonts w:ascii="Book Antiqua" w:hAnsi="Book Antiqua"/>
        </w:rPr>
        <w:t xml:space="preserve">, Zhu C, </w:t>
      </w:r>
      <w:proofErr w:type="spellStart"/>
      <w:r>
        <w:rPr>
          <w:rFonts w:ascii="Book Antiqua" w:hAnsi="Book Antiqua"/>
        </w:rPr>
        <w:t>Kuchroo</w:t>
      </w:r>
      <w:proofErr w:type="spellEnd"/>
      <w:r>
        <w:rPr>
          <w:rFonts w:ascii="Book Antiqua" w:hAnsi="Book Antiqua"/>
        </w:rPr>
        <w:t xml:space="preserve"> VK. Tim-3 and its role in regulating anti-tumor immunity. </w:t>
      </w:r>
      <w:r>
        <w:rPr>
          <w:rFonts w:ascii="Book Antiqua" w:hAnsi="Book Antiqua"/>
          <w:i/>
          <w:iCs/>
        </w:rPr>
        <w:t>Immunol Rev</w:t>
      </w:r>
      <w:r>
        <w:rPr>
          <w:rFonts w:ascii="Book Antiqua" w:hAnsi="Book Antiqua"/>
        </w:rPr>
        <w:t xml:space="preserve"> 2017; </w:t>
      </w:r>
      <w:r>
        <w:rPr>
          <w:rFonts w:ascii="Book Antiqua" w:hAnsi="Book Antiqua"/>
          <w:b/>
          <w:bCs/>
        </w:rPr>
        <w:t>276</w:t>
      </w:r>
      <w:r>
        <w:rPr>
          <w:rFonts w:ascii="Book Antiqua" w:hAnsi="Book Antiqua"/>
        </w:rPr>
        <w:t>: 97-111 [PMID: 28258697 DOI: 10.1111/imr.12520]</w:t>
      </w:r>
    </w:p>
    <w:p w14:paraId="42B0EB44"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Borcherding</w:t>
      </w:r>
      <w:proofErr w:type="spellEnd"/>
      <w:r>
        <w:rPr>
          <w:rFonts w:ascii="Book Antiqua" w:hAnsi="Book Antiqua"/>
          <w:b/>
          <w:bCs/>
        </w:rPr>
        <w:t xml:space="preserve"> N</w:t>
      </w:r>
      <w:r>
        <w:rPr>
          <w:rFonts w:ascii="Book Antiqua" w:hAnsi="Book Antiqua"/>
        </w:rPr>
        <w:t xml:space="preserve">, Kolb R, </w:t>
      </w:r>
      <w:proofErr w:type="spellStart"/>
      <w:r>
        <w:rPr>
          <w:rFonts w:ascii="Book Antiqua" w:hAnsi="Book Antiqua"/>
        </w:rPr>
        <w:t>Gullicksrud</w:t>
      </w:r>
      <w:proofErr w:type="spellEnd"/>
      <w:r>
        <w:rPr>
          <w:rFonts w:ascii="Book Antiqua" w:hAnsi="Book Antiqua"/>
        </w:rPr>
        <w:t xml:space="preserve"> J, Vikas P, Zhu Y, Zhang W. Keeping Tumors in Check: A Mechanistic Review of Clinical Response and Resistance to Immune Checkpoint Blockade in Cancer. </w:t>
      </w:r>
      <w:r>
        <w:rPr>
          <w:rFonts w:ascii="Book Antiqua" w:hAnsi="Book Antiqua"/>
          <w:i/>
          <w:iCs/>
        </w:rPr>
        <w:t>J Mol Biol</w:t>
      </w:r>
      <w:r>
        <w:rPr>
          <w:rFonts w:ascii="Book Antiqua" w:hAnsi="Book Antiqua"/>
        </w:rPr>
        <w:t xml:space="preserve"> 2018; </w:t>
      </w:r>
      <w:r>
        <w:rPr>
          <w:rFonts w:ascii="Book Antiqua" w:hAnsi="Book Antiqua"/>
          <w:b/>
          <w:bCs/>
        </w:rPr>
        <w:t>430</w:t>
      </w:r>
      <w:r>
        <w:rPr>
          <w:rFonts w:ascii="Book Antiqua" w:hAnsi="Book Antiqua"/>
        </w:rPr>
        <w:t>: 2014-2029 [PMID: 29800567 DOI: 10.1016/j.jmb.2018.05.030]</w:t>
      </w:r>
    </w:p>
    <w:p w14:paraId="183E77C8"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Sabins</w:t>
      </w:r>
      <w:proofErr w:type="spellEnd"/>
      <w:r>
        <w:rPr>
          <w:rFonts w:ascii="Book Antiqua" w:hAnsi="Book Antiqua"/>
          <w:b/>
          <w:bCs/>
        </w:rPr>
        <w:t xml:space="preserve"> NC</w:t>
      </w:r>
      <w:r>
        <w:rPr>
          <w:rFonts w:ascii="Book Antiqua" w:hAnsi="Book Antiqua"/>
        </w:rPr>
        <w:t xml:space="preserve">, </w:t>
      </w:r>
      <w:proofErr w:type="spellStart"/>
      <w:r>
        <w:rPr>
          <w:rFonts w:ascii="Book Antiqua" w:hAnsi="Book Antiqua"/>
        </w:rPr>
        <w:t>Chornoguz</w:t>
      </w:r>
      <w:proofErr w:type="spellEnd"/>
      <w:r>
        <w:rPr>
          <w:rFonts w:ascii="Book Antiqua" w:hAnsi="Book Antiqua"/>
        </w:rPr>
        <w:t xml:space="preserve"> O, Leander K, Kaplan F, Carter R, Kinder M, Bachman K, Verona R, Shen S, Bhargava V, </w:t>
      </w:r>
      <w:proofErr w:type="spellStart"/>
      <w:r>
        <w:rPr>
          <w:rFonts w:ascii="Book Antiqua" w:hAnsi="Book Antiqua"/>
        </w:rPr>
        <w:t>Santulli-Marotto</w:t>
      </w:r>
      <w:proofErr w:type="spellEnd"/>
      <w:r>
        <w:rPr>
          <w:rFonts w:ascii="Book Antiqua" w:hAnsi="Book Antiqua"/>
        </w:rPr>
        <w:t xml:space="preserve"> S. TIM-3 Engagement Promotes Effector Memory T Cell Differentiation of Human Antigen-Specific CD8 T Cells by Activating mTORC1. </w:t>
      </w:r>
      <w:r>
        <w:rPr>
          <w:rFonts w:ascii="Book Antiqua" w:hAnsi="Book Antiqua"/>
          <w:i/>
          <w:iCs/>
        </w:rPr>
        <w:t>J Immunol</w:t>
      </w:r>
      <w:r>
        <w:rPr>
          <w:rFonts w:ascii="Book Antiqua" w:hAnsi="Book Antiqua"/>
        </w:rPr>
        <w:t xml:space="preserve"> 2017; </w:t>
      </w:r>
      <w:r>
        <w:rPr>
          <w:rFonts w:ascii="Book Antiqua" w:hAnsi="Book Antiqua"/>
          <w:b/>
          <w:bCs/>
        </w:rPr>
        <w:t>199</w:t>
      </w:r>
      <w:r>
        <w:rPr>
          <w:rFonts w:ascii="Book Antiqua" w:hAnsi="Book Antiqua"/>
        </w:rPr>
        <w:t>: 4091-4102 [PMID: 29127145 DOI: 10.4049/jimmunol.1701030]</w:t>
      </w:r>
    </w:p>
    <w:p w14:paraId="2F85F299"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Pagliano</w:t>
      </w:r>
      <w:proofErr w:type="spellEnd"/>
      <w:r>
        <w:rPr>
          <w:rFonts w:ascii="Book Antiqua" w:hAnsi="Book Antiqua"/>
          <w:b/>
          <w:bCs/>
        </w:rPr>
        <w:t xml:space="preserve"> O</w:t>
      </w:r>
      <w:r>
        <w:rPr>
          <w:rFonts w:ascii="Book Antiqua" w:hAnsi="Book Antiqua"/>
        </w:rPr>
        <w:t xml:space="preserve">, Morrison RM, Chauvin JM, Banerjee H, </w:t>
      </w:r>
      <w:proofErr w:type="spellStart"/>
      <w:r>
        <w:rPr>
          <w:rFonts w:ascii="Book Antiqua" w:hAnsi="Book Antiqua"/>
        </w:rPr>
        <w:t>Davar</w:t>
      </w:r>
      <w:proofErr w:type="spellEnd"/>
      <w:r>
        <w:rPr>
          <w:rFonts w:ascii="Book Antiqua" w:hAnsi="Book Antiqua"/>
        </w:rPr>
        <w:t xml:space="preserve"> D, Ding Q, </w:t>
      </w:r>
      <w:proofErr w:type="spellStart"/>
      <w:r>
        <w:rPr>
          <w:rFonts w:ascii="Book Antiqua" w:hAnsi="Book Antiqua"/>
        </w:rPr>
        <w:t>Tanegashima</w:t>
      </w:r>
      <w:proofErr w:type="spellEnd"/>
      <w:r>
        <w:rPr>
          <w:rFonts w:ascii="Book Antiqua" w:hAnsi="Book Antiqua"/>
        </w:rPr>
        <w:t xml:space="preserve"> T, Gao W, Chakka SR, DeBlasio R, </w:t>
      </w:r>
      <w:proofErr w:type="spellStart"/>
      <w:r>
        <w:rPr>
          <w:rFonts w:ascii="Book Antiqua" w:hAnsi="Book Antiqua"/>
        </w:rPr>
        <w:t>Lowin</w:t>
      </w:r>
      <w:proofErr w:type="spellEnd"/>
      <w:r>
        <w:rPr>
          <w:rFonts w:ascii="Book Antiqua" w:hAnsi="Book Antiqua"/>
        </w:rPr>
        <w:t xml:space="preserve"> A, Kara K, Ka M, </w:t>
      </w:r>
      <w:proofErr w:type="spellStart"/>
      <w:r>
        <w:rPr>
          <w:rFonts w:ascii="Book Antiqua" w:hAnsi="Book Antiqua"/>
        </w:rPr>
        <w:t>Zidi</w:t>
      </w:r>
      <w:proofErr w:type="spellEnd"/>
      <w:r>
        <w:rPr>
          <w:rFonts w:ascii="Book Antiqua" w:hAnsi="Book Antiqua"/>
        </w:rPr>
        <w:t xml:space="preserve"> B, Amin R, Raphael I, Zhang S, Watkins SC, Sander C, Kirkwood JM, </w:t>
      </w:r>
      <w:proofErr w:type="spellStart"/>
      <w:r>
        <w:rPr>
          <w:rFonts w:ascii="Book Antiqua" w:hAnsi="Book Antiqua"/>
        </w:rPr>
        <w:t>Bosenberg</w:t>
      </w:r>
      <w:proofErr w:type="spellEnd"/>
      <w:r>
        <w:rPr>
          <w:rFonts w:ascii="Book Antiqua" w:hAnsi="Book Antiqua"/>
        </w:rPr>
        <w:t xml:space="preserve"> M, Anderson AC, </w:t>
      </w:r>
      <w:proofErr w:type="spellStart"/>
      <w:r>
        <w:rPr>
          <w:rFonts w:ascii="Book Antiqua" w:hAnsi="Book Antiqua"/>
        </w:rPr>
        <w:t>Kuchroo</w:t>
      </w:r>
      <w:proofErr w:type="spellEnd"/>
      <w:r>
        <w:rPr>
          <w:rFonts w:ascii="Book Antiqua" w:hAnsi="Book Antiqua"/>
        </w:rPr>
        <w:t xml:space="preserve"> VK, Kane LP, </w:t>
      </w:r>
      <w:proofErr w:type="spellStart"/>
      <w:r>
        <w:rPr>
          <w:rFonts w:ascii="Book Antiqua" w:hAnsi="Book Antiqua"/>
        </w:rPr>
        <w:t>Korman</w:t>
      </w:r>
      <w:proofErr w:type="spellEnd"/>
      <w:r>
        <w:rPr>
          <w:rFonts w:ascii="Book Antiqua" w:hAnsi="Book Antiqua"/>
        </w:rPr>
        <w:t xml:space="preserve"> AJ, Rajpal A, West SM, Han M, Bee C, Deng X, </w:t>
      </w:r>
      <w:proofErr w:type="spellStart"/>
      <w:r>
        <w:rPr>
          <w:rFonts w:ascii="Book Antiqua" w:hAnsi="Book Antiqua"/>
        </w:rPr>
        <w:t>Schebye</w:t>
      </w:r>
      <w:proofErr w:type="spellEnd"/>
      <w:r>
        <w:rPr>
          <w:rFonts w:ascii="Book Antiqua" w:hAnsi="Book Antiqua"/>
        </w:rPr>
        <w:t xml:space="preserve"> XM, Strop P, </w:t>
      </w:r>
      <w:proofErr w:type="spellStart"/>
      <w:r>
        <w:rPr>
          <w:rFonts w:ascii="Book Antiqua" w:hAnsi="Book Antiqua"/>
        </w:rPr>
        <w:t>Zarour</w:t>
      </w:r>
      <w:proofErr w:type="spellEnd"/>
      <w:r>
        <w:rPr>
          <w:rFonts w:ascii="Book Antiqua" w:hAnsi="Book Antiqua"/>
        </w:rPr>
        <w:t xml:space="preserve"> HM. Tim-3 mediates T cell </w:t>
      </w:r>
      <w:proofErr w:type="spellStart"/>
      <w:r>
        <w:rPr>
          <w:rFonts w:ascii="Book Antiqua" w:hAnsi="Book Antiqua"/>
        </w:rPr>
        <w:t>trogocytosis</w:t>
      </w:r>
      <w:proofErr w:type="spellEnd"/>
      <w:r>
        <w:rPr>
          <w:rFonts w:ascii="Book Antiqua" w:hAnsi="Book Antiqua"/>
        </w:rPr>
        <w:t xml:space="preserve"> to limit antitumor immunity. </w:t>
      </w:r>
      <w:r>
        <w:rPr>
          <w:rFonts w:ascii="Book Antiqua" w:hAnsi="Book Antiqua"/>
          <w:i/>
          <w:iCs/>
        </w:rPr>
        <w:t>J Clin Invest</w:t>
      </w:r>
      <w:r>
        <w:rPr>
          <w:rFonts w:ascii="Book Antiqua" w:hAnsi="Book Antiqua"/>
        </w:rPr>
        <w:t xml:space="preserve"> 2022; </w:t>
      </w:r>
      <w:r>
        <w:rPr>
          <w:rFonts w:ascii="Book Antiqua" w:hAnsi="Book Antiqua"/>
          <w:b/>
          <w:bCs/>
        </w:rPr>
        <w:t>132</w:t>
      </w:r>
      <w:r>
        <w:rPr>
          <w:rFonts w:ascii="Book Antiqua" w:hAnsi="Book Antiqua"/>
        </w:rPr>
        <w:t xml:space="preserve"> [PMID: 35316223 DOI: 10.1172/JCI152864]</w:t>
      </w:r>
    </w:p>
    <w:p w14:paraId="40B8A13D"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Liu JF</w:t>
      </w:r>
      <w:r>
        <w:rPr>
          <w:rFonts w:ascii="Book Antiqua" w:hAnsi="Book Antiqua"/>
        </w:rPr>
        <w:t xml:space="preserve">, Wu L, Yang LL, Deng WW, Mao L, Wu H, Zhang WF, Sun ZJ. Blockade of TIM3 relieves immunosuppression through reducing regulatory T cells in head and neck cancer. </w:t>
      </w:r>
      <w:r>
        <w:rPr>
          <w:rFonts w:ascii="Book Antiqua" w:hAnsi="Book Antiqua"/>
          <w:i/>
          <w:iCs/>
        </w:rPr>
        <w:t>J Exp Clin Cancer Res</w:t>
      </w:r>
      <w:r>
        <w:rPr>
          <w:rFonts w:ascii="Book Antiqua" w:hAnsi="Book Antiqua"/>
        </w:rPr>
        <w:t xml:space="preserve"> 2018; </w:t>
      </w:r>
      <w:r>
        <w:rPr>
          <w:rFonts w:ascii="Book Antiqua" w:hAnsi="Book Antiqua"/>
          <w:b/>
          <w:bCs/>
        </w:rPr>
        <w:t>37</w:t>
      </w:r>
      <w:r>
        <w:rPr>
          <w:rFonts w:ascii="Book Antiqua" w:hAnsi="Book Antiqua"/>
        </w:rPr>
        <w:t>: 44 [PMID: 29506555 DOI: 10.1186/s13046-018-0713-7]</w:t>
      </w:r>
    </w:p>
    <w:p w14:paraId="060E69D8"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Tan S</w:t>
      </w:r>
      <w:r>
        <w:rPr>
          <w:rFonts w:ascii="Book Antiqua" w:hAnsi="Book Antiqua"/>
        </w:rPr>
        <w:t xml:space="preserve">, Xu Y, Wang Z, Wang T, Du X, Song X, Guo X, Peng J, Zhang J, Liang Y, Lu J, Peng J, Gao C, Wu Z, Li C, Li N, Gao L, Liang X, Ma C. Tim-3 Hampers Tumor </w:t>
      </w:r>
      <w:r>
        <w:rPr>
          <w:rFonts w:ascii="Book Antiqua" w:hAnsi="Book Antiqua"/>
        </w:rPr>
        <w:lastRenderedPageBreak/>
        <w:t xml:space="preserve">Surveillance of Liver-Resident and Conventional NK Cells by Disrupting PI3K Signaling. </w:t>
      </w:r>
      <w:r>
        <w:rPr>
          <w:rFonts w:ascii="Book Antiqua" w:hAnsi="Book Antiqua"/>
          <w:i/>
          <w:iCs/>
        </w:rPr>
        <w:t>Cancer Res</w:t>
      </w:r>
      <w:r>
        <w:rPr>
          <w:rFonts w:ascii="Book Antiqua" w:hAnsi="Book Antiqua"/>
        </w:rPr>
        <w:t xml:space="preserve"> 2020; </w:t>
      </w:r>
      <w:r>
        <w:rPr>
          <w:rFonts w:ascii="Book Antiqua" w:hAnsi="Book Antiqua"/>
          <w:b/>
          <w:bCs/>
        </w:rPr>
        <w:t>80</w:t>
      </w:r>
      <w:r>
        <w:rPr>
          <w:rFonts w:ascii="Book Antiqua" w:hAnsi="Book Antiqua"/>
        </w:rPr>
        <w:t>: 1130-1142 [PMID: 31848194 DOI: 10.1158/0008-5472.CAN-19-2332]</w:t>
      </w:r>
    </w:p>
    <w:p w14:paraId="71FF3E49"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Klapholz</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Drage</w:t>
      </w:r>
      <w:proofErr w:type="spellEnd"/>
      <w:r>
        <w:rPr>
          <w:rFonts w:ascii="Book Antiqua" w:hAnsi="Book Antiqua"/>
        </w:rPr>
        <w:t xml:space="preserve"> MG, Srivastava A, Anderson AC. Presence of Tim3(+) and PD-1(+) CD8(+) T cells identifies microsatellite stable colorectal carcinomas with immune exhaustion and distinct clinicopathological features. </w:t>
      </w:r>
      <w:r>
        <w:rPr>
          <w:rFonts w:ascii="Book Antiqua" w:hAnsi="Book Antiqua"/>
          <w:i/>
          <w:iCs/>
        </w:rPr>
        <w:t xml:space="preserve">J </w:t>
      </w:r>
      <w:proofErr w:type="spellStart"/>
      <w:r>
        <w:rPr>
          <w:rFonts w:ascii="Book Antiqua" w:hAnsi="Book Antiqua"/>
          <w:i/>
          <w:iCs/>
        </w:rPr>
        <w:t>Pathol</w:t>
      </w:r>
      <w:proofErr w:type="spellEnd"/>
      <w:r>
        <w:rPr>
          <w:rFonts w:ascii="Book Antiqua" w:hAnsi="Book Antiqua"/>
        </w:rPr>
        <w:t xml:space="preserve"> 2022; </w:t>
      </w:r>
      <w:r>
        <w:rPr>
          <w:rFonts w:ascii="Book Antiqua" w:hAnsi="Book Antiqua"/>
          <w:b/>
          <w:bCs/>
        </w:rPr>
        <w:t>257</w:t>
      </w:r>
      <w:r>
        <w:rPr>
          <w:rFonts w:ascii="Book Antiqua" w:hAnsi="Book Antiqua"/>
        </w:rPr>
        <w:t>: 186-197 [PMID: 35119692 DOI: 10.1002/path.5877]</w:t>
      </w:r>
    </w:p>
    <w:p w14:paraId="680566E9"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Huang YH</w:t>
      </w:r>
      <w:r>
        <w:rPr>
          <w:rFonts w:ascii="Book Antiqua" w:hAnsi="Book Antiqua"/>
        </w:rPr>
        <w:t xml:space="preserve">, Zhu C, Kondo Y, Anderson AC, Gandhi A, Russell A, Dougan SK, Petersen BS, </w:t>
      </w:r>
      <w:proofErr w:type="spellStart"/>
      <w:r>
        <w:rPr>
          <w:rFonts w:ascii="Book Antiqua" w:hAnsi="Book Antiqua"/>
        </w:rPr>
        <w:t>Melum</w:t>
      </w:r>
      <w:proofErr w:type="spellEnd"/>
      <w:r>
        <w:rPr>
          <w:rFonts w:ascii="Book Antiqua" w:hAnsi="Book Antiqua"/>
        </w:rPr>
        <w:t xml:space="preserve"> E, </w:t>
      </w:r>
      <w:proofErr w:type="spellStart"/>
      <w:r>
        <w:rPr>
          <w:rFonts w:ascii="Book Antiqua" w:hAnsi="Book Antiqua"/>
        </w:rPr>
        <w:t>Pertel</w:t>
      </w:r>
      <w:proofErr w:type="spellEnd"/>
      <w:r>
        <w:rPr>
          <w:rFonts w:ascii="Book Antiqua" w:hAnsi="Book Antiqua"/>
        </w:rPr>
        <w:t xml:space="preserve"> T, Clayton KL, </w:t>
      </w:r>
      <w:proofErr w:type="spellStart"/>
      <w:r>
        <w:rPr>
          <w:rFonts w:ascii="Book Antiqua" w:hAnsi="Book Antiqua"/>
        </w:rPr>
        <w:t>Raab</w:t>
      </w:r>
      <w:proofErr w:type="spellEnd"/>
      <w:r>
        <w:rPr>
          <w:rFonts w:ascii="Book Antiqua" w:hAnsi="Book Antiqua"/>
        </w:rPr>
        <w:t xml:space="preserve"> M, Chen Q, </w:t>
      </w:r>
      <w:proofErr w:type="spellStart"/>
      <w:r>
        <w:rPr>
          <w:rFonts w:ascii="Book Antiqua" w:hAnsi="Book Antiqua"/>
        </w:rPr>
        <w:t>Beauchemin</w:t>
      </w:r>
      <w:proofErr w:type="spellEnd"/>
      <w:r>
        <w:rPr>
          <w:rFonts w:ascii="Book Antiqua" w:hAnsi="Book Antiqua"/>
        </w:rPr>
        <w:t xml:space="preserve"> N, Yazaki PJ, </w:t>
      </w:r>
      <w:proofErr w:type="spellStart"/>
      <w:r>
        <w:rPr>
          <w:rFonts w:ascii="Book Antiqua" w:hAnsi="Book Antiqua"/>
        </w:rPr>
        <w:t>Pyzik</w:t>
      </w:r>
      <w:proofErr w:type="spellEnd"/>
      <w:r>
        <w:rPr>
          <w:rFonts w:ascii="Book Antiqua" w:hAnsi="Book Antiqua"/>
        </w:rPr>
        <w:t xml:space="preserve"> M, Ostrowski MA, Glickman JN, Rudd CE, </w:t>
      </w:r>
      <w:proofErr w:type="spellStart"/>
      <w:r>
        <w:rPr>
          <w:rFonts w:ascii="Book Antiqua" w:hAnsi="Book Antiqua"/>
        </w:rPr>
        <w:t>Ploegh</w:t>
      </w:r>
      <w:proofErr w:type="spellEnd"/>
      <w:r>
        <w:rPr>
          <w:rFonts w:ascii="Book Antiqua" w:hAnsi="Book Antiqua"/>
        </w:rPr>
        <w:t xml:space="preserve"> HL, Franke A, Petsko GA, </w:t>
      </w:r>
      <w:proofErr w:type="spellStart"/>
      <w:r>
        <w:rPr>
          <w:rFonts w:ascii="Book Antiqua" w:hAnsi="Book Antiqua"/>
        </w:rPr>
        <w:t>Kuchroo</w:t>
      </w:r>
      <w:proofErr w:type="spellEnd"/>
      <w:r>
        <w:rPr>
          <w:rFonts w:ascii="Book Antiqua" w:hAnsi="Book Antiqua"/>
        </w:rPr>
        <w:t xml:space="preserve"> VK, Blumberg RS. CEACAM1 regulates TIM-3-mediated tolerance and exhaustion. </w:t>
      </w:r>
      <w:r>
        <w:rPr>
          <w:rFonts w:ascii="Book Antiqua" w:hAnsi="Book Antiqua"/>
          <w:i/>
          <w:iCs/>
        </w:rPr>
        <w:t>Nature</w:t>
      </w:r>
      <w:r>
        <w:rPr>
          <w:rFonts w:ascii="Book Antiqua" w:hAnsi="Book Antiqua"/>
        </w:rPr>
        <w:t xml:space="preserve"> 2015; </w:t>
      </w:r>
      <w:r>
        <w:rPr>
          <w:rFonts w:ascii="Book Antiqua" w:hAnsi="Book Antiqua"/>
          <w:b/>
          <w:bCs/>
        </w:rPr>
        <w:t>517</w:t>
      </w:r>
      <w:r>
        <w:rPr>
          <w:rFonts w:ascii="Book Antiqua" w:hAnsi="Book Antiqua"/>
        </w:rPr>
        <w:t>: 386-390 [PMID: 25363763 DOI: 10.1038/nature13848]</w:t>
      </w:r>
    </w:p>
    <w:p w14:paraId="3249E42B"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Yu S</w:t>
      </w:r>
      <w:r>
        <w:rPr>
          <w:rFonts w:ascii="Book Antiqua" w:hAnsi="Book Antiqua"/>
        </w:rPr>
        <w:t xml:space="preserve">, Ren X, Meng F, Guo X, Tao J, Zhang W, Liu Z, Fu R, Li L. TIM3/CEACAM1 pathway involves in myeloid-derived suppressor cells induced CD8(+) T cells exhaustion and bone marrow inflammatory microenvironment in myelodysplastic syndrome. </w:t>
      </w:r>
      <w:r>
        <w:rPr>
          <w:rFonts w:ascii="Book Antiqua" w:hAnsi="Book Antiqua"/>
          <w:i/>
          <w:iCs/>
        </w:rPr>
        <w:t>Immunology</w:t>
      </w:r>
      <w:r>
        <w:rPr>
          <w:rFonts w:ascii="Book Antiqua" w:hAnsi="Book Antiqua"/>
        </w:rPr>
        <w:t xml:space="preserve"> 2023; </w:t>
      </w:r>
      <w:r>
        <w:rPr>
          <w:rFonts w:ascii="Book Antiqua" w:hAnsi="Book Antiqua"/>
          <w:b/>
          <w:bCs/>
        </w:rPr>
        <w:t>168</w:t>
      </w:r>
      <w:r>
        <w:rPr>
          <w:rFonts w:ascii="Book Antiqua" w:hAnsi="Book Antiqua"/>
        </w:rPr>
        <w:t>: 273-289 [PMID: 35470423 DOI: 10.1111/imm.13488]</w:t>
      </w:r>
    </w:p>
    <w:p w14:paraId="57C31232"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Konantz</w:t>
      </w:r>
      <w:proofErr w:type="spellEnd"/>
      <w:r>
        <w:rPr>
          <w:rFonts w:ascii="Book Antiqua" w:hAnsi="Book Antiqua"/>
          <w:b/>
          <w:bCs/>
        </w:rPr>
        <w:t xml:space="preserve"> M</w:t>
      </w:r>
      <w:r>
        <w:rPr>
          <w:rFonts w:ascii="Book Antiqua" w:hAnsi="Book Antiqua"/>
        </w:rPr>
        <w:t xml:space="preserve">, Williams M, Merkel T, Reiss A, </w:t>
      </w:r>
      <w:proofErr w:type="spellStart"/>
      <w:r>
        <w:rPr>
          <w:rFonts w:ascii="Book Antiqua" w:hAnsi="Book Antiqua"/>
        </w:rPr>
        <w:t>Dirnhofer</w:t>
      </w:r>
      <w:proofErr w:type="spellEnd"/>
      <w:r>
        <w:rPr>
          <w:rFonts w:ascii="Book Antiqua" w:hAnsi="Book Antiqua"/>
        </w:rPr>
        <w:t xml:space="preserve"> S, Meyer SC, Valent P, George TI, </w:t>
      </w:r>
      <w:proofErr w:type="spellStart"/>
      <w:r>
        <w:rPr>
          <w:rFonts w:ascii="Book Antiqua" w:hAnsi="Book Antiqua"/>
        </w:rPr>
        <w:t>Tzankov</w:t>
      </w:r>
      <w:proofErr w:type="spellEnd"/>
      <w:r>
        <w:rPr>
          <w:rFonts w:ascii="Book Antiqua" w:hAnsi="Book Antiqua"/>
        </w:rPr>
        <w:t xml:space="preserve"> A, Hartmann K. Increased TIM-</w:t>
      </w:r>
      <w:proofErr w:type="gramStart"/>
      <w:r>
        <w:rPr>
          <w:rFonts w:ascii="Book Antiqua" w:hAnsi="Book Antiqua"/>
        </w:rPr>
        <w:t>3</w:t>
      </w:r>
      <w:proofErr w:type="gramEnd"/>
      <w:r>
        <w:rPr>
          <w:rFonts w:ascii="Book Antiqua" w:hAnsi="Book Antiqua"/>
        </w:rPr>
        <w:t xml:space="preserve"> and galectin-9 serum levels in patients with advanced systemic </w:t>
      </w:r>
      <w:proofErr w:type="spellStart"/>
      <w:r>
        <w:rPr>
          <w:rFonts w:ascii="Book Antiqua" w:hAnsi="Book Antiqua"/>
        </w:rPr>
        <w:t>mastocytosis</w:t>
      </w:r>
      <w:proofErr w:type="spellEnd"/>
      <w:r>
        <w:rPr>
          <w:rFonts w:ascii="Book Antiqua" w:hAnsi="Book Antiqua"/>
        </w:rPr>
        <w:t xml:space="preserve">. </w:t>
      </w:r>
      <w:r>
        <w:rPr>
          <w:rFonts w:ascii="Book Antiqua" w:hAnsi="Book Antiqua"/>
          <w:i/>
          <w:iCs/>
        </w:rPr>
        <w:t>J Allergy Clin Immunol</w:t>
      </w:r>
      <w:r>
        <w:rPr>
          <w:rFonts w:ascii="Book Antiqua" w:hAnsi="Book Antiqua"/>
        </w:rPr>
        <w:t xml:space="preserve"> 2023; </w:t>
      </w:r>
      <w:r>
        <w:rPr>
          <w:rFonts w:ascii="Book Antiqua" w:hAnsi="Book Antiqua"/>
          <w:b/>
          <w:bCs/>
        </w:rPr>
        <w:t>152</w:t>
      </w:r>
      <w:r>
        <w:rPr>
          <w:rFonts w:ascii="Book Antiqua" w:hAnsi="Book Antiqua"/>
        </w:rPr>
        <w:t>: 1019-1024 [PMID: 37423405 DOI: 10.1016/j.jaci.2023.07.001]</w:t>
      </w:r>
    </w:p>
    <w:p w14:paraId="719DFA6D"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Burugu</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Dancsok</w:t>
      </w:r>
      <w:proofErr w:type="spellEnd"/>
      <w:r>
        <w:rPr>
          <w:rFonts w:ascii="Book Antiqua" w:hAnsi="Book Antiqua"/>
        </w:rPr>
        <w:t xml:space="preserve"> AR, Nielsen TO. Emerging targets in cancer immunotherapy. </w:t>
      </w:r>
      <w:r>
        <w:rPr>
          <w:rFonts w:ascii="Book Antiqua" w:hAnsi="Book Antiqua"/>
          <w:i/>
          <w:iCs/>
        </w:rPr>
        <w:t>Semin Cancer Biol</w:t>
      </w:r>
      <w:r>
        <w:rPr>
          <w:rFonts w:ascii="Book Antiqua" w:hAnsi="Book Antiqua"/>
        </w:rPr>
        <w:t xml:space="preserve"> 2018; </w:t>
      </w:r>
      <w:r>
        <w:rPr>
          <w:rFonts w:ascii="Book Antiqua" w:hAnsi="Book Antiqua"/>
          <w:b/>
          <w:bCs/>
        </w:rPr>
        <w:t>52</w:t>
      </w:r>
      <w:r>
        <w:rPr>
          <w:rFonts w:ascii="Book Antiqua" w:hAnsi="Book Antiqua"/>
        </w:rPr>
        <w:t>: 39-52 [PMID: 28987965 DOI: 10.1016/j.semcancer.2017.10.001]</w:t>
      </w:r>
    </w:p>
    <w:p w14:paraId="549D27E0"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Yang R</w:t>
      </w:r>
      <w:r>
        <w:rPr>
          <w:rFonts w:ascii="Book Antiqua" w:hAnsi="Book Antiqua"/>
        </w:rPr>
        <w:t xml:space="preserve">, Sun L, Li CF, Wang YH, Yao J, Li H, Yan M, Chang WC, Hsu JM, Cha JH, Hsu JL, Chou CW, Sun X, Deng Y, Chou CK, Yu D, Hung MC. Galectin-9 interacts with PD-1 and TIM-3 to regulate T cell death and is a target for cancer immunotherapy.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2021; </w:t>
      </w:r>
      <w:r>
        <w:rPr>
          <w:rFonts w:ascii="Book Antiqua" w:hAnsi="Book Antiqua"/>
          <w:b/>
          <w:bCs/>
        </w:rPr>
        <w:t>12</w:t>
      </w:r>
      <w:r>
        <w:rPr>
          <w:rFonts w:ascii="Book Antiqua" w:hAnsi="Book Antiqua"/>
        </w:rPr>
        <w:t>: 832 [PMID: 33547304 DOI: 10.1038/s41467-021-21099-2]</w:t>
      </w:r>
    </w:p>
    <w:p w14:paraId="2C0F9504" w14:textId="77777777" w:rsidR="00DC05DB" w:rsidRDefault="00000000">
      <w:pPr>
        <w:adjustRightInd w:val="0"/>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Kandel S</w:t>
      </w:r>
      <w:r>
        <w:rPr>
          <w:rFonts w:ascii="Book Antiqua" w:hAnsi="Book Antiqua"/>
        </w:rPr>
        <w:t xml:space="preserve">, </w:t>
      </w:r>
      <w:proofErr w:type="spellStart"/>
      <w:r>
        <w:rPr>
          <w:rFonts w:ascii="Book Antiqua" w:hAnsi="Book Antiqua"/>
        </w:rPr>
        <w:t>Adhikary</w:t>
      </w:r>
      <w:proofErr w:type="spellEnd"/>
      <w:r>
        <w:rPr>
          <w:rFonts w:ascii="Book Antiqua" w:hAnsi="Book Antiqua"/>
        </w:rPr>
        <w:t xml:space="preserve"> P, Li G, Cheng K. The TIM3/Gal9 signaling pathway: An emerging target for cancer immunotherapy. </w:t>
      </w:r>
      <w:r>
        <w:rPr>
          <w:rFonts w:ascii="Book Antiqua" w:hAnsi="Book Antiqua"/>
          <w:i/>
          <w:iCs/>
        </w:rPr>
        <w:t>Cancer Lett</w:t>
      </w:r>
      <w:r>
        <w:rPr>
          <w:rFonts w:ascii="Book Antiqua" w:hAnsi="Book Antiqua"/>
        </w:rPr>
        <w:t xml:space="preserve"> 2021; </w:t>
      </w:r>
      <w:r>
        <w:rPr>
          <w:rFonts w:ascii="Book Antiqua" w:hAnsi="Book Antiqua"/>
          <w:b/>
          <w:bCs/>
        </w:rPr>
        <w:t>510</w:t>
      </w:r>
      <w:r>
        <w:rPr>
          <w:rFonts w:ascii="Book Antiqua" w:hAnsi="Book Antiqua"/>
        </w:rPr>
        <w:t>: 67-78 [PMID: 33895262 DOI: 10.1016/j.canlet.2021.04.011]</w:t>
      </w:r>
    </w:p>
    <w:p w14:paraId="6CD48FB8" w14:textId="77777777" w:rsidR="00DC05DB" w:rsidRDefault="00DC05DB">
      <w:pPr>
        <w:spacing w:line="360" w:lineRule="auto"/>
        <w:jc w:val="both"/>
        <w:rPr>
          <w:color w:val="000000" w:themeColor="text1"/>
        </w:rPr>
      </w:pPr>
    </w:p>
    <w:p w14:paraId="319A7ACF" w14:textId="77777777" w:rsidR="00DC05DB" w:rsidRDefault="00DC05DB">
      <w:pPr>
        <w:spacing w:line="360" w:lineRule="auto"/>
        <w:jc w:val="both"/>
        <w:rPr>
          <w:color w:val="000000" w:themeColor="text1"/>
        </w:rPr>
        <w:sectPr w:rsidR="00DC05DB">
          <w:pgSz w:w="12240" w:h="15840"/>
          <w:pgMar w:top="1440" w:right="1440" w:bottom="1440" w:left="1440" w:header="720" w:footer="720" w:gutter="0"/>
          <w:cols w:space="720"/>
          <w:docGrid w:linePitch="360"/>
        </w:sectPr>
      </w:pPr>
    </w:p>
    <w:p w14:paraId="0E661F82"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Footnotes</w:t>
      </w:r>
    </w:p>
    <w:p w14:paraId="7ED37C90" w14:textId="77777777" w:rsidR="00DC05DB" w:rsidRDefault="00000000">
      <w:pPr>
        <w:snapToGrid w:val="0"/>
        <w:spacing w:line="360" w:lineRule="auto"/>
        <w:jc w:val="both"/>
        <w:rPr>
          <w:rFonts w:ascii="Book Antiqua" w:eastAsia="SimSun" w:hAnsi="Book Antiqua" w:cs="SimSun"/>
        </w:rPr>
      </w:pPr>
      <w:r>
        <w:rPr>
          <w:rFonts w:ascii="Book Antiqua" w:eastAsia="Book Antiqua" w:hAnsi="Book Antiqua" w:cs="Book Antiqua"/>
          <w:b/>
          <w:bCs/>
          <w:color w:val="000000" w:themeColor="text1"/>
        </w:rPr>
        <w:t xml:space="preserve">Conflict-of-interest statement: </w:t>
      </w:r>
      <w:bookmarkStart w:id="4" w:name="_Hlk130828251"/>
      <w:r>
        <w:rPr>
          <w:rFonts w:ascii="Book Antiqua" w:eastAsia="SimSun" w:hAnsi="Book Antiqua" w:cs="SimSun"/>
        </w:rPr>
        <w:t>The authors have no conflicts of interest to declare.</w:t>
      </w:r>
    </w:p>
    <w:bookmarkEnd w:id="4"/>
    <w:p w14:paraId="125EA550" w14:textId="77777777" w:rsidR="00DC05DB" w:rsidRDefault="00DC05DB">
      <w:pPr>
        <w:spacing w:line="360" w:lineRule="auto"/>
        <w:jc w:val="both"/>
        <w:rPr>
          <w:color w:val="000000" w:themeColor="text1"/>
        </w:rPr>
      </w:pPr>
    </w:p>
    <w:p w14:paraId="53F8B16C"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PRISMA 2009 Checklist statement: </w:t>
      </w:r>
      <w:r>
        <w:rPr>
          <w:rFonts w:ascii="Book Antiqua" w:eastAsia="Book Antiqua" w:hAnsi="Book Antiqua" w:cs="Book Antiqua"/>
          <w:color w:val="000000" w:themeColor="text1"/>
        </w:rPr>
        <w:t>The authors have read the PRISMA 2009 checklist, and subsequently prepared and revised it.</w:t>
      </w:r>
    </w:p>
    <w:p w14:paraId="06BB6164" w14:textId="77777777" w:rsidR="00DC05DB" w:rsidRDefault="00DC05DB">
      <w:pPr>
        <w:spacing w:line="360" w:lineRule="auto"/>
        <w:jc w:val="both"/>
        <w:rPr>
          <w:color w:val="000000" w:themeColor="text1"/>
        </w:rPr>
      </w:pPr>
    </w:p>
    <w:p w14:paraId="5D93F50B" w14:textId="77777777" w:rsidR="00DC05DB"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2C9E49" w14:textId="77777777" w:rsidR="00DC05DB" w:rsidRDefault="00DC05DB">
      <w:pPr>
        <w:spacing w:line="360" w:lineRule="auto"/>
        <w:jc w:val="both"/>
        <w:rPr>
          <w:color w:val="000000" w:themeColor="text1"/>
        </w:rPr>
      </w:pPr>
    </w:p>
    <w:p w14:paraId="1AC11097"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7BA641ED" w14:textId="77777777" w:rsidR="00DC05DB" w:rsidRDefault="00DC05DB">
      <w:pPr>
        <w:spacing w:line="360" w:lineRule="auto"/>
        <w:jc w:val="both"/>
        <w:rPr>
          <w:rFonts w:ascii="Book Antiqua" w:eastAsia="Book Antiqua" w:hAnsi="Book Antiqua" w:cs="Book Antiqua"/>
          <w:b/>
          <w:color w:val="000000" w:themeColor="text1"/>
        </w:rPr>
      </w:pPr>
    </w:p>
    <w:p w14:paraId="343C0F78"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7F2A377F" w14:textId="77777777" w:rsidR="00DC05DB" w:rsidRDefault="00DC05DB">
      <w:pPr>
        <w:spacing w:line="360" w:lineRule="auto"/>
        <w:jc w:val="both"/>
        <w:rPr>
          <w:color w:val="000000" w:themeColor="text1"/>
        </w:rPr>
      </w:pPr>
    </w:p>
    <w:p w14:paraId="119FF93A"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August 12, 2023</w:t>
      </w:r>
    </w:p>
    <w:p w14:paraId="4128E3BD"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September 12, 2023</w:t>
      </w:r>
    </w:p>
    <w:p w14:paraId="58B58FF1"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 xml:space="preserve">Article in press: </w:t>
      </w:r>
    </w:p>
    <w:p w14:paraId="485FF8ED" w14:textId="77777777" w:rsidR="00DC05DB" w:rsidRDefault="00DC05DB">
      <w:pPr>
        <w:spacing w:line="360" w:lineRule="auto"/>
        <w:jc w:val="both"/>
        <w:rPr>
          <w:color w:val="000000" w:themeColor="text1"/>
        </w:rPr>
      </w:pPr>
    </w:p>
    <w:p w14:paraId="24DD76EA"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 xml:space="preserve">Specialty type: </w:t>
      </w:r>
      <w:bookmarkStart w:id="5" w:name="_Hlk134448652"/>
      <w:r>
        <w:rPr>
          <w:rFonts w:ascii="Book Antiqua" w:eastAsia="Microsoft YaHei" w:hAnsi="Book Antiqua" w:cs="SimSun"/>
        </w:rPr>
        <w:t>Oncology</w:t>
      </w:r>
      <w:bookmarkEnd w:id="5"/>
    </w:p>
    <w:p w14:paraId="5F27A82D"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0F6BB6E5"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t>Peer-review report’s scientific quality classification</w:t>
      </w:r>
    </w:p>
    <w:p w14:paraId="32541BED"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Grade A (Excellent): A, A</w:t>
      </w:r>
    </w:p>
    <w:p w14:paraId="5FC0176E"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Grade B (Very good): 0</w:t>
      </w:r>
    </w:p>
    <w:p w14:paraId="674FC9F9"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Grade C (Good): 0</w:t>
      </w:r>
    </w:p>
    <w:p w14:paraId="7B044EB0"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Grade D (Fair): D</w:t>
      </w:r>
    </w:p>
    <w:p w14:paraId="6F4BB217" w14:textId="77777777" w:rsidR="00DC05DB" w:rsidRDefault="00000000">
      <w:pPr>
        <w:spacing w:line="360" w:lineRule="auto"/>
        <w:jc w:val="both"/>
        <w:rPr>
          <w:color w:val="000000" w:themeColor="text1"/>
        </w:rPr>
      </w:pPr>
      <w:r>
        <w:rPr>
          <w:rFonts w:ascii="Book Antiqua" w:eastAsia="Book Antiqua" w:hAnsi="Book Antiqua" w:cs="Book Antiqua"/>
          <w:color w:val="000000" w:themeColor="text1"/>
        </w:rPr>
        <w:t>Grade E (Poor): 0</w:t>
      </w:r>
    </w:p>
    <w:p w14:paraId="45FC1BCF" w14:textId="77777777" w:rsidR="00DC05DB" w:rsidRDefault="00DC05DB">
      <w:pPr>
        <w:spacing w:line="360" w:lineRule="auto"/>
        <w:jc w:val="both"/>
        <w:rPr>
          <w:color w:val="000000" w:themeColor="text1"/>
        </w:rPr>
      </w:pPr>
    </w:p>
    <w:p w14:paraId="73C3ACFD" w14:textId="77777777" w:rsidR="00DC05DB"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 xml:space="preserve">P-Reviewer: </w:t>
      </w:r>
      <w:r>
        <w:rPr>
          <w:rFonts w:ascii="Book Antiqua" w:eastAsia="Book Antiqua" w:hAnsi="Book Antiqua" w:cs="Book Antiqua"/>
          <w:color w:val="000000" w:themeColor="text1"/>
        </w:rPr>
        <w:t>Huang B, China; Rizzo A, Italy</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Li L</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Filipodia</w:t>
      </w:r>
      <w:r>
        <w:rPr>
          <w:rFonts w:ascii="Book Antiqua" w:eastAsia="Book Antiqua" w:hAnsi="Book Antiqua" w:cs="Book Antiqua"/>
          <w:b/>
          <w:color w:val="000000" w:themeColor="text1"/>
        </w:rPr>
        <w:t xml:space="preserve"> P-Editor: </w:t>
      </w:r>
    </w:p>
    <w:p w14:paraId="34D0491E" w14:textId="77777777" w:rsidR="00DC05DB" w:rsidRDefault="00DC05DB">
      <w:pPr>
        <w:spacing w:line="360" w:lineRule="auto"/>
        <w:jc w:val="both"/>
        <w:rPr>
          <w:color w:val="000000" w:themeColor="text1"/>
        </w:rPr>
        <w:sectPr w:rsidR="00DC05DB">
          <w:pgSz w:w="12240" w:h="15840"/>
          <w:pgMar w:top="1440" w:right="1440" w:bottom="1440" w:left="1440" w:header="720" w:footer="720" w:gutter="0"/>
          <w:cols w:space="720"/>
          <w:docGrid w:linePitch="360"/>
        </w:sectPr>
      </w:pPr>
    </w:p>
    <w:p w14:paraId="3591CA42" w14:textId="77777777" w:rsidR="00DC05DB"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Figure Legends</w:t>
      </w:r>
    </w:p>
    <w:p w14:paraId="35090EF5" w14:textId="77777777" w:rsidR="00DC05DB" w:rsidRDefault="00000000">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0C8357F3" wp14:editId="25D1C51E">
            <wp:extent cx="5646420" cy="5219700"/>
            <wp:effectExtent l="0" t="0" r="0" b="0"/>
            <wp:docPr id="722183282" name="图片 1" descr="图示,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83282" name="图片 1" descr="图示, 文本&#10;&#10;描述已自动生成"/>
                    <pic:cNvPicPr>
                      <a:picLocks noChangeAspect="1"/>
                    </pic:cNvPicPr>
                  </pic:nvPicPr>
                  <pic:blipFill>
                    <a:blip r:embed="rId10"/>
                    <a:stretch>
                      <a:fillRect/>
                    </a:stretch>
                  </pic:blipFill>
                  <pic:spPr>
                    <a:xfrm>
                      <a:off x="0" y="0"/>
                      <a:ext cx="5646909" cy="5220152"/>
                    </a:xfrm>
                    <a:prstGeom prst="rect">
                      <a:avLst/>
                    </a:prstGeom>
                  </pic:spPr>
                </pic:pic>
              </a:graphicData>
            </a:graphic>
          </wp:inline>
        </w:drawing>
      </w:r>
    </w:p>
    <w:p w14:paraId="378FA3B2" w14:textId="77777777" w:rsidR="00DC05DB" w:rsidRDefault="00000000">
      <w:pPr>
        <w:adjustRightInd w:val="0"/>
        <w:snapToGrid w:val="0"/>
        <w:spacing w:line="360" w:lineRule="auto"/>
        <w:jc w:val="both"/>
        <w:rPr>
          <w:b/>
          <w:bCs/>
          <w:color w:val="000000" w:themeColor="text1"/>
        </w:rPr>
      </w:pPr>
      <w:r>
        <w:rPr>
          <w:rFonts w:ascii="Book Antiqua" w:eastAsia="Book Antiqua" w:hAnsi="Book Antiqua" w:cs="Book Antiqua"/>
          <w:b/>
          <w:bCs/>
          <w:color w:val="000000" w:themeColor="text1"/>
        </w:rPr>
        <w:t>Figure 1 Flow diagram for the study selection criteria and process.</w:t>
      </w:r>
    </w:p>
    <w:p w14:paraId="1C87C393" w14:textId="77777777" w:rsidR="00DC05DB" w:rsidRDefault="00DC05DB">
      <w:pPr>
        <w:adjustRightInd w:val="0"/>
        <w:snapToGrid w:val="0"/>
        <w:spacing w:line="360" w:lineRule="auto"/>
        <w:jc w:val="both"/>
        <w:rPr>
          <w:rFonts w:ascii="Book Antiqua" w:eastAsia="Book Antiqua" w:hAnsi="Book Antiqua" w:cs="Book Antiqua"/>
          <w:b/>
          <w:bCs/>
          <w:color w:val="000000" w:themeColor="text1"/>
        </w:rPr>
      </w:pPr>
    </w:p>
    <w:p w14:paraId="1F66A510" w14:textId="77777777" w:rsidR="00DC05DB" w:rsidRDefault="00000000">
      <w:pPr>
        <w:adjustRightInd w:val="0"/>
        <w:snapToGrid w:val="0"/>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7B83E071" wp14:editId="0D46595F">
            <wp:extent cx="5943600" cy="4500880"/>
            <wp:effectExtent l="0" t="0" r="0" b="0"/>
            <wp:docPr id="1131667200"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667200" name="图片 1" descr="图表&#10;&#10;描述已自动生成"/>
                    <pic:cNvPicPr>
                      <a:picLocks noChangeAspect="1"/>
                    </pic:cNvPicPr>
                  </pic:nvPicPr>
                  <pic:blipFill>
                    <a:blip r:embed="rId11"/>
                    <a:stretch>
                      <a:fillRect/>
                    </a:stretch>
                  </pic:blipFill>
                  <pic:spPr>
                    <a:xfrm>
                      <a:off x="0" y="0"/>
                      <a:ext cx="5943600" cy="4500880"/>
                    </a:xfrm>
                    <a:prstGeom prst="rect">
                      <a:avLst/>
                    </a:prstGeom>
                  </pic:spPr>
                </pic:pic>
              </a:graphicData>
            </a:graphic>
          </wp:inline>
        </w:drawing>
      </w:r>
    </w:p>
    <w:p w14:paraId="3FD7154E" w14:textId="77777777" w:rsidR="00DC05DB" w:rsidRDefault="00000000">
      <w:pPr>
        <w:adjustRightInd w:val="0"/>
        <w:snapToGrid w:val="0"/>
        <w:spacing w:line="360" w:lineRule="auto"/>
        <w:jc w:val="both"/>
        <w:rPr>
          <w:color w:val="000000" w:themeColor="text1"/>
        </w:rPr>
      </w:pPr>
      <w:r>
        <w:rPr>
          <w:rFonts w:ascii="Book Antiqua" w:eastAsia="Book Antiqua" w:hAnsi="Book Antiqua" w:cs="Book Antiqua"/>
          <w:b/>
          <w:bCs/>
          <w:color w:val="000000" w:themeColor="text1"/>
        </w:rPr>
        <w:t xml:space="preserve">Figure 2 Meta-analysis of the association between T cell immunoglobulin and mucin-domain containing-3 expression and overall survival. </w:t>
      </w:r>
      <w:r>
        <w:rPr>
          <w:rFonts w:ascii="Book Antiqua" w:eastAsia="Book Antiqua" w:hAnsi="Book Antiqua" w:cs="Book Antiqua"/>
          <w:color w:val="000000" w:themeColor="text1"/>
        </w:rPr>
        <w:t xml:space="preserve">Hazard ratio forest plot for the association between the T cell immunoglobulin and mucin-domain containing-3 expression and overall survival in upper gastrointestinal tract tumors. </w:t>
      </w:r>
    </w:p>
    <w:p w14:paraId="3959178B" w14:textId="77777777" w:rsidR="00DC05DB" w:rsidRDefault="00000000">
      <w:pPr>
        <w:adjustRightInd w:val="0"/>
        <w:snapToGrid w:val="0"/>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5EDF50F9" wp14:editId="38325AE4">
            <wp:extent cx="2958465" cy="2052320"/>
            <wp:effectExtent l="0" t="0" r="0" b="0"/>
            <wp:docPr id="1666044483"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044483" name="图片 1" descr="图表, 箱线图&#10;&#10;描述已自动生成"/>
                    <pic:cNvPicPr>
                      <a:picLocks noChangeAspect="1"/>
                    </pic:cNvPicPr>
                  </pic:nvPicPr>
                  <pic:blipFill>
                    <a:blip r:embed="rId12"/>
                    <a:stretch>
                      <a:fillRect/>
                    </a:stretch>
                  </pic:blipFill>
                  <pic:spPr>
                    <a:xfrm>
                      <a:off x="0" y="0"/>
                      <a:ext cx="2958528" cy="2052320"/>
                    </a:xfrm>
                    <a:prstGeom prst="rect">
                      <a:avLst/>
                    </a:prstGeom>
                  </pic:spPr>
                </pic:pic>
              </a:graphicData>
            </a:graphic>
          </wp:inline>
        </w:drawing>
      </w:r>
      <w:r>
        <w:t xml:space="preserve"> </w:t>
      </w:r>
      <w:r>
        <w:rPr>
          <w:noProof/>
        </w:rPr>
        <w:drawing>
          <wp:inline distT="0" distB="0" distL="0" distR="0" wp14:anchorId="7ED5AF05" wp14:editId="66A85CFB">
            <wp:extent cx="2788920" cy="1985010"/>
            <wp:effectExtent l="0" t="0" r="0" b="0"/>
            <wp:docPr id="2033362724"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362724" name="图片 1" descr="图表, 箱线图&#10;&#10;描述已自动生成"/>
                    <pic:cNvPicPr>
                      <a:picLocks noChangeAspect="1"/>
                    </pic:cNvPicPr>
                  </pic:nvPicPr>
                  <pic:blipFill>
                    <a:blip r:embed="rId13"/>
                    <a:stretch>
                      <a:fillRect/>
                    </a:stretch>
                  </pic:blipFill>
                  <pic:spPr>
                    <a:xfrm>
                      <a:off x="0" y="0"/>
                      <a:ext cx="2802169" cy="1994450"/>
                    </a:xfrm>
                    <a:prstGeom prst="rect">
                      <a:avLst/>
                    </a:prstGeom>
                  </pic:spPr>
                </pic:pic>
              </a:graphicData>
            </a:graphic>
          </wp:inline>
        </w:drawing>
      </w:r>
      <w:r>
        <w:t xml:space="preserve"> </w:t>
      </w:r>
      <w:r>
        <w:rPr>
          <w:noProof/>
        </w:rPr>
        <w:drawing>
          <wp:inline distT="0" distB="0" distL="0" distR="0" wp14:anchorId="64040749" wp14:editId="09987043">
            <wp:extent cx="2981960" cy="2110740"/>
            <wp:effectExtent l="0" t="0" r="0" b="0"/>
            <wp:docPr id="1330034441"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034441" name="图片 1" descr="图表, 箱线图&#10;&#10;描述已自动生成"/>
                    <pic:cNvPicPr>
                      <a:picLocks noChangeAspect="1"/>
                    </pic:cNvPicPr>
                  </pic:nvPicPr>
                  <pic:blipFill>
                    <a:blip r:embed="rId14"/>
                    <a:stretch>
                      <a:fillRect/>
                    </a:stretch>
                  </pic:blipFill>
                  <pic:spPr>
                    <a:xfrm>
                      <a:off x="0" y="0"/>
                      <a:ext cx="2996380" cy="2121476"/>
                    </a:xfrm>
                    <a:prstGeom prst="rect">
                      <a:avLst/>
                    </a:prstGeom>
                  </pic:spPr>
                </pic:pic>
              </a:graphicData>
            </a:graphic>
          </wp:inline>
        </w:drawing>
      </w:r>
      <w:r>
        <w:t xml:space="preserve"> </w:t>
      </w:r>
      <w:r>
        <w:rPr>
          <w:noProof/>
        </w:rPr>
        <w:drawing>
          <wp:inline distT="0" distB="0" distL="0" distR="0" wp14:anchorId="38176DAB" wp14:editId="75D6FCDA">
            <wp:extent cx="2921000" cy="2058670"/>
            <wp:effectExtent l="0" t="0" r="0" b="0"/>
            <wp:docPr id="2046874730"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74730" name="图片 1" descr="图示&#10;&#10;描述已自动生成"/>
                    <pic:cNvPicPr>
                      <a:picLocks noChangeAspect="1"/>
                    </pic:cNvPicPr>
                  </pic:nvPicPr>
                  <pic:blipFill>
                    <a:blip r:embed="rId15"/>
                    <a:stretch>
                      <a:fillRect/>
                    </a:stretch>
                  </pic:blipFill>
                  <pic:spPr>
                    <a:xfrm>
                      <a:off x="0" y="0"/>
                      <a:ext cx="2934637" cy="2068669"/>
                    </a:xfrm>
                    <a:prstGeom prst="rect">
                      <a:avLst/>
                    </a:prstGeom>
                  </pic:spPr>
                </pic:pic>
              </a:graphicData>
            </a:graphic>
          </wp:inline>
        </w:drawing>
      </w:r>
      <w:r>
        <w:t xml:space="preserve"> </w:t>
      </w:r>
      <w:r>
        <w:rPr>
          <w:noProof/>
        </w:rPr>
        <w:drawing>
          <wp:inline distT="0" distB="0" distL="0" distR="0" wp14:anchorId="53AF3F30" wp14:editId="0518085B">
            <wp:extent cx="5943600" cy="268605"/>
            <wp:effectExtent l="0" t="0" r="0" b="0"/>
            <wp:docPr id="2216547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54765" name="图片 1"/>
                    <pic:cNvPicPr>
                      <a:picLocks noChangeAspect="1"/>
                    </pic:cNvPicPr>
                  </pic:nvPicPr>
                  <pic:blipFill>
                    <a:blip r:embed="rId16"/>
                    <a:stretch>
                      <a:fillRect/>
                    </a:stretch>
                  </pic:blipFill>
                  <pic:spPr>
                    <a:xfrm>
                      <a:off x="0" y="0"/>
                      <a:ext cx="5943600" cy="268605"/>
                    </a:xfrm>
                    <a:prstGeom prst="rect">
                      <a:avLst/>
                    </a:prstGeom>
                  </pic:spPr>
                </pic:pic>
              </a:graphicData>
            </a:graphic>
          </wp:inline>
        </w:drawing>
      </w:r>
    </w:p>
    <w:p w14:paraId="29E910E8" w14:textId="77777777" w:rsidR="00DC05DB" w:rsidRDefault="00000000">
      <w:pPr>
        <w:adjustRightInd w:val="0"/>
        <w:snapToGrid w:val="0"/>
        <w:spacing w:line="360" w:lineRule="auto"/>
        <w:jc w:val="both"/>
        <w:rPr>
          <w:color w:val="000000" w:themeColor="text1"/>
        </w:rPr>
      </w:pPr>
      <w:r>
        <w:rPr>
          <w:rFonts w:ascii="Book Antiqua" w:eastAsia="Book Antiqua" w:hAnsi="Book Antiqua" w:cs="Book Antiqua"/>
          <w:b/>
          <w:bCs/>
          <w:color w:val="000000" w:themeColor="text1"/>
        </w:rPr>
        <w:t>Figure 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Association between T cell immunoglobulin and mucin-domain containing-3 expression and clinicopathological characteristics</w:t>
      </w:r>
      <w:r>
        <w:rPr>
          <w:rFonts w:ascii="Book Antiqua" w:eastAsia="SimSun" w:hAnsi="Book Antiqua" w:cs="Book Antiqua"/>
          <w:b/>
          <w:bCs/>
          <w:color w:val="000000" w:themeColor="text1"/>
          <w:lang w:eastAsia="zh-CN"/>
        </w:rPr>
        <w:t xml:space="preserve"> was analyzed</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Forest plots with Odds ratio (OR) and 95% confidence interval (CI) were drawn for the association of T cell immunoglobulin and mucin-domain containing-3 expression with clinicopathological characteristics. A: </w:t>
      </w:r>
      <w:r>
        <w:rPr>
          <w:rFonts w:ascii="Book Antiqua" w:eastAsia="SimSun" w:hAnsi="Book Antiqua" w:cs="Book Antiqua"/>
          <w:color w:val="000000" w:themeColor="text1"/>
          <w:lang w:eastAsia="zh-CN"/>
        </w:rPr>
        <w:t>Sex</w:t>
      </w:r>
      <w:r>
        <w:rPr>
          <w:rFonts w:ascii="Book Antiqua" w:eastAsia="Book Antiqua" w:hAnsi="Book Antiqua" w:cs="Book Antiqua"/>
          <w:color w:val="000000" w:themeColor="text1"/>
        </w:rPr>
        <w:t xml:space="preserve">; B: Age; C: Tumor location; D: Tumor size. </w:t>
      </w:r>
    </w:p>
    <w:p w14:paraId="6D3A4CDA" w14:textId="77777777" w:rsidR="00DC05DB" w:rsidRDefault="00000000">
      <w:pPr>
        <w:adjustRightInd w:val="0"/>
        <w:snapToGrid w:val="0"/>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06053E77" wp14:editId="1239FF93">
            <wp:extent cx="2902585" cy="2052320"/>
            <wp:effectExtent l="0" t="0" r="0" b="0"/>
            <wp:docPr id="382784636" name="图片 1"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784636" name="图片 1" descr="图表, 箱线图&#10;&#10;描述已自动生成"/>
                    <pic:cNvPicPr>
                      <a:picLocks noChangeAspect="1"/>
                    </pic:cNvPicPr>
                  </pic:nvPicPr>
                  <pic:blipFill>
                    <a:blip r:embed="rId17"/>
                    <a:stretch>
                      <a:fillRect/>
                    </a:stretch>
                  </pic:blipFill>
                  <pic:spPr>
                    <a:xfrm>
                      <a:off x="0" y="0"/>
                      <a:ext cx="2916224" cy="2061607"/>
                    </a:xfrm>
                    <a:prstGeom prst="rect">
                      <a:avLst/>
                    </a:prstGeom>
                  </pic:spPr>
                </pic:pic>
              </a:graphicData>
            </a:graphic>
          </wp:inline>
        </w:drawing>
      </w:r>
      <w:r>
        <w:t xml:space="preserve"> </w:t>
      </w:r>
      <w:r>
        <w:rPr>
          <w:noProof/>
        </w:rPr>
        <w:drawing>
          <wp:inline distT="0" distB="0" distL="0" distR="0" wp14:anchorId="560E618C" wp14:editId="00C12C14">
            <wp:extent cx="2952115" cy="2127885"/>
            <wp:effectExtent l="0" t="0" r="0" b="0"/>
            <wp:docPr id="407033192" name="图片 1" descr="图表, 图示, 示意图,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33192" name="图片 1" descr="图表, 图示, 示意图, 箱线图&#10;&#10;描述已自动生成"/>
                    <pic:cNvPicPr>
                      <a:picLocks noChangeAspect="1"/>
                    </pic:cNvPicPr>
                  </pic:nvPicPr>
                  <pic:blipFill>
                    <a:blip r:embed="rId18"/>
                    <a:stretch>
                      <a:fillRect/>
                    </a:stretch>
                  </pic:blipFill>
                  <pic:spPr>
                    <a:xfrm>
                      <a:off x="0" y="0"/>
                      <a:ext cx="2973161" cy="2143471"/>
                    </a:xfrm>
                    <a:prstGeom prst="rect">
                      <a:avLst/>
                    </a:prstGeom>
                  </pic:spPr>
                </pic:pic>
              </a:graphicData>
            </a:graphic>
          </wp:inline>
        </w:drawing>
      </w:r>
      <w:r>
        <w:t xml:space="preserve"> </w:t>
      </w:r>
      <w:r>
        <w:rPr>
          <w:noProof/>
        </w:rPr>
        <w:drawing>
          <wp:inline distT="0" distB="0" distL="0" distR="0" wp14:anchorId="0DC4A42E" wp14:editId="4BDB32EE">
            <wp:extent cx="2849880" cy="2055495"/>
            <wp:effectExtent l="0" t="0" r="0" b="0"/>
            <wp:docPr id="1911129362" name="图片 1"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129362" name="图片 1" descr="图示&#10;&#10;中度可信度描述已自动生成"/>
                    <pic:cNvPicPr>
                      <a:picLocks noChangeAspect="1"/>
                    </pic:cNvPicPr>
                  </pic:nvPicPr>
                  <pic:blipFill>
                    <a:blip r:embed="rId19"/>
                    <a:stretch>
                      <a:fillRect/>
                    </a:stretch>
                  </pic:blipFill>
                  <pic:spPr>
                    <a:xfrm>
                      <a:off x="0" y="0"/>
                      <a:ext cx="2859910" cy="2062741"/>
                    </a:xfrm>
                    <a:prstGeom prst="rect">
                      <a:avLst/>
                    </a:prstGeom>
                  </pic:spPr>
                </pic:pic>
              </a:graphicData>
            </a:graphic>
          </wp:inline>
        </w:drawing>
      </w:r>
      <w:r>
        <w:t xml:space="preserve"> </w:t>
      </w:r>
      <w:r>
        <w:rPr>
          <w:noProof/>
        </w:rPr>
        <w:drawing>
          <wp:inline distT="0" distB="0" distL="0" distR="0" wp14:anchorId="333DBEF9" wp14:editId="62D424D5">
            <wp:extent cx="3032760" cy="2151380"/>
            <wp:effectExtent l="0" t="0" r="0" b="0"/>
            <wp:docPr id="1243436970"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436970" name="图片 1" descr="图表&#10;&#10;描述已自动生成"/>
                    <pic:cNvPicPr>
                      <a:picLocks noChangeAspect="1"/>
                    </pic:cNvPicPr>
                  </pic:nvPicPr>
                  <pic:blipFill>
                    <a:blip r:embed="rId20"/>
                    <a:stretch>
                      <a:fillRect/>
                    </a:stretch>
                  </pic:blipFill>
                  <pic:spPr>
                    <a:xfrm>
                      <a:off x="0" y="0"/>
                      <a:ext cx="3044229" cy="2159581"/>
                    </a:xfrm>
                    <a:prstGeom prst="rect">
                      <a:avLst/>
                    </a:prstGeom>
                  </pic:spPr>
                </pic:pic>
              </a:graphicData>
            </a:graphic>
          </wp:inline>
        </w:drawing>
      </w:r>
      <w:r>
        <w:t xml:space="preserve"> </w:t>
      </w:r>
      <w:r>
        <w:rPr>
          <w:noProof/>
        </w:rPr>
        <w:drawing>
          <wp:inline distT="0" distB="0" distL="0" distR="0" wp14:anchorId="7F95D911" wp14:editId="32B54B46">
            <wp:extent cx="5943600" cy="313055"/>
            <wp:effectExtent l="0" t="0" r="0" b="0"/>
            <wp:docPr id="2461529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52920" name="图片 1"/>
                    <pic:cNvPicPr>
                      <a:picLocks noChangeAspect="1"/>
                    </pic:cNvPicPr>
                  </pic:nvPicPr>
                  <pic:blipFill>
                    <a:blip r:embed="rId21"/>
                    <a:stretch>
                      <a:fillRect/>
                    </a:stretch>
                  </pic:blipFill>
                  <pic:spPr>
                    <a:xfrm>
                      <a:off x="0" y="0"/>
                      <a:ext cx="5943600" cy="313055"/>
                    </a:xfrm>
                    <a:prstGeom prst="rect">
                      <a:avLst/>
                    </a:prstGeom>
                  </pic:spPr>
                </pic:pic>
              </a:graphicData>
            </a:graphic>
          </wp:inline>
        </w:drawing>
      </w:r>
    </w:p>
    <w:p w14:paraId="70A3265A" w14:textId="77777777" w:rsidR="00DC05DB" w:rsidRDefault="00000000">
      <w:pPr>
        <w:adjustRightInd w:val="0"/>
        <w:snapToGrid w:val="0"/>
        <w:spacing w:line="360" w:lineRule="auto"/>
        <w:jc w:val="both"/>
        <w:rPr>
          <w:rFonts w:eastAsia="SimSun"/>
          <w:color w:val="000000" w:themeColor="text1"/>
          <w:lang w:eastAsia="zh-CN"/>
        </w:rPr>
      </w:pPr>
      <w:r>
        <w:rPr>
          <w:rFonts w:ascii="Book Antiqua" w:eastAsia="Book Antiqua" w:hAnsi="Book Antiqua" w:cs="Book Antiqua"/>
          <w:b/>
          <w:bCs/>
          <w:color w:val="000000" w:themeColor="text1"/>
        </w:rPr>
        <w:t xml:space="preserve">Figure 4 Association between T cell immunoglobulin and mucin-domain containing-3 expression and clinicopathological characteristics was analyzed. </w:t>
      </w:r>
      <w:r>
        <w:rPr>
          <w:rFonts w:ascii="Book Antiqua" w:eastAsia="Book Antiqua" w:hAnsi="Book Antiqua" w:cs="Book Antiqua"/>
          <w:color w:val="000000" w:themeColor="text1"/>
        </w:rPr>
        <w:t>Forest plots of odds ratio (OR) and 95% confidence interval (CI) were performed for correlation between T cell immunoglobulin and mucin-domain containing-3 expression and Tumor staging and grade of tissue differentiation.</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A</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T stage</w:t>
      </w:r>
      <w:r>
        <w:rPr>
          <w:rFonts w:ascii="Book Antiqua" w:eastAsia="SimSun" w:hAnsi="Book Antiqua" w:cs="Book Antiqua"/>
          <w:color w:val="000000" w:themeColor="text1"/>
          <w:lang w:eastAsia="zh-CN"/>
        </w:rPr>
        <w:t>; B:</w:t>
      </w:r>
      <w:r>
        <w:rPr>
          <w:rFonts w:ascii="Book Antiqua" w:eastAsia="Book Antiqua" w:hAnsi="Book Antiqua" w:cs="Book Antiqua"/>
          <w:color w:val="000000" w:themeColor="text1"/>
        </w:rPr>
        <w:t xml:space="preserve"> N stage</w:t>
      </w:r>
      <w:r>
        <w:rPr>
          <w:rFonts w:ascii="Book Antiqua" w:eastAsia="SimSun" w:hAnsi="Book Antiqua" w:cs="Book Antiqua"/>
          <w:color w:val="000000" w:themeColor="text1"/>
          <w:lang w:eastAsia="zh-CN"/>
        </w:rPr>
        <w:t xml:space="preserve">; C: </w:t>
      </w:r>
      <w:r>
        <w:rPr>
          <w:rFonts w:ascii="Book Antiqua" w:eastAsia="Book Antiqua" w:hAnsi="Book Antiqua" w:cs="Book Antiqua"/>
          <w:color w:val="000000" w:themeColor="text1"/>
        </w:rPr>
        <w:t>TNM stage</w:t>
      </w:r>
      <w:r>
        <w:rPr>
          <w:rFonts w:ascii="Book Antiqua" w:eastAsia="SimSun" w:hAnsi="Book Antiqua" w:cs="Book Antiqua"/>
          <w:color w:val="000000" w:themeColor="text1"/>
          <w:lang w:eastAsia="zh-CN"/>
        </w:rPr>
        <w:t>; D: Grade of tissue differentiation.</w:t>
      </w:r>
    </w:p>
    <w:p w14:paraId="3E033EE9" w14:textId="77777777" w:rsidR="00DC05DB" w:rsidRDefault="00000000">
      <w:pPr>
        <w:adjustRightInd w:val="0"/>
        <w:snapToGrid w:val="0"/>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70159E0F" wp14:editId="085D994B">
            <wp:extent cx="5113020" cy="4023360"/>
            <wp:effectExtent l="0" t="0" r="0" b="0"/>
            <wp:docPr id="330162238"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162238" name="图片 1" descr="图表&#10;&#10;描述已自动生成"/>
                    <pic:cNvPicPr>
                      <a:picLocks noChangeAspect="1"/>
                    </pic:cNvPicPr>
                  </pic:nvPicPr>
                  <pic:blipFill>
                    <a:blip r:embed="rId22"/>
                    <a:stretch>
                      <a:fillRect/>
                    </a:stretch>
                  </pic:blipFill>
                  <pic:spPr>
                    <a:xfrm>
                      <a:off x="0" y="0"/>
                      <a:ext cx="5113463" cy="4023709"/>
                    </a:xfrm>
                    <a:prstGeom prst="rect">
                      <a:avLst/>
                    </a:prstGeom>
                  </pic:spPr>
                </pic:pic>
              </a:graphicData>
            </a:graphic>
          </wp:inline>
        </w:drawing>
      </w:r>
      <w:r>
        <w:t xml:space="preserve"> </w:t>
      </w:r>
      <w:r>
        <w:rPr>
          <w:noProof/>
        </w:rPr>
        <w:drawing>
          <wp:inline distT="0" distB="0" distL="0" distR="0" wp14:anchorId="09CE7ED5" wp14:editId="51E467C7">
            <wp:extent cx="5943600" cy="4056380"/>
            <wp:effectExtent l="0" t="0" r="0" b="0"/>
            <wp:docPr id="1038326351"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26351" name="图片 1" descr="图表&#10;&#10;描述已自动生成"/>
                    <pic:cNvPicPr>
                      <a:picLocks noChangeAspect="1"/>
                    </pic:cNvPicPr>
                  </pic:nvPicPr>
                  <pic:blipFill>
                    <a:blip r:embed="rId23"/>
                    <a:stretch>
                      <a:fillRect/>
                    </a:stretch>
                  </pic:blipFill>
                  <pic:spPr>
                    <a:xfrm>
                      <a:off x="0" y="0"/>
                      <a:ext cx="5943600" cy="4056380"/>
                    </a:xfrm>
                    <a:prstGeom prst="rect">
                      <a:avLst/>
                    </a:prstGeom>
                  </pic:spPr>
                </pic:pic>
              </a:graphicData>
            </a:graphic>
          </wp:inline>
        </w:drawing>
      </w:r>
      <w:r>
        <w:t xml:space="preserve"> </w:t>
      </w:r>
      <w:r>
        <w:rPr>
          <w:noProof/>
        </w:rPr>
        <w:lastRenderedPageBreak/>
        <w:drawing>
          <wp:inline distT="0" distB="0" distL="0" distR="0" wp14:anchorId="426E1230" wp14:editId="13BC8D90">
            <wp:extent cx="5943600" cy="300990"/>
            <wp:effectExtent l="0" t="0" r="0" b="0"/>
            <wp:docPr id="17865329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532951" name="图片 1"/>
                    <pic:cNvPicPr>
                      <a:picLocks noChangeAspect="1"/>
                    </pic:cNvPicPr>
                  </pic:nvPicPr>
                  <pic:blipFill>
                    <a:blip r:embed="rId24"/>
                    <a:stretch>
                      <a:fillRect/>
                    </a:stretch>
                  </pic:blipFill>
                  <pic:spPr>
                    <a:xfrm>
                      <a:off x="0" y="0"/>
                      <a:ext cx="5943600" cy="300990"/>
                    </a:xfrm>
                    <a:prstGeom prst="rect">
                      <a:avLst/>
                    </a:prstGeom>
                  </pic:spPr>
                </pic:pic>
              </a:graphicData>
            </a:graphic>
          </wp:inline>
        </w:drawing>
      </w:r>
    </w:p>
    <w:p w14:paraId="1D913FFF" w14:textId="77777777" w:rsidR="00DC05DB" w:rsidRDefault="00000000">
      <w:pPr>
        <w:adjustRightInd w:val="0"/>
        <w:snapToGrid w:val="0"/>
        <w:spacing w:line="360" w:lineRule="auto"/>
        <w:jc w:val="both"/>
        <w:rPr>
          <w:color w:val="000000" w:themeColor="text1"/>
        </w:rPr>
      </w:pPr>
      <w:r>
        <w:rPr>
          <w:rFonts w:ascii="Book Antiqua" w:eastAsia="Book Antiqua" w:hAnsi="Book Antiqua" w:cs="Book Antiqua"/>
          <w:b/>
          <w:bCs/>
          <w:color w:val="000000" w:themeColor="text1"/>
        </w:rPr>
        <w:t>Figure 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 xml:space="preserve">Assessment of publication bias and sensitivity analysis. </w:t>
      </w:r>
      <w:r>
        <w:rPr>
          <w:rFonts w:ascii="Book Antiqua" w:eastAsia="Book Antiqua" w:hAnsi="Book Antiqua" w:cs="Book Antiqua"/>
          <w:color w:val="000000" w:themeColor="text1"/>
        </w:rPr>
        <w:t>A: Funnel plot that assessed the effect of potential publication bias on the meta-analysis results; B: Sensitivity analysis that evaluated the impact of omitting individual studies on the pooled effect size estimate to determine the association between the T cell immunoglobulin and mucin-domain containing-3 expression and prognosis in upper gastrointestinal tumors. HR: Hazard ratio.</w:t>
      </w:r>
    </w:p>
    <w:p w14:paraId="6850DAD2" w14:textId="77777777" w:rsidR="00DC05DB" w:rsidRDefault="00DC05DB">
      <w:pPr>
        <w:adjustRightInd w:val="0"/>
        <w:snapToGrid w:val="0"/>
        <w:spacing w:line="360" w:lineRule="auto"/>
        <w:jc w:val="both"/>
        <w:rPr>
          <w:rFonts w:ascii="Book Antiqua" w:eastAsia="Book Antiqua" w:hAnsi="Book Antiqua" w:cs="Book Antiqua"/>
          <w:b/>
          <w:bCs/>
          <w:color w:val="000000" w:themeColor="text1"/>
        </w:rPr>
        <w:sectPr w:rsidR="00DC05DB">
          <w:pgSz w:w="12240" w:h="15840"/>
          <w:pgMar w:top="1440" w:right="1440" w:bottom="1440" w:left="1440" w:header="720" w:footer="720" w:gutter="0"/>
          <w:cols w:space="720"/>
          <w:docGrid w:linePitch="360"/>
        </w:sectPr>
      </w:pPr>
    </w:p>
    <w:p w14:paraId="00E7AB8B" w14:textId="77777777" w:rsidR="00DC05DB" w:rsidRDefault="00000000">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lastRenderedPageBreak/>
        <w:t>Table 1 Characteristics of studies included for the meta-</w:t>
      </w:r>
      <w:proofErr w:type="gramStart"/>
      <w:r>
        <w:rPr>
          <w:rFonts w:ascii="Book Antiqua" w:eastAsia="Book Antiqua" w:hAnsi="Book Antiqua" w:cs="Book Antiqua"/>
          <w:b/>
          <w:bCs/>
          <w:color w:val="000000" w:themeColor="text1"/>
        </w:rPr>
        <w:t>analysis</w:t>
      </w:r>
      <w:proofErr w:type="gramEnd"/>
    </w:p>
    <w:tbl>
      <w:tblPr>
        <w:tblW w:w="13599" w:type="dxa"/>
        <w:tblInd w:w="-12" w:type="dxa"/>
        <w:tblBorders>
          <w:top w:val="single" w:sz="4" w:space="0" w:color="auto"/>
          <w:bottom w:val="single" w:sz="4" w:space="0" w:color="auto"/>
        </w:tblBorders>
        <w:tblLayout w:type="fixed"/>
        <w:tblLook w:val="04A0" w:firstRow="1" w:lastRow="0" w:firstColumn="1" w:lastColumn="0" w:noHBand="0" w:noVBand="1"/>
      </w:tblPr>
      <w:tblGrid>
        <w:gridCol w:w="913"/>
        <w:gridCol w:w="621"/>
        <w:gridCol w:w="871"/>
        <w:gridCol w:w="945"/>
        <w:gridCol w:w="573"/>
        <w:gridCol w:w="837"/>
        <w:gridCol w:w="1301"/>
        <w:gridCol w:w="665"/>
        <w:gridCol w:w="1134"/>
        <w:gridCol w:w="1417"/>
        <w:gridCol w:w="1204"/>
        <w:gridCol w:w="1304"/>
        <w:gridCol w:w="1247"/>
        <w:gridCol w:w="567"/>
      </w:tblGrid>
      <w:tr w:rsidR="00DC05DB" w14:paraId="4D4391F8" w14:textId="77777777">
        <w:trPr>
          <w:trHeight w:val="823"/>
        </w:trPr>
        <w:tc>
          <w:tcPr>
            <w:tcW w:w="913" w:type="dxa"/>
            <w:tcBorders>
              <w:top w:val="single" w:sz="4" w:space="0" w:color="auto"/>
              <w:left w:val="nil"/>
              <w:bottom w:val="single" w:sz="4" w:space="0" w:color="auto"/>
              <w:right w:val="nil"/>
            </w:tcBorders>
            <w:noWrap/>
            <w:vAlign w:val="center"/>
          </w:tcPr>
          <w:p w14:paraId="52ACB3A2"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Reference</w:t>
            </w:r>
          </w:p>
        </w:tc>
        <w:tc>
          <w:tcPr>
            <w:tcW w:w="621" w:type="dxa"/>
            <w:tcBorders>
              <w:top w:val="single" w:sz="4" w:space="0" w:color="auto"/>
              <w:left w:val="nil"/>
              <w:bottom w:val="single" w:sz="4" w:space="0" w:color="auto"/>
              <w:right w:val="nil"/>
            </w:tcBorders>
            <w:noWrap/>
            <w:vAlign w:val="center"/>
          </w:tcPr>
          <w:p w14:paraId="46743A46" w14:textId="77777777" w:rsidR="00DC05DB" w:rsidRDefault="00000000">
            <w:pPr>
              <w:snapToGrid w:val="0"/>
              <w:spacing w:line="360" w:lineRule="auto"/>
              <w:jc w:val="both"/>
              <w:textAlignment w:val="center"/>
              <w:rPr>
                <w:rFonts w:ascii="Book Antiqua" w:hAnsi="Book Antiqua"/>
                <w:b/>
                <w:color w:val="000000" w:themeColor="text1"/>
              </w:rPr>
            </w:pPr>
            <w:proofErr w:type="spellStart"/>
            <w:r>
              <w:rPr>
                <w:rFonts w:ascii="Book Antiqua" w:hAnsi="Book Antiqua"/>
                <w:b/>
                <w:color w:val="000000" w:themeColor="text1"/>
              </w:rPr>
              <w:t>Yr</w:t>
            </w:r>
            <w:proofErr w:type="spellEnd"/>
          </w:p>
        </w:tc>
        <w:tc>
          <w:tcPr>
            <w:tcW w:w="871" w:type="dxa"/>
            <w:tcBorders>
              <w:top w:val="single" w:sz="4" w:space="0" w:color="auto"/>
              <w:left w:val="nil"/>
              <w:bottom w:val="single" w:sz="4" w:space="0" w:color="auto"/>
              <w:right w:val="nil"/>
            </w:tcBorders>
            <w:noWrap/>
            <w:vAlign w:val="center"/>
          </w:tcPr>
          <w:p w14:paraId="73EC6E5C"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Country</w:t>
            </w:r>
          </w:p>
        </w:tc>
        <w:tc>
          <w:tcPr>
            <w:tcW w:w="945" w:type="dxa"/>
            <w:tcBorders>
              <w:top w:val="single" w:sz="4" w:space="0" w:color="auto"/>
              <w:left w:val="nil"/>
              <w:bottom w:val="single" w:sz="4" w:space="0" w:color="auto"/>
              <w:right w:val="nil"/>
            </w:tcBorders>
            <w:noWrap/>
            <w:vAlign w:val="center"/>
          </w:tcPr>
          <w:p w14:paraId="5052C4F2"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Ethnicity</w:t>
            </w:r>
          </w:p>
        </w:tc>
        <w:tc>
          <w:tcPr>
            <w:tcW w:w="573" w:type="dxa"/>
            <w:tcBorders>
              <w:top w:val="single" w:sz="4" w:space="0" w:color="auto"/>
              <w:left w:val="nil"/>
              <w:bottom w:val="single" w:sz="4" w:space="0" w:color="auto"/>
              <w:right w:val="nil"/>
            </w:tcBorders>
            <w:noWrap/>
            <w:vAlign w:val="center"/>
          </w:tcPr>
          <w:p w14:paraId="125A45C5"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Age</w:t>
            </w:r>
          </w:p>
        </w:tc>
        <w:tc>
          <w:tcPr>
            <w:tcW w:w="837" w:type="dxa"/>
            <w:tcBorders>
              <w:top w:val="single" w:sz="4" w:space="0" w:color="auto"/>
              <w:left w:val="nil"/>
              <w:bottom w:val="single" w:sz="4" w:space="0" w:color="auto"/>
              <w:right w:val="nil"/>
            </w:tcBorders>
            <w:noWrap/>
            <w:vAlign w:val="center"/>
          </w:tcPr>
          <w:p w14:paraId="2C333F7B"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Method</w:t>
            </w:r>
          </w:p>
        </w:tc>
        <w:tc>
          <w:tcPr>
            <w:tcW w:w="1301" w:type="dxa"/>
            <w:tcBorders>
              <w:top w:val="single" w:sz="4" w:space="0" w:color="auto"/>
              <w:left w:val="nil"/>
              <w:bottom w:val="single" w:sz="4" w:space="0" w:color="auto"/>
              <w:right w:val="nil"/>
            </w:tcBorders>
            <w:noWrap/>
            <w:vAlign w:val="center"/>
          </w:tcPr>
          <w:p w14:paraId="45170BE7"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Study design</w:t>
            </w:r>
          </w:p>
        </w:tc>
        <w:tc>
          <w:tcPr>
            <w:tcW w:w="665" w:type="dxa"/>
            <w:tcBorders>
              <w:top w:val="single" w:sz="4" w:space="0" w:color="auto"/>
              <w:left w:val="nil"/>
              <w:bottom w:val="single" w:sz="4" w:space="0" w:color="auto"/>
              <w:right w:val="nil"/>
            </w:tcBorders>
            <w:noWrap/>
            <w:vAlign w:val="center"/>
          </w:tcPr>
          <w:p w14:paraId="20307BEE"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Stage</w:t>
            </w:r>
          </w:p>
        </w:tc>
        <w:tc>
          <w:tcPr>
            <w:tcW w:w="1134" w:type="dxa"/>
            <w:tcBorders>
              <w:top w:val="single" w:sz="4" w:space="0" w:color="auto"/>
              <w:left w:val="nil"/>
              <w:bottom w:val="single" w:sz="4" w:space="0" w:color="auto"/>
              <w:right w:val="nil"/>
            </w:tcBorders>
            <w:noWrap/>
            <w:vAlign w:val="center"/>
          </w:tcPr>
          <w:p w14:paraId="7F0F1939"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Cancer type</w:t>
            </w:r>
          </w:p>
        </w:tc>
        <w:tc>
          <w:tcPr>
            <w:tcW w:w="1417" w:type="dxa"/>
            <w:tcBorders>
              <w:top w:val="single" w:sz="4" w:space="0" w:color="auto"/>
              <w:left w:val="nil"/>
              <w:bottom w:val="single" w:sz="4" w:space="0" w:color="auto"/>
              <w:right w:val="nil"/>
            </w:tcBorders>
            <w:noWrap/>
            <w:vAlign w:val="center"/>
          </w:tcPr>
          <w:p w14:paraId="01478FA7"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Cut-off values</w:t>
            </w:r>
          </w:p>
        </w:tc>
        <w:tc>
          <w:tcPr>
            <w:tcW w:w="1204" w:type="dxa"/>
            <w:tcBorders>
              <w:top w:val="single" w:sz="4" w:space="0" w:color="auto"/>
              <w:left w:val="nil"/>
              <w:bottom w:val="single" w:sz="4" w:space="0" w:color="auto"/>
              <w:right w:val="nil"/>
            </w:tcBorders>
            <w:noWrap/>
            <w:vAlign w:val="center"/>
          </w:tcPr>
          <w:p w14:paraId="315EBB88"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i/>
                <w:iCs/>
                <w:color w:val="000000" w:themeColor="text1"/>
              </w:rPr>
              <w:t>n</w:t>
            </w:r>
            <w:r>
              <w:rPr>
                <w:rFonts w:ascii="Book Antiqua" w:hAnsi="Book Antiqua"/>
                <w:b/>
                <w:color w:val="000000" w:themeColor="text1"/>
              </w:rPr>
              <w:t xml:space="preserve"> (E +)</w:t>
            </w:r>
          </w:p>
        </w:tc>
        <w:tc>
          <w:tcPr>
            <w:tcW w:w="1304" w:type="dxa"/>
            <w:tcBorders>
              <w:top w:val="single" w:sz="4" w:space="0" w:color="auto"/>
              <w:left w:val="nil"/>
              <w:bottom w:val="single" w:sz="4" w:space="0" w:color="auto"/>
              <w:right w:val="nil"/>
            </w:tcBorders>
            <w:noWrap/>
            <w:vAlign w:val="center"/>
          </w:tcPr>
          <w:p w14:paraId="1A4D1D49"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 xml:space="preserve">Follow-up time in </w:t>
            </w:r>
            <w:proofErr w:type="spellStart"/>
            <w:r>
              <w:rPr>
                <w:rFonts w:ascii="Book Antiqua" w:hAnsi="Book Antiqua"/>
                <w:b/>
                <w:color w:val="000000" w:themeColor="text1"/>
              </w:rPr>
              <w:t>mo</w:t>
            </w:r>
            <w:proofErr w:type="spellEnd"/>
            <w:r>
              <w:rPr>
                <w:rFonts w:ascii="Book Antiqua" w:hAnsi="Book Antiqua"/>
                <w:b/>
                <w:color w:val="000000" w:themeColor="text1"/>
              </w:rPr>
              <w:t xml:space="preserve"> (range)</w:t>
            </w:r>
          </w:p>
        </w:tc>
        <w:tc>
          <w:tcPr>
            <w:tcW w:w="1247" w:type="dxa"/>
            <w:tcBorders>
              <w:top w:val="single" w:sz="4" w:space="0" w:color="auto"/>
              <w:left w:val="nil"/>
              <w:bottom w:val="single" w:sz="4" w:space="0" w:color="auto"/>
              <w:right w:val="nil"/>
            </w:tcBorders>
            <w:vAlign w:val="center"/>
          </w:tcPr>
          <w:p w14:paraId="1B694670"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OS (HR with 95%CI)</w:t>
            </w:r>
          </w:p>
        </w:tc>
        <w:tc>
          <w:tcPr>
            <w:tcW w:w="567" w:type="dxa"/>
            <w:tcBorders>
              <w:top w:val="single" w:sz="4" w:space="0" w:color="auto"/>
              <w:left w:val="nil"/>
              <w:bottom w:val="single" w:sz="4" w:space="0" w:color="auto"/>
              <w:right w:val="nil"/>
            </w:tcBorders>
            <w:noWrap/>
            <w:vAlign w:val="center"/>
          </w:tcPr>
          <w:p w14:paraId="30BFE867" w14:textId="77777777" w:rsidR="00DC05DB" w:rsidRDefault="00000000">
            <w:pPr>
              <w:snapToGrid w:val="0"/>
              <w:spacing w:line="360" w:lineRule="auto"/>
              <w:jc w:val="both"/>
              <w:textAlignment w:val="center"/>
              <w:rPr>
                <w:rFonts w:ascii="Book Antiqua" w:hAnsi="Book Antiqua"/>
                <w:b/>
                <w:color w:val="000000" w:themeColor="text1"/>
              </w:rPr>
            </w:pPr>
            <w:r>
              <w:rPr>
                <w:rFonts w:ascii="Book Antiqua" w:hAnsi="Book Antiqua"/>
                <w:b/>
                <w:color w:val="000000" w:themeColor="text1"/>
              </w:rPr>
              <w:t>NOS</w:t>
            </w:r>
          </w:p>
        </w:tc>
      </w:tr>
      <w:tr w:rsidR="00DC05DB" w14:paraId="7CA1C46A" w14:textId="77777777">
        <w:trPr>
          <w:trHeight w:val="535"/>
        </w:trPr>
        <w:tc>
          <w:tcPr>
            <w:tcW w:w="913" w:type="dxa"/>
            <w:tcBorders>
              <w:top w:val="nil"/>
              <w:left w:val="nil"/>
              <w:bottom w:val="nil"/>
              <w:right w:val="nil"/>
            </w:tcBorders>
            <w:noWrap/>
            <w:vAlign w:val="center"/>
          </w:tcPr>
          <w:p w14:paraId="3443B16C"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 xml:space="preserve">Jiang </w:t>
            </w:r>
            <w:r>
              <w:rPr>
                <w:rFonts w:ascii="Book Antiqua" w:hAnsi="Book Antiqua"/>
                <w:i/>
                <w:iCs/>
                <w:color w:val="000000" w:themeColor="text1"/>
              </w:rPr>
              <w:t>et al</w:t>
            </w:r>
            <w:r>
              <w:rPr>
                <w:rFonts w:ascii="Book Antiqua" w:hAnsi="Book Antiqua"/>
                <w:color w:val="000000" w:themeColor="text1"/>
              </w:rPr>
              <w:fldChar w:fldCharType="begin"/>
            </w:r>
            <w:r>
              <w:rPr>
                <w:rFonts w:ascii="Book Antiqua" w:hAnsi="Book Antiqua"/>
                <w:color w:val="000000" w:themeColor="text1"/>
              </w:rPr>
              <w:instrText xml:space="preserve"> ADDIN EN.CITE </w:instrText>
            </w:r>
            <w:r>
              <w:rPr>
                <w:rFonts w:ascii="Book Antiqua" w:hAnsi="Book Antiqua"/>
                <w:color w:val="000000" w:themeColor="text1"/>
              </w:rPr>
              <w:fldChar w:fldCharType="begin"/>
            </w:r>
            <w:r>
              <w:rPr>
                <w:rFonts w:ascii="Book Antiqua" w:hAnsi="Book Antiqua"/>
                <w:color w:val="000000" w:themeColor="text1"/>
              </w:rPr>
              <w:instrText xml:space="preserve"> ADDIN EN.CITE.DATA </w:instrText>
            </w:r>
            <w:r>
              <w:rPr>
                <w:rFonts w:ascii="Book Antiqua" w:hAnsi="Book Antiqua"/>
                <w:color w:val="000000" w:themeColor="text1"/>
              </w:rPr>
              <w:fldChar w:fldCharType="end"/>
            </w:r>
            <w:r>
              <w:rPr>
                <w:rFonts w:ascii="Book Antiqua" w:hAnsi="Book Antiqua"/>
                <w:color w:val="000000" w:themeColor="text1"/>
              </w:rPr>
              <w:fldChar w:fldCharType="separate"/>
            </w:r>
            <w:r>
              <w:rPr>
                <w:rFonts w:ascii="Book Antiqua" w:hAnsi="Book Antiqua"/>
                <w:color w:val="000000" w:themeColor="text1"/>
                <w:vertAlign w:val="superscript"/>
                <w:lang w:eastAsia="zh-CN"/>
              </w:rPr>
              <w:t>[17]</w:t>
            </w:r>
            <w:r>
              <w:rPr>
                <w:rFonts w:ascii="Book Antiqua" w:hAnsi="Book Antiqua"/>
                <w:color w:val="000000" w:themeColor="text1"/>
              </w:rPr>
              <w:fldChar w:fldCharType="end"/>
            </w:r>
          </w:p>
        </w:tc>
        <w:tc>
          <w:tcPr>
            <w:tcW w:w="621" w:type="dxa"/>
            <w:tcBorders>
              <w:top w:val="nil"/>
              <w:left w:val="nil"/>
              <w:bottom w:val="nil"/>
              <w:right w:val="nil"/>
            </w:tcBorders>
            <w:noWrap/>
            <w:vAlign w:val="center"/>
          </w:tcPr>
          <w:p w14:paraId="23FA419F"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2013</w:t>
            </w:r>
          </w:p>
        </w:tc>
        <w:tc>
          <w:tcPr>
            <w:tcW w:w="871" w:type="dxa"/>
            <w:tcBorders>
              <w:top w:val="nil"/>
              <w:left w:val="nil"/>
              <w:bottom w:val="nil"/>
              <w:right w:val="nil"/>
            </w:tcBorders>
            <w:noWrap/>
            <w:vAlign w:val="center"/>
          </w:tcPr>
          <w:p w14:paraId="52B42BE1"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China</w:t>
            </w:r>
          </w:p>
        </w:tc>
        <w:tc>
          <w:tcPr>
            <w:tcW w:w="945" w:type="dxa"/>
            <w:tcBorders>
              <w:top w:val="nil"/>
              <w:left w:val="nil"/>
              <w:bottom w:val="nil"/>
              <w:right w:val="nil"/>
            </w:tcBorders>
            <w:noWrap/>
            <w:vAlign w:val="center"/>
          </w:tcPr>
          <w:p w14:paraId="65043CA4"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Asian</w:t>
            </w:r>
          </w:p>
        </w:tc>
        <w:tc>
          <w:tcPr>
            <w:tcW w:w="573" w:type="dxa"/>
            <w:tcBorders>
              <w:top w:val="nil"/>
              <w:left w:val="nil"/>
              <w:bottom w:val="nil"/>
              <w:right w:val="nil"/>
            </w:tcBorders>
            <w:noWrap/>
            <w:vAlign w:val="center"/>
          </w:tcPr>
          <w:p w14:paraId="6E973A9D"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60</w:t>
            </w:r>
          </w:p>
        </w:tc>
        <w:tc>
          <w:tcPr>
            <w:tcW w:w="837" w:type="dxa"/>
            <w:tcBorders>
              <w:top w:val="nil"/>
              <w:left w:val="nil"/>
              <w:bottom w:val="nil"/>
              <w:right w:val="nil"/>
            </w:tcBorders>
            <w:noWrap/>
            <w:vAlign w:val="center"/>
          </w:tcPr>
          <w:p w14:paraId="3AB08D79"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IHC</w:t>
            </w:r>
          </w:p>
        </w:tc>
        <w:tc>
          <w:tcPr>
            <w:tcW w:w="1301" w:type="dxa"/>
            <w:tcBorders>
              <w:top w:val="nil"/>
              <w:left w:val="nil"/>
              <w:bottom w:val="nil"/>
              <w:right w:val="nil"/>
            </w:tcBorders>
            <w:noWrap/>
            <w:vAlign w:val="center"/>
          </w:tcPr>
          <w:p w14:paraId="22303F4A"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Retrospective</w:t>
            </w:r>
          </w:p>
        </w:tc>
        <w:tc>
          <w:tcPr>
            <w:tcW w:w="665" w:type="dxa"/>
            <w:tcBorders>
              <w:top w:val="nil"/>
              <w:left w:val="nil"/>
              <w:bottom w:val="nil"/>
              <w:right w:val="nil"/>
            </w:tcBorders>
            <w:noWrap/>
            <w:vAlign w:val="center"/>
          </w:tcPr>
          <w:p w14:paraId="2FF8B5AD"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1-4</w:t>
            </w:r>
          </w:p>
        </w:tc>
        <w:tc>
          <w:tcPr>
            <w:tcW w:w="1134" w:type="dxa"/>
            <w:tcBorders>
              <w:top w:val="nil"/>
              <w:left w:val="nil"/>
              <w:bottom w:val="nil"/>
              <w:right w:val="nil"/>
            </w:tcBorders>
            <w:noWrap/>
            <w:vAlign w:val="center"/>
          </w:tcPr>
          <w:p w14:paraId="735E85BC"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Gastric cancer</w:t>
            </w:r>
          </w:p>
        </w:tc>
        <w:tc>
          <w:tcPr>
            <w:tcW w:w="1417" w:type="dxa"/>
            <w:tcBorders>
              <w:top w:val="nil"/>
              <w:left w:val="nil"/>
              <w:bottom w:val="nil"/>
              <w:right w:val="nil"/>
            </w:tcBorders>
            <w:noWrap/>
            <w:vAlign w:val="center"/>
          </w:tcPr>
          <w:p w14:paraId="0C3D7FFA"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HSCORE &gt; 0</w:t>
            </w:r>
          </w:p>
        </w:tc>
        <w:tc>
          <w:tcPr>
            <w:tcW w:w="1204" w:type="dxa"/>
            <w:tcBorders>
              <w:top w:val="nil"/>
              <w:left w:val="nil"/>
              <w:bottom w:val="nil"/>
              <w:right w:val="nil"/>
            </w:tcBorders>
            <w:noWrap/>
            <w:vAlign w:val="center"/>
          </w:tcPr>
          <w:p w14:paraId="2E6344E8"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305 (60.0%)</w:t>
            </w:r>
          </w:p>
        </w:tc>
        <w:tc>
          <w:tcPr>
            <w:tcW w:w="1304" w:type="dxa"/>
            <w:tcBorders>
              <w:top w:val="nil"/>
              <w:left w:val="nil"/>
              <w:bottom w:val="nil"/>
              <w:right w:val="nil"/>
            </w:tcBorders>
            <w:noWrap/>
            <w:vAlign w:val="center"/>
          </w:tcPr>
          <w:p w14:paraId="31573CC4"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Median 40 (3-135)</w:t>
            </w:r>
          </w:p>
        </w:tc>
        <w:tc>
          <w:tcPr>
            <w:tcW w:w="1247" w:type="dxa"/>
            <w:tcBorders>
              <w:top w:val="nil"/>
              <w:left w:val="nil"/>
              <w:bottom w:val="nil"/>
              <w:right w:val="nil"/>
            </w:tcBorders>
            <w:vAlign w:val="center"/>
          </w:tcPr>
          <w:p w14:paraId="7AC305CA"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0.60 (0.35–1.01)</w:t>
            </w:r>
          </w:p>
        </w:tc>
        <w:tc>
          <w:tcPr>
            <w:tcW w:w="567" w:type="dxa"/>
            <w:tcBorders>
              <w:top w:val="nil"/>
              <w:left w:val="nil"/>
              <w:bottom w:val="nil"/>
              <w:right w:val="nil"/>
            </w:tcBorders>
            <w:noWrap/>
            <w:vAlign w:val="center"/>
          </w:tcPr>
          <w:p w14:paraId="26C20760"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9</w:t>
            </w:r>
          </w:p>
        </w:tc>
      </w:tr>
      <w:tr w:rsidR="00DC05DB" w14:paraId="32A020F8" w14:textId="77777777">
        <w:trPr>
          <w:trHeight w:val="535"/>
        </w:trPr>
        <w:tc>
          <w:tcPr>
            <w:tcW w:w="913" w:type="dxa"/>
            <w:tcBorders>
              <w:top w:val="nil"/>
              <w:left w:val="nil"/>
              <w:bottom w:val="nil"/>
              <w:right w:val="nil"/>
            </w:tcBorders>
            <w:noWrap/>
            <w:vAlign w:val="center"/>
          </w:tcPr>
          <w:p w14:paraId="64F90ED7"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Wang</w:t>
            </w:r>
            <w:r>
              <w:rPr>
                <w:rFonts w:ascii="Book Antiqua" w:hAnsi="Book Antiqua"/>
                <w:i/>
                <w:iCs/>
                <w:color w:val="000000" w:themeColor="text1"/>
              </w:rPr>
              <w:t xml:space="preserve"> et al</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&lt;EndNote&gt;&lt;Cite&gt;&lt;Author&gt;Wang&lt;/Author&gt;&lt;Year&gt;2018&lt;/Year&gt;&lt;RecNum&gt;30&lt;/RecNum&gt;&lt;DisplayText&gt;&lt;style face="superscript"&gt;[18]&lt;/style&gt;&lt;/DisplayText&gt;&lt;record&gt;&lt;rec-number&gt;30&lt;/rec-number&gt;&lt;foreign-keys&gt;&lt;key app="EN" db-id="ev00edrwrapr0ee0azrpvvwo5zs5aat5pa9f" timestamp="1682846850"&gt;30&lt;/key&gt;&lt;key app="ENWeb" db-id=""&gt;0&lt;/key&gt;&lt;/foreign-keys&gt;&lt;ref-type name="Journal Article"&gt;17&lt;/ref-type&gt;&lt;contributors&gt;&lt;authors&gt;&lt;author&gt;Wang, Y.&lt;/author&gt;&lt;author&gt;Zhao, E.&lt;/author&gt;&lt;author&gt;Zhang, Z.&lt;/author&gt;&lt;author&gt;Zhao, G.&lt;/author&gt;&lt;author&gt;Cao, H.&lt;/author&gt;&lt;/authors&gt;&lt;/contributors&gt;&lt;auth-address&gt;Department of Gastrointestinal Surgery, Ren Ji Hospital, School of Medicine, Shanghai Jiao Tong University, Shanghai 200127, P.R. China.&lt;/auth-address&gt;&lt;titles&gt;&lt;title&gt;Association between Tim</w:instrText>
            </w:r>
            <w:r>
              <w:rPr>
                <w:rFonts w:ascii="MS Mincho" w:eastAsia="MS Mincho" w:hAnsi="MS Mincho" w:cs="MS Mincho" w:hint="eastAsia"/>
                <w:color w:val="000000" w:themeColor="text1"/>
              </w:rPr>
              <w:instrText>‑</w:instrText>
            </w:r>
            <w:r>
              <w:rPr>
                <w:rFonts w:ascii="Book Antiqua" w:hAnsi="Book Antiqua"/>
                <w:color w:val="000000" w:themeColor="text1"/>
              </w:rPr>
              <w:instrText>3 and Gal</w:instrText>
            </w:r>
            <w:r>
              <w:rPr>
                <w:rFonts w:ascii="MS Mincho" w:eastAsia="MS Mincho" w:hAnsi="MS Mincho" w:cs="MS Mincho" w:hint="eastAsia"/>
                <w:color w:val="000000" w:themeColor="text1"/>
              </w:rPr>
              <w:instrText>‑</w:instrText>
            </w:r>
            <w:r>
              <w:rPr>
                <w:rFonts w:ascii="Book Antiqua" w:hAnsi="Book Antiqua"/>
                <w:color w:val="000000" w:themeColor="text1"/>
              </w:rPr>
              <w:instrText>9 expression and gastric cancer prognosis&lt;/title&gt;&lt;secondary-title&gt;Oncol Rep&lt;/secondary-title&gt;&lt;/titles&gt;&lt;periodical&gt;&lt;full-title&gt;Oncol Rep&lt;/full-title&gt;&lt;/periodical&gt;&lt;pages&gt;2115-2126&lt;/pages&gt;&lt;volume&gt;40&lt;/volume&gt;&lt;number&gt;4&lt;/number&gt;&lt;edition&gt;2018/08/15&lt;/edition&gt;&lt;keywords&gt;&lt;keyword&gt;Aged&lt;/keyword&gt;&lt;keyword&gt;Apoptosis&lt;/keyword&gt;&lt;keyword&gt;Biomarkers, Tumor/*metabolism&lt;/keyword&gt;&lt;keyword&gt;*Cell Proliferation&lt;/keyword&gt;&lt;keyword&gt;Female&lt;/keyword&gt;&lt;keyword&gt;Follow-Up Studies&lt;/keyword&gt;&lt;keyword&gt;Galectins/*metabolism&lt;/keyword&gt;&lt;keyword&gt;Hepatitis A Virus Cellular Receptor 2/*metabolism&lt;/keyword&gt;&lt;keyword&gt;Humans&lt;/keyword&gt;&lt;keyword&gt;Male&lt;/keyword&gt;&lt;keyword&gt;Neoplasm Invasiveness&lt;/keyword&gt;&lt;keyword&gt;Prognosis&lt;/keyword&gt;&lt;keyword&gt;Stomach Neoplasms/metabolism/*pathology/surgery&lt;/keyword&gt;&lt;keyword&gt;Survival Rate&lt;/keyword&gt;&lt;keyword&gt;T-Lymphocytes/immunology/*metabolism/pathology&lt;/keyword&gt;&lt;keyword&gt;Tumor Cells, Cultured&lt;/keyword&gt;&lt;/keywords&gt;&lt;dates&gt;&lt;year&gt;2018&lt;/year&gt;&lt;pub-dates&gt;&lt;date&gt;Oct&lt;/date&gt;&lt;/pub-dates&gt;&lt;/dates&gt;&lt;isbn&gt;1791-2431 (Electronic)&amp;#xD;1021-335X (Linking)&lt;/isbn&gt;&lt;accession-num&gt;30106451&lt;/accession-num&gt;&lt;urls&gt;&lt;related-urls&gt;&lt;url&gt;https://www.ncbi.nlm.nih.gov/pubmed/30106451&lt;/url&gt;&lt;/related-urls&gt;&lt;/urls&gt;&lt;electronic-resource-num&gt;10.3892/or.2018.6627&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lang w:eastAsia="zh-CN"/>
              </w:rPr>
              <w:t>[18]</w:t>
            </w:r>
            <w:r>
              <w:rPr>
                <w:rFonts w:ascii="Book Antiqua" w:hAnsi="Book Antiqua"/>
                <w:color w:val="000000" w:themeColor="text1"/>
              </w:rPr>
              <w:fldChar w:fldCharType="end"/>
            </w:r>
          </w:p>
        </w:tc>
        <w:tc>
          <w:tcPr>
            <w:tcW w:w="621" w:type="dxa"/>
            <w:tcBorders>
              <w:top w:val="nil"/>
              <w:left w:val="nil"/>
              <w:bottom w:val="nil"/>
              <w:right w:val="nil"/>
            </w:tcBorders>
            <w:noWrap/>
            <w:vAlign w:val="center"/>
          </w:tcPr>
          <w:p w14:paraId="41BB4385"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2018</w:t>
            </w:r>
          </w:p>
        </w:tc>
        <w:tc>
          <w:tcPr>
            <w:tcW w:w="871" w:type="dxa"/>
            <w:tcBorders>
              <w:top w:val="nil"/>
              <w:left w:val="nil"/>
              <w:bottom w:val="nil"/>
              <w:right w:val="nil"/>
            </w:tcBorders>
            <w:noWrap/>
            <w:vAlign w:val="center"/>
          </w:tcPr>
          <w:p w14:paraId="481A10FE"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China</w:t>
            </w:r>
          </w:p>
        </w:tc>
        <w:tc>
          <w:tcPr>
            <w:tcW w:w="945" w:type="dxa"/>
            <w:tcBorders>
              <w:top w:val="nil"/>
              <w:left w:val="nil"/>
              <w:bottom w:val="nil"/>
              <w:right w:val="nil"/>
            </w:tcBorders>
            <w:noWrap/>
            <w:vAlign w:val="center"/>
          </w:tcPr>
          <w:p w14:paraId="2B0ACBA6"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Asian</w:t>
            </w:r>
          </w:p>
        </w:tc>
        <w:tc>
          <w:tcPr>
            <w:tcW w:w="573" w:type="dxa"/>
            <w:tcBorders>
              <w:top w:val="nil"/>
              <w:left w:val="nil"/>
              <w:bottom w:val="nil"/>
              <w:right w:val="nil"/>
            </w:tcBorders>
            <w:noWrap/>
            <w:vAlign w:val="center"/>
          </w:tcPr>
          <w:p w14:paraId="58335DF2"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61.6</w:t>
            </w:r>
          </w:p>
        </w:tc>
        <w:tc>
          <w:tcPr>
            <w:tcW w:w="837" w:type="dxa"/>
            <w:tcBorders>
              <w:top w:val="nil"/>
              <w:left w:val="nil"/>
              <w:bottom w:val="nil"/>
              <w:right w:val="nil"/>
            </w:tcBorders>
            <w:noWrap/>
            <w:vAlign w:val="center"/>
          </w:tcPr>
          <w:p w14:paraId="45A7E10F"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IHC</w:t>
            </w:r>
          </w:p>
        </w:tc>
        <w:tc>
          <w:tcPr>
            <w:tcW w:w="1301" w:type="dxa"/>
            <w:tcBorders>
              <w:top w:val="nil"/>
              <w:left w:val="nil"/>
              <w:bottom w:val="nil"/>
              <w:right w:val="nil"/>
            </w:tcBorders>
            <w:noWrap/>
            <w:vAlign w:val="center"/>
          </w:tcPr>
          <w:p w14:paraId="5471D59D"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Retrospective</w:t>
            </w:r>
          </w:p>
        </w:tc>
        <w:tc>
          <w:tcPr>
            <w:tcW w:w="665" w:type="dxa"/>
            <w:tcBorders>
              <w:top w:val="nil"/>
              <w:left w:val="nil"/>
              <w:bottom w:val="nil"/>
              <w:right w:val="nil"/>
            </w:tcBorders>
            <w:noWrap/>
            <w:vAlign w:val="center"/>
          </w:tcPr>
          <w:p w14:paraId="2E1CC7B8"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1-4</w:t>
            </w:r>
          </w:p>
        </w:tc>
        <w:tc>
          <w:tcPr>
            <w:tcW w:w="1134" w:type="dxa"/>
            <w:tcBorders>
              <w:top w:val="nil"/>
              <w:left w:val="nil"/>
              <w:bottom w:val="nil"/>
              <w:right w:val="nil"/>
            </w:tcBorders>
            <w:noWrap/>
            <w:vAlign w:val="center"/>
          </w:tcPr>
          <w:p w14:paraId="2126B5F6"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Gastric cancer</w:t>
            </w:r>
          </w:p>
        </w:tc>
        <w:tc>
          <w:tcPr>
            <w:tcW w:w="1417" w:type="dxa"/>
            <w:tcBorders>
              <w:top w:val="nil"/>
              <w:left w:val="nil"/>
              <w:bottom w:val="nil"/>
              <w:right w:val="nil"/>
            </w:tcBorders>
            <w:noWrap/>
            <w:vAlign w:val="center"/>
          </w:tcPr>
          <w:p w14:paraId="651F6938"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Median number of stained cells</w:t>
            </w:r>
          </w:p>
        </w:tc>
        <w:tc>
          <w:tcPr>
            <w:tcW w:w="1204" w:type="dxa"/>
            <w:tcBorders>
              <w:top w:val="nil"/>
              <w:left w:val="nil"/>
              <w:bottom w:val="nil"/>
              <w:right w:val="nil"/>
            </w:tcBorders>
            <w:noWrap/>
            <w:vAlign w:val="center"/>
          </w:tcPr>
          <w:p w14:paraId="011474CC"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587 (49.9%)</w:t>
            </w:r>
          </w:p>
        </w:tc>
        <w:tc>
          <w:tcPr>
            <w:tcW w:w="1304" w:type="dxa"/>
            <w:tcBorders>
              <w:top w:val="nil"/>
              <w:left w:val="nil"/>
              <w:bottom w:val="nil"/>
              <w:right w:val="nil"/>
            </w:tcBorders>
            <w:noWrap/>
            <w:vAlign w:val="center"/>
          </w:tcPr>
          <w:p w14:paraId="08D1555C"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Median 48 (1-117)</w:t>
            </w:r>
          </w:p>
        </w:tc>
        <w:tc>
          <w:tcPr>
            <w:tcW w:w="1247" w:type="dxa"/>
            <w:tcBorders>
              <w:top w:val="nil"/>
              <w:left w:val="nil"/>
              <w:bottom w:val="nil"/>
              <w:right w:val="nil"/>
            </w:tcBorders>
            <w:vAlign w:val="center"/>
          </w:tcPr>
          <w:p w14:paraId="61C45415"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1.71 (1.327–2.203)</w:t>
            </w:r>
          </w:p>
        </w:tc>
        <w:tc>
          <w:tcPr>
            <w:tcW w:w="567" w:type="dxa"/>
            <w:tcBorders>
              <w:top w:val="nil"/>
              <w:left w:val="nil"/>
              <w:bottom w:val="nil"/>
              <w:right w:val="nil"/>
            </w:tcBorders>
            <w:noWrap/>
            <w:vAlign w:val="center"/>
          </w:tcPr>
          <w:p w14:paraId="43DA8EAB"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9</w:t>
            </w:r>
          </w:p>
        </w:tc>
      </w:tr>
      <w:tr w:rsidR="00DC05DB" w14:paraId="5DB0241E" w14:textId="77777777">
        <w:trPr>
          <w:trHeight w:val="535"/>
        </w:trPr>
        <w:tc>
          <w:tcPr>
            <w:tcW w:w="913" w:type="dxa"/>
            <w:tcBorders>
              <w:top w:val="nil"/>
              <w:left w:val="nil"/>
              <w:bottom w:val="nil"/>
              <w:right w:val="nil"/>
            </w:tcBorders>
            <w:noWrap/>
            <w:vAlign w:val="center"/>
          </w:tcPr>
          <w:p w14:paraId="441DA4AF"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Park</w:t>
            </w:r>
            <w:r>
              <w:rPr>
                <w:rFonts w:ascii="Book Antiqua" w:hAnsi="Book Antiqua"/>
                <w:i/>
                <w:iCs/>
                <w:color w:val="000000" w:themeColor="text1"/>
              </w:rPr>
              <w:t xml:space="preserve"> et al</w:t>
            </w:r>
            <w:r>
              <w:rPr>
                <w:rFonts w:ascii="Book Antiqua" w:hAnsi="Book Antiqua"/>
                <w:color w:val="000000" w:themeColor="text1"/>
              </w:rPr>
              <w:fldChar w:fldCharType="begin"/>
            </w:r>
            <w:r>
              <w:rPr>
                <w:rFonts w:ascii="Book Antiqua" w:hAnsi="Book Antiqua"/>
                <w:color w:val="000000" w:themeColor="text1"/>
              </w:rPr>
              <w:instrText xml:space="preserve"> ADDIN EN.CITE </w:instrText>
            </w:r>
            <w:r>
              <w:rPr>
                <w:rFonts w:ascii="Book Antiqua" w:hAnsi="Book Antiqua"/>
                <w:color w:val="000000" w:themeColor="text1"/>
              </w:rPr>
              <w:fldChar w:fldCharType="begin"/>
            </w:r>
            <w:r>
              <w:rPr>
                <w:rFonts w:ascii="Book Antiqua" w:hAnsi="Book Antiqua"/>
                <w:color w:val="000000" w:themeColor="text1"/>
              </w:rPr>
              <w:instrText xml:space="preserve"> ADDIN EN.CITE.DATA </w:instrText>
            </w:r>
            <w:r>
              <w:rPr>
                <w:rFonts w:ascii="Book Antiqua" w:hAnsi="Book Antiqua"/>
                <w:color w:val="000000" w:themeColor="text1"/>
              </w:rPr>
              <w:fldChar w:fldCharType="end"/>
            </w:r>
            <w:r>
              <w:rPr>
                <w:rFonts w:ascii="Book Antiqua" w:hAnsi="Book Antiqua"/>
                <w:color w:val="000000" w:themeColor="text1"/>
              </w:rPr>
              <w:fldChar w:fldCharType="separate"/>
            </w:r>
            <w:r>
              <w:rPr>
                <w:rFonts w:ascii="Book Antiqua" w:hAnsi="Book Antiqua"/>
                <w:color w:val="000000" w:themeColor="text1"/>
                <w:vertAlign w:val="superscript"/>
                <w:lang w:eastAsia="zh-CN"/>
              </w:rPr>
              <w:t>[19]</w:t>
            </w:r>
            <w:r>
              <w:rPr>
                <w:rFonts w:ascii="Book Antiqua" w:hAnsi="Book Antiqua"/>
                <w:color w:val="000000" w:themeColor="text1"/>
              </w:rPr>
              <w:fldChar w:fldCharType="end"/>
            </w:r>
          </w:p>
        </w:tc>
        <w:tc>
          <w:tcPr>
            <w:tcW w:w="621" w:type="dxa"/>
            <w:tcBorders>
              <w:top w:val="nil"/>
              <w:left w:val="nil"/>
              <w:bottom w:val="nil"/>
              <w:right w:val="nil"/>
            </w:tcBorders>
            <w:noWrap/>
            <w:vAlign w:val="center"/>
          </w:tcPr>
          <w:p w14:paraId="40439834"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2021</w:t>
            </w:r>
          </w:p>
        </w:tc>
        <w:tc>
          <w:tcPr>
            <w:tcW w:w="871" w:type="dxa"/>
            <w:tcBorders>
              <w:top w:val="nil"/>
              <w:left w:val="nil"/>
              <w:bottom w:val="nil"/>
              <w:right w:val="nil"/>
            </w:tcBorders>
            <w:noWrap/>
            <w:vAlign w:val="center"/>
          </w:tcPr>
          <w:p w14:paraId="7C32D96E"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Korea</w:t>
            </w:r>
          </w:p>
        </w:tc>
        <w:tc>
          <w:tcPr>
            <w:tcW w:w="945" w:type="dxa"/>
            <w:tcBorders>
              <w:top w:val="nil"/>
              <w:left w:val="nil"/>
              <w:bottom w:val="nil"/>
              <w:right w:val="nil"/>
            </w:tcBorders>
            <w:noWrap/>
            <w:vAlign w:val="center"/>
          </w:tcPr>
          <w:p w14:paraId="45CC494C"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Asian</w:t>
            </w:r>
          </w:p>
        </w:tc>
        <w:tc>
          <w:tcPr>
            <w:tcW w:w="573" w:type="dxa"/>
            <w:tcBorders>
              <w:top w:val="nil"/>
              <w:left w:val="nil"/>
              <w:bottom w:val="nil"/>
              <w:right w:val="nil"/>
            </w:tcBorders>
            <w:noWrap/>
            <w:vAlign w:val="center"/>
          </w:tcPr>
          <w:p w14:paraId="4924B7A9"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59</w:t>
            </w:r>
          </w:p>
        </w:tc>
        <w:tc>
          <w:tcPr>
            <w:tcW w:w="837" w:type="dxa"/>
            <w:tcBorders>
              <w:top w:val="nil"/>
              <w:left w:val="nil"/>
              <w:bottom w:val="nil"/>
              <w:right w:val="nil"/>
            </w:tcBorders>
            <w:noWrap/>
            <w:vAlign w:val="center"/>
          </w:tcPr>
          <w:p w14:paraId="20A69A13"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IHC</w:t>
            </w:r>
          </w:p>
        </w:tc>
        <w:tc>
          <w:tcPr>
            <w:tcW w:w="1301" w:type="dxa"/>
            <w:tcBorders>
              <w:top w:val="nil"/>
              <w:left w:val="nil"/>
              <w:bottom w:val="nil"/>
              <w:right w:val="nil"/>
            </w:tcBorders>
            <w:noWrap/>
            <w:vAlign w:val="center"/>
          </w:tcPr>
          <w:p w14:paraId="32718FEA"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Retrospective</w:t>
            </w:r>
          </w:p>
        </w:tc>
        <w:tc>
          <w:tcPr>
            <w:tcW w:w="665" w:type="dxa"/>
            <w:tcBorders>
              <w:top w:val="nil"/>
              <w:left w:val="nil"/>
              <w:bottom w:val="nil"/>
              <w:right w:val="nil"/>
            </w:tcBorders>
            <w:noWrap/>
            <w:vAlign w:val="center"/>
          </w:tcPr>
          <w:p w14:paraId="49AAC2A6"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2-3</w:t>
            </w:r>
          </w:p>
        </w:tc>
        <w:tc>
          <w:tcPr>
            <w:tcW w:w="1134" w:type="dxa"/>
            <w:tcBorders>
              <w:top w:val="nil"/>
              <w:left w:val="nil"/>
              <w:bottom w:val="nil"/>
              <w:right w:val="nil"/>
            </w:tcBorders>
            <w:noWrap/>
            <w:vAlign w:val="center"/>
          </w:tcPr>
          <w:p w14:paraId="36FA2E73"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Gastric cancer</w:t>
            </w:r>
          </w:p>
        </w:tc>
        <w:tc>
          <w:tcPr>
            <w:tcW w:w="1417" w:type="dxa"/>
            <w:tcBorders>
              <w:top w:val="nil"/>
              <w:left w:val="nil"/>
              <w:bottom w:val="nil"/>
              <w:right w:val="nil"/>
            </w:tcBorders>
            <w:noWrap/>
            <w:vAlign w:val="center"/>
          </w:tcPr>
          <w:p w14:paraId="36D4CAF1"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I</w:t>
            </w:r>
            <w:r>
              <w:rPr>
                <w:rFonts w:ascii="Book Antiqua" w:hAnsi="Book Antiqua" w:hint="eastAsia"/>
                <w:color w:val="000000" w:themeColor="text1"/>
              </w:rPr>
              <w:t>mmunostaining</w:t>
            </w:r>
            <w:r>
              <w:rPr>
                <w:rFonts w:ascii="Book Antiqua" w:hAnsi="Book Antiqua"/>
                <w:color w:val="000000" w:themeColor="text1"/>
              </w:rPr>
              <w:t xml:space="preserve"> </w:t>
            </w:r>
            <w:r>
              <w:rPr>
                <w:rFonts w:ascii="Book Antiqua" w:hAnsi="Book Antiqua"/>
                <w:color w:val="000000" w:themeColor="text1"/>
              </w:rPr>
              <w:sym w:font="Symbol" w:char="F0B3"/>
            </w:r>
            <w:r>
              <w:rPr>
                <w:rFonts w:ascii="Book Antiqua" w:hAnsi="Book Antiqua" w:hint="eastAsia"/>
                <w:color w:val="000000" w:themeColor="text1"/>
              </w:rPr>
              <w:t xml:space="preserve"> 5% </w:t>
            </w:r>
          </w:p>
        </w:tc>
        <w:tc>
          <w:tcPr>
            <w:tcW w:w="1204" w:type="dxa"/>
            <w:tcBorders>
              <w:top w:val="nil"/>
              <w:left w:val="nil"/>
              <w:bottom w:val="nil"/>
              <w:right w:val="nil"/>
            </w:tcBorders>
            <w:noWrap/>
            <w:vAlign w:val="center"/>
          </w:tcPr>
          <w:p w14:paraId="1C7A5F3D"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385 (61.6%)</w:t>
            </w:r>
          </w:p>
        </w:tc>
        <w:tc>
          <w:tcPr>
            <w:tcW w:w="1304" w:type="dxa"/>
            <w:tcBorders>
              <w:top w:val="nil"/>
              <w:left w:val="nil"/>
              <w:bottom w:val="nil"/>
              <w:right w:val="nil"/>
            </w:tcBorders>
            <w:noWrap/>
            <w:vAlign w:val="center"/>
          </w:tcPr>
          <w:p w14:paraId="1DA458EA"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NA</w:t>
            </w:r>
          </w:p>
        </w:tc>
        <w:tc>
          <w:tcPr>
            <w:tcW w:w="1247" w:type="dxa"/>
            <w:tcBorders>
              <w:top w:val="nil"/>
              <w:left w:val="nil"/>
              <w:bottom w:val="nil"/>
              <w:right w:val="nil"/>
            </w:tcBorders>
            <w:vAlign w:val="center"/>
          </w:tcPr>
          <w:p w14:paraId="44F3D3DC"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0.30 (0.13–0.68)</w:t>
            </w:r>
          </w:p>
        </w:tc>
        <w:tc>
          <w:tcPr>
            <w:tcW w:w="567" w:type="dxa"/>
            <w:tcBorders>
              <w:top w:val="nil"/>
              <w:left w:val="nil"/>
              <w:bottom w:val="nil"/>
              <w:right w:val="nil"/>
            </w:tcBorders>
            <w:noWrap/>
            <w:vAlign w:val="center"/>
          </w:tcPr>
          <w:p w14:paraId="59138A5E"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7</w:t>
            </w:r>
          </w:p>
        </w:tc>
      </w:tr>
      <w:tr w:rsidR="00DC05DB" w14:paraId="31479BD1" w14:textId="77777777">
        <w:trPr>
          <w:trHeight w:val="535"/>
        </w:trPr>
        <w:tc>
          <w:tcPr>
            <w:tcW w:w="913" w:type="dxa"/>
            <w:tcBorders>
              <w:top w:val="nil"/>
              <w:left w:val="nil"/>
              <w:bottom w:val="nil"/>
              <w:right w:val="nil"/>
            </w:tcBorders>
            <w:noWrap/>
            <w:vAlign w:val="center"/>
          </w:tcPr>
          <w:p w14:paraId="49668949"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Chen</w:t>
            </w:r>
            <w:r>
              <w:rPr>
                <w:rFonts w:ascii="Book Antiqua" w:hAnsi="Book Antiqua"/>
                <w:i/>
                <w:iCs/>
                <w:color w:val="000000" w:themeColor="text1"/>
              </w:rPr>
              <w:t xml:space="preserve"> et al</w:t>
            </w:r>
            <w:r>
              <w:rPr>
                <w:rFonts w:ascii="Book Antiqua" w:hAnsi="Book Antiqua"/>
                <w:color w:val="000000" w:themeColor="text1"/>
              </w:rPr>
              <w:fldChar w:fldCharType="begin"/>
            </w:r>
            <w:r>
              <w:rPr>
                <w:rFonts w:ascii="Book Antiqua" w:hAnsi="Book Antiqua"/>
                <w:color w:val="000000" w:themeColor="text1"/>
              </w:rPr>
              <w:instrText xml:space="preserve"> ADDIN EN.CITE </w:instrText>
            </w:r>
            <w:r>
              <w:rPr>
                <w:rFonts w:ascii="Book Antiqua" w:hAnsi="Book Antiqua"/>
                <w:color w:val="000000" w:themeColor="text1"/>
              </w:rPr>
              <w:fldChar w:fldCharType="begin"/>
            </w:r>
            <w:r>
              <w:rPr>
                <w:rFonts w:ascii="Book Antiqua" w:hAnsi="Book Antiqua"/>
                <w:color w:val="000000" w:themeColor="text1"/>
              </w:rPr>
              <w:instrText xml:space="preserve"> ADDIN EN.CITE.DATA </w:instrText>
            </w:r>
            <w:r>
              <w:rPr>
                <w:rFonts w:ascii="Book Antiqua" w:hAnsi="Book Antiqua"/>
                <w:color w:val="000000" w:themeColor="text1"/>
              </w:rPr>
              <w:fldChar w:fldCharType="end"/>
            </w:r>
            <w:r>
              <w:rPr>
                <w:rFonts w:ascii="Book Antiqua" w:hAnsi="Book Antiqua"/>
                <w:color w:val="000000" w:themeColor="text1"/>
              </w:rPr>
              <w:fldChar w:fldCharType="separate"/>
            </w:r>
            <w:r>
              <w:rPr>
                <w:rFonts w:ascii="Book Antiqua" w:hAnsi="Book Antiqua"/>
                <w:color w:val="000000" w:themeColor="text1"/>
                <w:vertAlign w:val="superscript"/>
                <w:lang w:eastAsia="zh-CN"/>
              </w:rPr>
              <w:t>[20]</w:t>
            </w:r>
            <w:r>
              <w:rPr>
                <w:rFonts w:ascii="Book Antiqua" w:hAnsi="Book Antiqua"/>
                <w:color w:val="000000" w:themeColor="text1"/>
              </w:rPr>
              <w:fldChar w:fldCharType="end"/>
            </w:r>
          </w:p>
        </w:tc>
        <w:tc>
          <w:tcPr>
            <w:tcW w:w="621" w:type="dxa"/>
            <w:tcBorders>
              <w:top w:val="nil"/>
              <w:left w:val="nil"/>
              <w:bottom w:val="nil"/>
              <w:right w:val="nil"/>
            </w:tcBorders>
            <w:noWrap/>
            <w:vAlign w:val="center"/>
          </w:tcPr>
          <w:p w14:paraId="7DAD8F0E"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2022</w:t>
            </w:r>
          </w:p>
        </w:tc>
        <w:tc>
          <w:tcPr>
            <w:tcW w:w="871" w:type="dxa"/>
            <w:tcBorders>
              <w:top w:val="nil"/>
              <w:left w:val="nil"/>
              <w:bottom w:val="nil"/>
              <w:right w:val="nil"/>
            </w:tcBorders>
            <w:noWrap/>
            <w:vAlign w:val="center"/>
          </w:tcPr>
          <w:p w14:paraId="06560E9D"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China</w:t>
            </w:r>
          </w:p>
        </w:tc>
        <w:tc>
          <w:tcPr>
            <w:tcW w:w="945" w:type="dxa"/>
            <w:tcBorders>
              <w:top w:val="nil"/>
              <w:left w:val="nil"/>
              <w:bottom w:val="nil"/>
              <w:right w:val="nil"/>
            </w:tcBorders>
            <w:noWrap/>
            <w:vAlign w:val="center"/>
          </w:tcPr>
          <w:p w14:paraId="2E7B60B2"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Asian</w:t>
            </w:r>
          </w:p>
        </w:tc>
        <w:tc>
          <w:tcPr>
            <w:tcW w:w="573" w:type="dxa"/>
            <w:tcBorders>
              <w:top w:val="nil"/>
              <w:left w:val="nil"/>
              <w:bottom w:val="nil"/>
              <w:right w:val="nil"/>
            </w:tcBorders>
            <w:noWrap/>
            <w:vAlign w:val="center"/>
          </w:tcPr>
          <w:p w14:paraId="4E396754"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65</w:t>
            </w:r>
          </w:p>
        </w:tc>
        <w:tc>
          <w:tcPr>
            <w:tcW w:w="837" w:type="dxa"/>
            <w:tcBorders>
              <w:top w:val="nil"/>
              <w:left w:val="nil"/>
              <w:bottom w:val="nil"/>
              <w:right w:val="nil"/>
            </w:tcBorders>
            <w:noWrap/>
            <w:vAlign w:val="center"/>
          </w:tcPr>
          <w:p w14:paraId="0B3DD31E"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IHC</w:t>
            </w:r>
          </w:p>
        </w:tc>
        <w:tc>
          <w:tcPr>
            <w:tcW w:w="1301" w:type="dxa"/>
            <w:tcBorders>
              <w:top w:val="nil"/>
              <w:left w:val="nil"/>
              <w:bottom w:val="nil"/>
              <w:right w:val="nil"/>
            </w:tcBorders>
            <w:noWrap/>
            <w:vAlign w:val="center"/>
          </w:tcPr>
          <w:p w14:paraId="5DD8D1F4"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Retrospective</w:t>
            </w:r>
          </w:p>
        </w:tc>
        <w:tc>
          <w:tcPr>
            <w:tcW w:w="665" w:type="dxa"/>
            <w:tcBorders>
              <w:top w:val="nil"/>
              <w:left w:val="nil"/>
              <w:bottom w:val="nil"/>
              <w:right w:val="nil"/>
            </w:tcBorders>
            <w:noWrap/>
            <w:vAlign w:val="center"/>
          </w:tcPr>
          <w:p w14:paraId="61FB7659"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2-3</w:t>
            </w:r>
          </w:p>
        </w:tc>
        <w:tc>
          <w:tcPr>
            <w:tcW w:w="1134" w:type="dxa"/>
            <w:tcBorders>
              <w:top w:val="nil"/>
              <w:left w:val="nil"/>
              <w:bottom w:val="nil"/>
              <w:right w:val="nil"/>
            </w:tcBorders>
            <w:noWrap/>
            <w:vAlign w:val="center"/>
          </w:tcPr>
          <w:p w14:paraId="06F82614"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Gastric cancer</w:t>
            </w:r>
          </w:p>
        </w:tc>
        <w:tc>
          <w:tcPr>
            <w:tcW w:w="1417" w:type="dxa"/>
            <w:tcBorders>
              <w:top w:val="nil"/>
              <w:left w:val="nil"/>
              <w:bottom w:val="nil"/>
              <w:right w:val="nil"/>
            </w:tcBorders>
            <w:noWrap/>
            <w:vAlign w:val="center"/>
          </w:tcPr>
          <w:p w14:paraId="78D97666"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Median number of stained cells</w:t>
            </w:r>
          </w:p>
        </w:tc>
        <w:tc>
          <w:tcPr>
            <w:tcW w:w="1204" w:type="dxa"/>
            <w:tcBorders>
              <w:top w:val="nil"/>
              <w:left w:val="nil"/>
              <w:bottom w:val="nil"/>
              <w:right w:val="nil"/>
            </w:tcBorders>
            <w:noWrap/>
            <w:vAlign w:val="center"/>
          </w:tcPr>
          <w:p w14:paraId="49A01C8B"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496 (49.0%)</w:t>
            </w:r>
          </w:p>
        </w:tc>
        <w:tc>
          <w:tcPr>
            <w:tcW w:w="1304" w:type="dxa"/>
            <w:tcBorders>
              <w:top w:val="nil"/>
              <w:left w:val="nil"/>
              <w:bottom w:val="nil"/>
              <w:right w:val="nil"/>
            </w:tcBorders>
            <w:noWrap/>
            <w:vAlign w:val="center"/>
          </w:tcPr>
          <w:p w14:paraId="1E73D325"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Median 37 (4-76)</w:t>
            </w:r>
          </w:p>
        </w:tc>
        <w:tc>
          <w:tcPr>
            <w:tcW w:w="1247" w:type="dxa"/>
            <w:tcBorders>
              <w:top w:val="nil"/>
              <w:left w:val="nil"/>
              <w:bottom w:val="nil"/>
              <w:right w:val="nil"/>
            </w:tcBorders>
            <w:vAlign w:val="center"/>
          </w:tcPr>
          <w:p w14:paraId="5C77F354"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2.236 (1.427–3.504)</w:t>
            </w:r>
          </w:p>
        </w:tc>
        <w:tc>
          <w:tcPr>
            <w:tcW w:w="567" w:type="dxa"/>
            <w:tcBorders>
              <w:top w:val="nil"/>
              <w:left w:val="nil"/>
              <w:bottom w:val="nil"/>
              <w:right w:val="nil"/>
            </w:tcBorders>
            <w:noWrap/>
            <w:vAlign w:val="center"/>
          </w:tcPr>
          <w:p w14:paraId="00BEC2E6"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7</w:t>
            </w:r>
          </w:p>
        </w:tc>
      </w:tr>
      <w:tr w:rsidR="00DC05DB" w14:paraId="1ACD1EC4" w14:textId="77777777">
        <w:trPr>
          <w:trHeight w:val="406"/>
        </w:trPr>
        <w:tc>
          <w:tcPr>
            <w:tcW w:w="913" w:type="dxa"/>
            <w:tcBorders>
              <w:top w:val="nil"/>
              <w:left w:val="nil"/>
              <w:bottom w:val="nil"/>
              <w:right w:val="nil"/>
            </w:tcBorders>
            <w:noWrap/>
            <w:vAlign w:val="center"/>
          </w:tcPr>
          <w:p w14:paraId="2331657D"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Shan</w:t>
            </w:r>
            <w:r>
              <w:rPr>
                <w:rFonts w:ascii="Book Antiqua" w:hAnsi="Book Antiqua"/>
                <w:i/>
                <w:iCs/>
                <w:color w:val="000000" w:themeColor="text1"/>
              </w:rPr>
              <w:t xml:space="preserve"> et al</w:t>
            </w:r>
            <w:r>
              <w:rPr>
                <w:rFonts w:ascii="Book Antiqua" w:hAnsi="Book Antiqua"/>
                <w:color w:val="000000" w:themeColor="text1"/>
              </w:rPr>
              <w:fldChar w:fldCharType="begin"/>
            </w:r>
            <w:r>
              <w:rPr>
                <w:rFonts w:ascii="Book Antiqua" w:hAnsi="Book Antiqua"/>
                <w:color w:val="000000" w:themeColor="text1"/>
              </w:rPr>
              <w:instrText xml:space="preserve"> ADDIN EN.CITE </w:instrText>
            </w:r>
            <w:r>
              <w:rPr>
                <w:rFonts w:ascii="Book Antiqua" w:hAnsi="Book Antiqua"/>
                <w:color w:val="000000" w:themeColor="text1"/>
              </w:rPr>
              <w:fldChar w:fldCharType="begin"/>
            </w:r>
            <w:r>
              <w:rPr>
                <w:rFonts w:ascii="Book Antiqua" w:hAnsi="Book Antiqua"/>
                <w:color w:val="000000" w:themeColor="text1"/>
              </w:rPr>
              <w:instrText xml:space="preserve"> ADDIN EN.CITE.DATA </w:instrText>
            </w:r>
            <w:r>
              <w:rPr>
                <w:rFonts w:ascii="Book Antiqua" w:hAnsi="Book Antiqua"/>
                <w:color w:val="000000" w:themeColor="text1"/>
              </w:rPr>
              <w:fldChar w:fldCharType="end"/>
            </w:r>
            <w:r>
              <w:rPr>
                <w:rFonts w:ascii="Book Antiqua" w:hAnsi="Book Antiqua"/>
                <w:color w:val="000000" w:themeColor="text1"/>
              </w:rPr>
              <w:fldChar w:fldCharType="separate"/>
            </w:r>
            <w:r>
              <w:rPr>
                <w:rFonts w:ascii="Book Antiqua" w:hAnsi="Book Antiqua"/>
                <w:color w:val="000000" w:themeColor="text1"/>
                <w:vertAlign w:val="superscript"/>
                <w:lang w:eastAsia="zh-CN"/>
              </w:rPr>
              <w:t>[21]</w:t>
            </w:r>
            <w:r>
              <w:rPr>
                <w:rFonts w:ascii="Book Antiqua" w:hAnsi="Book Antiqua"/>
                <w:color w:val="000000" w:themeColor="text1"/>
              </w:rPr>
              <w:fldChar w:fldCharType="end"/>
            </w:r>
          </w:p>
        </w:tc>
        <w:tc>
          <w:tcPr>
            <w:tcW w:w="621" w:type="dxa"/>
            <w:tcBorders>
              <w:top w:val="nil"/>
              <w:left w:val="nil"/>
              <w:bottom w:val="nil"/>
              <w:right w:val="nil"/>
            </w:tcBorders>
            <w:noWrap/>
            <w:vAlign w:val="center"/>
          </w:tcPr>
          <w:p w14:paraId="390F331B"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2016</w:t>
            </w:r>
          </w:p>
        </w:tc>
        <w:tc>
          <w:tcPr>
            <w:tcW w:w="871" w:type="dxa"/>
            <w:tcBorders>
              <w:top w:val="nil"/>
              <w:left w:val="nil"/>
              <w:bottom w:val="nil"/>
              <w:right w:val="nil"/>
            </w:tcBorders>
            <w:noWrap/>
            <w:vAlign w:val="center"/>
          </w:tcPr>
          <w:p w14:paraId="172867F8"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China</w:t>
            </w:r>
          </w:p>
        </w:tc>
        <w:tc>
          <w:tcPr>
            <w:tcW w:w="945" w:type="dxa"/>
            <w:tcBorders>
              <w:top w:val="nil"/>
              <w:left w:val="nil"/>
              <w:bottom w:val="nil"/>
              <w:right w:val="nil"/>
            </w:tcBorders>
            <w:noWrap/>
            <w:vAlign w:val="center"/>
          </w:tcPr>
          <w:p w14:paraId="0429461A"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Asian</w:t>
            </w:r>
          </w:p>
        </w:tc>
        <w:tc>
          <w:tcPr>
            <w:tcW w:w="573" w:type="dxa"/>
            <w:tcBorders>
              <w:top w:val="nil"/>
              <w:left w:val="nil"/>
              <w:bottom w:val="nil"/>
              <w:right w:val="nil"/>
            </w:tcBorders>
            <w:noWrap/>
            <w:vAlign w:val="center"/>
          </w:tcPr>
          <w:p w14:paraId="3E72FEFB"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55</w:t>
            </w:r>
          </w:p>
        </w:tc>
        <w:tc>
          <w:tcPr>
            <w:tcW w:w="837" w:type="dxa"/>
            <w:tcBorders>
              <w:top w:val="nil"/>
              <w:left w:val="nil"/>
              <w:bottom w:val="nil"/>
              <w:right w:val="nil"/>
            </w:tcBorders>
            <w:noWrap/>
            <w:vAlign w:val="center"/>
          </w:tcPr>
          <w:p w14:paraId="5CACAB1D"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IHC</w:t>
            </w:r>
          </w:p>
        </w:tc>
        <w:tc>
          <w:tcPr>
            <w:tcW w:w="1301" w:type="dxa"/>
            <w:tcBorders>
              <w:top w:val="nil"/>
              <w:left w:val="nil"/>
              <w:bottom w:val="nil"/>
              <w:right w:val="nil"/>
            </w:tcBorders>
            <w:noWrap/>
            <w:vAlign w:val="center"/>
          </w:tcPr>
          <w:p w14:paraId="672D5FC2"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Retrospective</w:t>
            </w:r>
          </w:p>
        </w:tc>
        <w:tc>
          <w:tcPr>
            <w:tcW w:w="665" w:type="dxa"/>
            <w:tcBorders>
              <w:top w:val="nil"/>
              <w:left w:val="nil"/>
              <w:bottom w:val="nil"/>
              <w:right w:val="nil"/>
            </w:tcBorders>
            <w:noWrap/>
            <w:vAlign w:val="center"/>
          </w:tcPr>
          <w:p w14:paraId="52BF88B7"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1-4</w:t>
            </w:r>
          </w:p>
        </w:tc>
        <w:tc>
          <w:tcPr>
            <w:tcW w:w="1134" w:type="dxa"/>
            <w:tcBorders>
              <w:top w:val="nil"/>
              <w:left w:val="nil"/>
              <w:bottom w:val="nil"/>
              <w:right w:val="nil"/>
            </w:tcBorders>
            <w:noWrap/>
            <w:vAlign w:val="center"/>
          </w:tcPr>
          <w:p w14:paraId="18ECBC42"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ESCC</w:t>
            </w:r>
          </w:p>
        </w:tc>
        <w:tc>
          <w:tcPr>
            <w:tcW w:w="1417" w:type="dxa"/>
            <w:tcBorders>
              <w:top w:val="nil"/>
              <w:left w:val="nil"/>
              <w:bottom w:val="nil"/>
              <w:right w:val="nil"/>
            </w:tcBorders>
            <w:noWrap/>
            <w:vAlign w:val="center"/>
          </w:tcPr>
          <w:p w14:paraId="4CFEF968"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3 points</w:t>
            </w:r>
          </w:p>
        </w:tc>
        <w:tc>
          <w:tcPr>
            <w:tcW w:w="1204" w:type="dxa"/>
            <w:tcBorders>
              <w:top w:val="nil"/>
              <w:left w:val="nil"/>
              <w:bottom w:val="nil"/>
              <w:right w:val="nil"/>
            </w:tcBorders>
            <w:noWrap/>
            <w:vAlign w:val="center"/>
          </w:tcPr>
          <w:p w14:paraId="6CB2E4EB"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64 (85.9%)</w:t>
            </w:r>
          </w:p>
        </w:tc>
        <w:tc>
          <w:tcPr>
            <w:tcW w:w="1304" w:type="dxa"/>
            <w:tcBorders>
              <w:top w:val="nil"/>
              <w:left w:val="nil"/>
              <w:bottom w:val="nil"/>
              <w:right w:val="nil"/>
            </w:tcBorders>
            <w:noWrap/>
            <w:vAlign w:val="center"/>
          </w:tcPr>
          <w:p w14:paraId="2604F8EB"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Median 31 (7-105)</w:t>
            </w:r>
          </w:p>
        </w:tc>
        <w:tc>
          <w:tcPr>
            <w:tcW w:w="1247" w:type="dxa"/>
            <w:tcBorders>
              <w:top w:val="nil"/>
              <w:left w:val="nil"/>
              <w:bottom w:val="nil"/>
              <w:right w:val="nil"/>
            </w:tcBorders>
            <w:vAlign w:val="center"/>
          </w:tcPr>
          <w:p w14:paraId="27CE186E"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1 (0.932-1.072)</w:t>
            </w:r>
          </w:p>
        </w:tc>
        <w:tc>
          <w:tcPr>
            <w:tcW w:w="567" w:type="dxa"/>
            <w:tcBorders>
              <w:top w:val="nil"/>
              <w:left w:val="nil"/>
              <w:bottom w:val="nil"/>
              <w:right w:val="nil"/>
            </w:tcBorders>
            <w:noWrap/>
            <w:vAlign w:val="center"/>
          </w:tcPr>
          <w:p w14:paraId="288BEB43"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8</w:t>
            </w:r>
          </w:p>
        </w:tc>
      </w:tr>
      <w:tr w:rsidR="00DC05DB" w14:paraId="61956454" w14:textId="77777777">
        <w:trPr>
          <w:trHeight w:val="406"/>
        </w:trPr>
        <w:tc>
          <w:tcPr>
            <w:tcW w:w="913" w:type="dxa"/>
            <w:tcBorders>
              <w:top w:val="nil"/>
              <w:left w:val="nil"/>
              <w:bottom w:val="nil"/>
              <w:right w:val="nil"/>
            </w:tcBorders>
            <w:noWrap/>
            <w:vAlign w:val="center"/>
          </w:tcPr>
          <w:p w14:paraId="4A220C3C"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lastRenderedPageBreak/>
              <w:t>Hou</w:t>
            </w:r>
            <w:r>
              <w:rPr>
                <w:rFonts w:ascii="Book Antiqua" w:hAnsi="Book Antiqua"/>
                <w:i/>
                <w:iCs/>
                <w:color w:val="000000" w:themeColor="text1"/>
              </w:rPr>
              <w:t xml:space="preserve"> et al</w:t>
            </w:r>
            <w:r>
              <w:rPr>
                <w:rFonts w:ascii="Book Antiqua" w:hAnsi="Book Antiqua"/>
                <w:color w:val="000000" w:themeColor="text1"/>
              </w:rPr>
              <w:fldChar w:fldCharType="begin"/>
            </w:r>
            <w:r>
              <w:rPr>
                <w:rFonts w:ascii="Book Antiqua" w:hAnsi="Book Antiqua"/>
                <w:color w:val="000000" w:themeColor="text1"/>
              </w:rPr>
              <w:instrText xml:space="preserve"> ADDIN EN.CITE </w:instrText>
            </w:r>
            <w:r>
              <w:rPr>
                <w:rFonts w:ascii="Book Antiqua" w:hAnsi="Book Antiqua"/>
                <w:color w:val="000000" w:themeColor="text1"/>
              </w:rPr>
              <w:fldChar w:fldCharType="begin"/>
            </w:r>
            <w:r>
              <w:rPr>
                <w:rFonts w:ascii="Book Antiqua" w:hAnsi="Book Antiqua"/>
                <w:color w:val="000000" w:themeColor="text1"/>
              </w:rPr>
              <w:instrText xml:space="preserve"> ADDIN EN.CITE.DATA </w:instrText>
            </w:r>
            <w:r>
              <w:rPr>
                <w:rFonts w:ascii="Book Antiqua" w:hAnsi="Book Antiqua"/>
                <w:color w:val="000000" w:themeColor="text1"/>
              </w:rPr>
              <w:fldChar w:fldCharType="end"/>
            </w:r>
            <w:r>
              <w:rPr>
                <w:rFonts w:ascii="Book Antiqua" w:hAnsi="Book Antiqua"/>
                <w:color w:val="000000" w:themeColor="text1"/>
              </w:rPr>
              <w:fldChar w:fldCharType="separate"/>
            </w:r>
            <w:r>
              <w:rPr>
                <w:rFonts w:ascii="Book Antiqua" w:hAnsi="Book Antiqua"/>
                <w:color w:val="000000" w:themeColor="text1"/>
                <w:vertAlign w:val="superscript"/>
                <w:lang w:eastAsia="zh-CN"/>
              </w:rPr>
              <w:t>[22]</w:t>
            </w:r>
            <w:r>
              <w:rPr>
                <w:rFonts w:ascii="Book Antiqua" w:hAnsi="Book Antiqua"/>
                <w:color w:val="000000" w:themeColor="text1"/>
              </w:rPr>
              <w:fldChar w:fldCharType="end"/>
            </w:r>
          </w:p>
        </w:tc>
        <w:tc>
          <w:tcPr>
            <w:tcW w:w="621" w:type="dxa"/>
            <w:tcBorders>
              <w:top w:val="nil"/>
              <w:left w:val="nil"/>
              <w:bottom w:val="nil"/>
              <w:right w:val="nil"/>
            </w:tcBorders>
            <w:noWrap/>
            <w:vAlign w:val="center"/>
          </w:tcPr>
          <w:p w14:paraId="173C3B22"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2017</w:t>
            </w:r>
          </w:p>
        </w:tc>
        <w:tc>
          <w:tcPr>
            <w:tcW w:w="871" w:type="dxa"/>
            <w:tcBorders>
              <w:top w:val="nil"/>
              <w:left w:val="nil"/>
              <w:bottom w:val="nil"/>
              <w:right w:val="nil"/>
            </w:tcBorders>
            <w:noWrap/>
            <w:vAlign w:val="center"/>
          </w:tcPr>
          <w:p w14:paraId="7CB538F3"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China</w:t>
            </w:r>
          </w:p>
        </w:tc>
        <w:tc>
          <w:tcPr>
            <w:tcW w:w="945" w:type="dxa"/>
            <w:tcBorders>
              <w:top w:val="nil"/>
              <w:left w:val="nil"/>
              <w:bottom w:val="nil"/>
              <w:right w:val="nil"/>
            </w:tcBorders>
            <w:noWrap/>
            <w:vAlign w:val="center"/>
          </w:tcPr>
          <w:p w14:paraId="4F56CBEC"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Asian</w:t>
            </w:r>
          </w:p>
        </w:tc>
        <w:tc>
          <w:tcPr>
            <w:tcW w:w="573" w:type="dxa"/>
            <w:tcBorders>
              <w:top w:val="nil"/>
              <w:left w:val="nil"/>
              <w:bottom w:val="nil"/>
              <w:right w:val="nil"/>
            </w:tcBorders>
            <w:noWrap/>
            <w:vAlign w:val="center"/>
          </w:tcPr>
          <w:p w14:paraId="4FD9EA22"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58</w:t>
            </w:r>
          </w:p>
        </w:tc>
        <w:tc>
          <w:tcPr>
            <w:tcW w:w="837" w:type="dxa"/>
            <w:tcBorders>
              <w:top w:val="nil"/>
              <w:left w:val="nil"/>
              <w:bottom w:val="nil"/>
              <w:right w:val="nil"/>
            </w:tcBorders>
            <w:noWrap/>
            <w:vAlign w:val="center"/>
          </w:tcPr>
          <w:p w14:paraId="75F80C8A"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IHC</w:t>
            </w:r>
          </w:p>
        </w:tc>
        <w:tc>
          <w:tcPr>
            <w:tcW w:w="1301" w:type="dxa"/>
            <w:tcBorders>
              <w:top w:val="nil"/>
              <w:left w:val="nil"/>
              <w:bottom w:val="nil"/>
              <w:right w:val="nil"/>
            </w:tcBorders>
            <w:noWrap/>
            <w:vAlign w:val="center"/>
          </w:tcPr>
          <w:p w14:paraId="48060371"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Retrospective</w:t>
            </w:r>
          </w:p>
        </w:tc>
        <w:tc>
          <w:tcPr>
            <w:tcW w:w="665" w:type="dxa"/>
            <w:tcBorders>
              <w:top w:val="nil"/>
              <w:left w:val="nil"/>
              <w:bottom w:val="nil"/>
              <w:right w:val="nil"/>
            </w:tcBorders>
            <w:noWrap/>
            <w:vAlign w:val="center"/>
          </w:tcPr>
          <w:p w14:paraId="29BEE2E3"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2-3</w:t>
            </w:r>
          </w:p>
        </w:tc>
        <w:tc>
          <w:tcPr>
            <w:tcW w:w="1134" w:type="dxa"/>
            <w:tcBorders>
              <w:top w:val="nil"/>
              <w:left w:val="nil"/>
              <w:bottom w:val="nil"/>
              <w:right w:val="nil"/>
            </w:tcBorders>
            <w:noWrap/>
            <w:vAlign w:val="center"/>
          </w:tcPr>
          <w:p w14:paraId="1B12FA54"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ESCC</w:t>
            </w:r>
          </w:p>
        </w:tc>
        <w:tc>
          <w:tcPr>
            <w:tcW w:w="1417" w:type="dxa"/>
            <w:tcBorders>
              <w:top w:val="nil"/>
              <w:left w:val="nil"/>
              <w:bottom w:val="nil"/>
              <w:right w:val="nil"/>
            </w:tcBorders>
            <w:noWrap/>
            <w:vAlign w:val="center"/>
          </w:tcPr>
          <w:p w14:paraId="421A3684"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3 points</w:t>
            </w:r>
          </w:p>
        </w:tc>
        <w:tc>
          <w:tcPr>
            <w:tcW w:w="1204" w:type="dxa"/>
            <w:tcBorders>
              <w:top w:val="nil"/>
              <w:left w:val="nil"/>
              <w:bottom w:val="nil"/>
              <w:right w:val="nil"/>
            </w:tcBorders>
            <w:noWrap/>
            <w:vAlign w:val="center"/>
          </w:tcPr>
          <w:p w14:paraId="02AA432B"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45 (22.2%)</w:t>
            </w:r>
          </w:p>
        </w:tc>
        <w:tc>
          <w:tcPr>
            <w:tcW w:w="1304" w:type="dxa"/>
            <w:tcBorders>
              <w:top w:val="nil"/>
              <w:left w:val="nil"/>
              <w:bottom w:val="nil"/>
              <w:right w:val="nil"/>
            </w:tcBorders>
            <w:noWrap/>
            <w:vAlign w:val="center"/>
          </w:tcPr>
          <w:p w14:paraId="58DF7A99"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 xml:space="preserve"> &lt; 100 </w:t>
            </w:r>
          </w:p>
        </w:tc>
        <w:tc>
          <w:tcPr>
            <w:tcW w:w="1247" w:type="dxa"/>
            <w:tcBorders>
              <w:top w:val="nil"/>
              <w:left w:val="nil"/>
              <w:bottom w:val="nil"/>
              <w:right w:val="nil"/>
            </w:tcBorders>
            <w:vAlign w:val="center"/>
          </w:tcPr>
          <w:p w14:paraId="106F1F59"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1.102 (0.292–4.157)</w:t>
            </w:r>
          </w:p>
        </w:tc>
        <w:tc>
          <w:tcPr>
            <w:tcW w:w="567" w:type="dxa"/>
            <w:tcBorders>
              <w:top w:val="nil"/>
              <w:left w:val="nil"/>
              <w:bottom w:val="nil"/>
              <w:right w:val="nil"/>
            </w:tcBorders>
            <w:noWrap/>
            <w:vAlign w:val="center"/>
          </w:tcPr>
          <w:p w14:paraId="121242B2"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7</w:t>
            </w:r>
          </w:p>
        </w:tc>
      </w:tr>
      <w:tr w:rsidR="00DC05DB" w14:paraId="01E3ECBF" w14:textId="77777777">
        <w:trPr>
          <w:trHeight w:val="406"/>
        </w:trPr>
        <w:tc>
          <w:tcPr>
            <w:tcW w:w="913" w:type="dxa"/>
            <w:tcBorders>
              <w:top w:val="nil"/>
              <w:left w:val="nil"/>
              <w:bottom w:val="nil"/>
              <w:right w:val="nil"/>
            </w:tcBorders>
            <w:noWrap/>
            <w:vAlign w:val="center"/>
          </w:tcPr>
          <w:p w14:paraId="3B36D72A"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Duan</w:t>
            </w:r>
            <w:r>
              <w:rPr>
                <w:rFonts w:ascii="Book Antiqua" w:hAnsi="Book Antiqua"/>
                <w:i/>
                <w:iCs/>
                <w:color w:val="000000" w:themeColor="text1"/>
              </w:rPr>
              <w:t xml:space="preserve"> et al</w:t>
            </w:r>
            <w:r>
              <w:rPr>
                <w:rFonts w:ascii="Book Antiqua" w:hAnsi="Book Antiqua"/>
                <w:color w:val="000000" w:themeColor="text1"/>
              </w:rPr>
              <w:fldChar w:fldCharType="begin"/>
            </w:r>
            <w:r>
              <w:rPr>
                <w:rFonts w:ascii="Book Antiqua" w:hAnsi="Book Antiqua"/>
                <w:color w:val="000000" w:themeColor="text1"/>
              </w:rPr>
              <w:instrText xml:space="preserve"> ADDIN EN.CITE </w:instrText>
            </w:r>
            <w:r>
              <w:rPr>
                <w:rFonts w:ascii="Book Antiqua" w:hAnsi="Book Antiqua"/>
                <w:color w:val="000000" w:themeColor="text1"/>
              </w:rPr>
              <w:fldChar w:fldCharType="begin"/>
            </w:r>
            <w:r>
              <w:rPr>
                <w:rFonts w:ascii="Book Antiqua" w:hAnsi="Book Antiqua"/>
                <w:color w:val="000000" w:themeColor="text1"/>
              </w:rPr>
              <w:instrText xml:space="preserve"> ADDIN EN.CITE.DATA </w:instrText>
            </w:r>
            <w:r>
              <w:rPr>
                <w:rFonts w:ascii="Book Antiqua" w:hAnsi="Book Antiqua"/>
                <w:color w:val="000000" w:themeColor="text1"/>
              </w:rPr>
              <w:fldChar w:fldCharType="end"/>
            </w:r>
            <w:r>
              <w:rPr>
                <w:rFonts w:ascii="Book Antiqua" w:hAnsi="Book Antiqua"/>
                <w:color w:val="000000" w:themeColor="text1"/>
              </w:rPr>
              <w:fldChar w:fldCharType="separate"/>
            </w:r>
            <w:r>
              <w:rPr>
                <w:rFonts w:ascii="Book Antiqua" w:hAnsi="Book Antiqua"/>
                <w:color w:val="000000" w:themeColor="text1"/>
                <w:vertAlign w:val="superscript"/>
                <w:lang w:eastAsia="zh-CN"/>
              </w:rPr>
              <w:t>[23]</w:t>
            </w:r>
            <w:r>
              <w:rPr>
                <w:rFonts w:ascii="Book Antiqua" w:hAnsi="Book Antiqua"/>
                <w:color w:val="000000" w:themeColor="text1"/>
              </w:rPr>
              <w:fldChar w:fldCharType="end"/>
            </w:r>
          </w:p>
        </w:tc>
        <w:tc>
          <w:tcPr>
            <w:tcW w:w="621" w:type="dxa"/>
            <w:tcBorders>
              <w:top w:val="nil"/>
              <w:left w:val="nil"/>
              <w:bottom w:val="nil"/>
              <w:right w:val="nil"/>
            </w:tcBorders>
            <w:noWrap/>
            <w:vAlign w:val="center"/>
          </w:tcPr>
          <w:p w14:paraId="41E92845"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2018</w:t>
            </w:r>
          </w:p>
        </w:tc>
        <w:tc>
          <w:tcPr>
            <w:tcW w:w="871" w:type="dxa"/>
            <w:tcBorders>
              <w:top w:val="nil"/>
              <w:left w:val="nil"/>
              <w:bottom w:val="nil"/>
              <w:right w:val="nil"/>
            </w:tcBorders>
            <w:noWrap/>
            <w:vAlign w:val="center"/>
          </w:tcPr>
          <w:p w14:paraId="28BAB9E2"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China</w:t>
            </w:r>
          </w:p>
        </w:tc>
        <w:tc>
          <w:tcPr>
            <w:tcW w:w="945" w:type="dxa"/>
            <w:tcBorders>
              <w:top w:val="nil"/>
              <w:left w:val="nil"/>
              <w:bottom w:val="nil"/>
              <w:right w:val="nil"/>
            </w:tcBorders>
            <w:noWrap/>
            <w:vAlign w:val="center"/>
          </w:tcPr>
          <w:p w14:paraId="1E79CC46"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Asian</w:t>
            </w:r>
          </w:p>
        </w:tc>
        <w:tc>
          <w:tcPr>
            <w:tcW w:w="573" w:type="dxa"/>
            <w:tcBorders>
              <w:top w:val="nil"/>
              <w:left w:val="nil"/>
              <w:bottom w:val="nil"/>
              <w:right w:val="nil"/>
            </w:tcBorders>
            <w:noWrap/>
            <w:vAlign w:val="center"/>
          </w:tcPr>
          <w:p w14:paraId="419E639C"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58</w:t>
            </w:r>
          </w:p>
        </w:tc>
        <w:tc>
          <w:tcPr>
            <w:tcW w:w="837" w:type="dxa"/>
            <w:tcBorders>
              <w:top w:val="nil"/>
              <w:left w:val="nil"/>
              <w:bottom w:val="nil"/>
              <w:right w:val="nil"/>
            </w:tcBorders>
            <w:noWrap/>
            <w:vAlign w:val="center"/>
          </w:tcPr>
          <w:p w14:paraId="74602AC4"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IHC</w:t>
            </w:r>
          </w:p>
        </w:tc>
        <w:tc>
          <w:tcPr>
            <w:tcW w:w="1301" w:type="dxa"/>
            <w:tcBorders>
              <w:top w:val="nil"/>
              <w:left w:val="nil"/>
              <w:bottom w:val="nil"/>
              <w:right w:val="nil"/>
            </w:tcBorders>
            <w:noWrap/>
            <w:vAlign w:val="center"/>
          </w:tcPr>
          <w:p w14:paraId="28558BE7"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Retrospective</w:t>
            </w:r>
          </w:p>
        </w:tc>
        <w:tc>
          <w:tcPr>
            <w:tcW w:w="665" w:type="dxa"/>
            <w:tcBorders>
              <w:top w:val="nil"/>
              <w:left w:val="nil"/>
              <w:bottom w:val="nil"/>
              <w:right w:val="nil"/>
            </w:tcBorders>
            <w:noWrap/>
            <w:vAlign w:val="center"/>
          </w:tcPr>
          <w:p w14:paraId="74E4E991"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1-4</w:t>
            </w:r>
          </w:p>
        </w:tc>
        <w:tc>
          <w:tcPr>
            <w:tcW w:w="1134" w:type="dxa"/>
            <w:tcBorders>
              <w:top w:val="nil"/>
              <w:left w:val="nil"/>
              <w:bottom w:val="nil"/>
              <w:right w:val="nil"/>
            </w:tcBorders>
            <w:noWrap/>
            <w:vAlign w:val="center"/>
          </w:tcPr>
          <w:p w14:paraId="0CE158EA"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ESCC</w:t>
            </w:r>
          </w:p>
        </w:tc>
        <w:tc>
          <w:tcPr>
            <w:tcW w:w="1417" w:type="dxa"/>
            <w:tcBorders>
              <w:top w:val="nil"/>
              <w:left w:val="nil"/>
              <w:bottom w:val="nil"/>
              <w:right w:val="nil"/>
            </w:tcBorders>
            <w:noWrap/>
            <w:vAlign w:val="center"/>
          </w:tcPr>
          <w:p w14:paraId="3C1CB896"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w:t>
            </w:r>
          </w:p>
        </w:tc>
        <w:tc>
          <w:tcPr>
            <w:tcW w:w="1204" w:type="dxa"/>
            <w:tcBorders>
              <w:top w:val="nil"/>
              <w:left w:val="nil"/>
              <w:bottom w:val="nil"/>
              <w:right w:val="nil"/>
            </w:tcBorders>
            <w:noWrap/>
            <w:vAlign w:val="center"/>
          </w:tcPr>
          <w:p w14:paraId="34E23972"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95 (37.9%)</w:t>
            </w:r>
          </w:p>
        </w:tc>
        <w:tc>
          <w:tcPr>
            <w:tcW w:w="1304" w:type="dxa"/>
            <w:tcBorders>
              <w:top w:val="nil"/>
              <w:left w:val="nil"/>
              <w:bottom w:val="nil"/>
              <w:right w:val="nil"/>
            </w:tcBorders>
            <w:noWrap/>
            <w:vAlign w:val="center"/>
          </w:tcPr>
          <w:p w14:paraId="65C293EB"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Median 32 (3-84)</w:t>
            </w:r>
          </w:p>
        </w:tc>
        <w:tc>
          <w:tcPr>
            <w:tcW w:w="1247" w:type="dxa"/>
            <w:tcBorders>
              <w:top w:val="nil"/>
              <w:left w:val="nil"/>
              <w:bottom w:val="nil"/>
              <w:right w:val="nil"/>
            </w:tcBorders>
            <w:noWrap/>
            <w:vAlign w:val="center"/>
          </w:tcPr>
          <w:p w14:paraId="74B17F7A"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0.405 (0.148–1.103)</w:t>
            </w:r>
          </w:p>
        </w:tc>
        <w:tc>
          <w:tcPr>
            <w:tcW w:w="567" w:type="dxa"/>
            <w:tcBorders>
              <w:top w:val="nil"/>
              <w:left w:val="nil"/>
              <w:bottom w:val="nil"/>
              <w:right w:val="nil"/>
            </w:tcBorders>
            <w:noWrap/>
            <w:vAlign w:val="center"/>
          </w:tcPr>
          <w:p w14:paraId="587454BE"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9</w:t>
            </w:r>
          </w:p>
        </w:tc>
      </w:tr>
      <w:tr w:rsidR="00DC05DB" w14:paraId="23C937B0" w14:textId="77777777">
        <w:trPr>
          <w:trHeight w:val="406"/>
        </w:trPr>
        <w:tc>
          <w:tcPr>
            <w:tcW w:w="913" w:type="dxa"/>
            <w:tcBorders>
              <w:top w:val="nil"/>
              <w:left w:val="nil"/>
              <w:bottom w:val="nil"/>
              <w:right w:val="nil"/>
            </w:tcBorders>
            <w:noWrap/>
            <w:vAlign w:val="center"/>
          </w:tcPr>
          <w:p w14:paraId="1FFE0832"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Hong</w:t>
            </w:r>
            <w:r>
              <w:rPr>
                <w:rFonts w:ascii="Book Antiqua" w:hAnsi="Book Antiqua"/>
                <w:i/>
                <w:iCs/>
                <w:color w:val="000000" w:themeColor="text1"/>
              </w:rPr>
              <w:t xml:space="preserve"> et al</w:t>
            </w:r>
            <w:r>
              <w:rPr>
                <w:rFonts w:ascii="Book Antiqua" w:hAnsi="Book Antiqua"/>
                <w:color w:val="000000" w:themeColor="text1"/>
              </w:rPr>
              <w:fldChar w:fldCharType="begin"/>
            </w:r>
            <w:r>
              <w:rPr>
                <w:rFonts w:ascii="Book Antiqua" w:hAnsi="Book Antiqua"/>
                <w:color w:val="000000" w:themeColor="text1"/>
              </w:rPr>
              <w:instrText xml:space="preserve"> ADDIN EN.CITE </w:instrText>
            </w:r>
            <w:r>
              <w:rPr>
                <w:rFonts w:ascii="Book Antiqua" w:hAnsi="Book Antiqua"/>
                <w:color w:val="000000" w:themeColor="text1"/>
              </w:rPr>
              <w:fldChar w:fldCharType="begin"/>
            </w:r>
            <w:r>
              <w:rPr>
                <w:rFonts w:ascii="Book Antiqua" w:hAnsi="Book Antiqua"/>
                <w:color w:val="000000" w:themeColor="text1"/>
              </w:rPr>
              <w:instrText xml:space="preserve"> ADDIN EN.CITE.DATA </w:instrText>
            </w:r>
            <w:r>
              <w:rPr>
                <w:rFonts w:ascii="Book Antiqua" w:hAnsi="Book Antiqua"/>
                <w:color w:val="000000" w:themeColor="text1"/>
              </w:rPr>
              <w:fldChar w:fldCharType="end"/>
            </w:r>
            <w:r>
              <w:rPr>
                <w:rFonts w:ascii="Book Antiqua" w:hAnsi="Book Antiqua"/>
                <w:color w:val="000000" w:themeColor="text1"/>
              </w:rPr>
              <w:fldChar w:fldCharType="separate"/>
            </w:r>
            <w:r>
              <w:rPr>
                <w:rFonts w:ascii="Book Antiqua" w:hAnsi="Book Antiqua"/>
                <w:color w:val="000000" w:themeColor="text1"/>
                <w:vertAlign w:val="superscript"/>
                <w:lang w:eastAsia="zh-CN"/>
              </w:rPr>
              <w:t>[24]</w:t>
            </w:r>
            <w:r>
              <w:rPr>
                <w:rFonts w:ascii="Book Antiqua" w:hAnsi="Book Antiqua"/>
                <w:color w:val="000000" w:themeColor="text1"/>
              </w:rPr>
              <w:fldChar w:fldCharType="end"/>
            </w:r>
          </w:p>
        </w:tc>
        <w:tc>
          <w:tcPr>
            <w:tcW w:w="621" w:type="dxa"/>
            <w:tcBorders>
              <w:top w:val="nil"/>
              <w:left w:val="nil"/>
              <w:bottom w:val="nil"/>
              <w:right w:val="nil"/>
            </w:tcBorders>
            <w:noWrap/>
            <w:vAlign w:val="center"/>
          </w:tcPr>
          <w:p w14:paraId="6F8D3177"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2019</w:t>
            </w:r>
          </w:p>
        </w:tc>
        <w:tc>
          <w:tcPr>
            <w:tcW w:w="871" w:type="dxa"/>
            <w:tcBorders>
              <w:top w:val="nil"/>
              <w:left w:val="nil"/>
              <w:bottom w:val="nil"/>
              <w:right w:val="nil"/>
            </w:tcBorders>
            <w:noWrap/>
            <w:vAlign w:val="center"/>
          </w:tcPr>
          <w:p w14:paraId="16AFA821"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Korea</w:t>
            </w:r>
          </w:p>
        </w:tc>
        <w:tc>
          <w:tcPr>
            <w:tcW w:w="945" w:type="dxa"/>
            <w:tcBorders>
              <w:top w:val="nil"/>
              <w:left w:val="nil"/>
              <w:bottom w:val="nil"/>
              <w:right w:val="nil"/>
            </w:tcBorders>
            <w:noWrap/>
            <w:vAlign w:val="center"/>
          </w:tcPr>
          <w:p w14:paraId="6BD1C43D"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Asian</w:t>
            </w:r>
          </w:p>
        </w:tc>
        <w:tc>
          <w:tcPr>
            <w:tcW w:w="573" w:type="dxa"/>
            <w:tcBorders>
              <w:top w:val="nil"/>
              <w:left w:val="nil"/>
              <w:bottom w:val="nil"/>
              <w:right w:val="nil"/>
            </w:tcBorders>
            <w:noWrap/>
            <w:vAlign w:val="center"/>
          </w:tcPr>
          <w:p w14:paraId="69625896"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64</w:t>
            </w:r>
          </w:p>
        </w:tc>
        <w:tc>
          <w:tcPr>
            <w:tcW w:w="837" w:type="dxa"/>
            <w:tcBorders>
              <w:top w:val="nil"/>
              <w:left w:val="nil"/>
              <w:bottom w:val="nil"/>
              <w:right w:val="nil"/>
            </w:tcBorders>
            <w:noWrap/>
            <w:vAlign w:val="center"/>
          </w:tcPr>
          <w:p w14:paraId="7CED5937"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IHC</w:t>
            </w:r>
          </w:p>
        </w:tc>
        <w:tc>
          <w:tcPr>
            <w:tcW w:w="1301" w:type="dxa"/>
            <w:tcBorders>
              <w:top w:val="nil"/>
              <w:left w:val="nil"/>
              <w:bottom w:val="nil"/>
              <w:right w:val="nil"/>
            </w:tcBorders>
            <w:noWrap/>
            <w:vAlign w:val="center"/>
          </w:tcPr>
          <w:p w14:paraId="3884944F"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Retrospective</w:t>
            </w:r>
          </w:p>
        </w:tc>
        <w:tc>
          <w:tcPr>
            <w:tcW w:w="665" w:type="dxa"/>
            <w:tcBorders>
              <w:top w:val="nil"/>
              <w:left w:val="nil"/>
              <w:bottom w:val="nil"/>
              <w:right w:val="nil"/>
            </w:tcBorders>
            <w:noWrap/>
            <w:vAlign w:val="center"/>
          </w:tcPr>
          <w:p w14:paraId="513A61F5"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1-4</w:t>
            </w:r>
          </w:p>
        </w:tc>
        <w:tc>
          <w:tcPr>
            <w:tcW w:w="1134" w:type="dxa"/>
            <w:tcBorders>
              <w:top w:val="nil"/>
              <w:left w:val="nil"/>
              <w:bottom w:val="nil"/>
              <w:right w:val="nil"/>
            </w:tcBorders>
            <w:noWrap/>
            <w:vAlign w:val="center"/>
          </w:tcPr>
          <w:p w14:paraId="47CCC3E1"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ESCC</w:t>
            </w:r>
          </w:p>
        </w:tc>
        <w:tc>
          <w:tcPr>
            <w:tcW w:w="1417" w:type="dxa"/>
            <w:tcBorders>
              <w:top w:val="nil"/>
              <w:left w:val="nil"/>
              <w:bottom w:val="nil"/>
              <w:right w:val="nil"/>
            </w:tcBorders>
            <w:noWrap/>
            <w:vAlign w:val="center"/>
          </w:tcPr>
          <w:p w14:paraId="15835A58"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w:t>
            </w:r>
          </w:p>
        </w:tc>
        <w:tc>
          <w:tcPr>
            <w:tcW w:w="1204" w:type="dxa"/>
            <w:tcBorders>
              <w:top w:val="nil"/>
              <w:left w:val="nil"/>
              <w:bottom w:val="nil"/>
              <w:right w:val="nil"/>
            </w:tcBorders>
            <w:noWrap/>
            <w:vAlign w:val="center"/>
          </w:tcPr>
          <w:p w14:paraId="6B2DA002"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396 (50.8%)</w:t>
            </w:r>
          </w:p>
        </w:tc>
        <w:tc>
          <w:tcPr>
            <w:tcW w:w="1304" w:type="dxa"/>
            <w:tcBorders>
              <w:top w:val="nil"/>
              <w:left w:val="nil"/>
              <w:bottom w:val="nil"/>
              <w:right w:val="nil"/>
            </w:tcBorders>
            <w:noWrap/>
            <w:vAlign w:val="center"/>
          </w:tcPr>
          <w:p w14:paraId="506055DA"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Median 24.8 (0.5-210.0)</w:t>
            </w:r>
          </w:p>
        </w:tc>
        <w:tc>
          <w:tcPr>
            <w:tcW w:w="1247" w:type="dxa"/>
            <w:tcBorders>
              <w:top w:val="nil"/>
              <w:left w:val="nil"/>
              <w:bottom w:val="nil"/>
              <w:right w:val="nil"/>
            </w:tcBorders>
            <w:noWrap/>
            <w:vAlign w:val="center"/>
          </w:tcPr>
          <w:p w14:paraId="1ACA600B"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1.60 (1.13–2.27)</w:t>
            </w:r>
          </w:p>
        </w:tc>
        <w:tc>
          <w:tcPr>
            <w:tcW w:w="567" w:type="dxa"/>
            <w:tcBorders>
              <w:top w:val="nil"/>
              <w:left w:val="nil"/>
              <w:bottom w:val="nil"/>
              <w:right w:val="nil"/>
            </w:tcBorders>
            <w:noWrap/>
            <w:vAlign w:val="center"/>
          </w:tcPr>
          <w:p w14:paraId="60D34349"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8</w:t>
            </w:r>
          </w:p>
        </w:tc>
      </w:tr>
      <w:tr w:rsidR="00DC05DB" w14:paraId="3A941585" w14:textId="77777777">
        <w:trPr>
          <w:trHeight w:val="452"/>
        </w:trPr>
        <w:tc>
          <w:tcPr>
            <w:tcW w:w="913" w:type="dxa"/>
            <w:tcBorders>
              <w:top w:val="nil"/>
              <w:left w:val="nil"/>
              <w:bottom w:val="single" w:sz="4" w:space="0" w:color="auto"/>
              <w:right w:val="nil"/>
            </w:tcBorders>
            <w:noWrap/>
            <w:vAlign w:val="center"/>
          </w:tcPr>
          <w:p w14:paraId="796A318D"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Zhao</w:t>
            </w:r>
            <w:r>
              <w:rPr>
                <w:rFonts w:ascii="Book Antiqua" w:hAnsi="Book Antiqua"/>
                <w:i/>
                <w:iCs/>
                <w:color w:val="000000" w:themeColor="text1"/>
              </w:rPr>
              <w:t xml:space="preserve"> et al</w:t>
            </w:r>
            <w:r>
              <w:rPr>
                <w:rFonts w:ascii="Book Antiqua" w:hAnsi="Book Antiqua"/>
                <w:color w:val="000000" w:themeColor="text1"/>
              </w:rPr>
              <w:fldChar w:fldCharType="begin"/>
            </w:r>
            <w:r>
              <w:rPr>
                <w:rFonts w:ascii="Book Antiqua" w:hAnsi="Book Antiqua"/>
                <w:color w:val="000000" w:themeColor="text1"/>
              </w:rPr>
              <w:instrText xml:space="preserve"> ADDIN EN.CITE </w:instrText>
            </w:r>
            <w:r>
              <w:rPr>
                <w:rFonts w:ascii="Book Antiqua" w:hAnsi="Book Antiqua"/>
                <w:color w:val="000000" w:themeColor="text1"/>
              </w:rPr>
              <w:fldChar w:fldCharType="begin"/>
            </w:r>
            <w:r>
              <w:rPr>
                <w:rFonts w:ascii="Book Antiqua" w:hAnsi="Book Antiqua"/>
                <w:color w:val="000000" w:themeColor="text1"/>
              </w:rPr>
              <w:instrText xml:space="preserve"> ADDIN EN.CITE.DATA </w:instrText>
            </w:r>
            <w:r>
              <w:rPr>
                <w:rFonts w:ascii="Book Antiqua" w:hAnsi="Book Antiqua"/>
                <w:color w:val="000000" w:themeColor="text1"/>
              </w:rPr>
              <w:fldChar w:fldCharType="end"/>
            </w:r>
            <w:r>
              <w:rPr>
                <w:rFonts w:ascii="Book Antiqua" w:hAnsi="Book Antiqua"/>
                <w:color w:val="000000" w:themeColor="text1"/>
              </w:rPr>
              <w:fldChar w:fldCharType="separate"/>
            </w:r>
            <w:r>
              <w:rPr>
                <w:rFonts w:ascii="Book Antiqua" w:hAnsi="Book Antiqua"/>
                <w:color w:val="000000" w:themeColor="text1"/>
                <w:vertAlign w:val="superscript"/>
                <w:lang w:eastAsia="zh-CN"/>
              </w:rPr>
              <w:t>[25]</w:t>
            </w:r>
            <w:r>
              <w:rPr>
                <w:rFonts w:ascii="Book Antiqua" w:hAnsi="Book Antiqua"/>
                <w:color w:val="000000" w:themeColor="text1"/>
              </w:rPr>
              <w:fldChar w:fldCharType="end"/>
            </w:r>
          </w:p>
        </w:tc>
        <w:tc>
          <w:tcPr>
            <w:tcW w:w="621" w:type="dxa"/>
            <w:tcBorders>
              <w:top w:val="nil"/>
              <w:left w:val="nil"/>
              <w:bottom w:val="single" w:sz="4" w:space="0" w:color="auto"/>
              <w:right w:val="nil"/>
            </w:tcBorders>
            <w:noWrap/>
            <w:vAlign w:val="center"/>
          </w:tcPr>
          <w:p w14:paraId="79FBED86"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2020</w:t>
            </w:r>
          </w:p>
        </w:tc>
        <w:tc>
          <w:tcPr>
            <w:tcW w:w="871" w:type="dxa"/>
            <w:tcBorders>
              <w:top w:val="nil"/>
              <w:left w:val="nil"/>
              <w:bottom w:val="single" w:sz="4" w:space="0" w:color="auto"/>
              <w:right w:val="nil"/>
            </w:tcBorders>
            <w:noWrap/>
            <w:vAlign w:val="center"/>
          </w:tcPr>
          <w:p w14:paraId="50D41EE5"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China</w:t>
            </w:r>
          </w:p>
        </w:tc>
        <w:tc>
          <w:tcPr>
            <w:tcW w:w="945" w:type="dxa"/>
            <w:tcBorders>
              <w:top w:val="nil"/>
              <w:left w:val="nil"/>
              <w:bottom w:val="single" w:sz="4" w:space="0" w:color="auto"/>
              <w:right w:val="nil"/>
            </w:tcBorders>
            <w:noWrap/>
            <w:vAlign w:val="center"/>
          </w:tcPr>
          <w:p w14:paraId="74B222B6"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Asian</w:t>
            </w:r>
          </w:p>
        </w:tc>
        <w:tc>
          <w:tcPr>
            <w:tcW w:w="573" w:type="dxa"/>
            <w:tcBorders>
              <w:top w:val="nil"/>
              <w:left w:val="nil"/>
              <w:bottom w:val="single" w:sz="4" w:space="0" w:color="auto"/>
              <w:right w:val="nil"/>
            </w:tcBorders>
            <w:noWrap/>
            <w:vAlign w:val="center"/>
          </w:tcPr>
          <w:p w14:paraId="70EA930E"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65</w:t>
            </w:r>
          </w:p>
        </w:tc>
        <w:tc>
          <w:tcPr>
            <w:tcW w:w="837" w:type="dxa"/>
            <w:tcBorders>
              <w:top w:val="nil"/>
              <w:left w:val="nil"/>
              <w:bottom w:val="single" w:sz="4" w:space="0" w:color="auto"/>
              <w:right w:val="nil"/>
            </w:tcBorders>
            <w:noWrap/>
            <w:vAlign w:val="center"/>
          </w:tcPr>
          <w:p w14:paraId="72187280"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IHC</w:t>
            </w:r>
          </w:p>
        </w:tc>
        <w:tc>
          <w:tcPr>
            <w:tcW w:w="1301" w:type="dxa"/>
            <w:tcBorders>
              <w:top w:val="nil"/>
              <w:left w:val="nil"/>
              <w:bottom w:val="single" w:sz="4" w:space="0" w:color="auto"/>
              <w:right w:val="nil"/>
            </w:tcBorders>
            <w:noWrap/>
            <w:vAlign w:val="center"/>
          </w:tcPr>
          <w:p w14:paraId="2EED806D"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Retrospective</w:t>
            </w:r>
          </w:p>
        </w:tc>
        <w:tc>
          <w:tcPr>
            <w:tcW w:w="665" w:type="dxa"/>
            <w:tcBorders>
              <w:top w:val="nil"/>
              <w:left w:val="nil"/>
              <w:bottom w:val="single" w:sz="4" w:space="0" w:color="auto"/>
              <w:right w:val="nil"/>
            </w:tcBorders>
            <w:noWrap/>
            <w:vAlign w:val="center"/>
          </w:tcPr>
          <w:p w14:paraId="6864AD09"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1-4</w:t>
            </w:r>
          </w:p>
        </w:tc>
        <w:tc>
          <w:tcPr>
            <w:tcW w:w="1134" w:type="dxa"/>
            <w:tcBorders>
              <w:top w:val="nil"/>
              <w:left w:val="nil"/>
              <w:bottom w:val="single" w:sz="4" w:space="0" w:color="auto"/>
              <w:right w:val="nil"/>
            </w:tcBorders>
            <w:noWrap/>
            <w:vAlign w:val="center"/>
          </w:tcPr>
          <w:p w14:paraId="794F317F"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ESCC</w:t>
            </w:r>
          </w:p>
        </w:tc>
        <w:tc>
          <w:tcPr>
            <w:tcW w:w="1417" w:type="dxa"/>
            <w:tcBorders>
              <w:top w:val="nil"/>
              <w:left w:val="nil"/>
              <w:bottom w:val="single" w:sz="4" w:space="0" w:color="auto"/>
              <w:right w:val="nil"/>
            </w:tcBorders>
            <w:noWrap/>
            <w:vAlign w:val="center"/>
          </w:tcPr>
          <w:p w14:paraId="6E2ABF4F"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HSCORE &gt; 3</w:t>
            </w:r>
          </w:p>
        </w:tc>
        <w:tc>
          <w:tcPr>
            <w:tcW w:w="1204" w:type="dxa"/>
            <w:tcBorders>
              <w:top w:val="nil"/>
              <w:left w:val="nil"/>
              <w:bottom w:val="single" w:sz="4" w:space="0" w:color="auto"/>
              <w:right w:val="nil"/>
            </w:tcBorders>
            <w:noWrap/>
            <w:vAlign w:val="center"/>
          </w:tcPr>
          <w:p w14:paraId="78FA225F"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183 (47.5%)</w:t>
            </w:r>
          </w:p>
        </w:tc>
        <w:tc>
          <w:tcPr>
            <w:tcW w:w="1304" w:type="dxa"/>
            <w:tcBorders>
              <w:top w:val="nil"/>
              <w:left w:val="nil"/>
              <w:bottom w:val="single" w:sz="4" w:space="0" w:color="auto"/>
              <w:right w:val="nil"/>
            </w:tcBorders>
            <w:noWrap/>
            <w:vAlign w:val="center"/>
          </w:tcPr>
          <w:p w14:paraId="2F058D46"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NA</w:t>
            </w:r>
          </w:p>
        </w:tc>
        <w:tc>
          <w:tcPr>
            <w:tcW w:w="1247" w:type="dxa"/>
            <w:tcBorders>
              <w:top w:val="nil"/>
              <w:left w:val="nil"/>
              <w:bottom w:val="single" w:sz="4" w:space="0" w:color="auto"/>
              <w:right w:val="nil"/>
            </w:tcBorders>
            <w:vAlign w:val="center"/>
          </w:tcPr>
          <w:p w14:paraId="03098C87" w14:textId="77777777" w:rsidR="00DC05DB" w:rsidRDefault="00000000">
            <w:pPr>
              <w:snapToGrid w:val="0"/>
              <w:spacing w:line="360" w:lineRule="auto"/>
              <w:jc w:val="both"/>
              <w:textAlignment w:val="center"/>
              <w:rPr>
                <w:rFonts w:ascii="Book Antiqua" w:hAnsi="Book Antiqua"/>
                <w:color w:val="000000" w:themeColor="text1"/>
              </w:rPr>
            </w:pPr>
            <w:r>
              <w:rPr>
                <w:rFonts w:ascii="Book Antiqua" w:hAnsi="Book Antiqua"/>
                <w:color w:val="000000" w:themeColor="text1"/>
              </w:rPr>
              <w:t>2.620 (1.569–4.375)</w:t>
            </w:r>
          </w:p>
        </w:tc>
        <w:tc>
          <w:tcPr>
            <w:tcW w:w="567" w:type="dxa"/>
            <w:tcBorders>
              <w:top w:val="nil"/>
              <w:left w:val="nil"/>
              <w:bottom w:val="single" w:sz="4" w:space="0" w:color="auto"/>
              <w:right w:val="nil"/>
            </w:tcBorders>
            <w:noWrap/>
            <w:vAlign w:val="center"/>
          </w:tcPr>
          <w:p w14:paraId="2060BF35" w14:textId="77777777" w:rsidR="00DC05DB" w:rsidRDefault="00000000">
            <w:pPr>
              <w:snapToGrid w:val="0"/>
              <w:spacing w:line="360" w:lineRule="auto"/>
              <w:jc w:val="both"/>
              <w:rPr>
                <w:rFonts w:ascii="Book Antiqua" w:hAnsi="Book Antiqua"/>
                <w:color w:val="000000" w:themeColor="text1"/>
              </w:rPr>
            </w:pPr>
            <w:r>
              <w:rPr>
                <w:rFonts w:ascii="Book Antiqua" w:hAnsi="Book Antiqua"/>
                <w:color w:val="000000" w:themeColor="text1"/>
              </w:rPr>
              <w:t>8</w:t>
            </w:r>
          </w:p>
        </w:tc>
      </w:tr>
    </w:tbl>
    <w:p w14:paraId="5E0A61D0" w14:textId="77777777" w:rsidR="00DC05DB"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HSCORE system = Stain intensity × percentage of stained cells. CI: Confidence interval; E +: T cell immunoglobulin and mucin-domain containing-3 positive expression; ESCC: </w:t>
      </w:r>
      <w:r>
        <w:rPr>
          <w:rFonts w:ascii="Book Antiqua" w:hAnsi="Book Antiqua"/>
          <w:color w:val="000000" w:themeColor="text1"/>
        </w:rPr>
        <w:t>Esophageal squamous cell carcinoma;</w:t>
      </w:r>
      <w:r>
        <w:rPr>
          <w:rFonts w:ascii="Book Antiqua" w:eastAsia="Book Antiqua" w:hAnsi="Book Antiqua" w:cs="Book Antiqua"/>
          <w:color w:val="000000" w:themeColor="text1"/>
        </w:rPr>
        <w:t xml:space="preserve"> HR: Hazard ratio; IHC: Immunohistochemistry; NA: Not applicable; NOS: New-Ottawa scale; OS: Overall survival.</w:t>
      </w:r>
    </w:p>
    <w:p w14:paraId="4F5741E0" w14:textId="77777777" w:rsidR="00DC05DB" w:rsidRDefault="00DC05DB">
      <w:pPr>
        <w:adjustRightInd w:val="0"/>
        <w:snapToGrid w:val="0"/>
        <w:spacing w:line="360" w:lineRule="auto"/>
        <w:jc w:val="both"/>
        <w:rPr>
          <w:color w:val="000000" w:themeColor="text1"/>
          <w:lang w:eastAsia="zh-CN"/>
        </w:rPr>
      </w:pPr>
    </w:p>
    <w:p w14:paraId="61871BFE" w14:textId="77777777" w:rsidR="00DC05DB" w:rsidRDefault="00DC05DB">
      <w:pPr>
        <w:adjustRightInd w:val="0"/>
        <w:snapToGrid w:val="0"/>
        <w:spacing w:line="360" w:lineRule="auto"/>
        <w:jc w:val="both"/>
        <w:rPr>
          <w:rFonts w:ascii="Book Antiqua" w:eastAsia="Book Antiqua" w:hAnsi="Book Antiqua" w:cs="Book Antiqua"/>
          <w:b/>
          <w:bCs/>
          <w:color w:val="000000" w:themeColor="text1"/>
        </w:rPr>
      </w:pPr>
    </w:p>
    <w:p w14:paraId="1749D583" w14:textId="77777777" w:rsidR="00DC05DB" w:rsidRDefault="00DC05DB">
      <w:pPr>
        <w:adjustRightInd w:val="0"/>
        <w:snapToGrid w:val="0"/>
        <w:spacing w:line="360" w:lineRule="auto"/>
        <w:jc w:val="both"/>
        <w:rPr>
          <w:rFonts w:ascii="Book Antiqua" w:eastAsia="Book Antiqua" w:hAnsi="Book Antiqua" w:cs="Book Antiqua"/>
          <w:b/>
          <w:bCs/>
          <w:color w:val="000000" w:themeColor="text1"/>
        </w:rPr>
        <w:sectPr w:rsidR="00DC05DB">
          <w:pgSz w:w="15840" w:h="12240" w:orient="landscape"/>
          <w:pgMar w:top="1440" w:right="1440" w:bottom="1440" w:left="1440" w:header="720" w:footer="720" w:gutter="0"/>
          <w:cols w:space="720"/>
          <w:docGrid w:linePitch="360"/>
        </w:sectPr>
      </w:pPr>
    </w:p>
    <w:p w14:paraId="0690CE32" w14:textId="77777777" w:rsidR="00DC05DB" w:rsidRDefault="00000000">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lastRenderedPageBreak/>
        <w:t>Table 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Sub-group analysis of the association between T cell immunoglobulin and mucin-domain containing-3 and the clinicopathological parameters</w:t>
      </w:r>
    </w:p>
    <w:tbl>
      <w:tblPr>
        <w:tblW w:w="13050" w:type="dxa"/>
        <w:tblBorders>
          <w:top w:val="single" w:sz="4" w:space="0" w:color="auto"/>
          <w:bottom w:val="single" w:sz="4" w:space="0" w:color="auto"/>
        </w:tblBorders>
        <w:tblLook w:val="04A0" w:firstRow="1" w:lastRow="0" w:firstColumn="1" w:lastColumn="0" w:noHBand="0" w:noVBand="1"/>
      </w:tblPr>
      <w:tblGrid>
        <w:gridCol w:w="5580"/>
        <w:gridCol w:w="2430"/>
        <w:gridCol w:w="1620"/>
        <w:gridCol w:w="1800"/>
        <w:gridCol w:w="1620"/>
      </w:tblGrid>
      <w:tr w:rsidR="00DC05DB" w14:paraId="5A1DA1EB" w14:textId="77777777">
        <w:trPr>
          <w:trHeight w:val="523"/>
        </w:trPr>
        <w:tc>
          <w:tcPr>
            <w:tcW w:w="5580" w:type="dxa"/>
            <w:tcBorders>
              <w:top w:val="single" w:sz="4" w:space="0" w:color="auto"/>
              <w:bottom w:val="single" w:sz="4" w:space="0" w:color="auto"/>
            </w:tcBorders>
            <w:noWrap/>
            <w:vAlign w:val="center"/>
          </w:tcPr>
          <w:p w14:paraId="7C431234" w14:textId="77777777" w:rsidR="00DC05DB" w:rsidRDefault="00000000">
            <w:pPr>
              <w:snapToGrid w:val="0"/>
              <w:spacing w:line="360" w:lineRule="auto"/>
              <w:jc w:val="both"/>
              <w:rPr>
                <w:rFonts w:ascii="Book Antiqua" w:hAnsi="Book Antiqua"/>
                <w:b/>
                <w:color w:val="000000"/>
              </w:rPr>
            </w:pPr>
            <w:r>
              <w:rPr>
                <w:rFonts w:ascii="Book Antiqua" w:hAnsi="Book Antiqua"/>
                <w:b/>
                <w:color w:val="000000"/>
              </w:rPr>
              <w:t>Subgroups</w:t>
            </w:r>
          </w:p>
        </w:tc>
        <w:tc>
          <w:tcPr>
            <w:tcW w:w="2430" w:type="dxa"/>
            <w:tcBorders>
              <w:top w:val="single" w:sz="4" w:space="0" w:color="auto"/>
              <w:bottom w:val="single" w:sz="4" w:space="0" w:color="auto"/>
            </w:tcBorders>
            <w:noWrap/>
            <w:vAlign w:val="center"/>
          </w:tcPr>
          <w:p w14:paraId="341E3E04" w14:textId="77777777" w:rsidR="00DC05DB" w:rsidRDefault="00000000">
            <w:pPr>
              <w:snapToGrid w:val="0"/>
              <w:spacing w:line="360" w:lineRule="auto"/>
              <w:jc w:val="both"/>
              <w:rPr>
                <w:rFonts w:ascii="Book Antiqua" w:hAnsi="Book Antiqua"/>
                <w:b/>
                <w:color w:val="000000"/>
              </w:rPr>
            </w:pPr>
            <w:r>
              <w:rPr>
                <w:rFonts w:ascii="Book Antiqua" w:hAnsi="Book Antiqua"/>
                <w:b/>
                <w:color w:val="000000"/>
              </w:rPr>
              <w:t>OR (95%CI)</w:t>
            </w:r>
          </w:p>
        </w:tc>
        <w:tc>
          <w:tcPr>
            <w:tcW w:w="1620" w:type="dxa"/>
            <w:tcBorders>
              <w:top w:val="single" w:sz="4" w:space="0" w:color="auto"/>
              <w:bottom w:val="single" w:sz="4" w:space="0" w:color="auto"/>
            </w:tcBorders>
            <w:noWrap/>
            <w:vAlign w:val="center"/>
          </w:tcPr>
          <w:p w14:paraId="073DF34D" w14:textId="77777777" w:rsidR="00DC05DB" w:rsidRDefault="00000000">
            <w:pPr>
              <w:snapToGrid w:val="0"/>
              <w:spacing w:line="360" w:lineRule="auto"/>
              <w:jc w:val="both"/>
              <w:rPr>
                <w:rFonts w:ascii="Book Antiqua" w:hAnsi="Book Antiqua"/>
                <w:b/>
                <w:i/>
                <w:color w:val="000000"/>
              </w:rPr>
            </w:pPr>
            <w:r>
              <w:rPr>
                <w:rFonts w:ascii="Book Antiqua" w:hAnsi="Book Antiqua"/>
                <w:b/>
                <w:i/>
                <w:color w:val="000000"/>
              </w:rPr>
              <w:t xml:space="preserve">P </w:t>
            </w:r>
            <w:r>
              <w:rPr>
                <w:rFonts w:ascii="Book Antiqua" w:hAnsi="Book Antiqua"/>
                <w:b/>
                <w:color w:val="000000"/>
              </w:rPr>
              <w:t>value</w:t>
            </w:r>
          </w:p>
        </w:tc>
        <w:tc>
          <w:tcPr>
            <w:tcW w:w="1800" w:type="dxa"/>
            <w:tcBorders>
              <w:top w:val="single" w:sz="4" w:space="0" w:color="auto"/>
              <w:bottom w:val="single" w:sz="4" w:space="0" w:color="auto"/>
            </w:tcBorders>
            <w:noWrap/>
            <w:vAlign w:val="center"/>
          </w:tcPr>
          <w:p w14:paraId="6EAB8E43" w14:textId="77777777" w:rsidR="00DC05DB" w:rsidRDefault="00000000">
            <w:pPr>
              <w:snapToGrid w:val="0"/>
              <w:spacing w:line="360" w:lineRule="auto"/>
              <w:jc w:val="both"/>
              <w:rPr>
                <w:rFonts w:ascii="Book Antiqua" w:hAnsi="Book Antiqua"/>
                <w:b/>
                <w:i/>
                <w:iCs/>
                <w:color w:val="000000"/>
              </w:rPr>
            </w:pPr>
            <w:r>
              <w:rPr>
                <w:rFonts w:ascii="Book Antiqua" w:hAnsi="Book Antiqua"/>
                <w:b/>
                <w:color w:val="000000"/>
              </w:rPr>
              <w:t xml:space="preserve">Studies, </w:t>
            </w:r>
            <w:r>
              <w:rPr>
                <w:rFonts w:ascii="Book Antiqua" w:hAnsi="Book Antiqua"/>
                <w:b/>
                <w:i/>
                <w:iCs/>
                <w:color w:val="000000"/>
              </w:rPr>
              <w:t>n</w:t>
            </w:r>
          </w:p>
        </w:tc>
        <w:tc>
          <w:tcPr>
            <w:tcW w:w="1620" w:type="dxa"/>
            <w:tcBorders>
              <w:top w:val="single" w:sz="4" w:space="0" w:color="auto"/>
              <w:bottom w:val="single" w:sz="4" w:space="0" w:color="auto"/>
            </w:tcBorders>
            <w:noWrap/>
            <w:vAlign w:val="center"/>
          </w:tcPr>
          <w:p w14:paraId="467D9082" w14:textId="77777777" w:rsidR="00DC05DB" w:rsidRDefault="00000000">
            <w:pPr>
              <w:snapToGrid w:val="0"/>
              <w:spacing w:line="360" w:lineRule="auto"/>
              <w:jc w:val="both"/>
              <w:rPr>
                <w:rFonts w:ascii="Book Antiqua" w:hAnsi="Book Antiqua"/>
                <w:b/>
                <w:i/>
                <w:iCs/>
                <w:color w:val="000000"/>
              </w:rPr>
            </w:pPr>
            <w:r>
              <w:rPr>
                <w:rFonts w:ascii="Book Antiqua" w:hAnsi="Book Antiqua"/>
                <w:b/>
                <w:bCs/>
                <w:color w:val="000000"/>
              </w:rPr>
              <w:t>P</w:t>
            </w:r>
            <w:r>
              <w:rPr>
                <w:rFonts w:ascii="Book Antiqua" w:hAnsi="Book Antiqua"/>
                <w:b/>
                <w:color w:val="000000"/>
              </w:rPr>
              <w:t xml:space="preserve">atients, </w:t>
            </w:r>
            <w:r>
              <w:rPr>
                <w:rFonts w:ascii="Book Antiqua" w:hAnsi="Book Antiqua"/>
                <w:b/>
                <w:i/>
                <w:iCs/>
                <w:color w:val="000000"/>
              </w:rPr>
              <w:t>n</w:t>
            </w:r>
          </w:p>
        </w:tc>
      </w:tr>
      <w:tr w:rsidR="00DC05DB" w14:paraId="2B43706C" w14:textId="77777777">
        <w:trPr>
          <w:trHeight w:val="431"/>
        </w:trPr>
        <w:tc>
          <w:tcPr>
            <w:tcW w:w="5580" w:type="dxa"/>
            <w:tcBorders>
              <w:top w:val="single" w:sz="4" w:space="0" w:color="auto"/>
            </w:tcBorders>
          </w:tcPr>
          <w:p w14:paraId="3DD99448" w14:textId="77777777" w:rsidR="00DC05DB" w:rsidRDefault="00000000">
            <w:pPr>
              <w:snapToGrid w:val="0"/>
              <w:spacing w:line="360" w:lineRule="auto"/>
              <w:jc w:val="both"/>
              <w:rPr>
                <w:rFonts w:ascii="Book Antiqua" w:hAnsi="Book Antiqua"/>
                <w:bCs/>
                <w:color w:val="000000"/>
              </w:rPr>
            </w:pPr>
            <w:r>
              <w:rPr>
                <w:rFonts w:ascii="Book Antiqua" w:hAnsi="Book Antiqua"/>
                <w:bCs/>
                <w:color w:val="000000"/>
              </w:rPr>
              <w:t xml:space="preserve">Sex: Female </w:t>
            </w:r>
            <w:r>
              <w:rPr>
                <w:rFonts w:ascii="Book Antiqua" w:hAnsi="Book Antiqua"/>
                <w:bCs/>
                <w:i/>
                <w:color w:val="000000"/>
              </w:rPr>
              <w:t>vs</w:t>
            </w:r>
            <w:r>
              <w:rPr>
                <w:rFonts w:ascii="Book Antiqua" w:hAnsi="Book Antiqua"/>
                <w:bCs/>
                <w:color w:val="000000"/>
              </w:rPr>
              <w:t xml:space="preserve"> male</w:t>
            </w:r>
          </w:p>
        </w:tc>
        <w:tc>
          <w:tcPr>
            <w:tcW w:w="2430" w:type="dxa"/>
            <w:tcBorders>
              <w:top w:val="single" w:sz="4" w:space="0" w:color="auto"/>
            </w:tcBorders>
            <w:noWrap/>
          </w:tcPr>
          <w:p w14:paraId="5F1A54D0"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0.92 (0.75-1.14)</w:t>
            </w:r>
          </w:p>
        </w:tc>
        <w:tc>
          <w:tcPr>
            <w:tcW w:w="1620" w:type="dxa"/>
            <w:tcBorders>
              <w:top w:val="single" w:sz="4" w:space="0" w:color="auto"/>
            </w:tcBorders>
            <w:noWrap/>
          </w:tcPr>
          <w:p w14:paraId="1034946B"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0.388</w:t>
            </w:r>
          </w:p>
        </w:tc>
        <w:tc>
          <w:tcPr>
            <w:tcW w:w="1800" w:type="dxa"/>
            <w:tcBorders>
              <w:top w:val="single" w:sz="4" w:space="0" w:color="auto"/>
            </w:tcBorders>
            <w:noWrap/>
          </w:tcPr>
          <w:p w14:paraId="4C2E9314"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7</w:t>
            </w:r>
          </w:p>
        </w:tc>
        <w:tc>
          <w:tcPr>
            <w:tcW w:w="1620" w:type="dxa"/>
            <w:tcBorders>
              <w:top w:val="single" w:sz="4" w:space="0" w:color="auto"/>
            </w:tcBorders>
            <w:noWrap/>
          </w:tcPr>
          <w:p w14:paraId="31CD47AC"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1866</w:t>
            </w:r>
          </w:p>
        </w:tc>
      </w:tr>
      <w:tr w:rsidR="00DC05DB" w14:paraId="443DFDDB" w14:textId="77777777">
        <w:trPr>
          <w:trHeight w:val="563"/>
        </w:trPr>
        <w:tc>
          <w:tcPr>
            <w:tcW w:w="5580" w:type="dxa"/>
          </w:tcPr>
          <w:p w14:paraId="553C9807" w14:textId="77777777" w:rsidR="00DC05DB" w:rsidRDefault="00000000">
            <w:pPr>
              <w:snapToGrid w:val="0"/>
              <w:spacing w:line="360" w:lineRule="auto"/>
              <w:jc w:val="both"/>
              <w:rPr>
                <w:rFonts w:ascii="Book Antiqua" w:hAnsi="Book Antiqua"/>
                <w:bCs/>
                <w:color w:val="000000"/>
              </w:rPr>
            </w:pPr>
            <w:r>
              <w:rPr>
                <w:rFonts w:ascii="Book Antiqua" w:hAnsi="Book Antiqua"/>
                <w:bCs/>
                <w:color w:val="000000"/>
              </w:rPr>
              <w:t xml:space="preserve">Age: Elderly </w:t>
            </w:r>
            <w:r>
              <w:rPr>
                <w:rFonts w:ascii="Book Antiqua" w:hAnsi="Book Antiqua"/>
                <w:bCs/>
                <w:i/>
                <w:color w:val="000000"/>
              </w:rPr>
              <w:t>vs</w:t>
            </w:r>
            <w:r>
              <w:rPr>
                <w:rFonts w:ascii="Book Antiqua" w:hAnsi="Book Antiqua"/>
                <w:bCs/>
                <w:color w:val="000000"/>
              </w:rPr>
              <w:t xml:space="preserve"> non-elderly</w:t>
            </w:r>
          </w:p>
        </w:tc>
        <w:tc>
          <w:tcPr>
            <w:tcW w:w="2430" w:type="dxa"/>
            <w:noWrap/>
          </w:tcPr>
          <w:p w14:paraId="10A1389C"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1.07 (0.79-1.44)</w:t>
            </w:r>
          </w:p>
        </w:tc>
        <w:tc>
          <w:tcPr>
            <w:tcW w:w="1620" w:type="dxa"/>
            <w:noWrap/>
          </w:tcPr>
          <w:p w14:paraId="14057A03"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0.061</w:t>
            </w:r>
          </w:p>
        </w:tc>
        <w:tc>
          <w:tcPr>
            <w:tcW w:w="1800" w:type="dxa"/>
            <w:noWrap/>
          </w:tcPr>
          <w:p w14:paraId="3126878D"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6</w:t>
            </w:r>
          </w:p>
        </w:tc>
        <w:tc>
          <w:tcPr>
            <w:tcW w:w="1620" w:type="dxa"/>
            <w:noWrap/>
          </w:tcPr>
          <w:p w14:paraId="2E2B0A7C"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1771</w:t>
            </w:r>
          </w:p>
        </w:tc>
      </w:tr>
      <w:tr w:rsidR="00DC05DB" w14:paraId="4EF6570D" w14:textId="77777777">
        <w:trPr>
          <w:trHeight w:val="698"/>
        </w:trPr>
        <w:tc>
          <w:tcPr>
            <w:tcW w:w="5580" w:type="dxa"/>
          </w:tcPr>
          <w:p w14:paraId="194086FD" w14:textId="77777777" w:rsidR="00DC05DB" w:rsidRDefault="00000000">
            <w:pPr>
              <w:snapToGrid w:val="0"/>
              <w:spacing w:line="360" w:lineRule="auto"/>
              <w:jc w:val="both"/>
              <w:rPr>
                <w:rFonts w:ascii="Book Antiqua" w:hAnsi="Book Antiqua"/>
                <w:bCs/>
                <w:color w:val="000000"/>
              </w:rPr>
            </w:pPr>
            <w:r>
              <w:rPr>
                <w:rFonts w:ascii="Book Antiqua" w:hAnsi="Book Antiqua"/>
                <w:bCs/>
                <w:color w:val="000000"/>
              </w:rPr>
              <w:t xml:space="preserve">Tumor location: Top and middle </w:t>
            </w:r>
            <w:r>
              <w:rPr>
                <w:rFonts w:ascii="Book Antiqua" w:hAnsi="Book Antiqua"/>
                <w:bCs/>
                <w:i/>
                <w:color w:val="000000"/>
              </w:rPr>
              <w:t>vs</w:t>
            </w:r>
            <w:r>
              <w:rPr>
                <w:rFonts w:ascii="Book Antiqua" w:hAnsi="Book Antiqua"/>
                <w:bCs/>
                <w:color w:val="000000"/>
              </w:rPr>
              <w:t xml:space="preserve"> bottom</w:t>
            </w:r>
          </w:p>
        </w:tc>
        <w:tc>
          <w:tcPr>
            <w:tcW w:w="2430" w:type="dxa"/>
            <w:noWrap/>
          </w:tcPr>
          <w:p w14:paraId="5B8755E0"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1.07 (0.85-1.35)</w:t>
            </w:r>
          </w:p>
        </w:tc>
        <w:tc>
          <w:tcPr>
            <w:tcW w:w="1620" w:type="dxa"/>
            <w:noWrap/>
          </w:tcPr>
          <w:p w14:paraId="71F65487"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0.605</w:t>
            </w:r>
          </w:p>
        </w:tc>
        <w:tc>
          <w:tcPr>
            <w:tcW w:w="1800" w:type="dxa"/>
            <w:noWrap/>
          </w:tcPr>
          <w:p w14:paraId="1215BD4D"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4</w:t>
            </w:r>
          </w:p>
        </w:tc>
        <w:tc>
          <w:tcPr>
            <w:tcW w:w="1620" w:type="dxa"/>
            <w:noWrap/>
          </w:tcPr>
          <w:p w14:paraId="670BE8FE"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1311</w:t>
            </w:r>
          </w:p>
        </w:tc>
      </w:tr>
      <w:tr w:rsidR="00DC05DB" w14:paraId="169C894D" w14:textId="77777777">
        <w:trPr>
          <w:trHeight w:val="558"/>
        </w:trPr>
        <w:tc>
          <w:tcPr>
            <w:tcW w:w="5580" w:type="dxa"/>
          </w:tcPr>
          <w:p w14:paraId="5B767473" w14:textId="77777777" w:rsidR="00DC05DB" w:rsidRDefault="00000000">
            <w:pPr>
              <w:snapToGrid w:val="0"/>
              <w:spacing w:line="360" w:lineRule="auto"/>
              <w:jc w:val="both"/>
              <w:rPr>
                <w:rFonts w:ascii="Book Antiqua" w:hAnsi="Book Antiqua"/>
                <w:bCs/>
                <w:color w:val="000000"/>
              </w:rPr>
            </w:pPr>
            <w:r>
              <w:rPr>
                <w:rFonts w:ascii="Book Antiqua" w:hAnsi="Book Antiqua" w:hint="eastAsia"/>
                <w:bCs/>
                <w:color w:val="000000"/>
              </w:rPr>
              <w:t xml:space="preserve">Tumor size: </w:t>
            </w:r>
            <w:r>
              <w:rPr>
                <w:rFonts w:ascii="Book Antiqua" w:hAnsi="Book Antiqua" w:hint="eastAsia"/>
                <w:bCs/>
                <w:color w:val="000000"/>
              </w:rPr>
              <w:sym w:font="Symbol" w:char="F0B3"/>
            </w:r>
            <w:r>
              <w:rPr>
                <w:rFonts w:ascii="Book Antiqua" w:hAnsi="Book Antiqua" w:hint="eastAsia"/>
                <w:bCs/>
                <w:color w:val="000000"/>
              </w:rPr>
              <w:t xml:space="preserve"> 4 </w:t>
            </w:r>
            <w:r>
              <w:rPr>
                <w:rFonts w:ascii="Book Antiqua" w:hAnsi="Book Antiqua"/>
                <w:bCs/>
                <w:i/>
                <w:color w:val="000000"/>
              </w:rPr>
              <w:t>vs</w:t>
            </w:r>
            <w:r>
              <w:rPr>
                <w:rFonts w:ascii="Book Antiqua" w:hAnsi="Book Antiqua"/>
                <w:bCs/>
                <w:color w:val="000000"/>
              </w:rPr>
              <w:t xml:space="preserve"> &lt; 4</w:t>
            </w:r>
          </w:p>
        </w:tc>
        <w:tc>
          <w:tcPr>
            <w:tcW w:w="2430" w:type="dxa"/>
            <w:noWrap/>
          </w:tcPr>
          <w:p w14:paraId="6A5E3ABD"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0.77 (0.53-1.12)</w:t>
            </w:r>
          </w:p>
        </w:tc>
        <w:tc>
          <w:tcPr>
            <w:tcW w:w="1620" w:type="dxa"/>
            <w:noWrap/>
          </w:tcPr>
          <w:p w14:paraId="3C005222"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0.202</w:t>
            </w:r>
          </w:p>
        </w:tc>
        <w:tc>
          <w:tcPr>
            <w:tcW w:w="1800" w:type="dxa"/>
            <w:noWrap/>
          </w:tcPr>
          <w:p w14:paraId="735BA449"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4</w:t>
            </w:r>
          </w:p>
        </w:tc>
        <w:tc>
          <w:tcPr>
            <w:tcW w:w="1620" w:type="dxa"/>
            <w:noWrap/>
          </w:tcPr>
          <w:p w14:paraId="1DBA7EBB"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1192</w:t>
            </w:r>
          </w:p>
        </w:tc>
      </w:tr>
      <w:tr w:rsidR="00DC05DB" w14:paraId="5CE0DE09" w14:textId="77777777">
        <w:trPr>
          <w:trHeight w:val="588"/>
        </w:trPr>
        <w:tc>
          <w:tcPr>
            <w:tcW w:w="5580" w:type="dxa"/>
          </w:tcPr>
          <w:p w14:paraId="0E4C1FC0" w14:textId="77777777" w:rsidR="00DC05DB" w:rsidRDefault="00000000">
            <w:pPr>
              <w:snapToGrid w:val="0"/>
              <w:spacing w:line="360" w:lineRule="auto"/>
              <w:jc w:val="both"/>
              <w:rPr>
                <w:rFonts w:ascii="Book Antiqua" w:hAnsi="Book Antiqua"/>
                <w:bCs/>
                <w:color w:val="000000"/>
                <w:lang w:val="de-AT"/>
              </w:rPr>
            </w:pPr>
            <w:r>
              <w:rPr>
                <w:rFonts w:ascii="Book Antiqua" w:hAnsi="Book Antiqua"/>
                <w:bCs/>
                <w:color w:val="000000"/>
                <w:lang w:val="de-AT"/>
              </w:rPr>
              <w:t xml:space="preserve">T </w:t>
            </w:r>
            <w:proofErr w:type="spellStart"/>
            <w:r>
              <w:rPr>
                <w:rFonts w:ascii="Book Antiqua" w:hAnsi="Book Antiqua"/>
                <w:bCs/>
                <w:color w:val="000000"/>
                <w:lang w:val="de-AT"/>
              </w:rPr>
              <w:t>stage</w:t>
            </w:r>
            <w:proofErr w:type="spellEnd"/>
            <w:r>
              <w:rPr>
                <w:rFonts w:ascii="Book Antiqua" w:hAnsi="Book Antiqua"/>
                <w:bCs/>
                <w:color w:val="000000"/>
                <w:lang w:val="de-AT"/>
              </w:rPr>
              <w:t xml:space="preserve">: T1-2 </w:t>
            </w:r>
            <w:proofErr w:type="spellStart"/>
            <w:r>
              <w:rPr>
                <w:rFonts w:ascii="Book Antiqua" w:hAnsi="Book Antiqua"/>
                <w:bCs/>
                <w:i/>
                <w:color w:val="000000"/>
                <w:lang w:val="de-AT"/>
              </w:rPr>
              <w:t>vs</w:t>
            </w:r>
            <w:proofErr w:type="spellEnd"/>
            <w:r>
              <w:rPr>
                <w:rFonts w:ascii="Book Antiqua" w:hAnsi="Book Antiqua"/>
                <w:bCs/>
                <w:color w:val="000000"/>
                <w:lang w:val="de-AT"/>
              </w:rPr>
              <w:t xml:space="preserve"> T3-4</w:t>
            </w:r>
          </w:p>
        </w:tc>
        <w:tc>
          <w:tcPr>
            <w:tcW w:w="2430" w:type="dxa"/>
            <w:noWrap/>
          </w:tcPr>
          <w:p w14:paraId="196AB4E3"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1.39 (1.06-1.83)</w:t>
            </w:r>
          </w:p>
        </w:tc>
        <w:tc>
          <w:tcPr>
            <w:tcW w:w="1620" w:type="dxa"/>
            <w:noWrap/>
          </w:tcPr>
          <w:p w14:paraId="2DAA1B6B"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0.6</w:t>
            </w:r>
          </w:p>
        </w:tc>
        <w:tc>
          <w:tcPr>
            <w:tcW w:w="1800" w:type="dxa"/>
            <w:noWrap/>
          </w:tcPr>
          <w:p w14:paraId="71EA9F20"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3</w:t>
            </w:r>
          </w:p>
        </w:tc>
        <w:tc>
          <w:tcPr>
            <w:tcW w:w="1620" w:type="dxa"/>
            <w:noWrap/>
          </w:tcPr>
          <w:p w14:paraId="50E784DC"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865</w:t>
            </w:r>
          </w:p>
        </w:tc>
      </w:tr>
      <w:tr w:rsidR="00DC05DB" w14:paraId="4706FA55" w14:textId="77777777">
        <w:trPr>
          <w:trHeight w:val="704"/>
        </w:trPr>
        <w:tc>
          <w:tcPr>
            <w:tcW w:w="5580" w:type="dxa"/>
          </w:tcPr>
          <w:p w14:paraId="39B2F19C" w14:textId="77777777" w:rsidR="00DC05DB" w:rsidRDefault="00000000">
            <w:pPr>
              <w:snapToGrid w:val="0"/>
              <w:spacing w:line="360" w:lineRule="auto"/>
              <w:jc w:val="both"/>
              <w:rPr>
                <w:rFonts w:ascii="Book Antiqua" w:hAnsi="Book Antiqua"/>
                <w:bCs/>
                <w:color w:val="000000"/>
                <w:lang w:val="pt-PT"/>
              </w:rPr>
            </w:pPr>
            <w:r>
              <w:rPr>
                <w:rFonts w:ascii="Book Antiqua" w:hAnsi="Book Antiqua"/>
                <w:bCs/>
                <w:color w:val="000000"/>
                <w:lang w:val="pt-PT"/>
              </w:rPr>
              <w:t xml:space="preserve">N </w:t>
            </w:r>
            <w:proofErr w:type="spellStart"/>
            <w:r>
              <w:rPr>
                <w:rFonts w:ascii="Book Antiqua" w:hAnsi="Book Antiqua"/>
                <w:bCs/>
                <w:color w:val="000000"/>
                <w:lang w:val="pt-PT"/>
              </w:rPr>
              <w:t>stage</w:t>
            </w:r>
            <w:proofErr w:type="spellEnd"/>
            <w:r>
              <w:rPr>
                <w:rFonts w:ascii="Book Antiqua" w:hAnsi="Book Antiqua"/>
                <w:bCs/>
                <w:color w:val="000000"/>
                <w:lang w:val="pt-PT"/>
              </w:rPr>
              <w:t xml:space="preserve">: N0-1 </w:t>
            </w:r>
            <w:proofErr w:type="spellStart"/>
            <w:r>
              <w:rPr>
                <w:rFonts w:ascii="Book Antiqua" w:hAnsi="Book Antiqua"/>
                <w:bCs/>
                <w:i/>
                <w:color w:val="000000"/>
                <w:lang w:val="pt-PT"/>
              </w:rPr>
              <w:t>vs</w:t>
            </w:r>
            <w:proofErr w:type="spellEnd"/>
            <w:r>
              <w:rPr>
                <w:rFonts w:ascii="Book Antiqua" w:hAnsi="Book Antiqua"/>
                <w:bCs/>
                <w:color w:val="000000"/>
                <w:lang w:val="pt-PT"/>
              </w:rPr>
              <w:t xml:space="preserve"> N2-3</w:t>
            </w:r>
          </w:p>
        </w:tc>
        <w:tc>
          <w:tcPr>
            <w:tcW w:w="2430" w:type="dxa"/>
            <w:noWrap/>
          </w:tcPr>
          <w:p w14:paraId="20EBCE8E"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1.5 (1.11-2.01)</w:t>
            </w:r>
          </w:p>
        </w:tc>
        <w:tc>
          <w:tcPr>
            <w:tcW w:w="1620" w:type="dxa"/>
            <w:noWrap/>
          </w:tcPr>
          <w:p w14:paraId="115FF21C"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0.803</w:t>
            </w:r>
          </w:p>
        </w:tc>
        <w:tc>
          <w:tcPr>
            <w:tcW w:w="1800" w:type="dxa"/>
            <w:noWrap/>
          </w:tcPr>
          <w:p w14:paraId="28D7CB74"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3</w:t>
            </w:r>
          </w:p>
        </w:tc>
        <w:tc>
          <w:tcPr>
            <w:tcW w:w="1620" w:type="dxa"/>
            <w:noWrap/>
          </w:tcPr>
          <w:p w14:paraId="79A4EC37"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865</w:t>
            </w:r>
          </w:p>
        </w:tc>
      </w:tr>
      <w:tr w:rsidR="00DC05DB" w14:paraId="73C26A0C" w14:textId="77777777">
        <w:trPr>
          <w:trHeight w:val="557"/>
        </w:trPr>
        <w:tc>
          <w:tcPr>
            <w:tcW w:w="5580" w:type="dxa"/>
          </w:tcPr>
          <w:p w14:paraId="71BE6E8F" w14:textId="77777777" w:rsidR="00DC05DB" w:rsidRDefault="00000000">
            <w:pPr>
              <w:snapToGrid w:val="0"/>
              <w:spacing w:line="360" w:lineRule="auto"/>
              <w:jc w:val="both"/>
              <w:rPr>
                <w:rFonts w:ascii="Book Antiqua" w:hAnsi="Book Antiqua"/>
                <w:bCs/>
                <w:color w:val="000000"/>
              </w:rPr>
            </w:pPr>
            <w:r>
              <w:rPr>
                <w:rFonts w:ascii="Book Antiqua" w:hAnsi="Book Antiqua"/>
                <w:bCs/>
                <w:color w:val="000000"/>
              </w:rPr>
              <w:t xml:space="preserve">TNM Stage: III/IV </w:t>
            </w:r>
            <w:r>
              <w:rPr>
                <w:rFonts w:ascii="Book Antiqua" w:hAnsi="Book Antiqua"/>
                <w:bCs/>
                <w:i/>
                <w:color w:val="000000"/>
              </w:rPr>
              <w:t>vs</w:t>
            </w:r>
            <w:r>
              <w:rPr>
                <w:rFonts w:ascii="Book Antiqua" w:hAnsi="Book Antiqua"/>
                <w:bCs/>
                <w:color w:val="000000"/>
              </w:rPr>
              <w:t xml:space="preserve"> I/II</w:t>
            </w:r>
          </w:p>
        </w:tc>
        <w:tc>
          <w:tcPr>
            <w:tcW w:w="2430" w:type="dxa"/>
            <w:noWrap/>
          </w:tcPr>
          <w:p w14:paraId="31A4626E"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1.21 (0.63-2.33)</w:t>
            </w:r>
          </w:p>
        </w:tc>
        <w:tc>
          <w:tcPr>
            <w:tcW w:w="1620" w:type="dxa"/>
            <w:noWrap/>
          </w:tcPr>
          <w:p w14:paraId="0A60E0D1"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 xml:space="preserve"> &lt; 0.001</w:t>
            </w:r>
          </w:p>
        </w:tc>
        <w:tc>
          <w:tcPr>
            <w:tcW w:w="1800" w:type="dxa"/>
            <w:noWrap/>
          </w:tcPr>
          <w:p w14:paraId="419D7703"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7</w:t>
            </w:r>
          </w:p>
        </w:tc>
        <w:tc>
          <w:tcPr>
            <w:tcW w:w="1620" w:type="dxa"/>
            <w:noWrap/>
          </w:tcPr>
          <w:p w14:paraId="50EB73B3"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1866</w:t>
            </w:r>
          </w:p>
        </w:tc>
      </w:tr>
      <w:tr w:rsidR="00DC05DB" w14:paraId="1D4D3C10" w14:textId="77777777">
        <w:trPr>
          <w:trHeight w:val="707"/>
        </w:trPr>
        <w:tc>
          <w:tcPr>
            <w:tcW w:w="5580" w:type="dxa"/>
          </w:tcPr>
          <w:p w14:paraId="046B4E44" w14:textId="77777777" w:rsidR="00DC05DB" w:rsidRDefault="00000000">
            <w:pPr>
              <w:snapToGrid w:val="0"/>
              <w:spacing w:line="360" w:lineRule="auto"/>
              <w:jc w:val="both"/>
              <w:rPr>
                <w:rFonts w:ascii="Book Antiqua" w:hAnsi="Book Antiqua"/>
                <w:bCs/>
                <w:color w:val="000000"/>
                <w:lang w:val="de-AT"/>
              </w:rPr>
            </w:pPr>
            <w:r>
              <w:rPr>
                <w:rFonts w:ascii="Book Antiqua" w:hAnsi="Book Antiqua"/>
                <w:bCs/>
                <w:color w:val="000000"/>
                <w:lang w:val="de-AT"/>
              </w:rPr>
              <w:t xml:space="preserve">Grade: G1 </w:t>
            </w:r>
            <w:proofErr w:type="spellStart"/>
            <w:r>
              <w:rPr>
                <w:rFonts w:ascii="Book Antiqua" w:hAnsi="Book Antiqua"/>
                <w:bCs/>
                <w:i/>
                <w:color w:val="000000"/>
                <w:lang w:val="de-AT"/>
              </w:rPr>
              <w:t>vs</w:t>
            </w:r>
            <w:proofErr w:type="spellEnd"/>
            <w:r>
              <w:rPr>
                <w:rFonts w:ascii="Book Antiqua" w:hAnsi="Book Antiqua"/>
                <w:bCs/>
                <w:color w:val="000000"/>
                <w:lang w:val="de-AT"/>
              </w:rPr>
              <w:t xml:space="preserve"> G2 + G3</w:t>
            </w:r>
          </w:p>
        </w:tc>
        <w:tc>
          <w:tcPr>
            <w:tcW w:w="2430" w:type="dxa"/>
            <w:noWrap/>
          </w:tcPr>
          <w:p w14:paraId="23A63C94"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0.7 (0.40-1.22)</w:t>
            </w:r>
          </w:p>
        </w:tc>
        <w:tc>
          <w:tcPr>
            <w:tcW w:w="1620" w:type="dxa"/>
            <w:noWrap/>
          </w:tcPr>
          <w:p w14:paraId="3B6EC43F"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0.427</w:t>
            </w:r>
          </w:p>
        </w:tc>
        <w:tc>
          <w:tcPr>
            <w:tcW w:w="1800" w:type="dxa"/>
            <w:noWrap/>
          </w:tcPr>
          <w:p w14:paraId="236B6D7F"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3</w:t>
            </w:r>
          </w:p>
        </w:tc>
        <w:tc>
          <w:tcPr>
            <w:tcW w:w="1620" w:type="dxa"/>
            <w:noWrap/>
          </w:tcPr>
          <w:p w14:paraId="6B5454FC" w14:textId="77777777" w:rsidR="00DC05DB" w:rsidRDefault="00000000">
            <w:pPr>
              <w:snapToGrid w:val="0"/>
              <w:spacing w:line="360" w:lineRule="auto"/>
              <w:jc w:val="both"/>
              <w:rPr>
                <w:rFonts w:ascii="Book Antiqua" w:hAnsi="Book Antiqua"/>
                <w:color w:val="000000"/>
              </w:rPr>
            </w:pPr>
            <w:r>
              <w:rPr>
                <w:rFonts w:ascii="Book Antiqua" w:hAnsi="Book Antiqua"/>
                <w:color w:val="000000"/>
              </w:rPr>
              <w:t>323</w:t>
            </w:r>
          </w:p>
        </w:tc>
      </w:tr>
    </w:tbl>
    <w:p w14:paraId="3705F6AC" w14:textId="77777777" w:rsidR="00DC05DB"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CI: Confidence interval; OR: Odds ratio; TNM: Tumor-node-metastasis.</w:t>
      </w:r>
    </w:p>
    <w:sectPr w:rsidR="00DC05DB">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 w:date="2023-10-23T22:41:00Z" w:initials="">
    <w:p w14:paraId="7E435187" w14:textId="77777777" w:rsidR="00DC05DB" w:rsidRDefault="00000000">
      <w:pPr>
        <w:pStyle w:val="CommentText"/>
      </w:pPr>
      <w:r>
        <w:rPr>
          <w:rFonts w:hint="eastAsia"/>
        </w:rPr>
        <w:t>Dear Editor,</w:t>
      </w:r>
      <w:r>
        <w:rPr>
          <w:rFonts w:hint="eastAsia"/>
          <w:lang w:eastAsia="zh-CN"/>
        </w:rPr>
        <w:t xml:space="preserve"> </w:t>
      </w:r>
      <w:r>
        <w:rPr>
          <w:rFonts w:hint="eastAsia"/>
        </w:rPr>
        <w:t>In order to maintain consistency between the article's title and its content, we have chosen not to delete "tract". We appreciate your thorough review.</w:t>
      </w:r>
    </w:p>
  </w:comment>
  <w:comment w:id="2" w:author="J" w:date="2023-10-23T22:49:00Z" w:initials="">
    <w:p w14:paraId="5BC218ED" w14:textId="77777777" w:rsidR="00DC05DB" w:rsidRDefault="00DC05DB">
      <w:pPr>
        <w:pStyle w:val="CommentText"/>
      </w:pPr>
    </w:p>
    <w:p w14:paraId="49AE3A77" w14:textId="77777777" w:rsidR="00DC05DB" w:rsidRDefault="00000000">
      <w:pPr>
        <w:pStyle w:val="CommentText"/>
      </w:pPr>
      <w:r>
        <w:rPr>
          <w:rFonts w:hint="eastAsia"/>
        </w:rPr>
        <w:t>Dear Editor,</w:t>
      </w:r>
      <w:r>
        <w:rPr>
          <w:rFonts w:hint="eastAsia"/>
          <w:lang w:eastAsia="zh-CN"/>
        </w:rPr>
        <w:t xml:space="preserve"> </w:t>
      </w:r>
      <w:r>
        <w:rPr>
          <w:rFonts w:hint="eastAsia"/>
        </w:rPr>
        <w:t>The terms "T stage", "N stage", and "TNM stage" are standard notations and do not require further clarification.</w:t>
      </w:r>
      <w:r>
        <w:rPr>
          <w:rFonts w:hint="eastAsia"/>
          <w:lang w:eastAsia="zh-CN"/>
        </w:rPr>
        <w:t xml:space="preserve"> </w:t>
      </w:r>
      <w:r>
        <w:rPr>
          <w:rFonts w:hint="eastAsia"/>
        </w:rPr>
        <w:t>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435187" w15:done="0"/>
  <w15:commentEx w15:paraId="49AE3A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435187" w16cid:durableId="0D18AAE2"/>
  <w16cid:commentId w16cid:paraId="49AE3A77" w16cid:durableId="3C6D34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1C01" w14:textId="77777777" w:rsidR="00B15D56" w:rsidRDefault="00B15D56">
      <w:r>
        <w:separator/>
      </w:r>
    </w:p>
  </w:endnote>
  <w:endnote w:type="continuationSeparator" w:id="0">
    <w:p w14:paraId="1F62C115" w14:textId="77777777" w:rsidR="00B15D56" w:rsidRDefault="00B1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82559275"/>
    </w:sdtPr>
    <w:sdtContent>
      <w:sdt>
        <w:sdtPr>
          <w:rPr>
            <w:rFonts w:ascii="Book Antiqua" w:hAnsi="Book Antiqua"/>
            <w:sz w:val="24"/>
            <w:szCs w:val="24"/>
          </w:rPr>
          <w:id w:val="-1769616900"/>
        </w:sdtPr>
        <w:sdtContent>
          <w:p w14:paraId="075C3BD1" w14:textId="77777777" w:rsidR="00DC05DB"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786F657D" w14:textId="77777777" w:rsidR="00DC05DB" w:rsidRDefault="00DC05DB">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126D" w14:textId="77777777" w:rsidR="00B15D56" w:rsidRDefault="00B15D56">
      <w:r>
        <w:separator/>
      </w:r>
    </w:p>
  </w:footnote>
  <w:footnote w:type="continuationSeparator" w:id="0">
    <w:p w14:paraId="415FC853" w14:textId="77777777" w:rsidR="00B15D56" w:rsidRDefault="00B15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RhMTI4YzFiZmRhMWU2NTBlZWFmYTgwNzk4YWJmMTMifQ=="/>
  </w:docVars>
  <w:rsids>
    <w:rsidRoot w:val="00A77B3E"/>
    <w:rsid w:val="0001582D"/>
    <w:rsid w:val="00020B86"/>
    <w:rsid w:val="00056157"/>
    <w:rsid w:val="00080D64"/>
    <w:rsid w:val="00083A78"/>
    <w:rsid w:val="000921D8"/>
    <w:rsid w:val="000A4EAB"/>
    <w:rsid w:val="00100DA5"/>
    <w:rsid w:val="00104853"/>
    <w:rsid w:val="00106E12"/>
    <w:rsid w:val="00111648"/>
    <w:rsid w:val="001249B7"/>
    <w:rsid w:val="00130839"/>
    <w:rsid w:val="0015574E"/>
    <w:rsid w:val="00173850"/>
    <w:rsid w:val="00183227"/>
    <w:rsid w:val="001B1076"/>
    <w:rsid w:val="001B4DA8"/>
    <w:rsid w:val="001C51EA"/>
    <w:rsid w:val="001D3DC6"/>
    <w:rsid w:val="00201B9C"/>
    <w:rsid w:val="0022054F"/>
    <w:rsid w:val="00224107"/>
    <w:rsid w:val="0023730F"/>
    <w:rsid w:val="0024264F"/>
    <w:rsid w:val="0026216A"/>
    <w:rsid w:val="00272263"/>
    <w:rsid w:val="00276D3C"/>
    <w:rsid w:val="00285118"/>
    <w:rsid w:val="00295235"/>
    <w:rsid w:val="002B557F"/>
    <w:rsid w:val="002C089E"/>
    <w:rsid w:val="002E2B7F"/>
    <w:rsid w:val="00300031"/>
    <w:rsid w:val="00311498"/>
    <w:rsid w:val="00334727"/>
    <w:rsid w:val="003622BC"/>
    <w:rsid w:val="00364372"/>
    <w:rsid w:val="00412B33"/>
    <w:rsid w:val="00414195"/>
    <w:rsid w:val="00415CE4"/>
    <w:rsid w:val="00431F48"/>
    <w:rsid w:val="004367D6"/>
    <w:rsid w:val="00442CA5"/>
    <w:rsid w:val="004827C3"/>
    <w:rsid w:val="00520816"/>
    <w:rsid w:val="0052740A"/>
    <w:rsid w:val="0052791F"/>
    <w:rsid w:val="00544BFC"/>
    <w:rsid w:val="00570F68"/>
    <w:rsid w:val="0057494A"/>
    <w:rsid w:val="0058175F"/>
    <w:rsid w:val="0059004E"/>
    <w:rsid w:val="005B2DFF"/>
    <w:rsid w:val="005C602E"/>
    <w:rsid w:val="005D6A0D"/>
    <w:rsid w:val="005E1CAB"/>
    <w:rsid w:val="005F1E70"/>
    <w:rsid w:val="00601E66"/>
    <w:rsid w:val="00612705"/>
    <w:rsid w:val="00661FDE"/>
    <w:rsid w:val="0066769B"/>
    <w:rsid w:val="00691418"/>
    <w:rsid w:val="006932A3"/>
    <w:rsid w:val="00696274"/>
    <w:rsid w:val="0069677A"/>
    <w:rsid w:val="006B19BF"/>
    <w:rsid w:val="006C2A21"/>
    <w:rsid w:val="006F39B1"/>
    <w:rsid w:val="00715C6B"/>
    <w:rsid w:val="007220A5"/>
    <w:rsid w:val="00747200"/>
    <w:rsid w:val="00760298"/>
    <w:rsid w:val="007A4CDF"/>
    <w:rsid w:val="007A5CF6"/>
    <w:rsid w:val="007C3B0F"/>
    <w:rsid w:val="007D77DD"/>
    <w:rsid w:val="007E046B"/>
    <w:rsid w:val="007E238C"/>
    <w:rsid w:val="007E51DF"/>
    <w:rsid w:val="007E6C80"/>
    <w:rsid w:val="007F74A6"/>
    <w:rsid w:val="0082016C"/>
    <w:rsid w:val="00877E2E"/>
    <w:rsid w:val="00886649"/>
    <w:rsid w:val="008C052E"/>
    <w:rsid w:val="0091661F"/>
    <w:rsid w:val="00925C0C"/>
    <w:rsid w:val="00945E51"/>
    <w:rsid w:val="00950AAF"/>
    <w:rsid w:val="009747DB"/>
    <w:rsid w:val="009E5490"/>
    <w:rsid w:val="009F527B"/>
    <w:rsid w:val="00A15E85"/>
    <w:rsid w:val="00A263DC"/>
    <w:rsid w:val="00A27D36"/>
    <w:rsid w:val="00A32F33"/>
    <w:rsid w:val="00A778D2"/>
    <w:rsid w:val="00A77B3E"/>
    <w:rsid w:val="00A82A11"/>
    <w:rsid w:val="00A83F34"/>
    <w:rsid w:val="00A8608C"/>
    <w:rsid w:val="00A93723"/>
    <w:rsid w:val="00AA4643"/>
    <w:rsid w:val="00AB3E70"/>
    <w:rsid w:val="00AE3C44"/>
    <w:rsid w:val="00AF3061"/>
    <w:rsid w:val="00AF3873"/>
    <w:rsid w:val="00AF3AE5"/>
    <w:rsid w:val="00B051C7"/>
    <w:rsid w:val="00B15D56"/>
    <w:rsid w:val="00B16DC7"/>
    <w:rsid w:val="00B274DD"/>
    <w:rsid w:val="00B36948"/>
    <w:rsid w:val="00BB30A0"/>
    <w:rsid w:val="00BC0B14"/>
    <w:rsid w:val="00BD6448"/>
    <w:rsid w:val="00BE38BF"/>
    <w:rsid w:val="00C02D1F"/>
    <w:rsid w:val="00C22977"/>
    <w:rsid w:val="00C90C08"/>
    <w:rsid w:val="00CA11FF"/>
    <w:rsid w:val="00CA2A55"/>
    <w:rsid w:val="00CB324F"/>
    <w:rsid w:val="00CE7032"/>
    <w:rsid w:val="00CF7CE3"/>
    <w:rsid w:val="00D121F1"/>
    <w:rsid w:val="00D40F70"/>
    <w:rsid w:val="00D741B0"/>
    <w:rsid w:val="00DC05DB"/>
    <w:rsid w:val="00DD24E4"/>
    <w:rsid w:val="00DE0303"/>
    <w:rsid w:val="00DE1875"/>
    <w:rsid w:val="00DF47BF"/>
    <w:rsid w:val="00E262B9"/>
    <w:rsid w:val="00E83541"/>
    <w:rsid w:val="00E86EBF"/>
    <w:rsid w:val="00EA5C04"/>
    <w:rsid w:val="00ED4F54"/>
    <w:rsid w:val="00F061FD"/>
    <w:rsid w:val="00F10278"/>
    <w:rsid w:val="00F2705B"/>
    <w:rsid w:val="00F37F50"/>
    <w:rsid w:val="00F46BE7"/>
    <w:rsid w:val="00F6457C"/>
    <w:rsid w:val="00F81A61"/>
    <w:rsid w:val="00F83FA8"/>
    <w:rsid w:val="00F87663"/>
    <w:rsid w:val="00FD0B81"/>
    <w:rsid w:val="00FE1795"/>
    <w:rsid w:val="01276F32"/>
    <w:rsid w:val="05EF03F3"/>
    <w:rsid w:val="08EF6610"/>
    <w:rsid w:val="23EA7E14"/>
    <w:rsid w:val="24015121"/>
    <w:rsid w:val="24B959FC"/>
    <w:rsid w:val="29CE03E2"/>
    <w:rsid w:val="2CC43190"/>
    <w:rsid w:val="31E83DC4"/>
    <w:rsid w:val="33823753"/>
    <w:rsid w:val="33D87354"/>
    <w:rsid w:val="3422536C"/>
    <w:rsid w:val="38652EFD"/>
    <w:rsid w:val="400D3374"/>
    <w:rsid w:val="446F57B3"/>
    <w:rsid w:val="486F44A0"/>
    <w:rsid w:val="4CAD5597"/>
    <w:rsid w:val="4D2B3854"/>
    <w:rsid w:val="51376C36"/>
    <w:rsid w:val="550E3519"/>
    <w:rsid w:val="56997B00"/>
    <w:rsid w:val="56CD7382"/>
    <w:rsid w:val="603F1282"/>
    <w:rsid w:val="60F72618"/>
    <w:rsid w:val="690D143F"/>
    <w:rsid w:val="7D080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786CE13-51C9-E947-8F41-A4DD3490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uiPriority w:val="99"/>
    <w:qFormat/>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qFormat/>
    <w:rPr>
      <w:sz w:val="24"/>
      <w:szCs w:val="24"/>
    </w:rPr>
  </w:style>
  <w:style w:type="character" w:customStyle="1" w:styleId="CommentSubjectChar">
    <w:name w:val="Comment Subject Char"/>
    <w:basedOn w:val="CommentTextChar"/>
    <w:link w:val="CommentSubject"/>
    <w:qFormat/>
    <w:rPr>
      <w:b/>
      <w:bCs/>
      <w:sz w:val="24"/>
      <w:szCs w:val="24"/>
    </w:rPr>
  </w:style>
  <w:style w:type="paragraph" w:customStyle="1" w:styleId="1">
    <w:name w:val="修订1"/>
    <w:hidden/>
    <w:uiPriority w:val="99"/>
    <w:semiHidden/>
    <w:qFormat/>
    <w:rPr>
      <w:sz w:val="24"/>
      <w:szCs w:val="24"/>
    </w:rPr>
  </w:style>
  <w:style w:type="paragraph" w:customStyle="1" w:styleId="2">
    <w:name w:val="修订2"/>
    <w:hidden/>
    <w:uiPriority w:val="99"/>
    <w:unhideWhenUsed/>
    <w:qFormat/>
    <w:rPr>
      <w:sz w:val="24"/>
      <w:szCs w:val="24"/>
    </w:rPr>
  </w:style>
  <w:style w:type="paragraph" w:customStyle="1" w:styleId="Revision1">
    <w:name w:val="Revision1"/>
    <w:hidden/>
    <w:uiPriority w:val="99"/>
    <w:unhideWhenUsed/>
    <w:qFormat/>
    <w:rPr>
      <w:sz w:val="24"/>
      <w:szCs w:val="24"/>
    </w:rPr>
  </w:style>
  <w:style w:type="paragraph" w:styleId="Revision">
    <w:name w:val="Revision"/>
    <w:hidden/>
    <w:uiPriority w:val="99"/>
    <w:unhideWhenUsed/>
    <w:rsid w:val="00020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7108</Words>
  <Characters>40516</Characters>
  <Application>Microsoft Office Word</Application>
  <DocSecurity>0</DocSecurity>
  <Lines>337</Lines>
  <Paragraphs>95</Paragraphs>
  <ScaleCrop>false</ScaleCrop>
  <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Donna Fox</cp:lastModifiedBy>
  <cp:revision>2</cp:revision>
  <dcterms:created xsi:type="dcterms:W3CDTF">2023-10-23T21:11:00Z</dcterms:created>
  <dcterms:modified xsi:type="dcterms:W3CDTF">2023-10-23T21:11:00Z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DA81A72569DF48269C4EEDEC075255E7_12</vt:lpwstr>
  </property>
</Properties>
</file>