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48BC1"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Name of Journal: </w:t>
      </w:r>
      <w:r w:rsidRPr="00E1613F">
        <w:rPr>
          <w:rFonts w:ascii="Book Antiqua" w:eastAsia="Book Antiqua" w:hAnsi="Book Antiqua" w:cs="Book Antiqua"/>
          <w:i/>
          <w:color w:val="000000" w:themeColor="text1"/>
        </w:rPr>
        <w:t>World Journal of Gastrointestinal Oncology</w:t>
      </w:r>
    </w:p>
    <w:p w14:paraId="5BF243AD"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Manuscript NO: </w:t>
      </w:r>
      <w:r w:rsidRPr="00E1613F">
        <w:rPr>
          <w:rFonts w:ascii="Book Antiqua" w:eastAsia="Book Antiqua" w:hAnsi="Book Antiqua" w:cs="Book Antiqua"/>
          <w:color w:val="000000" w:themeColor="text1"/>
        </w:rPr>
        <w:t>87382</w:t>
      </w:r>
    </w:p>
    <w:p w14:paraId="781B3882"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Manuscript Type: </w:t>
      </w:r>
      <w:r w:rsidRPr="00E1613F">
        <w:rPr>
          <w:rFonts w:ascii="Book Antiqua" w:eastAsia="Book Antiqua" w:hAnsi="Book Antiqua" w:cs="Book Antiqua"/>
          <w:color w:val="000000" w:themeColor="text1"/>
        </w:rPr>
        <w:t>META-ANALYSIS</w:t>
      </w:r>
    </w:p>
    <w:p w14:paraId="4753CC50" w14:textId="77777777" w:rsidR="00F614B0" w:rsidRPr="00E1613F" w:rsidRDefault="00F614B0">
      <w:pPr>
        <w:spacing w:line="360" w:lineRule="auto"/>
        <w:jc w:val="both"/>
        <w:rPr>
          <w:color w:val="000000" w:themeColor="text1"/>
        </w:rPr>
      </w:pPr>
    </w:p>
    <w:p w14:paraId="74D1E0EA" w14:textId="77777777" w:rsidR="00F614B0" w:rsidRPr="00E1613F" w:rsidRDefault="00000000">
      <w:pPr>
        <w:spacing w:line="360" w:lineRule="auto"/>
        <w:jc w:val="both"/>
        <w:rPr>
          <w:color w:val="000000" w:themeColor="text1"/>
        </w:rPr>
      </w:pPr>
      <w:r w:rsidRPr="00E1613F">
        <w:rPr>
          <w:rFonts w:ascii="Book Antiqua" w:eastAsia="宋体" w:hAnsi="Book Antiqua" w:cs="Book Antiqua"/>
          <w:b/>
          <w:bCs/>
          <w:color w:val="000000" w:themeColor="text1"/>
          <w:lang w:eastAsia="zh-CN"/>
        </w:rPr>
        <w:t>P</w:t>
      </w:r>
      <w:r w:rsidRPr="00E1613F">
        <w:rPr>
          <w:rFonts w:ascii="Book Antiqua" w:eastAsia="Book Antiqua" w:hAnsi="Book Antiqua" w:cs="Book Antiqua"/>
          <w:b/>
          <w:bCs/>
          <w:color w:val="000000" w:themeColor="text1"/>
        </w:rPr>
        <w:t xml:space="preserve">rognostic </w:t>
      </w:r>
      <w:r w:rsidRPr="00E1613F">
        <w:rPr>
          <w:rFonts w:ascii="Book Antiqua" w:eastAsia="宋体" w:hAnsi="Book Antiqua" w:cs="Book Antiqua"/>
          <w:b/>
          <w:bCs/>
          <w:color w:val="000000" w:themeColor="text1"/>
          <w:lang w:eastAsia="zh-CN"/>
        </w:rPr>
        <w:t>value</w:t>
      </w:r>
      <w:r w:rsidRPr="00E1613F">
        <w:rPr>
          <w:rFonts w:ascii="Book Antiqua" w:eastAsia="Book Antiqua" w:hAnsi="Book Antiqua" w:cs="Book Antiqua"/>
          <w:b/>
          <w:bCs/>
          <w:color w:val="000000" w:themeColor="text1"/>
        </w:rPr>
        <w:t xml:space="preserve"> of T cell immunoglobulin and mucin-domain containing-3 </w:t>
      </w:r>
      <w:r w:rsidRPr="00E1613F">
        <w:rPr>
          <w:rFonts w:ascii="Book Antiqua" w:eastAsia="宋体" w:hAnsi="Book Antiqua" w:cs="Book Antiqua"/>
          <w:b/>
          <w:bCs/>
          <w:color w:val="000000" w:themeColor="text1"/>
          <w:lang w:eastAsia="zh-CN"/>
        </w:rPr>
        <w:t xml:space="preserve">expression </w:t>
      </w:r>
      <w:r w:rsidRPr="00E1613F">
        <w:rPr>
          <w:rFonts w:ascii="Book Antiqua" w:eastAsia="Book Antiqua" w:hAnsi="Book Antiqua" w:cs="Book Antiqua"/>
          <w:b/>
          <w:bCs/>
          <w:color w:val="000000" w:themeColor="text1"/>
        </w:rPr>
        <w:t>in upper gastrointestinal tract tumors: A meta-analysis</w:t>
      </w:r>
    </w:p>
    <w:p w14:paraId="32AE78A1" w14:textId="77777777" w:rsidR="00F614B0" w:rsidRPr="00E1613F" w:rsidRDefault="00F614B0">
      <w:pPr>
        <w:spacing w:line="360" w:lineRule="auto"/>
        <w:jc w:val="both"/>
        <w:rPr>
          <w:color w:val="000000" w:themeColor="text1"/>
        </w:rPr>
      </w:pPr>
    </w:p>
    <w:p w14:paraId="6A56897C"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Yan JJ </w:t>
      </w:r>
      <w:r w:rsidRPr="00E1613F">
        <w:rPr>
          <w:rFonts w:ascii="Book Antiqua" w:eastAsia="Book Antiqua" w:hAnsi="Book Antiqua" w:cs="Book Antiqua"/>
          <w:i/>
          <w:iCs/>
          <w:color w:val="000000" w:themeColor="text1"/>
        </w:rPr>
        <w:t>et al</w:t>
      </w:r>
      <w:r w:rsidRPr="00E1613F">
        <w:rPr>
          <w:rFonts w:ascii="Book Antiqua" w:eastAsia="Book Antiqua" w:hAnsi="Book Antiqua" w:cs="Book Antiqua"/>
          <w:color w:val="000000" w:themeColor="text1"/>
        </w:rPr>
        <w:t>. TIM3 prognosis in upper gastrointestinal tumors</w:t>
      </w:r>
    </w:p>
    <w:p w14:paraId="14E54173" w14:textId="77777777" w:rsidR="00F614B0" w:rsidRPr="00E1613F" w:rsidRDefault="00F614B0">
      <w:pPr>
        <w:spacing w:line="360" w:lineRule="auto"/>
        <w:jc w:val="both"/>
        <w:rPr>
          <w:color w:val="000000" w:themeColor="text1"/>
        </w:rPr>
      </w:pPr>
    </w:p>
    <w:p w14:paraId="3A0CA5B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Jing-Jing Yan, Bing-Bing Liu, Yan Yang, Meng-Ru Liu, Han Wang, Zhen-Quan Deng, </w:t>
      </w:r>
      <w:proofErr w:type="spellStart"/>
      <w:r w:rsidRPr="00E1613F">
        <w:rPr>
          <w:rFonts w:ascii="Book Antiqua" w:eastAsia="Book Antiqua" w:hAnsi="Book Antiqua" w:cs="Book Antiqua"/>
          <w:color w:val="000000" w:themeColor="text1"/>
        </w:rPr>
        <w:t>Zhi</w:t>
      </w:r>
      <w:proofErr w:type="spellEnd"/>
      <w:r w:rsidRPr="00E1613F">
        <w:rPr>
          <w:rFonts w:ascii="Book Antiqua" w:eastAsia="Book Antiqua" w:hAnsi="Book Antiqua" w:cs="Book Antiqua"/>
          <w:color w:val="000000" w:themeColor="text1"/>
        </w:rPr>
        <w:t>-Wei Zhang</w:t>
      </w:r>
    </w:p>
    <w:p w14:paraId="123EBF51" w14:textId="77777777" w:rsidR="00F614B0" w:rsidRPr="00E1613F" w:rsidRDefault="00F614B0">
      <w:pPr>
        <w:spacing w:line="360" w:lineRule="auto"/>
        <w:jc w:val="both"/>
        <w:rPr>
          <w:color w:val="000000" w:themeColor="text1"/>
        </w:rPr>
      </w:pPr>
    </w:p>
    <w:p w14:paraId="0C3E4BBD"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Jing-Jing Yan, Bing-Bing Liu, Yan Yang, Meng-Ru Liu, Han Wang, </w:t>
      </w:r>
      <w:r w:rsidRPr="00E1613F">
        <w:rPr>
          <w:rFonts w:ascii="Book Antiqua" w:eastAsia="Book Antiqua" w:hAnsi="Book Antiqua" w:cs="Book Antiqua"/>
          <w:color w:val="000000" w:themeColor="text1"/>
        </w:rPr>
        <w:t xml:space="preserve">College of Clinical Medicine, Hebei University of Engineering, Handan 056000, </w:t>
      </w:r>
      <w:bookmarkStart w:id="0" w:name="OLE_LINK2"/>
      <w:r w:rsidRPr="00E1613F">
        <w:rPr>
          <w:rFonts w:ascii="Book Antiqua" w:eastAsia="Book Antiqua" w:hAnsi="Book Antiqua" w:cs="Book Antiqua"/>
          <w:color w:val="000000" w:themeColor="text1"/>
        </w:rPr>
        <w:t>Hebei Province</w:t>
      </w:r>
      <w:bookmarkEnd w:id="0"/>
      <w:r w:rsidRPr="00E1613F">
        <w:rPr>
          <w:rFonts w:ascii="Book Antiqua" w:eastAsia="Book Antiqua" w:hAnsi="Book Antiqua" w:cs="Book Antiqua"/>
          <w:color w:val="000000" w:themeColor="text1"/>
        </w:rPr>
        <w:t>, China</w:t>
      </w:r>
    </w:p>
    <w:p w14:paraId="4CEC45CF" w14:textId="77777777" w:rsidR="00F614B0" w:rsidRPr="00E1613F" w:rsidRDefault="00F614B0">
      <w:pPr>
        <w:spacing w:line="360" w:lineRule="auto"/>
        <w:jc w:val="both"/>
        <w:rPr>
          <w:color w:val="000000" w:themeColor="text1"/>
        </w:rPr>
      </w:pPr>
    </w:p>
    <w:p w14:paraId="1F3F003A"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Zhen-Quan Deng, </w:t>
      </w:r>
      <w:r w:rsidRPr="00E1613F">
        <w:rPr>
          <w:rFonts w:ascii="Book Antiqua" w:eastAsia="Book Antiqua" w:hAnsi="Book Antiqua" w:cs="Book Antiqua"/>
          <w:color w:val="000000" w:themeColor="text1"/>
        </w:rPr>
        <w:t>Department of Oncology, Handan First Hospital, Handan 056002, Hebei Province, China</w:t>
      </w:r>
    </w:p>
    <w:p w14:paraId="4EF8655F" w14:textId="77777777" w:rsidR="00F614B0" w:rsidRPr="00E1613F" w:rsidRDefault="00F614B0">
      <w:pPr>
        <w:spacing w:line="360" w:lineRule="auto"/>
        <w:jc w:val="both"/>
        <w:rPr>
          <w:color w:val="000000" w:themeColor="text1"/>
        </w:rPr>
      </w:pPr>
    </w:p>
    <w:p w14:paraId="2A55BF1C" w14:textId="77777777" w:rsidR="00F614B0" w:rsidRPr="00E1613F" w:rsidRDefault="00000000">
      <w:pPr>
        <w:spacing w:line="360" w:lineRule="auto"/>
        <w:jc w:val="both"/>
        <w:rPr>
          <w:color w:val="000000" w:themeColor="text1"/>
        </w:rPr>
      </w:pPr>
      <w:proofErr w:type="spellStart"/>
      <w:r w:rsidRPr="00E1613F">
        <w:rPr>
          <w:rFonts w:ascii="Book Antiqua" w:eastAsia="Book Antiqua" w:hAnsi="Book Antiqua" w:cs="Book Antiqua"/>
          <w:b/>
          <w:bCs/>
          <w:color w:val="000000" w:themeColor="text1"/>
        </w:rPr>
        <w:t>Zhi</w:t>
      </w:r>
      <w:proofErr w:type="spellEnd"/>
      <w:r w:rsidRPr="00E1613F">
        <w:rPr>
          <w:rFonts w:ascii="Book Antiqua" w:eastAsia="Book Antiqua" w:hAnsi="Book Antiqua" w:cs="Book Antiqua"/>
          <w:b/>
          <w:bCs/>
          <w:color w:val="000000" w:themeColor="text1"/>
        </w:rPr>
        <w:t xml:space="preserve">-Wei Zhang, </w:t>
      </w:r>
      <w:r w:rsidRPr="00E1613F">
        <w:rPr>
          <w:rFonts w:ascii="Book Antiqua" w:eastAsia="Book Antiqua" w:hAnsi="Book Antiqua" w:cs="Book Antiqua"/>
          <w:color w:val="000000" w:themeColor="text1"/>
        </w:rPr>
        <w:t>Department of Oncology, Affiliated Hospital of Hebei University of Engineering, Handan 056000, Hebei Province, China</w:t>
      </w:r>
    </w:p>
    <w:p w14:paraId="36916798" w14:textId="77777777" w:rsidR="00F614B0" w:rsidRPr="00E1613F" w:rsidRDefault="00F614B0">
      <w:pPr>
        <w:spacing w:line="360" w:lineRule="auto"/>
        <w:jc w:val="both"/>
        <w:rPr>
          <w:rFonts w:ascii="Book Antiqua" w:eastAsia="Book Antiqua" w:hAnsi="Book Antiqua" w:cs="Book Antiqua"/>
          <w:b/>
          <w:bCs/>
          <w:color w:val="000000" w:themeColor="text1"/>
        </w:rPr>
      </w:pPr>
    </w:p>
    <w:p w14:paraId="03400492"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Author contributions: </w:t>
      </w:r>
      <w:r w:rsidRPr="00E1613F">
        <w:rPr>
          <w:rFonts w:ascii="Book Antiqua" w:eastAsia="Book Antiqua" w:hAnsi="Book Antiqua" w:cs="Book Antiqua"/>
          <w:color w:val="000000" w:themeColor="text1"/>
        </w:rPr>
        <w:t>Zhang ZW conceptualized, designed, and revised the manuscript; Yan JJ searched the literature, collected the data, organized the data, and drafted the manuscript; Liu BB collected the data; Yang Y and Deng ZQ checked and collated the data; Liu MR and Wang H performed the statistical analyses; All authors approved the final version of the manuscript.</w:t>
      </w:r>
    </w:p>
    <w:p w14:paraId="49FBFA0E" w14:textId="77777777" w:rsidR="00F614B0" w:rsidRPr="00E1613F" w:rsidRDefault="00F614B0">
      <w:pPr>
        <w:spacing w:line="360" w:lineRule="auto"/>
        <w:jc w:val="both"/>
        <w:rPr>
          <w:color w:val="000000" w:themeColor="text1"/>
        </w:rPr>
      </w:pPr>
    </w:p>
    <w:p w14:paraId="62B4BA9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Supported by </w:t>
      </w:r>
      <w:r w:rsidRPr="00E1613F">
        <w:rPr>
          <w:rFonts w:ascii="Book Antiqua" w:eastAsia="Book Antiqua" w:hAnsi="Book Antiqua" w:cs="Book Antiqua"/>
          <w:color w:val="000000" w:themeColor="text1"/>
        </w:rPr>
        <w:t xml:space="preserve">the Science and Technology Research Project of Colleges and Universities of Hebei Province, No. QN2020234; the Precision Medicine Joint Cultivation Fund Project of Natural Science Foundation of Hebei Province, No. H2021402007; the Clinical </w:t>
      </w:r>
      <w:r w:rsidRPr="00E1613F">
        <w:rPr>
          <w:rFonts w:ascii="Book Antiqua" w:eastAsia="Book Antiqua" w:hAnsi="Book Antiqua" w:cs="Book Antiqua"/>
          <w:color w:val="000000" w:themeColor="text1"/>
        </w:rPr>
        <w:lastRenderedPageBreak/>
        <w:t>Medicine Talent Cultivation Project of Health Commission of Hebei Province, No. 2020; and the Medical Science Research Project of Health Commission of Hebei Province, No. 20211392.</w:t>
      </w:r>
    </w:p>
    <w:p w14:paraId="4A66F29E" w14:textId="77777777" w:rsidR="00F614B0" w:rsidRPr="00E1613F" w:rsidRDefault="00F614B0">
      <w:pPr>
        <w:spacing w:line="360" w:lineRule="auto"/>
        <w:jc w:val="both"/>
        <w:rPr>
          <w:color w:val="000000" w:themeColor="text1"/>
        </w:rPr>
      </w:pPr>
    </w:p>
    <w:p w14:paraId="6A768757"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Corresponding author: </w:t>
      </w:r>
      <w:proofErr w:type="spellStart"/>
      <w:r w:rsidRPr="00E1613F">
        <w:rPr>
          <w:rFonts w:ascii="Book Antiqua" w:eastAsia="Book Antiqua" w:hAnsi="Book Antiqua" w:cs="Book Antiqua"/>
          <w:b/>
          <w:bCs/>
          <w:color w:val="000000" w:themeColor="text1"/>
        </w:rPr>
        <w:t>Zhi</w:t>
      </w:r>
      <w:proofErr w:type="spellEnd"/>
      <w:r w:rsidRPr="00E1613F">
        <w:rPr>
          <w:rFonts w:ascii="Book Antiqua" w:eastAsia="Book Antiqua" w:hAnsi="Book Antiqua" w:cs="Book Antiqua"/>
          <w:b/>
          <w:bCs/>
          <w:color w:val="000000" w:themeColor="text1"/>
        </w:rPr>
        <w:t xml:space="preserve">-Wei Zhang, MD, PhD, Attending Doctor, </w:t>
      </w:r>
      <w:r w:rsidRPr="00E1613F">
        <w:rPr>
          <w:rFonts w:ascii="Book Antiqua" w:eastAsia="Book Antiqua" w:hAnsi="Book Antiqua" w:cs="Book Antiqua"/>
          <w:color w:val="000000" w:themeColor="text1"/>
        </w:rPr>
        <w:t xml:space="preserve">Department of Oncology, Affiliated Hospital of Hebei University of Engineering, No. 81 </w:t>
      </w:r>
      <w:proofErr w:type="spellStart"/>
      <w:r w:rsidRPr="00E1613F">
        <w:rPr>
          <w:rFonts w:ascii="Book Antiqua" w:eastAsia="Book Antiqua" w:hAnsi="Book Antiqua" w:cs="Book Antiqua"/>
          <w:color w:val="000000" w:themeColor="text1"/>
        </w:rPr>
        <w:t>Congtai</w:t>
      </w:r>
      <w:proofErr w:type="spellEnd"/>
      <w:r w:rsidRPr="00E1613F">
        <w:rPr>
          <w:rFonts w:ascii="Book Antiqua" w:eastAsia="Book Antiqua" w:hAnsi="Book Antiqua" w:cs="Book Antiqua"/>
          <w:color w:val="000000" w:themeColor="text1"/>
        </w:rPr>
        <w:t xml:space="preserve"> Road, </w:t>
      </w:r>
      <w:proofErr w:type="spellStart"/>
      <w:r w:rsidRPr="00E1613F">
        <w:rPr>
          <w:rFonts w:ascii="Book Antiqua" w:eastAsia="Book Antiqua" w:hAnsi="Book Antiqua" w:cs="Book Antiqua"/>
          <w:color w:val="000000" w:themeColor="text1"/>
        </w:rPr>
        <w:t>Congtai</w:t>
      </w:r>
      <w:proofErr w:type="spellEnd"/>
      <w:r w:rsidRPr="00E1613F">
        <w:rPr>
          <w:rFonts w:ascii="Book Antiqua" w:eastAsia="Book Antiqua" w:hAnsi="Book Antiqua" w:cs="Book Antiqua"/>
          <w:color w:val="000000" w:themeColor="text1"/>
        </w:rPr>
        <w:t xml:space="preserve"> District, Handan 056000, Hebei Province, China. zhangzw128@126.com</w:t>
      </w:r>
    </w:p>
    <w:p w14:paraId="6032FCAE" w14:textId="77777777" w:rsidR="00F614B0" w:rsidRPr="00E1613F" w:rsidRDefault="00F614B0">
      <w:pPr>
        <w:spacing w:line="360" w:lineRule="auto"/>
        <w:jc w:val="both"/>
        <w:rPr>
          <w:color w:val="000000" w:themeColor="text1"/>
        </w:rPr>
      </w:pPr>
    </w:p>
    <w:p w14:paraId="1F148484"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Received: </w:t>
      </w:r>
      <w:r w:rsidRPr="00E1613F">
        <w:rPr>
          <w:rFonts w:ascii="Book Antiqua" w:eastAsia="Book Antiqua" w:hAnsi="Book Antiqua" w:cs="Book Antiqua"/>
          <w:color w:val="000000" w:themeColor="text1"/>
        </w:rPr>
        <w:t>August 12, 2023</w:t>
      </w:r>
    </w:p>
    <w:p w14:paraId="712C859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Revised: </w:t>
      </w:r>
      <w:r w:rsidRPr="00E1613F">
        <w:rPr>
          <w:rFonts w:ascii="Book Antiqua" w:eastAsia="Book Antiqua" w:hAnsi="Book Antiqua" w:cs="Book Antiqua"/>
          <w:color w:val="000000" w:themeColor="text1"/>
        </w:rPr>
        <w:t>September 25, 2023</w:t>
      </w:r>
    </w:p>
    <w:p w14:paraId="540E7A5A"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Accepted: </w:t>
      </w:r>
      <w:r w:rsidRPr="00E1613F">
        <w:rPr>
          <w:rFonts w:ascii="Book Antiqua" w:eastAsia="Book Antiqua" w:hAnsi="Book Antiqua" w:cs="Book Antiqua"/>
          <w:color w:val="000000" w:themeColor="text1"/>
        </w:rPr>
        <w:t>October 16, 2023</w:t>
      </w:r>
    </w:p>
    <w:p w14:paraId="4A78AFE1"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Published online: </w:t>
      </w:r>
      <w:r w:rsidRPr="00E1613F">
        <w:rPr>
          <w:rFonts w:ascii="Book Antiqua" w:hAnsi="Book Antiqua"/>
          <w:color w:val="000000"/>
          <w:shd w:val="clear" w:color="auto" w:fill="FFFFFF"/>
        </w:rPr>
        <w:t>December 15, 2023</w:t>
      </w:r>
    </w:p>
    <w:p w14:paraId="130014C5" w14:textId="77777777" w:rsidR="00F614B0" w:rsidRPr="00E1613F" w:rsidRDefault="00F614B0">
      <w:pPr>
        <w:spacing w:line="360" w:lineRule="auto"/>
        <w:jc w:val="both"/>
        <w:rPr>
          <w:color w:val="000000" w:themeColor="text1"/>
        </w:rPr>
        <w:sectPr w:rsidR="00F614B0" w:rsidRPr="00E1613F">
          <w:footerReference w:type="default" r:id="rId6"/>
          <w:pgSz w:w="12240" w:h="15840"/>
          <w:pgMar w:top="1440" w:right="1440" w:bottom="1440" w:left="1440" w:header="720" w:footer="720" w:gutter="0"/>
          <w:cols w:space="720"/>
          <w:docGrid w:linePitch="360"/>
        </w:sectPr>
      </w:pPr>
    </w:p>
    <w:p w14:paraId="05298EB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lastRenderedPageBreak/>
        <w:t>Abstract</w:t>
      </w:r>
    </w:p>
    <w:p w14:paraId="2655422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BACKGROUND</w:t>
      </w:r>
    </w:p>
    <w:p w14:paraId="2FD777B5"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There is a lack of</w:t>
      </w:r>
      <w:r w:rsidRPr="00E1613F">
        <w:rPr>
          <w:rFonts w:ascii="Book Antiqua" w:eastAsia="Book Antiqua" w:hAnsi="Book Antiqua" w:cs="Book Antiqua"/>
          <w:b/>
          <w:bCs/>
          <w:color w:val="000000" w:themeColor="text1"/>
        </w:rPr>
        <w:t xml:space="preserve"> </w:t>
      </w:r>
      <w:r w:rsidRPr="00E1613F">
        <w:rPr>
          <w:rFonts w:ascii="Book Antiqua" w:eastAsia="Book Antiqua" w:hAnsi="Book Antiqua" w:cs="Book Antiqua"/>
          <w:color w:val="000000" w:themeColor="text1"/>
        </w:rPr>
        <w:t xml:space="preserve">robust prognostic markers for upper gastrointestinal (GI) tract cancers, including esophageal, gastric, and esophagogastric junction cancers. T cell immunoglobulin and mucin-domain containing-3 (TIM3) plays a key immunomodulatory role and </w:t>
      </w:r>
      <w:r w:rsidRPr="00E1613F">
        <w:rPr>
          <w:rFonts w:ascii="Book Antiqua" w:eastAsia="宋体" w:hAnsi="Book Antiqua" w:cs="Book Antiqua"/>
          <w:color w:val="000000" w:themeColor="text1"/>
          <w:lang w:eastAsia="zh-CN"/>
        </w:rPr>
        <w:t>is</w:t>
      </w:r>
      <w:r w:rsidRPr="00E1613F">
        <w:rPr>
          <w:rFonts w:ascii="Book Antiqua" w:eastAsia="Book Antiqua" w:hAnsi="Book Antiqua" w:cs="Book Antiqua"/>
          <w:color w:val="000000" w:themeColor="text1"/>
        </w:rPr>
        <w:t xml:space="preserve"> linked to the prognosis of various cancers. However, the significance of TIM3 in upper GI tract tumors is still uncertain.</w:t>
      </w:r>
    </w:p>
    <w:p w14:paraId="781834AA" w14:textId="77777777" w:rsidR="00F614B0" w:rsidRPr="00E1613F" w:rsidRDefault="00F614B0">
      <w:pPr>
        <w:spacing w:line="360" w:lineRule="auto"/>
        <w:jc w:val="both"/>
        <w:rPr>
          <w:color w:val="000000" w:themeColor="text1"/>
        </w:rPr>
      </w:pPr>
    </w:p>
    <w:p w14:paraId="53A95CC3"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AIM</w:t>
      </w:r>
    </w:p>
    <w:p w14:paraId="23587A2F"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To investigate the prognostic value of TIM3 expression in upper GI tract tumors.</w:t>
      </w:r>
    </w:p>
    <w:p w14:paraId="145432A5" w14:textId="77777777" w:rsidR="00F614B0" w:rsidRPr="00E1613F" w:rsidRDefault="00F614B0">
      <w:pPr>
        <w:spacing w:line="360" w:lineRule="auto"/>
        <w:jc w:val="both"/>
        <w:rPr>
          <w:color w:val="000000" w:themeColor="text1"/>
        </w:rPr>
      </w:pPr>
    </w:p>
    <w:p w14:paraId="7D27A80C"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METHODS</w:t>
      </w:r>
    </w:p>
    <w:p w14:paraId="7566D8D4"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A literature search was conducted on the PubMed, Embase, and Web of Science databases for relevant studies published until June 2023. After screening and quality assessment, studies that met the criteria were included in the meta-analysis. Statistical methods were used for the pooled analysis to assess the association of TIM3 expression in upper GI tract tumors with the prognosis and clinicopathological parameters. The results were reported with the hazard ratio (HR) and 95% confidence interval (CI).</w:t>
      </w:r>
    </w:p>
    <w:p w14:paraId="0599429E" w14:textId="77777777" w:rsidR="00F614B0" w:rsidRPr="00E1613F" w:rsidRDefault="00F614B0">
      <w:pPr>
        <w:spacing w:line="360" w:lineRule="auto"/>
        <w:jc w:val="both"/>
        <w:rPr>
          <w:color w:val="000000" w:themeColor="text1"/>
        </w:rPr>
      </w:pPr>
    </w:p>
    <w:p w14:paraId="639D55C7"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RESULTS</w:t>
      </w:r>
    </w:p>
    <w:p w14:paraId="25F09DD8" w14:textId="5F342B52"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Nine studies involving 2556 patients with upper GI tract cancer were included. High TIM3 expression was associated with a worse prognosis in upper GI tract cancer (HR: 1.17, 95%CI: 1.01-1.36). Positive expression of TIM3 in gastric cancer was correlated with the T and</w:t>
      </w:r>
      <w:r w:rsidRPr="00E1613F">
        <w:rPr>
          <w:rFonts w:ascii="Book Antiqua" w:eastAsia="Book Antiqua" w:hAnsi="Book Antiqua" w:cs="Book Antiqua"/>
        </w:rPr>
        <w:t xml:space="preserve"> </w:t>
      </w:r>
      <w:r w:rsidRPr="00E1613F">
        <w:rPr>
          <w:rFonts w:ascii="Book Antiqua" w:eastAsia="Book Antiqua" w:hAnsi="Book Antiqua" w:cs="Book Antiqua"/>
          <w:color w:val="000000" w:themeColor="text1"/>
        </w:rPr>
        <w:t>N stage, but the difference was not statistically significant. However, TIM3 overexpression was significantly correlated with the</w:t>
      </w:r>
      <w:r w:rsidR="00E1613F" w:rsidRPr="00E1613F">
        <w:rPr>
          <w:rFonts w:ascii="Book Antiqua" w:eastAsia="Book Antiqua" w:hAnsi="Book Antiqua" w:cs="Book Antiqua"/>
          <w:color w:val="000000" w:themeColor="text1"/>
        </w:rPr>
        <w:t xml:space="preserve"> </w:t>
      </w:r>
      <w:r w:rsidRPr="00E1613F">
        <w:rPr>
          <w:rFonts w:ascii="Book Antiqua" w:eastAsia="Book Antiqua" w:hAnsi="Book Antiqua" w:cs="Book Antiqua"/>
          <w:color w:val="000000" w:themeColor="text1"/>
        </w:rPr>
        <w:t xml:space="preserve">TNM stage (odds ratio: 1.21, 95%CI: 0.63-2.33; </w:t>
      </w:r>
      <w:r w:rsidRPr="00E1613F">
        <w:rPr>
          <w:rFonts w:ascii="Book Antiqua" w:eastAsia="Book Antiqua" w:hAnsi="Book Antiqua" w:cs="Book Antiqua"/>
          <w:i/>
          <w:iCs/>
          <w:color w:val="000000" w:themeColor="text1"/>
        </w:rPr>
        <w:t>P</w:t>
      </w:r>
      <w:r w:rsidRPr="00E1613F">
        <w:rPr>
          <w:rFonts w:ascii="Book Antiqua" w:eastAsia="Book Antiqua" w:hAnsi="Book Antiqua" w:cs="Book Antiqua"/>
          <w:color w:val="000000" w:themeColor="text1"/>
        </w:rPr>
        <w:t xml:space="preserve"> &lt; 0.05). TIM3 expression showed no association with the other clinicopathological parameters.</w:t>
      </w:r>
    </w:p>
    <w:p w14:paraId="1AE42630" w14:textId="77777777" w:rsidR="00F614B0" w:rsidRPr="00E1613F" w:rsidRDefault="00F614B0">
      <w:pPr>
        <w:spacing w:line="360" w:lineRule="auto"/>
        <w:jc w:val="both"/>
        <w:rPr>
          <w:color w:val="000000" w:themeColor="text1"/>
        </w:rPr>
      </w:pPr>
    </w:p>
    <w:p w14:paraId="3D99B430"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CONCLUSION</w:t>
      </w:r>
    </w:p>
    <w:p w14:paraId="4CA26A7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lastRenderedPageBreak/>
        <w:t xml:space="preserve">High expression of TIM3 in the upper GI tract cancer is associated with </w:t>
      </w:r>
      <w:r w:rsidRPr="00E1613F">
        <w:rPr>
          <w:rFonts w:ascii="Book Antiqua" w:eastAsia="宋体" w:hAnsi="Book Antiqua" w:cs="Book Antiqua" w:hint="eastAsia"/>
          <w:color w:val="000000" w:themeColor="text1"/>
          <w:lang w:eastAsia="zh-CN"/>
        </w:rPr>
        <w:t xml:space="preserve">a </w:t>
      </w:r>
      <w:r w:rsidRPr="00E1613F">
        <w:rPr>
          <w:rFonts w:ascii="Book Antiqua" w:eastAsia="Book Antiqua" w:hAnsi="Book Antiqua" w:cs="Book Antiqua"/>
          <w:color w:val="000000" w:themeColor="text1"/>
        </w:rPr>
        <w:t>worse prognosis and advanced T or N stage</w:t>
      </w:r>
      <w:r w:rsidRPr="00E1613F">
        <w:rPr>
          <w:rFonts w:ascii="Book Antiqua" w:eastAsia="宋体" w:hAnsi="Book Antiqua" w:cs="Book Antiqua"/>
          <w:color w:val="000000" w:themeColor="text1"/>
          <w:lang w:eastAsia="zh-CN"/>
        </w:rPr>
        <w:t>s</w:t>
      </w:r>
      <w:r w:rsidRPr="00E1613F">
        <w:rPr>
          <w:rFonts w:ascii="Book Antiqua" w:eastAsia="Book Antiqua" w:hAnsi="Book Antiqua" w:cs="Book Antiqua"/>
          <w:color w:val="000000" w:themeColor="text1"/>
        </w:rPr>
        <w:t>, indicating its potential value as a prognostic biomarker. These findings may provide a basis for the personalized treatment of upper GI tract cancer</w:t>
      </w:r>
      <w:r w:rsidRPr="00E1613F">
        <w:rPr>
          <w:rFonts w:ascii="Book Antiqua" w:eastAsia="宋体" w:hAnsi="Book Antiqua" w:cs="Book Antiqua"/>
          <w:color w:val="000000" w:themeColor="text1"/>
          <w:lang w:eastAsia="zh-CN"/>
        </w:rPr>
        <w:t>s</w:t>
      </w:r>
      <w:r w:rsidRPr="00E1613F">
        <w:rPr>
          <w:rFonts w:ascii="Book Antiqua" w:eastAsia="Book Antiqua" w:hAnsi="Book Antiqua" w:cs="Book Antiqua"/>
          <w:color w:val="000000" w:themeColor="text1"/>
        </w:rPr>
        <w:t>.</w:t>
      </w:r>
    </w:p>
    <w:p w14:paraId="0DDBD0BF" w14:textId="77777777" w:rsidR="00F614B0" w:rsidRPr="00E1613F" w:rsidRDefault="00F614B0">
      <w:pPr>
        <w:spacing w:line="360" w:lineRule="auto"/>
        <w:jc w:val="both"/>
        <w:rPr>
          <w:color w:val="000000" w:themeColor="text1"/>
        </w:rPr>
      </w:pPr>
    </w:p>
    <w:p w14:paraId="44E3DD9E"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Key Words: </w:t>
      </w:r>
      <w:r w:rsidRPr="00E1613F">
        <w:rPr>
          <w:rFonts w:ascii="Book Antiqua" w:eastAsia="Book Antiqua" w:hAnsi="Book Antiqua" w:cs="Book Antiqua"/>
          <w:color w:val="000000" w:themeColor="text1"/>
        </w:rPr>
        <w:t xml:space="preserve">Immune checkpoint; T cell </w:t>
      </w:r>
      <w:proofErr w:type="gramStart"/>
      <w:r w:rsidRPr="00E1613F">
        <w:rPr>
          <w:rFonts w:ascii="Book Antiqua" w:eastAsia="Book Antiqua" w:hAnsi="Book Antiqua" w:cs="Book Antiqua"/>
          <w:color w:val="000000" w:themeColor="text1"/>
        </w:rPr>
        <w:t>immunoglobulin-3</w:t>
      </w:r>
      <w:proofErr w:type="gramEnd"/>
      <w:r w:rsidRPr="00E1613F">
        <w:rPr>
          <w:rFonts w:ascii="Book Antiqua" w:eastAsia="Book Antiqua" w:hAnsi="Book Antiqua" w:cs="Book Antiqua"/>
          <w:color w:val="000000" w:themeColor="text1"/>
        </w:rPr>
        <w:t>; Upper gastrointestinal tract</w:t>
      </w:r>
      <w:r w:rsidRPr="00E1613F">
        <w:rPr>
          <w:rFonts w:ascii="Book Antiqua" w:eastAsia="宋体" w:hAnsi="Book Antiqua" w:cs="Book Antiqua" w:hint="eastAsia"/>
          <w:b/>
          <w:bCs/>
          <w:color w:val="000000" w:themeColor="text1"/>
          <w:lang w:eastAsia="zh-CN"/>
        </w:rPr>
        <w:t xml:space="preserve"> </w:t>
      </w:r>
      <w:r w:rsidRPr="00E1613F">
        <w:rPr>
          <w:rFonts w:ascii="Book Antiqua" w:eastAsia="Book Antiqua" w:hAnsi="Book Antiqua" w:cs="Book Antiqua"/>
          <w:color w:val="000000" w:themeColor="text1"/>
        </w:rPr>
        <w:t>cancer; Overall survival; Clinicopathological features</w:t>
      </w:r>
    </w:p>
    <w:p w14:paraId="74B9D302" w14:textId="77777777" w:rsidR="00F614B0" w:rsidRDefault="00F614B0">
      <w:pPr>
        <w:spacing w:line="360" w:lineRule="auto"/>
        <w:jc w:val="both"/>
        <w:rPr>
          <w:color w:val="000000" w:themeColor="text1"/>
        </w:rPr>
      </w:pPr>
    </w:p>
    <w:p w14:paraId="49004DB2" w14:textId="77777777" w:rsidR="00E1613F" w:rsidRDefault="00E1613F" w:rsidP="00E1613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F2E29A4" w14:textId="77777777" w:rsidR="00E1613F" w:rsidRPr="00E1613F" w:rsidRDefault="00E1613F">
      <w:pPr>
        <w:spacing w:line="360" w:lineRule="auto"/>
        <w:jc w:val="both"/>
        <w:rPr>
          <w:color w:val="000000" w:themeColor="text1"/>
        </w:rPr>
      </w:pPr>
    </w:p>
    <w:p w14:paraId="17E0E10D" w14:textId="7C452EAE" w:rsidR="00F614B0" w:rsidRPr="00E1613F" w:rsidRDefault="00E1613F">
      <w:pPr>
        <w:spacing w:line="360" w:lineRule="auto"/>
        <w:jc w:val="both"/>
        <w:rPr>
          <w:rFonts w:ascii="Book Antiqua" w:eastAsia="Book Antiqua" w:hAnsi="Book Antiqua" w:cs="Book Antiqua"/>
          <w:color w:val="000000" w:themeColor="text1"/>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E1613F">
        <w:rPr>
          <w:rFonts w:ascii="Book Antiqua" w:eastAsia="Book Antiqua" w:hAnsi="Book Antiqua" w:cs="Book Antiqua"/>
          <w:color w:val="000000" w:themeColor="text1"/>
        </w:rPr>
        <w:t xml:space="preserve">Yan JJ, Liu BB, Yang Y, Liu MR, Wang H, Deng ZQ, Zhang ZW. Prognostic value of T cell immunoglobulin and mucin-domain containing-3 expression in upper gastrointestinal tract tumors: A meta-analysis. </w:t>
      </w:r>
      <w:r w:rsidRPr="00E1613F">
        <w:rPr>
          <w:rFonts w:ascii="Book Antiqua" w:eastAsia="Book Antiqua" w:hAnsi="Book Antiqua" w:cs="Book Antiqua"/>
          <w:i/>
          <w:iCs/>
          <w:color w:val="000000" w:themeColor="text1"/>
        </w:rPr>
        <w:t xml:space="preserve">World J </w:t>
      </w:r>
      <w:proofErr w:type="spellStart"/>
      <w:r w:rsidRPr="00E1613F">
        <w:rPr>
          <w:rFonts w:ascii="Book Antiqua" w:eastAsia="Book Antiqua" w:hAnsi="Book Antiqua" w:cs="Book Antiqua"/>
          <w:i/>
          <w:iCs/>
          <w:color w:val="000000" w:themeColor="text1"/>
        </w:rPr>
        <w:t>Gastrointest</w:t>
      </w:r>
      <w:proofErr w:type="spellEnd"/>
      <w:r w:rsidRPr="00E1613F">
        <w:rPr>
          <w:rFonts w:ascii="Book Antiqua" w:eastAsia="Book Antiqua" w:hAnsi="Book Antiqua" w:cs="Book Antiqua"/>
          <w:i/>
          <w:iCs/>
          <w:color w:val="000000" w:themeColor="text1"/>
        </w:rPr>
        <w:t xml:space="preserve"> Oncol</w:t>
      </w:r>
      <w:r w:rsidRPr="00E1613F">
        <w:rPr>
          <w:rFonts w:ascii="Book Antiqua" w:eastAsia="Book Antiqua" w:hAnsi="Book Antiqua" w:cs="Book Antiqua"/>
          <w:color w:val="000000" w:themeColor="text1"/>
        </w:rPr>
        <w:t xml:space="preserve"> 2023; 15(12): </w:t>
      </w:r>
      <w:r w:rsidRPr="00D77465">
        <w:rPr>
          <w:rFonts w:ascii="Book Antiqua" w:eastAsia="Book Antiqua" w:hAnsi="Book Antiqua" w:cs="Book Antiqua"/>
        </w:rPr>
        <w:t>2212-2224</w:t>
      </w:r>
    </w:p>
    <w:p w14:paraId="292663CD" w14:textId="77B37541" w:rsidR="00F614B0" w:rsidRPr="00E1613F" w:rsidRDefault="00000000">
      <w:pPr>
        <w:spacing w:line="360" w:lineRule="auto"/>
        <w:jc w:val="both"/>
        <w:rPr>
          <w:rFonts w:ascii="Book Antiqua" w:eastAsia="Book Antiqua" w:hAnsi="Book Antiqua" w:cs="Book Antiqua"/>
          <w:color w:val="000000" w:themeColor="text1"/>
        </w:rPr>
      </w:pPr>
      <w:r w:rsidRPr="00E1613F">
        <w:rPr>
          <w:rFonts w:ascii="Book Antiqua" w:eastAsia="Book Antiqua" w:hAnsi="Book Antiqua" w:cs="Book Antiqua"/>
          <w:b/>
          <w:bCs/>
          <w:color w:val="000000" w:themeColor="text1"/>
        </w:rPr>
        <w:t>URL</w:t>
      </w:r>
      <w:r w:rsidRPr="00E1613F">
        <w:rPr>
          <w:rFonts w:ascii="Book Antiqua" w:eastAsia="Book Antiqua" w:hAnsi="Book Antiqua" w:cs="Book Antiqua"/>
          <w:color w:val="000000" w:themeColor="text1"/>
        </w:rPr>
        <w:t>: https://www.wjgnet.com/1948-5204/full/v15/i12/</w:t>
      </w:r>
      <w:r w:rsidR="00E1613F" w:rsidRPr="00D77465">
        <w:rPr>
          <w:rFonts w:ascii="Book Antiqua" w:eastAsia="Book Antiqua" w:hAnsi="Book Antiqua" w:cs="Book Antiqua"/>
        </w:rPr>
        <w:t>2212</w:t>
      </w:r>
      <w:r w:rsidRPr="00E1613F">
        <w:rPr>
          <w:rFonts w:ascii="Book Antiqua" w:eastAsia="Book Antiqua" w:hAnsi="Book Antiqua" w:cs="Book Antiqua"/>
          <w:color w:val="000000" w:themeColor="text1"/>
        </w:rPr>
        <w:t>.htm</w:t>
      </w:r>
    </w:p>
    <w:p w14:paraId="40CF6C2A" w14:textId="5000315A"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DOI</w:t>
      </w:r>
      <w:r w:rsidRPr="00E1613F">
        <w:rPr>
          <w:rFonts w:ascii="Book Antiqua" w:eastAsia="Book Antiqua" w:hAnsi="Book Antiqua" w:cs="Book Antiqua"/>
          <w:color w:val="000000" w:themeColor="text1"/>
        </w:rPr>
        <w:t>: https://dx.doi.org/10.4251/wjgo.v15.i12.</w:t>
      </w:r>
      <w:r w:rsidR="00E1613F" w:rsidRPr="00D77465">
        <w:rPr>
          <w:rFonts w:ascii="Book Antiqua" w:eastAsia="Book Antiqua" w:hAnsi="Book Antiqua" w:cs="Book Antiqua"/>
        </w:rPr>
        <w:t>2212</w:t>
      </w:r>
    </w:p>
    <w:p w14:paraId="7075660A" w14:textId="77777777" w:rsidR="00F614B0" w:rsidRPr="00E1613F" w:rsidRDefault="00F614B0">
      <w:pPr>
        <w:spacing w:line="360" w:lineRule="auto"/>
        <w:jc w:val="both"/>
        <w:rPr>
          <w:color w:val="000000" w:themeColor="text1"/>
        </w:rPr>
      </w:pPr>
    </w:p>
    <w:p w14:paraId="62D88537"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Core Tip: </w:t>
      </w:r>
      <w:r w:rsidRPr="00E1613F">
        <w:rPr>
          <w:rFonts w:ascii="Book Antiqua" w:eastAsia="Book Antiqua" w:hAnsi="Book Antiqua" w:cs="Book Antiqua"/>
          <w:color w:val="000000" w:themeColor="text1"/>
        </w:rPr>
        <w:t>Immune checkpoint receptor inhibitors have transformed cancer treatment in a wide range of tumor types, and T cell immunoglobulin and mucin-domain containing-3 (TIM3) is one of these immune checkpoint receptors. The study initially evaluated the survival-prognostic effect of TIM3 in upper gastrointestinal tract tumors by conducting a meta-analysis, aggregating data from several independent studies, and providing the latest comprehensive insights into the field. We believe that the results of this study will further advance immunotherapy and provide some value to future research.</w:t>
      </w:r>
    </w:p>
    <w:p w14:paraId="277B8B4A" w14:textId="77777777" w:rsidR="00F614B0" w:rsidRPr="00E1613F" w:rsidRDefault="00F614B0">
      <w:pPr>
        <w:spacing w:line="360" w:lineRule="auto"/>
        <w:jc w:val="both"/>
        <w:rPr>
          <w:color w:val="000000" w:themeColor="text1"/>
        </w:rPr>
      </w:pPr>
    </w:p>
    <w:p w14:paraId="499B5679"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aps/>
          <w:color w:val="000000" w:themeColor="text1"/>
          <w:u w:val="single"/>
        </w:rPr>
        <w:t>INTRODUCTION</w:t>
      </w:r>
    </w:p>
    <w:p w14:paraId="6751297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The high incidence of cancer is a major public health concern </w:t>
      </w:r>
      <w:proofErr w:type="gramStart"/>
      <w:r w:rsidRPr="00E1613F">
        <w:rPr>
          <w:rFonts w:ascii="Book Antiqua" w:eastAsia="Book Antiqua" w:hAnsi="Book Antiqua" w:cs="Book Antiqua"/>
          <w:color w:val="000000" w:themeColor="text1"/>
        </w:rPr>
        <w:t>worldwide</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w:t>
      </w:r>
      <w:r w:rsidRPr="00E1613F">
        <w:rPr>
          <w:rFonts w:ascii="Book Antiqua" w:eastAsia="Book Antiqua" w:hAnsi="Book Antiqua" w:cs="Book Antiqua"/>
          <w:color w:val="000000" w:themeColor="text1"/>
        </w:rPr>
        <w:t xml:space="preserve">. An analysis of cancer statistics in 2022 revealed a declining trend in the incidence and mortality rates of malignant tumors in the United </w:t>
      </w:r>
      <w:proofErr w:type="gramStart"/>
      <w:r w:rsidRPr="00E1613F">
        <w:rPr>
          <w:rFonts w:ascii="Book Antiqua" w:eastAsia="Book Antiqua" w:hAnsi="Book Antiqua" w:cs="Book Antiqua"/>
          <w:color w:val="000000" w:themeColor="text1"/>
        </w:rPr>
        <w:t>States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2]</w:t>
      </w:r>
      <w:r w:rsidRPr="00E1613F">
        <w:rPr>
          <w:rFonts w:ascii="Book Antiqua" w:eastAsia="Book Antiqua" w:hAnsi="Book Antiqua" w:cs="Book Antiqua"/>
          <w:color w:val="000000" w:themeColor="text1"/>
        </w:rPr>
        <w:t xml:space="preserve">. However, upper gastrointestinal (GI) tract </w:t>
      </w:r>
      <w:r w:rsidRPr="00E1613F">
        <w:rPr>
          <w:rFonts w:ascii="Book Antiqua" w:eastAsia="Book Antiqua" w:hAnsi="Book Antiqua" w:cs="Book Antiqua"/>
          <w:color w:val="000000" w:themeColor="text1"/>
        </w:rPr>
        <w:lastRenderedPageBreak/>
        <w:t xml:space="preserve">tumors, including esophageal cancer, gastric cancer, and esophagogastric junction cancer, continue to pose a serious threat to health. Gastric cancer is the fifth most common cancer worldwide, and the fourth highest contributor to cancer-associated mortality. Worldwide, esophageal cancer ranks seventh in terms of incidence and sixth in terms of </w:t>
      </w:r>
      <w:proofErr w:type="gramStart"/>
      <w:r w:rsidRPr="00E1613F">
        <w:rPr>
          <w:rFonts w:ascii="Book Antiqua" w:eastAsia="Book Antiqua" w:hAnsi="Book Antiqua" w:cs="Book Antiqua"/>
          <w:color w:val="000000" w:themeColor="text1"/>
        </w:rPr>
        <w:t>mortality</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w:t>
      </w:r>
      <w:r w:rsidRPr="00E1613F">
        <w:rPr>
          <w:rFonts w:ascii="Book Antiqua" w:eastAsia="Book Antiqua" w:hAnsi="Book Antiqua" w:cs="Book Antiqua"/>
          <w:color w:val="000000" w:themeColor="text1"/>
        </w:rPr>
        <w:t>.</w:t>
      </w:r>
    </w:p>
    <w:p w14:paraId="2FB074FA"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Recent data have suggested a gradual decrease in the incidence of gastric cancer in China. However, it remains the fourth most commonly occurring cancer and the third most common cause of cancer-associated mortality in China, whereas esophageal cancer is among the top five causes of cancer-related </w:t>
      </w:r>
      <w:proofErr w:type="gramStart"/>
      <w:r w:rsidRPr="00E1613F">
        <w:rPr>
          <w:rFonts w:ascii="Book Antiqua" w:eastAsia="Book Antiqua" w:hAnsi="Book Antiqua" w:cs="Book Antiqua"/>
          <w:color w:val="000000" w:themeColor="text1"/>
        </w:rPr>
        <w:t>deaths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4]</w:t>
      </w:r>
      <w:r w:rsidRPr="00E1613F">
        <w:rPr>
          <w:rFonts w:ascii="Book Antiqua" w:eastAsia="Book Antiqua" w:hAnsi="Book Antiqua" w:cs="Book Antiqua"/>
          <w:color w:val="000000" w:themeColor="text1"/>
        </w:rPr>
        <w:t>.</w:t>
      </w:r>
    </w:p>
    <w:p w14:paraId="1F845DE2"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A diverse range of treatment methods are presently available for upper GI tract tumors. In addition to traditional treatments (surgery, chemotherapy, and radiotherapy), targeted therapy, immunotherapy, and combination therapy have exhibited promising results in certain subsets of patients. However, despite these novel therapeutic approaches, the prognosis of patients with middle- and advanced-stage upper GI tract tumors remain</w:t>
      </w:r>
      <w:r w:rsidRPr="00E1613F">
        <w:rPr>
          <w:rFonts w:ascii="Book Antiqua" w:eastAsia="宋体" w:hAnsi="Book Antiqua" w:cs="Book Antiqua"/>
          <w:color w:val="000000" w:themeColor="text1"/>
          <w:lang w:eastAsia="zh-CN"/>
        </w:rPr>
        <w:t>s</w:t>
      </w:r>
      <w:r w:rsidRPr="00E1613F">
        <w:rPr>
          <w:rFonts w:ascii="Book Antiqua" w:eastAsia="Book Antiqua" w:hAnsi="Book Antiqua" w:cs="Book Antiqua"/>
          <w:color w:val="000000" w:themeColor="text1"/>
        </w:rPr>
        <w:t xml:space="preserve"> unsatisfactory. In recent years, immunotherapy using immune checkpoint inhibitors has transformed the treatment landscape for various types of cancers. Combination therapy containing immunotherapy has been the first-line treatment for advanced upper GI tract tumors. Approximately 15%-20% of patients with gastric adenocarcinoma overexpress</w:t>
      </w:r>
      <w:r w:rsidRPr="00E1613F">
        <w:t xml:space="preserve"> </w:t>
      </w:r>
      <w:r w:rsidRPr="00E1613F">
        <w:rPr>
          <w:rFonts w:ascii="Book Antiqua" w:eastAsia="Book Antiqua" w:hAnsi="Book Antiqua" w:cs="Book Antiqua"/>
          <w:color w:val="000000" w:themeColor="text1"/>
        </w:rPr>
        <w:t xml:space="preserve">human epidermal growth factor receptor 2 (HER2). While trastuzumab was once favored for treating HER2-positive advanced gastric cancer, the DESTINY-Gastric01 study highlighted trastuzumab </w:t>
      </w:r>
      <w:proofErr w:type="spellStart"/>
      <w:r w:rsidRPr="00E1613F">
        <w:rPr>
          <w:rFonts w:ascii="Book Antiqua" w:eastAsia="Book Antiqua" w:hAnsi="Book Antiqua" w:cs="Book Antiqua"/>
          <w:color w:val="000000" w:themeColor="text1"/>
        </w:rPr>
        <w:t>deruxtecan</w:t>
      </w:r>
      <w:proofErr w:type="spellEnd"/>
      <w:r w:rsidRPr="00E1613F">
        <w:rPr>
          <w:rFonts w:ascii="Book Antiqua" w:eastAsia="Book Antiqua" w:hAnsi="Book Antiqua" w:cs="Book Antiqua"/>
          <w:color w:val="000000" w:themeColor="text1"/>
        </w:rPr>
        <w:t xml:space="preserve"> as a superior </w:t>
      </w:r>
      <w:proofErr w:type="gramStart"/>
      <w:r w:rsidRPr="00E1613F">
        <w:rPr>
          <w:rFonts w:ascii="Book Antiqua" w:eastAsia="Book Antiqua" w:hAnsi="Book Antiqua" w:cs="Book Antiqua"/>
          <w:color w:val="000000" w:themeColor="text1"/>
        </w:rPr>
        <w:t>option</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5]</w:t>
      </w:r>
      <w:r w:rsidRPr="00E1613F">
        <w:rPr>
          <w:rFonts w:ascii="Book Antiqua" w:eastAsia="Book Antiqua" w:hAnsi="Book Antiqua" w:cs="Book Antiqua"/>
          <w:color w:val="000000" w:themeColor="text1"/>
        </w:rPr>
        <w:t xml:space="preserve">. The MOUSEION series indicates that immunotherapy benefits both men and women, but women may show a reduced response to </w:t>
      </w:r>
      <w:proofErr w:type="gramStart"/>
      <w:r w:rsidRPr="00E1613F">
        <w:rPr>
          <w:rFonts w:ascii="Book Antiqua" w:eastAsia="Book Antiqua" w:hAnsi="Book Antiqua" w:cs="Book Antiqua"/>
          <w:color w:val="000000" w:themeColor="text1"/>
        </w:rPr>
        <w:t>monotherapy</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6]</w:t>
      </w:r>
      <w:r w:rsidRPr="00E1613F">
        <w:rPr>
          <w:rFonts w:ascii="Book Antiqua" w:eastAsia="Book Antiqua" w:hAnsi="Book Antiqua" w:cs="Book Antiqua"/>
          <w:color w:val="000000" w:themeColor="text1"/>
        </w:rPr>
        <w:t xml:space="preserve">. Moreover, combining two immune checkpoint inhibitors yields better outcomes, and while not all gastric cancer patients show a positive response, those with high microsatellite instability or Epstein-Barr virus positivity exhibit a strong response to </w:t>
      </w:r>
      <w:proofErr w:type="gramStart"/>
      <w:r w:rsidRPr="00E1613F">
        <w:rPr>
          <w:rFonts w:ascii="Book Antiqua" w:eastAsia="Book Antiqua" w:hAnsi="Book Antiqua" w:cs="Book Antiqua"/>
          <w:color w:val="000000" w:themeColor="text1"/>
        </w:rPr>
        <w:t>pembrolizumab</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7]</w:t>
      </w:r>
      <w:r w:rsidRPr="00E1613F">
        <w:rPr>
          <w:rFonts w:ascii="Book Antiqua" w:eastAsia="Book Antiqua" w:hAnsi="Book Antiqua" w:cs="Book Antiqua"/>
          <w:color w:val="000000" w:themeColor="text1"/>
        </w:rPr>
        <w:t xml:space="preserve">. The synergy of chemotherapy and immunotherapy, especially targeting the DNA damage response pathway, offers promising prospects in gastric cancer </w:t>
      </w:r>
      <w:proofErr w:type="gramStart"/>
      <w:r w:rsidRPr="00E1613F">
        <w:rPr>
          <w:rFonts w:ascii="Book Antiqua" w:eastAsia="Book Antiqua" w:hAnsi="Book Antiqua" w:cs="Book Antiqua"/>
          <w:color w:val="000000" w:themeColor="text1"/>
        </w:rPr>
        <w:t>treatment</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8]</w:t>
      </w:r>
      <w:r w:rsidRPr="00E1613F">
        <w:rPr>
          <w:rFonts w:ascii="Book Antiqua" w:eastAsia="Book Antiqua" w:hAnsi="Book Antiqua" w:cs="Book Antiqua"/>
          <w:color w:val="000000" w:themeColor="text1"/>
        </w:rPr>
        <w:t>. Furthermore, immune checkpoints represent a contemporary research hotspot among prognostic markers.</w:t>
      </w:r>
    </w:p>
    <w:p w14:paraId="34127062"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Immune checkpoints are inhibitory molecules that can modulate the immune system to reduce unwanted autoimmune responses, thereby helping maintain self-tolerance and </w:t>
      </w:r>
      <w:r w:rsidRPr="00E1613F">
        <w:rPr>
          <w:rFonts w:ascii="Book Antiqua" w:eastAsia="Book Antiqua" w:hAnsi="Book Antiqua" w:cs="Book Antiqua"/>
          <w:color w:val="000000" w:themeColor="text1"/>
        </w:rPr>
        <w:lastRenderedPageBreak/>
        <w:t xml:space="preserve">regulating the timing of physiological immune responses in peripheral </w:t>
      </w:r>
      <w:proofErr w:type="gramStart"/>
      <w:r w:rsidRPr="00E1613F">
        <w:rPr>
          <w:rFonts w:ascii="Book Antiqua" w:eastAsia="Book Antiqua" w:hAnsi="Book Antiqua" w:cs="Book Antiqua"/>
          <w:color w:val="000000" w:themeColor="text1"/>
        </w:rPr>
        <w:t>tissues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9]</w:t>
      </w:r>
      <w:r w:rsidRPr="00E1613F">
        <w:rPr>
          <w:rFonts w:ascii="Book Antiqua" w:eastAsia="Book Antiqua" w:hAnsi="Book Antiqua" w:cs="Book Antiqua"/>
          <w:color w:val="000000" w:themeColor="text1"/>
        </w:rPr>
        <w:t xml:space="preserve">. In the cancer microenvironment, T lymphocytes play a central role in cell-mediated cytotoxicity. Activated T cells express inhibitory receptors, such as cytotoxic T-lymphocyte-associated protein 4 (CTLA-4) and programmed cell death protein 1 (PD-1). Cancer cells express ligands, such as programmed death-ligand 1 (PD-L1), which can combine with PD-1 and further weaken the antitumor effects of T </w:t>
      </w:r>
      <w:proofErr w:type="gramStart"/>
      <w:r w:rsidRPr="00E1613F">
        <w:rPr>
          <w:rFonts w:ascii="Book Antiqua" w:eastAsia="Book Antiqua" w:hAnsi="Book Antiqua" w:cs="Book Antiqua"/>
          <w:color w:val="000000" w:themeColor="text1"/>
        </w:rPr>
        <w:t>cells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10,11]</w:t>
      </w:r>
      <w:r w:rsidRPr="00E1613F">
        <w:rPr>
          <w:rFonts w:ascii="Book Antiqua" w:eastAsia="Book Antiqua" w:hAnsi="Book Antiqua" w:cs="Book Antiqua"/>
          <w:color w:val="000000" w:themeColor="text1"/>
        </w:rPr>
        <w:t>. The blockade of immune checkpoints can have powerful and durable antitumor effects.</w:t>
      </w:r>
    </w:p>
    <w:p w14:paraId="426E2BCE"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In March 2011, the United States Food and Drug Administration approved ipilimumab, a monoclonal CTLA-4 antibody, for the treatment of patients with late-stage </w:t>
      </w:r>
      <w:proofErr w:type="gramStart"/>
      <w:r w:rsidRPr="00E1613F">
        <w:rPr>
          <w:rFonts w:ascii="Book Antiqua" w:eastAsia="Book Antiqua" w:hAnsi="Book Antiqua" w:cs="Book Antiqua"/>
          <w:color w:val="000000" w:themeColor="text1"/>
        </w:rPr>
        <w:t>melanoma</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12]</w:t>
      </w:r>
      <w:r w:rsidRPr="00E1613F">
        <w:rPr>
          <w:rFonts w:ascii="Book Antiqua" w:eastAsia="Book Antiqua" w:hAnsi="Book Antiqua" w:cs="Book Antiqua"/>
          <w:color w:val="000000" w:themeColor="text1"/>
        </w:rPr>
        <w:t xml:space="preserve">. PD-1/PD-L1 blockers are among the most successful checkpoint </w:t>
      </w:r>
      <w:proofErr w:type="gramStart"/>
      <w:r w:rsidRPr="00E1613F">
        <w:rPr>
          <w:rFonts w:ascii="Book Antiqua" w:eastAsia="Book Antiqua" w:hAnsi="Book Antiqua" w:cs="Book Antiqua"/>
          <w:color w:val="000000" w:themeColor="text1"/>
        </w:rPr>
        <w:t>inhibitors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13]</w:t>
      </w:r>
      <w:r w:rsidRPr="00E1613F">
        <w:rPr>
          <w:rFonts w:ascii="Book Antiqua" w:eastAsia="Book Antiqua" w:hAnsi="Book Antiqua" w:cs="Book Antiqua"/>
          <w:color w:val="000000" w:themeColor="text1"/>
        </w:rPr>
        <w:t xml:space="preserve">. PD-1 or PD-L1 inhibitors have been approved as first- or second-line treatment for several cancers, such as non-small cell lung cancer, melanoma, and gastric </w:t>
      </w:r>
      <w:proofErr w:type="gramStart"/>
      <w:r w:rsidRPr="00E1613F">
        <w:rPr>
          <w:rFonts w:ascii="Book Antiqua" w:eastAsia="Book Antiqua" w:hAnsi="Book Antiqua" w:cs="Book Antiqua"/>
          <w:color w:val="000000" w:themeColor="text1"/>
        </w:rPr>
        <w:t>cancer</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14]</w:t>
      </w:r>
      <w:r w:rsidRPr="00E1613F">
        <w:rPr>
          <w:rFonts w:ascii="Book Antiqua" w:eastAsia="Book Antiqua" w:hAnsi="Book Antiqua" w:cs="Book Antiqua"/>
          <w:color w:val="000000" w:themeColor="text1"/>
        </w:rPr>
        <w:t>. Therefore, immune checkpoint inhibitors are presently an important component of comprehensive cancer therapy.</w:t>
      </w:r>
    </w:p>
    <w:p w14:paraId="17934D43"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At present, the </w:t>
      </w:r>
      <w:proofErr w:type="gramStart"/>
      <w:r w:rsidRPr="00E1613F">
        <w:rPr>
          <w:rFonts w:ascii="Book Antiqua" w:eastAsia="Book Antiqua" w:hAnsi="Book Antiqua" w:cs="Book Antiqua"/>
          <w:color w:val="000000" w:themeColor="text1"/>
        </w:rPr>
        <w:t>most commonly used</w:t>
      </w:r>
      <w:proofErr w:type="gramEnd"/>
      <w:r w:rsidRPr="00E1613F">
        <w:rPr>
          <w:rFonts w:ascii="Book Antiqua" w:eastAsia="Book Antiqua" w:hAnsi="Book Antiqua" w:cs="Book Antiqua"/>
          <w:color w:val="000000" w:themeColor="text1"/>
        </w:rPr>
        <w:t xml:space="preserve"> immune checkpoint molecular targets are PD-1, CTLA-4, lymphocyte activation gene-3 (LAG-3), and T cell immunoglobulin-3 (TIM3). Among these, TIM3, also referred to as hepatitis A virus-cell receptor 2, is a transmembrane protein that negatively regulates type 1 immunity and plays an important regulatory role in carcinogenesis and </w:t>
      </w:r>
      <w:proofErr w:type="gramStart"/>
      <w:r w:rsidRPr="00E1613F">
        <w:rPr>
          <w:rFonts w:ascii="Book Antiqua" w:eastAsia="Book Antiqua" w:hAnsi="Book Antiqua" w:cs="Book Antiqua"/>
          <w:color w:val="000000" w:themeColor="text1"/>
        </w:rPr>
        <w:t>development</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15]</w:t>
      </w:r>
      <w:r w:rsidRPr="00E1613F">
        <w:rPr>
          <w:rFonts w:ascii="Book Antiqua" w:eastAsia="Book Antiqua" w:hAnsi="Book Antiqua" w:cs="Book Antiqua"/>
          <w:color w:val="000000" w:themeColor="text1"/>
        </w:rPr>
        <w:t xml:space="preserve">. This suppresses the activity of T cells and other immune cells by binding to its ligand galectin-9 (Gal-9), thereby regulating the intensity and duration of the immune </w:t>
      </w:r>
      <w:proofErr w:type="gramStart"/>
      <w:r w:rsidRPr="00E1613F">
        <w:rPr>
          <w:rFonts w:ascii="Book Antiqua" w:eastAsia="Book Antiqua" w:hAnsi="Book Antiqua" w:cs="Book Antiqua"/>
          <w:color w:val="000000" w:themeColor="text1"/>
        </w:rPr>
        <w:t>response</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16]</w:t>
      </w:r>
      <w:r w:rsidRPr="00E1613F">
        <w:rPr>
          <w:rFonts w:ascii="Book Antiqua" w:eastAsia="Book Antiqua" w:hAnsi="Book Antiqua" w:cs="Book Antiqua"/>
          <w:color w:val="000000" w:themeColor="text1"/>
        </w:rPr>
        <w:t>.</w:t>
      </w:r>
    </w:p>
    <w:p w14:paraId="0907CB80" w14:textId="77777777" w:rsidR="00F614B0" w:rsidRPr="00E1613F" w:rsidRDefault="00000000">
      <w:pPr>
        <w:spacing w:line="360" w:lineRule="auto"/>
        <w:ind w:firstLine="270"/>
        <w:jc w:val="both"/>
        <w:rPr>
          <w:rFonts w:ascii="Book Antiqua" w:eastAsia="Book Antiqua" w:hAnsi="Book Antiqua" w:cs="Book Antiqua"/>
          <w:color w:val="000000" w:themeColor="text1"/>
        </w:rPr>
      </w:pPr>
      <w:r w:rsidRPr="00E1613F">
        <w:rPr>
          <w:rFonts w:ascii="Book Antiqua" w:eastAsia="Book Antiqua" w:hAnsi="Book Antiqua" w:cs="Book Antiqua"/>
          <w:color w:val="000000" w:themeColor="text1"/>
        </w:rPr>
        <w:t xml:space="preserve">Recent studies have demonstrated high TIM3 expression in upper GI tract tumor tissues, and its close association with overall survival (OS). For example, studies have reported a correlation between TIM3 expression level and the prognosis of </w:t>
      </w:r>
      <w:proofErr w:type="gramStart"/>
      <w:r w:rsidRPr="00E1613F">
        <w:rPr>
          <w:rFonts w:ascii="Book Antiqua" w:eastAsia="Book Antiqua" w:hAnsi="Book Antiqua" w:cs="Book Antiqua"/>
          <w:color w:val="000000" w:themeColor="text1"/>
        </w:rPr>
        <w:t>gastric</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17-20]</w:t>
      </w:r>
      <w:r w:rsidRPr="00E1613F">
        <w:rPr>
          <w:rFonts w:ascii="Book Antiqua" w:eastAsia="Book Antiqua" w:hAnsi="Book Antiqua" w:cs="Book Antiqua"/>
          <w:color w:val="000000" w:themeColor="text1"/>
        </w:rPr>
        <w:t xml:space="preserve"> and esophageal</w:t>
      </w:r>
      <w:r w:rsidRPr="00E1613F">
        <w:rPr>
          <w:rFonts w:ascii="Book Antiqua" w:eastAsia="Book Antiqua" w:hAnsi="Book Antiqua" w:cs="Book Antiqua"/>
          <w:color w:val="000000" w:themeColor="text1"/>
          <w:szCs w:val="20"/>
          <w:vertAlign w:val="superscript"/>
        </w:rPr>
        <w:t>[21-25]</w:t>
      </w:r>
      <w:r w:rsidRPr="00E1613F">
        <w:rPr>
          <w:rFonts w:ascii="Book Antiqua" w:eastAsia="Book Antiqua" w:hAnsi="Book Antiqua" w:cs="Book Antiqua"/>
          <w:color w:val="000000" w:themeColor="text1"/>
        </w:rPr>
        <w:t xml:space="preserve"> cancers. However, the prognostic value of TIM3 in gastroesophageal junction cancer has not been reported. The results suggest the important role of TIM3 in these tumors. </w:t>
      </w:r>
    </w:p>
    <w:p w14:paraId="0B169DE8"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Therefore, a meta-analysis was conducted to comprehensively assess the relationship between TIM3 expression level and the prognosis and clinicopathological parameters of upper GI tract tumors.</w:t>
      </w:r>
    </w:p>
    <w:p w14:paraId="7DB48DCB" w14:textId="77777777" w:rsidR="00F614B0" w:rsidRPr="00E1613F" w:rsidRDefault="00F614B0">
      <w:pPr>
        <w:spacing w:line="360" w:lineRule="auto"/>
        <w:ind w:firstLine="480"/>
        <w:jc w:val="both"/>
        <w:rPr>
          <w:color w:val="000000" w:themeColor="text1"/>
        </w:rPr>
      </w:pPr>
    </w:p>
    <w:p w14:paraId="12B08DA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aps/>
          <w:color w:val="000000" w:themeColor="text1"/>
          <w:u w:val="single"/>
        </w:rPr>
        <w:t>MATERIALS AND METHODS</w:t>
      </w:r>
    </w:p>
    <w:p w14:paraId="1A36D82C"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Search strategy and study selection</w:t>
      </w:r>
    </w:p>
    <w:p w14:paraId="450FD2AC"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A literature search was performed in the PubMed, Web of Science, and Embase databases for studies published as of June 30, 2023. The keywords used were “TIM3,” “gastric cancer,” and “esophageal cancer.” No studies have investigated TIM3 expression in gastroesophageal junction cancer. In addition, to prevent the omission of relevant literature, especially focused literature, we used a new tool, Reference Citation Analysis (https://www.referencecitationanalysis.com)</w:t>
      </w:r>
      <w:r w:rsidRPr="00E1613F">
        <w:rPr>
          <w:rFonts w:ascii="Book Antiqua" w:eastAsia="宋体" w:hAnsi="Book Antiqua" w:cs="Book Antiqua"/>
          <w:color w:val="000000" w:themeColor="text1"/>
          <w:lang w:eastAsia="zh-CN"/>
        </w:rPr>
        <w:t>, to analyze the articles</w:t>
      </w:r>
      <w:r w:rsidRPr="00E1613F">
        <w:rPr>
          <w:rFonts w:ascii="Book Antiqua" w:eastAsia="Book Antiqua" w:hAnsi="Book Antiqua" w:cs="Book Antiqua"/>
          <w:color w:val="000000" w:themeColor="text1"/>
        </w:rPr>
        <w:t>.</w:t>
      </w:r>
      <w:r w:rsidRPr="00E1613F">
        <w:rPr>
          <w:rFonts w:ascii="Book Antiqua" w:eastAsia="宋体" w:hAnsi="Book Antiqua" w:cs="Book Antiqua"/>
          <w:color w:val="000000" w:themeColor="text1"/>
          <w:lang w:eastAsia="zh-CN"/>
        </w:rPr>
        <w:t xml:space="preserve"> </w:t>
      </w:r>
      <w:r w:rsidRPr="00E1613F">
        <w:rPr>
          <w:rFonts w:ascii="Book Antiqua" w:eastAsia="Book Antiqua" w:hAnsi="Book Antiqua" w:cs="Book Antiqua"/>
          <w:color w:val="000000" w:themeColor="text1"/>
        </w:rPr>
        <w:t>Next, a systematic approach was used to select eligible studies and extract relevant data. The reference lists of the selected articles were screened to identify additional studies that met the criteria for inclusion in the present meta-analysis. Only publicly available published data were used for the present study, precluding any concerns related to personal privacy or ethical issues. The present meta-analysis is registered on the PROSPERO website (https://www.crd.york.ac.uk/PROSPERO/; Registration No. CRD42023438756).</w:t>
      </w:r>
    </w:p>
    <w:p w14:paraId="0B11DD4A" w14:textId="77777777" w:rsidR="00F614B0" w:rsidRPr="00E1613F" w:rsidRDefault="00F614B0">
      <w:pPr>
        <w:spacing w:line="360" w:lineRule="auto"/>
        <w:jc w:val="both"/>
        <w:rPr>
          <w:color w:val="000000" w:themeColor="text1"/>
        </w:rPr>
      </w:pPr>
    </w:p>
    <w:p w14:paraId="47631A54"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Study selection criteria</w:t>
      </w:r>
    </w:p>
    <w:p w14:paraId="3FF5D611"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Studies that met the following criteria were eligible for inclusion: (1) case-control studies, cohort studies, or clinical trials; (2) patients with upper GI cancer; (3) diagnosis confirmed by histopathology; (4) detection of TIM3 expression by immunohistochemistry (IHC); and (5) variables reported of TIM3 expression levels and cancer prognosis-related outcomes (such as OS).</w:t>
      </w:r>
    </w:p>
    <w:p w14:paraId="552223F0"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The exclusion criteria were: (1) </w:t>
      </w:r>
      <w:r w:rsidRPr="00E1613F">
        <w:rPr>
          <w:rFonts w:ascii="Book Antiqua" w:eastAsia="Book Antiqua" w:hAnsi="Book Antiqua" w:cs="Book Antiqua"/>
          <w:i/>
          <w:iCs/>
          <w:color w:val="000000" w:themeColor="text1"/>
        </w:rPr>
        <w:t>in vitro</w:t>
      </w:r>
      <w:r w:rsidRPr="00E1613F">
        <w:rPr>
          <w:rFonts w:ascii="Book Antiqua" w:eastAsia="Book Antiqua" w:hAnsi="Book Antiqua" w:cs="Book Antiqua"/>
          <w:color w:val="000000" w:themeColor="text1"/>
        </w:rPr>
        <w:t xml:space="preserve"> studies or animal experiments; (2) inability to extract the required data from the published results; (3) non-reporting of survival outcomes; and (4) patients who received chemotherapy or radiotherapy before the assessment of TIM3 expression.</w:t>
      </w:r>
    </w:p>
    <w:p w14:paraId="19C99F42" w14:textId="77777777" w:rsidR="00F614B0" w:rsidRPr="00E1613F" w:rsidRDefault="00F614B0">
      <w:pPr>
        <w:spacing w:line="360" w:lineRule="auto"/>
        <w:ind w:firstLine="480"/>
        <w:jc w:val="both"/>
        <w:rPr>
          <w:color w:val="000000" w:themeColor="text1"/>
        </w:rPr>
      </w:pPr>
    </w:p>
    <w:p w14:paraId="66EF5E1F"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Data extraction and quality assessment</w:t>
      </w:r>
    </w:p>
    <w:p w14:paraId="07FABF7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Two researchers independently extracted the data pertaining to the following variables from each study: study design, sample size, demographic characteristics (including age, </w:t>
      </w:r>
      <w:r w:rsidRPr="00E1613F">
        <w:rPr>
          <w:rFonts w:ascii="Book Antiqua" w:eastAsia="Book Antiqua" w:hAnsi="Book Antiqua" w:cs="Book Antiqua"/>
          <w:color w:val="000000" w:themeColor="text1"/>
        </w:rPr>
        <w:lastRenderedPageBreak/>
        <w:t>sex, nationality, and ethnicity), clinicopathological parameters (T stage, lymph node metastasis, tumor-node-metastasis [T</w:t>
      </w:r>
      <w:r w:rsidRPr="00E1613F">
        <w:rPr>
          <w:rFonts w:ascii="Book Antiqua" w:eastAsia="宋体" w:hAnsi="Book Antiqua" w:cs="Book Antiqua"/>
          <w:color w:val="000000" w:themeColor="text1"/>
          <w:lang w:eastAsia="zh-CN"/>
        </w:rPr>
        <w:t>NM</w:t>
      </w:r>
      <w:r w:rsidRPr="00E1613F">
        <w:rPr>
          <w:rFonts w:ascii="Book Antiqua" w:eastAsia="Book Antiqua" w:hAnsi="Book Antiqua" w:cs="Book Antiqua"/>
          <w:color w:val="000000" w:themeColor="text1"/>
        </w:rPr>
        <w:t>] stage, and grade of differentiation), and prognostic indices (such as OS). The specifics of the TNM staging were meticulously documented. The methods and thresholds for determining TIM3 expression, primarily through IHC, were outlined. Using the Newcastle-Ottawa Scale (NOS) for quality assessment, only studies that scored between 6 to 9 points, denoting high quality, were included in the meta-analysis.</w:t>
      </w:r>
    </w:p>
    <w:p w14:paraId="39907A98" w14:textId="77777777" w:rsidR="00F614B0" w:rsidRPr="00E1613F" w:rsidRDefault="00F614B0">
      <w:pPr>
        <w:spacing w:line="360" w:lineRule="auto"/>
        <w:jc w:val="both"/>
        <w:rPr>
          <w:rFonts w:ascii="Book Antiqua" w:eastAsia="Book Antiqua" w:hAnsi="Book Antiqua" w:cs="Book Antiqua"/>
          <w:b/>
          <w:bCs/>
          <w:color w:val="000000" w:themeColor="text1"/>
        </w:rPr>
      </w:pPr>
    </w:p>
    <w:p w14:paraId="76BBF9CC"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Statistical analyses</w:t>
      </w:r>
    </w:p>
    <w:p w14:paraId="246B0C7C"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Pooled analyses of data obtained from the included studies were performed using STATA statistical software, version 15.2. </w:t>
      </w:r>
      <w:r w:rsidRPr="00E1613F">
        <w:rPr>
          <w:rFonts w:ascii="Book Antiqua" w:eastAsia="Book Antiqua" w:hAnsi="Book Antiqua" w:cs="Book Antiqua"/>
          <w:i/>
          <w:iCs/>
          <w:color w:val="000000" w:themeColor="text1"/>
        </w:rPr>
        <w:t>P</w:t>
      </w:r>
      <w:r w:rsidRPr="00E1613F">
        <w:rPr>
          <w:rFonts w:ascii="Book Antiqua" w:eastAsia="Book Antiqua" w:hAnsi="Book Antiqua" w:cs="Book Antiqua"/>
          <w:color w:val="000000" w:themeColor="text1"/>
        </w:rPr>
        <w:t xml:space="preserve"> &lt; 0.05 was considered statistically significant for all analyses. The pooled hazard ratios (HRs) and 95% confidence interval (CIs) were calculated to assess the association between TIM3 expression and the prognosis and clinicopathological parameters (sex, age, T stage, lymph node metastasis, T</w:t>
      </w:r>
      <w:r w:rsidRPr="00E1613F">
        <w:rPr>
          <w:rFonts w:ascii="Book Antiqua" w:eastAsia="宋体" w:hAnsi="Book Antiqua" w:cs="Book Antiqua"/>
          <w:color w:val="000000" w:themeColor="text1"/>
          <w:lang w:eastAsia="zh-CN"/>
        </w:rPr>
        <w:t>NM</w:t>
      </w:r>
      <w:r w:rsidRPr="00E1613F">
        <w:rPr>
          <w:rFonts w:ascii="Book Antiqua" w:eastAsia="Book Antiqua" w:hAnsi="Book Antiqua" w:cs="Book Antiqua"/>
          <w:color w:val="000000" w:themeColor="text1"/>
        </w:rPr>
        <w:t xml:space="preserve"> stage, and grade of differentiation) of GI tract cancer. The individual HR estimates were pooled into a summary HR. The assumption of homogeneity was tested by performing Cochran’s Q-statistic and I</w:t>
      </w:r>
      <w:r w:rsidRPr="00E1613F">
        <w:rPr>
          <w:rFonts w:ascii="Book Antiqua" w:eastAsia="Book Antiqua" w:hAnsi="Book Antiqua" w:cs="Book Antiqua"/>
          <w:color w:val="000000" w:themeColor="text1"/>
          <w:szCs w:val="20"/>
          <w:vertAlign w:val="superscript"/>
        </w:rPr>
        <w:t>2</w:t>
      </w:r>
      <w:r w:rsidRPr="00E1613F">
        <w:rPr>
          <w:rFonts w:ascii="Book Antiqua" w:eastAsia="Book Antiqua" w:hAnsi="Book Antiqua" w:cs="Book Antiqua"/>
          <w:color w:val="000000" w:themeColor="text1"/>
        </w:rPr>
        <w:t xml:space="preserve"> test for heterogeneity. </w:t>
      </w:r>
      <w:r w:rsidRPr="00E1613F">
        <w:rPr>
          <w:rFonts w:ascii="Book Antiqua" w:eastAsia="Book Antiqua" w:hAnsi="Book Antiqua" w:cs="Book Antiqua"/>
          <w:i/>
          <w:iCs/>
          <w:color w:val="000000" w:themeColor="text1"/>
        </w:rPr>
        <w:t>P</w:t>
      </w:r>
      <w:r w:rsidRPr="00E1613F">
        <w:rPr>
          <w:rFonts w:ascii="Book Antiqua" w:eastAsia="Book Antiqua" w:hAnsi="Book Antiqua" w:cs="Book Antiqua"/>
          <w:color w:val="000000" w:themeColor="text1"/>
        </w:rPr>
        <w:t xml:space="preserve"> &lt; 0.05 in the Q-test or I</w:t>
      </w:r>
      <w:r w:rsidRPr="00E1613F">
        <w:rPr>
          <w:rFonts w:ascii="Book Antiqua" w:eastAsia="Book Antiqua" w:hAnsi="Book Antiqua" w:cs="Book Antiqua"/>
          <w:color w:val="000000" w:themeColor="text1"/>
          <w:szCs w:val="20"/>
          <w:vertAlign w:val="superscript"/>
        </w:rPr>
        <w:t>2</w:t>
      </w:r>
      <w:r w:rsidRPr="00E1613F">
        <w:rPr>
          <w:rFonts w:ascii="Book Antiqua" w:eastAsia="Book Antiqua" w:hAnsi="Book Antiqua" w:cs="Book Antiqua"/>
          <w:color w:val="000000" w:themeColor="text1"/>
        </w:rPr>
        <w:t xml:space="preserve"> &gt; 50% was considered indicative of significant heterogeneity. In case of significant heterogeneity, the random-effects model was used for the meta-analysis; otherwise, the fixed-effects model was used. HR or odds ratio (OR) &gt; 1 (indicating worse prognosis for cases with TIM3 expression positivity) was considered statistically significant when the 95%CI did not overlap 1. In case of significant heterogeneity among the included studies, subgroup analysis or sensitivity analysis was performed to identify the source of heterogeneity and explore the impact of potential factors on the results. The results were presented as forest plots. The effect of potential publication bias on the results of the meta-analysis was assessed by drawing funnel </w:t>
      </w:r>
      <w:proofErr w:type="gramStart"/>
      <w:r w:rsidRPr="00E1613F">
        <w:rPr>
          <w:rFonts w:ascii="Book Antiqua" w:eastAsia="Book Antiqua" w:hAnsi="Book Antiqua" w:cs="Book Antiqua"/>
          <w:color w:val="000000" w:themeColor="text1"/>
        </w:rPr>
        <w:t>plots, and</w:t>
      </w:r>
      <w:proofErr w:type="gramEnd"/>
      <w:r w:rsidRPr="00E1613F">
        <w:rPr>
          <w:rFonts w:ascii="Book Antiqua" w:eastAsia="Book Antiqua" w:hAnsi="Book Antiqua" w:cs="Book Antiqua"/>
          <w:color w:val="000000" w:themeColor="text1"/>
        </w:rPr>
        <w:t xml:space="preserve"> performing the </w:t>
      </w:r>
      <w:proofErr w:type="spellStart"/>
      <w:r w:rsidRPr="00E1613F">
        <w:rPr>
          <w:rFonts w:ascii="Book Antiqua" w:eastAsia="Book Antiqua" w:hAnsi="Book Antiqua" w:cs="Book Antiqua"/>
          <w:color w:val="000000" w:themeColor="text1"/>
        </w:rPr>
        <w:t>Begg’s</w:t>
      </w:r>
      <w:proofErr w:type="spellEnd"/>
      <w:r w:rsidRPr="00E1613F">
        <w:rPr>
          <w:rFonts w:ascii="Book Antiqua" w:eastAsia="Book Antiqua" w:hAnsi="Book Antiqua" w:cs="Book Antiqua"/>
          <w:color w:val="000000" w:themeColor="text1"/>
        </w:rPr>
        <w:t xml:space="preserve"> rank correlation test.</w:t>
      </w:r>
    </w:p>
    <w:p w14:paraId="39CAB0D0" w14:textId="77777777" w:rsidR="00F614B0" w:rsidRPr="00E1613F" w:rsidRDefault="00F614B0">
      <w:pPr>
        <w:spacing w:line="360" w:lineRule="auto"/>
        <w:ind w:firstLine="480"/>
        <w:jc w:val="both"/>
        <w:rPr>
          <w:color w:val="000000" w:themeColor="text1"/>
        </w:rPr>
      </w:pPr>
    </w:p>
    <w:p w14:paraId="2FEDE525"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aps/>
          <w:color w:val="000000" w:themeColor="text1"/>
          <w:u w:val="single"/>
        </w:rPr>
        <w:t>RESULTS</w:t>
      </w:r>
    </w:p>
    <w:p w14:paraId="547C7E27"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Selection of trials</w:t>
      </w:r>
    </w:p>
    <w:p w14:paraId="47008379"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lastRenderedPageBreak/>
        <w:t>The flow diagram illustrating the study selection process and criteria is presented in Figure 1. A total of 267 studies that investigated the association of TIM3 expression in upper GI tract cancer with both prognosis and clinicopathological parameters were retrieved during the database search. Among these studies, 51 duplicate publications were excluded. Of the remaining 216 articles, 202 were excluded after the review of the abstracts and study methods, since these did not meet the inclusion criteria. Subsequently, the full texts of the remaining 14 articles were reviewed. Of these 14 studies, 5 that did not provide qualifying clinicopathological information were excluded. Finally, the remaining nine studies, which enrolled 2556 patients, were included in the pooled analysis. These studies were published between 2013 and 2022. In each of the eligible studies, TIM3 expression in upper GI tract cancer was reported to be associated with OS. All studies were considered high quality based on the NOS assessment (average score: 8). Table 1 summarizes the characteristics of the selected studies.</w:t>
      </w:r>
    </w:p>
    <w:p w14:paraId="79C0829C" w14:textId="77777777" w:rsidR="00F614B0" w:rsidRPr="00E1613F" w:rsidRDefault="00F614B0">
      <w:pPr>
        <w:spacing w:line="360" w:lineRule="auto"/>
        <w:jc w:val="both"/>
        <w:rPr>
          <w:color w:val="000000" w:themeColor="text1"/>
        </w:rPr>
      </w:pPr>
    </w:p>
    <w:p w14:paraId="695F89B7"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Association between TIM3 expression and OS</w:t>
      </w:r>
    </w:p>
    <w:p w14:paraId="113312AA"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Nine studies were included in the pooled analysis of the association between TIM3 expression and OS (Figure 2). It was noteworthy that no significant positive results were obtained from the literature data provided by Wang </w:t>
      </w:r>
      <w:r w:rsidRPr="00E1613F">
        <w:rPr>
          <w:rFonts w:ascii="Book Antiqua" w:eastAsia="Book Antiqua" w:hAnsi="Book Antiqua" w:cs="Book Antiqua"/>
          <w:i/>
          <w:iCs/>
          <w:color w:val="000000" w:themeColor="text1"/>
        </w:rPr>
        <w:t xml:space="preserve">et </w:t>
      </w:r>
      <w:proofErr w:type="gramStart"/>
      <w:r w:rsidRPr="00E1613F">
        <w:rPr>
          <w:rFonts w:ascii="Book Antiqua" w:eastAsia="Book Antiqua" w:hAnsi="Book Antiqua" w:cs="Book Antiqua"/>
          <w:i/>
          <w:iCs/>
          <w:color w:val="000000" w:themeColor="text1"/>
        </w:rPr>
        <w:t>al</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18]</w:t>
      </w:r>
      <w:r w:rsidRPr="00E1613F">
        <w:rPr>
          <w:rFonts w:ascii="Book Antiqua" w:eastAsia="Book Antiqua" w:hAnsi="Book Antiqua" w:cs="Book Antiqua"/>
          <w:color w:val="000000" w:themeColor="text1"/>
        </w:rPr>
        <w:t xml:space="preserve"> and Park </w:t>
      </w:r>
      <w:r w:rsidRPr="00E1613F">
        <w:rPr>
          <w:rFonts w:ascii="Book Antiqua" w:eastAsia="Book Antiqua" w:hAnsi="Book Antiqua" w:cs="Book Antiqua"/>
          <w:i/>
          <w:iCs/>
          <w:color w:val="000000" w:themeColor="text1"/>
        </w:rPr>
        <w:t>et al</w:t>
      </w:r>
      <w:r w:rsidRPr="00E1613F">
        <w:rPr>
          <w:rFonts w:ascii="Book Antiqua" w:eastAsia="Book Antiqua" w:hAnsi="Book Antiqua" w:cs="Book Antiqua"/>
          <w:color w:val="000000" w:themeColor="text1"/>
          <w:szCs w:val="20"/>
          <w:vertAlign w:val="superscript"/>
        </w:rPr>
        <w:t>[19]</w:t>
      </w:r>
      <w:r w:rsidRPr="00E1613F">
        <w:rPr>
          <w:rFonts w:ascii="Book Antiqua" w:eastAsia="Book Antiqua" w:hAnsi="Book Antiqua" w:cs="Book Antiqua"/>
          <w:color w:val="000000" w:themeColor="text1"/>
        </w:rPr>
        <w:t xml:space="preserve">. Nonetheless, these results revealed that high TIM3 expression was associated with </w:t>
      </w:r>
      <w:r w:rsidRPr="00E1613F">
        <w:rPr>
          <w:rFonts w:ascii="Book Antiqua" w:eastAsia="宋体" w:hAnsi="Book Antiqua" w:cs="Book Antiqua" w:hint="eastAsia"/>
          <w:color w:val="000000" w:themeColor="text1"/>
          <w:lang w:eastAsia="zh-CN"/>
        </w:rPr>
        <w:t xml:space="preserve">a </w:t>
      </w:r>
      <w:r w:rsidRPr="00E1613F">
        <w:rPr>
          <w:rFonts w:ascii="Book Antiqua" w:eastAsia="Book Antiqua" w:hAnsi="Book Antiqua" w:cs="Book Antiqua"/>
          <w:color w:val="000000" w:themeColor="text1"/>
        </w:rPr>
        <w:t xml:space="preserve">worse prognosis of upper GI tract tumors, with a pooled HR of 1.17 (95%CI: 1.01-1.36). To </w:t>
      </w:r>
      <w:r w:rsidRPr="00E1613F">
        <w:rPr>
          <w:rFonts w:ascii="Book Antiqua" w:eastAsia="宋体" w:hAnsi="Book Antiqua" w:cs="Book Antiqua"/>
          <w:color w:val="000000" w:themeColor="text1"/>
          <w:lang w:eastAsia="zh-CN"/>
        </w:rPr>
        <w:t xml:space="preserve">further </w:t>
      </w:r>
      <w:r w:rsidRPr="00E1613F">
        <w:rPr>
          <w:rFonts w:ascii="Book Antiqua" w:eastAsia="Book Antiqua" w:hAnsi="Book Antiqua" w:cs="Book Antiqua"/>
          <w:color w:val="000000" w:themeColor="text1"/>
        </w:rPr>
        <w:t xml:space="preserve">investigate the prognostic significance of TIM3 in different types of upper GI tumors, we performed </w:t>
      </w:r>
      <w:r w:rsidRPr="00E1613F">
        <w:rPr>
          <w:rFonts w:ascii="Book Antiqua" w:eastAsia="宋体" w:hAnsi="Book Antiqua" w:cs="Book Antiqua"/>
          <w:color w:val="000000" w:themeColor="text1"/>
          <w:lang w:eastAsia="zh-CN"/>
        </w:rPr>
        <w:t xml:space="preserve">the </w:t>
      </w:r>
      <w:r w:rsidRPr="00E1613F">
        <w:rPr>
          <w:rFonts w:ascii="Book Antiqua" w:eastAsia="Book Antiqua" w:hAnsi="Book Antiqua" w:cs="Book Antiqua"/>
          <w:color w:val="000000" w:themeColor="text1"/>
        </w:rPr>
        <w:t>analyses grouped by cancer type</w:t>
      </w:r>
      <w:r w:rsidRPr="00E1613F">
        <w:rPr>
          <w:rFonts w:ascii="Book Antiqua" w:eastAsia="宋体" w:hAnsi="Book Antiqua" w:cs="Book Antiqua"/>
          <w:color w:val="000000" w:themeColor="text1"/>
          <w:lang w:eastAsia="zh-CN"/>
        </w:rPr>
        <w:t xml:space="preserve"> (</w:t>
      </w:r>
      <w:r w:rsidRPr="00E1613F">
        <w:rPr>
          <w:rFonts w:ascii="Book Antiqua" w:hAnsi="Book Antiqua"/>
          <w:color w:val="000000"/>
        </w:rPr>
        <w:t>Supplementary Figures 1 and 2</w:t>
      </w:r>
      <w:r w:rsidRPr="00E1613F">
        <w:rPr>
          <w:rFonts w:ascii="Book Antiqua" w:hAnsi="Book Antiqua"/>
          <w:color w:val="000000"/>
          <w:lang w:eastAsia="zh-CN"/>
        </w:rPr>
        <w:t>)</w:t>
      </w:r>
      <w:r w:rsidRPr="00E1613F">
        <w:rPr>
          <w:rFonts w:ascii="Book Antiqua" w:eastAsia="Book Antiqua" w:hAnsi="Book Antiqua" w:cs="Book Antiqua"/>
          <w:color w:val="000000" w:themeColor="text1"/>
        </w:rPr>
        <w:t>.</w:t>
      </w:r>
      <w:r w:rsidRPr="00E1613F">
        <w:rPr>
          <w:rFonts w:ascii="Book Antiqua" w:eastAsia="宋体" w:hAnsi="Book Antiqua" w:cs="Book Antiqua"/>
          <w:color w:val="000000" w:themeColor="text1"/>
          <w:lang w:eastAsia="zh-CN"/>
        </w:rPr>
        <w:t xml:space="preserve"> </w:t>
      </w:r>
      <w:r w:rsidRPr="00E1613F">
        <w:rPr>
          <w:rFonts w:ascii="Book Antiqua" w:hAnsi="Book Antiqua"/>
          <w:color w:val="000000"/>
          <w:lang w:eastAsia="zh-CN"/>
        </w:rPr>
        <w:t>In addition, there were two papers in which the data were obviously biased. To further illustrate the situation, we showed the result after removing these two papers (Supplementary Figure 3</w:t>
      </w:r>
      <w:proofErr w:type="gramStart"/>
      <w:r w:rsidRPr="00E1613F">
        <w:rPr>
          <w:rFonts w:ascii="Book Antiqua" w:hAnsi="Book Antiqua"/>
          <w:color w:val="000000"/>
          <w:lang w:eastAsia="zh-CN"/>
        </w:rPr>
        <w:t>), and</w:t>
      </w:r>
      <w:proofErr w:type="gramEnd"/>
      <w:r w:rsidRPr="00E1613F">
        <w:rPr>
          <w:rFonts w:ascii="Book Antiqua" w:hAnsi="Book Antiqua"/>
          <w:color w:val="000000"/>
          <w:lang w:eastAsia="zh-CN"/>
        </w:rPr>
        <w:t xml:space="preserve"> found that high TIM3 expression was significantly associated with poorer survival of upper GI cancers. The abovementioned results indicate</w:t>
      </w:r>
      <w:r w:rsidRPr="00E1613F">
        <w:rPr>
          <w:rFonts w:ascii="Book Antiqua" w:eastAsia="Book Antiqua" w:hAnsi="Book Antiqua" w:cs="Book Antiqua"/>
          <w:color w:val="000000" w:themeColor="text1"/>
        </w:rPr>
        <w:t xml:space="preserve"> that high expression of TIM3 may be a predictor of poor prognosis, shorter survival, and a higher risk of recurrence in patients with upper GI cancer</w:t>
      </w:r>
      <w:r w:rsidRPr="00E1613F">
        <w:rPr>
          <w:rFonts w:ascii="Book Antiqua" w:eastAsia="宋体" w:hAnsi="Book Antiqua" w:cs="Book Antiqua"/>
          <w:color w:val="000000" w:themeColor="text1"/>
          <w:lang w:eastAsia="zh-CN"/>
        </w:rPr>
        <w:t>s</w:t>
      </w:r>
      <w:r w:rsidRPr="00E1613F">
        <w:rPr>
          <w:rFonts w:ascii="Book Antiqua" w:eastAsia="Book Antiqua" w:hAnsi="Book Antiqua" w:cs="Book Antiqua"/>
          <w:color w:val="000000" w:themeColor="text1"/>
        </w:rPr>
        <w:t>.</w:t>
      </w:r>
    </w:p>
    <w:p w14:paraId="6F5FCDC9" w14:textId="77777777" w:rsidR="00F614B0" w:rsidRPr="00E1613F" w:rsidRDefault="00F614B0">
      <w:pPr>
        <w:spacing w:line="360" w:lineRule="auto"/>
        <w:ind w:firstLine="480"/>
        <w:jc w:val="both"/>
        <w:rPr>
          <w:color w:val="000000" w:themeColor="text1"/>
        </w:rPr>
      </w:pPr>
    </w:p>
    <w:p w14:paraId="4966838B"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Association between TIM3 expression and clinicopathological characteristics</w:t>
      </w:r>
    </w:p>
    <w:p w14:paraId="7CD13825"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lastRenderedPageBreak/>
        <w:t xml:space="preserve">All studies included in the meta-analysis had analyzed data on TIM3 expression, and at least one clinicopathological parameter for upper GI tract tumors (Figures 3 and 4, Table 2). TIM3 expression was associated with the T and N </w:t>
      </w:r>
      <w:proofErr w:type="gramStart"/>
      <w:r w:rsidRPr="00E1613F">
        <w:rPr>
          <w:rFonts w:ascii="Book Antiqua" w:eastAsia="Book Antiqua" w:hAnsi="Book Antiqua" w:cs="Book Antiqua"/>
          <w:color w:val="000000" w:themeColor="text1"/>
        </w:rPr>
        <w:t>stage, and</w:t>
      </w:r>
      <w:proofErr w:type="gramEnd"/>
      <w:r w:rsidRPr="00E1613F">
        <w:rPr>
          <w:rFonts w:ascii="Book Antiqua" w:eastAsia="Book Antiqua" w:hAnsi="Book Antiqua" w:cs="Book Antiqua"/>
          <w:color w:val="000000" w:themeColor="text1"/>
        </w:rPr>
        <w:t xml:space="preserve"> was significantly correlated with the TNM stage. However, among the other clinicopathological parameters, TIM3 expression was not associated with sex, age, tumor location, size, or grade.</w:t>
      </w:r>
    </w:p>
    <w:p w14:paraId="0163DCAE"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On analysis of the T stage for assessing the degree of primary tumor invasiveness, TIM3 expression was found to be associated with the T stage (T1-2 </w:t>
      </w:r>
      <w:r w:rsidRPr="00E1613F">
        <w:rPr>
          <w:rFonts w:ascii="Book Antiqua" w:eastAsia="Book Antiqua" w:hAnsi="Book Antiqua" w:cs="Book Antiqua"/>
          <w:i/>
          <w:iCs/>
          <w:color w:val="000000" w:themeColor="text1"/>
        </w:rPr>
        <w:t>vs</w:t>
      </w:r>
      <w:r w:rsidRPr="00E1613F">
        <w:rPr>
          <w:rFonts w:ascii="Book Antiqua" w:eastAsia="Book Antiqua" w:hAnsi="Book Antiqua" w:cs="Book Antiqua"/>
          <w:color w:val="000000" w:themeColor="text1"/>
        </w:rPr>
        <w:t xml:space="preserve"> T3-4, OR: 1.39, 95%CI: 1.06-1.83; fixed effects model). Furthermore, TIM3 expression was higher in the T3-4 group compared to the T1-2 group, although the difference was not statistically significant (</w:t>
      </w:r>
      <w:r w:rsidRPr="00E1613F">
        <w:rPr>
          <w:rFonts w:ascii="Book Antiqua" w:eastAsia="Book Antiqua" w:hAnsi="Book Antiqua" w:cs="Book Antiqua"/>
          <w:i/>
          <w:iCs/>
          <w:color w:val="000000" w:themeColor="text1"/>
        </w:rPr>
        <w:t>P</w:t>
      </w:r>
      <w:r w:rsidRPr="00E1613F">
        <w:rPr>
          <w:rFonts w:ascii="Book Antiqua" w:eastAsia="Book Antiqua" w:hAnsi="Book Antiqua" w:cs="Book Antiqua"/>
          <w:color w:val="000000" w:themeColor="text1"/>
        </w:rPr>
        <w:t xml:space="preserve"> &gt; 0.05). This result suggests the potential role of TIM3 expression in the depth of tumor invasion of upper GI tract tumors. The analysis of the distribution of involved lymph nodes (stage N) revealed that TIM3 expression was greater in the N2-3 group compared to the N0-1 group (N0-1 </w:t>
      </w:r>
      <w:r w:rsidRPr="00E1613F">
        <w:rPr>
          <w:rFonts w:ascii="Book Antiqua" w:eastAsia="Book Antiqua" w:hAnsi="Book Antiqua" w:cs="Book Antiqua"/>
          <w:i/>
          <w:iCs/>
          <w:color w:val="000000" w:themeColor="text1"/>
        </w:rPr>
        <w:t>vs</w:t>
      </w:r>
      <w:r w:rsidRPr="00E1613F">
        <w:rPr>
          <w:rFonts w:ascii="Book Antiqua" w:eastAsia="Book Antiqua" w:hAnsi="Book Antiqua" w:cs="Book Antiqua"/>
          <w:color w:val="000000" w:themeColor="text1"/>
        </w:rPr>
        <w:t xml:space="preserve"> N2-3, OR: 1.5, 95%CI: 1.11–2.01; random effects model), although the difference was not statistically significant (</w:t>
      </w:r>
      <w:r w:rsidRPr="00E1613F">
        <w:rPr>
          <w:rFonts w:ascii="Book Antiqua" w:eastAsia="Book Antiqua" w:hAnsi="Book Antiqua" w:cs="Book Antiqua"/>
          <w:i/>
          <w:iCs/>
          <w:color w:val="000000" w:themeColor="text1"/>
        </w:rPr>
        <w:t>P</w:t>
      </w:r>
      <w:r w:rsidRPr="00E1613F">
        <w:rPr>
          <w:rFonts w:ascii="Book Antiqua" w:eastAsia="Book Antiqua" w:hAnsi="Book Antiqua" w:cs="Book Antiqua"/>
          <w:color w:val="000000" w:themeColor="text1"/>
        </w:rPr>
        <w:t xml:space="preserve"> &gt; 0.05). Furthermore, the results suggested that TIM3 expression may be correlated with the N stage in upper GI tract tumors. However, further studies are required to explore this association. In further analyses, TIM3 overexpression was found to be correlated with the TNM stage, since TIM3 expression was higher in the III/IV stage of gastric cancer compared to the I/II stage (I/II </w:t>
      </w:r>
      <w:r w:rsidRPr="00E1613F">
        <w:rPr>
          <w:rFonts w:ascii="Book Antiqua" w:eastAsia="Book Antiqua" w:hAnsi="Book Antiqua" w:cs="Book Antiqua"/>
          <w:i/>
          <w:iCs/>
          <w:color w:val="000000" w:themeColor="text1"/>
        </w:rPr>
        <w:t>vs</w:t>
      </w:r>
      <w:r w:rsidRPr="00E1613F">
        <w:rPr>
          <w:rFonts w:ascii="Book Antiqua" w:eastAsia="Book Antiqua" w:hAnsi="Book Antiqua" w:cs="Book Antiqua"/>
          <w:color w:val="000000" w:themeColor="text1"/>
        </w:rPr>
        <w:t xml:space="preserve"> III/IV, OR: 1.21, 95%CI: 0.63–2.33, random-effects model). Therefore, TIM3 overexpression may play an important role in the development of upper GI tract tumors.</w:t>
      </w:r>
    </w:p>
    <w:p w14:paraId="6F15AEA3" w14:textId="77777777" w:rsidR="00F614B0" w:rsidRPr="00E1613F" w:rsidRDefault="00F614B0">
      <w:pPr>
        <w:spacing w:line="360" w:lineRule="auto"/>
        <w:ind w:firstLine="480"/>
        <w:jc w:val="both"/>
        <w:rPr>
          <w:color w:val="000000" w:themeColor="text1"/>
        </w:rPr>
      </w:pPr>
    </w:p>
    <w:p w14:paraId="2DD9A298" w14:textId="77777777" w:rsidR="00F614B0" w:rsidRPr="00E1613F" w:rsidRDefault="00000000">
      <w:pPr>
        <w:spacing w:line="360" w:lineRule="auto"/>
        <w:jc w:val="both"/>
        <w:rPr>
          <w:i/>
          <w:iCs/>
          <w:color w:val="000000" w:themeColor="text1"/>
        </w:rPr>
      </w:pPr>
      <w:r w:rsidRPr="00E1613F">
        <w:rPr>
          <w:rFonts w:ascii="Book Antiqua" w:eastAsia="Book Antiqua" w:hAnsi="Book Antiqua" w:cs="Book Antiqua"/>
          <w:b/>
          <w:bCs/>
          <w:i/>
          <w:iCs/>
          <w:color w:val="000000" w:themeColor="text1"/>
        </w:rPr>
        <w:t>Sensitivity analysis and publication bias assessment</w:t>
      </w:r>
    </w:p>
    <w:p w14:paraId="113F7E82"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In the sensitivity analysis, the pooled analysis results remained stable and consistent across the different statistical models and methods, reinforcing the reliability of the results. Furthermore, the funnel plot and </w:t>
      </w:r>
      <w:proofErr w:type="spellStart"/>
      <w:r w:rsidRPr="00E1613F">
        <w:rPr>
          <w:rFonts w:ascii="Book Antiqua" w:eastAsia="Book Antiqua" w:hAnsi="Book Antiqua" w:cs="Book Antiqua"/>
          <w:color w:val="000000" w:themeColor="text1"/>
        </w:rPr>
        <w:t>Begg’s</w:t>
      </w:r>
      <w:proofErr w:type="spellEnd"/>
      <w:r w:rsidRPr="00E1613F">
        <w:rPr>
          <w:rFonts w:ascii="Book Antiqua" w:eastAsia="Book Antiqua" w:hAnsi="Book Antiqua" w:cs="Book Antiqua"/>
          <w:color w:val="000000" w:themeColor="text1"/>
        </w:rPr>
        <w:t xml:space="preserve"> rank correlation test revealed no significant effect of potential publication bias on the results of the meta-analysis (Figure 5).</w:t>
      </w:r>
    </w:p>
    <w:p w14:paraId="4BE4FA2C" w14:textId="77777777" w:rsidR="00F614B0" w:rsidRPr="00E1613F" w:rsidRDefault="00F614B0">
      <w:pPr>
        <w:spacing w:line="360" w:lineRule="auto"/>
        <w:ind w:firstLine="480"/>
        <w:jc w:val="both"/>
        <w:rPr>
          <w:color w:val="000000" w:themeColor="text1"/>
        </w:rPr>
      </w:pPr>
    </w:p>
    <w:p w14:paraId="2A5E45A0"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aps/>
          <w:color w:val="000000" w:themeColor="text1"/>
          <w:u w:val="single"/>
        </w:rPr>
        <w:lastRenderedPageBreak/>
        <w:t>DISCUSSION</w:t>
      </w:r>
    </w:p>
    <w:p w14:paraId="7DA1C438"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 xml:space="preserve">Upper GI tract tumors are a group of malignant tumors with a high incidence and associated mortality. The pathogenic mechanism of these tumors is complex, and intricately linked to the immune system. The immune system plays a crucial role in the initiation, advancement, and spread of </w:t>
      </w:r>
      <w:proofErr w:type="gramStart"/>
      <w:r w:rsidRPr="00E1613F">
        <w:rPr>
          <w:rFonts w:ascii="Book Antiqua" w:eastAsia="Book Antiqua" w:hAnsi="Book Antiqua" w:cs="Book Antiqua"/>
          <w:color w:val="000000" w:themeColor="text1"/>
        </w:rPr>
        <w:t>cancer</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26,27]</w:t>
      </w:r>
      <w:r w:rsidRPr="00E1613F">
        <w:rPr>
          <w:rFonts w:ascii="Book Antiqua" w:eastAsia="Book Antiqua" w:hAnsi="Book Antiqua" w:cs="Book Antiqua"/>
          <w:color w:val="000000" w:themeColor="text1"/>
        </w:rPr>
        <w:t xml:space="preserve">. As cancer advances, exosomes released by the tumor cells not only facilitate tumor immune evasion but also serve as biomarkers of autoimmune </w:t>
      </w:r>
      <w:proofErr w:type="gramStart"/>
      <w:r w:rsidRPr="00E1613F">
        <w:rPr>
          <w:rFonts w:ascii="Book Antiqua" w:eastAsia="Book Antiqua" w:hAnsi="Book Antiqua" w:cs="Book Antiqua"/>
          <w:color w:val="000000" w:themeColor="text1"/>
        </w:rPr>
        <w:t>response</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28]</w:t>
      </w:r>
      <w:r w:rsidRPr="00E1613F">
        <w:rPr>
          <w:rFonts w:ascii="Book Antiqua" w:eastAsia="Book Antiqua" w:hAnsi="Book Antiqua" w:cs="Book Antiqua"/>
          <w:color w:val="000000" w:themeColor="text1"/>
        </w:rPr>
        <w:t xml:space="preserve">. Notably, serum pepsinogen, a biomarker, is widely believed to reflect the pathological changes in the </w:t>
      </w:r>
      <w:proofErr w:type="gramStart"/>
      <w:r w:rsidRPr="00E1613F">
        <w:rPr>
          <w:rFonts w:ascii="Book Antiqua" w:eastAsia="Book Antiqua" w:hAnsi="Book Antiqua" w:cs="Book Antiqua"/>
          <w:color w:val="000000" w:themeColor="text1"/>
        </w:rPr>
        <w:t>stomach</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29]</w:t>
      </w:r>
      <w:r w:rsidRPr="00E1613F">
        <w:rPr>
          <w:rFonts w:ascii="Book Antiqua" w:eastAsia="Book Antiqua" w:hAnsi="Book Antiqua" w:cs="Book Antiqua"/>
          <w:color w:val="000000" w:themeColor="text1"/>
        </w:rPr>
        <w:t xml:space="preserve">. Biomarkers are indispensable in cancer diagnosis and treatment, aiding in early diagnosis, evaluating therapeutic efficacy, predicting disease progression, and offering vital information for personalized treatment. The immunomodulatory molecule TIM3, which is an important immune </w:t>
      </w:r>
      <w:proofErr w:type="gramStart"/>
      <w:r w:rsidRPr="00E1613F">
        <w:rPr>
          <w:rFonts w:ascii="Book Antiqua" w:eastAsia="Book Antiqua" w:hAnsi="Book Antiqua" w:cs="Book Antiqua"/>
          <w:color w:val="000000" w:themeColor="text1"/>
        </w:rPr>
        <w:t>checkpoint</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30,31]</w:t>
      </w:r>
      <w:r w:rsidRPr="00E1613F">
        <w:rPr>
          <w:rFonts w:ascii="Book Antiqua" w:eastAsia="Book Antiqua" w:hAnsi="Book Antiqua" w:cs="Book Antiqua"/>
          <w:color w:val="000000" w:themeColor="text1"/>
        </w:rPr>
        <w:t xml:space="preserve">, plays a key role in tumor immune evasion and treatment resistance, and is expressed in both serum and tumors. Furthermore, TIM3 can suppress tumor immune responses by modulating the function of T helper 1 CD4 T cells and cytotoxic CD8 T </w:t>
      </w:r>
      <w:proofErr w:type="gramStart"/>
      <w:r w:rsidRPr="00E1613F">
        <w:rPr>
          <w:rFonts w:ascii="Book Antiqua" w:eastAsia="Book Antiqua" w:hAnsi="Book Antiqua" w:cs="Book Antiqua"/>
          <w:color w:val="000000" w:themeColor="text1"/>
        </w:rPr>
        <w:t>cells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32]</w:t>
      </w:r>
      <w:r w:rsidRPr="00E1613F">
        <w:rPr>
          <w:rFonts w:ascii="Book Antiqua" w:eastAsia="Book Antiqua" w:hAnsi="Book Antiqua" w:cs="Book Antiqua"/>
          <w:color w:val="000000" w:themeColor="text1"/>
        </w:rPr>
        <w:t xml:space="preserve">. Studies conducted in the context of melanoma, and head and neck cancers have revealed that TIM3 can limit the antitumor </w:t>
      </w:r>
      <w:proofErr w:type="gramStart"/>
      <w:r w:rsidRPr="00E1613F">
        <w:rPr>
          <w:rFonts w:ascii="Book Antiqua" w:eastAsia="Book Antiqua" w:hAnsi="Book Antiqua" w:cs="Book Antiqua"/>
          <w:color w:val="000000" w:themeColor="text1"/>
        </w:rPr>
        <w:t>immunity</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33,34]</w:t>
      </w:r>
      <w:r w:rsidRPr="00E1613F">
        <w:rPr>
          <w:rFonts w:ascii="Book Antiqua" w:eastAsia="Book Antiqua" w:hAnsi="Book Antiqua" w:cs="Book Antiqua"/>
          <w:color w:val="000000" w:themeColor="text1"/>
        </w:rPr>
        <w:t xml:space="preserve">. TIM3 enhances the growth of hepatocellular carcinoma by inducing the functional blockade of natural killer </w:t>
      </w:r>
      <w:proofErr w:type="gramStart"/>
      <w:r w:rsidRPr="00E1613F">
        <w:rPr>
          <w:rFonts w:ascii="Book Antiqua" w:eastAsia="Book Antiqua" w:hAnsi="Book Antiqua" w:cs="Book Antiqua"/>
          <w:color w:val="000000" w:themeColor="text1"/>
        </w:rPr>
        <w:t>cells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35]</w:t>
      </w:r>
      <w:r w:rsidRPr="00E1613F">
        <w:rPr>
          <w:rFonts w:ascii="Book Antiqua" w:eastAsia="Book Antiqua" w:hAnsi="Book Antiqua" w:cs="Book Antiqua"/>
          <w:color w:val="000000" w:themeColor="text1"/>
        </w:rPr>
        <w:t xml:space="preserve">. Furthermore, TIM3 has been identified as a marker of microsatellite-stable colorectal carcinoma with immune failure and distinct clinicopathological </w:t>
      </w:r>
      <w:proofErr w:type="gramStart"/>
      <w:r w:rsidRPr="00E1613F">
        <w:rPr>
          <w:rFonts w:ascii="Book Antiqua" w:eastAsia="Book Antiqua" w:hAnsi="Book Antiqua" w:cs="Book Antiqua"/>
          <w:color w:val="000000" w:themeColor="text1"/>
        </w:rPr>
        <w:t>features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36]</w:t>
      </w:r>
      <w:r w:rsidRPr="00E1613F">
        <w:rPr>
          <w:rFonts w:ascii="Book Antiqua" w:eastAsia="Book Antiqua" w:hAnsi="Book Antiqua" w:cs="Book Antiqua"/>
          <w:color w:val="000000" w:themeColor="text1"/>
        </w:rPr>
        <w:t xml:space="preserve">. Moreover, TIM3, which acts with its ligand CEA cell adhesion molecule 1, can suppress T cells, thereby downregulating antitumor </w:t>
      </w:r>
      <w:proofErr w:type="gramStart"/>
      <w:r w:rsidRPr="00E1613F">
        <w:rPr>
          <w:rFonts w:ascii="Book Antiqua" w:eastAsia="Book Antiqua" w:hAnsi="Book Antiqua" w:cs="Book Antiqua"/>
          <w:color w:val="000000" w:themeColor="text1"/>
        </w:rPr>
        <w:t>immunity</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37,38]</w:t>
      </w:r>
      <w:r w:rsidRPr="00E1613F">
        <w:rPr>
          <w:rFonts w:ascii="Book Antiqua" w:eastAsia="Book Antiqua" w:hAnsi="Book Antiqua" w:cs="Book Antiqua"/>
          <w:color w:val="000000" w:themeColor="text1"/>
        </w:rPr>
        <w:t xml:space="preserve">. Of note, the serum levels of TIM3 and Gal-9 are significantly elevated in patients with systemic </w:t>
      </w:r>
      <w:proofErr w:type="spellStart"/>
      <w:r w:rsidRPr="00E1613F">
        <w:rPr>
          <w:rFonts w:ascii="Book Antiqua" w:eastAsia="Book Antiqua" w:hAnsi="Book Antiqua" w:cs="Book Antiqua"/>
          <w:color w:val="000000" w:themeColor="text1"/>
        </w:rPr>
        <w:t>mastocytosis</w:t>
      </w:r>
      <w:proofErr w:type="spellEnd"/>
      <w:r w:rsidRPr="00E1613F">
        <w:rPr>
          <w:rFonts w:ascii="Book Antiqua" w:eastAsia="Book Antiqua" w:hAnsi="Book Antiqua" w:cs="Book Antiqua"/>
          <w:color w:val="000000" w:themeColor="text1"/>
        </w:rPr>
        <w:t xml:space="preserve">, suggesting the potential value of TIM3 in the diagnosis and treatment of this </w:t>
      </w:r>
      <w:proofErr w:type="gramStart"/>
      <w:r w:rsidRPr="00E1613F">
        <w:rPr>
          <w:rFonts w:ascii="Book Antiqua" w:eastAsia="Book Antiqua" w:hAnsi="Book Antiqua" w:cs="Book Antiqua"/>
          <w:color w:val="000000" w:themeColor="text1"/>
        </w:rPr>
        <w:t>condition</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39]</w:t>
      </w:r>
      <w:r w:rsidRPr="00E1613F">
        <w:rPr>
          <w:rFonts w:ascii="Book Antiqua" w:eastAsia="Book Antiqua" w:hAnsi="Book Antiqua" w:cs="Book Antiqua"/>
          <w:color w:val="000000" w:themeColor="text1"/>
        </w:rPr>
        <w:t>. However, the prognostic significance of TIM3 in upper GI tract tumors remain inconsistent. Therefore, we conducted a meta-analysis of the available evidence to comprehensively evaluate the potential prognostic value of TIM3 in patients with upper GI tract tumors. These findings may provide insights for guiding clinical treatment decisions and individualized therapy.</w:t>
      </w:r>
    </w:p>
    <w:p w14:paraId="41F181EB"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A total of nine independent studies, which enrolled 2556 patients with upper GI tract tumors, were included. In the pooled analysis, high TIM3 expression was associated with </w:t>
      </w:r>
      <w:r w:rsidRPr="00E1613F">
        <w:rPr>
          <w:rFonts w:ascii="Book Antiqua" w:eastAsia="Book Antiqua" w:hAnsi="Book Antiqua" w:cs="Book Antiqua"/>
          <w:color w:val="000000" w:themeColor="text1"/>
        </w:rPr>
        <w:lastRenderedPageBreak/>
        <w:t xml:space="preserve">worse prognosis. Specifically, a poorer prognosis was observed in patients with high TIM3 expression, with an HR of 1.17 (95%CI: 1.01-1.36). This suggests that high TIM3 expression may be a predictor of poor </w:t>
      </w:r>
      <w:proofErr w:type="gramStart"/>
      <w:r w:rsidRPr="00E1613F">
        <w:rPr>
          <w:rFonts w:ascii="Book Antiqua" w:eastAsia="Book Antiqua" w:hAnsi="Book Antiqua" w:cs="Book Antiqua"/>
          <w:color w:val="000000" w:themeColor="text1"/>
        </w:rPr>
        <w:t>prognosis, and</w:t>
      </w:r>
      <w:proofErr w:type="gramEnd"/>
      <w:r w:rsidRPr="00E1613F">
        <w:rPr>
          <w:rFonts w:ascii="Book Antiqua" w:eastAsia="Book Antiqua" w:hAnsi="Book Antiqua" w:cs="Book Antiqua"/>
          <w:color w:val="000000" w:themeColor="text1"/>
        </w:rPr>
        <w:t xml:space="preserve"> is associated with shorter survival and higher risk of recurrence in these patients. Of note, as shown in Figure 5, the results were not very good. Hence, the investigators searched for the reason, and identified some deviations on the data obtained from two studies (Wang </w:t>
      </w:r>
      <w:r w:rsidRPr="00E1613F">
        <w:rPr>
          <w:rFonts w:ascii="Book Antiqua" w:eastAsia="Book Antiqua" w:hAnsi="Book Antiqua" w:cs="Book Antiqua"/>
          <w:i/>
          <w:iCs/>
          <w:color w:val="000000" w:themeColor="text1"/>
        </w:rPr>
        <w:t xml:space="preserve">et </w:t>
      </w:r>
      <w:proofErr w:type="gramStart"/>
      <w:r w:rsidRPr="00E1613F">
        <w:rPr>
          <w:rFonts w:ascii="Book Antiqua" w:eastAsia="Book Antiqua" w:hAnsi="Book Antiqua" w:cs="Book Antiqua"/>
          <w:i/>
          <w:iCs/>
          <w:color w:val="000000" w:themeColor="text1"/>
        </w:rPr>
        <w:t>al</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18]</w:t>
      </w:r>
      <w:r w:rsidRPr="00E1613F">
        <w:rPr>
          <w:rFonts w:ascii="Book Antiqua" w:eastAsia="Book Antiqua" w:hAnsi="Book Antiqua" w:cs="Book Antiqua"/>
          <w:color w:val="000000" w:themeColor="text1"/>
        </w:rPr>
        <w:t xml:space="preserve"> and Park </w:t>
      </w:r>
      <w:r w:rsidRPr="00E1613F">
        <w:rPr>
          <w:rFonts w:ascii="Book Antiqua" w:eastAsia="Book Antiqua" w:hAnsi="Book Antiqua" w:cs="Book Antiqua"/>
          <w:i/>
          <w:iCs/>
          <w:color w:val="000000" w:themeColor="text1"/>
        </w:rPr>
        <w:t>et al</w:t>
      </w:r>
      <w:r w:rsidRPr="00E1613F">
        <w:rPr>
          <w:rFonts w:ascii="Book Antiqua" w:eastAsia="Book Antiqua" w:hAnsi="Book Antiqua" w:cs="Book Antiqua"/>
          <w:color w:val="000000" w:themeColor="text1"/>
          <w:szCs w:val="20"/>
          <w:vertAlign w:val="superscript"/>
        </w:rPr>
        <w:t>[19]</w:t>
      </w:r>
      <w:r w:rsidRPr="00E1613F">
        <w:rPr>
          <w:rFonts w:ascii="Book Antiqua" w:eastAsia="Book Antiqua" w:hAnsi="Book Antiqua" w:cs="Book Antiqua"/>
          <w:color w:val="000000" w:themeColor="text1"/>
        </w:rPr>
        <w:t xml:space="preserve">). A graph was drawn to determine the effects of deleting these two articles, and it was observed that the results were very relevant to the </w:t>
      </w:r>
      <w:proofErr w:type="spellStart"/>
      <w:r w:rsidRPr="00E1613F">
        <w:rPr>
          <w:rFonts w:ascii="Book Antiqua" w:eastAsia="Book Antiqua" w:hAnsi="Book Antiqua" w:cs="Book Antiqua"/>
          <w:color w:val="000000" w:themeColor="text1"/>
        </w:rPr>
        <w:t>drawn</w:t>
      </w:r>
      <w:proofErr w:type="spellEnd"/>
      <w:r w:rsidRPr="00E1613F">
        <w:rPr>
          <w:rFonts w:ascii="Book Antiqua" w:eastAsia="Book Antiqua" w:hAnsi="Book Antiqua" w:cs="Book Antiqua"/>
          <w:color w:val="000000" w:themeColor="text1"/>
        </w:rPr>
        <w:t xml:space="preserve"> conclusions. Thus, it would be worthwhile to further investigate TIM3. It was notable that previous studies have identified the combination of TIM3, LAG-3, and others as potential </w:t>
      </w:r>
      <w:proofErr w:type="gramStart"/>
      <w:r w:rsidRPr="00E1613F">
        <w:rPr>
          <w:rFonts w:ascii="Book Antiqua" w:eastAsia="Book Antiqua" w:hAnsi="Book Antiqua" w:cs="Book Antiqua"/>
          <w:color w:val="000000" w:themeColor="text1"/>
        </w:rPr>
        <w:t>biomarkers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40]</w:t>
      </w:r>
      <w:r w:rsidRPr="00E1613F">
        <w:rPr>
          <w:rFonts w:ascii="Book Antiqua" w:eastAsia="Book Antiqua" w:hAnsi="Book Antiqua" w:cs="Book Antiqua"/>
          <w:color w:val="000000" w:themeColor="text1"/>
        </w:rPr>
        <w:t>.</w:t>
      </w:r>
    </w:p>
    <w:p w14:paraId="6911EBA9"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In the subgroup analysis, high expression of TIM3 was associated with a worse prognosis of patients with esophageal, gastric, and combined esophagogastric cancers. This highlights the potential role of TIM3 in the development and progression of these tumor </w:t>
      </w:r>
      <w:proofErr w:type="gramStart"/>
      <w:r w:rsidRPr="00E1613F">
        <w:rPr>
          <w:rFonts w:ascii="Book Antiqua" w:eastAsia="Book Antiqua" w:hAnsi="Book Antiqua" w:cs="Book Antiqua"/>
          <w:color w:val="000000" w:themeColor="text1"/>
        </w:rPr>
        <w:t>types, and</w:t>
      </w:r>
      <w:proofErr w:type="gramEnd"/>
      <w:r w:rsidRPr="00E1613F">
        <w:rPr>
          <w:rFonts w:ascii="Book Antiqua" w:eastAsia="Book Antiqua" w:hAnsi="Book Antiqua" w:cs="Book Antiqua"/>
          <w:color w:val="000000" w:themeColor="text1"/>
        </w:rPr>
        <w:t xml:space="preserve"> underlines its clinical relevance as a potential marker for prognostic assessment and treatment selection.</w:t>
      </w:r>
    </w:p>
    <w:p w14:paraId="6F8AA3AF"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High expression of TIM3 may suggest immune escape and an immunosuppressive milieu in the tumor microenvironment. In this study, we found a significant correlation between high expression of TIM3 and the TNM staging of upper GI tumors. Given the pivotal role of TIM3 in tumor immune evasion and treatment resistance, we hypothesize that high expression of TIM3 may be intricately linked with the TNM staging of the tumor. TIM3 inhibits T cell activation and </w:t>
      </w:r>
      <w:proofErr w:type="gramStart"/>
      <w:r w:rsidRPr="00E1613F">
        <w:rPr>
          <w:rFonts w:ascii="Book Antiqua" w:eastAsia="Book Antiqua" w:hAnsi="Book Antiqua" w:cs="Book Antiqua"/>
          <w:color w:val="000000" w:themeColor="text1"/>
        </w:rPr>
        <w:t>function, and</w:t>
      </w:r>
      <w:proofErr w:type="gramEnd"/>
      <w:r w:rsidRPr="00E1613F">
        <w:rPr>
          <w:rFonts w:ascii="Book Antiqua" w:eastAsia="Book Antiqua" w:hAnsi="Book Antiqua" w:cs="Book Antiqua"/>
          <w:color w:val="000000" w:themeColor="text1"/>
        </w:rPr>
        <w:t xml:space="preserve"> induces immune tolerance by binding to its ligand Gal-9. Gal-9 promotes the persistence of PD-1 + TIM3 + T cells by binding to PD-1, and impairing Gal-9/TIM3-induced cell </w:t>
      </w:r>
      <w:proofErr w:type="gramStart"/>
      <w:r w:rsidRPr="00E1613F">
        <w:rPr>
          <w:rFonts w:ascii="Book Antiqua" w:eastAsia="Book Antiqua" w:hAnsi="Book Antiqua" w:cs="Book Antiqua"/>
          <w:color w:val="000000" w:themeColor="text1"/>
        </w:rPr>
        <w:t>death</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41]</w:t>
      </w:r>
      <w:r w:rsidRPr="00E1613F">
        <w:rPr>
          <w:rFonts w:ascii="Book Antiqua" w:eastAsia="Book Antiqua" w:hAnsi="Book Antiqua" w:cs="Book Antiqua"/>
          <w:color w:val="000000" w:themeColor="text1"/>
        </w:rPr>
        <w:t xml:space="preserve">. Furthermore, TIM3 and Gal9 have exhibited the potential as predictive biomarkers in different cancers. In-depth characterization of the TIM3/Gal9 signaling in cancers, and its underlying mechanisms can help identify patients who are likely to respond to the blockade of this pathway, and facilitate the design of combination </w:t>
      </w:r>
      <w:proofErr w:type="gramStart"/>
      <w:r w:rsidRPr="00E1613F">
        <w:rPr>
          <w:rFonts w:ascii="Book Antiqua" w:eastAsia="Book Antiqua" w:hAnsi="Book Antiqua" w:cs="Book Antiqua"/>
          <w:color w:val="000000" w:themeColor="text1"/>
        </w:rPr>
        <w:t>therapies</w:t>
      </w:r>
      <w:r w:rsidRPr="00E1613F">
        <w:rPr>
          <w:rFonts w:ascii="Book Antiqua" w:eastAsia="Book Antiqua" w:hAnsi="Book Antiqua" w:cs="Book Antiqua"/>
          <w:color w:val="000000" w:themeColor="text1"/>
          <w:szCs w:val="20"/>
          <w:vertAlign w:val="superscript"/>
        </w:rPr>
        <w:t>[</w:t>
      </w:r>
      <w:proofErr w:type="gramEnd"/>
      <w:r w:rsidRPr="00E1613F">
        <w:rPr>
          <w:rFonts w:ascii="Book Antiqua" w:eastAsia="Book Antiqua" w:hAnsi="Book Antiqua" w:cs="Book Antiqua"/>
          <w:color w:val="000000" w:themeColor="text1"/>
          <w:szCs w:val="20"/>
          <w:vertAlign w:val="superscript"/>
        </w:rPr>
        <w:t>42]</w:t>
      </w:r>
      <w:r w:rsidRPr="00E1613F">
        <w:rPr>
          <w:rFonts w:ascii="Book Antiqua" w:eastAsia="Book Antiqua" w:hAnsi="Book Antiqua" w:cs="Book Antiqua"/>
          <w:color w:val="000000" w:themeColor="text1"/>
        </w:rPr>
        <w:t xml:space="preserve">. High expression of TIM3 may lead to the suppression of immune response, and diminishing host immune clearance of tumors, thereby promoting tumor growth and proliferation. This may explain the association between high TIM3 expression and poor prognosis of upper GI tract tumors. This further </w:t>
      </w:r>
      <w:r w:rsidRPr="00E1613F">
        <w:rPr>
          <w:rFonts w:ascii="Book Antiqua" w:eastAsia="Book Antiqua" w:hAnsi="Book Antiqua" w:cs="Book Antiqua"/>
          <w:color w:val="000000" w:themeColor="text1"/>
        </w:rPr>
        <w:lastRenderedPageBreak/>
        <w:t>emphasizes the significance of TIM3 as a potential therapeutic target and prognostic biomarker.</w:t>
      </w:r>
    </w:p>
    <w:p w14:paraId="34B662FE"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Through a meta-analysis approach, our study comprehensively assessed the prognostic significance of TIM3 in upper GI tract tumors. Our findings suggest that TIM3 might be a biomarker warranting further attention. It not only offers a novel reference for classifying and staging upper GI tract tumors but may also shed light on the potential immunotherapeutic strategies for these tumors. Especially as immunotherapy becomes a focal point of cancer treatment, TIM3, as one of the immune checkpoints and a regulator of T-cell responses in the tumor microenvironment, may become an important test </w:t>
      </w:r>
      <w:proofErr w:type="gramStart"/>
      <w:r w:rsidRPr="00E1613F">
        <w:rPr>
          <w:rFonts w:ascii="Book Antiqua" w:eastAsia="Book Antiqua" w:hAnsi="Book Antiqua" w:cs="Book Antiqua"/>
          <w:color w:val="000000" w:themeColor="text1"/>
        </w:rPr>
        <w:t>similar to</w:t>
      </w:r>
      <w:proofErr w:type="gramEnd"/>
      <w:r w:rsidRPr="00E1613F">
        <w:rPr>
          <w:rFonts w:ascii="Book Antiqua" w:eastAsia="Book Antiqua" w:hAnsi="Book Antiqua" w:cs="Book Antiqua"/>
          <w:color w:val="000000" w:themeColor="text1"/>
        </w:rPr>
        <w:t xml:space="preserve"> PD-1/PD-L1. Such checkpoints are commonly associated with immune escape in cancer patients, and therefore, therapies targeting them may provide significant clinical benefits.</w:t>
      </w:r>
    </w:p>
    <w:p w14:paraId="54006BD6"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Before embarking on this research, the existing literature presented conflicting views regarding the role of TIM3 in upper GI tract tumors. At present, we do not fully understand the specific role of TIM3 in various upper GI tract tumors and its potential interactions with other immune checkpoints, such as PD-1/PD-L1. We aim to consolidate a stronger evidence base in this area by systematically conducting meta-analyses covering a wider range of literature, employing state-of-the-art statistical techniques, and </w:t>
      </w:r>
      <w:proofErr w:type="gramStart"/>
      <w:r w:rsidRPr="00E1613F">
        <w:rPr>
          <w:rFonts w:ascii="Book Antiqua" w:eastAsia="Book Antiqua" w:hAnsi="Book Antiqua" w:cs="Book Antiqua"/>
          <w:color w:val="000000" w:themeColor="text1"/>
        </w:rPr>
        <w:t>taking into account</w:t>
      </w:r>
      <w:proofErr w:type="gramEnd"/>
      <w:r w:rsidRPr="00E1613F">
        <w:rPr>
          <w:rFonts w:ascii="Book Antiqua" w:eastAsia="Book Antiqua" w:hAnsi="Book Antiqua" w:cs="Book Antiqua"/>
          <w:color w:val="000000" w:themeColor="text1"/>
        </w:rPr>
        <w:t xml:space="preserve"> a variety of potential confounding factors. Recognizing the role of TIM3 as an immunomodulatory molecule and its expression trends in different tumors, we believe that studies around TIM3 will increase in the future. The benefits of TIM3-targeted therapeutic strategies may not be limited to upper GI tract tumors but also to other cancer types. In addition, TIM3-focused combination therapies, such as those paired with PD-1/PD-L1 inhibitors, may become a hot research topic. As more studies unravel the function of TIM3 and its interrelationships with other immune checkpoints, it may become an important target in cancer therapy. TIM3 is expected to serve as a biomarker to predict prognosis and provide guidance for immunotherapy and even chemotherapy.</w:t>
      </w:r>
    </w:p>
    <w:p w14:paraId="2F35C81C" w14:textId="77777777" w:rsidR="00F614B0" w:rsidRPr="00E1613F" w:rsidRDefault="00000000">
      <w:pPr>
        <w:spacing w:line="360" w:lineRule="auto"/>
        <w:ind w:firstLine="270"/>
        <w:jc w:val="both"/>
        <w:rPr>
          <w:color w:val="000000" w:themeColor="text1"/>
        </w:rPr>
      </w:pPr>
      <w:r w:rsidRPr="00E1613F">
        <w:rPr>
          <w:rFonts w:ascii="Book Antiqua" w:eastAsia="Book Antiqua" w:hAnsi="Book Antiqua" w:cs="Book Antiqua"/>
          <w:color w:val="000000" w:themeColor="text1"/>
        </w:rPr>
        <w:t xml:space="preserve">Although our study provides strong evidence for the role of TIM3 in upper GI tract tumors, it also has its limitations. First, the studies included in the meta-analysis were </w:t>
      </w:r>
      <w:r w:rsidRPr="00E1613F">
        <w:rPr>
          <w:rFonts w:ascii="Book Antiqua" w:eastAsia="Book Antiqua" w:hAnsi="Book Antiqua" w:cs="Book Antiqua"/>
          <w:color w:val="000000" w:themeColor="text1"/>
        </w:rPr>
        <w:lastRenderedPageBreak/>
        <w:t>conducted only in Asian populations. Thus, our conclusions may not be entirely generalizable to other ethnic groups. Second, the studies included in the meta-analysis were somewhat heterogeneous in terms of study design, sample source, and experimental method. Moreover, the experimental method used was IHC, which is a less accurate method for quantitative analysis compared to other protein analysis methods. In addition, TIM3-related clinical drugs are not widely available, and further drug development is needed.</w:t>
      </w:r>
    </w:p>
    <w:p w14:paraId="3D4AAC12" w14:textId="77777777" w:rsidR="00F614B0" w:rsidRPr="00E1613F" w:rsidRDefault="00F614B0">
      <w:pPr>
        <w:spacing w:line="360" w:lineRule="auto"/>
        <w:ind w:firstLine="480"/>
        <w:jc w:val="both"/>
        <w:rPr>
          <w:color w:val="000000" w:themeColor="text1"/>
        </w:rPr>
      </w:pPr>
    </w:p>
    <w:p w14:paraId="74B7F678"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aps/>
          <w:color w:val="000000" w:themeColor="text1"/>
          <w:u w:val="single"/>
        </w:rPr>
        <w:t>CONCLUSION</w:t>
      </w:r>
    </w:p>
    <w:p w14:paraId="507741D1"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In conclusion, the meta-analysis results suggest that high TIM3 expression in upper GI tract tumors is strongly associated with poor prognosis. The findings underline the role of TIM3 as a potential prognostic marker, which may provide guidance in the development of individualized treatment and immunotherapy strategies. However, more studies are needed to explore the prognostic value of TIM3 expression in upper GI tract tumors. Furthermore, unraveling its underlying mechanisms may provide a theoretical basis for the development of therapeutic strategies that target TIM3.</w:t>
      </w:r>
    </w:p>
    <w:p w14:paraId="0A24E23E" w14:textId="77777777" w:rsidR="00F614B0" w:rsidRPr="00E1613F" w:rsidRDefault="00F614B0">
      <w:pPr>
        <w:jc w:val="both"/>
      </w:pPr>
    </w:p>
    <w:p w14:paraId="44082CE7"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aps/>
          <w:color w:val="000000" w:themeColor="text1"/>
          <w:u w:val="single"/>
        </w:rPr>
        <w:t>ARTICLE HIGHLIGHTS</w:t>
      </w:r>
    </w:p>
    <w:p w14:paraId="08AF8598"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background</w:t>
      </w:r>
    </w:p>
    <w:p w14:paraId="50A4CC5E"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T cell immunoglobulin and mucin-domain containing-3 (TIM3) is an immune checkpoint molecule. The prognostic value of TIM3 expression in upper gastrointestinal (GI) tract tumors has not been comprehensively analyzed.</w:t>
      </w:r>
    </w:p>
    <w:p w14:paraId="5D411C2C" w14:textId="77777777" w:rsidR="00F614B0" w:rsidRPr="00E1613F" w:rsidRDefault="00F614B0">
      <w:pPr>
        <w:spacing w:line="360" w:lineRule="auto"/>
        <w:jc w:val="both"/>
        <w:rPr>
          <w:color w:val="000000" w:themeColor="text1"/>
        </w:rPr>
      </w:pPr>
    </w:p>
    <w:p w14:paraId="25E29EA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motivation</w:t>
      </w:r>
    </w:p>
    <w:p w14:paraId="01ED17E8"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The study clarifies the prognostic value of TIM3 in upper GI tumors and assesses whether TIM3 could be used as a research target to guide future clinical treatment.</w:t>
      </w:r>
    </w:p>
    <w:p w14:paraId="7FBACB56" w14:textId="77777777" w:rsidR="00F614B0" w:rsidRPr="00E1613F" w:rsidRDefault="00F614B0">
      <w:pPr>
        <w:spacing w:line="360" w:lineRule="auto"/>
        <w:jc w:val="both"/>
        <w:rPr>
          <w:color w:val="000000" w:themeColor="text1"/>
        </w:rPr>
      </w:pPr>
    </w:p>
    <w:p w14:paraId="3C179AF4"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objectives</w:t>
      </w:r>
    </w:p>
    <w:p w14:paraId="70A06505"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The study investigates the immunohistochemical expression of TIM3 in upper GI tract tumors and assesses its clinical and prognostic value.</w:t>
      </w:r>
    </w:p>
    <w:p w14:paraId="54505D9D" w14:textId="77777777" w:rsidR="00F614B0" w:rsidRPr="00E1613F" w:rsidRDefault="00F614B0">
      <w:pPr>
        <w:spacing w:line="360" w:lineRule="auto"/>
        <w:jc w:val="both"/>
        <w:rPr>
          <w:color w:val="000000" w:themeColor="text1"/>
        </w:rPr>
      </w:pPr>
    </w:p>
    <w:p w14:paraId="2A241FFC"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methods</w:t>
      </w:r>
    </w:p>
    <w:p w14:paraId="46EBD91E"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The PubMed, Web of Science, and Embase databases were searched for subject terms, including “TIM3,” “gastric cancer,” and “esophageal cancer,” Data analyses were performed using STATA 15.2. The results were expressed as hazard ratio (HR) and odds ratio (OR), with the respective 95% confidence interval (CI). Heterogeneity was assessed using the I</w:t>
      </w:r>
      <w:r w:rsidRPr="00E1613F">
        <w:rPr>
          <w:rFonts w:ascii="Book Antiqua" w:eastAsia="Book Antiqua" w:hAnsi="Book Antiqua" w:cs="Book Antiqua"/>
          <w:color w:val="000000" w:themeColor="text1"/>
          <w:szCs w:val="20"/>
          <w:vertAlign w:val="superscript"/>
        </w:rPr>
        <w:t>2</w:t>
      </w:r>
      <w:r w:rsidRPr="00E1613F">
        <w:rPr>
          <w:rFonts w:ascii="Book Antiqua" w:eastAsia="Book Antiqua" w:hAnsi="Book Antiqua" w:cs="Book Antiqua"/>
          <w:color w:val="000000" w:themeColor="text1"/>
        </w:rPr>
        <w:t xml:space="preserve"> statistic.</w:t>
      </w:r>
    </w:p>
    <w:p w14:paraId="60F5342E" w14:textId="77777777" w:rsidR="00F614B0" w:rsidRPr="00E1613F" w:rsidRDefault="00F614B0">
      <w:pPr>
        <w:spacing w:line="360" w:lineRule="auto"/>
        <w:jc w:val="both"/>
        <w:rPr>
          <w:color w:val="000000" w:themeColor="text1"/>
        </w:rPr>
      </w:pPr>
    </w:p>
    <w:p w14:paraId="39DFB23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results</w:t>
      </w:r>
    </w:p>
    <w:p w14:paraId="55C491DD"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High TIM3 expression was associated with a worse prognosis in upper GI tract cancer</w:t>
      </w:r>
      <w:r w:rsidRPr="00E1613F">
        <w:rPr>
          <w:rFonts w:ascii="Book Antiqua" w:eastAsia="宋体" w:hAnsi="Book Antiqua" w:cs="Book Antiqua"/>
          <w:color w:val="000000" w:themeColor="text1"/>
          <w:lang w:eastAsia="zh-CN"/>
        </w:rPr>
        <w:t>s</w:t>
      </w:r>
      <w:r w:rsidRPr="00E1613F">
        <w:rPr>
          <w:rFonts w:ascii="Book Antiqua" w:eastAsia="Book Antiqua" w:hAnsi="Book Antiqua" w:cs="Book Antiqua"/>
          <w:color w:val="000000" w:themeColor="text1"/>
        </w:rPr>
        <w:t xml:space="preserve"> (HR: 1.17, 95%CI: 1.01-1.36). TIM3 overexpression was significantly correlated with the TNM stage (OR: 1.21, 95%CI: 0.63-2.33; </w:t>
      </w:r>
      <w:r w:rsidRPr="00E1613F">
        <w:rPr>
          <w:rFonts w:ascii="Book Antiqua" w:eastAsia="Book Antiqua" w:hAnsi="Book Antiqua" w:cs="Book Antiqua"/>
          <w:i/>
          <w:iCs/>
          <w:color w:val="000000" w:themeColor="text1"/>
        </w:rPr>
        <w:t>P</w:t>
      </w:r>
      <w:r w:rsidRPr="00E1613F">
        <w:rPr>
          <w:rFonts w:ascii="Book Antiqua" w:eastAsia="Book Antiqua" w:hAnsi="Book Antiqua" w:cs="Book Antiqua"/>
          <w:color w:val="000000" w:themeColor="text1"/>
        </w:rPr>
        <w:t xml:space="preserve"> &lt; 0.05). TIM3 expression showed no association with other clinicopathological parameters.</w:t>
      </w:r>
    </w:p>
    <w:p w14:paraId="711CB9BA" w14:textId="77777777" w:rsidR="00F614B0" w:rsidRPr="00E1613F" w:rsidRDefault="00F614B0">
      <w:pPr>
        <w:spacing w:line="360" w:lineRule="auto"/>
        <w:jc w:val="both"/>
        <w:rPr>
          <w:color w:val="000000" w:themeColor="text1"/>
        </w:rPr>
      </w:pPr>
    </w:p>
    <w:p w14:paraId="760E0AB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conclusions</w:t>
      </w:r>
    </w:p>
    <w:p w14:paraId="13BE9302"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High expression of TIM3 in upper GI tract cancer</w:t>
      </w:r>
      <w:r w:rsidRPr="00E1613F">
        <w:rPr>
          <w:rFonts w:ascii="Book Antiqua" w:eastAsia="宋体" w:hAnsi="Book Antiqua" w:cs="Book Antiqua"/>
          <w:color w:val="000000" w:themeColor="text1"/>
          <w:lang w:eastAsia="zh-CN"/>
        </w:rPr>
        <w:t>s</w:t>
      </w:r>
      <w:r w:rsidRPr="00E1613F">
        <w:rPr>
          <w:rFonts w:ascii="Book Antiqua" w:eastAsia="Book Antiqua" w:hAnsi="Book Antiqua" w:cs="Book Antiqua"/>
          <w:color w:val="000000" w:themeColor="text1"/>
        </w:rPr>
        <w:t xml:space="preserve"> is associated with a poorer prognosis and advanced T or N stage.</w:t>
      </w:r>
    </w:p>
    <w:p w14:paraId="111A7CEF" w14:textId="77777777" w:rsidR="00F614B0" w:rsidRPr="00E1613F" w:rsidRDefault="00F614B0">
      <w:pPr>
        <w:spacing w:line="360" w:lineRule="auto"/>
        <w:jc w:val="both"/>
        <w:rPr>
          <w:color w:val="000000" w:themeColor="text1"/>
        </w:rPr>
      </w:pPr>
    </w:p>
    <w:p w14:paraId="4037A20F"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i/>
          <w:color w:val="000000" w:themeColor="text1"/>
        </w:rPr>
        <w:t>Research perspectives</w:t>
      </w:r>
    </w:p>
    <w:p w14:paraId="3150ECFF"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None of the studies included in the meta-analysis evaluated the prognostic value of TIM3 expression in esophagogastric junction cancer. In addition, the small sample size of the studies was a limitation and the effect of confounding factors on the results cannot be ruled out. However, the results revealed a significant association between high expression of TIM3 and poor survival outcomes in upper GI tract tumors. Our analysis suggests that TIM3, as an immune checkpoint receptor, may be a useful prognostic marker and a potential therapeutic target worthy of further research.</w:t>
      </w:r>
    </w:p>
    <w:p w14:paraId="08A0BA6C" w14:textId="77777777" w:rsidR="00F614B0" w:rsidRPr="00E1613F" w:rsidRDefault="00F614B0">
      <w:pPr>
        <w:spacing w:line="360" w:lineRule="auto"/>
        <w:jc w:val="both"/>
        <w:rPr>
          <w:color w:val="000000" w:themeColor="text1"/>
        </w:rPr>
      </w:pPr>
    </w:p>
    <w:p w14:paraId="191C752A"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REFERENCES</w:t>
      </w:r>
    </w:p>
    <w:p w14:paraId="73C77B03"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 </w:t>
      </w:r>
      <w:r w:rsidRPr="00E1613F">
        <w:rPr>
          <w:rFonts w:ascii="Book Antiqua" w:hAnsi="Book Antiqua"/>
          <w:b/>
          <w:bCs/>
        </w:rPr>
        <w:t>Siegel RL</w:t>
      </w:r>
      <w:r w:rsidRPr="00E1613F">
        <w:rPr>
          <w:rFonts w:ascii="Book Antiqua" w:hAnsi="Book Antiqua"/>
        </w:rPr>
        <w:t xml:space="preserve">, Miller KD, Wagle NS, Jemal A. Cancer statistics, 2023. </w:t>
      </w:r>
      <w:r w:rsidRPr="00E1613F">
        <w:rPr>
          <w:rFonts w:ascii="Book Antiqua" w:hAnsi="Book Antiqua"/>
          <w:i/>
          <w:iCs/>
        </w:rPr>
        <w:t>CA Cancer J Clin</w:t>
      </w:r>
      <w:r w:rsidRPr="00E1613F">
        <w:rPr>
          <w:rFonts w:ascii="Book Antiqua" w:hAnsi="Book Antiqua"/>
        </w:rPr>
        <w:t xml:space="preserve"> 2023; </w:t>
      </w:r>
      <w:r w:rsidRPr="00E1613F">
        <w:rPr>
          <w:rFonts w:ascii="Book Antiqua" w:hAnsi="Book Antiqua"/>
          <w:b/>
          <w:bCs/>
        </w:rPr>
        <w:t>73</w:t>
      </w:r>
      <w:r w:rsidRPr="00E1613F">
        <w:rPr>
          <w:rFonts w:ascii="Book Antiqua" w:hAnsi="Book Antiqua"/>
        </w:rPr>
        <w:t>: 17-48 [</w:t>
      </w:r>
      <w:bookmarkStart w:id="1" w:name="OLE_LINK1"/>
      <w:r w:rsidRPr="00E1613F">
        <w:rPr>
          <w:rFonts w:ascii="Book Antiqua" w:hAnsi="Book Antiqua"/>
        </w:rPr>
        <w:t>PMID</w:t>
      </w:r>
      <w:bookmarkEnd w:id="1"/>
      <w:r w:rsidRPr="00E1613F">
        <w:rPr>
          <w:rFonts w:ascii="Book Antiqua" w:hAnsi="Book Antiqua"/>
        </w:rPr>
        <w:t>: 36633525 DOI: 10.3322/caac.21763]</w:t>
      </w:r>
    </w:p>
    <w:p w14:paraId="46C7091E"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lastRenderedPageBreak/>
        <w:t xml:space="preserve">2 </w:t>
      </w:r>
      <w:r w:rsidRPr="00E1613F">
        <w:rPr>
          <w:rFonts w:ascii="Book Antiqua" w:hAnsi="Book Antiqua"/>
          <w:b/>
          <w:bCs/>
        </w:rPr>
        <w:t>Xia C</w:t>
      </w:r>
      <w:r w:rsidRPr="00E1613F">
        <w:rPr>
          <w:rFonts w:ascii="Book Antiqua" w:hAnsi="Book Antiqua"/>
        </w:rPr>
        <w:t xml:space="preserve">, Dong X, Li H, Cao M, Sun D, He S, Yang F, Yan X, Zhang S, Li N, Chen W. Cancer statistics in China and United States, 2022: profiles, trends, and determinants. </w:t>
      </w:r>
      <w:r w:rsidRPr="00E1613F">
        <w:rPr>
          <w:rFonts w:ascii="Book Antiqua" w:hAnsi="Book Antiqua"/>
          <w:i/>
          <w:iCs/>
        </w:rPr>
        <w:t>Chin Med J (</w:t>
      </w:r>
      <w:proofErr w:type="spellStart"/>
      <w:r w:rsidRPr="00E1613F">
        <w:rPr>
          <w:rFonts w:ascii="Book Antiqua" w:hAnsi="Book Antiqua"/>
          <w:i/>
          <w:iCs/>
        </w:rPr>
        <w:t>Engl</w:t>
      </w:r>
      <w:proofErr w:type="spellEnd"/>
      <w:r w:rsidRPr="00E1613F">
        <w:rPr>
          <w:rFonts w:ascii="Book Antiqua" w:hAnsi="Book Antiqua"/>
          <w:i/>
          <w:iCs/>
        </w:rPr>
        <w:t>)</w:t>
      </w:r>
      <w:r w:rsidRPr="00E1613F">
        <w:rPr>
          <w:rFonts w:ascii="Book Antiqua" w:hAnsi="Book Antiqua"/>
        </w:rPr>
        <w:t xml:space="preserve"> 2022; </w:t>
      </w:r>
      <w:r w:rsidRPr="00E1613F">
        <w:rPr>
          <w:rFonts w:ascii="Book Antiqua" w:hAnsi="Book Antiqua"/>
          <w:b/>
          <w:bCs/>
        </w:rPr>
        <w:t>135</w:t>
      </w:r>
      <w:r w:rsidRPr="00E1613F">
        <w:rPr>
          <w:rFonts w:ascii="Book Antiqua" w:hAnsi="Book Antiqua"/>
        </w:rPr>
        <w:t>: 584-590 [PMID: 35143424 DOI: 10.1097/CM9.0000000000002108]</w:t>
      </w:r>
    </w:p>
    <w:p w14:paraId="5CB59472"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 </w:t>
      </w:r>
      <w:r w:rsidRPr="00E1613F">
        <w:rPr>
          <w:rFonts w:ascii="Book Antiqua" w:hAnsi="Book Antiqua"/>
          <w:b/>
          <w:bCs/>
        </w:rPr>
        <w:t>Sung H</w:t>
      </w:r>
      <w:r w:rsidRPr="00E1613F">
        <w:rPr>
          <w:rFonts w:ascii="Book Antiqua" w:hAnsi="Book Antiqua"/>
        </w:rPr>
        <w:t xml:space="preserve">, </w:t>
      </w:r>
      <w:proofErr w:type="spellStart"/>
      <w:r w:rsidRPr="00E1613F">
        <w:rPr>
          <w:rFonts w:ascii="Book Antiqua" w:hAnsi="Book Antiqua"/>
        </w:rPr>
        <w:t>Ferlay</w:t>
      </w:r>
      <w:proofErr w:type="spellEnd"/>
      <w:r w:rsidRPr="00E1613F">
        <w:rPr>
          <w:rFonts w:ascii="Book Antiqua" w:hAnsi="Book Antiqua"/>
        </w:rPr>
        <w:t xml:space="preserve"> J, Siegel RL, </w:t>
      </w:r>
      <w:proofErr w:type="spellStart"/>
      <w:r w:rsidRPr="00E1613F">
        <w:rPr>
          <w:rFonts w:ascii="Book Antiqua" w:hAnsi="Book Antiqua"/>
        </w:rPr>
        <w:t>Laversanne</w:t>
      </w:r>
      <w:proofErr w:type="spellEnd"/>
      <w:r w:rsidRPr="00E1613F">
        <w:rPr>
          <w:rFonts w:ascii="Book Antiqua" w:hAnsi="Book Antiqua"/>
        </w:rPr>
        <w:t xml:space="preserve"> M, </w:t>
      </w:r>
      <w:proofErr w:type="spellStart"/>
      <w:r w:rsidRPr="00E1613F">
        <w:rPr>
          <w:rFonts w:ascii="Book Antiqua" w:hAnsi="Book Antiqua"/>
        </w:rPr>
        <w:t>Soerjomataram</w:t>
      </w:r>
      <w:proofErr w:type="spellEnd"/>
      <w:r w:rsidRPr="00E1613F">
        <w:rPr>
          <w:rFonts w:ascii="Book Antiqua" w:hAnsi="Book Antiqua"/>
        </w:rPr>
        <w:t xml:space="preserve"> I, Jemal A, Bray F. Global Cancer Statistics 2020: GLOBOCAN Estimates of Incidence and Mortality Worldwide for 36 Cancers in 185 Countries. </w:t>
      </w:r>
      <w:r w:rsidRPr="00E1613F">
        <w:rPr>
          <w:rFonts w:ascii="Book Antiqua" w:hAnsi="Book Antiqua"/>
          <w:i/>
          <w:iCs/>
        </w:rPr>
        <w:t>CA Cancer J Clin</w:t>
      </w:r>
      <w:r w:rsidRPr="00E1613F">
        <w:rPr>
          <w:rFonts w:ascii="Book Antiqua" w:hAnsi="Book Antiqua"/>
        </w:rPr>
        <w:t xml:space="preserve"> 2021; </w:t>
      </w:r>
      <w:r w:rsidRPr="00E1613F">
        <w:rPr>
          <w:rFonts w:ascii="Book Antiqua" w:hAnsi="Book Antiqua"/>
          <w:b/>
          <w:bCs/>
        </w:rPr>
        <w:t>71</w:t>
      </w:r>
      <w:r w:rsidRPr="00E1613F">
        <w:rPr>
          <w:rFonts w:ascii="Book Antiqua" w:hAnsi="Book Antiqua"/>
        </w:rPr>
        <w:t>: 209-249 [PMID: 33538338 DOI: 10.3322/caac.21660]</w:t>
      </w:r>
    </w:p>
    <w:p w14:paraId="3D0CBD5E"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4 </w:t>
      </w:r>
      <w:r w:rsidRPr="00E1613F">
        <w:rPr>
          <w:rFonts w:ascii="Book Antiqua" w:hAnsi="Book Antiqua"/>
          <w:b/>
          <w:bCs/>
        </w:rPr>
        <w:t>Zheng R,</w:t>
      </w:r>
      <w:r w:rsidRPr="00E1613F">
        <w:rPr>
          <w:rFonts w:ascii="Book Antiqua" w:hAnsi="Book Antiqua"/>
        </w:rPr>
        <w:t xml:space="preserve"> Zhang S, Zeng H, Wang S, Sun K, Chen R, Li L, Wei W, He J. Cancer incidence and mortality in China, 2016. </w:t>
      </w:r>
      <w:r w:rsidRPr="00E1613F">
        <w:rPr>
          <w:rFonts w:ascii="Book Antiqua" w:hAnsi="Book Antiqua"/>
          <w:i/>
          <w:iCs/>
        </w:rPr>
        <w:t>J Natl Cancer Cent</w:t>
      </w:r>
      <w:r w:rsidRPr="00E1613F">
        <w:rPr>
          <w:rFonts w:ascii="Book Antiqua" w:hAnsi="Book Antiqua"/>
        </w:rPr>
        <w:t xml:space="preserve"> 2022; </w:t>
      </w:r>
      <w:r w:rsidRPr="00E1613F">
        <w:rPr>
          <w:rFonts w:ascii="Book Antiqua" w:hAnsi="Book Antiqua"/>
          <w:b/>
          <w:bCs/>
        </w:rPr>
        <w:t>2</w:t>
      </w:r>
      <w:r w:rsidRPr="00E1613F">
        <w:rPr>
          <w:rFonts w:ascii="Book Antiqua" w:hAnsi="Book Antiqua"/>
        </w:rPr>
        <w:t>: 1-9 [10.1016/j.jncc.2022.02.002]</w:t>
      </w:r>
    </w:p>
    <w:p w14:paraId="2CC9A4D4"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5 </w:t>
      </w:r>
      <w:r w:rsidRPr="00E1613F">
        <w:rPr>
          <w:rFonts w:ascii="Book Antiqua" w:hAnsi="Book Antiqua"/>
          <w:b/>
          <w:bCs/>
        </w:rPr>
        <w:t>Ricci AD</w:t>
      </w:r>
      <w:r w:rsidRPr="00E1613F">
        <w:rPr>
          <w:rFonts w:ascii="Book Antiqua" w:hAnsi="Book Antiqua"/>
        </w:rPr>
        <w:t xml:space="preserve">, Rizzo A, Rojas </w:t>
      </w:r>
      <w:proofErr w:type="spellStart"/>
      <w:r w:rsidRPr="00E1613F">
        <w:rPr>
          <w:rFonts w:ascii="Book Antiqua" w:hAnsi="Book Antiqua"/>
        </w:rPr>
        <w:t>Llimpe</w:t>
      </w:r>
      <w:proofErr w:type="spellEnd"/>
      <w:r w:rsidRPr="00E1613F">
        <w:rPr>
          <w:rFonts w:ascii="Book Antiqua" w:hAnsi="Book Antiqua"/>
        </w:rPr>
        <w:t xml:space="preserve"> FL, Di Fabio F, De </w:t>
      </w:r>
      <w:proofErr w:type="spellStart"/>
      <w:r w:rsidRPr="00E1613F">
        <w:rPr>
          <w:rFonts w:ascii="Book Antiqua" w:hAnsi="Book Antiqua"/>
        </w:rPr>
        <w:t>Biase</w:t>
      </w:r>
      <w:proofErr w:type="spellEnd"/>
      <w:r w:rsidRPr="00E1613F">
        <w:rPr>
          <w:rFonts w:ascii="Book Antiqua" w:hAnsi="Book Antiqua"/>
        </w:rPr>
        <w:t xml:space="preserve"> D, </w:t>
      </w:r>
      <w:proofErr w:type="spellStart"/>
      <w:r w:rsidRPr="00E1613F">
        <w:rPr>
          <w:rFonts w:ascii="Book Antiqua" w:hAnsi="Book Antiqua"/>
        </w:rPr>
        <w:t>Rihawi</w:t>
      </w:r>
      <w:proofErr w:type="spellEnd"/>
      <w:r w:rsidRPr="00E1613F">
        <w:rPr>
          <w:rFonts w:ascii="Book Antiqua" w:hAnsi="Book Antiqua"/>
        </w:rPr>
        <w:t xml:space="preserve"> K. Novel HER2-Directed Treatments in Advanced Gastric Carcinoma: </w:t>
      </w:r>
      <w:proofErr w:type="spellStart"/>
      <w:r w:rsidRPr="00E1613F">
        <w:rPr>
          <w:rFonts w:ascii="Book Antiqua" w:hAnsi="Book Antiqua"/>
        </w:rPr>
        <w:t>AnotHER</w:t>
      </w:r>
      <w:proofErr w:type="spellEnd"/>
      <w:r w:rsidRPr="00E1613F">
        <w:rPr>
          <w:rFonts w:ascii="Book Antiqua" w:hAnsi="Book Antiqua"/>
        </w:rPr>
        <w:t xml:space="preserve"> Paradigm Shift? </w:t>
      </w:r>
      <w:r w:rsidRPr="00E1613F">
        <w:rPr>
          <w:rFonts w:ascii="Book Antiqua" w:hAnsi="Book Antiqua"/>
          <w:i/>
          <w:iCs/>
        </w:rPr>
        <w:t>Cancers (Basel)</w:t>
      </w:r>
      <w:r w:rsidRPr="00E1613F">
        <w:rPr>
          <w:rFonts w:ascii="Book Antiqua" w:hAnsi="Book Antiqua"/>
        </w:rPr>
        <w:t xml:space="preserve"> 2021; </w:t>
      </w:r>
      <w:r w:rsidRPr="00E1613F">
        <w:rPr>
          <w:rFonts w:ascii="Book Antiqua" w:hAnsi="Book Antiqua"/>
          <w:b/>
          <w:bCs/>
        </w:rPr>
        <w:t>13</w:t>
      </w:r>
      <w:r w:rsidRPr="00E1613F">
        <w:rPr>
          <w:rFonts w:ascii="Book Antiqua" w:hAnsi="Book Antiqua"/>
        </w:rPr>
        <w:t xml:space="preserve"> [PMID: 33916206 DOI: 10.3390/cancers13071664]</w:t>
      </w:r>
    </w:p>
    <w:p w14:paraId="4EC51F26"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6 </w:t>
      </w:r>
      <w:proofErr w:type="spellStart"/>
      <w:r w:rsidRPr="00E1613F">
        <w:rPr>
          <w:rFonts w:ascii="Book Antiqua" w:hAnsi="Book Antiqua"/>
          <w:b/>
          <w:bCs/>
        </w:rPr>
        <w:t>Santoni</w:t>
      </w:r>
      <w:proofErr w:type="spellEnd"/>
      <w:r w:rsidRPr="00E1613F">
        <w:rPr>
          <w:rFonts w:ascii="Book Antiqua" w:hAnsi="Book Antiqua"/>
          <w:b/>
          <w:bCs/>
        </w:rPr>
        <w:t xml:space="preserve"> M</w:t>
      </w:r>
      <w:r w:rsidRPr="00E1613F">
        <w:rPr>
          <w:rFonts w:ascii="Book Antiqua" w:hAnsi="Book Antiqua"/>
        </w:rPr>
        <w:t xml:space="preserve">, Rizzo A, </w:t>
      </w:r>
      <w:proofErr w:type="spellStart"/>
      <w:r w:rsidRPr="00E1613F">
        <w:rPr>
          <w:rFonts w:ascii="Book Antiqua" w:hAnsi="Book Antiqua"/>
        </w:rPr>
        <w:t>Mollica</w:t>
      </w:r>
      <w:proofErr w:type="spellEnd"/>
      <w:r w:rsidRPr="00E1613F">
        <w:rPr>
          <w:rFonts w:ascii="Book Antiqua" w:hAnsi="Book Antiqua"/>
        </w:rPr>
        <w:t xml:space="preserve"> V, </w:t>
      </w:r>
      <w:proofErr w:type="spellStart"/>
      <w:r w:rsidRPr="00E1613F">
        <w:rPr>
          <w:rFonts w:ascii="Book Antiqua" w:hAnsi="Book Antiqua"/>
        </w:rPr>
        <w:t>Matrana</w:t>
      </w:r>
      <w:proofErr w:type="spellEnd"/>
      <w:r w:rsidRPr="00E1613F">
        <w:rPr>
          <w:rFonts w:ascii="Book Antiqua" w:hAnsi="Book Antiqua"/>
        </w:rPr>
        <w:t xml:space="preserve"> MR, </w:t>
      </w:r>
      <w:proofErr w:type="spellStart"/>
      <w:r w:rsidRPr="00E1613F">
        <w:rPr>
          <w:rFonts w:ascii="Book Antiqua" w:hAnsi="Book Antiqua"/>
        </w:rPr>
        <w:t>Rosellini</w:t>
      </w:r>
      <w:proofErr w:type="spellEnd"/>
      <w:r w:rsidRPr="00E1613F">
        <w:rPr>
          <w:rFonts w:ascii="Book Antiqua" w:hAnsi="Book Antiqua"/>
        </w:rPr>
        <w:t xml:space="preserve"> M, </w:t>
      </w:r>
      <w:proofErr w:type="spellStart"/>
      <w:r w:rsidRPr="00E1613F">
        <w:rPr>
          <w:rFonts w:ascii="Book Antiqua" w:hAnsi="Book Antiqua"/>
        </w:rPr>
        <w:t>Faloppi</w:t>
      </w:r>
      <w:proofErr w:type="spellEnd"/>
      <w:r w:rsidRPr="00E1613F">
        <w:rPr>
          <w:rFonts w:ascii="Book Antiqua" w:hAnsi="Book Antiqua"/>
        </w:rPr>
        <w:t xml:space="preserve"> L, Marchetti A, </w:t>
      </w:r>
      <w:proofErr w:type="spellStart"/>
      <w:r w:rsidRPr="00E1613F">
        <w:rPr>
          <w:rFonts w:ascii="Book Antiqua" w:hAnsi="Book Antiqua"/>
        </w:rPr>
        <w:t>Battelli</w:t>
      </w:r>
      <w:proofErr w:type="spellEnd"/>
      <w:r w:rsidRPr="00E1613F">
        <w:rPr>
          <w:rFonts w:ascii="Book Antiqua" w:hAnsi="Book Antiqua"/>
        </w:rPr>
        <w:t xml:space="preserve"> N, </w:t>
      </w:r>
      <w:proofErr w:type="spellStart"/>
      <w:r w:rsidRPr="00E1613F">
        <w:rPr>
          <w:rFonts w:ascii="Book Antiqua" w:hAnsi="Book Antiqua"/>
        </w:rPr>
        <w:t>Massari</w:t>
      </w:r>
      <w:proofErr w:type="spellEnd"/>
      <w:r w:rsidRPr="00E1613F">
        <w:rPr>
          <w:rFonts w:ascii="Book Antiqua" w:hAnsi="Book Antiqua"/>
        </w:rPr>
        <w:t xml:space="preserve"> F. The impact of gender on </w:t>
      </w:r>
      <w:proofErr w:type="gramStart"/>
      <w:r w:rsidRPr="00E1613F">
        <w:rPr>
          <w:rFonts w:ascii="Book Antiqua" w:hAnsi="Book Antiqua"/>
        </w:rPr>
        <w:t>The</w:t>
      </w:r>
      <w:proofErr w:type="gramEnd"/>
      <w:r w:rsidRPr="00E1613F">
        <w:rPr>
          <w:rFonts w:ascii="Book Antiqua" w:hAnsi="Book Antiqua"/>
        </w:rPr>
        <w:t xml:space="preserve"> efficacy of immune checkpoint inhibitors in cancer patients: The MOUSEION-01 study. </w:t>
      </w:r>
      <w:r w:rsidRPr="00E1613F">
        <w:rPr>
          <w:rFonts w:ascii="Book Antiqua" w:hAnsi="Book Antiqua"/>
          <w:i/>
          <w:iCs/>
        </w:rPr>
        <w:t xml:space="preserve">Crit Rev Oncol </w:t>
      </w:r>
      <w:proofErr w:type="spellStart"/>
      <w:r w:rsidRPr="00E1613F">
        <w:rPr>
          <w:rFonts w:ascii="Book Antiqua" w:hAnsi="Book Antiqua"/>
          <w:i/>
          <w:iCs/>
        </w:rPr>
        <w:t>Hematol</w:t>
      </w:r>
      <w:proofErr w:type="spellEnd"/>
      <w:r w:rsidRPr="00E1613F">
        <w:rPr>
          <w:rFonts w:ascii="Book Antiqua" w:hAnsi="Book Antiqua"/>
        </w:rPr>
        <w:t xml:space="preserve"> 2022; </w:t>
      </w:r>
      <w:r w:rsidRPr="00E1613F">
        <w:rPr>
          <w:rFonts w:ascii="Book Antiqua" w:hAnsi="Book Antiqua"/>
          <w:b/>
          <w:bCs/>
        </w:rPr>
        <w:t>170</w:t>
      </w:r>
      <w:r w:rsidRPr="00E1613F">
        <w:rPr>
          <w:rFonts w:ascii="Book Antiqua" w:hAnsi="Book Antiqua"/>
        </w:rPr>
        <w:t>: 103596 [PMID: 35031442 DOI: 10.1016/j.critrevonc.2022.103596]</w:t>
      </w:r>
    </w:p>
    <w:p w14:paraId="7B48CF3D"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7 </w:t>
      </w:r>
      <w:proofErr w:type="spellStart"/>
      <w:r w:rsidRPr="00E1613F">
        <w:rPr>
          <w:rFonts w:ascii="Book Antiqua" w:hAnsi="Book Antiqua"/>
          <w:b/>
          <w:bCs/>
        </w:rPr>
        <w:t>Santoni</w:t>
      </w:r>
      <w:proofErr w:type="spellEnd"/>
      <w:r w:rsidRPr="00E1613F">
        <w:rPr>
          <w:rFonts w:ascii="Book Antiqua" w:hAnsi="Book Antiqua"/>
          <w:b/>
          <w:bCs/>
        </w:rPr>
        <w:t xml:space="preserve"> M</w:t>
      </w:r>
      <w:r w:rsidRPr="00E1613F">
        <w:rPr>
          <w:rFonts w:ascii="Book Antiqua" w:hAnsi="Book Antiqua"/>
        </w:rPr>
        <w:t xml:space="preserve">, Rizzo A, </w:t>
      </w:r>
      <w:proofErr w:type="spellStart"/>
      <w:r w:rsidRPr="00E1613F">
        <w:rPr>
          <w:rFonts w:ascii="Book Antiqua" w:hAnsi="Book Antiqua"/>
        </w:rPr>
        <w:t>Kucharz</w:t>
      </w:r>
      <w:proofErr w:type="spellEnd"/>
      <w:r w:rsidRPr="00E1613F">
        <w:rPr>
          <w:rFonts w:ascii="Book Antiqua" w:hAnsi="Book Antiqua"/>
        </w:rPr>
        <w:t xml:space="preserve"> J, </w:t>
      </w:r>
      <w:proofErr w:type="spellStart"/>
      <w:r w:rsidRPr="00E1613F">
        <w:rPr>
          <w:rFonts w:ascii="Book Antiqua" w:hAnsi="Book Antiqua"/>
        </w:rPr>
        <w:t>Mollica</w:t>
      </w:r>
      <w:proofErr w:type="spellEnd"/>
      <w:r w:rsidRPr="00E1613F">
        <w:rPr>
          <w:rFonts w:ascii="Book Antiqua" w:hAnsi="Book Antiqua"/>
        </w:rPr>
        <w:t xml:space="preserve"> V, </w:t>
      </w:r>
      <w:proofErr w:type="spellStart"/>
      <w:r w:rsidRPr="00E1613F">
        <w:rPr>
          <w:rFonts w:ascii="Book Antiqua" w:hAnsi="Book Antiqua"/>
        </w:rPr>
        <w:t>Rosellini</w:t>
      </w:r>
      <w:proofErr w:type="spellEnd"/>
      <w:r w:rsidRPr="00E1613F">
        <w:rPr>
          <w:rFonts w:ascii="Book Antiqua" w:hAnsi="Book Antiqua"/>
        </w:rPr>
        <w:t xml:space="preserve"> M, Marchetti A, </w:t>
      </w:r>
      <w:proofErr w:type="spellStart"/>
      <w:r w:rsidRPr="00E1613F">
        <w:rPr>
          <w:rFonts w:ascii="Book Antiqua" w:hAnsi="Book Antiqua"/>
        </w:rPr>
        <w:t>Tassinari</w:t>
      </w:r>
      <w:proofErr w:type="spellEnd"/>
      <w:r w:rsidRPr="00E1613F">
        <w:rPr>
          <w:rFonts w:ascii="Book Antiqua" w:hAnsi="Book Antiqua"/>
        </w:rPr>
        <w:t xml:space="preserve"> E, Monteiro FSM, Soares A, Molina-</w:t>
      </w:r>
      <w:proofErr w:type="spellStart"/>
      <w:r w:rsidRPr="00E1613F">
        <w:rPr>
          <w:rFonts w:ascii="Book Antiqua" w:hAnsi="Book Antiqua"/>
        </w:rPr>
        <w:t>Cerrillo</w:t>
      </w:r>
      <w:proofErr w:type="spellEnd"/>
      <w:r w:rsidRPr="00E1613F">
        <w:rPr>
          <w:rFonts w:ascii="Book Antiqua" w:hAnsi="Book Antiqua"/>
        </w:rPr>
        <w:t xml:space="preserve"> J, Grande E, </w:t>
      </w:r>
      <w:proofErr w:type="spellStart"/>
      <w:r w:rsidRPr="00E1613F">
        <w:rPr>
          <w:rFonts w:ascii="Book Antiqua" w:hAnsi="Book Antiqua"/>
        </w:rPr>
        <w:t>Battelli</w:t>
      </w:r>
      <w:proofErr w:type="spellEnd"/>
      <w:r w:rsidRPr="00E1613F">
        <w:rPr>
          <w:rFonts w:ascii="Book Antiqua" w:hAnsi="Book Antiqua"/>
        </w:rPr>
        <w:t xml:space="preserve"> N, </w:t>
      </w:r>
      <w:proofErr w:type="spellStart"/>
      <w:r w:rsidRPr="00E1613F">
        <w:rPr>
          <w:rFonts w:ascii="Book Antiqua" w:hAnsi="Book Antiqua"/>
        </w:rPr>
        <w:t>Massari</w:t>
      </w:r>
      <w:proofErr w:type="spellEnd"/>
      <w:r w:rsidRPr="00E1613F">
        <w:rPr>
          <w:rFonts w:ascii="Book Antiqua" w:hAnsi="Book Antiqua"/>
        </w:rPr>
        <w:t xml:space="preserve"> F. Complete remissions following immunotherapy or immuno-oncology combinations in cancer patients: the MOUSEION-03 meta-analysis. </w:t>
      </w:r>
      <w:r w:rsidRPr="00E1613F">
        <w:rPr>
          <w:rFonts w:ascii="Book Antiqua" w:hAnsi="Book Antiqua"/>
          <w:i/>
          <w:iCs/>
        </w:rPr>
        <w:t xml:space="preserve">Cancer Immunol </w:t>
      </w:r>
      <w:proofErr w:type="spellStart"/>
      <w:r w:rsidRPr="00E1613F">
        <w:rPr>
          <w:rFonts w:ascii="Book Antiqua" w:hAnsi="Book Antiqua"/>
          <w:i/>
          <w:iCs/>
        </w:rPr>
        <w:t>Immunother</w:t>
      </w:r>
      <w:proofErr w:type="spellEnd"/>
      <w:r w:rsidRPr="00E1613F">
        <w:rPr>
          <w:rFonts w:ascii="Book Antiqua" w:hAnsi="Book Antiqua"/>
        </w:rPr>
        <w:t xml:space="preserve"> 2023; </w:t>
      </w:r>
      <w:r w:rsidRPr="00E1613F">
        <w:rPr>
          <w:rFonts w:ascii="Book Antiqua" w:hAnsi="Book Antiqua"/>
          <w:b/>
          <w:bCs/>
        </w:rPr>
        <w:t>72</w:t>
      </w:r>
      <w:r w:rsidRPr="00E1613F">
        <w:rPr>
          <w:rFonts w:ascii="Book Antiqua" w:hAnsi="Book Antiqua"/>
        </w:rPr>
        <w:t>: 1365-1379 [PMID: 36633661 DOI: 10.1007/s00262-022-03349-4]</w:t>
      </w:r>
    </w:p>
    <w:p w14:paraId="33436094"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8 </w:t>
      </w:r>
      <w:r w:rsidRPr="00E1613F">
        <w:rPr>
          <w:rFonts w:ascii="Book Antiqua" w:hAnsi="Book Antiqua"/>
          <w:b/>
          <w:bCs/>
        </w:rPr>
        <w:t>Ricci AD</w:t>
      </w:r>
      <w:r w:rsidRPr="00E1613F">
        <w:rPr>
          <w:rFonts w:ascii="Book Antiqua" w:hAnsi="Book Antiqua"/>
        </w:rPr>
        <w:t xml:space="preserve">, Rizzo A, Brandi G. DNA damage response alterations in gastric cancer: knocking down a new wall. </w:t>
      </w:r>
      <w:r w:rsidRPr="00E1613F">
        <w:rPr>
          <w:rFonts w:ascii="Book Antiqua" w:hAnsi="Book Antiqua"/>
          <w:i/>
          <w:iCs/>
        </w:rPr>
        <w:t>Future Oncol</w:t>
      </w:r>
      <w:r w:rsidRPr="00E1613F">
        <w:rPr>
          <w:rFonts w:ascii="Book Antiqua" w:hAnsi="Book Antiqua"/>
        </w:rPr>
        <w:t xml:space="preserve"> 2021; </w:t>
      </w:r>
      <w:r w:rsidRPr="00E1613F">
        <w:rPr>
          <w:rFonts w:ascii="Book Antiqua" w:hAnsi="Book Antiqua"/>
          <w:b/>
          <w:bCs/>
        </w:rPr>
        <w:t>17</w:t>
      </w:r>
      <w:r w:rsidRPr="00E1613F">
        <w:rPr>
          <w:rFonts w:ascii="Book Antiqua" w:hAnsi="Book Antiqua"/>
        </w:rPr>
        <w:t>: 865-868 [PMID: 33508962 DOI: 10.2217/fon-2020-0989]</w:t>
      </w:r>
    </w:p>
    <w:p w14:paraId="3ADCEC8D"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9 </w:t>
      </w:r>
      <w:proofErr w:type="spellStart"/>
      <w:r w:rsidRPr="00E1613F">
        <w:rPr>
          <w:rFonts w:ascii="Book Antiqua" w:hAnsi="Book Antiqua"/>
          <w:b/>
          <w:bCs/>
        </w:rPr>
        <w:t>Pardoll</w:t>
      </w:r>
      <w:proofErr w:type="spellEnd"/>
      <w:r w:rsidRPr="00E1613F">
        <w:rPr>
          <w:rFonts w:ascii="Book Antiqua" w:hAnsi="Book Antiqua"/>
          <w:b/>
          <w:bCs/>
        </w:rPr>
        <w:t xml:space="preserve"> DM</w:t>
      </w:r>
      <w:r w:rsidRPr="00E1613F">
        <w:rPr>
          <w:rFonts w:ascii="Book Antiqua" w:hAnsi="Book Antiqua"/>
        </w:rPr>
        <w:t xml:space="preserve">. The blockade of immune checkpoints in cancer immunotherapy. </w:t>
      </w:r>
      <w:r w:rsidRPr="00E1613F">
        <w:rPr>
          <w:rFonts w:ascii="Book Antiqua" w:hAnsi="Book Antiqua"/>
          <w:i/>
          <w:iCs/>
        </w:rPr>
        <w:t>Nat Rev Cancer</w:t>
      </w:r>
      <w:r w:rsidRPr="00E1613F">
        <w:rPr>
          <w:rFonts w:ascii="Book Antiqua" w:hAnsi="Book Antiqua"/>
        </w:rPr>
        <w:t xml:space="preserve"> 2012; </w:t>
      </w:r>
      <w:r w:rsidRPr="00E1613F">
        <w:rPr>
          <w:rFonts w:ascii="Book Antiqua" w:hAnsi="Book Antiqua"/>
          <w:b/>
          <w:bCs/>
        </w:rPr>
        <w:t>12</w:t>
      </w:r>
      <w:r w:rsidRPr="00E1613F">
        <w:rPr>
          <w:rFonts w:ascii="Book Antiqua" w:hAnsi="Book Antiqua"/>
        </w:rPr>
        <w:t>: 252-264 [PMID: 22437870 DOI: 10.1038/nrc3239]</w:t>
      </w:r>
    </w:p>
    <w:p w14:paraId="486BAE72"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10 </w:t>
      </w:r>
      <w:r w:rsidRPr="00E1613F">
        <w:rPr>
          <w:rFonts w:ascii="Book Antiqua" w:hAnsi="Book Antiqua"/>
          <w:b/>
          <w:bCs/>
        </w:rPr>
        <w:t>Li B</w:t>
      </w:r>
      <w:r w:rsidRPr="00E1613F">
        <w:rPr>
          <w:rFonts w:ascii="Book Antiqua" w:hAnsi="Book Antiqua"/>
        </w:rPr>
        <w:t xml:space="preserve">, Chan HL, Chen P. Immune Checkpoint Inhibitors: Basics and Challenges. </w:t>
      </w:r>
      <w:proofErr w:type="spellStart"/>
      <w:r w:rsidRPr="00E1613F">
        <w:rPr>
          <w:rFonts w:ascii="Book Antiqua" w:hAnsi="Book Antiqua"/>
          <w:i/>
          <w:iCs/>
        </w:rPr>
        <w:t>Curr</w:t>
      </w:r>
      <w:proofErr w:type="spellEnd"/>
      <w:r w:rsidRPr="00E1613F">
        <w:rPr>
          <w:rFonts w:ascii="Book Antiqua" w:hAnsi="Book Antiqua"/>
          <w:i/>
          <w:iCs/>
        </w:rPr>
        <w:t xml:space="preserve"> Med Chem</w:t>
      </w:r>
      <w:r w:rsidRPr="00E1613F">
        <w:rPr>
          <w:rFonts w:ascii="Book Antiqua" w:hAnsi="Book Antiqua"/>
        </w:rPr>
        <w:t xml:space="preserve"> 2019; </w:t>
      </w:r>
      <w:r w:rsidRPr="00E1613F">
        <w:rPr>
          <w:rFonts w:ascii="Book Antiqua" w:hAnsi="Book Antiqua"/>
          <w:b/>
          <w:bCs/>
        </w:rPr>
        <w:t>26</w:t>
      </w:r>
      <w:r w:rsidRPr="00E1613F">
        <w:rPr>
          <w:rFonts w:ascii="Book Antiqua" w:hAnsi="Book Antiqua"/>
        </w:rPr>
        <w:t>: 3009-3025 [PMID: 28782469 DOI: 10.2174/0929867324666170804143706]</w:t>
      </w:r>
    </w:p>
    <w:p w14:paraId="6610215B"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lastRenderedPageBreak/>
        <w:t xml:space="preserve">11 </w:t>
      </w:r>
      <w:r w:rsidRPr="00E1613F">
        <w:rPr>
          <w:rFonts w:ascii="Book Antiqua" w:hAnsi="Book Antiqua"/>
          <w:b/>
          <w:bCs/>
        </w:rPr>
        <w:t>Tang Q</w:t>
      </w:r>
      <w:r w:rsidRPr="00E1613F">
        <w:rPr>
          <w:rFonts w:ascii="Book Antiqua" w:hAnsi="Book Antiqua"/>
        </w:rPr>
        <w:t xml:space="preserve">, Chen Y, Li X, Long S, Shi Y, Yu Y, Wu W, Han L, Wang S. The role of PD-1/PD-L1 and application of immune-checkpoint inhibitors in human cancers. </w:t>
      </w:r>
      <w:r w:rsidRPr="00E1613F">
        <w:rPr>
          <w:rFonts w:ascii="Book Antiqua" w:hAnsi="Book Antiqua"/>
          <w:i/>
          <w:iCs/>
        </w:rPr>
        <w:t>Front Immunol</w:t>
      </w:r>
      <w:r w:rsidRPr="00E1613F">
        <w:rPr>
          <w:rFonts w:ascii="Book Antiqua" w:hAnsi="Book Antiqua"/>
        </w:rPr>
        <w:t xml:space="preserve"> 2022; </w:t>
      </w:r>
      <w:r w:rsidRPr="00E1613F">
        <w:rPr>
          <w:rFonts w:ascii="Book Antiqua" w:hAnsi="Book Antiqua"/>
          <w:b/>
          <w:bCs/>
        </w:rPr>
        <w:t>13</w:t>
      </w:r>
      <w:r w:rsidRPr="00E1613F">
        <w:rPr>
          <w:rFonts w:ascii="Book Antiqua" w:hAnsi="Book Antiqua"/>
        </w:rPr>
        <w:t>: 964442 [PMID: 36177034 DOI: 10.3389/fimmu.2022.964442]</w:t>
      </w:r>
    </w:p>
    <w:p w14:paraId="13DC8703"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12 </w:t>
      </w:r>
      <w:r w:rsidRPr="00E1613F">
        <w:rPr>
          <w:rFonts w:ascii="Book Antiqua" w:hAnsi="Book Antiqua"/>
          <w:b/>
          <w:bCs/>
        </w:rPr>
        <w:t>Lipson EJ</w:t>
      </w:r>
      <w:r w:rsidRPr="00E1613F">
        <w:rPr>
          <w:rFonts w:ascii="Book Antiqua" w:hAnsi="Book Antiqua"/>
        </w:rPr>
        <w:t xml:space="preserve">, Drake CG. Ipilimumab: an anti-CTLA-4 antibody for metastatic melanoma. </w:t>
      </w:r>
      <w:r w:rsidRPr="00E1613F">
        <w:rPr>
          <w:rFonts w:ascii="Book Antiqua" w:hAnsi="Book Antiqua"/>
          <w:i/>
          <w:iCs/>
        </w:rPr>
        <w:t>Clin Cancer Res</w:t>
      </w:r>
      <w:r w:rsidRPr="00E1613F">
        <w:rPr>
          <w:rFonts w:ascii="Book Antiqua" w:hAnsi="Book Antiqua"/>
        </w:rPr>
        <w:t xml:space="preserve"> 2011; </w:t>
      </w:r>
      <w:r w:rsidRPr="00E1613F">
        <w:rPr>
          <w:rFonts w:ascii="Book Antiqua" w:hAnsi="Book Antiqua"/>
          <w:b/>
          <w:bCs/>
        </w:rPr>
        <w:t>17</w:t>
      </w:r>
      <w:r w:rsidRPr="00E1613F">
        <w:rPr>
          <w:rFonts w:ascii="Book Antiqua" w:hAnsi="Book Antiqua"/>
        </w:rPr>
        <w:t>: 6958-6962 [PMID: 21900389 DOI: 10.1158/1078-0432.CCR-11-1595]</w:t>
      </w:r>
    </w:p>
    <w:p w14:paraId="0E344799"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13 </w:t>
      </w:r>
      <w:r w:rsidRPr="00E1613F">
        <w:rPr>
          <w:rFonts w:ascii="Book Antiqua" w:hAnsi="Book Antiqua"/>
          <w:b/>
          <w:bCs/>
        </w:rPr>
        <w:t>Yi M</w:t>
      </w:r>
      <w:r w:rsidRPr="00E1613F">
        <w:rPr>
          <w:rFonts w:ascii="Book Antiqua" w:hAnsi="Book Antiqua"/>
        </w:rPr>
        <w:t xml:space="preserve">, Zheng X, </w:t>
      </w:r>
      <w:proofErr w:type="spellStart"/>
      <w:r w:rsidRPr="00E1613F">
        <w:rPr>
          <w:rFonts w:ascii="Book Antiqua" w:hAnsi="Book Antiqua"/>
        </w:rPr>
        <w:t>Niu</w:t>
      </w:r>
      <w:proofErr w:type="spellEnd"/>
      <w:r w:rsidRPr="00E1613F">
        <w:rPr>
          <w:rFonts w:ascii="Book Antiqua" w:hAnsi="Book Antiqua"/>
        </w:rPr>
        <w:t xml:space="preserve"> M, Zhu S, Ge H, Wu K. Combination strategies with PD-1/PD-L1 blockade: current advances and future directions. </w:t>
      </w:r>
      <w:r w:rsidRPr="00E1613F">
        <w:rPr>
          <w:rFonts w:ascii="Book Antiqua" w:hAnsi="Book Antiqua"/>
          <w:i/>
          <w:iCs/>
        </w:rPr>
        <w:t>Mol Cancer</w:t>
      </w:r>
      <w:r w:rsidRPr="00E1613F">
        <w:rPr>
          <w:rFonts w:ascii="Book Antiqua" w:hAnsi="Book Antiqua"/>
        </w:rPr>
        <w:t xml:space="preserve"> 2022; </w:t>
      </w:r>
      <w:r w:rsidRPr="00E1613F">
        <w:rPr>
          <w:rFonts w:ascii="Book Antiqua" w:hAnsi="Book Antiqua"/>
          <w:b/>
          <w:bCs/>
        </w:rPr>
        <w:t>21</w:t>
      </w:r>
      <w:r w:rsidRPr="00E1613F">
        <w:rPr>
          <w:rFonts w:ascii="Book Antiqua" w:hAnsi="Book Antiqua"/>
        </w:rPr>
        <w:t>: 28 [PMID: 35062949 DOI: 10.1186/s12943-021-01489-2]</w:t>
      </w:r>
    </w:p>
    <w:p w14:paraId="06AB7354"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14 </w:t>
      </w:r>
      <w:r w:rsidRPr="00E1613F">
        <w:rPr>
          <w:rFonts w:ascii="Book Antiqua" w:hAnsi="Book Antiqua"/>
          <w:b/>
          <w:bCs/>
        </w:rPr>
        <w:t>Chang E</w:t>
      </w:r>
      <w:r w:rsidRPr="00E1613F">
        <w:rPr>
          <w:rFonts w:ascii="Book Antiqua" w:hAnsi="Book Antiqua"/>
        </w:rPr>
        <w:t xml:space="preserve">, </w:t>
      </w:r>
      <w:proofErr w:type="spellStart"/>
      <w:r w:rsidRPr="00E1613F">
        <w:rPr>
          <w:rFonts w:ascii="Book Antiqua" w:hAnsi="Book Antiqua"/>
        </w:rPr>
        <w:t>Pelosof</w:t>
      </w:r>
      <w:proofErr w:type="spellEnd"/>
      <w:r w:rsidRPr="00E1613F">
        <w:rPr>
          <w:rFonts w:ascii="Book Antiqua" w:hAnsi="Book Antiqua"/>
        </w:rPr>
        <w:t xml:space="preserve"> L, </w:t>
      </w:r>
      <w:proofErr w:type="spellStart"/>
      <w:r w:rsidRPr="00E1613F">
        <w:rPr>
          <w:rFonts w:ascii="Book Antiqua" w:hAnsi="Book Antiqua"/>
        </w:rPr>
        <w:t>Lemery</w:t>
      </w:r>
      <w:proofErr w:type="spellEnd"/>
      <w:r w:rsidRPr="00E1613F">
        <w:rPr>
          <w:rFonts w:ascii="Book Antiqua" w:hAnsi="Book Antiqua"/>
        </w:rPr>
        <w:t xml:space="preserve"> S, Gong Y, Goldberg KB, Farrell AT, Keegan P, </w:t>
      </w:r>
      <w:proofErr w:type="spellStart"/>
      <w:r w:rsidRPr="00E1613F">
        <w:rPr>
          <w:rFonts w:ascii="Book Antiqua" w:hAnsi="Book Antiqua"/>
        </w:rPr>
        <w:t>Veeraraghavan</w:t>
      </w:r>
      <w:proofErr w:type="spellEnd"/>
      <w:r w:rsidRPr="00E1613F">
        <w:rPr>
          <w:rFonts w:ascii="Book Antiqua" w:hAnsi="Book Antiqua"/>
        </w:rPr>
        <w:t xml:space="preserve"> J, Wei G, Blumenthal GM, Amiri-</w:t>
      </w:r>
      <w:proofErr w:type="spellStart"/>
      <w:r w:rsidRPr="00E1613F">
        <w:rPr>
          <w:rFonts w:ascii="Book Antiqua" w:hAnsi="Book Antiqua"/>
        </w:rPr>
        <w:t>Kordestani</w:t>
      </w:r>
      <w:proofErr w:type="spellEnd"/>
      <w:r w:rsidRPr="00E1613F">
        <w:rPr>
          <w:rFonts w:ascii="Book Antiqua" w:hAnsi="Book Antiqua"/>
        </w:rPr>
        <w:t xml:space="preserve"> L, Singh H, </w:t>
      </w:r>
      <w:proofErr w:type="spellStart"/>
      <w:r w:rsidRPr="00E1613F">
        <w:rPr>
          <w:rFonts w:ascii="Book Antiqua" w:hAnsi="Book Antiqua"/>
        </w:rPr>
        <w:t>Fashoyin</w:t>
      </w:r>
      <w:proofErr w:type="spellEnd"/>
      <w:r w:rsidRPr="00E1613F">
        <w:rPr>
          <w:rFonts w:ascii="Book Antiqua" w:hAnsi="Book Antiqua"/>
        </w:rPr>
        <w:t xml:space="preserve">-Aje L, Gormley N, </w:t>
      </w:r>
      <w:proofErr w:type="spellStart"/>
      <w:r w:rsidRPr="00E1613F">
        <w:rPr>
          <w:rFonts w:ascii="Book Antiqua" w:hAnsi="Book Antiqua"/>
        </w:rPr>
        <w:t>Kluetz</w:t>
      </w:r>
      <w:proofErr w:type="spellEnd"/>
      <w:r w:rsidRPr="00E1613F">
        <w:rPr>
          <w:rFonts w:ascii="Book Antiqua" w:hAnsi="Book Antiqua"/>
        </w:rPr>
        <w:t xml:space="preserve"> PG, </w:t>
      </w:r>
      <w:proofErr w:type="spellStart"/>
      <w:r w:rsidRPr="00E1613F">
        <w:rPr>
          <w:rFonts w:ascii="Book Antiqua" w:hAnsi="Book Antiqua"/>
        </w:rPr>
        <w:t>Pazdur</w:t>
      </w:r>
      <w:proofErr w:type="spellEnd"/>
      <w:r w:rsidRPr="00E1613F">
        <w:rPr>
          <w:rFonts w:ascii="Book Antiqua" w:hAnsi="Book Antiqua"/>
        </w:rPr>
        <w:t xml:space="preserve"> R, Beaver JA, </w:t>
      </w:r>
      <w:proofErr w:type="spellStart"/>
      <w:r w:rsidRPr="00E1613F">
        <w:rPr>
          <w:rFonts w:ascii="Book Antiqua" w:hAnsi="Book Antiqua"/>
        </w:rPr>
        <w:t>Theoret</w:t>
      </w:r>
      <w:proofErr w:type="spellEnd"/>
      <w:r w:rsidRPr="00E1613F">
        <w:rPr>
          <w:rFonts w:ascii="Book Antiqua" w:hAnsi="Book Antiqua"/>
        </w:rPr>
        <w:t xml:space="preserve"> MR. Systematic Review of PD-1/PD-L1 Inhibitors in Oncology: From Personalized Medicine to Public Health. </w:t>
      </w:r>
      <w:r w:rsidRPr="00E1613F">
        <w:rPr>
          <w:rFonts w:ascii="Book Antiqua" w:hAnsi="Book Antiqua"/>
          <w:i/>
          <w:iCs/>
        </w:rPr>
        <w:t>Oncologist</w:t>
      </w:r>
      <w:r w:rsidRPr="00E1613F">
        <w:rPr>
          <w:rFonts w:ascii="Book Antiqua" w:hAnsi="Book Antiqua"/>
        </w:rPr>
        <w:t xml:space="preserve"> 2021; </w:t>
      </w:r>
      <w:r w:rsidRPr="00E1613F">
        <w:rPr>
          <w:rFonts w:ascii="Book Antiqua" w:hAnsi="Book Antiqua"/>
          <w:b/>
          <w:bCs/>
        </w:rPr>
        <w:t>26</w:t>
      </w:r>
      <w:r w:rsidRPr="00E1613F">
        <w:rPr>
          <w:rFonts w:ascii="Book Antiqua" w:hAnsi="Book Antiqua"/>
        </w:rPr>
        <w:t>: e1786-e1799 [PMID: 34196068 DOI: 10.1002/onco.13887]</w:t>
      </w:r>
    </w:p>
    <w:p w14:paraId="7A742093"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15 </w:t>
      </w:r>
      <w:proofErr w:type="spellStart"/>
      <w:r w:rsidRPr="00E1613F">
        <w:rPr>
          <w:rFonts w:ascii="Book Antiqua" w:hAnsi="Book Antiqua"/>
          <w:b/>
          <w:bCs/>
        </w:rPr>
        <w:t>Monney</w:t>
      </w:r>
      <w:proofErr w:type="spellEnd"/>
      <w:r w:rsidRPr="00E1613F">
        <w:rPr>
          <w:rFonts w:ascii="Book Antiqua" w:hAnsi="Book Antiqua"/>
          <w:b/>
          <w:bCs/>
        </w:rPr>
        <w:t xml:space="preserve"> L</w:t>
      </w:r>
      <w:r w:rsidRPr="00E1613F">
        <w:rPr>
          <w:rFonts w:ascii="Book Antiqua" w:hAnsi="Book Antiqua"/>
        </w:rPr>
        <w:t xml:space="preserve">, </w:t>
      </w:r>
      <w:proofErr w:type="spellStart"/>
      <w:r w:rsidRPr="00E1613F">
        <w:rPr>
          <w:rFonts w:ascii="Book Antiqua" w:hAnsi="Book Antiqua"/>
        </w:rPr>
        <w:t>Sabatos</w:t>
      </w:r>
      <w:proofErr w:type="spellEnd"/>
      <w:r w:rsidRPr="00E1613F">
        <w:rPr>
          <w:rFonts w:ascii="Book Antiqua" w:hAnsi="Book Antiqua"/>
        </w:rPr>
        <w:t xml:space="preserve"> CA, </w:t>
      </w:r>
      <w:proofErr w:type="spellStart"/>
      <w:r w:rsidRPr="00E1613F">
        <w:rPr>
          <w:rFonts w:ascii="Book Antiqua" w:hAnsi="Book Antiqua"/>
        </w:rPr>
        <w:t>Gaglia</w:t>
      </w:r>
      <w:proofErr w:type="spellEnd"/>
      <w:r w:rsidRPr="00E1613F">
        <w:rPr>
          <w:rFonts w:ascii="Book Antiqua" w:hAnsi="Book Antiqua"/>
        </w:rPr>
        <w:t xml:space="preserve"> JL, Ryu A, Waldner H, </w:t>
      </w:r>
      <w:proofErr w:type="spellStart"/>
      <w:r w:rsidRPr="00E1613F">
        <w:rPr>
          <w:rFonts w:ascii="Book Antiqua" w:hAnsi="Book Antiqua"/>
        </w:rPr>
        <w:t>Chernova</w:t>
      </w:r>
      <w:proofErr w:type="spellEnd"/>
      <w:r w:rsidRPr="00E1613F">
        <w:rPr>
          <w:rFonts w:ascii="Book Antiqua" w:hAnsi="Book Antiqua"/>
        </w:rPr>
        <w:t xml:space="preserve"> T, Manning S, Greenfield EA, Coyle AJ, Sobel RA, Freeman GJ, </w:t>
      </w:r>
      <w:proofErr w:type="spellStart"/>
      <w:r w:rsidRPr="00E1613F">
        <w:rPr>
          <w:rFonts w:ascii="Book Antiqua" w:hAnsi="Book Antiqua"/>
        </w:rPr>
        <w:t>Kuchroo</w:t>
      </w:r>
      <w:proofErr w:type="spellEnd"/>
      <w:r w:rsidRPr="00E1613F">
        <w:rPr>
          <w:rFonts w:ascii="Book Antiqua" w:hAnsi="Book Antiqua"/>
        </w:rPr>
        <w:t xml:space="preserve"> VK. Th1-specific cell surface protein Tim-3 regulates macrophage activation and severity of an autoimmune disease. </w:t>
      </w:r>
      <w:r w:rsidRPr="00E1613F">
        <w:rPr>
          <w:rFonts w:ascii="Book Antiqua" w:hAnsi="Book Antiqua"/>
          <w:i/>
          <w:iCs/>
        </w:rPr>
        <w:t>Nature</w:t>
      </w:r>
      <w:r w:rsidRPr="00E1613F">
        <w:rPr>
          <w:rFonts w:ascii="Book Antiqua" w:hAnsi="Book Antiqua"/>
        </w:rPr>
        <w:t xml:space="preserve"> 2002; </w:t>
      </w:r>
      <w:r w:rsidRPr="00E1613F">
        <w:rPr>
          <w:rFonts w:ascii="Book Antiqua" w:hAnsi="Book Antiqua"/>
          <w:b/>
          <w:bCs/>
        </w:rPr>
        <w:t>415</w:t>
      </w:r>
      <w:r w:rsidRPr="00E1613F">
        <w:rPr>
          <w:rFonts w:ascii="Book Antiqua" w:hAnsi="Book Antiqua"/>
        </w:rPr>
        <w:t>: 536-541 [PMID: 11823861 DOI: 10.1038/415536a]</w:t>
      </w:r>
    </w:p>
    <w:p w14:paraId="5412970B"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16 </w:t>
      </w:r>
      <w:r w:rsidRPr="00E1613F">
        <w:rPr>
          <w:rFonts w:ascii="Book Antiqua" w:hAnsi="Book Antiqua"/>
          <w:b/>
          <w:bCs/>
        </w:rPr>
        <w:t>Zheng S</w:t>
      </w:r>
      <w:r w:rsidRPr="00E1613F">
        <w:rPr>
          <w:rFonts w:ascii="Book Antiqua" w:hAnsi="Book Antiqua"/>
        </w:rPr>
        <w:t xml:space="preserve">, Song J, </w:t>
      </w:r>
      <w:proofErr w:type="spellStart"/>
      <w:r w:rsidRPr="00E1613F">
        <w:rPr>
          <w:rFonts w:ascii="Book Antiqua" w:hAnsi="Book Antiqua"/>
        </w:rPr>
        <w:t>Linghu</w:t>
      </w:r>
      <w:proofErr w:type="spellEnd"/>
      <w:r w:rsidRPr="00E1613F">
        <w:rPr>
          <w:rFonts w:ascii="Book Antiqua" w:hAnsi="Book Antiqua"/>
        </w:rPr>
        <w:t xml:space="preserve"> D, Yang R, Liu B, </w:t>
      </w:r>
      <w:proofErr w:type="spellStart"/>
      <w:r w:rsidRPr="00E1613F">
        <w:rPr>
          <w:rFonts w:ascii="Book Antiqua" w:hAnsi="Book Antiqua"/>
        </w:rPr>
        <w:t>Xue</w:t>
      </w:r>
      <w:proofErr w:type="spellEnd"/>
      <w:r w:rsidRPr="00E1613F">
        <w:rPr>
          <w:rFonts w:ascii="Book Antiqua" w:hAnsi="Book Antiqua"/>
        </w:rPr>
        <w:t xml:space="preserve"> Z, Chen Q, Liu C, Zhong D, Hung MC, Sun L. Galectin-9 blockade synergizes with ATM inhibition to induce potent anti-tumor immunity. </w:t>
      </w:r>
      <w:r w:rsidRPr="00E1613F">
        <w:rPr>
          <w:rFonts w:ascii="Book Antiqua" w:hAnsi="Book Antiqua"/>
          <w:i/>
          <w:iCs/>
        </w:rPr>
        <w:t>Int J Biol Sci</w:t>
      </w:r>
      <w:r w:rsidRPr="00E1613F">
        <w:rPr>
          <w:rFonts w:ascii="Book Antiqua" w:hAnsi="Book Antiqua"/>
        </w:rPr>
        <w:t xml:space="preserve"> 2023; </w:t>
      </w:r>
      <w:r w:rsidRPr="00E1613F">
        <w:rPr>
          <w:rFonts w:ascii="Book Antiqua" w:hAnsi="Book Antiqua"/>
          <w:b/>
          <w:bCs/>
        </w:rPr>
        <w:t>19</w:t>
      </w:r>
      <w:r w:rsidRPr="00E1613F">
        <w:rPr>
          <w:rFonts w:ascii="Book Antiqua" w:hAnsi="Book Antiqua"/>
        </w:rPr>
        <w:t>: 981-993 [PMID: 36778120 DOI: 10.7150/ijbs.79852]</w:t>
      </w:r>
    </w:p>
    <w:p w14:paraId="6839738F"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17 </w:t>
      </w:r>
      <w:r w:rsidRPr="00E1613F">
        <w:rPr>
          <w:rFonts w:ascii="Book Antiqua" w:hAnsi="Book Antiqua"/>
          <w:b/>
          <w:bCs/>
        </w:rPr>
        <w:t>Jiang J</w:t>
      </w:r>
      <w:r w:rsidRPr="00E1613F">
        <w:rPr>
          <w:rFonts w:ascii="Book Antiqua" w:hAnsi="Book Antiqua"/>
        </w:rPr>
        <w:t xml:space="preserve">, </w:t>
      </w:r>
      <w:proofErr w:type="spellStart"/>
      <w:r w:rsidRPr="00E1613F">
        <w:rPr>
          <w:rFonts w:ascii="Book Antiqua" w:hAnsi="Book Antiqua"/>
        </w:rPr>
        <w:t>Jin</w:t>
      </w:r>
      <w:proofErr w:type="spellEnd"/>
      <w:r w:rsidRPr="00E1613F">
        <w:rPr>
          <w:rFonts w:ascii="Book Antiqua" w:hAnsi="Book Antiqua"/>
        </w:rPr>
        <w:t xml:space="preserve"> MS, Kong F, Cao D, Ma HX, Jia Z, Wang YP, Suo J, Cao X. Decreased galectin-9 and increased Tim-3 expression are related to poor prognosis in gastric cancer. </w:t>
      </w:r>
      <w:proofErr w:type="spellStart"/>
      <w:r w:rsidRPr="00E1613F">
        <w:rPr>
          <w:rFonts w:ascii="Book Antiqua" w:hAnsi="Book Antiqua"/>
          <w:i/>
          <w:iCs/>
        </w:rPr>
        <w:t>PLoS</w:t>
      </w:r>
      <w:proofErr w:type="spellEnd"/>
      <w:r w:rsidRPr="00E1613F">
        <w:rPr>
          <w:rFonts w:ascii="Book Antiqua" w:hAnsi="Book Antiqua"/>
          <w:i/>
          <w:iCs/>
        </w:rPr>
        <w:t xml:space="preserve"> One</w:t>
      </w:r>
      <w:r w:rsidRPr="00E1613F">
        <w:rPr>
          <w:rFonts w:ascii="Book Antiqua" w:hAnsi="Book Antiqua"/>
        </w:rPr>
        <w:t xml:space="preserve"> 2013; </w:t>
      </w:r>
      <w:r w:rsidRPr="00E1613F">
        <w:rPr>
          <w:rFonts w:ascii="Book Antiqua" w:hAnsi="Book Antiqua"/>
          <w:b/>
          <w:bCs/>
        </w:rPr>
        <w:t>8</w:t>
      </w:r>
      <w:r w:rsidRPr="00E1613F">
        <w:rPr>
          <w:rFonts w:ascii="Book Antiqua" w:hAnsi="Book Antiqua"/>
        </w:rPr>
        <w:t>: e81799 [PMID: 24339967 DOI: 10.1371/journal.pone.0081799]</w:t>
      </w:r>
    </w:p>
    <w:p w14:paraId="7F132ABC"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18 </w:t>
      </w:r>
      <w:r w:rsidRPr="00E1613F">
        <w:rPr>
          <w:rFonts w:ascii="Book Antiqua" w:hAnsi="Book Antiqua"/>
          <w:b/>
          <w:bCs/>
        </w:rPr>
        <w:t>Wang Y</w:t>
      </w:r>
      <w:r w:rsidRPr="00E1613F">
        <w:rPr>
          <w:rFonts w:ascii="Book Antiqua" w:hAnsi="Book Antiqua"/>
        </w:rPr>
        <w:t>, Zhao E, Zhang Z, Zhao G, Cao H. Association between Tim</w:t>
      </w:r>
      <w:r w:rsidRPr="00E1613F">
        <w:rPr>
          <w:rFonts w:ascii="Book Antiqua" w:hAnsi="Book Antiqua"/>
        </w:rPr>
        <w:noBreakHyphen/>
        <w:t>3 and Gal</w:t>
      </w:r>
      <w:r w:rsidRPr="00E1613F">
        <w:rPr>
          <w:rFonts w:ascii="Book Antiqua" w:hAnsi="Book Antiqua"/>
        </w:rPr>
        <w:noBreakHyphen/>
        <w:t xml:space="preserve">9 expression and gastric cancer prognosis. </w:t>
      </w:r>
      <w:r w:rsidRPr="00E1613F">
        <w:rPr>
          <w:rFonts w:ascii="Book Antiqua" w:hAnsi="Book Antiqua"/>
          <w:i/>
          <w:iCs/>
        </w:rPr>
        <w:t>Oncol Rep</w:t>
      </w:r>
      <w:r w:rsidRPr="00E1613F">
        <w:rPr>
          <w:rFonts w:ascii="Book Antiqua" w:hAnsi="Book Antiqua"/>
        </w:rPr>
        <w:t xml:space="preserve"> 2018; </w:t>
      </w:r>
      <w:r w:rsidRPr="00E1613F">
        <w:rPr>
          <w:rFonts w:ascii="Book Antiqua" w:hAnsi="Book Antiqua"/>
          <w:b/>
          <w:bCs/>
        </w:rPr>
        <w:t>40</w:t>
      </w:r>
      <w:r w:rsidRPr="00E1613F">
        <w:rPr>
          <w:rFonts w:ascii="Book Antiqua" w:hAnsi="Book Antiqua"/>
        </w:rPr>
        <w:t>: 2115-2126 [PMID: 30106451 DOI: 10.3892/or.2018.6627]</w:t>
      </w:r>
    </w:p>
    <w:p w14:paraId="1D5B5CD2"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19 </w:t>
      </w:r>
      <w:r w:rsidRPr="00E1613F">
        <w:rPr>
          <w:rFonts w:ascii="Book Antiqua" w:hAnsi="Book Antiqua"/>
          <w:b/>
          <w:bCs/>
        </w:rPr>
        <w:t>Park Y</w:t>
      </w:r>
      <w:r w:rsidRPr="00E1613F">
        <w:rPr>
          <w:rFonts w:ascii="Book Antiqua" w:hAnsi="Book Antiqua"/>
        </w:rPr>
        <w:t xml:space="preserve">, </w:t>
      </w:r>
      <w:proofErr w:type="spellStart"/>
      <w:r w:rsidRPr="00E1613F">
        <w:rPr>
          <w:rFonts w:ascii="Book Antiqua" w:hAnsi="Book Antiqua"/>
        </w:rPr>
        <w:t>Seo</w:t>
      </w:r>
      <w:proofErr w:type="spellEnd"/>
      <w:r w:rsidRPr="00E1613F">
        <w:rPr>
          <w:rFonts w:ascii="Book Antiqua" w:hAnsi="Book Antiqua"/>
        </w:rPr>
        <w:t xml:space="preserve"> AN, Koh J, Nam SK, Kwak Y, </w:t>
      </w:r>
      <w:proofErr w:type="spellStart"/>
      <w:r w:rsidRPr="00E1613F">
        <w:rPr>
          <w:rFonts w:ascii="Book Antiqua" w:hAnsi="Book Antiqua"/>
        </w:rPr>
        <w:t>Ahn</w:t>
      </w:r>
      <w:proofErr w:type="spellEnd"/>
      <w:r w:rsidRPr="00E1613F">
        <w:rPr>
          <w:rFonts w:ascii="Book Antiqua" w:hAnsi="Book Antiqua"/>
        </w:rPr>
        <w:t xml:space="preserve"> SH, Park DJ, Kim HH, Lee HS. Expression of the immune checkpoint receptors PD-1, LAG3, and TIM3 in the immune context of stage II and III gastric cancer by using single and chromogenic multiplex </w:t>
      </w:r>
      <w:r w:rsidRPr="00E1613F">
        <w:rPr>
          <w:rFonts w:ascii="Book Antiqua" w:hAnsi="Book Antiqua"/>
        </w:rPr>
        <w:lastRenderedPageBreak/>
        <w:t xml:space="preserve">immunohistochemistry. </w:t>
      </w:r>
      <w:proofErr w:type="spellStart"/>
      <w:r w:rsidRPr="00E1613F">
        <w:rPr>
          <w:rFonts w:ascii="Book Antiqua" w:hAnsi="Book Antiqua"/>
          <w:i/>
          <w:iCs/>
        </w:rPr>
        <w:t>Oncoimmunology</w:t>
      </w:r>
      <w:proofErr w:type="spellEnd"/>
      <w:r w:rsidRPr="00E1613F">
        <w:rPr>
          <w:rFonts w:ascii="Book Antiqua" w:hAnsi="Book Antiqua"/>
        </w:rPr>
        <w:t xml:space="preserve"> 2021; </w:t>
      </w:r>
      <w:r w:rsidRPr="00E1613F">
        <w:rPr>
          <w:rFonts w:ascii="Book Antiqua" w:hAnsi="Book Antiqua"/>
          <w:b/>
          <w:bCs/>
        </w:rPr>
        <w:t>10</w:t>
      </w:r>
      <w:r w:rsidRPr="00E1613F">
        <w:rPr>
          <w:rFonts w:ascii="Book Antiqua" w:hAnsi="Book Antiqua"/>
        </w:rPr>
        <w:t>: 1954761 [PMID: 34367732 DOI: 10.1080/2162402X.2021.1954761]</w:t>
      </w:r>
    </w:p>
    <w:p w14:paraId="550494C4"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20 </w:t>
      </w:r>
      <w:r w:rsidRPr="00E1613F">
        <w:rPr>
          <w:rFonts w:ascii="Book Antiqua" w:hAnsi="Book Antiqua"/>
          <w:b/>
          <w:bCs/>
        </w:rPr>
        <w:t>Chen K</w:t>
      </w:r>
      <w:r w:rsidRPr="00E1613F">
        <w:rPr>
          <w:rFonts w:ascii="Book Antiqua" w:hAnsi="Book Antiqua"/>
        </w:rPr>
        <w:t xml:space="preserve">, Gu Y, Cao Y, Fang H, </w:t>
      </w:r>
      <w:proofErr w:type="spellStart"/>
      <w:r w:rsidRPr="00E1613F">
        <w:rPr>
          <w:rFonts w:ascii="Book Antiqua" w:hAnsi="Book Antiqua"/>
        </w:rPr>
        <w:t>Lv</w:t>
      </w:r>
      <w:proofErr w:type="spellEnd"/>
      <w:r w:rsidRPr="00E1613F">
        <w:rPr>
          <w:rFonts w:ascii="Book Antiqua" w:hAnsi="Book Antiqua"/>
        </w:rPr>
        <w:t xml:space="preserve"> K, Liu X, He X, Wang J, Lin C, Liu H, Zhang H, He H, Xu J, Li H, Li R. TIM3(+) cells in gastric cancer: clinical correlates and association with immune context. </w:t>
      </w:r>
      <w:r w:rsidRPr="00E1613F">
        <w:rPr>
          <w:rFonts w:ascii="Book Antiqua" w:hAnsi="Book Antiqua"/>
          <w:i/>
          <w:iCs/>
        </w:rPr>
        <w:t>Br J Cancer</w:t>
      </w:r>
      <w:r w:rsidRPr="00E1613F">
        <w:rPr>
          <w:rFonts w:ascii="Book Antiqua" w:hAnsi="Book Antiqua"/>
        </w:rPr>
        <w:t xml:space="preserve"> 2022; </w:t>
      </w:r>
      <w:r w:rsidRPr="00E1613F">
        <w:rPr>
          <w:rFonts w:ascii="Book Antiqua" w:hAnsi="Book Antiqua"/>
          <w:b/>
          <w:bCs/>
        </w:rPr>
        <w:t>126</w:t>
      </w:r>
      <w:r w:rsidRPr="00E1613F">
        <w:rPr>
          <w:rFonts w:ascii="Book Antiqua" w:hAnsi="Book Antiqua"/>
        </w:rPr>
        <w:t>: 100-108 [PMID: 34725458 DOI: 10.1038/s41416-021-01607-3]</w:t>
      </w:r>
    </w:p>
    <w:p w14:paraId="2BCC110D"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21 </w:t>
      </w:r>
      <w:r w:rsidRPr="00E1613F">
        <w:rPr>
          <w:rFonts w:ascii="Book Antiqua" w:hAnsi="Book Antiqua"/>
          <w:b/>
          <w:bCs/>
        </w:rPr>
        <w:t>Shan B</w:t>
      </w:r>
      <w:r w:rsidRPr="00E1613F">
        <w:rPr>
          <w:rFonts w:ascii="Book Antiqua" w:hAnsi="Book Antiqua"/>
        </w:rPr>
        <w:t xml:space="preserve">, Man H, Liu J, Wang L, Zhu T, Ma M, </w:t>
      </w:r>
      <w:proofErr w:type="spellStart"/>
      <w:r w:rsidRPr="00E1613F">
        <w:rPr>
          <w:rFonts w:ascii="Book Antiqua" w:hAnsi="Book Antiqua"/>
        </w:rPr>
        <w:t>Xv</w:t>
      </w:r>
      <w:proofErr w:type="spellEnd"/>
      <w:r w:rsidRPr="00E1613F">
        <w:rPr>
          <w:rFonts w:ascii="Book Antiqua" w:hAnsi="Book Antiqua"/>
        </w:rPr>
        <w:t xml:space="preserve"> Z, Chen X, Yang X, Li P. TIM-3 promotes the metastasis of esophageal squamous cell carcinoma by targeting epithelial-mesenchymal transition via the Akt/GSK-3β/Snail signaling pathway. </w:t>
      </w:r>
      <w:r w:rsidRPr="00E1613F">
        <w:rPr>
          <w:rFonts w:ascii="Book Antiqua" w:hAnsi="Book Antiqua"/>
          <w:i/>
          <w:iCs/>
        </w:rPr>
        <w:t>Oncol Rep</w:t>
      </w:r>
      <w:r w:rsidRPr="00E1613F">
        <w:rPr>
          <w:rFonts w:ascii="Book Antiqua" w:hAnsi="Book Antiqua"/>
        </w:rPr>
        <w:t xml:space="preserve"> 2016; </w:t>
      </w:r>
      <w:r w:rsidRPr="00E1613F">
        <w:rPr>
          <w:rFonts w:ascii="Book Antiqua" w:hAnsi="Book Antiqua"/>
          <w:b/>
          <w:bCs/>
        </w:rPr>
        <w:t>36</w:t>
      </w:r>
      <w:r w:rsidRPr="00E1613F">
        <w:rPr>
          <w:rFonts w:ascii="Book Antiqua" w:hAnsi="Book Antiqua"/>
        </w:rPr>
        <w:t>: 1551-1561 [PMID: 27430162 DOI: 10.3892/or.2016.4938]</w:t>
      </w:r>
    </w:p>
    <w:p w14:paraId="4EB6DE23"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22 </w:t>
      </w:r>
      <w:r w:rsidRPr="00E1613F">
        <w:rPr>
          <w:rFonts w:ascii="Book Antiqua" w:hAnsi="Book Antiqua"/>
          <w:b/>
          <w:bCs/>
        </w:rPr>
        <w:t>Hou N</w:t>
      </w:r>
      <w:r w:rsidRPr="00E1613F">
        <w:rPr>
          <w:rFonts w:ascii="Book Antiqua" w:hAnsi="Book Antiqua"/>
        </w:rPr>
        <w:t xml:space="preserve">, Ma J, Li W, Zhao L, Gao Q, Mai L. T-cell </w:t>
      </w:r>
      <w:proofErr w:type="gramStart"/>
      <w:r w:rsidRPr="00E1613F">
        <w:rPr>
          <w:rFonts w:ascii="Book Antiqua" w:hAnsi="Book Antiqua"/>
        </w:rPr>
        <w:t>immunoglobulin</w:t>
      </w:r>
      <w:proofErr w:type="gramEnd"/>
      <w:r w:rsidRPr="00E1613F">
        <w:rPr>
          <w:rFonts w:ascii="Book Antiqua" w:hAnsi="Book Antiqua"/>
        </w:rPr>
        <w:t xml:space="preserve"> and mucin domain-containing protein-3 and galectin-9 protein expression: Potential prognostic significance in esophageal squamous cell carcinoma for Chinese patients. </w:t>
      </w:r>
      <w:r w:rsidRPr="00E1613F">
        <w:rPr>
          <w:rFonts w:ascii="Book Antiqua" w:hAnsi="Book Antiqua"/>
          <w:i/>
          <w:iCs/>
        </w:rPr>
        <w:t>Oncol Lett</w:t>
      </w:r>
      <w:r w:rsidRPr="00E1613F">
        <w:rPr>
          <w:rFonts w:ascii="Book Antiqua" w:hAnsi="Book Antiqua"/>
        </w:rPr>
        <w:t xml:space="preserve"> 2017; </w:t>
      </w:r>
      <w:r w:rsidRPr="00E1613F">
        <w:rPr>
          <w:rFonts w:ascii="Book Antiqua" w:hAnsi="Book Antiqua"/>
          <w:b/>
          <w:bCs/>
        </w:rPr>
        <w:t>14</w:t>
      </w:r>
      <w:r w:rsidRPr="00E1613F">
        <w:rPr>
          <w:rFonts w:ascii="Book Antiqua" w:hAnsi="Book Antiqua"/>
        </w:rPr>
        <w:t>: 8007-8013 [PMID: 29344243 DOI: 10.3892/ol.2017.7188]</w:t>
      </w:r>
    </w:p>
    <w:p w14:paraId="5874CA51"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23 </w:t>
      </w:r>
      <w:r w:rsidRPr="00E1613F">
        <w:rPr>
          <w:rFonts w:ascii="Book Antiqua" w:hAnsi="Book Antiqua"/>
          <w:b/>
          <w:bCs/>
        </w:rPr>
        <w:t>Duan J</w:t>
      </w:r>
      <w:r w:rsidRPr="00E1613F">
        <w:rPr>
          <w:rFonts w:ascii="Book Antiqua" w:hAnsi="Book Antiqua"/>
        </w:rPr>
        <w:t xml:space="preserve">, </w:t>
      </w:r>
      <w:proofErr w:type="spellStart"/>
      <w:r w:rsidRPr="00E1613F">
        <w:rPr>
          <w:rFonts w:ascii="Book Antiqua" w:hAnsi="Book Antiqua"/>
        </w:rPr>
        <w:t>Xie</w:t>
      </w:r>
      <w:proofErr w:type="spellEnd"/>
      <w:r w:rsidRPr="00E1613F">
        <w:rPr>
          <w:rFonts w:ascii="Book Antiqua" w:hAnsi="Book Antiqua"/>
        </w:rPr>
        <w:t xml:space="preserve"> Y, Qu L, Wang L, Zhou S, Wang Y, Fan Z, Yang S, Jiao S. A nomogram-based </w:t>
      </w:r>
      <w:proofErr w:type="spellStart"/>
      <w:r w:rsidRPr="00E1613F">
        <w:rPr>
          <w:rFonts w:ascii="Book Antiqua" w:hAnsi="Book Antiqua"/>
        </w:rPr>
        <w:t>immunoprofile</w:t>
      </w:r>
      <w:proofErr w:type="spellEnd"/>
      <w:r w:rsidRPr="00E1613F">
        <w:rPr>
          <w:rFonts w:ascii="Book Antiqua" w:hAnsi="Book Antiqua"/>
        </w:rPr>
        <w:t xml:space="preserve"> predicts overall survival for previously untreated patients with esophageal squamous cell carcinoma after esophagectomy. </w:t>
      </w:r>
      <w:r w:rsidRPr="00E1613F">
        <w:rPr>
          <w:rFonts w:ascii="Book Antiqua" w:hAnsi="Book Antiqua"/>
          <w:i/>
          <w:iCs/>
        </w:rPr>
        <w:t xml:space="preserve">J </w:t>
      </w:r>
      <w:proofErr w:type="spellStart"/>
      <w:r w:rsidRPr="00E1613F">
        <w:rPr>
          <w:rFonts w:ascii="Book Antiqua" w:hAnsi="Book Antiqua"/>
          <w:i/>
          <w:iCs/>
        </w:rPr>
        <w:t>Immunother</w:t>
      </w:r>
      <w:proofErr w:type="spellEnd"/>
      <w:r w:rsidRPr="00E1613F">
        <w:rPr>
          <w:rFonts w:ascii="Book Antiqua" w:hAnsi="Book Antiqua"/>
          <w:i/>
          <w:iCs/>
        </w:rPr>
        <w:t xml:space="preserve"> Cancer</w:t>
      </w:r>
      <w:r w:rsidRPr="00E1613F">
        <w:rPr>
          <w:rFonts w:ascii="Book Antiqua" w:hAnsi="Book Antiqua"/>
        </w:rPr>
        <w:t xml:space="preserve"> 2018; </w:t>
      </w:r>
      <w:r w:rsidRPr="00E1613F">
        <w:rPr>
          <w:rFonts w:ascii="Book Antiqua" w:hAnsi="Book Antiqua"/>
          <w:b/>
          <w:bCs/>
        </w:rPr>
        <w:t>6</w:t>
      </w:r>
      <w:r w:rsidRPr="00E1613F">
        <w:rPr>
          <w:rFonts w:ascii="Book Antiqua" w:hAnsi="Book Antiqua"/>
        </w:rPr>
        <w:t>: 100 [PMID: 30285868 DOI: 10.1186/s40425-018-0418-7]</w:t>
      </w:r>
    </w:p>
    <w:p w14:paraId="13826AF5"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24 </w:t>
      </w:r>
      <w:r w:rsidRPr="00E1613F">
        <w:rPr>
          <w:rFonts w:ascii="Book Antiqua" w:hAnsi="Book Antiqua"/>
          <w:b/>
          <w:bCs/>
        </w:rPr>
        <w:t>Hong MH</w:t>
      </w:r>
      <w:r w:rsidRPr="00E1613F">
        <w:rPr>
          <w:rFonts w:ascii="Book Antiqua" w:hAnsi="Book Antiqua"/>
        </w:rPr>
        <w:t xml:space="preserve">, Shin SJ, Shin SK, Kim DJ, Zo JI, Shim YM, Lee SE, Cho BC, Park SY, Choi YL, Kim HR. High CD3 and ICOS and low TIM-3 expression predict </w:t>
      </w:r>
      <w:proofErr w:type="spellStart"/>
      <w:r w:rsidRPr="00E1613F">
        <w:rPr>
          <w:rFonts w:ascii="Book Antiqua" w:hAnsi="Book Antiqua"/>
        </w:rPr>
        <w:t>favourable</w:t>
      </w:r>
      <w:proofErr w:type="spellEnd"/>
      <w:r w:rsidRPr="00E1613F">
        <w:rPr>
          <w:rFonts w:ascii="Book Antiqua" w:hAnsi="Book Antiqua"/>
        </w:rPr>
        <w:t xml:space="preserve"> survival in resected </w:t>
      </w:r>
      <w:proofErr w:type="spellStart"/>
      <w:r w:rsidRPr="00E1613F">
        <w:rPr>
          <w:rFonts w:ascii="Book Antiqua" w:hAnsi="Book Antiqua"/>
        </w:rPr>
        <w:t>oesophageal</w:t>
      </w:r>
      <w:proofErr w:type="spellEnd"/>
      <w:r w:rsidRPr="00E1613F">
        <w:rPr>
          <w:rFonts w:ascii="Book Antiqua" w:hAnsi="Book Antiqua"/>
        </w:rPr>
        <w:t xml:space="preserve"> squamous cell carcinoma. </w:t>
      </w:r>
      <w:r w:rsidRPr="00E1613F">
        <w:rPr>
          <w:rFonts w:ascii="Book Antiqua" w:hAnsi="Book Antiqua"/>
          <w:i/>
          <w:iCs/>
        </w:rPr>
        <w:t>Sci Rep</w:t>
      </w:r>
      <w:r w:rsidRPr="00E1613F">
        <w:rPr>
          <w:rFonts w:ascii="Book Antiqua" w:hAnsi="Book Antiqua"/>
        </w:rPr>
        <w:t xml:space="preserve"> 2019; </w:t>
      </w:r>
      <w:r w:rsidRPr="00E1613F">
        <w:rPr>
          <w:rFonts w:ascii="Book Antiqua" w:hAnsi="Book Antiqua"/>
          <w:b/>
          <w:bCs/>
        </w:rPr>
        <w:t>9</w:t>
      </w:r>
      <w:r w:rsidRPr="00E1613F">
        <w:rPr>
          <w:rFonts w:ascii="Book Antiqua" w:hAnsi="Book Antiqua"/>
        </w:rPr>
        <w:t>: 20197 [PMID: 31882943 DOI: 10.1038/s41598-019-56828-7]</w:t>
      </w:r>
    </w:p>
    <w:p w14:paraId="0D4DF134"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25 </w:t>
      </w:r>
      <w:r w:rsidRPr="00E1613F">
        <w:rPr>
          <w:rFonts w:ascii="Book Antiqua" w:hAnsi="Book Antiqua"/>
          <w:b/>
          <w:bCs/>
        </w:rPr>
        <w:t>Zhao Y</w:t>
      </w:r>
      <w:r w:rsidRPr="00E1613F">
        <w:rPr>
          <w:rFonts w:ascii="Book Antiqua" w:hAnsi="Book Antiqua"/>
        </w:rPr>
        <w:t xml:space="preserve">, Chen D, Wang W, Zhao T, Wen J, Zhang F, Duan S, Chen C, Sang Y, Zhang Y, Chen Y. Significance of TIM-3 Expression in Resected Esophageal Squamous Cell Carcinoma. </w:t>
      </w:r>
      <w:r w:rsidRPr="00E1613F">
        <w:rPr>
          <w:rFonts w:ascii="Book Antiqua" w:hAnsi="Book Antiqua"/>
          <w:i/>
          <w:iCs/>
        </w:rPr>
        <w:t xml:space="preserve">Ann </w:t>
      </w:r>
      <w:proofErr w:type="spellStart"/>
      <w:r w:rsidRPr="00E1613F">
        <w:rPr>
          <w:rFonts w:ascii="Book Antiqua" w:hAnsi="Book Antiqua"/>
          <w:i/>
          <w:iCs/>
        </w:rPr>
        <w:t>Thorac</w:t>
      </w:r>
      <w:proofErr w:type="spellEnd"/>
      <w:r w:rsidRPr="00E1613F">
        <w:rPr>
          <w:rFonts w:ascii="Book Antiqua" w:hAnsi="Book Antiqua"/>
          <w:i/>
          <w:iCs/>
        </w:rPr>
        <w:t xml:space="preserve"> Surg</w:t>
      </w:r>
      <w:r w:rsidRPr="00E1613F">
        <w:rPr>
          <w:rFonts w:ascii="Book Antiqua" w:hAnsi="Book Antiqua"/>
        </w:rPr>
        <w:t xml:space="preserve"> 2020; </w:t>
      </w:r>
      <w:r w:rsidRPr="00E1613F">
        <w:rPr>
          <w:rFonts w:ascii="Book Antiqua" w:hAnsi="Book Antiqua"/>
          <w:b/>
          <w:bCs/>
        </w:rPr>
        <w:t>109</w:t>
      </w:r>
      <w:r w:rsidRPr="00E1613F">
        <w:rPr>
          <w:rFonts w:ascii="Book Antiqua" w:hAnsi="Book Antiqua"/>
        </w:rPr>
        <w:t>: 1551-1557 [PMID: 31987829 DOI: 10.1016/j.athoracsur.2019.12.017]</w:t>
      </w:r>
    </w:p>
    <w:p w14:paraId="022B1436"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26 </w:t>
      </w:r>
      <w:r w:rsidRPr="00E1613F">
        <w:rPr>
          <w:rFonts w:ascii="Book Antiqua" w:hAnsi="Book Antiqua"/>
          <w:b/>
          <w:bCs/>
        </w:rPr>
        <w:t>Aragon-Sanabria V</w:t>
      </w:r>
      <w:r w:rsidRPr="00E1613F">
        <w:rPr>
          <w:rFonts w:ascii="Book Antiqua" w:hAnsi="Book Antiqua"/>
        </w:rPr>
        <w:t xml:space="preserve">, Kim GB, Dong C. From Cancer Immunoediting to New Strategies in Cancer Immunotherapy: The Roles of Immune Cells and Mechanics in Oncology. </w:t>
      </w:r>
      <w:r w:rsidRPr="00E1613F">
        <w:rPr>
          <w:rFonts w:ascii="Book Antiqua" w:hAnsi="Book Antiqua"/>
          <w:i/>
          <w:iCs/>
        </w:rPr>
        <w:t>Adv Exp Med Biol</w:t>
      </w:r>
      <w:r w:rsidRPr="00E1613F">
        <w:rPr>
          <w:rFonts w:ascii="Book Antiqua" w:hAnsi="Book Antiqua"/>
        </w:rPr>
        <w:t xml:space="preserve"> 2018; </w:t>
      </w:r>
      <w:r w:rsidRPr="00E1613F">
        <w:rPr>
          <w:rFonts w:ascii="Book Antiqua" w:hAnsi="Book Antiqua"/>
          <w:b/>
          <w:bCs/>
        </w:rPr>
        <w:t>1092</w:t>
      </w:r>
      <w:r w:rsidRPr="00E1613F">
        <w:rPr>
          <w:rFonts w:ascii="Book Antiqua" w:hAnsi="Book Antiqua"/>
        </w:rPr>
        <w:t>: 113-138 [PMID: 30368751 DOI: 10.1007/978-3-319-95294-9_7]</w:t>
      </w:r>
    </w:p>
    <w:p w14:paraId="49B3178F"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lastRenderedPageBreak/>
        <w:t xml:space="preserve">27 </w:t>
      </w:r>
      <w:r w:rsidRPr="00E1613F">
        <w:rPr>
          <w:rFonts w:ascii="Book Antiqua" w:hAnsi="Book Antiqua"/>
          <w:b/>
          <w:bCs/>
        </w:rPr>
        <w:t>Janssen LME</w:t>
      </w:r>
      <w:r w:rsidRPr="00E1613F">
        <w:rPr>
          <w:rFonts w:ascii="Book Antiqua" w:hAnsi="Book Antiqua"/>
        </w:rPr>
        <w:t xml:space="preserve">, Ramsay EE, Logsdon CD, </w:t>
      </w:r>
      <w:proofErr w:type="spellStart"/>
      <w:r w:rsidRPr="00E1613F">
        <w:rPr>
          <w:rFonts w:ascii="Book Antiqua" w:hAnsi="Book Antiqua"/>
        </w:rPr>
        <w:t>Overwijk</w:t>
      </w:r>
      <w:proofErr w:type="spellEnd"/>
      <w:r w:rsidRPr="00E1613F">
        <w:rPr>
          <w:rFonts w:ascii="Book Antiqua" w:hAnsi="Book Antiqua"/>
        </w:rPr>
        <w:t xml:space="preserve"> WW. The immune system in cancer metastasis: friend or foe? </w:t>
      </w:r>
      <w:r w:rsidRPr="00E1613F">
        <w:rPr>
          <w:rFonts w:ascii="Book Antiqua" w:hAnsi="Book Antiqua"/>
          <w:i/>
          <w:iCs/>
        </w:rPr>
        <w:t xml:space="preserve">J </w:t>
      </w:r>
      <w:proofErr w:type="spellStart"/>
      <w:r w:rsidRPr="00E1613F">
        <w:rPr>
          <w:rFonts w:ascii="Book Antiqua" w:hAnsi="Book Antiqua"/>
          <w:i/>
          <w:iCs/>
        </w:rPr>
        <w:t>Immunother</w:t>
      </w:r>
      <w:proofErr w:type="spellEnd"/>
      <w:r w:rsidRPr="00E1613F">
        <w:rPr>
          <w:rFonts w:ascii="Book Antiqua" w:hAnsi="Book Antiqua"/>
          <w:i/>
          <w:iCs/>
        </w:rPr>
        <w:t xml:space="preserve"> Cancer</w:t>
      </w:r>
      <w:r w:rsidRPr="00E1613F">
        <w:rPr>
          <w:rFonts w:ascii="Book Antiqua" w:hAnsi="Book Antiqua"/>
        </w:rPr>
        <w:t xml:space="preserve"> 2017; </w:t>
      </w:r>
      <w:r w:rsidRPr="00E1613F">
        <w:rPr>
          <w:rFonts w:ascii="Book Antiqua" w:hAnsi="Book Antiqua"/>
          <w:b/>
          <w:bCs/>
        </w:rPr>
        <w:t>5</w:t>
      </w:r>
      <w:r w:rsidRPr="00E1613F">
        <w:rPr>
          <w:rFonts w:ascii="Book Antiqua" w:hAnsi="Book Antiqua"/>
        </w:rPr>
        <w:t>: 79 [PMID: 29037250 DOI: 10.1186/s40425-017-0283-9]</w:t>
      </w:r>
    </w:p>
    <w:p w14:paraId="769BAEC7"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28 </w:t>
      </w:r>
      <w:r w:rsidRPr="00E1613F">
        <w:rPr>
          <w:rFonts w:ascii="Book Antiqua" w:hAnsi="Book Antiqua"/>
          <w:b/>
          <w:bCs/>
        </w:rPr>
        <w:t>Jiang J</w:t>
      </w:r>
      <w:r w:rsidRPr="00E1613F">
        <w:rPr>
          <w:rFonts w:ascii="Book Antiqua" w:hAnsi="Book Antiqua"/>
        </w:rPr>
        <w:t xml:space="preserve">, Li J, Zhou X, Zhao X, Huang B, Qin Y. Exosomes Regulate the Epithelial-Mesenchymal Transition in Cancer. </w:t>
      </w:r>
      <w:r w:rsidRPr="00E1613F">
        <w:rPr>
          <w:rFonts w:ascii="Book Antiqua" w:hAnsi="Book Antiqua"/>
          <w:i/>
          <w:iCs/>
        </w:rPr>
        <w:t>Front Oncol</w:t>
      </w:r>
      <w:r w:rsidRPr="00E1613F">
        <w:rPr>
          <w:rFonts w:ascii="Book Antiqua" w:hAnsi="Book Antiqua"/>
        </w:rPr>
        <w:t xml:space="preserve"> 2022; </w:t>
      </w:r>
      <w:r w:rsidRPr="00E1613F">
        <w:rPr>
          <w:rFonts w:ascii="Book Antiqua" w:hAnsi="Book Antiqua"/>
          <w:b/>
          <w:bCs/>
        </w:rPr>
        <w:t>12</w:t>
      </w:r>
      <w:r w:rsidRPr="00E1613F">
        <w:rPr>
          <w:rFonts w:ascii="Book Antiqua" w:hAnsi="Book Antiqua"/>
        </w:rPr>
        <w:t>: 864980 [PMID: 35359397 DOI: 10.3389/fonc.2022.864980]</w:t>
      </w:r>
    </w:p>
    <w:p w14:paraId="4D8CF35D"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29 </w:t>
      </w:r>
      <w:r w:rsidRPr="00E1613F">
        <w:rPr>
          <w:rFonts w:ascii="Book Antiqua" w:hAnsi="Book Antiqua"/>
          <w:b/>
          <w:bCs/>
        </w:rPr>
        <w:t>Qin Y</w:t>
      </w:r>
      <w:r w:rsidRPr="00E1613F">
        <w:rPr>
          <w:rFonts w:ascii="Book Antiqua" w:hAnsi="Book Antiqua"/>
        </w:rPr>
        <w:t xml:space="preserve">, </w:t>
      </w:r>
      <w:proofErr w:type="spellStart"/>
      <w:r w:rsidRPr="00E1613F">
        <w:rPr>
          <w:rFonts w:ascii="Book Antiqua" w:hAnsi="Book Antiqua"/>
        </w:rPr>
        <w:t>Geng</w:t>
      </w:r>
      <w:proofErr w:type="spellEnd"/>
      <w:r w:rsidRPr="00E1613F">
        <w:rPr>
          <w:rFonts w:ascii="Book Antiqua" w:hAnsi="Book Antiqua"/>
        </w:rPr>
        <w:t xml:space="preserve"> JX, Huang B. Clinical value of serum pepsinogen in the diagnosis and treatment of gastric diseases. </w:t>
      </w:r>
      <w:r w:rsidRPr="00E1613F">
        <w:rPr>
          <w:rFonts w:ascii="Book Antiqua" w:hAnsi="Book Antiqua"/>
          <w:i/>
          <w:iCs/>
        </w:rPr>
        <w:t xml:space="preserve">World J </w:t>
      </w:r>
      <w:proofErr w:type="spellStart"/>
      <w:r w:rsidRPr="00E1613F">
        <w:rPr>
          <w:rFonts w:ascii="Book Antiqua" w:hAnsi="Book Antiqua"/>
          <w:i/>
          <w:iCs/>
        </w:rPr>
        <w:t>Gastrointest</w:t>
      </w:r>
      <w:proofErr w:type="spellEnd"/>
      <w:r w:rsidRPr="00E1613F">
        <w:rPr>
          <w:rFonts w:ascii="Book Antiqua" w:hAnsi="Book Antiqua"/>
          <w:i/>
          <w:iCs/>
        </w:rPr>
        <w:t xml:space="preserve"> Oncol</w:t>
      </w:r>
      <w:r w:rsidRPr="00E1613F">
        <w:rPr>
          <w:rFonts w:ascii="Book Antiqua" w:hAnsi="Book Antiqua"/>
        </w:rPr>
        <w:t xml:space="preserve"> 2023; </w:t>
      </w:r>
      <w:r w:rsidRPr="00E1613F">
        <w:rPr>
          <w:rFonts w:ascii="Book Antiqua" w:hAnsi="Book Antiqua"/>
          <w:b/>
          <w:bCs/>
        </w:rPr>
        <w:t>15</w:t>
      </w:r>
      <w:r w:rsidRPr="00E1613F">
        <w:rPr>
          <w:rFonts w:ascii="Book Antiqua" w:hAnsi="Book Antiqua"/>
        </w:rPr>
        <w:t>: 1174-1181 [PMID: 37546552 DOI: 10.4251/</w:t>
      </w:r>
      <w:proofErr w:type="gramStart"/>
      <w:r w:rsidRPr="00E1613F">
        <w:rPr>
          <w:rFonts w:ascii="Book Antiqua" w:hAnsi="Book Antiqua"/>
        </w:rPr>
        <w:t>wjgo.v15.i</w:t>
      </w:r>
      <w:proofErr w:type="gramEnd"/>
      <w:r w:rsidRPr="00E1613F">
        <w:rPr>
          <w:rFonts w:ascii="Book Antiqua" w:hAnsi="Book Antiqua"/>
        </w:rPr>
        <w:t>7.1174]</w:t>
      </w:r>
    </w:p>
    <w:p w14:paraId="3361265B"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30 </w:t>
      </w:r>
      <w:r w:rsidRPr="00E1613F">
        <w:rPr>
          <w:rFonts w:ascii="Book Antiqua" w:hAnsi="Book Antiqua"/>
          <w:b/>
          <w:bCs/>
        </w:rPr>
        <w:t>Das M</w:t>
      </w:r>
      <w:r w:rsidRPr="00E1613F">
        <w:rPr>
          <w:rFonts w:ascii="Book Antiqua" w:hAnsi="Book Antiqua"/>
        </w:rPr>
        <w:t xml:space="preserve">, Zhu C, </w:t>
      </w:r>
      <w:proofErr w:type="spellStart"/>
      <w:r w:rsidRPr="00E1613F">
        <w:rPr>
          <w:rFonts w:ascii="Book Antiqua" w:hAnsi="Book Antiqua"/>
        </w:rPr>
        <w:t>Kuchroo</w:t>
      </w:r>
      <w:proofErr w:type="spellEnd"/>
      <w:r w:rsidRPr="00E1613F">
        <w:rPr>
          <w:rFonts w:ascii="Book Antiqua" w:hAnsi="Book Antiqua"/>
        </w:rPr>
        <w:t xml:space="preserve"> VK. Tim-3 and its role in regulating anti-tumor immunity. </w:t>
      </w:r>
      <w:r w:rsidRPr="00E1613F">
        <w:rPr>
          <w:rFonts w:ascii="Book Antiqua" w:hAnsi="Book Antiqua"/>
          <w:i/>
          <w:iCs/>
        </w:rPr>
        <w:t>Immunol Rev</w:t>
      </w:r>
      <w:r w:rsidRPr="00E1613F">
        <w:rPr>
          <w:rFonts w:ascii="Book Antiqua" w:hAnsi="Book Antiqua"/>
        </w:rPr>
        <w:t xml:space="preserve"> 2017; </w:t>
      </w:r>
      <w:r w:rsidRPr="00E1613F">
        <w:rPr>
          <w:rFonts w:ascii="Book Antiqua" w:hAnsi="Book Antiqua"/>
          <w:b/>
          <w:bCs/>
        </w:rPr>
        <w:t>276</w:t>
      </w:r>
      <w:r w:rsidRPr="00E1613F">
        <w:rPr>
          <w:rFonts w:ascii="Book Antiqua" w:hAnsi="Book Antiqua"/>
        </w:rPr>
        <w:t>: 97-111 [PMID: 28258697 DOI: 10.1111/imr.12520]</w:t>
      </w:r>
    </w:p>
    <w:p w14:paraId="3109364B"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31 </w:t>
      </w:r>
      <w:proofErr w:type="spellStart"/>
      <w:r w:rsidRPr="00E1613F">
        <w:rPr>
          <w:rFonts w:ascii="Book Antiqua" w:hAnsi="Book Antiqua"/>
          <w:b/>
          <w:bCs/>
        </w:rPr>
        <w:t>Borcherding</w:t>
      </w:r>
      <w:proofErr w:type="spellEnd"/>
      <w:r w:rsidRPr="00E1613F">
        <w:rPr>
          <w:rFonts w:ascii="Book Antiqua" w:hAnsi="Book Antiqua"/>
          <w:b/>
          <w:bCs/>
        </w:rPr>
        <w:t xml:space="preserve"> N</w:t>
      </w:r>
      <w:r w:rsidRPr="00E1613F">
        <w:rPr>
          <w:rFonts w:ascii="Book Antiqua" w:hAnsi="Book Antiqua"/>
        </w:rPr>
        <w:t xml:space="preserve">, Kolb R, </w:t>
      </w:r>
      <w:proofErr w:type="spellStart"/>
      <w:r w:rsidRPr="00E1613F">
        <w:rPr>
          <w:rFonts w:ascii="Book Antiqua" w:hAnsi="Book Antiqua"/>
        </w:rPr>
        <w:t>Gullicksrud</w:t>
      </w:r>
      <w:proofErr w:type="spellEnd"/>
      <w:r w:rsidRPr="00E1613F">
        <w:rPr>
          <w:rFonts w:ascii="Book Antiqua" w:hAnsi="Book Antiqua"/>
        </w:rPr>
        <w:t xml:space="preserve"> J, Vikas P, Zhu Y, Zhang W. Keeping Tumors in Check: A Mechanistic Review of Clinical Response and Resistance to Immune Checkpoint Blockade in Cancer. </w:t>
      </w:r>
      <w:r w:rsidRPr="00E1613F">
        <w:rPr>
          <w:rFonts w:ascii="Book Antiqua" w:hAnsi="Book Antiqua"/>
          <w:i/>
          <w:iCs/>
        </w:rPr>
        <w:t>J Mol Biol</w:t>
      </w:r>
      <w:r w:rsidRPr="00E1613F">
        <w:rPr>
          <w:rFonts w:ascii="Book Antiqua" w:hAnsi="Book Antiqua"/>
        </w:rPr>
        <w:t xml:space="preserve"> 2018; </w:t>
      </w:r>
      <w:r w:rsidRPr="00E1613F">
        <w:rPr>
          <w:rFonts w:ascii="Book Antiqua" w:hAnsi="Book Antiqua"/>
          <w:b/>
          <w:bCs/>
        </w:rPr>
        <w:t>430</w:t>
      </w:r>
      <w:r w:rsidRPr="00E1613F">
        <w:rPr>
          <w:rFonts w:ascii="Book Antiqua" w:hAnsi="Book Antiqua"/>
        </w:rPr>
        <w:t>: 2014-2029 [PMID: 29800567 DOI: 10.1016/j.jmb.2018.05.030]</w:t>
      </w:r>
    </w:p>
    <w:p w14:paraId="4974AECA"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32 </w:t>
      </w:r>
      <w:proofErr w:type="spellStart"/>
      <w:r w:rsidRPr="00E1613F">
        <w:rPr>
          <w:rFonts w:ascii="Book Antiqua" w:hAnsi="Book Antiqua"/>
          <w:b/>
          <w:bCs/>
        </w:rPr>
        <w:t>Sabins</w:t>
      </w:r>
      <w:proofErr w:type="spellEnd"/>
      <w:r w:rsidRPr="00E1613F">
        <w:rPr>
          <w:rFonts w:ascii="Book Antiqua" w:hAnsi="Book Antiqua"/>
          <w:b/>
          <w:bCs/>
        </w:rPr>
        <w:t xml:space="preserve"> NC</w:t>
      </w:r>
      <w:r w:rsidRPr="00E1613F">
        <w:rPr>
          <w:rFonts w:ascii="Book Antiqua" w:hAnsi="Book Antiqua"/>
        </w:rPr>
        <w:t xml:space="preserve">, </w:t>
      </w:r>
      <w:proofErr w:type="spellStart"/>
      <w:r w:rsidRPr="00E1613F">
        <w:rPr>
          <w:rFonts w:ascii="Book Antiqua" w:hAnsi="Book Antiqua"/>
        </w:rPr>
        <w:t>Chornoguz</w:t>
      </w:r>
      <w:proofErr w:type="spellEnd"/>
      <w:r w:rsidRPr="00E1613F">
        <w:rPr>
          <w:rFonts w:ascii="Book Antiqua" w:hAnsi="Book Antiqua"/>
        </w:rPr>
        <w:t xml:space="preserve"> O, Leander K, Kaplan F, Carter R, Kinder M, Bachman K, Verona R, Shen S, Bhargava V, </w:t>
      </w:r>
      <w:proofErr w:type="spellStart"/>
      <w:r w:rsidRPr="00E1613F">
        <w:rPr>
          <w:rFonts w:ascii="Book Antiqua" w:hAnsi="Book Antiqua"/>
        </w:rPr>
        <w:t>Santulli-Marotto</w:t>
      </w:r>
      <w:proofErr w:type="spellEnd"/>
      <w:r w:rsidRPr="00E1613F">
        <w:rPr>
          <w:rFonts w:ascii="Book Antiqua" w:hAnsi="Book Antiqua"/>
        </w:rPr>
        <w:t xml:space="preserve"> S. TIM-3 Engagement Promotes Effector Memory T Cell Differentiation of Human Antigen-Specific CD8 T Cells by Activating mTORC1. </w:t>
      </w:r>
      <w:r w:rsidRPr="00E1613F">
        <w:rPr>
          <w:rFonts w:ascii="Book Antiqua" w:hAnsi="Book Antiqua"/>
          <w:i/>
          <w:iCs/>
        </w:rPr>
        <w:t>J Immunol</w:t>
      </w:r>
      <w:r w:rsidRPr="00E1613F">
        <w:rPr>
          <w:rFonts w:ascii="Book Antiqua" w:hAnsi="Book Antiqua"/>
        </w:rPr>
        <w:t xml:space="preserve"> 2017; </w:t>
      </w:r>
      <w:r w:rsidRPr="00E1613F">
        <w:rPr>
          <w:rFonts w:ascii="Book Antiqua" w:hAnsi="Book Antiqua"/>
          <w:b/>
          <w:bCs/>
        </w:rPr>
        <w:t>199</w:t>
      </w:r>
      <w:r w:rsidRPr="00E1613F">
        <w:rPr>
          <w:rFonts w:ascii="Book Antiqua" w:hAnsi="Book Antiqua"/>
        </w:rPr>
        <w:t>: 4091-4102 [PMID: 29127145 DOI: 10.4049/jimmunol.1701030]</w:t>
      </w:r>
    </w:p>
    <w:p w14:paraId="1C626988"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33 </w:t>
      </w:r>
      <w:proofErr w:type="spellStart"/>
      <w:r w:rsidRPr="00E1613F">
        <w:rPr>
          <w:rFonts w:ascii="Book Antiqua" w:hAnsi="Book Antiqua"/>
          <w:b/>
          <w:bCs/>
        </w:rPr>
        <w:t>Pagliano</w:t>
      </w:r>
      <w:proofErr w:type="spellEnd"/>
      <w:r w:rsidRPr="00E1613F">
        <w:rPr>
          <w:rFonts w:ascii="Book Antiqua" w:hAnsi="Book Antiqua"/>
          <w:b/>
          <w:bCs/>
        </w:rPr>
        <w:t xml:space="preserve"> O</w:t>
      </w:r>
      <w:r w:rsidRPr="00E1613F">
        <w:rPr>
          <w:rFonts w:ascii="Book Antiqua" w:hAnsi="Book Antiqua"/>
        </w:rPr>
        <w:t xml:space="preserve">, Morrison RM, Chauvin JM, Banerjee H, </w:t>
      </w:r>
      <w:proofErr w:type="spellStart"/>
      <w:r w:rsidRPr="00E1613F">
        <w:rPr>
          <w:rFonts w:ascii="Book Antiqua" w:hAnsi="Book Antiqua"/>
        </w:rPr>
        <w:t>Davar</w:t>
      </w:r>
      <w:proofErr w:type="spellEnd"/>
      <w:r w:rsidRPr="00E1613F">
        <w:rPr>
          <w:rFonts w:ascii="Book Antiqua" w:hAnsi="Book Antiqua"/>
        </w:rPr>
        <w:t xml:space="preserve"> D, Ding Q, </w:t>
      </w:r>
      <w:proofErr w:type="spellStart"/>
      <w:r w:rsidRPr="00E1613F">
        <w:rPr>
          <w:rFonts w:ascii="Book Antiqua" w:hAnsi="Book Antiqua"/>
        </w:rPr>
        <w:t>Tanegashima</w:t>
      </w:r>
      <w:proofErr w:type="spellEnd"/>
      <w:r w:rsidRPr="00E1613F">
        <w:rPr>
          <w:rFonts w:ascii="Book Antiqua" w:hAnsi="Book Antiqua"/>
        </w:rPr>
        <w:t xml:space="preserve"> T, Gao W, Chakka SR, DeBlasio R, </w:t>
      </w:r>
      <w:proofErr w:type="spellStart"/>
      <w:r w:rsidRPr="00E1613F">
        <w:rPr>
          <w:rFonts w:ascii="Book Antiqua" w:hAnsi="Book Antiqua"/>
        </w:rPr>
        <w:t>Lowin</w:t>
      </w:r>
      <w:proofErr w:type="spellEnd"/>
      <w:r w:rsidRPr="00E1613F">
        <w:rPr>
          <w:rFonts w:ascii="Book Antiqua" w:hAnsi="Book Antiqua"/>
        </w:rPr>
        <w:t xml:space="preserve"> A, Kara K, Ka M, </w:t>
      </w:r>
      <w:proofErr w:type="spellStart"/>
      <w:r w:rsidRPr="00E1613F">
        <w:rPr>
          <w:rFonts w:ascii="Book Antiqua" w:hAnsi="Book Antiqua"/>
        </w:rPr>
        <w:t>Zidi</w:t>
      </w:r>
      <w:proofErr w:type="spellEnd"/>
      <w:r w:rsidRPr="00E1613F">
        <w:rPr>
          <w:rFonts w:ascii="Book Antiqua" w:hAnsi="Book Antiqua"/>
        </w:rPr>
        <w:t xml:space="preserve"> B, Amin R, Raphael I, Zhang S, Watkins SC, Sander C, Kirkwood JM, </w:t>
      </w:r>
      <w:proofErr w:type="spellStart"/>
      <w:r w:rsidRPr="00E1613F">
        <w:rPr>
          <w:rFonts w:ascii="Book Antiqua" w:hAnsi="Book Antiqua"/>
        </w:rPr>
        <w:t>Bosenberg</w:t>
      </w:r>
      <w:proofErr w:type="spellEnd"/>
      <w:r w:rsidRPr="00E1613F">
        <w:rPr>
          <w:rFonts w:ascii="Book Antiqua" w:hAnsi="Book Antiqua"/>
        </w:rPr>
        <w:t xml:space="preserve"> M, Anderson AC, </w:t>
      </w:r>
      <w:proofErr w:type="spellStart"/>
      <w:r w:rsidRPr="00E1613F">
        <w:rPr>
          <w:rFonts w:ascii="Book Antiqua" w:hAnsi="Book Antiqua"/>
        </w:rPr>
        <w:t>Kuchroo</w:t>
      </w:r>
      <w:proofErr w:type="spellEnd"/>
      <w:r w:rsidRPr="00E1613F">
        <w:rPr>
          <w:rFonts w:ascii="Book Antiqua" w:hAnsi="Book Antiqua"/>
        </w:rPr>
        <w:t xml:space="preserve"> VK, Kane LP, </w:t>
      </w:r>
      <w:proofErr w:type="spellStart"/>
      <w:r w:rsidRPr="00E1613F">
        <w:rPr>
          <w:rFonts w:ascii="Book Antiqua" w:hAnsi="Book Antiqua"/>
        </w:rPr>
        <w:t>Korman</w:t>
      </w:r>
      <w:proofErr w:type="spellEnd"/>
      <w:r w:rsidRPr="00E1613F">
        <w:rPr>
          <w:rFonts w:ascii="Book Antiqua" w:hAnsi="Book Antiqua"/>
        </w:rPr>
        <w:t xml:space="preserve"> AJ, Rajpal A, West SM, Han M, Bee C, Deng X, </w:t>
      </w:r>
      <w:proofErr w:type="spellStart"/>
      <w:r w:rsidRPr="00E1613F">
        <w:rPr>
          <w:rFonts w:ascii="Book Antiqua" w:hAnsi="Book Antiqua"/>
        </w:rPr>
        <w:t>Schebye</w:t>
      </w:r>
      <w:proofErr w:type="spellEnd"/>
      <w:r w:rsidRPr="00E1613F">
        <w:rPr>
          <w:rFonts w:ascii="Book Antiqua" w:hAnsi="Book Antiqua"/>
        </w:rPr>
        <w:t xml:space="preserve"> XM, Strop P, </w:t>
      </w:r>
      <w:proofErr w:type="spellStart"/>
      <w:r w:rsidRPr="00E1613F">
        <w:rPr>
          <w:rFonts w:ascii="Book Antiqua" w:hAnsi="Book Antiqua"/>
        </w:rPr>
        <w:t>Zarour</w:t>
      </w:r>
      <w:proofErr w:type="spellEnd"/>
      <w:r w:rsidRPr="00E1613F">
        <w:rPr>
          <w:rFonts w:ascii="Book Antiqua" w:hAnsi="Book Antiqua"/>
        </w:rPr>
        <w:t xml:space="preserve"> HM. Tim-3 mediates T cell </w:t>
      </w:r>
      <w:proofErr w:type="spellStart"/>
      <w:r w:rsidRPr="00E1613F">
        <w:rPr>
          <w:rFonts w:ascii="Book Antiqua" w:hAnsi="Book Antiqua"/>
        </w:rPr>
        <w:t>trogocytosis</w:t>
      </w:r>
      <w:proofErr w:type="spellEnd"/>
      <w:r w:rsidRPr="00E1613F">
        <w:rPr>
          <w:rFonts w:ascii="Book Antiqua" w:hAnsi="Book Antiqua"/>
        </w:rPr>
        <w:t xml:space="preserve"> to limit antitumor immunity. </w:t>
      </w:r>
      <w:r w:rsidRPr="00E1613F">
        <w:rPr>
          <w:rFonts w:ascii="Book Antiqua" w:hAnsi="Book Antiqua"/>
          <w:i/>
          <w:iCs/>
        </w:rPr>
        <w:t>J Clin Invest</w:t>
      </w:r>
      <w:r w:rsidRPr="00E1613F">
        <w:rPr>
          <w:rFonts w:ascii="Book Antiqua" w:hAnsi="Book Antiqua"/>
        </w:rPr>
        <w:t xml:space="preserve"> 2022; </w:t>
      </w:r>
      <w:r w:rsidRPr="00E1613F">
        <w:rPr>
          <w:rFonts w:ascii="Book Antiqua" w:hAnsi="Book Antiqua"/>
          <w:b/>
          <w:bCs/>
        </w:rPr>
        <w:t>132</w:t>
      </w:r>
      <w:r w:rsidRPr="00E1613F">
        <w:rPr>
          <w:rFonts w:ascii="Book Antiqua" w:hAnsi="Book Antiqua"/>
        </w:rPr>
        <w:t xml:space="preserve"> [PMID: 35316223 DOI: 10.1172/JCI152864]</w:t>
      </w:r>
    </w:p>
    <w:p w14:paraId="06773A56"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34 </w:t>
      </w:r>
      <w:r w:rsidRPr="00E1613F">
        <w:rPr>
          <w:rFonts w:ascii="Book Antiqua" w:hAnsi="Book Antiqua"/>
          <w:b/>
          <w:bCs/>
        </w:rPr>
        <w:t>Liu JF</w:t>
      </w:r>
      <w:r w:rsidRPr="00E1613F">
        <w:rPr>
          <w:rFonts w:ascii="Book Antiqua" w:hAnsi="Book Antiqua"/>
        </w:rPr>
        <w:t xml:space="preserve">, Wu L, Yang LL, Deng WW, Mao L, Wu H, Zhang WF, Sun ZJ. Blockade of TIM3 relieves immunosuppression through reducing regulatory T cells in head and neck cancer. </w:t>
      </w:r>
      <w:r w:rsidRPr="00E1613F">
        <w:rPr>
          <w:rFonts w:ascii="Book Antiqua" w:hAnsi="Book Antiqua"/>
          <w:i/>
          <w:iCs/>
        </w:rPr>
        <w:t>J Exp Clin Cancer Res</w:t>
      </w:r>
      <w:r w:rsidRPr="00E1613F">
        <w:rPr>
          <w:rFonts w:ascii="Book Antiqua" w:hAnsi="Book Antiqua"/>
        </w:rPr>
        <w:t xml:space="preserve"> 2018; </w:t>
      </w:r>
      <w:r w:rsidRPr="00E1613F">
        <w:rPr>
          <w:rFonts w:ascii="Book Antiqua" w:hAnsi="Book Antiqua"/>
          <w:b/>
          <w:bCs/>
        </w:rPr>
        <w:t>37</w:t>
      </w:r>
      <w:r w:rsidRPr="00E1613F">
        <w:rPr>
          <w:rFonts w:ascii="Book Antiqua" w:hAnsi="Book Antiqua"/>
        </w:rPr>
        <w:t>: 44 [PMID: 29506555 DOI: 10.1186/s13046-018-0713-7]</w:t>
      </w:r>
    </w:p>
    <w:p w14:paraId="2705A400"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lastRenderedPageBreak/>
        <w:t xml:space="preserve">35 </w:t>
      </w:r>
      <w:r w:rsidRPr="00E1613F">
        <w:rPr>
          <w:rFonts w:ascii="Book Antiqua" w:hAnsi="Book Antiqua"/>
          <w:b/>
          <w:bCs/>
        </w:rPr>
        <w:t>Tan S</w:t>
      </w:r>
      <w:r w:rsidRPr="00E1613F">
        <w:rPr>
          <w:rFonts w:ascii="Book Antiqua" w:hAnsi="Book Antiqua"/>
        </w:rPr>
        <w:t xml:space="preserve">, Xu Y, Wang Z, Wang T, Du X, Song X, Guo X, Peng J, Zhang J, Liang Y, Lu J, Peng J, Gao C, Wu Z, Li C, Li N, Gao L, Liang X, Ma C. Tim-3 Hampers Tumor Surveillance of Liver-Resident and Conventional NK Cells by Disrupting PI3K Signaling. </w:t>
      </w:r>
      <w:r w:rsidRPr="00E1613F">
        <w:rPr>
          <w:rFonts w:ascii="Book Antiqua" w:hAnsi="Book Antiqua"/>
          <w:i/>
          <w:iCs/>
        </w:rPr>
        <w:t>Cancer Res</w:t>
      </w:r>
      <w:r w:rsidRPr="00E1613F">
        <w:rPr>
          <w:rFonts w:ascii="Book Antiqua" w:hAnsi="Book Antiqua"/>
        </w:rPr>
        <w:t xml:space="preserve"> 2020; </w:t>
      </w:r>
      <w:r w:rsidRPr="00E1613F">
        <w:rPr>
          <w:rFonts w:ascii="Book Antiqua" w:hAnsi="Book Antiqua"/>
          <w:b/>
          <w:bCs/>
        </w:rPr>
        <w:t>80</w:t>
      </w:r>
      <w:r w:rsidRPr="00E1613F">
        <w:rPr>
          <w:rFonts w:ascii="Book Antiqua" w:hAnsi="Book Antiqua"/>
        </w:rPr>
        <w:t>: 1130-1142 [PMID: 31848194 DOI: 10.1158/0008-5472.CAN-19-2332]</w:t>
      </w:r>
    </w:p>
    <w:p w14:paraId="1E7154AA"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36 </w:t>
      </w:r>
      <w:proofErr w:type="spellStart"/>
      <w:r w:rsidRPr="00E1613F">
        <w:rPr>
          <w:rFonts w:ascii="Book Antiqua" w:hAnsi="Book Antiqua"/>
          <w:b/>
          <w:bCs/>
        </w:rPr>
        <w:t>Klapholz</w:t>
      </w:r>
      <w:proofErr w:type="spellEnd"/>
      <w:r w:rsidRPr="00E1613F">
        <w:rPr>
          <w:rFonts w:ascii="Book Antiqua" w:hAnsi="Book Antiqua"/>
          <w:b/>
          <w:bCs/>
        </w:rPr>
        <w:t xml:space="preserve"> M</w:t>
      </w:r>
      <w:r w:rsidRPr="00E1613F">
        <w:rPr>
          <w:rFonts w:ascii="Book Antiqua" w:hAnsi="Book Antiqua"/>
        </w:rPr>
        <w:t xml:space="preserve">, </w:t>
      </w:r>
      <w:proofErr w:type="spellStart"/>
      <w:r w:rsidRPr="00E1613F">
        <w:rPr>
          <w:rFonts w:ascii="Book Antiqua" w:hAnsi="Book Antiqua"/>
        </w:rPr>
        <w:t>Drage</w:t>
      </w:r>
      <w:proofErr w:type="spellEnd"/>
      <w:r w:rsidRPr="00E1613F">
        <w:rPr>
          <w:rFonts w:ascii="Book Antiqua" w:hAnsi="Book Antiqua"/>
        </w:rPr>
        <w:t xml:space="preserve"> MG, Srivastava A, Anderson AC. Presence of Tim3(+) and PD-1(+) CD8(+) T cells identifies microsatellite stable colorectal carcinomas with immune exhaustion and distinct clinicopathological features. </w:t>
      </w:r>
      <w:r w:rsidRPr="00E1613F">
        <w:rPr>
          <w:rFonts w:ascii="Book Antiqua" w:hAnsi="Book Antiqua"/>
          <w:i/>
          <w:iCs/>
        </w:rPr>
        <w:t xml:space="preserve">J </w:t>
      </w:r>
      <w:proofErr w:type="spellStart"/>
      <w:r w:rsidRPr="00E1613F">
        <w:rPr>
          <w:rFonts w:ascii="Book Antiqua" w:hAnsi="Book Antiqua"/>
          <w:i/>
          <w:iCs/>
        </w:rPr>
        <w:t>Pathol</w:t>
      </w:r>
      <w:proofErr w:type="spellEnd"/>
      <w:r w:rsidRPr="00E1613F">
        <w:rPr>
          <w:rFonts w:ascii="Book Antiqua" w:hAnsi="Book Antiqua"/>
        </w:rPr>
        <w:t xml:space="preserve"> 2022; </w:t>
      </w:r>
      <w:r w:rsidRPr="00E1613F">
        <w:rPr>
          <w:rFonts w:ascii="Book Antiqua" w:hAnsi="Book Antiqua"/>
          <w:b/>
          <w:bCs/>
        </w:rPr>
        <w:t>257</w:t>
      </w:r>
      <w:r w:rsidRPr="00E1613F">
        <w:rPr>
          <w:rFonts w:ascii="Book Antiqua" w:hAnsi="Book Antiqua"/>
        </w:rPr>
        <w:t>: 186-197 [PMID: 35119692 DOI: 10.1002/path.5877]</w:t>
      </w:r>
    </w:p>
    <w:p w14:paraId="7CC9CE3A"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37 </w:t>
      </w:r>
      <w:r w:rsidRPr="00E1613F">
        <w:rPr>
          <w:rFonts w:ascii="Book Antiqua" w:hAnsi="Book Antiqua"/>
          <w:b/>
          <w:bCs/>
        </w:rPr>
        <w:t>Huang YH</w:t>
      </w:r>
      <w:r w:rsidRPr="00E1613F">
        <w:rPr>
          <w:rFonts w:ascii="Book Antiqua" w:hAnsi="Book Antiqua"/>
        </w:rPr>
        <w:t xml:space="preserve">, Zhu C, Kondo Y, Anderson AC, Gandhi A, Russell A, Dougan SK, Petersen BS, </w:t>
      </w:r>
      <w:proofErr w:type="spellStart"/>
      <w:r w:rsidRPr="00E1613F">
        <w:rPr>
          <w:rFonts w:ascii="Book Antiqua" w:hAnsi="Book Antiqua"/>
        </w:rPr>
        <w:t>Melum</w:t>
      </w:r>
      <w:proofErr w:type="spellEnd"/>
      <w:r w:rsidRPr="00E1613F">
        <w:rPr>
          <w:rFonts w:ascii="Book Antiqua" w:hAnsi="Book Antiqua"/>
        </w:rPr>
        <w:t xml:space="preserve"> E, </w:t>
      </w:r>
      <w:proofErr w:type="spellStart"/>
      <w:r w:rsidRPr="00E1613F">
        <w:rPr>
          <w:rFonts w:ascii="Book Antiqua" w:hAnsi="Book Antiqua"/>
        </w:rPr>
        <w:t>Pertel</w:t>
      </w:r>
      <w:proofErr w:type="spellEnd"/>
      <w:r w:rsidRPr="00E1613F">
        <w:rPr>
          <w:rFonts w:ascii="Book Antiqua" w:hAnsi="Book Antiqua"/>
        </w:rPr>
        <w:t xml:space="preserve"> T, Clayton KL, </w:t>
      </w:r>
      <w:proofErr w:type="spellStart"/>
      <w:r w:rsidRPr="00E1613F">
        <w:rPr>
          <w:rFonts w:ascii="Book Antiqua" w:hAnsi="Book Antiqua"/>
        </w:rPr>
        <w:t>Raab</w:t>
      </w:r>
      <w:proofErr w:type="spellEnd"/>
      <w:r w:rsidRPr="00E1613F">
        <w:rPr>
          <w:rFonts w:ascii="Book Antiqua" w:hAnsi="Book Antiqua"/>
        </w:rPr>
        <w:t xml:space="preserve"> M, Chen Q, </w:t>
      </w:r>
      <w:proofErr w:type="spellStart"/>
      <w:r w:rsidRPr="00E1613F">
        <w:rPr>
          <w:rFonts w:ascii="Book Antiqua" w:hAnsi="Book Antiqua"/>
        </w:rPr>
        <w:t>Beauchemin</w:t>
      </w:r>
      <w:proofErr w:type="spellEnd"/>
      <w:r w:rsidRPr="00E1613F">
        <w:rPr>
          <w:rFonts w:ascii="Book Antiqua" w:hAnsi="Book Antiqua"/>
        </w:rPr>
        <w:t xml:space="preserve"> N, Yazaki PJ, </w:t>
      </w:r>
      <w:proofErr w:type="spellStart"/>
      <w:r w:rsidRPr="00E1613F">
        <w:rPr>
          <w:rFonts w:ascii="Book Antiqua" w:hAnsi="Book Antiqua"/>
        </w:rPr>
        <w:t>Pyzik</w:t>
      </w:r>
      <w:proofErr w:type="spellEnd"/>
      <w:r w:rsidRPr="00E1613F">
        <w:rPr>
          <w:rFonts w:ascii="Book Antiqua" w:hAnsi="Book Antiqua"/>
        </w:rPr>
        <w:t xml:space="preserve"> M, Ostrowski MA, Glickman JN, Rudd CE, </w:t>
      </w:r>
      <w:proofErr w:type="spellStart"/>
      <w:r w:rsidRPr="00E1613F">
        <w:rPr>
          <w:rFonts w:ascii="Book Antiqua" w:hAnsi="Book Antiqua"/>
        </w:rPr>
        <w:t>Ploegh</w:t>
      </w:r>
      <w:proofErr w:type="spellEnd"/>
      <w:r w:rsidRPr="00E1613F">
        <w:rPr>
          <w:rFonts w:ascii="Book Antiqua" w:hAnsi="Book Antiqua"/>
        </w:rPr>
        <w:t xml:space="preserve"> HL, Franke A, Petsko GA, </w:t>
      </w:r>
      <w:proofErr w:type="spellStart"/>
      <w:r w:rsidRPr="00E1613F">
        <w:rPr>
          <w:rFonts w:ascii="Book Antiqua" w:hAnsi="Book Antiqua"/>
        </w:rPr>
        <w:t>Kuchroo</w:t>
      </w:r>
      <w:proofErr w:type="spellEnd"/>
      <w:r w:rsidRPr="00E1613F">
        <w:rPr>
          <w:rFonts w:ascii="Book Antiqua" w:hAnsi="Book Antiqua"/>
        </w:rPr>
        <w:t xml:space="preserve"> VK, Blumberg RS. CEACAM1 regulates TIM-3-mediated tolerance and exhaustion. </w:t>
      </w:r>
      <w:r w:rsidRPr="00E1613F">
        <w:rPr>
          <w:rFonts w:ascii="Book Antiqua" w:hAnsi="Book Antiqua"/>
          <w:i/>
          <w:iCs/>
        </w:rPr>
        <w:t>Nature</w:t>
      </w:r>
      <w:r w:rsidRPr="00E1613F">
        <w:rPr>
          <w:rFonts w:ascii="Book Antiqua" w:hAnsi="Book Antiqua"/>
        </w:rPr>
        <w:t xml:space="preserve"> 2015; </w:t>
      </w:r>
      <w:r w:rsidRPr="00E1613F">
        <w:rPr>
          <w:rFonts w:ascii="Book Antiqua" w:hAnsi="Book Antiqua"/>
          <w:b/>
          <w:bCs/>
        </w:rPr>
        <w:t>517</w:t>
      </w:r>
      <w:r w:rsidRPr="00E1613F">
        <w:rPr>
          <w:rFonts w:ascii="Book Antiqua" w:hAnsi="Book Antiqua"/>
        </w:rPr>
        <w:t>: 386-390 [PMID: 25363763 DOI: 10.1038/nature13848]</w:t>
      </w:r>
    </w:p>
    <w:p w14:paraId="64F98A6B"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38 </w:t>
      </w:r>
      <w:r w:rsidRPr="00E1613F">
        <w:rPr>
          <w:rFonts w:ascii="Book Antiqua" w:hAnsi="Book Antiqua"/>
          <w:b/>
          <w:bCs/>
        </w:rPr>
        <w:t>Yu S</w:t>
      </w:r>
      <w:r w:rsidRPr="00E1613F">
        <w:rPr>
          <w:rFonts w:ascii="Book Antiqua" w:hAnsi="Book Antiqua"/>
        </w:rPr>
        <w:t xml:space="preserve">, Ren X, Meng F, Guo X, Tao J, Zhang W, Liu Z, Fu R, Li L. TIM3/CEACAM1 pathway involves in myeloid-derived suppressor cells induced CD8(+) T cells exhaustion and bone marrow inflammatory microenvironment in myelodysplastic syndrome. </w:t>
      </w:r>
      <w:r w:rsidRPr="00E1613F">
        <w:rPr>
          <w:rFonts w:ascii="Book Antiqua" w:hAnsi="Book Antiqua"/>
          <w:i/>
          <w:iCs/>
        </w:rPr>
        <w:t>Immunology</w:t>
      </w:r>
      <w:r w:rsidRPr="00E1613F">
        <w:rPr>
          <w:rFonts w:ascii="Book Antiqua" w:hAnsi="Book Antiqua"/>
        </w:rPr>
        <w:t xml:space="preserve"> 2023; </w:t>
      </w:r>
      <w:r w:rsidRPr="00E1613F">
        <w:rPr>
          <w:rFonts w:ascii="Book Antiqua" w:hAnsi="Book Antiqua"/>
          <w:b/>
          <w:bCs/>
        </w:rPr>
        <w:t>168</w:t>
      </w:r>
      <w:r w:rsidRPr="00E1613F">
        <w:rPr>
          <w:rFonts w:ascii="Book Antiqua" w:hAnsi="Book Antiqua"/>
        </w:rPr>
        <w:t>: 273-289 [PMID: 35470423 DOI: 10.1111/imm.13488]</w:t>
      </w:r>
    </w:p>
    <w:p w14:paraId="544014BE"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39 </w:t>
      </w:r>
      <w:proofErr w:type="spellStart"/>
      <w:r w:rsidRPr="00E1613F">
        <w:rPr>
          <w:rFonts w:ascii="Book Antiqua" w:hAnsi="Book Antiqua"/>
          <w:b/>
          <w:bCs/>
        </w:rPr>
        <w:t>Konantz</w:t>
      </w:r>
      <w:proofErr w:type="spellEnd"/>
      <w:r w:rsidRPr="00E1613F">
        <w:rPr>
          <w:rFonts w:ascii="Book Antiqua" w:hAnsi="Book Antiqua"/>
          <w:b/>
          <w:bCs/>
        </w:rPr>
        <w:t xml:space="preserve"> M</w:t>
      </w:r>
      <w:r w:rsidRPr="00E1613F">
        <w:rPr>
          <w:rFonts w:ascii="Book Antiqua" w:hAnsi="Book Antiqua"/>
        </w:rPr>
        <w:t xml:space="preserve">, Williams M, Merkel T, Reiss A, </w:t>
      </w:r>
      <w:proofErr w:type="spellStart"/>
      <w:r w:rsidRPr="00E1613F">
        <w:rPr>
          <w:rFonts w:ascii="Book Antiqua" w:hAnsi="Book Antiqua"/>
        </w:rPr>
        <w:t>Dirnhofer</w:t>
      </w:r>
      <w:proofErr w:type="spellEnd"/>
      <w:r w:rsidRPr="00E1613F">
        <w:rPr>
          <w:rFonts w:ascii="Book Antiqua" w:hAnsi="Book Antiqua"/>
        </w:rPr>
        <w:t xml:space="preserve"> S, Meyer SC, Valent P, George TI, </w:t>
      </w:r>
      <w:proofErr w:type="spellStart"/>
      <w:r w:rsidRPr="00E1613F">
        <w:rPr>
          <w:rFonts w:ascii="Book Antiqua" w:hAnsi="Book Antiqua"/>
        </w:rPr>
        <w:t>Tzankov</w:t>
      </w:r>
      <w:proofErr w:type="spellEnd"/>
      <w:r w:rsidRPr="00E1613F">
        <w:rPr>
          <w:rFonts w:ascii="Book Antiqua" w:hAnsi="Book Antiqua"/>
        </w:rPr>
        <w:t xml:space="preserve"> A, Hartmann K. Increased TIM-</w:t>
      </w:r>
      <w:proofErr w:type="gramStart"/>
      <w:r w:rsidRPr="00E1613F">
        <w:rPr>
          <w:rFonts w:ascii="Book Antiqua" w:hAnsi="Book Antiqua"/>
        </w:rPr>
        <w:t>3</w:t>
      </w:r>
      <w:proofErr w:type="gramEnd"/>
      <w:r w:rsidRPr="00E1613F">
        <w:rPr>
          <w:rFonts w:ascii="Book Antiqua" w:hAnsi="Book Antiqua"/>
        </w:rPr>
        <w:t xml:space="preserve"> and galectin-9 serum levels in patients with advanced systemic </w:t>
      </w:r>
      <w:proofErr w:type="spellStart"/>
      <w:r w:rsidRPr="00E1613F">
        <w:rPr>
          <w:rFonts w:ascii="Book Antiqua" w:hAnsi="Book Antiqua"/>
        </w:rPr>
        <w:t>mastocytosis</w:t>
      </w:r>
      <w:proofErr w:type="spellEnd"/>
      <w:r w:rsidRPr="00E1613F">
        <w:rPr>
          <w:rFonts w:ascii="Book Antiqua" w:hAnsi="Book Antiqua"/>
        </w:rPr>
        <w:t xml:space="preserve">. </w:t>
      </w:r>
      <w:r w:rsidRPr="00E1613F">
        <w:rPr>
          <w:rFonts w:ascii="Book Antiqua" w:hAnsi="Book Antiqua"/>
          <w:i/>
          <w:iCs/>
        </w:rPr>
        <w:t>J Allergy Clin Immunol</w:t>
      </w:r>
      <w:r w:rsidRPr="00E1613F">
        <w:rPr>
          <w:rFonts w:ascii="Book Antiqua" w:hAnsi="Book Antiqua"/>
        </w:rPr>
        <w:t xml:space="preserve"> 2023; </w:t>
      </w:r>
      <w:r w:rsidRPr="00E1613F">
        <w:rPr>
          <w:rFonts w:ascii="Book Antiqua" w:hAnsi="Book Antiqua"/>
          <w:b/>
          <w:bCs/>
        </w:rPr>
        <w:t>152</w:t>
      </w:r>
      <w:r w:rsidRPr="00E1613F">
        <w:rPr>
          <w:rFonts w:ascii="Book Antiqua" w:hAnsi="Book Antiqua"/>
        </w:rPr>
        <w:t>: 1019-1024 [PMID: 37423405 DOI: 10.1016/j.jaci.2023.07.001]</w:t>
      </w:r>
    </w:p>
    <w:p w14:paraId="3968B01D"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40 </w:t>
      </w:r>
      <w:proofErr w:type="spellStart"/>
      <w:r w:rsidRPr="00E1613F">
        <w:rPr>
          <w:rFonts w:ascii="Book Antiqua" w:hAnsi="Book Antiqua"/>
          <w:b/>
          <w:bCs/>
        </w:rPr>
        <w:t>Burugu</w:t>
      </w:r>
      <w:proofErr w:type="spellEnd"/>
      <w:r w:rsidRPr="00E1613F">
        <w:rPr>
          <w:rFonts w:ascii="Book Antiqua" w:hAnsi="Book Antiqua"/>
          <w:b/>
          <w:bCs/>
        </w:rPr>
        <w:t xml:space="preserve"> S</w:t>
      </w:r>
      <w:r w:rsidRPr="00E1613F">
        <w:rPr>
          <w:rFonts w:ascii="Book Antiqua" w:hAnsi="Book Antiqua"/>
        </w:rPr>
        <w:t xml:space="preserve">, </w:t>
      </w:r>
      <w:proofErr w:type="spellStart"/>
      <w:r w:rsidRPr="00E1613F">
        <w:rPr>
          <w:rFonts w:ascii="Book Antiqua" w:hAnsi="Book Antiqua"/>
        </w:rPr>
        <w:t>Dancsok</w:t>
      </w:r>
      <w:proofErr w:type="spellEnd"/>
      <w:r w:rsidRPr="00E1613F">
        <w:rPr>
          <w:rFonts w:ascii="Book Antiqua" w:hAnsi="Book Antiqua"/>
        </w:rPr>
        <w:t xml:space="preserve"> AR, Nielsen TO. Emerging targets in cancer immunotherapy. </w:t>
      </w:r>
      <w:r w:rsidRPr="00E1613F">
        <w:rPr>
          <w:rFonts w:ascii="Book Antiqua" w:hAnsi="Book Antiqua"/>
          <w:i/>
          <w:iCs/>
        </w:rPr>
        <w:t>Semin Cancer Biol</w:t>
      </w:r>
      <w:r w:rsidRPr="00E1613F">
        <w:rPr>
          <w:rFonts w:ascii="Book Antiqua" w:hAnsi="Book Antiqua"/>
        </w:rPr>
        <w:t xml:space="preserve"> 2018; </w:t>
      </w:r>
      <w:r w:rsidRPr="00E1613F">
        <w:rPr>
          <w:rFonts w:ascii="Book Antiqua" w:hAnsi="Book Antiqua"/>
          <w:b/>
          <w:bCs/>
        </w:rPr>
        <w:t>52</w:t>
      </w:r>
      <w:r w:rsidRPr="00E1613F">
        <w:rPr>
          <w:rFonts w:ascii="Book Antiqua" w:hAnsi="Book Antiqua"/>
        </w:rPr>
        <w:t>: 39-52 [PMID: 28987965 DOI: 10.1016/j.semcancer.2017.10.001]</w:t>
      </w:r>
    </w:p>
    <w:p w14:paraId="00392261"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41 </w:t>
      </w:r>
      <w:r w:rsidRPr="00E1613F">
        <w:rPr>
          <w:rFonts w:ascii="Book Antiqua" w:hAnsi="Book Antiqua"/>
          <w:b/>
          <w:bCs/>
        </w:rPr>
        <w:t>Yang R</w:t>
      </w:r>
      <w:r w:rsidRPr="00E1613F">
        <w:rPr>
          <w:rFonts w:ascii="Book Antiqua" w:hAnsi="Book Antiqua"/>
        </w:rPr>
        <w:t xml:space="preserve">, Sun L, Li CF, Wang YH, Yao J, Li H, Yan M, Chang WC, Hsu JM, Cha JH, Hsu JL, Chou CW, Sun X, Deng Y, Chou CK, Yu D, Hung MC. Galectin-9 interacts with PD-1 and TIM-3 to regulate T cell death and is a target for cancer immunotherapy. </w:t>
      </w:r>
      <w:r w:rsidRPr="00E1613F">
        <w:rPr>
          <w:rFonts w:ascii="Book Antiqua" w:hAnsi="Book Antiqua"/>
          <w:i/>
          <w:iCs/>
        </w:rPr>
        <w:t xml:space="preserve">Nat </w:t>
      </w:r>
      <w:proofErr w:type="spellStart"/>
      <w:r w:rsidRPr="00E1613F">
        <w:rPr>
          <w:rFonts w:ascii="Book Antiqua" w:hAnsi="Book Antiqua"/>
          <w:i/>
          <w:iCs/>
        </w:rPr>
        <w:t>Commun</w:t>
      </w:r>
      <w:proofErr w:type="spellEnd"/>
      <w:r w:rsidRPr="00E1613F">
        <w:rPr>
          <w:rFonts w:ascii="Book Antiqua" w:hAnsi="Book Antiqua"/>
        </w:rPr>
        <w:t xml:space="preserve"> 2021; </w:t>
      </w:r>
      <w:r w:rsidRPr="00E1613F">
        <w:rPr>
          <w:rFonts w:ascii="Book Antiqua" w:hAnsi="Book Antiqua"/>
          <w:b/>
          <w:bCs/>
        </w:rPr>
        <w:t>12</w:t>
      </w:r>
      <w:r w:rsidRPr="00E1613F">
        <w:rPr>
          <w:rFonts w:ascii="Book Antiqua" w:hAnsi="Book Antiqua"/>
        </w:rPr>
        <w:t>: 832 [PMID: 33547304 DOI: 10.1038/s41467-021-21099-2]</w:t>
      </w:r>
    </w:p>
    <w:p w14:paraId="2AE88E8C" w14:textId="77777777" w:rsidR="00F614B0" w:rsidRPr="00E1613F" w:rsidRDefault="00000000">
      <w:pPr>
        <w:adjustRightInd w:val="0"/>
        <w:snapToGrid w:val="0"/>
        <w:spacing w:line="360" w:lineRule="auto"/>
        <w:jc w:val="both"/>
        <w:rPr>
          <w:rFonts w:ascii="Book Antiqua" w:hAnsi="Book Antiqua"/>
        </w:rPr>
      </w:pPr>
      <w:r w:rsidRPr="00E1613F">
        <w:rPr>
          <w:rFonts w:ascii="Book Antiqua" w:hAnsi="Book Antiqua"/>
        </w:rPr>
        <w:t xml:space="preserve">42 </w:t>
      </w:r>
      <w:r w:rsidRPr="00E1613F">
        <w:rPr>
          <w:rFonts w:ascii="Book Antiqua" w:hAnsi="Book Antiqua"/>
          <w:b/>
          <w:bCs/>
        </w:rPr>
        <w:t>Kandel S</w:t>
      </w:r>
      <w:r w:rsidRPr="00E1613F">
        <w:rPr>
          <w:rFonts w:ascii="Book Antiqua" w:hAnsi="Book Antiqua"/>
        </w:rPr>
        <w:t xml:space="preserve">, </w:t>
      </w:r>
      <w:proofErr w:type="spellStart"/>
      <w:r w:rsidRPr="00E1613F">
        <w:rPr>
          <w:rFonts w:ascii="Book Antiqua" w:hAnsi="Book Antiqua"/>
        </w:rPr>
        <w:t>Adhikary</w:t>
      </w:r>
      <w:proofErr w:type="spellEnd"/>
      <w:r w:rsidRPr="00E1613F">
        <w:rPr>
          <w:rFonts w:ascii="Book Antiqua" w:hAnsi="Book Antiqua"/>
        </w:rPr>
        <w:t xml:space="preserve"> P, Li G, Cheng K. The TIM3/Gal9 signaling pathway: An emerging target for cancer immunotherapy. </w:t>
      </w:r>
      <w:r w:rsidRPr="00E1613F">
        <w:rPr>
          <w:rFonts w:ascii="Book Antiqua" w:hAnsi="Book Antiqua"/>
          <w:i/>
          <w:iCs/>
        </w:rPr>
        <w:t>Cancer Lett</w:t>
      </w:r>
      <w:r w:rsidRPr="00E1613F">
        <w:rPr>
          <w:rFonts w:ascii="Book Antiqua" w:hAnsi="Book Antiqua"/>
        </w:rPr>
        <w:t xml:space="preserve"> 2021; </w:t>
      </w:r>
      <w:r w:rsidRPr="00E1613F">
        <w:rPr>
          <w:rFonts w:ascii="Book Antiqua" w:hAnsi="Book Antiqua"/>
          <w:b/>
          <w:bCs/>
        </w:rPr>
        <w:t>510</w:t>
      </w:r>
      <w:r w:rsidRPr="00E1613F">
        <w:rPr>
          <w:rFonts w:ascii="Book Antiqua" w:hAnsi="Book Antiqua"/>
        </w:rPr>
        <w:t>: 67-78 [PMID: 33895262 DOI: 10.1016/j.canlet.2021.04.011]</w:t>
      </w:r>
    </w:p>
    <w:p w14:paraId="36B16A40" w14:textId="77777777" w:rsidR="00F614B0" w:rsidRPr="00E1613F" w:rsidRDefault="00F614B0">
      <w:pPr>
        <w:spacing w:line="360" w:lineRule="auto"/>
        <w:jc w:val="both"/>
        <w:rPr>
          <w:color w:val="000000" w:themeColor="text1"/>
        </w:rPr>
      </w:pPr>
    </w:p>
    <w:p w14:paraId="4F45F5DC" w14:textId="77777777" w:rsidR="00F614B0" w:rsidRPr="00E1613F" w:rsidRDefault="00F614B0">
      <w:pPr>
        <w:spacing w:line="360" w:lineRule="auto"/>
        <w:jc w:val="both"/>
        <w:rPr>
          <w:color w:val="000000" w:themeColor="text1"/>
        </w:rPr>
        <w:sectPr w:rsidR="00F614B0" w:rsidRPr="00E1613F">
          <w:pgSz w:w="12240" w:h="15840"/>
          <w:pgMar w:top="1440" w:right="1440" w:bottom="1440" w:left="1440" w:header="720" w:footer="720" w:gutter="0"/>
          <w:cols w:space="720"/>
          <w:docGrid w:linePitch="360"/>
        </w:sectPr>
      </w:pPr>
    </w:p>
    <w:p w14:paraId="49F5E63E"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lastRenderedPageBreak/>
        <w:t>Footnotes</w:t>
      </w:r>
    </w:p>
    <w:p w14:paraId="798EB2E2" w14:textId="77777777" w:rsidR="00F614B0" w:rsidRPr="00E1613F" w:rsidRDefault="00000000">
      <w:pPr>
        <w:snapToGrid w:val="0"/>
        <w:spacing w:line="360" w:lineRule="auto"/>
        <w:jc w:val="both"/>
        <w:rPr>
          <w:rFonts w:ascii="Book Antiqua" w:eastAsia="宋体" w:hAnsi="Book Antiqua" w:cs="宋体"/>
        </w:rPr>
      </w:pPr>
      <w:r w:rsidRPr="00E1613F">
        <w:rPr>
          <w:rFonts w:ascii="Book Antiqua" w:eastAsia="Book Antiqua" w:hAnsi="Book Antiqua" w:cs="Book Antiqua"/>
          <w:b/>
          <w:bCs/>
          <w:color w:val="000000" w:themeColor="text1"/>
        </w:rPr>
        <w:t xml:space="preserve">Conflict-of-interest statement: </w:t>
      </w:r>
      <w:bookmarkStart w:id="2" w:name="_Hlk130828251"/>
      <w:r w:rsidRPr="00E1613F">
        <w:rPr>
          <w:rFonts w:ascii="Book Antiqua" w:eastAsia="宋体" w:hAnsi="Book Antiqua" w:cs="宋体"/>
        </w:rPr>
        <w:t>The authors have no conflicts of interest to declare.</w:t>
      </w:r>
    </w:p>
    <w:bookmarkEnd w:id="2"/>
    <w:p w14:paraId="72718A8D" w14:textId="77777777" w:rsidR="00F614B0" w:rsidRPr="00E1613F" w:rsidRDefault="00F614B0">
      <w:pPr>
        <w:spacing w:line="360" w:lineRule="auto"/>
        <w:jc w:val="both"/>
        <w:rPr>
          <w:color w:val="000000" w:themeColor="text1"/>
        </w:rPr>
      </w:pPr>
    </w:p>
    <w:p w14:paraId="08DD2635"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PRISMA 2009 Checklist statement: </w:t>
      </w:r>
      <w:r w:rsidRPr="00E1613F">
        <w:rPr>
          <w:rFonts w:ascii="Book Antiqua" w:eastAsia="Book Antiqua" w:hAnsi="Book Antiqua" w:cs="Book Antiqua"/>
          <w:color w:val="000000" w:themeColor="text1"/>
        </w:rPr>
        <w:t>The authors have read the PRISMA 2009 checklist, and subsequently prepared and revised it.</w:t>
      </w:r>
    </w:p>
    <w:p w14:paraId="270F70C9" w14:textId="77777777" w:rsidR="00F614B0" w:rsidRPr="00E1613F" w:rsidRDefault="00F614B0">
      <w:pPr>
        <w:spacing w:line="360" w:lineRule="auto"/>
        <w:jc w:val="both"/>
        <w:rPr>
          <w:color w:val="000000" w:themeColor="text1"/>
        </w:rPr>
      </w:pPr>
    </w:p>
    <w:p w14:paraId="166684F9"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bCs/>
          <w:color w:val="000000" w:themeColor="text1"/>
        </w:rPr>
        <w:t xml:space="preserve">Open-Access: </w:t>
      </w:r>
      <w:r w:rsidRPr="00E1613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1613F">
        <w:rPr>
          <w:rFonts w:ascii="Book Antiqua" w:eastAsia="Book Antiqua" w:hAnsi="Book Antiqua" w:cs="Book Antiqua"/>
          <w:color w:val="000000" w:themeColor="text1"/>
        </w:rPr>
        <w:t>NonCommercial</w:t>
      </w:r>
      <w:proofErr w:type="spellEnd"/>
      <w:r w:rsidRPr="00E1613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07EF8A" w14:textId="77777777" w:rsidR="00F614B0" w:rsidRPr="00E1613F" w:rsidRDefault="00F614B0">
      <w:pPr>
        <w:spacing w:line="360" w:lineRule="auto"/>
        <w:jc w:val="both"/>
        <w:rPr>
          <w:color w:val="000000" w:themeColor="text1"/>
        </w:rPr>
      </w:pPr>
    </w:p>
    <w:p w14:paraId="297D6BF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Provenance and peer review: </w:t>
      </w:r>
      <w:r w:rsidRPr="00E1613F">
        <w:rPr>
          <w:rFonts w:ascii="Book Antiqua" w:eastAsia="Book Antiqua" w:hAnsi="Book Antiqua" w:cs="Book Antiqua"/>
          <w:color w:val="000000" w:themeColor="text1"/>
        </w:rPr>
        <w:t>Unsolicited article; Externally peer reviewed.</w:t>
      </w:r>
    </w:p>
    <w:p w14:paraId="4BA456C6" w14:textId="77777777" w:rsidR="00F614B0" w:rsidRPr="00E1613F" w:rsidRDefault="00F614B0">
      <w:pPr>
        <w:spacing w:line="360" w:lineRule="auto"/>
        <w:jc w:val="both"/>
        <w:rPr>
          <w:rFonts w:ascii="Book Antiqua" w:eastAsia="Book Antiqua" w:hAnsi="Book Antiqua" w:cs="Book Antiqua"/>
          <w:b/>
          <w:color w:val="000000" w:themeColor="text1"/>
        </w:rPr>
      </w:pPr>
    </w:p>
    <w:p w14:paraId="7AA1B48E"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Peer-review model: </w:t>
      </w:r>
      <w:r w:rsidRPr="00E1613F">
        <w:rPr>
          <w:rFonts w:ascii="Book Antiqua" w:eastAsia="Book Antiqua" w:hAnsi="Book Antiqua" w:cs="Book Antiqua"/>
          <w:color w:val="000000" w:themeColor="text1"/>
        </w:rPr>
        <w:t>Single blind</w:t>
      </w:r>
    </w:p>
    <w:p w14:paraId="2898A87E" w14:textId="77777777" w:rsidR="00F614B0" w:rsidRPr="00E1613F" w:rsidRDefault="00F614B0">
      <w:pPr>
        <w:spacing w:line="360" w:lineRule="auto"/>
        <w:jc w:val="both"/>
        <w:rPr>
          <w:color w:val="000000" w:themeColor="text1"/>
        </w:rPr>
      </w:pPr>
    </w:p>
    <w:p w14:paraId="0384BBD3"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Peer-review started: </w:t>
      </w:r>
      <w:r w:rsidRPr="00E1613F">
        <w:rPr>
          <w:rFonts w:ascii="Book Antiqua" w:eastAsia="Book Antiqua" w:hAnsi="Book Antiqua" w:cs="Book Antiqua"/>
          <w:color w:val="000000" w:themeColor="text1"/>
        </w:rPr>
        <w:t>August 12, 2023</w:t>
      </w:r>
    </w:p>
    <w:p w14:paraId="16263D29"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First decision: </w:t>
      </w:r>
      <w:r w:rsidRPr="00E1613F">
        <w:rPr>
          <w:rFonts w:ascii="Book Antiqua" w:eastAsia="Book Antiqua" w:hAnsi="Book Antiqua" w:cs="Book Antiqua"/>
          <w:color w:val="000000" w:themeColor="text1"/>
        </w:rPr>
        <w:t>September 12, 2023</w:t>
      </w:r>
    </w:p>
    <w:p w14:paraId="54050783"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Article in press: </w:t>
      </w:r>
      <w:r w:rsidRPr="00E1613F">
        <w:rPr>
          <w:rFonts w:ascii="Book Antiqua" w:eastAsia="Book Antiqua" w:hAnsi="Book Antiqua" w:cs="Book Antiqua"/>
          <w:color w:val="000000" w:themeColor="text1"/>
        </w:rPr>
        <w:t>October 16, 2023</w:t>
      </w:r>
    </w:p>
    <w:p w14:paraId="5FFE2094" w14:textId="77777777" w:rsidR="00F614B0" w:rsidRPr="00E1613F" w:rsidRDefault="00F614B0">
      <w:pPr>
        <w:spacing w:line="360" w:lineRule="auto"/>
        <w:jc w:val="both"/>
        <w:rPr>
          <w:color w:val="000000" w:themeColor="text1"/>
        </w:rPr>
      </w:pPr>
    </w:p>
    <w:p w14:paraId="3334AE80"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Specialty type: </w:t>
      </w:r>
      <w:bookmarkStart w:id="3" w:name="_Hlk134448652"/>
      <w:r w:rsidRPr="00E1613F">
        <w:rPr>
          <w:rFonts w:ascii="Book Antiqua" w:eastAsia="微软雅黑" w:hAnsi="Book Antiqua" w:cs="宋体"/>
        </w:rPr>
        <w:t>Oncology</w:t>
      </w:r>
      <w:bookmarkEnd w:id="3"/>
    </w:p>
    <w:p w14:paraId="07172B16"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 xml:space="preserve">Country/Territory of origin: </w:t>
      </w:r>
      <w:r w:rsidRPr="00E1613F">
        <w:rPr>
          <w:rFonts w:ascii="Book Antiqua" w:eastAsia="Book Antiqua" w:hAnsi="Book Antiqua" w:cs="Book Antiqua"/>
          <w:color w:val="000000" w:themeColor="text1"/>
        </w:rPr>
        <w:t>China</w:t>
      </w:r>
    </w:p>
    <w:p w14:paraId="1EDCA284"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t>Peer-review report’s scientific quality classification</w:t>
      </w:r>
    </w:p>
    <w:p w14:paraId="11536C49"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Grade A (Excellent): A, A</w:t>
      </w:r>
    </w:p>
    <w:p w14:paraId="486DE730"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Grade B (Very good): 0</w:t>
      </w:r>
    </w:p>
    <w:p w14:paraId="3B4AFEE5"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Grade C (Good): 0</w:t>
      </w:r>
    </w:p>
    <w:p w14:paraId="47216498"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Grade D (Fair): D</w:t>
      </w:r>
    </w:p>
    <w:p w14:paraId="671CE70B"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color w:val="000000" w:themeColor="text1"/>
        </w:rPr>
        <w:t>Grade E (Poor): 0</w:t>
      </w:r>
    </w:p>
    <w:p w14:paraId="5AD88A4E" w14:textId="77777777" w:rsidR="00F614B0" w:rsidRPr="00E1613F" w:rsidRDefault="00F614B0">
      <w:pPr>
        <w:spacing w:line="360" w:lineRule="auto"/>
        <w:jc w:val="both"/>
        <w:rPr>
          <w:color w:val="000000" w:themeColor="text1"/>
        </w:rPr>
      </w:pPr>
    </w:p>
    <w:p w14:paraId="403EAF19" w14:textId="77777777" w:rsidR="00F614B0" w:rsidRPr="00E1613F" w:rsidRDefault="00000000">
      <w:pPr>
        <w:spacing w:line="360" w:lineRule="auto"/>
        <w:jc w:val="both"/>
        <w:rPr>
          <w:rFonts w:ascii="Book Antiqua" w:eastAsia="Book Antiqua" w:hAnsi="Book Antiqua" w:cs="Book Antiqua"/>
          <w:b/>
          <w:color w:val="000000" w:themeColor="text1"/>
        </w:rPr>
        <w:sectPr w:rsidR="00F614B0" w:rsidRPr="00E1613F">
          <w:pgSz w:w="12240" w:h="15840"/>
          <w:pgMar w:top="1440" w:right="1440" w:bottom="1440" w:left="1440" w:header="720" w:footer="720" w:gutter="0"/>
          <w:cols w:space="720"/>
          <w:docGrid w:linePitch="360"/>
        </w:sectPr>
      </w:pPr>
      <w:r w:rsidRPr="00E1613F">
        <w:rPr>
          <w:rFonts w:ascii="Book Antiqua" w:eastAsia="Book Antiqua" w:hAnsi="Book Antiqua" w:cs="Book Antiqua"/>
          <w:b/>
          <w:color w:val="000000" w:themeColor="text1"/>
        </w:rPr>
        <w:lastRenderedPageBreak/>
        <w:t xml:space="preserve">P-Reviewer: </w:t>
      </w:r>
      <w:r w:rsidRPr="00E1613F">
        <w:rPr>
          <w:rFonts w:ascii="Book Antiqua" w:eastAsia="Book Antiqua" w:hAnsi="Book Antiqua" w:cs="Book Antiqua"/>
          <w:color w:val="000000" w:themeColor="text1"/>
        </w:rPr>
        <w:t>Huang B, China; Rizzo A, Italy</w:t>
      </w:r>
      <w:r w:rsidRPr="00E1613F">
        <w:rPr>
          <w:rFonts w:ascii="Book Antiqua" w:eastAsia="Book Antiqua" w:hAnsi="Book Antiqua" w:cs="Book Antiqua"/>
          <w:b/>
          <w:color w:val="000000" w:themeColor="text1"/>
        </w:rPr>
        <w:t xml:space="preserve"> S-Editor: </w:t>
      </w:r>
      <w:r w:rsidRPr="00E1613F">
        <w:rPr>
          <w:rFonts w:ascii="Book Antiqua" w:eastAsia="Book Antiqua" w:hAnsi="Book Antiqua" w:cs="Book Antiqua"/>
          <w:bCs/>
          <w:color w:val="000000" w:themeColor="text1"/>
        </w:rPr>
        <w:t>Li L</w:t>
      </w:r>
      <w:r w:rsidRPr="00E1613F">
        <w:rPr>
          <w:rFonts w:ascii="Book Antiqua" w:eastAsia="Book Antiqua" w:hAnsi="Book Antiqua" w:cs="Book Antiqua"/>
          <w:b/>
          <w:color w:val="000000" w:themeColor="text1"/>
        </w:rPr>
        <w:t xml:space="preserve"> L-Editor: </w:t>
      </w:r>
      <w:r w:rsidRPr="00E1613F">
        <w:rPr>
          <w:rFonts w:ascii="Book Antiqua" w:eastAsia="Book Antiqua" w:hAnsi="Book Antiqua" w:cs="Book Antiqua"/>
          <w:bCs/>
          <w:color w:val="000000" w:themeColor="text1"/>
        </w:rPr>
        <w:t>Filipodia</w:t>
      </w:r>
      <w:r w:rsidRPr="00E1613F">
        <w:rPr>
          <w:rFonts w:ascii="Book Antiqua" w:eastAsia="Book Antiqua" w:hAnsi="Book Antiqua" w:cs="Book Antiqua"/>
          <w:b/>
          <w:color w:val="000000" w:themeColor="text1"/>
        </w:rPr>
        <w:t xml:space="preserve"> P-Editor: </w:t>
      </w:r>
      <w:r w:rsidRPr="00E1613F">
        <w:rPr>
          <w:rFonts w:hint="eastAsia"/>
          <w:color w:val="000000" w:themeColor="text1"/>
          <w:lang w:eastAsia="zh-CN"/>
        </w:rPr>
        <w:t>Zhang</w:t>
      </w:r>
      <w:r w:rsidRPr="00E1613F">
        <w:rPr>
          <w:color w:val="000000" w:themeColor="text1"/>
          <w:lang w:eastAsia="zh-CN"/>
        </w:rPr>
        <w:t xml:space="preserve"> </w:t>
      </w:r>
      <w:r w:rsidRPr="00E1613F">
        <w:rPr>
          <w:rFonts w:hint="eastAsia"/>
          <w:color w:val="000000" w:themeColor="text1"/>
          <w:lang w:eastAsia="zh-CN"/>
        </w:rPr>
        <w:t>XD</w:t>
      </w:r>
    </w:p>
    <w:p w14:paraId="3FD026FA" w14:textId="77777777" w:rsidR="00F614B0" w:rsidRPr="00E1613F" w:rsidRDefault="00000000">
      <w:pPr>
        <w:spacing w:line="360" w:lineRule="auto"/>
        <w:jc w:val="both"/>
        <w:rPr>
          <w:color w:val="000000" w:themeColor="text1"/>
        </w:rPr>
      </w:pPr>
      <w:r w:rsidRPr="00E1613F">
        <w:rPr>
          <w:rFonts w:ascii="Book Antiqua" w:eastAsia="Book Antiqua" w:hAnsi="Book Antiqua" w:cs="Book Antiqua"/>
          <w:b/>
          <w:color w:val="000000" w:themeColor="text1"/>
        </w:rPr>
        <w:lastRenderedPageBreak/>
        <w:t>Figure Legends</w:t>
      </w:r>
    </w:p>
    <w:p w14:paraId="2F7416F1" w14:textId="7A4D38CE" w:rsidR="00F614B0" w:rsidRPr="00E1613F" w:rsidRDefault="00993D8D">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7F892A4C" wp14:editId="2D3591C2">
            <wp:extent cx="3657600" cy="3441700"/>
            <wp:effectExtent l="0" t="0" r="0" b="0"/>
            <wp:docPr id="1652075263" name="图片 1"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75263" name="图片 1" descr="图示, 文本&#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3441700"/>
                    </a:xfrm>
                    <a:prstGeom prst="rect">
                      <a:avLst/>
                    </a:prstGeom>
                  </pic:spPr>
                </pic:pic>
              </a:graphicData>
            </a:graphic>
          </wp:inline>
        </w:drawing>
      </w:r>
    </w:p>
    <w:p w14:paraId="13A0F864" w14:textId="77777777" w:rsidR="00F614B0" w:rsidRPr="00E1613F" w:rsidRDefault="00000000">
      <w:pPr>
        <w:adjustRightInd w:val="0"/>
        <w:snapToGrid w:val="0"/>
        <w:spacing w:line="360" w:lineRule="auto"/>
        <w:jc w:val="both"/>
        <w:rPr>
          <w:b/>
          <w:bCs/>
          <w:color w:val="000000" w:themeColor="text1"/>
        </w:rPr>
      </w:pPr>
      <w:r w:rsidRPr="00E1613F">
        <w:rPr>
          <w:rFonts w:ascii="Book Antiqua" w:eastAsia="Book Antiqua" w:hAnsi="Book Antiqua" w:cs="Book Antiqua"/>
          <w:b/>
          <w:bCs/>
          <w:color w:val="000000" w:themeColor="text1"/>
        </w:rPr>
        <w:t>Figure 1 Flow diagram for the study selection criteria and process.</w:t>
      </w:r>
    </w:p>
    <w:p w14:paraId="2165C9D4" w14:textId="77777777" w:rsidR="00F614B0" w:rsidRPr="00E1613F" w:rsidRDefault="00F614B0">
      <w:pPr>
        <w:adjustRightInd w:val="0"/>
        <w:snapToGrid w:val="0"/>
        <w:spacing w:line="360" w:lineRule="auto"/>
        <w:jc w:val="both"/>
        <w:rPr>
          <w:rFonts w:ascii="Book Antiqua" w:eastAsia="Book Antiqua" w:hAnsi="Book Antiqua" w:cs="Book Antiqua"/>
          <w:b/>
          <w:bCs/>
          <w:color w:val="000000" w:themeColor="text1"/>
        </w:rPr>
      </w:pPr>
    </w:p>
    <w:p w14:paraId="58FC9804" w14:textId="5AB4A529" w:rsidR="00F614B0" w:rsidRPr="00E1613F" w:rsidRDefault="00993D8D">
      <w:pPr>
        <w:adjustRightInd w:val="0"/>
        <w:snapToGrid w:val="0"/>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noProof/>
          <w:color w:val="000000" w:themeColor="text1"/>
        </w:rPr>
        <w:drawing>
          <wp:inline distT="0" distB="0" distL="0" distR="0" wp14:anchorId="5F30EE75" wp14:editId="7A7D1FB0">
            <wp:extent cx="4724400" cy="3200400"/>
            <wp:effectExtent l="0" t="0" r="0" b="0"/>
            <wp:docPr id="1323364752" name="图片 2"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64752" name="图片 2" descr="图表, 箱线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4400" cy="3200400"/>
                    </a:xfrm>
                    <a:prstGeom prst="rect">
                      <a:avLst/>
                    </a:prstGeom>
                  </pic:spPr>
                </pic:pic>
              </a:graphicData>
            </a:graphic>
          </wp:inline>
        </w:drawing>
      </w:r>
    </w:p>
    <w:p w14:paraId="6D60AEA9" w14:textId="77777777" w:rsidR="00F614B0" w:rsidRPr="00E1613F" w:rsidRDefault="00000000">
      <w:pPr>
        <w:adjustRightInd w:val="0"/>
        <w:snapToGrid w:val="0"/>
        <w:spacing w:line="360" w:lineRule="auto"/>
        <w:jc w:val="both"/>
        <w:rPr>
          <w:color w:val="000000" w:themeColor="text1"/>
        </w:rPr>
      </w:pPr>
      <w:r w:rsidRPr="00E1613F">
        <w:rPr>
          <w:rFonts w:ascii="Book Antiqua" w:eastAsia="Book Antiqua" w:hAnsi="Book Antiqua" w:cs="Book Antiqua"/>
          <w:b/>
          <w:bCs/>
          <w:color w:val="000000" w:themeColor="text1"/>
        </w:rPr>
        <w:t xml:space="preserve">Figure 2 Meta-analysis of the association between T cell immunoglobulin and mucin-domain containing-3 expression and overall survival. </w:t>
      </w:r>
      <w:r w:rsidRPr="00E1613F">
        <w:rPr>
          <w:rFonts w:ascii="Book Antiqua" w:eastAsia="Book Antiqua" w:hAnsi="Book Antiqua" w:cs="Book Antiqua"/>
          <w:color w:val="000000" w:themeColor="text1"/>
        </w:rPr>
        <w:t xml:space="preserve">Hazard ratio forest plot for the </w:t>
      </w:r>
      <w:r w:rsidRPr="00E1613F">
        <w:rPr>
          <w:rFonts w:ascii="Book Antiqua" w:eastAsia="Book Antiqua" w:hAnsi="Book Antiqua" w:cs="Book Antiqua"/>
          <w:color w:val="000000" w:themeColor="text1"/>
        </w:rPr>
        <w:lastRenderedPageBreak/>
        <w:t xml:space="preserve">association between the T cell immunoglobulin and mucin-domain containing-3 expression and overall survival in upper gastrointestinal tract tumors. </w:t>
      </w:r>
    </w:p>
    <w:p w14:paraId="31198819" w14:textId="0A9AACEB" w:rsidR="00F614B0" w:rsidRPr="00E1613F" w:rsidRDefault="00993D8D">
      <w:pPr>
        <w:adjustRightInd w:val="0"/>
        <w:snapToGrid w:val="0"/>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143CB24D" wp14:editId="703348CF">
            <wp:extent cx="3054985" cy="8229600"/>
            <wp:effectExtent l="0" t="0" r="5715" b="0"/>
            <wp:docPr id="1735207135" name="图片 3" descr="示意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07135" name="图片 3" descr="示意图&#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4985" cy="8229600"/>
                    </a:xfrm>
                    <a:prstGeom prst="rect">
                      <a:avLst/>
                    </a:prstGeom>
                  </pic:spPr>
                </pic:pic>
              </a:graphicData>
            </a:graphic>
          </wp:inline>
        </w:drawing>
      </w:r>
      <w:r w:rsidR="00000000" w:rsidRPr="00E1613F">
        <w:t xml:space="preserve">    </w:t>
      </w:r>
      <w:r w:rsidR="00000000" w:rsidRPr="00E1613F">
        <w:rPr>
          <w:noProof/>
        </w:rPr>
        <w:lastRenderedPageBreak/>
        <w:drawing>
          <wp:inline distT="0" distB="0" distL="0" distR="0" wp14:anchorId="09494A9E" wp14:editId="5BC048F1">
            <wp:extent cx="5943600" cy="268605"/>
            <wp:effectExtent l="0" t="0" r="0" b="0"/>
            <wp:docPr id="221654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54765" name="图片 1"/>
                    <pic:cNvPicPr>
                      <a:picLocks noChangeAspect="1"/>
                    </pic:cNvPicPr>
                  </pic:nvPicPr>
                  <pic:blipFill>
                    <a:blip r:embed="rId10"/>
                    <a:stretch>
                      <a:fillRect/>
                    </a:stretch>
                  </pic:blipFill>
                  <pic:spPr>
                    <a:xfrm>
                      <a:off x="0" y="0"/>
                      <a:ext cx="5943600" cy="268605"/>
                    </a:xfrm>
                    <a:prstGeom prst="rect">
                      <a:avLst/>
                    </a:prstGeom>
                  </pic:spPr>
                </pic:pic>
              </a:graphicData>
            </a:graphic>
          </wp:inline>
        </w:drawing>
      </w:r>
    </w:p>
    <w:p w14:paraId="3B8706EA" w14:textId="77777777" w:rsidR="00F614B0" w:rsidRPr="00E1613F" w:rsidRDefault="00000000">
      <w:pPr>
        <w:adjustRightInd w:val="0"/>
        <w:snapToGrid w:val="0"/>
        <w:spacing w:line="360" w:lineRule="auto"/>
        <w:jc w:val="both"/>
        <w:rPr>
          <w:color w:val="000000" w:themeColor="text1"/>
        </w:rPr>
      </w:pPr>
      <w:r w:rsidRPr="00E1613F">
        <w:rPr>
          <w:rFonts w:ascii="Book Antiqua" w:eastAsia="Book Antiqua" w:hAnsi="Book Antiqua" w:cs="Book Antiqua"/>
          <w:b/>
          <w:bCs/>
          <w:color w:val="000000" w:themeColor="text1"/>
        </w:rPr>
        <w:t>Figure 3</w:t>
      </w:r>
      <w:r w:rsidRPr="00E1613F">
        <w:rPr>
          <w:rFonts w:ascii="Book Antiqua" w:eastAsia="Book Antiqua" w:hAnsi="Book Antiqua" w:cs="Book Antiqua"/>
          <w:color w:val="000000" w:themeColor="text1"/>
        </w:rPr>
        <w:t xml:space="preserve"> </w:t>
      </w:r>
      <w:r w:rsidRPr="00E1613F">
        <w:rPr>
          <w:rFonts w:ascii="Book Antiqua" w:eastAsia="Book Antiqua" w:hAnsi="Book Antiqua" w:cs="Book Antiqua"/>
          <w:b/>
          <w:bCs/>
          <w:color w:val="000000" w:themeColor="text1"/>
        </w:rPr>
        <w:t>Association between T cell immunoglobulin and mucin-domain containing-3 expression and clinicopathological characteristics</w:t>
      </w:r>
      <w:r w:rsidRPr="00E1613F">
        <w:rPr>
          <w:rFonts w:ascii="Book Antiqua" w:eastAsia="宋体" w:hAnsi="Book Antiqua" w:cs="Book Antiqua"/>
          <w:b/>
          <w:bCs/>
          <w:color w:val="000000" w:themeColor="text1"/>
          <w:lang w:eastAsia="zh-CN"/>
        </w:rPr>
        <w:t xml:space="preserve"> was analyzed</w:t>
      </w:r>
      <w:r w:rsidRPr="00E1613F">
        <w:rPr>
          <w:rFonts w:ascii="Book Antiqua" w:eastAsia="Book Antiqua" w:hAnsi="Book Antiqua" w:cs="Book Antiqua"/>
          <w:b/>
          <w:bCs/>
          <w:color w:val="000000" w:themeColor="text1"/>
        </w:rPr>
        <w:t xml:space="preserve">. </w:t>
      </w:r>
      <w:r w:rsidRPr="00E1613F">
        <w:rPr>
          <w:rFonts w:ascii="Book Antiqua" w:eastAsia="Book Antiqua" w:hAnsi="Book Antiqua" w:cs="Book Antiqua"/>
          <w:color w:val="000000" w:themeColor="text1"/>
        </w:rPr>
        <w:t xml:space="preserve">Forest plots with Odds ratio (OR) and 95% confidence interval (CI) were drawn for the association of T cell immunoglobulin and mucin-domain containing-3 expression with clinicopathological characteristics. A: </w:t>
      </w:r>
      <w:r w:rsidRPr="00E1613F">
        <w:rPr>
          <w:rFonts w:ascii="Book Antiqua" w:eastAsia="宋体" w:hAnsi="Book Antiqua" w:cs="Book Antiqua"/>
          <w:color w:val="000000" w:themeColor="text1"/>
          <w:lang w:eastAsia="zh-CN"/>
        </w:rPr>
        <w:t>Sex</w:t>
      </w:r>
      <w:r w:rsidRPr="00E1613F">
        <w:rPr>
          <w:rFonts w:ascii="Book Antiqua" w:eastAsia="Book Antiqua" w:hAnsi="Book Antiqua" w:cs="Book Antiqua"/>
          <w:color w:val="000000" w:themeColor="text1"/>
        </w:rPr>
        <w:t xml:space="preserve">; B: Age; C: Tumor location; D: Tumor size. </w:t>
      </w:r>
    </w:p>
    <w:p w14:paraId="4621250F" w14:textId="4E5115D2" w:rsidR="00F614B0" w:rsidRPr="00E1613F" w:rsidRDefault="00993D8D">
      <w:pPr>
        <w:adjustRightInd w:val="0"/>
        <w:snapToGrid w:val="0"/>
        <w:spacing w:line="360" w:lineRule="auto"/>
        <w:jc w:val="both"/>
        <w:rPr>
          <w:rFonts w:ascii="Book Antiqua" w:eastAsia="Book Antiqua" w:hAnsi="Book Antiqua" w:cs="Book Antiqua"/>
          <w:b/>
          <w:bCs/>
          <w:color w:val="000000" w:themeColor="text1"/>
        </w:rPr>
      </w:pPr>
      <w:r>
        <w:rPr>
          <w:noProof/>
        </w:rPr>
        <w:lastRenderedPageBreak/>
        <w:drawing>
          <wp:inline distT="0" distB="0" distL="0" distR="0" wp14:anchorId="3B3582ED" wp14:editId="454E8439">
            <wp:extent cx="3198495" cy="8229600"/>
            <wp:effectExtent l="0" t="0" r="1905" b="0"/>
            <wp:docPr id="1901949977" name="图片 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49977" name="图片 4" descr="图示, 示意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8495" cy="8229600"/>
                    </a:xfrm>
                    <a:prstGeom prst="rect">
                      <a:avLst/>
                    </a:prstGeom>
                  </pic:spPr>
                </pic:pic>
              </a:graphicData>
            </a:graphic>
          </wp:inline>
        </w:drawing>
      </w:r>
    </w:p>
    <w:p w14:paraId="0097996E" w14:textId="77777777" w:rsidR="00F614B0" w:rsidRPr="00E1613F" w:rsidRDefault="00000000">
      <w:pPr>
        <w:adjustRightInd w:val="0"/>
        <w:snapToGrid w:val="0"/>
        <w:spacing w:line="360" w:lineRule="auto"/>
        <w:jc w:val="both"/>
        <w:rPr>
          <w:rFonts w:eastAsia="宋体"/>
          <w:color w:val="000000" w:themeColor="text1"/>
          <w:lang w:eastAsia="zh-CN"/>
        </w:rPr>
      </w:pPr>
      <w:r w:rsidRPr="00E1613F">
        <w:rPr>
          <w:rFonts w:ascii="Book Antiqua" w:eastAsia="Book Antiqua" w:hAnsi="Book Antiqua" w:cs="Book Antiqua"/>
          <w:b/>
          <w:bCs/>
          <w:color w:val="000000" w:themeColor="text1"/>
        </w:rPr>
        <w:lastRenderedPageBreak/>
        <w:t xml:space="preserve">Figure 4 Association between T cell immunoglobulin and mucin-domain containing-3 expression and clinicopathological characteristics was analyzed. </w:t>
      </w:r>
      <w:r w:rsidRPr="00E1613F">
        <w:rPr>
          <w:rFonts w:ascii="Book Antiqua" w:eastAsia="Book Antiqua" w:hAnsi="Book Antiqua" w:cs="Book Antiqua"/>
          <w:color w:val="000000" w:themeColor="text1"/>
        </w:rPr>
        <w:t>Forest plots of odds ratio (OR) and 95% confidence interval (CI) were performed for correlation between T cell immunoglobulin and mucin-domain containing-3 expression and Tumor staging and grade of tissue differentiation.</w:t>
      </w:r>
      <w:r w:rsidRPr="00E1613F">
        <w:rPr>
          <w:rFonts w:ascii="Book Antiqua" w:eastAsia="宋体" w:hAnsi="Book Antiqua" w:cs="Book Antiqua"/>
          <w:color w:val="000000" w:themeColor="text1"/>
          <w:lang w:eastAsia="zh-CN"/>
        </w:rPr>
        <w:t xml:space="preserve"> </w:t>
      </w:r>
      <w:r w:rsidRPr="00E1613F">
        <w:rPr>
          <w:rFonts w:ascii="Book Antiqua" w:eastAsia="Book Antiqua" w:hAnsi="Book Antiqua" w:cs="Book Antiqua"/>
          <w:color w:val="000000" w:themeColor="text1"/>
        </w:rPr>
        <w:t>A</w:t>
      </w:r>
      <w:r w:rsidRPr="00E1613F">
        <w:rPr>
          <w:rFonts w:ascii="Book Antiqua" w:eastAsia="宋体" w:hAnsi="Book Antiqua" w:cs="Book Antiqua"/>
          <w:color w:val="000000" w:themeColor="text1"/>
          <w:lang w:eastAsia="zh-CN"/>
        </w:rPr>
        <w:t xml:space="preserve">: </w:t>
      </w:r>
      <w:r w:rsidRPr="00E1613F">
        <w:rPr>
          <w:rFonts w:ascii="Book Antiqua" w:eastAsia="Book Antiqua" w:hAnsi="Book Antiqua" w:cs="Book Antiqua"/>
          <w:color w:val="000000" w:themeColor="text1"/>
        </w:rPr>
        <w:t>T stage</w:t>
      </w:r>
      <w:r w:rsidRPr="00E1613F">
        <w:rPr>
          <w:rFonts w:ascii="Book Antiqua" w:eastAsia="宋体" w:hAnsi="Book Antiqua" w:cs="Book Antiqua"/>
          <w:color w:val="000000" w:themeColor="text1"/>
          <w:lang w:eastAsia="zh-CN"/>
        </w:rPr>
        <w:t>; B:</w:t>
      </w:r>
      <w:r w:rsidRPr="00E1613F">
        <w:rPr>
          <w:rFonts w:ascii="Book Antiqua" w:eastAsia="Book Antiqua" w:hAnsi="Book Antiqua" w:cs="Book Antiqua"/>
          <w:color w:val="000000" w:themeColor="text1"/>
        </w:rPr>
        <w:t xml:space="preserve"> N stage</w:t>
      </w:r>
      <w:r w:rsidRPr="00E1613F">
        <w:rPr>
          <w:rFonts w:ascii="Book Antiqua" w:eastAsia="宋体" w:hAnsi="Book Antiqua" w:cs="Book Antiqua"/>
          <w:color w:val="000000" w:themeColor="text1"/>
          <w:lang w:eastAsia="zh-CN"/>
        </w:rPr>
        <w:t xml:space="preserve">; C: </w:t>
      </w:r>
      <w:r w:rsidRPr="00E1613F">
        <w:rPr>
          <w:rFonts w:ascii="Book Antiqua" w:eastAsia="Book Antiqua" w:hAnsi="Book Antiqua" w:cs="Book Antiqua"/>
          <w:color w:val="000000" w:themeColor="text1"/>
        </w:rPr>
        <w:t>TNM stage</w:t>
      </w:r>
      <w:r w:rsidRPr="00E1613F">
        <w:rPr>
          <w:rFonts w:ascii="Book Antiqua" w:eastAsia="宋体" w:hAnsi="Book Antiqua" w:cs="Book Antiqua"/>
          <w:color w:val="000000" w:themeColor="text1"/>
          <w:lang w:eastAsia="zh-CN"/>
        </w:rPr>
        <w:t>; D: Grade of tissue differentiation.</w:t>
      </w:r>
    </w:p>
    <w:p w14:paraId="52E5B06E" w14:textId="315290AA" w:rsidR="00F614B0" w:rsidRPr="00E1613F" w:rsidRDefault="00993D8D">
      <w:pPr>
        <w:adjustRightInd w:val="0"/>
        <w:snapToGrid w:val="0"/>
        <w:spacing w:line="360" w:lineRule="auto"/>
        <w:jc w:val="both"/>
        <w:rPr>
          <w:rFonts w:ascii="Book Antiqua" w:eastAsia="Book Antiqua" w:hAnsi="Book Antiqua" w:cs="Book Antiqua"/>
          <w:b/>
          <w:bCs/>
          <w:color w:val="000000" w:themeColor="text1"/>
        </w:rPr>
      </w:pPr>
      <w:r>
        <w:rPr>
          <w:noProof/>
        </w:rPr>
        <w:drawing>
          <wp:inline distT="0" distB="0" distL="0" distR="0" wp14:anchorId="4E732892" wp14:editId="47849B81">
            <wp:extent cx="5943600" cy="2359660"/>
            <wp:effectExtent l="0" t="0" r="0" b="2540"/>
            <wp:docPr id="1231846890"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846890" name="图片 5"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59660"/>
                    </a:xfrm>
                    <a:prstGeom prst="rect">
                      <a:avLst/>
                    </a:prstGeom>
                  </pic:spPr>
                </pic:pic>
              </a:graphicData>
            </a:graphic>
          </wp:inline>
        </w:drawing>
      </w:r>
    </w:p>
    <w:p w14:paraId="50AE50E4" w14:textId="77777777" w:rsidR="00F614B0" w:rsidRPr="00E1613F" w:rsidRDefault="00000000">
      <w:pPr>
        <w:adjustRightInd w:val="0"/>
        <w:snapToGrid w:val="0"/>
        <w:spacing w:line="360" w:lineRule="auto"/>
        <w:jc w:val="both"/>
        <w:rPr>
          <w:color w:val="000000" w:themeColor="text1"/>
        </w:rPr>
      </w:pPr>
      <w:r w:rsidRPr="00E1613F">
        <w:rPr>
          <w:rFonts w:ascii="Book Antiqua" w:eastAsia="Book Antiqua" w:hAnsi="Book Antiqua" w:cs="Book Antiqua"/>
          <w:b/>
          <w:bCs/>
          <w:color w:val="000000" w:themeColor="text1"/>
        </w:rPr>
        <w:t>Figure 5</w:t>
      </w:r>
      <w:r w:rsidRPr="00E1613F">
        <w:rPr>
          <w:rFonts w:ascii="Book Antiqua" w:eastAsia="Book Antiqua" w:hAnsi="Book Antiqua" w:cs="Book Antiqua"/>
          <w:color w:val="000000" w:themeColor="text1"/>
        </w:rPr>
        <w:t xml:space="preserve"> </w:t>
      </w:r>
      <w:r w:rsidRPr="00E1613F">
        <w:rPr>
          <w:rFonts w:ascii="Book Antiqua" w:eastAsia="Book Antiqua" w:hAnsi="Book Antiqua" w:cs="Book Antiqua"/>
          <w:b/>
          <w:bCs/>
          <w:color w:val="000000" w:themeColor="text1"/>
        </w:rPr>
        <w:t xml:space="preserve">Assessment of publication bias and sensitivity analysis. </w:t>
      </w:r>
      <w:r w:rsidRPr="00E1613F">
        <w:rPr>
          <w:rFonts w:ascii="Book Antiqua" w:eastAsia="Book Antiqua" w:hAnsi="Book Antiqua" w:cs="Book Antiqua"/>
          <w:color w:val="000000" w:themeColor="text1"/>
        </w:rPr>
        <w:t>A: Funnel plot that assessed the effect of potential publication bias on the meta-analysis results; B: Sensitivity analysis that evaluated the impact of omitting individual studies on the pooled effect size estimate to determine the association between the T cell immunoglobulin and mucin-domain containing-3 expression and prognosis in upper gastrointestinal tumors. HR: Hazard ratio.</w:t>
      </w:r>
    </w:p>
    <w:p w14:paraId="4A621378" w14:textId="77777777" w:rsidR="00F614B0" w:rsidRPr="00E1613F" w:rsidRDefault="00F614B0">
      <w:pPr>
        <w:adjustRightInd w:val="0"/>
        <w:snapToGrid w:val="0"/>
        <w:spacing w:line="360" w:lineRule="auto"/>
        <w:jc w:val="both"/>
        <w:rPr>
          <w:rFonts w:ascii="Book Antiqua" w:eastAsia="Book Antiqua" w:hAnsi="Book Antiqua" w:cs="Book Antiqua"/>
          <w:b/>
          <w:bCs/>
          <w:color w:val="000000" w:themeColor="text1"/>
        </w:rPr>
        <w:sectPr w:rsidR="00F614B0" w:rsidRPr="00E1613F">
          <w:pgSz w:w="12240" w:h="15840"/>
          <w:pgMar w:top="1440" w:right="1440" w:bottom="1440" w:left="1440" w:header="720" w:footer="720" w:gutter="0"/>
          <w:cols w:space="720"/>
          <w:docGrid w:linePitch="360"/>
        </w:sectPr>
      </w:pPr>
    </w:p>
    <w:p w14:paraId="2F91B7DD" w14:textId="77777777" w:rsidR="00F614B0" w:rsidRPr="00E1613F" w:rsidRDefault="00000000">
      <w:pPr>
        <w:adjustRightInd w:val="0"/>
        <w:snapToGrid w:val="0"/>
        <w:spacing w:line="360" w:lineRule="auto"/>
        <w:jc w:val="both"/>
        <w:rPr>
          <w:rFonts w:ascii="Book Antiqua" w:eastAsia="Book Antiqua" w:hAnsi="Book Antiqua" w:cs="Book Antiqua"/>
          <w:b/>
          <w:bCs/>
          <w:color w:val="000000" w:themeColor="text1"/>
        </w:rPr>
      </w:pPr>
      <w:r w:rsidRPr="00E1613F">
        <w:rPr>
          <w:rFonts w:ascii="Book Antiqua" w:eastAsia="Book Antiqua" w:hAnsi="Book Antiqua" w:cs="Book Antiqua"/>
          <w:b/>
          <w:bCs/>
          <w:color w:val="000000" w:themeColor="text1"/>
        </w:rPr>
        <w:lastRenderedPageBreak/>
        <w:t>Table 1 Characteristics of studies included for the meta-</w:t>
      </w:r>
      <w:proofErr w:type="gramStart"/>
      <w:r w:rsidRPr="00E1613F">
        <w:rPr>
          <w:rFonts w:ascii="Book Antiqua" w:eastAsia="Book Antiqua" w:hAnsi="Book Antiqua" w:cs="Book Antiqua"/>
          <w:b/>
          <w:bCs/>
          <w:color w:val="000000" w:themeColor="text1"/>
        </w:rPr>
        <w:t>analysis</w:t>
      </w:r>
      <w:proofErr w:type="gramEnd"/>
    </w:p>
    <w:tbl>
      <w:tblPr>
        <w:tblW w:w="13599" w:type="dxa"/>
        <w:tblInd w:w="-12" w:type="dxa"/>
        <w:tblBorders>
          <w:top w:val="single" w:sz="4" w:space="0" w:color="auto"/>
          <w:bottom w:val="single" w:sz="4" w:space="0" w:color="auto"/>
        </w:tblBorders>
        <w:tblLayout w:type="fixed"/>
        <w:tblLook w:val="04A0" w:firstRow="1" w:lastRow="0" w:firstColumn="1" w:lastColumn="0" w:noHBand="0" w:noVBand="1"/>
      </w:tblPr>
      <w:tblGrid>
        <w:gridCol w:w="913"/>
        <w:gridCol w:w="621"/>
        <w:gridCol w:w="871"/>
        <w:gridCol w:w="945"/>
        <w:gridCol w:w="573"/>
        <w:gridCol w:w="837"/>
        <w:gridCol w:w="1301"/>
        <w:gridCol w:w="665"/>
        <w:gridCol w:w="1134"/>
        <w:gridCol w:w="1417"/>
        <w:gridCol w:w="1204"/>
        <w:gridCol w:w="1304"/>
        <w:gridCol w:w="1247"/>
        <w:gridCol w:w="567"/>
      </w:tblGrid>
      <w:tr w:rsidR="00F614B0" w:rsidRPr="00E1613F" w14:paraId="0BE2121D" w14:textId="77777777">
        <w:trPr>
          <w:trHeight w:val="823"/>
        </w:trPr>
        <w:tc>
          <w:tcPr>
            <w:tcW w:w="913" w:type="dxa"/>
            <w:tcBorders>
              <w:top w:val="single" w:sz="4" w:space="0" w:color="auto"/>
              <w:left w:val="nil"/>
              <w:bottom w:val="single" w:sz="4" w:space="0" w:color="auto"/>
              <w:right w:val="nil"/>
            </w:tcBorders>
            <w:noWrap/>
            <w:vAlign w:val="center"/>
          </w:tcPr>
          <w:p w14:paraId="044767E4"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Reference</w:t>
            </w:r>
          </w:p>
        </w:tc>
        <w:tc>
          <w:tcPr>
            <w:tcW w:w="621" w:type="dxa"/>
            <w:tcBorders>
              <w:top w:val="single" w:sz="4" w:space="0" w:color="auto"/>
              <w:left w:val="nil"/>
              <w:bottom w:val="single" w:sz="4" w:space="0" w:color="auto"/>
              <w:right w:val="nil"/>
            </w:tcBorders>
            <w:noWrap/>
            <w:vAlign w:val="center"/>
          </w:tcPr>
          <w:p w14:paraId="426937B2"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Yr</w:t>
            </w:r>
          </w:p>
        </w:tc>
        <w:tc>
          <w:tcPr>
            <w:tcW w:w="871" w:type="dxa"/>
            <w:tcBorders>
              <w:top w:val="single" w:sz="4" w:space="0" w:color="auto"/>
              <w:left w:val="nil"/>
              <w:bottom w:val="single" w:sz="4" w:space="0" w:color="auto"/>
              <w:right w:val="nil"/>
            </w:tcBorders>
            <w:noWrap/>
            <w:vAlign w:val="center"/>
          </w:tcPr>
          <w:p w14:paraId="598A8566"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Country</w:t>
            </w:r>
          </w:p>
        </w:tc>
        <w:tc>
          <w:tcPr>
            <w:tcW w:w="945" w:type="dxa"/>
            <w:tcBorders>
              <w:top w:val="single" w:sz="4" w:space="0" w:color="auto"/>
              <w:left w:val="nil"/>
              <w:bottom w:val="single" w:sz="4" w:space="0" w:color="auto"/>
              <w:right w:val="nil"/>
            </w:tcBorders>
            <w:noWrap/>
            <w:vAlign w:val="center"/>
          </w:tcPr>
          <w:p w14:paraId="322C7CD0"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Ethnicity</w:t>
            </w:r>
          </w:p>
        </w:tc>
        <w:tc>
          <w:tcPr>
            <w:tcW w:w="573" w:type="dxa"/>
            <w:tcBorders>
              <w:top w:val="single" w:sz="4" w:space="0" w:color="auto"/>
              <w:left w:val="nil"/>
              <w:bottom w:val="single" w:sz="4" w:space="0" w:color="auto"/>
              <w:right w:val="nil"/>
            </w:tcBorders>
            <w:noWrap/>
            <w:vAlign w:val="center"/>
          </w:tcPr>
          <w:p w14:paraId="6FBCFA79"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Age</w:t>
            </w:r>
          </w:p>
        </w:tc>
        <w:tc>
          <w:tcPr>
            <w:tcW w:w="837" w:type="dxa"/>
            <w:tcBorders>
              <w:top w:val="single" w:sz="4" w:space="0" w:color="auto"/>
              <w:left w:val="nil"/>
              <w:bottom w:val="single" w:sz="4" w:space="0" w:color="auto"/>
              <w:right w:val="nil"/>
            </w:tcBorders>
            <w:noWrap/>
            <w:vAlign w:val="center"/>
          </w:tcPr>
          <w:p w14:paraId="3FE1D5AA"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Method</w:t>
            </w:r>
          </w:p>
        </w:tc>
        <w:tc>
          <w:tcPr>
            <w:tcW w:w="1301" w:type="dxa"/>
            <w:tcBorders>
              <w:top w:val="single" w:sz="4" w:space="0" w:color="auto"/>
              <w:left w:val="nil"/>
              <w:bottom w:val="single" w:sz="4" w:space="0" w:color="auto"/>
              <w:right w:val="nil"/>
            </w:tcBorders>
            <w:noWrap/>
            <w:vAlign w:val="center"/>
          </w:tcPr>
          <w:p w14:paraId="55CEAF33"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Study design</w:t>
            </w:r>
          </w:p>
        </w:tc>
        <w:tc>
          <w:tcPr>
            <w:tcW w:w="665" w:type="dxa"/>
            <w:tcBorders>
              <w:top w:val="single" w:sz="4" w:space="0" w:color="auto"/>
              <w:left w:val="nil"/>
              <w:bottom w:val="single" w:sz="4" w:space="0" w:color="auto"/>
              <w:right w:val="nil"/>
            </w:tcBorders>
            <w:noWrap/>
            <w:vAlign w:val="center"/>
          </w:tcPr>
          <w:p w14:paraId="75242C90"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Stage</w:t>
            </w:r>
          </w:p>
        </w:tc>
        <w:tc>
          <w:tcPr>
            <w:tcW w:w="1134" w:type="dxa"/>
            <w:tcBorders>
              <w:top w:val="single" w:sz="4" w:space="0" w:color="auto"/>
              <w:left w:val="nil"/>
              <w:bottom w:val="single" w:sz="4" w:space="0" w:color="auto"/>
              <w:right w:val="nil"/>
            </w:tcBorders>
            <w:noWrap/>
            <w:vAlign w:val="center"/>
          </w:tcPr>
          <w:p w14:paraId="07CE85E1"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Cancer type</w:t>
            </w:r>
          </w:p>
        </w:tc>
        <w:tc>
          <w:tcPr>
            <w:tcW w:w="1417" w:type="dxa"/>
            <w:tcBorders>
              <w:top w:val="single" w:sz="4" w:space="0" w:color="auto"/>
              <w:left w:val="nil"/>
              <w:bottom w:val="single" w:sz="4" w:space="0" w:color="auto"/>
              <w:right w:val="nil"/>
            </w:tcBorders>
            <w:noWrap/>
            <w:vAlign w:val="center"/>
          </w:tcPr>
          <w:p w14:paraId="18F2BC11"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Cut-off values</w:t>
            </w:r>
          </w:p>
        </w:tc>
        <w:tc>
          <w:tcPr>
            <w:tcW w:w="1204" w:type="dxa"/>
            <w:tcBorders>
              <w:top w:val="single" w:sz="4" w:space="0" w:color="auto"/>
              <w:left w:val="nil"/>
              <w:bottom w:val="single" w:sz="4" w:space="0" w:color="auto"/>
              <w:right w:val="nil"/>
            </w:tcBorders>
            <w:noWrap/>
            <w:vAlign w:val="center"/>
          </w:tcPr>
          <w:p w14:paraId="33259BE9"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i/>
                <w:iCs/>
                <w:color w:val="000000" w:themeColor="text1"/>
              </w:rPr>
              <w:t>n</w:t>
            </w:r>
            <w:r w:rsidRPr="00E1613F">
              <w:rPr>
                <w:rFonts w:ascii="Book Antiqua" w:hAnsi="Book Antiqua"/>
                <w:b/>
                <w:color w:val="000000" w:themeColor="text1"/>
              </w:rPr>
              <w:t xml:space="preserve"> (E +)</w:t>
            </w:r>
          </w:p>
        </w:tc>
        <w:tc>
          <w:tcPr>
            <w:tcW w:w="1304" w:type="dxa"/>
            <w:tcBorders>
              <w:top w:val="single" w:sz="4" w:space="0" w:color="auto"/>
              <w:left w:val="nil"/>
              <w:bottom w:val="single" w:sz="4" w:space="0" w:color="auto"/>
              <w:right w:val="nil"/>
            </w:tcBorders>
            <w:noWrap/>
            <w:vAlign w:val="center"/>
          </w:tcPr>
          <w:p w14:paraId="44DB1B47"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Follow-up time in mo (range)</w:t>
            </w:r>
          </w:p>
        </w:tc>
        <w:tc>
          <w:tcPr>
            <w:tcW w:w="1247" w:type="dxa"/>
            <w:tcBorders>
              <w:top w:val="single" w:sz="4" w:space="0" w:color="auto"/>
              <w:left w:val="nil"/>
              <w:bottom w:val="single" w:sz="4" w:space="0" w:color="auto"/>
              <w:right w:val="nil"/>
            </w:tcBorders>
            <w:vAlign w:val="center"/>
          </w:tcPr>
          <w:p w14:paraId="24B24045"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OS (HR with 95%CI)</w:t>
            </w:r>
          </w:p>
        </w:tc>
        <w:tc>
          <w:tcPr>
            <w:tcW w:w="567" w:type="dxa"/>
            <w:tcBorders>
              <w:top w:val="single" w:sz="4" w:space="0" w:color="auto"/>
              <w:left w:val="nil"/>
              <w:bottom w:val="single" w:sz="4" w:space="0" w:color="auto"/>
              <w:right w:val="nil"/>
            </w:tcBorders>
            <w:noWrap/>
            <w:vAlign w:val="center"/>
          </w:tcPr>
          <w:p w14:paraId="655869DC" w14:textId="77777777" w:rsidR="00F614B0" w:rsidRPr="00E1613F" w:rsidRDefault="00000000">
            <w:pPr>
              <w:snapToGrid w:val="0"/>
              <w:spacing w:line="360" w:lineRule="auto"/>
              <w:jc w:val="both"/>
              <w:textAlignment w:val="center"/>
              <w:rPr>
                <w:rFonts w:ascii="Book Antiqua" w:hAnsi="Book Antiqua"/>
                <w:b/>
                <w:color w:val="000000" w:themeColor="text1"/>
              </w:rPr>
            </w:pPr>
            <w:r w:rsidRPr="00E1613F">
              <w:rPr>
                <w:rFonts w:ascii="Book Antiqua" w:hAnsi="Book Antiqua"/>
                <w:b/>
                <w:color w:val="000000" w:themeColor="text1"/>
              </w:rPr>
              <w:t>NOS</w:t>
            </w:r>
          </w:p>
        </w:tc>
      </w:tr>
      <w:tr w:rsidR="00F614B0" w:rsidRPr="00E1613F" w14:paraId="291791AC" w14:textId="77777777">
        <w:trPr>
          <w:trHeight w:val="535"/>
        </w:trPr>
        <w:tc>
          <w:tcPr>
            <w:tcW w:w="913" w:type="dxa"/>
            <w:tcBorders>
              <w:top w:val="nil"/>
              <w:left w:val="nil"/>
              <w:bottom w:val="nil"/>
              <w:right w:val="nil"/>
            </w:tcBorders>
            <w:noWrap/>
            <w:vAlign w:val="center"/>
          </w:tcPr>
          <w:p w14:paraId="7ADD994E"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 xml:space="preserve">Jiang </w:t>
            </w:r>
            <w:r w:rsidRPr="00E1613F">
              <w:rPr>
                <w:rFonts w:ascii="Book Antiqua" w:hAnsi="Book Antiqua"/>
                <w:i/>
                <w:iCs/>
                <w:color w:val="000000" w:themeColor="text1"/>
              </w:rPr>
              <w:t>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[17]</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224F3D13"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2013</w:t>
            </w:r>
          </w:p>
        </w:tc>
        <w:tc>
          <w:tcPr>
            <w:tcW w:w="871" w:type="dxa"/>
            <w:tcBorders>
              <w:top w:val="nil"/>
              <w:left w:val="nil"/>
              <w:bottom w:val="nil"/>
              <w:right w:val="nil"/>
            </w:tcBorders>
            <w:noWrap/>
            <w:vAlign w:val="center"/>
          </w:tcPr>
          <w:p w14:paraId="54E6BF6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nil"/>
              <w:right w:val="nil"/>
            </w:tcBorders>
            <w:noWrap/>
            <w:vAlign w:val="center"/>
          </w:tcPr>
          <w:p w14:paraId="334A4A9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441C006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60</w:t>
            </w:r>
          </w:p>
        </w:tc>
        <w:tc>
          <w:tcPr>
            <w:tcW w:w="837" w:type="dxa"/>
            <w:tcBorders>
              <w:top w:val="nil"/>
              <w:left w:val="nil"/>
              <w:bottom w:val="nil"/>
              <w:right w:val="nil"/>
            </w:tcBorders>
            <w:noWrap/>
            <w:vAlign w:val="center"/>
          </w:tcPr>
          <w:p w14:paraId="014789A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3079255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329A214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1-4</w:t>
            </w:r>
          </w:p>
        </w:tc>
        <w:tc>
          <w:tcPr>
            <w:tcW w:w="1134" w:type="dxa"/>
            <w:tcBorders>
              <w:top w:val="nil"/>
              <w:left w:val="nil"/>
              <w:bottom w:val="nil"/>
              <w:right w:val="nil"/>
            </w:tcBorders>
            <w:noWrap/>
            <w:vAlign w:val="center"/>
          </w:tcPr>
          <w:p w14:paraId="5DFB2EE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Gastric cancer</w:t>
            </w:r>
          </w:p>
        </w:tc>
        <w:tc>
          <w:tcPr>
            <w:tcW w:w="1417" w:type="dxa"/>
            <w:tcBorders>
              <w:top w:val="nil"/>
              <w:left w:val="nil"/>
              <w:bottom w:val="nil"/>
              <w:right w:val="nil"/>
            </w:tcBorders>
            <w:noWrap/>
            <w:vAlign w:val="center"/>
          </w:tcPr>
          <w:p w14:paraId="0843BD36"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HSCORE &gt; 0</w:t>
            </w:r>
          </w:p>
        </w:tc>
        <w:tc>
          <w:tcPr>
            <w:tcW w:w="1204" w:type="dxa"/>
            <w:tcBorders>
              <w:top w:val="nil"/>
              <w:left w:val="nil"/>
              <w:bottom w:val="nil"/>
              <w:right w:val="nil"/>
            </w:tcBorders>
            <w:noWrap/>
            <w:vAlign w:val="center"/>
          </w:tcPr>
          <w:p w14:paraId="29BE7598"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305 (60.0%)</w:t>
            </w:r>
          </w:p>
        </w:tc>
        <w:tc>
          <w:tcPr>
            <w:tcW w:w="1304" w:type="dxa"/>
            <w:tcBorders>
              <w:top w:val="nil"/>
              <w:left w:val="nil"/>
              <w:bottom w:val="nil"/>
              <w:right w:val="nil"/>
            </w:tcBorders>
            <w:noWrap/>
            <w:vAlign w:val="center"/>
          </w:tcPr>
          <w:p w14:paraId="0AB20BCF"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Median 40 (3-135)</w:t>
            </w:r>
          </w:p>
        </w:tc>
        <w:tc>
          <w:tcPr>
            <w:tcW w:w="1247" w:type="dxa"/>
            <w:tcBorders>
              <w:top w:val="nil"/>
              <w:left w:val="nil"/>
              <w:bottom w:val="nil"/>
              <w:right w:val="nil"/>
            </w:tcBorders>
            <w:vAlign w:val="center"/>
          </w:tcPr>
          <w:p w14:paraId="6B7BB18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0.60 (0.35–1.01)</w:t>
            </w:r>
          </w:p>
        </w:tc>
        <w:tc>
          <w:tcPr>
            <w:tcW w:w="567" w:type="dxa"/>
            <w:tcBorders>
              <w:top w:val="nil"/>
              <w:left w:val="nil"/>
              <w:bottom w:val="nil"/>
              <w:right w:val="nil"/>
            </w:tcBorders>
            <w:noWrap/>
            <w:vAlign w:val="center"/>
          </w:tcPr>
          <w:p w14:paraId="03568421"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9</w:t>
            </w:r>
          </w:p>
        </w:tc>
      </w:tr>
      <w:tr w:rsidR="00F614B0" w:rsidRPr="00E1613F" w14:paraId="36713094" w14:textId="77777777">
        <w:trPr>
          <w:trHeight w:val="535"/>
        </w:trPr>
        <w:tc>
          <w:tcPr>
            <w:tcW w:w="913" w:type="dxa"/>
            <w:tcBorders>
              <w:top w:val="nil"/>
              <w:left w:val="nil"/>
              <w:bottom w:val="nil"/>
              <w:right w:val="nil"/>
            </w:tcBorders>
            <w:noWrap/>
            <w:vAlign w:val="center"/>
          </w:tcPr>
          <w:p w14:paraId="083C495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Wang</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&lt;EndNote&gt;&lt;Cite&gt;&lt;Author&gt;Wang&lt;/Author&gt;&lt;Year&gt;2018&lt;/Year&gt;&lt;RecNum&gt;30&lt;/RecNum&gt;&lt;DisplayText&gt;&lt;style face="superscript"&gt;[18]&lt;/style&gt;&lt;/DisplayText&gt;&lt;record&gt;&lt;rec-number&gt;30&lt;/rec-number&gt;&lt;foreign-keys&gt;&lt;key app="EN" db-id="ev00edrwrapr0ee0azrpvvwo5zs5aat5pa9f" timestamp="1682846850"&gt;30&lt;/key&gt;&lt;key app="ENWeb" db-id=""&gt;0&lt;/key&gt;&lt;/foreign-keys&gt;&lt;ref-type name="Journal Article"&gt;17&lt;/ref-type&gt;&lt;contributors&gt;&lt;authors&gt;&lt;author&gt;Wang, Y.&lt;/author&gt;&lt;author&gt;Zhao, E.&lt;/author&gt;&lt;author&gt;Zhang, Z.&lt;/author&gt;&lt;author&gt;Zhao, G.&lt;/author&gt;&lt;author&gt;Cao, H.&lt;/author&gt;&lt;/authors&gt;&lt;/contributors&gt;&lt;auth-address&gt;Department of Gastrointestinal Surgery, Ren Ji Hospital, School of Medicine, Shanghai Jiao Tong University, Shanghai 200127, P.R. China.&lt;/auth-address&gt;&lt;titles&gt;&lt;title&gt;Association between Tim</w:instrText>
            </w:r>
            <w:r w:rsidRPr="00E1613F">
              <w:rPr>
                <w:rFonts w:ascii="MS Mincho" w:eastAsia="MS Mincho" w:hAnsi="MS Mincho" w:cs="MS Mincho" w:hint="eastAsia"/>
                <w:color w:val="000000" w:themeColor="text1"/>
              </w:rPr>
              <w:instrText>‑</w:instrText>
            </w:r>
            <w:r w:rsidRPr="00E1613F">
              <w:rPr>
                <w:rFonts w:ascii="Book Antiqua" w:hAnsi="Book Antiqua"/>
                <w:color w:val="000000" w:themeColor="text1"/>
              </w:rPr>
              <w:instrText>3 and Gal</w:instrText>
            </w:r>
            <w:r w:rsidRPr="00E1613F">
              <w:rPr>
                <w:rFonts w:ascii="MS Mincho" w:eastAsia="MS Mincho" w:hAnsi="MS Mincho" w:cs="MS Mincho" w:hint="eastAsia"/>
                <w:color w:val="000000" w:themeColor="text1"/>
              </w:rPr>
              <w:instrText>‑</w:instrText>
            </w:r>
            <w:r w:rsidRPr="00E1613F">
              <w:rPr>
                <w:rFonts w:ascii="Book Antiqua" w:hAnsi="Book Antiqua"/>
                <w:color w:val="000000" w:themeColor="text1"/>
              </w:rPr>
              <w:instrText>9 expression and gastric cancer prognosis&lt;/title&gt;&lt;secondary-title&gt;Oncol Rep&lt;/secondary-title&gt;&lt;/titles&gt;&lt;periodical&gt;&lt;full-title&gt;Oncol Rep&lt;/full-title&gt;&lt;/periodical&gt;&lt;pages&gt;2115-2126&lt;/pages&gt;&lt;volume&gt;40&lt;/volume&gt;&lt;number&gt;4&lt;/number&gt;&lt;edition&gt;2018/08/15&lt;/edition&gt;&lt;keywords&gt;&lt;keyword&gt;Aged&lt;/keyword&gt;&lt;keyword&gt;Apoptosis&lt;/keyword&gt;&lt;keyword&gt;Biomarkers, Tumor/*metabolism&lt;/keyword&gt;&lt;keyword&gt;*Cell Proliferation&lt;/keyword&gt;&lt;keyword&gt;Female&lt;/keyword&gt;&lt;keyword&gt;Follow-Up Studies&lt;/keyword&gt;&lt;keyword&gt;Galectins/*metabolism&lt;/keyword&gt;&lt;keyword&gt;Hepatitis A Virus Cellular Receptor 2/*metabolism&lt;/keyword&gt;&lt;keyword&gt;Humans&lt;/keyword&gt;&lt;keyword&gt;Male&lt;/keyword&gt;&lt;keyword&gt;Neoplasm Invasiveness&lt;/keyword&gt;&lt;keyword&gt;Prognosis&lt;/keyword&gt;&lt;keyword&gt;Stomach Neoplasms/metabolism/*pathology/surgery&lt;/keyword&gt;&lt;keyword&gt;Survival Rate&lt;/keyword&gt;&lt;keyword&gt;T-Lymphocytes/immunology/*metabolism/pathology&lt;/keyword&gt;&lt;keyword&gt;Tumor Cells, Cultured&lt;/keyword&gt;&lt;/keywords&gt;&lt;dates&gt;&lt;year&gt;2018&lt;/year&gt;&lt;pub-dates&gt;&lt;date&gt;Oct&lt;/date&gt;&lt;/pub-dates&gt;&lt;/dates&gt;&lt;isbn&gt;1791-2431 (Electronic)&amp;#xD;1021-335X (Linking)&lt;/isbn&gt;&lt;accession-num&gt;30106451&lt;/accession-num&gt;&lt;urls&gt;&lt;related-urls&gt;&lt;url&gt;https://www.ncbi.nlm.nih.gov/pubmed/30106451&lt;/url&gt;&lt;/related-urls&gt;&lt;/urls&gt;&lt;electronic-resource-num&gt;10.3892/or.2018.6627&lt;/electronic-resource-num&gt;&lt;/record&gt;&lt;/Cite&gt;&lt;/EndNote&gt;</w:instrText>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[18]</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0BD6E1AF"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2018</w:t>
            </w:r>
          </w:p>
        </w:tc>
        <w:tc>
          <w:tcPr>
            <w:tcW w:w="871" w:type="dxa"/>
            <w:tcBorders>
              <w:top w:val="nil"/>
              <w:left w:val="nil"/>
              <w:bottom w:val="nil"/>
              <w:right w:val="nil"/>
            </w:tcBorders>
            <w:noWrap/>
            <w:vAlign w:val="center"/>
          </w:tcPr>
          <w:p w14:paraId="4D9C9DD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nil"/>
              <w:right w:val="nil"/>
            </w:tcBorders>
            <w:noWrap/>
            <w:vAlign w:val="center"/>
          </w:tcPr>
          <w:p w14:paraId="0C5FFB7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593F3DE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61.6</w:t>
            </w:r>
          </w:p>
        </w:tc>
        <w:tc>
          <w:tcPr>
            <w:tcW w:w="837" w:type="dxa"/>
            <w:tcBorders>
              <w:top w:val="nil"/>
              <w:left w:val="nil"/>
              <w:bottom w:val="nil"/>
              <w:right w:val="nil"/>
            </w:tcBorders>
            <w:noWrap/>
            <w:vAlign w:val="center"/>
          </w:tcPr>
          <w:p w14:paraId="6A36A4CD"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4D5D3D2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0D00554B"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1-4</w:t>
            </w:r>
          </w:p>
        </w:tc>
        <w:tc>
          <w:tcPr>
            <w:tcW w:w="1134" w:type="dxa"/>
            <w:tcBorders>
              <w:top w:val="nil"/>
              <w:left w:val="nil"/>
              <w:bottom w:val="nil"/>
              <w:right w:val="nil"/>
            </w:tcBorders>
            <w:noWrap/>
            <w:vAlign w:val="center"/>
          </w:tcPr>
          <w:p w14:paraId="60D4DA5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Gastric cancer</w:t>
            </w:r>
          </w:p>
        </w:tc>
        <w:tc>
          <w:tcPr>
            <w:tcW w:w="1417" w:type="dxa"/>
            <w:tcBorders>
              <w:top w:val="nil"/>
              <w:left w:val="nil"/>
              <w:bottom w:val="nil"/>
              <w:right w:val="nil"/>
            </w:tcBorders>
            <w:noWrap/>
            <w:vAlign w:val="center"/>
          </w:tcPr>
          <w:p w14:paraId="60C90901"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Median number of stained cells</w:t>
            </w:r>
          </w:p>
        </w:tc>
        <w:tc>
          <w:tcPr>
            <w:tcW w:w="1204" w:type="dxa"/>
            <w:tcBorders>
              <w:top w:val="nil"/>
              <w:left w:val="nil"/>
              <w:bottom w:val="nil"/>
              <w:right w:val="nil"/>
            </w:tcBorders>
            <w:noWrap/>
            <w:vAlign w:val="center"/>
          </w:tcPr>
          <w:p w14:paraId="1B6B5D8E"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587 (49.9%)</w:t>
            </w:r>
          </w:p>
        </w:tc>
        <w:tc>
          <w:tcPr>
            <w:tcW w:w="1304" w:type="dxa"/>
            <w:tcBorders>
              <w:top w:val="nil"/>
              <w:left w:val="nil"/>
              <w:bottom w:val="nil"/>
              <w:right w:val="nil"/>
            </w:tcBorders>
            <w:noWrap/>
            <w:vAlign w:val="center"/>
          </w:tcPr>
          <w:p w14:paraId="00F0E38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Median 48 (1-117)</w:t>
            </w:r>
          </w:p>
        </w:tc>
        <w:tc>
          <w:tcPr>
            <w:tcW w:w="1247" w:type="dxa"/>
            <w:tcBorders>
              <w:top w:val="nil"/>
              <w:left w:val="nil"/>
              <w:bottom w:val="nil"/>
              <w:right w:val="nil"/>
            </w:tcBorders>
            <w:vAlign w:val="center"/>
          </w:tcPr>
          <w:p w14:paraId="3455B52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1.71 (1.327–2.203)</w:t>
            </w:r>
          </w:p>
        </w:tc>
        <w:tc>
          <w:tcPr>
            <w:tcW w:w="567" w:type="dxa"/>
            <w:tcBorders>
              <w:top w:val="nil"/>
              <w:left w:val="nil"/>
              <w:bottom w:val="nil"/>
              <w:right w:val="nil"/>
            </w:tcBorders>
            <w:noWrap/>
            <w:vAlign w:val="center"/>
          </w:tcPr>
          <w:p w14:paraId="57140784"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9</w:t>
            </w:r>
          </w:p>
        </w:tc>
      </w:tr>
      <w:tr w:rsidR="00F614B0" w:rsidRPr="00E1613F" w14:paraId="60F2547E" w14:textId="77777777">
        <w:trPr>
          <w:trHeight w:val="535"/>
        </w:trPr>
        <w:tc>
          <w:tcPr>
            <w:tcW w:w="913" w:type="dxa"/>
            <w:tcBorders>
              <w:top w:val="nil"/>
              <w:left w:val="nil"/>
              <w:bottom w:val="nil"/>
              <w:right w:val="nil"/>
            </w:tcBorders>
            <w:noWrap/>
            <w:vAlign w:val="center"/>
          </w:tcPr>
          <w:p w14:paraId="2F6162ED"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Park</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[19]</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461CEAAD"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2021</w:t>
            </w:r>
          </w:p>
        </w:tc>
        <w:tc>
          <w:tcPr>
            <w:tcW w:w="871" w:type="dxa"/>
            <w:tcBorders>
              <w:top w:val="nil"/>
              <w:left w:val="nil"/>
              <w:bottom w:val="nil"/>
              <w:right w:val="nil"/>
            </w:tcBorders>
            <w:noWrap/>
            <w:vAlign w:val="center"/>
          </w:tcPr>
          <w:p w14:paraId="5E63BAC0"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Korea</w:t>
            </w:r>
          </w:p>
        </w:tc>
        <w:tc>
          <w:tcPr>
            <w:tcW w:w="945" w:type="dxa"/>
            <w:tcBorders>
              <w:top w:val="nil"/>
              <w:left w:val="nil"/>
              <w:bottom w:val="nil"/>
              <w:right w:val="nil"/>
            </w:tcBorders>
            <w:noWrap/>
            <w:vAlign w:val="center"/>
          </w:tcPr>
          <w:p w14:paraId="330031A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297E1F6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59</w:t>
            </w:r>
          </w:p>
        </w:tc>
        <w:tc>
          <w:tcPr>
            <w:tcW w:w="837" w:type="dxa"/>
            <w:tcBorders>
              <w:top w:val="nil"/>
              <w:left w:val="nil"/>
              <w:bottom w:val="nil"/>
              <w:right w:val="nil"/>
            </w:tcBorders>
            <w:noWrap/>
            <w:vAlign w:val="center"/>
          </w:tcPr>
          <w:p w14:paraId="6687615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72AD7BC0"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0471635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2-3</w:t>
            </w:r>
          </w:p>
        </w:tc>
        <w:tc>
          <w:tcPr>
            <w:tcW w:w="1134" w:type="dxa"/>
            <w:tcBorders>
              <w:top w:val="nil"/>
              <w:left w:val="nil"/>
              <w:bottom w:val="nil"/>
              <w:right w:val="nil"/>
            </w:tcBorders>
            <w:noWrap/>
            <w:vAlign w:val="center"/>
          </w:tcPr>
          <w:p w14:paraId="0CFD04B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Gastric cancer</w:t>
            </w:r>
          </w:p>
        </w:tc>
        <w:tc>
          <w:tcPr>
            <w:tcW w:w="1417" w:type="dxa"/>
            <w:tcBorders>
              <w:top w:val="nil"/>
              <w:left w:val="nil"/>
              <w:bottom w:val="nil"/>
              <w:right w:val="nil"/>
            </w:tcBorders>
            <w:noWrap/>
            <w:vAlign w:val="center"/>
          </w:tcPr>
          <w:p w14:paraId="61AA5025"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I</w:t>
            </w:r>
            <w:r w:rsidRPr="00E1613F">
              <w:rPr>
                <w:rFonts w:ascii="Book Antiqua" w:hAnsi="Book Antiqua" w:hint="eastAsia"/>
                <w:color w:val="000000" w:themeColor="text1"/>
              </w:rPr>
              <w:t>mmunostaining</w:t>
            </w:r>
            <w:r w:rsidRPr="00E1613F">
              <w:rPr>
                <w:rFonts w:ascii="Book Antiqua" w:hAnsi="Book Antiqua"/>
                <w:color w:val="000000" w:themeColor="text1"/>
              </w:rPr>
              <w:t xml:space="preserve"> </w:t>
            </w:r>
            <w:r w:rsidRPr="00E1613F">
              <w:rPr>
                <w:rFonts w:ascii="Book Antiqua" w:hAnsi="Book Antiqua"/>
                <w:color w:val="000000" w:themeColor="text1"/>
              </w:rPr>
              <w:sym w:font="Symbol" w:char="F0B3"/>
            </w:r>
            <w:r w:rsidRPr="00E1613F">
              <w:rPr>
                <w:rFonts w:ascii="Book Antiqua" w:hAnsi="Book Antiqua" w:hint="eastAsia"/>
                <w:color w:val="000000" w:themeColor="text1"/>
              </w:rPr>
              <w:t xml:space="preserve"> 5% </w:t>
            </w:r>
          </w:p>
        </w:tc>
        <w:tc>
          <w:tcPr>
            <w:tcW w:w="1204" w:type="dxa"/>
            <w:tcBorders>
              <w:top w:val="nil"/>
              <w:left w:val="nil"/>
              <w:bottom w:val="nil"/>
              <w:right w:val="nil"/>
            </w:tcBorders>
            <w:noWrap/>
            <w:vAlign w:val="center"/>
          </w:tcPr>
          <w:p w14:paraId="5DD184B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385 (61.6%)</w:t>
            </w:r>
          </w:p>
        </w:tc>
        <w:tc>
          <w:tcPr>
            <w:tcW w:w="1304" w:type="dxa"/>
            <w:tcBorders>
              <w:top w:val="nil"/>
              <w:left w:val="nil"/>
              <w:bottom w:val="nil"/>
              <w:right w:val="nil"/>
            </w:tcBorders>
            <w:noWrap/>
            <w:vAlign w:val="center"/>
          </w:tcPr>
          <w:p w14:paraId="49DD4230"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NA</w:t>
            </w:r>
          </w:p>
        </w:tc>
        <w:tc>
          <w:tcPr>
            <w:tcW w:w="1247" w:type="dxa"/>
            <w:tcBorders>
              <w:top w:val="nil"/>
              <w:left w:val="nil"/>
              <w:bottom w:val="nil"/>
              <w:right w:val="nil"/>
            </w:tcBorders>
            <w:vAlign w:val="center"/>
          </w:tcPr>
          <w:p w14:paraId="4840FFE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0.30 (0.13–0.68)</w:t>
            </w:r>
          </w:p>
        </w:tc>
        <w:tc>
          <w:tcPr>
            <w:tcW w:w="567" w:type="dxa"/>
            <w:tcBorders>
              <w:top w:val="nil"/>
              <w:left w:val="nil"/>
              <w:bottom w:val="nil"/>
              <w:right w:val="nil"/>
            </w:tcBorders>
            <w:noWrap/>
            <w:vAlign w:val="center"/>
          </w:tcPr>
          <w:p w14:paraId="00A54FC8"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7</w:t>
            </w:r>
          </w:p>
        </w:tc>
      </w:tr>
      <w:tr w:rsidR="00F614B0" w:rsidRPr="00E1613F" w14:paraId="338CE24C" w14:textId="77777777">
        <w:trPr>
          <w:trHeight w:val="535"/>
        </w:trPr>
        <w:tc>
          <w:tcPr>
            <w:tcW w:w="913" w:type="dxa"/>
            <w:tcBorders>
              <w:top w:val="nil"/>
              <w:left w:val="nil"/>
              <w:bottom w:val="nil"/>
              <w:right w:val="nil"/>
            </w:tcBorders>
            <w:noWrap/>
            <w:vAlign w:val="center"/>
          </w:tcPr>
          <w:p w14:paraId="4BA03F63"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Chen</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[20]</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5DACA78F"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2022</w:t>
            </w:r>
          </w:p>
        </w:tc>
        <w:tc>
          <w:tcPr>
            <w:tcW w:w="871" w:type="dxa"/>
            <w:tcBorders>
              <w:top w:val="nil"/>
              <w:left w:val="nil"/>
              <w:bottom w:val="nil"/>
              <w:right w:val="nil"/>
            </w:tcBorders>
            <w:noWrap/>
            <w:vAlign w:val="center"/>
          </w:tcPr>
          <w:p w14:paraId="43A4F6AF"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nil"/>
              <w:right w:val="nil"/>
            </w:tcBorders>
            <w:noWrap/>
            <w:vAlign w:val="center"/>
          </w:tcPr>
          <w:p w14:paraId="2A987A5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3699D1C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65</w:t>
            </w:r>
          </w:p>
        </w:tc>
        <w:tc>
          <w:tcPr>
            <w:tcW w:w="837" w:type="dxa"/>
            <w:tcBorders>
              <w:top w:val="nil"/>
              <w:left w:val="nil"/>
              <w:bottom w:val="nil"/>
              <w:right w:val="nil"/>
            </w:tcBorders>
            <w:noWrap/>
            <w:vAlign w:val="center"/>
          </w:tcPr>
          <w:p w14:paraId="4612141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3E998ACD"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236EA92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2-3</w:t>
            </w:r>
          </w:p>
        </w:tc>
        <w:tc>
          <w:tcPr>
            <w:tcW w:w="1134" w:type="dxa"/>
            <w:tcBorders>
              <w:top w:val="nil"/>
              <w:left w:val="nil"/>
              <w:bottom w:val="nil"/>
              <w:right w:val="nil"/>
            </w:tcBorders>
            <w:noWrap/>
            <w:vAlign w:val="center"/>
          </w:tcPr>
          <w:p w14:paraId="675BE600"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Gastric cancer</w:t>
            </w:r>
          </w:p>
        </w:tc>
        <w:tc>
          <w:tcPr>
            <w:tcW w:w="1417" w:type="dxa"/>
            <w:tcBorders>
              <w:top w:val="nil"/>
              <w:left w:val="nil"/>
              <w:bottom w:val="nil"/>
              <w:right w:val="nil"/>
            </w:tcBorders>
            <w:noWrap/>
            <w:vAlign w:val="center"/>
          </w:tcPr>
          <w:p w14:paraId="4B938DFA"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Median number of stained cells</w:t>
            </w:r>
          </w:p>
        </w:tc>
        <w:tc>
          <w:tcPr>
            <w:tcW w:w="1204" w:type="dxa"/>
            <w:tcBorders>
              <w:top w:val="nil"/>
              <w:left w:val="nil"/>
              <w:bottom w:val="nil"/>
              <w:right w:val="nil"/>
            </w:tcBorders>
            <w:noWrap/>
            <w:vAlign w:val="center"/>
          </w:tcPr>
          <w:p w14:paraId="76BA92F3"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496 (49.0%)</w:t>
            </w:r>
          </w:p>
        </w:tc>
        <w:tc>
          <w:tcPr>
            <w:tcW w:w="1304" w:type="dxa"/>
            <w:tcBorders>
              <w:top w:val="nil"/>
              <w:left w:val="nil"/>
              <w:bottom w:val="nil"/>
              <w:right w:val="nil"/>
            </w:tcBorders>
            <w:noWrap/>
            <w:vAlign w:val="center"/>
          </w:tcPr>
          <w:p w14:paraId="6EA45A0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Median 37 (4-76)</w:t>
            </w:r>
          </w:p>
        </w:tc>
        <w:tc>
          <w:tcPr>
            <w:tcW w:w="1247" w:type="dxa"/>
            <w:tcBorders>
              <w:top w:val="nil"/>
              <w:left w:val="nil"/>
              <w:bottom w:val="nil"/>
              <w:right w:val="nil"/>
            </w:tcBorders>
            <w:vAlign w:val="center"/>
          </w:tcPr>
          <w:p w14:paraId="321EB20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2.236 (1.427–3.504)</w:t>
            </w:r>
          </w:p>
        </w:tc>
        <w:tc>
          <w:tcPr>
            <w:tcW w:w="567" w:type="dxa"/>
            <w:tcBorders>
              <w:top w:val="nil"/>
              <w:left w:val="nil"/>
              <w:bottom w:val="nil"/>
              <w:right w:val="nil"/>
            </w:tcBorders>
            <w:noWrap/>
            <w:vAlign w:val="center"/>
          </w:tcPr>
          <w:p w14:paraId="5E9FCD1E"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7</w:t>
            </w:r>
          </w:p>
        </w:tc>
      </w:tr>
      <w:tr w:rsidR="00F614B0" w:rsidRPr="00E1613F" w14:paraId="0C691A98" w14:textId="77777777">
        <w:trPr>
          <w:trHeight w:val="406"/>
        </w:trPr>
        <w:tc>
          <w:tcPr>
            <w:tcW w:w="913" w:type="dxa"/>
            <w:tcBorders>
              <w:top w:val="nil"/>
              <w:left w:val="nil"/>
              <w:bottom w:val="nil"/>
              <w:right w:val="nil"/>
            </w:tcBorders>
            <w:noWrap/>
            <w:vAlign w:val="center"/>
          </w:tcPr>
          <w:p w14:paraId="3ED254C0"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Shan</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[21]</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260A2D1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2016</w:t>
            </w:r>
          </w:p>
        </w:tc>
        <w:tc>
          <w:tcPr>
            <w:tcW w:w="871" w:type="dxa"/>
            <w:tcBorders>
              <w:top w:val="nil"/>
              <w:left w:val="nil"/>
              <w:bottom w:val="nil"/>
              <w:right w:val="nil"/>
            </w:tcBorders>
            <w:noWrap/>
            <w:vAlign w:val="center"/>
          </w:tcPr>
          <w:p w14:paraId="6F71391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nil"/>
              <w:right w:val="nil"/>
            </w:tcBorders>
            <w:noWrap/>
            <w:vAlign w:val="center"/>
          </w:tcPr>
          <w:p w14:paraId="65A8818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0C7EAF4E"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55</w:t>
            </w:r>
          </w:p>
        </w:tc>
        <w:tc>
          <w:tcPr>
            <w:tcW w:w="837" w:type="dxa"/>
            <w:tcBorders>
              <w:top w:val="nil"/>
              <w:left w:val="nil"/>
              <w:bottom w:val="nil"/>
              <w:right w:val="nil"/>
            </w:tcBorders>
            <w:noWrap/>
            <w:vAlign w:val="center"/>
          </w:tcPr>
          <w:p w14:paraId="7317F5D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793EFCE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007985B0"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1-4</w:t>
            </w:r>
          </w:p>
        </w:tc>
        <w:tc>
          <w:tcPr>
            <w:tcW w:w="1134" w:type="dxa"/>
            <w:tcBorders>
              <w:top w:val="nil"/>
              <w:left w:val="nil"/>
              <w:bottom w:val="nil"/>
              <w:right w:val="nil"/>
            </w:tcBorders>
            <w:noWrap/>
            <w:vAlign w:val="center"/>
          </w:tcPr>
          <w:p w14:paraId="510A5AF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ESCC</w:t>
            </w:r>
          </w:p>
        </w:tc>
        <w:tc>
          <w:tcPr>
            <w:tcW w:w="1417" w:type="dxa"/>
            <w:tcBorders>
              <w:top w:val="nil"/>
              <w:left w:val="nil"/>
              <w:bottom w:val="nil"/>
              <w:right w:val="nil"/>
            </w:tcBorders>
            <w:noWrap/>
            <w:vAlign w:val="center"/>
          </w:tcPr>
          <w:p w14:paraId="1550D87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3 points</w:t>
            </w:r>
          </w:p>
        </w:tc>
        <w:tc>
          <w:tcPr>
            <w:tcW w:w="1204" w:type="dxa"/>
            <w:tcBorders>
              <w:top w:val="nil"/>
              <w:left w:val="nil"/>
              <w:bottom w:val="nil"/>
              <w:right w:val="nil"/>
            </w:tcBorders>
            <w:noWrap/>
            <w:vAlign w:val="center"/>
          </w:tcPr>
          <w:p w14:paraId="598D935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64 (85.9%)</w:t>
            </w:r>
          </w:p>
        </w:tc>
        <w:tc>
          <w:tcPr>
            <w:tcW w:w="1304" w:type="dxa"/>
            <w:tcBorders>
              <w:top w:val="nil"/>
              <w:left w:val="nil"/>
              <w:bottom w:val="nil"/>
              <w:right w:val="nil"/>
            </w:tcBorders>
            <w:noWrap/>
            <w:vAlign w:val="center"/>
          </w:tcPr>
          <w:p w14:paraId="275A545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Median 31 (7-105)</w:t>
            </w:r>
          </w:p>
        </w:tc>
        <w:tc>
          <w:tcPr>
            <w:tcW w:w="1247" w:type="dxa"/>
            <w:tcBorders>
              <w:top w:val="nil"/>
              <w:left w:val="nil"/>
              <w:bottom w:val="nil"/>
              <w:right w:val="nil"/>
            </w:tcBorders>
            <w:vAlign w:val="center"/>
          </w:tcPr>
          <w:p w14:paraId="4F623804"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1 (0.932-1.072)</w:t>
            </w:r>
          </w:p>
        </w:tc>
        <w:tc>
          <w:tcPr>
            <w:tcW w:w="567" w:type="dxa"/>
            <w:tcBorders>
              <w:top w:val="nil"/>
              <w:left w:val="nil"/>
              <w:bottom w:val="nil"/>
              <w:right w:val="nil"/>
            </w:tcBorders>
            <w:noWrap/>
            <w:vAlign w:val="center"/>
          </w:tcPr>
          <w:p w14:paraId="060BC3F4"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8</w:t>
            </w:r>
          </w:p>
        </w:tc>
      </w:tr>
      <w:tr w:rsidR="00F614B0" w:rsidRPr="00E1613F" w14:paraId="1A9D3EFF" w14:textId="77777777">
        <w:trPr>
          <w:trHeight w:val="406"/>
        </w:trPr>
        <w:tc>
          <w:tcPr>
            <w:tcW w:w="913" w:type="dxa"/>
            <w:tcBorders>
              <w:top w:val="nil"/>
              <w:left w:val="nil"/>
              <w:bottom w:val="nil"/>
              <w:right w:val="nil"/>
            </w:tcBorders>
            <w:noWrap/>
            <w:vAlign w:val="center"/>
          </w:tcPr>
          <w:p w14:paraId="372E007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lastRenderedPageBreak/>
              <w:t>Hou</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[22]</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7AD51831"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2017</w:t>
            </w:r>
          </w:p>
        </w:tc>
        <w:tc>
          <w:tcPr>
            <w:tcW w:w="871" w:type="dxa"/>
            <w:tcBorders>
              <w:top w:val="nil"/>
              <w:left w:val="nil"/>
              <w:bottom w:val="nil"/>
              <w:right w:val="nil"/>
            </w:tcBorders>
            <w:noWrap/>
            <w:vAlign w:val="center"/>
          </w:tcPr>
          <w:p w14:paraId="5C0E01C4"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nil"/>
              <w:right w:val="nil"/>
            </w:tcBorders>
            <w:noWrap/>
            <w:vAlign w:val="center"/>
          </w:tcPr>
          <w:p w14:paraId="2066A0AF"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1C2F234E"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58</w:t>
            </w:r>
          </w:p>
        </w:tc>
        <w:tc>
          <w:tcPr>
            <w:tcW w:w="837" w:type="dxa"/>
            <w:tcBorders>
              <w:top w:val="nil"/>
              <w:left w:val="nil"/>
              <w:bottom w:val="nil"/>
              <w:right w:val="nil"/>
            </w:tcBorders>
            <w:noWrap/>
            <w:vAlign w:val="center"/>
          </w:tcPr>
          <w:p w14:paraId="576A36FC"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20CC3E9C"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568AB113"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2-3</w:t>
            </w:r>
          </w:p>
        </w:tc>
        <w:tc>
          <w:tcPr>
            <w:tcW w:w="1134" w:type="dxa"/>
            <w:tcBorders>
              <w:top w:val="nil"/>
              <w:left w:val="nil"/>
              <w:bottom w:val="nil"/>
              <w:right w:val="nil"/>
            </w:tcBorders>
            <w:noWrap/>
            <w:vAlign w:val="center"/>
          </w:tcPr>
          <w:p w14:paraId="21B80DE8"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ESCC</w:t>
            </w:r>
          </w:p>
        </w:tc>
        <w:tc>
          <w:tcPr>
            <w:tcW w:w="1417" w:type="dxa"/>
            <w:tcBorders>
              <w:top w:val="nil"/>
              <w:left w:val="nil"/>
              <w:bottom w:val="nil"/>
              <w:right w:val="nil"/>
            </w:tcBorders>
            <w:noWrap/>
            <w:vAlign w:val="center"/>
          </w:tcPr>
          <w:p w14:paraId="2CFA3541"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3 points</w:t>
            </w:r>
          </w:p>
        </w:tc>
        <w:tc>
          <w:tcPr>
            <w:tcW w:w="1204" w:type="dxa"/>
            <w:tcBorders>
              <w:top w:val="nil"/>
              <w:left w:val="nil"/>
              <w:bottom w:val="nil"/>
              <w:right w:val="nil"/>
            </w:tcBorders>
            <w:noWrap/>
            <w:vAlign w:val="center"/>
          </w:tcPr>
          <w:p w14:paraId="15D9CC64"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45 (22.2%)</w:t>
            </w:r>
          </w:p>
        </w:tc>
        <w:tc>
          <w:tcPr>
            <w:tcW w:w="1304" w:type="dxa"/>
            <w:tcBorders>
              <w:top w:val="nil"/>
              <w:left w:val="nil"/>
              <w:bottom w:val="nil"/>
              <w:right w:val="nil"/>
            </w:tcBorders>
            <w:noWrap/>
            <w:vAlign w:val="center"/>
          </w:tcPr>
          <w:p w14:paraId="5F82E0A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 xml:space="preserve"> &lt; 100 </w:t>
            </w:r>
          </w:p>
        </w:tc>
        <w:tc>
          <w:tcPr>
            <w:tcW w:w="1247" w:type="dxa"/>
            <w:tcBorders>
              <w:top w:val="nil"/>
              <w:left w:val="nil"/>
              <w:bottom w:val="nil"/>
              <w:right w:val="nil"/>
            </w:tcBorders>
            <w:vAlign w:val="center"/>
          </w:tcPr>
          <w:p w14:paraId="3AF08B8E"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1.102 (0.292–4.157)</w:t>
            </w:r>
          </w:p>
        </w:tc>
        <w:tc>
          <w:tcPr>
            <w:tcW w:w="567" w:type="dxa"/>
            <w:tcBorders>
              <w:top w:val="nil"/>
              <w:left w:val="nil"/>
              <w:bottom w:val="nil"/>
              <w:right w:val="nil"/>
            </w:tcBorders>
            <w:noWrap/>
            <w:vAlign w:val="center"/>
          </w:tcPr>
          <w:p w14:paraId="3926A539"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7</w:t>
            </w:r>
          </w:p>
        </w:tc>
      </w:tr>
      <w:tr w:rsidR="00F614B0" w:rsidRPr="00E1613F" w14:paraId="09EDA04C" w14:textId="77777777">
        <w:trPr>
          <w:trHeight w:val="406"/>
        </w:trPr>
        <w:tc>
          <w:tcPr>
            <w:tcW w:w="913" w:type="dxa"/>
            <w:tcBorders>
              <w:top w:val="nil"/>
              <w:left w:val="nil"/>
              <w:bottom w:val="nil"/>
              <w:right w:val="nil"/>
            </w:tcBorders>
            <w:noWrap/>
            <w:vAlign w:val="center"/>
          </w:tcPr>
          <w:p w14:paraId="1D86747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Duan</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[23]</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4A2E92B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2018</w:t>
            </w:r>
          </w:p>
        </w:tc>
        <w:tc>
          <w:tcPr>
            <w:tcW w:w="871" w:type="dxa"/>
            <w:tcBorders>
              <w:top w:val="nil"/>
              <w:left w:val="nil"/>
              <w:bottom w:val="nil"/>
              <w:right w:val="nil"/>
            </w:tcBorders>
            <w:noWrap/>
            <w:vAlign w:val="center"/>
          </w:tcPr>
          <w:p w14:paraId="77BEFA4C"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nil"/>
              <w:right w:val="nil"/>
            </w:tcBorders>
            <w:noWrap/>
            <w:vAlign w:val="center"/>
          </w:tcPr>
          <w:p w14:paraId="74953FED"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1CC24CC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58</w:t>
            </w:r>
          </w:p>
        </w:tc>
        <w:tc>
          <w:tcPr>
            <w:tcW w:w="837" w:type="dxa"/>
            <w:tcBorders>
              <w:top w:val="nil"/>
              <w:left w:val="nil"/>
              <w:bottom w:val="nil"/>
              <w:right w:val="nil"/>
            </w:tcBorders>
            <w:noWrap/>
            <w:vAlign w:val="center"/>
          </w:tcPr>
          <w:p w14:paraId="65083480"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06D2F3E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65E3EA3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1-4</w:t>
            </w:r>
          </w:p>
        </w:tc>
        <w:tc>
          <w:tcPr>
            <w:tcW w:w="1134" w:type="dxa"/>
            <w:tcBorders>
              <w:top w:val="nil"/>
              <w:left w:val="nil"/>
              <w:bottom w:val="nil"/>
              <w:right w:val="nil"/>
            </w:tcBorders>
            <w:noWrap/>
            <w:vAlign w:val="center"/>
          </w:tcPr>
          <w:p w14:paraId="739D1F23"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ESCC</w:t>
            </w:r>
          </w:p>
        </w:tc>
        <w:tc>
          <w:tcPr>
            <w:tcW w:w="1417" w:type="dxa"/>
            <w:tcBorders>
              <w:top w:val="nil"/>
              <w:left w:val="nil"/>
              <w:bottom w:val="nil"/>
              <w:right w:val="nil"/>
            </w:tcBorders>
            <w:noWrap/>
            <w:vAlign w:val="center"/>
          </w:tcPr>
          <w:p w14:paraId="6DC075C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w:t>
            </w:r>
          </w:p>
        </w:tc>
        <w:tc>
          <w:tcPr>
            <w:tcW w:w="1204" w:type="dxa"/>
            <w:tcBorders>
              <w:top w:val="nil"/>
              <w:left w:val="nil"/>
              <w:bottom w:val="nil"/>
              <w:right w:val="nil"/>
            </w:tcBorders>
            <w:noWrap/>
            <w:vAlign w:val="center"/>
          </w:tcPr>
          <w:p w14:paraId="0B733B1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95 (37.9%)</w:t>
            </w:r>
          </w:p>
        </w:tc>
        <w:tc>
          <w:tcPr>
            <w:tcW w:w="1304" w:type="dxa"/>
            <w:tcBorders>
              <w:top w:val="nil"/>
              <w:left w:val="nil"/>
              <w:bottom w:val="nil"/>
              <w:right w:val="nil"/>
            </w:tcBorders>
            <w:noWrap/>
            <w:vAlign w:val="center"/>
          </w:tcPr>
          <w:p w14:paraId="5EADEB0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Median 32 (3-84)</w:t>
            </w:r>
          </w:p>
        </w:tc>
        <w:tc>
          <w:tcPr>
            <w:tcW w:w="1247" w:type="dxa"/>
            <w:tcBorders>
              <w:top w:val="nil"/>
              <w:left w:val="nil"/>
              <w:bottom w:val="nil"/>
              <w:right w:val="nil"/>
            </w:tcBorders>
            <w:noWrap/>
            <w:vAlign w:val="center"/>
          </w:tcPr>
          <w:p w14:paraId="511EE61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0.405 (0.148–1.103)</w:t>
            </w:r>
          </w:p>
        </w:tc>
        <w:tc>
          <w:tcPr>
            <w:tcW w:w="567" w:type="dxa"/>
            <w:tcBorders>
              <w:top w:val="nil"/>
              <w:left w:val="nil"/>
              <w:bottom w:val="nil"/>
              <w:right w:val="nil"/>
            </w:tcBorders>
            <w:noWrap/>
            <w:vAlign w:val="center"/>
          </w:tcPr>
          <w:p w14:paraId="296E5CDF"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9</w:t>
            </w:r>
          </w:p>
        </w:tc>
      </w:tr>
      <w:tr w:rsidR="00F614B0" w:rsidRPr="00E1613F" w14:paraId="7C8C1E95" w14:textId="77777777">
        <w:trPr>
          <w:trHeight w:val="406"/>
        </w:trPr>
        <w:tc>
          <w:tcPr>
            <w:tcW w:w="913" w:type="dxa"/>
            <w:tcBorders>
              <w:top w:val="nil"/>
              <w:left w:val="nil"/>
              <w:bottom w:val="nil"/>
              <w:right w:val="nil"/>
            </w:tcBorders>
            <w:noWrap/>
            <w:vAlign w:val="center"/>
          </w:tcPr>
          <w:p w14:paraId="7C2B297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Hong</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[24]</w:t>
            </w:r>
            <w:r w:rsidRPr="00E1613F">
              <w:rPr>
                <w:rFonts w:ascii="Book Antiqua" w:hAnsi="Book Antiqua"/>
                <w:color w:val="000000" w:themeColor="text1"/>
              </w:rPr>
              <w:fldChar w:fldCharType="end"/>
            </w:r>
          </w:p>
        </w:tc>
        <w:tc>
          <w:tcPr>
            <w:tcW w:w="621" w:type="dxa"/>
            <w:tcBorders>
              <w:top w:val="nil"/>
              <w:left w:val="nil"/>
              <w:bottom w:val="nil"/>
              <w:right w:val="nil"/>
            </w:tcBorders>
            <w:noWrap/>
            <w:vAlign w:val="center"/>
          </w:tcPr>
          <w:p w14:paraId="1EE1F034"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2019</w:t>
            </w:r>
          </w:p>
        </w:tc>
        <w:tc>
          <w:tcPr>
            <w:tcW w:w="871" w:type="dxa"/>
            <w:tcBorders>
              <w:top w:val="nil"/>
              <w:left w:val="nil"/>
              <w:bottom w:val="nil"/>
              <w:right w:val="nil"/>
            </w:tcBorders>
            <w:noWrap/>
            <w:vAlign w:val="center"/>
          </w:tcPr>
          <w:p w14:paraId="5CC8C30C"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Korea</w:t>
            </w:r>
          </w:p>
        </w:tc>
        <w:tc>
          <w:tcPr>
            <w:tcW w:w="945" w:type="dxa"/>
            <w:tcBorders>
              <w:top w:val="nil"/>
              <w:left w:val="nil"/>
              <w:bottom w:val="nil"/>
              <w:right w:val="nil"/>
            </w:tcBorders>
            <w:noWrap/>
            <w:vAlign w:val="center"/>
          </w:tcPr>
          <w:p w14:paraId="1CEF7A21"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nil"/>
              <w:right w:val="nil"/>
            </w:tcBorders>
            <w:noWrap/>
            <w:vAlign w:val="center"/>
          </w:tcPr>
          <w:p w14:paraId="2A2D0481"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64</w:t>
            </w:r>
          </w:p>
        </w:tc>
        <w:tc>
          <w:tcPr>
            <w:tcW w:w="837" w:type="dxa"/>
            <w:tcBorders>
              <w:top w:val="nil"/>
              <w:left w:val="nil"/>
              <w:bottom w:val="nil"/>
              <w:right w:val="nil"/>
            </w:tcBorders>
            <w:noWrap/>
            <w:vAlign w:val="center"/>
          </w:tcPr>
          <w:p w14:paraId="1C128B67"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nil"/>
              <w:right w:val="nil"/>
            </w:tcBorders>
            <w:noWrap/>
            <w:vAlign w:val="center"/>
          </w:tcPr>
          <w:p w14:paraId="0E7AAD4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nil"/>
              <w:right w:val="nil"/>
            </w:tcBorders>
            <w:noWrap/>
            <w:vAlign w:val="center"/>
          </w:tcPr>
          <w:p w14:paraId="13568C3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1-4</w:t>
            </w:r>
          </w:p>
        </w:tc>
        <w:tc>
          <w:tcPr>
            <w:tcW w:w="1134" w:type="dxa"/>
            <w:tcBorders>
              <w:top w:val="nil"/>
              <w:left w:val="nil"/>
              <w:bottom w:val="nil"/>
              <w:right w:val="nil"/>
            </w:tcBorders>
            <w:noWrap/>
            <w:vAlign w:val="center"/>
          </w:tcPr>
          <w:p w14:paraId="7A4D9A0D"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ESCC</w:t>
            </w:r>
          </w:p>
        </w:tc>
        <w:tc>
          <w:tcPr>
            <w:tcW w:w="1417" w:type="dxa"/>
            <w:tcBorders>
              <w:top w:val="nil"/>
              <w:left w:val="nil"/>
              <w:bottom w:val="nil"/>
              <w:right w:val="nil"/>
            </w:tcBorders>
            <w:noWrap/>
            <w:vAlign w:val="center"/>
          </w:tcPr>
          <w:p w14:paraId="0E1BEBE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w:t>
            </w:r>
          </w:p>
        </w:tc>
        <w:tc>
          <w:tcPr>
            <w:tcW w:w="1204" w:type="dxa"/>
            <w:tcBorders>
              <w:top w:val="nil"/>
              <w:left w:val="nil"/>
              <w:bottom w:val="nil"/>
              <w:right w:val="nil"/>
            </w:tcBorders>
            <w:noWrap/>
            <w:vAlign w:val="center"/>
          </w:tcPr>
          <w:p w14:paraId="60357DBE"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396 (50.8%)</w:t>
            </w:r>
          </w:p>
        </w:tc>
        <w:tc>
          <w:tcPr>
            <w:tcW w:w="1304" w:type="dxa"/>
            <w:tcBorders>
              <w:top w:val="nil"/>
              <w:left w:val="nil"/>
              <w:bottom w:val="nil"/>
              <w:right w:val="nil"/>
            </w:tcBorders>
            <w:noWrap/>
            <w:vAlign w:val="center"/>
          </w:tcPr>
          <w:p w14:paraId="7F25BBC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Median 24.8 (0.5-210.0)</w:t>
            </w:r>
          </w:p>
        </w:tc>
        <w:tc>
          <w:tcPr>
            <w:tcW w:w="1247" w:type="dxa"/>
            <w:tcBorders>
              <w:top w:val="nil"/>
              <w:left w:val="nil"/>
              <w:bottom w:val="nil"/>
              <w:right w:val="nil"/>
            </w:tcBorders>
            <w:noWrap/>
            <w:vAlign w:val="center"/>
          </w:tcPr>
          <w:p w14:paraId="65A1FF1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1.60 (1.13–2.27)</w:t>
            </w:r>
          </w:p>
        </w:tc>
        <w:tc>
          <w:tcPr>
            <w:tcW w:w="567" w:type="dxa"/>
            <w:tcBorders>
              <w:top w:val="nil"/>
              <w:left w:val="nil"/>
              <w:bottom w:val="nil"/>
              <w:right w:val="nil"/>
            </w:tcBorders>
            <w:noWrap/>
            <w:vAlign w:val="center"/>
          </w:tcPr>
          <w:p w14:paraId="12C3CC95"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8</w:t>
            </w:r>
          </w:p>
        </w:tc>
      </w:tr>
      <w:tr w:rsidR="00F614B0" w:rsidRPr="00E1613F" w14:paraId="1025487B" w14:textId="77777777">
        <w:trPr>
          <w:trHeight w:val="452"/>
        </w:trPr>
        <w:tc>
          <w:tcPr>
            <w:tcW w:w="913" w:type="dxa"/>
            <w:tcBorders>
              <w:top w:val="nil"/>
              <w:left w:val="nil"/>
              <w:bottom w:val="single" w:sz="4" w:space="0" w:color="auto"/>
              <w:right w:val="nil"/>
            </w:tcBorders>
            <w:noWrap/>
            <w:vAlign w:val="center"/>
          </w:tcPr>
          <w:p w14:paraId="267E2BA6"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Zhao</w:t>
            </w:r>
            <w:r w:rsidRPr="00E1613F">
              <w:rPr>
                <w:rFonts w:ascii="Book Antiqua" w:hAnsi="Book Antiqua"/>
                <w:i/>
                <w:iCs/>
                <w:color w:val="000000" w:themeColor="text1"/>
              </w:rPr>
              <w:t xml:space="preserve"> et al</w: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 </w:instrText>
            </w:r>
            <w:r w:rsidRPr="00E1613F">
              <w:rPr>
                <w:rFonts w:ascii="Book Antiqua" w:hAnsi="Book Antiqua"/>
                <w:color w:val="000000" w:themeColor="text1"/>
              </w:rPr>
              <w:fldChar w:fldCharType="begin"/>
            </w:r>
            <w:r w:rsidRPr="00E1613F">
              <w:rPr>
                <w:rFonts w:ascii="Book Antiqua" w:hAnsi="Book Antiqua"/>
                <w:color w:val="000000" w:themeColor="text1"/>
              </w:rPr>
              <w:instrText xml:space="preserve"> ADDIN EN.CITE.DATA </w:instrText>
            </w:r>
            <w:r w:rsidRPr="00E1613F">
              <w:rPr>
                <w:rFonts w:ascii="Book Antiqua" w:hAnsi="Book Antiqua"/>
                <w:color w:val="000000" w:themeColor="text1"/>
              </w:rPr>
              <w:fldChar w:fldCharType="end"/>
            </w:r>
            <w:r w:rsidRPr="00E1613F">
              <w:rPr>
                <w:rFonts w:ascii="Book Antiqua" w:hAnsi="Book Antiqua"/>
                <w:color w:val="000000" w:themeColor="text1"/>
              </w:rPr>
              <w:fldChar w:fldCharType="separate"/>
            </w:r>
            <w:r w:rsidRPr="00E1613F">
              <w:rPr>
                <w:rFonts w:ascii="Book Antiqua" w:hAnsi="Book Antiqua"/>
                <w:color w:val="000000" w:themeColor="text1"/>
                <w:vertAlign w:val="superscript"/>
                <w:lang w:eastAsia="zh-CN"/>
              </w:rPr>
              <w:t>[25]</w:t>
            </w:r>
            <w:r w:rsidRPr="00E1613F">
              <w:rPr>
                <w:rFonts w:ascii="Book Antiqua" w:hAnsi="Book Antiqua"/>
                <w:color w:val="000000" w:themeColor="text1"/>
              </w:rPr>
              <w:fldChar w:fldCharType="end"/>
            </w:r>
          </w:p>
        </w:tc>
        <w:tc>
          <w:tcPr>
            <w:tcW w:w="621" w:type="dxa"/>
            <w:tcBorders>
              <w:top w:val="nil"/>
              <w:left w:val="nil"/>
              <w:bottom w:val="single" w:sz="4" w:space="0" w:color="auto"/>
              <w:right w:val="nil"/>
            </w:tcBorders>
            <w:noWrap/>
            <w:vAlign w:val="center"/>
          </w:tcPr>
          <w:p w14:paraId="515D39F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2020</w:t>
            </w:r>
          </w:p>
        </w:tc>
        <w:tc>
          <w:tcPr>
            <w:tcW w:w="871" w:type="dxa"/>
            <w:tcBorders>
              <w:top w:val="nil"/>
              <w:left w:val="nil"/>
              <w:bottom w:val="single" w:sz="4" w:space="0" w:color="auto"/>
              <w:right w:val="nil"/>
            </w:tcBorders>
            <w:noWrap/>
            <w:vAlign w:val="center"/>
          </w:tcPr>
          <w:p w14:paraId="0085E7E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China</w:t>
            </w:r>
          </w:p>
        </w:tc>
        <w:tc>
          <w:tcPr>
            <w:tcW w:w="945" w:type="dxa"/>
            <w:tcBorders>
              <w:top w:val="nil"/>
              <w:left w:val="nil"/>
              <w:bottom w:val="single" w:sz="4" w:space="0" w:color="auto"/>
              <w:right w:val="nil"/>
            </w:tcBorders>
            <w:noWrap/>
            <w:vAlign w:val="center"/>
          </w:tcPr>
          <w:p w14:paraId="2C1EC96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Asian</w:t>
            </w:r>
          </w:p>
        </w:tc>
        <w:tc>
          <w:tcPr>
            <w:tcW w:w="573" w:type="dxa"/>
            <w:tcBorders>
              <w:top w:val="nil"/>
              <w:left w:val="nil"/>
              <w:bottom w:val="single" w:sz="4" w:space="0" w:color="auto"/>
              <w:right w:val="nil"/>
            </w:tcBorders>
            <w:noWrap/>
            <w:vAlign w:val="center"/>
          </w:tcPr>
          <w:p w14:paraId="34218CF9"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65</w:t>
            </w:r>
          </w:p>
        </w:tc>
        <w:tc>
          <w:tcPr>
            <w:tcW w:w="837" w:type="dxa"/>
            <w:tcBorders>
              <w:top w:val="nil"/>
              <w:left w:val="nil"/>
              <w:bottom w:val="single" w:sz="4" w:space="0" w:color="auto"/>
              <w:right w:val="nil"/>
            </w:tcBorders>
            <w:noWrap/>
            <w:vAlign w:val="center"/>
          </w:tcPr>
          <w:p w14:paraId="062A0AE8"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IHC</w:t>
            </w:r>
          </w:p>
        </w:tc>
        <w:tc>
          <w:tcPr>
            <w:tcW w:w="1301" w:type="dxa"/>
            <w:tcBorders>
              <w:top w:val="nil"/>
              <w:left w:val="nil"/>
              <w:bottom w:val="single" w:sz="4" w:space="0" w:color="auto"/>
              <w:right w:val="nil"/>
            </w:tcBorders>
            <w:noWrap/>
            <w:vAlign w:val="center"/>
          </w:tcPr>
          <w:p w14:paraId="15F12B55"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Retrospective</w:t>
            </w:r>
          </w:p>
        </w:tc>
        <w:tc>
          <w:tcPr>
            <w:tcW w:w="665" w:type="dxa"/>
            <w:tcBorders>
              <w:top w:val="nil"/>
              <w:left w:val="nil"/>
              <w:bottom w:val="single" w:sz="4" w:space="0" w:color="auto"/>
              <w:right w:val="nil"/>
            </w:tcBorders>
            <w:noWrap/>
            <w:vAlign w:val="center"/>
          </w:tcPr>
          <w:p w14:paraId="60180AD2"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1-4</w:t>
            </w:r>
          </w:p>
        </w:tc>
        <w:tc>
          <w:tcPr>
            <w:tcW w:w="1134" w:type="dxa"/>
            <w:tcBorders>
              <w:top w:val="nil"/>
              <w:left w:val="nil"/>
              <w:bottom w:val="single" w:sz="4" w:space="0" w:color="auto"/>
              <w:right w:val="nil"/>
            </w:tcBorders>
            <w:noWrap/>
            <w:vAlign w:val="center"/>
          </w:tcPr>
          <w:p w14:paraId="1563FF8F"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ESCC</w:t>
            </w:r>
          </w:p>
        </w:tc>
        <w:tc>
          <w:tcPr>
            <w:tcW w:w="1417" w:type="dxa"/>
            <w:tcBorders>
              <w:top w:val="nil"/>
              <w:left w:val="nil"/>
              <w:bottom w:val="single" w:sz="4" w:space="0" w:color="auto"/>
              <w:right w:val="nil"/>
            </w:tcBorders>
            <w:noWrap/>
            <w:vAlign w:val="center"/>
          </w:tcPr>
          <w:p w14:paraId="384FC3FA"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HSCORE &gt; 3</w:t>
            </w:r>
          </w:p>
        </w:tc>
        <w:tc>
          <w:tcPr>
            <w:tcW w:w="1204" w:type="dxa"/>
            <w:tcBorders>
              <w:top w:val="nil"/>
              <w:left w:val="nil"/>
              <w:bottom w:val="single" w:sz="4" w:space="0" w:color="auto"/>
              <w:right w:val="nil"/>
            </w:tcBorders>
            <w:noWrap/>
            <w:vAlign w:val="center"/>
          </w:tcPr>
          <w:p w14:paraId="671E1C0B"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183 (47.5%)</w:t>
            </w:r>
          </w:p>
        </w:tc>
        <w:tc>
          <w:tcPr>
            <w:tcW w:w="1304" w:type="dxa"/>
            <w:tcBorders>
              <w:top w:val="nil"/>
              <w:left w:val="nil"/>
              <w:bottom w:val="single" w:sz="4" w:space="0" w:color="auto"/>
              <w:right w:val="nil"/>
            </w:tcBorders>
            <w:noWrap/>
            <w:vAlign w:val="center"/>
          </w:tcPr>
          <w:p w14:paraId="0926C41E"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NA</w:t>
            </w:r>
          </w:p>
        </w:tc>
        <w:tc>
          <w:tcPr>
            <w:tcW w:w="1247" w:type="dxa"/>
            <w:tcBorders>
              <w:top w:val="nil"/>
              <w:left w:val="nil"/>
              <w:bottom w:val="single" w:sz="4" w:space="0" w:color="auto"/>
              <w:right w:val="nil"/>
            </w:tcBorders>
            <w:vAlign w:val="center"/>
          </w:tcPr>
          <w:p w14:paraId="2F3E5884" w14:textId="77777777" w:rsidR="00F614B0" w:rsidRPr="00E1613F" w:rsidRDefault="00000000">
            <w:pPr>
              <w:snapToGrid w:val="0"/>
              <w:spacing w:line="360" w:lineRule="auto"/>
              <w:jc w:val="both"/>
              <w:textAlignment w:val="center"/>
              <w:rPr>
                <w:rFonts w:ascii="Book Antiqua" w:hAnsi="Book Antiqua"/>
                <w:color w:val="000000" w:themeColor="text1"/>
              </w:rPr>
            </w:pPr>
            <w:r w:rsidRPr="00E1613F">
              <w:rPr>
                <w:rFonts w:ascii="Book Antiqua" w:hAnsi="Book Antiqua"/>
                <w:color w:val="000000" w:themeColor="text1"/>
              </w:rPr>
              <w:t>2.620 (1.569–4.375)</w:t>
            </w:r>
          </w:p>
        </w:tc>
        <w:tc>
          <w:tcPr>
            <w:tcW w:w="567" w:type="dxa"/>
            <w:tcBorders>
              <w:top w:val="nil"/>
              <w:left w:val="nil"/>
              <w:bottom w:val="single" w:sz="4" w:space="0" w:color="auto"/>
              <w:right w:val="nil"/>
            </w:tcBorders>
            <w:noWrap/>
            <w:vAlign w:val="center"/>
          </w:tcPr>
          <w:p w14:paraId="05D67A7A" w14:textId="77777777" w:rsidR="00F614B0" w:rsidRPr="00E1613F" w:rsidRDefault="00000000">
            <w:pPr>
              <w:snapToGrid w:val="0"/>
              <w:spacing w:line="360" w:lineRule="auto"/>
              <w:jc w:val="both"/>
              <w:rPr>
                <w:rFonts w:ascii="Book Antiqua" w:hAnsi="Book Antiqua"/>
                <w:color w:val="000000" w:themeColor="text1"/>
              </w:rPr>
            </w:pPr>
            <w:r w:rsidRPr="00E1613F">
              <w:rPr>
                <w:rFonts w:ascii="Book Antiqua" w:hAnsi="Book Antiqua"/>
                <w:color w:val="000000" w:themeColor="text1"/>
              </w:rPr>
              <w:t>8</w:t>
            </w:r>
          </w:p>
        </w:tc>
      </w:tr>
    </w:tbl>
    <w:p w14:paraId="015A45F8" w14:textId="77777777" w:rsidR="00F614B0" w:rsidRPr="00E1613F" w:rsidRDefault="00000000">
      <w:pPr>
        <w:adjustRightInd w:val="0"/>
        <w:snapToGrid w:val="0"/>
        <w:spacing w:line="360" w:lineRule="auto"/>
        <w:jc w:val="both"/>
        <w:rPr>
          <w:rFonts w:ascii="Book Antiqua" w:hAnsi="Book Antiqua"/>
          <w:color w:val="000000" w:themeColor="text1"/>
        </w:rPr>
      </w:pPr>
      <w:r w:rsidRPr="00E1613F">
        <w:rPr>
          <w:rFonts w:ascii="Book Antiqua" w:eastAsia="Book Antiqua" w:hAnsi="Book Antiqua" w:cs="Book Antiqua"/>
          <w:color w:val="000000" w:themeColor="text1"/>
        </w:rPr>
        <w:t xml:space="preserve">HSCORE system = Stain intensity × percentage of stained cells. CI: Confidence interval; E +: T cell immunoglobulin and mucin-domain containing-3 positive expression; ESCC: </w:t>
      </w:r>
      <w:r w:rsidRPr="00E1613F">
        <w:rPr>
          <w:rFonts w:ascii="Book Antiqua" w:hAnsi="Book Antiqua"/>
          <w:color w:val="000000" w:themeColor="text1"/>
        </w:rPr>
        <w:t>Esophageal squamous cell carcinoma;</w:t>
      </w:r>
      <w:r w:rsidRPr="00E1613F">
        <w:rPr>
          <w:rFonts w:ascii="Book Antiqua" w:eastAsia="Book Antiqua" w:hAnsi="Book Antiqua" w:cs="Book Antiqua"/>
          <w:color w:val="000000" w:themeColor="text1"/>
        </w:rPr>
        <w:t xml:space="preserve"> HR: Hazard ratio; IHC: Immunohistochemistry; NA: Not applicable; NOS: New-Ottawa scale; OS: Overall survival.</w:t>
      </w:r>
    </w:p>
    <w:p w14:paraId="7F3ADFCE" w14:textId="77777777" w:rsidR="00F614B0" w:rsidRPr="00E1613F" w:rsidRDefault="00F614B0">
      <w:pPr>
        <w:adjustRightInd w:val="0"/>
        <w:snapToGrid w:val="0"/>
        <w:spacing w:line="360" w:lineRule="auto"/>
        <w:jc w:val="both"/>
        <w:rPr>
          <w:color w:val="000000" w:themeColor="text1"/>
          <w:lang w:eastAsia="zh-CN"/>
        </w:rPr>
      </w:pPr>
    </w:p>
    <w:p w14:paraId="10A8E231" w14:textId="77777777" w:rsidR="00F614B0" w:rsidRPr="00E1613F" w:rsidRDefault="00F614B0">
      <w:pPr>
        <w:adjustRightInd w:val="0"/>
        <w:snapToGrid w:val="0"/>
        <w:spacing w:line="360" w:lineRule="auto"/>
        <w:jc w:val="both"/>
        <w:rPr>
          <w:rFonts w:ascii="Book Antiqua" w:eastAsia="Book Antiqua" w:hAnsi="Book Antiqua" w:cs="Book Antiqua"/>
          <w:b/>
          <w:bCs/>
          <w:color w:val="000000" w:themeColor="text1"/>
        </w:rPr>
      </w:pPr>
    </w:p>
    <w:p w14:paraId="39FA3683" w14:textId="77777777" w:rsidR="00F614B0" w:rsidRPr="00E1613F" w:rsidRDefault="00F614B0">
      <w:pPr>
        <w:adjustRightInd w:val="0"/>
        <w:snapToGrid w:val="0"/>
        <w:spacing w:line="360" w:lineRule="auto"/>
        <w:jc w:val="both"/>
        <w:rPr>
          <w:rFonts w:ascii="Book Antiqua" w:eastAsia="Book Antiqua" w:hAnsi="Book Antiqua" w:cs="Book Antiqua"/>
          <w:b/>
          <w:bCs/>
          <w:color w:val="000000" w:themeColor="text1"/>
        </w:rPr>
        <w:sectPr w:rsidR="00F614B0" w:rsidRPr="00E1613F">
          <w:pgSz w:w="15840" w:h="12240" w:orient="landscape"/>
          <w:pgMar w:top="1440" w:right="1440" w:bottom="1440" w:left="1440" w:header="720" w:footer="720" w:gutter="0"/>
          <w:cols w:space="720"/>
          <w:docGrid w:linePitch="360"/>
        </w:sectPr>
      </w:pPr>
    </w:p>
    <w:p w14:paraId="4F0A08B8" w14:textId="77777777" w:rsidR="00F614B0" w:rsidRPr="00E1613F" w:rsidRDefault="00000000">
      <w:pPr>
        <w:adjustRightInd w:val="0"/>
        <w:snapToGrid w:val="0"/>
        <w:spacing w:line="360" w:lineRule="auto"/>
        <w:jc w:val="both"/>
        <w:rPr>
          <w:rFonts w:ascii="Book Antiqua" w:eastAsia="Book Antiqua" w:hAnsi="Book Antiqua" w:cs="Book Antiqua"/>
          <w:b/>
          <w:bCs/>
          <w:color w:val="000000" w:themeColor="text1"/>
        </w:rPr>
      </w:pPr>
      <w:r w:rsidRPr="00E1613F">
        <w:rPr>
          <w:rFonts w:ascii="Book Antiqua" w:eastAsia="Book Antiqua" w:hAnsi="Book Antiqua" w:cs="Book Antiqua"/>
          <w:b/>
          <w:bCs/>
          <w:color w:val="000000" w:themeColor="text1"/>
        </w:rPr>
        <w:lastRenderedPageBreak/>
        <w:t>Table 2</w:t>
      </w:r>
      <w:r w:rsidRPr="00E1613F">
        <w:rPr>
          <w:rFonts w:ascii="Book Antiqua" w:eastAsia="Book Antiqua" w:hAnsi="Book Antiqua" w:cs="Book Antiqua"/>
          <w:color w:val="000000" w:themeColor="text1"/>
        </w:rPr>
        <w:t xml:space="preserve"> </w:t>
      </w:r>
      <w:r w:rsidRPr="00E1613F">
        <w:rPr>
          <w:rFonts w:ascii="Book Antiqua" w:eastAsia="Book Antiqua" w:hAnsi="Book Antiqua" w:cs="Book Antiqua"/>
          <w:b/>
          <w:bCs/>
          <w:color w:val="000000" w:themeColor="text1"/>
        </w:rPr>
        <w:t>Sub-group analysis of the association between T cell immunoglobulin and mucin-domain containing-3 and the clinicopathological parameters</w:t>
      </w:r>
    </w:p>
    <w:tbl>
      <w:tblPr>
        <w:tblW w:w="13050" w:type="dxa"/>
        <w:tblBorders>
          <w:top w:val="single" w:sz="4" w:space="0" w:color="auto"/>
          <w:bottom w:val="single" w:sz="4" w:space="0" w:color="auto"/>
        </w:tblBorders>
        <w:tblLook w:val="04A0" w:firstRow="1" w:lastRow="0" w:firstColumn="1" w:lastColumn="0" w:noHBand="0" w:noVBand="1"/>
      </w:tblPr>
      <w:tblGrid>
        <w:gridCol w:w="5580"/>
        <w:gridCol w:w="2430"/>
        <w:gridCol w:w="1620"/>
        <w:gridCol w:w="1800"/>
        <w:gridCol w:w="1620"/>
      </w:tblGrid>
      <w:tr w:rsidR="00F614B0" w:rsidRPr="00E1613F" w14:paraId="3F8B818B" w14:textId="77777777">
        <w:trPr>
          <w:trHeight w:val="523"/>
        </w:trPr>
        <w:tc>
          <w:tcPr>
            <w:tcW w:w="5580" w:type="dxa"/>
            <w:tcBorders>
              <w:top w:val="single" w:sz="4" w:space="0" w:color="auto"/>
              <w:bottom w:val="single" w:sz="4" w:space="0" w:color="auto"/>
            </w:tcBorders>
            <w:noWrap/>
            <w:vAlign w:val="center"/>
          </w:tcPr>
          <w:p w14:paraId="4EFD5F79" w14:textId="77777777" w:rsidR="00F614B0" w:rsidRPr="00E1613F" w:rsidRDefault="00000000">
            <w:pPr>
              <w:snapToGrid w:val="0"/>
              <w:spacing w:line="360" w:lineRule="auto"/>
              <w:jc w:val="both"/>
              <w:rPr>
                <w:rFonts w:ascii="Book Antiqua" w:hAnsi="Book Antiqua"/>
                <w:b/>
                <w:color w:val="000000"/>
              </w:rPr>
            </w:pPr>
            <w:r w:rsidRPr="00E1613F">
              <w:rPr>
                <w:rFonts w:ascii="Book Antiqua" w:hAnsi="Book Antiqua"/>
                <w:b/>
                <w:color w:val="000000"/>
              </w:rPr>
              <w:t>Subgroups</w:t>
            </w:r>
          </w:p>
        </w:tc>
        <w:tc>
          <w:tcPr>
            <w:tcW w:w="2430" w:type="dxa"/>
            <w:tcBorders>
              <w:top w:val="single" w:sz="4" w:space="0" w:color="auto"/>
              <w:bottom w:val="single" w:sz="4" w:space="0" w:color="auto"/>
            </w:tcBorders>
            <w:noWrap/>
            <w:vAlign w:val="center"/>
          </w:tcPr>
          <w:p w14:paraId="69447C9F" w14:textId="77777777" w:rsidR="00F614B0" w:rsidRPr="00E1613F" w:rsidRDefault="00000000">
            <w:pPr>
              <w:snapToGrid w:val="0"/>
              <w:spacing w:line="360" w:lineRule="auto"/>
              <w:jc w:val="both"/>
              <w:rPr>
                <w:rFonts w:ascii="Book Antiqua" w:hAnsi="Book Antiqua"/>
                <w:b/>
                <w:color w:val="000000"/>
              </w:rPr>
            </w:pPr>
            <w:r w:rsidRPr="00E1613F">
              <w:rPr>
                <w:rFonts w:ascii="Book Antiqua" w:hAnsi="Book Antiqua"/>
                <w:b/>
                <w:color w:val="000000"/>
              </w:rPr>
              <w:t>OR (95%CI)</w:t>
            </w:r>
          </w:p>
        </w:tc>
        <w:tc>
          <w:tcPr>
            <w:tcW w:w="1620" w:type="dxa"/>
            <w:tcBorders>
              <w:top w:val="single" w:sz="4" w:space="0" w:color="auto"/>
              <w:bottom w:val="single" w:sz="4" w:space="0" w:color="auto"/>
            </w:tcBorders>
            <w:noWrap/>
            <w:vAlign w:val="center"/>
          </w:tcPr>
          <w:p w14:paraId="036DCD89" w14:textId="77777777" w:rsidR="00F614B0" w:rsidRPr="00E1613F" w:rsidRDefault="00000000">
            <w:pPr>
              <w:snapToGrid w:val="0"/>
              <w:spacing w:line="360" w:lineRule="auto"/>
              <w:jc w:val="both"/>
              <w:rPr>
                <w:rFonts w:ascii="Book Antiqua" w:hAnsi="Book Antiqua"/>
                <w:b/>
                <w:i/>
                <w:color w:val="000000"/>
              </w:rPr>
            </w:pPr>
            <w:r w:rsidRPr="00E1613F">
              <w:rPr>
                <w:rFonts w:ascii="Book Antiqua" w:hAnsi="Book Antiqua"/>
                <w:b/>
                <w:i/>
                <w:color w:val="000000"/>
              </w:rPr>
              <w:t xml:space="preserve">P </w:t>
            </w:r>
            <w:r w:rsidRPr="00E1613F">
              <w:rPr>
                <w:rFonts w:ascii="Book Antiqua" w:hAnsi="Book Antiqua"/>
                <w:b/>
                <w:color w:val="000000"/>
              </w:rPr>
              <w:t>value</w:t>
            </w:r>
          </w:p>
        </w:tc>
        <w:tc>
          <w:tcPr>
            <w:tcW w:w="1800" w:type="dxa"/>
            <w:tcBorders>
              <w:top w:val="single" w:sz="4" w:space="0" w:color="auto"/>
              <w:bottom w:val="single" w:sz="4" w:space="0" w:color="auto"/>
            </w:tcBorders>
            <w:noWrap/>
            <w:vAlign w:val="center"/>
          </w:tcPr>
          <w:p w14:paraId="2672B838" w14:textId="77777777" w:rsidR="00F614B0" w:rsidRPr="00E1613F" w:rsidRDefault="00000000">
            <w:pPr>
              <w:snapToGrid w:val="0"/>
              <w:spacing w:line="360" w:lineRule="auto"/>
              <w:jc w:val="both"/>
              <w:rPr>
                <w:rFonts w:ascii="Book Antiqua" w:hAnsi="Book Antiqua"/>
                <w:b/>
                <w:i/>
                <w:iCs/>
                <w:color w:val="000000"/>
              </w:rPr>
            </w:pPr>
            <w:r w:rsidRPr="00E1613F">
              <w:rPr>
                <w:rFonts w:ascii="Book Antiqua" w:hAnsi="Book Antiqua"/>
                <w:b/>
                <w:color w:val="000000"/>
              </w:rPr>
              <w:t xml:space="preserve">Studies, </w:t>
            </w:r>
            <w:r w:rsidRPr="00E1613F">
              <w:rPr>
                <w:rFonts w:ascii="Book Antiqua" w:hAnsi="Book Antiqua"/>
                <w:b/>
                <w:i/>
                <w:iCs/>
                <w:color w:val="000000"/>
              </w:rPr>
              <w:t>n</w:t>
            </w:r>
          </w:p>
        </w:tc>
        <w:tc>
          <w:tcPr>
            <w:tcW w:w="1620" w:type="dxa"/>
            <w:tcBorders>
              <w:top w:val="single" w:sz="4" w:space="0" w:color="auto"/>
              <w:bottom w:val="single" w:sz="4" w:space="0" w:color="auto"/>
            </w:tcBorders>
            <w:noWrap/>
            <w:vAlign w:val="center"/>
          </w:tcPr>
          <w:p w14:paraId="1A11FFB5" w14:textId="77777777" w:rsidR="00F614B0" w:rsidRPr="00E1613F" w:rsidRDefault="00000000">
            <w:pPr>
              <w:snapToGrid w:val="0"/>
              <w:spacing w:line="360" w:lineRule="auto"/>
              <w:jc w:val="both"/>
              <w:rPr>
                <w:rFonts w:ascii="Book Antiqua" w:hAnsi="Book Antiqua"/>
                <w:b/>
                <w:i/>
                <w:iCs/>
                <w:color w:val="000000"/>
              </w:rPr>
            </w:pPr>
            <w:r w:rsidRPr="00E1613F">
              <w:rPr>
                <w:rFonts w:ascii="Book Antiqua" w:hAnsi="Book Antiqua"/>
                <w:b/>
                <w:bCs/>
                <w:color w:val="000000"/>
              </w:rPr>
              <w:t>P</w:t>
            </w:r>
            <w:r w:rsidRPr="00E1613F">
              <w:rPr>
                <w:rFonts w:ascii="Book Antiqua" w:hAnsi="Book Antiqua"/>
                <w:b/>
                <w:color w:val="000000"/>
              </w:rPr>
              <w:t xml:space="preserve">atients, </w:t>
            </w:r>
            <w:r w:rsidRPr="00E1613F">
              <w:rPr>
                <w:rFonts w:ascii="Book Antiqua" w:hAnsi="Book Antiqua"/>
                <w:b/>
                <w:i/>
                <w:iCs/>
                <w:color w:val="000000"/>
              </w:rPr>
              <w:t>n</w:t>
            </w:r>
          </w:p>
        </w:tc>
      </w:tr>
      <w:tr w:rsidR="00F614B0" w:rsidRPr="00E1613F" w14:paraId="3A65DB68" w14:textId="77777777">
        <w:trPr>
          <w:trHeight w:val="431"/>
        </w:trPr>
        <w:tc>
          <w:tcPr>
            <w:tcW w:w="5580" w:type="dxa"/>
            <w:tcBorders>
              <w:top w:val="single" w:sz="4" w:space="0" w:color="auto"/>
            </w:tcBorders>
          </w:tcPr>
          <w:p w14:paraId="65F59393" w14:textId="77777777" w:rsidR="00F614B0" w:rsidRPr="00E1613F" w:rsidRDefault="00000000">
            <w:pPr>
              <w:snapToGrid w:val="0"/>
              <w:spacing w:line="360" w:lineRule="auto"/>
              <w:jc w:val="both"/>
              <w:rPr>
                <w:rFonts w:ascii="Book Antiqua" w:hAnsi="Book Antiqua"/>
                <w:bCs/>
                <w:color w:val="000000"/>
              </w:rPr>
            </w:pPr>
            <w:r w:rsidRPr="00E1613F">
              <w:rPr>
                <w:rFonts w:ascii="Book Antiqua" w:hAnsi="Book Antiqua"/>
                <w:bCs/>
                <w:color w:val="000000"/>
              </w:rPr>
              <w:t xml:space="preserve">Sex: Female </w:t>
            </w:r>
            <w:r w:rsidRPr="00E1613F">
              <w:rPr>
                <w:rFonts w:ascii="Book Antiqua" w:hAnsi="Book Antiqua"/>
                <w:bCs/>
                <w:i/>
                <w:color w:val="000000"/>
              </w:rPr>
              <w:t>vs</w:t>
            </w:r>
            <w:r w:rsidRPr="00E1613F">
              <w:rPr>
                <w:rFonts w:ascii="Book Antiqua" w:hAnsi="Book Antiqua"/>
                <w:bCs/>
                <w:color w:val="000000"/>
              </w:rPr>
              <w:t xml:space="preserve"> male</w:t>
            </w:r>
          </w:p>
        </w:tc>
        <w:tc>
          <w:tcPr>
            <w:tcW w:w="2430" w:type="dxa"/>
            <w:tcBorders>
              <w:top w:val="single" w:sz="4" w:space="0" w:color="auto"/>
            </w:tcBorders>
            <w:noWrap/>
          </w:tcPr>
          <w:p w14:paraId="192B65B1"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0.92 (0.75-1.14)</w:t>
            </w:r>
          </w:p>
        </w:tc>
        <w:tc>
          <w:tcPr>
            <w:tcW w:w="1620" w:type="dxa"/>
            <w:tcBorders>
              <w:top w:val="single" w:sz="4" w:space="0" w:color="auto"/>
            </w:tcBorders>
            <w:noWrap/>
          </w:tcPr>
          <w:p w14:paraId="30E8F15F"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0.388</w:t>
            </w:r>
          </w:p>
        </w:tc>
        <w:tc>
          <w:tcPr>
            <w:tcW w:w="1800" w:type="dxa"/>
            <w:tcBorders>
              <w:top w:val="single" w:sz="4" w:space="0" w:color="auto"/>
            </w:tcBorders>
            <w:noWrap/>
          </w:tcPr>
          <w:p w14:paraId="73809A95"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7</w:t>
            </w:r>
          </w:p>
        </w:tc>
        <w:tc>
          <w:tcPr>
            <w:tcW w:w="1620" w:type="dxa"/>
            <w:tcBorders>
              <w:top w:val="single" w:sz="4" w:space="0" w:color="auto"/>
            </w:tcBorders>
            <w:noWrap/>
          </w:tcPr>
          <w:p w14:paraId="27B73480"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1866</w:t>
            </w:r>
          </w:p>
        </w:tc>
      </w:tr>
      <w:tr w:rsidR="00F614B0" w:rsidRPr="00E1613F" w14:paraId="27FB7A0A" w14:textId="77777777">
        <w:trPr>
          <w:trHeight w:val="563"/>
        </w:trPr>
        <w:tc>
          <w:tcPr>
            <w:tcW w:w="5580" w:type="dxa"/>
          </w:tcPr>
          <w:p w14:paraId="709EF481" w14:textId="77777777" w:rsidR="00F614B0" w:rsidRPr="00E1613F" w:rsidRDefault="00000000">
            <w:pPr>
              <w:snapToGrid w:val="0"/>
              <w:spacing w:line="360" w:lineRule="auto"/>
              <w:jc w:val="both"/>
              <w:rPr>
                <w:rFonts w:ascii="Book Antiqua" w:hAnsi="Book Antiqua"/>
                <w:bCs/>
                <w:color w:val="000000"/>
              </w:rPr>
            </w:pPr>
            <w:r w:rsidRPr="00E1613F">
              <w:rPr>
                <w:rFonts w:ascii="Book Antiqua" w:hAnsi="Book Antiqua"/>
                <w:bCs/>
                <w:color w:val="000000"/>
              </w:rPr>
              <w:t xml:space="preserve">Age: Elderly </w:t>
            </w:r>
            <w:r w:rsidRPr="00E1613F">
              <w:rPr>
                <w:rFonts w:ascii="Book Antiqua" w:hAnsi="Book Antiqua"/>
                <w:bCs/>
                <w:i/>
                <w:color w:val="000000"/>
              </w:rPr>
              <w:t>vs</w:t>
            </w:r>
            <w:r w:rsidRPr="00E1613F">
              <w:rPr>
                <w:rFonts w:ascii="Book Antiqua" w:hAnsi="Book Antiqua"/>
                <w:bCs/>
                <w:color w:val="000000"/>
              </w:rPr>
              <w:t xml:space="preserve"> non-elderly</w:t>
            </w:r>
          </w:p>
        </w:tc>
        <w:tc>
          <w:tcPr>
            <w:tcW w:w="2430" w:type="dxa"/>
            <w:noWrap/>
          </w:tcPr>
          <w:p w14:paraId="1D16DCE5"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1.07 (0.79-1.44)</w:t>
            </w:r>
          </w:p>
        </w:tc>
        <w:tc>
          <w:tcPr>
            <w:tcW w:w="1620" w:type="dxa"/>
            <w:noWrap/>
          </w:tcPr>
          <w:p w14:paraId="1125038D"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0.061</w:t>
            </w:r>
          </w:p>
        </w:tc>
        <w:tc>
          <w:tcPr>
            <w:tcW w:w="1800" w:type="dxa"/>
            <w:noWrap/>
          </w:tcPr>
          <w:p w14:paraId="54060134"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6</w:t>
            </w:r>
          </w:p>
        </w:tc>
        <w:tc>
          <w:tcPr>
            <w:tcW w:w="1620" w:type="dxa"/>
            <w:noWrap/>
          </w:tcPr>
          <w:p w14:paraId="0568FE96"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1771</w:t>
            </w:r>
          </w:p>
        </w:tc>
      </w:tr>
      <w:tr w:rsidR="00F614B0" w:rsidRPr="00E1613F" w14:paraId="3303A7FA" w14:textId="77777777">
        <w:trPr>
          <w:trHeight w:val="698"/>
        </w:trPr>
        <w:tc>
          <w:tcPr>
            <w:tcW w:w="5580" w:type="dxa"/>
          </w:tcPr>
          <w:p w14:paraId="7585984A" w14:textId="77777777" w:rsidR="00F614B0" w:rsidRPr="00E1613F" w:rsidRDefault="00000000">
            <w:pPr>
              <w:snapToGrid w:val="0"/>
              <w:spacing w:line="360" w:lineRule="auto"/>
              <w:jc w:val="both"/>
              <w:rPr>
                <w:rFonts w:ascii="Book Antiqua" w:hAnsi="Book Antiqua"/>
                <w:bCs/>
                <w:color w:val="000000"/>
              </w:rPr>
            </w:pPr>
            <w:r w:rsidRPr="00E1613F">
              <w:rPr>
                <w:rFonts w:ascii="Book Antiqua" w:hAnsi="Book Antiqua"/>
                <w:bCs/>
                <w:color w:val="000000"/>
              </w:rPr>
              <w:t xml:space="preserve">Tumor location: Top and middle </w:t>
            </w:r>
            <w:r w:rsidRPr="00E1613F">
              <w:rPr>
                <w:rFonts w:ascii="Book Antiqua" w:hAnsi="Book Antiqua"/>
                <w:bCs/>
                <w:i/>
                <w:color w:val="000000"/>
              </w:rPr>
              <w:t>vs</w:t>
            </w:r>
            <w:r w:rsidRPr="00E1613F">
              <w:rPr>
                <w:rFonts w:ascii="Book Antiqua" w:hAnsi="Book Antiqua"/>
                <w:bCs/>
                <w:color w:val="000000"/>
              </w:rPr>
              <w:t xml:space="preserve"> bottom</w:t>
            </w:r>
          </w:p>
        </w:tc>
        <w:tc>
          <w:tcPr>
            <w:tcW w:w="2430" w:type="dxa"/>
            <w:noWrap/>
          </w:tcPr>
          <w:p w14:paraId="213033BD"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1.07 (0.85-1.35)</w:t>
            </w:r>
          </w:p>
        </w:tc>
        <w:tc>
          <w:tcPr>
            <w:tcW w:w="1620" w:type="dxa"/>
            <w:noWrap/>
          </w:tcPr>
          <w:p w14:paraId="513D9FDE"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0.605</w:t>
            </w:r>
          </w:p>
        </w:tc>
        <w:tc>
          <w:tcPr>
            <w:tcW w:w="1800" w:type="dxa"/>
            <w:noWrap/>
          </w:tcPr>
          <w:p w14:paraId="442AE90E"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4</w:t>
            </w:r>
          </w:p>
        </w:tc>
        <w:tc>
          <w:tcPr>
            <w:tcW w:w="1620" w:type="dxa"/>
            <w:noWrap/>
          </w:tcPr>
          <w:p w14:paraId="3D3B9D05"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1311</w:t>
            </w:r>
          </w:p>
        </w:tc>
      </w:tr>
      <w:tr w:rsidR="00F614B0" w:rsidRPr="00E1613F" w14:paraId="1F5FB5B2" w14:textId="77777777">
        <w:trPr>
          <w:trHeight w:val="558"/>
        </w:trPr>
        <w:tc>
          <w:tcPr>
            <w:tcW w:w="5580" w:type="dxa"/>
          </w:tcPr>
          <w:p w14:paraId="2E4FEF86" w14:textId="77777777" w:rsidR="00F614B0" w:rsidRPr="00E1613F" w:rsidRDefault="00000000">
            <w:pPr>
              <w:snapToGrid w:val="0"/>
              <w:spacing w:line="360" w:lineRule="auto"/>
              <w:jc w:val="both"/>
              <w:rPr>
                <w:rFonts w:ascii="Book Antiqua" w:hAnsi="Book Antiqua"/>
                <w:bCs/>
                <w:color w:val="000000"/>
              </w:rPr>
            </w:pPr>
            <w:r w:rsidRPr="00E1613F">
              <w:rPr>
                <w:rFonts w:ascii="Book Antiqua" w:hAnsi="Book Antiqua" w:hint="eastAsia"/>
                <w:bCs/>
                <w:color w:val="000000"/>
              </w:rPr>
              <w:t xml:space="preserve">Tumor size: </w:t>
            </w:r>
            <w:r w:rsidRPr="00E1613F">
              <w:rPr>
                <w:rFonts w:ascii="Book Antiqua" w:hAnsi="Book Antiqua" w:hint="eastAsia"/>
                <w:bCs/>
                <w:color w:val="000000"/>
              </w:rPr>
              <w:sym w:font="Symbol" w:char="F0B3"/>
            </w:r>
            <w:r w:rsidRPr="00E1613F">
              <w:rPr>
                <w:rFonts w:ascii="Book Antiqua" w:hAnsi="Book Antiqua" w:hint="eastAsia"/>
                <w:bCs/>
                <w:color w:val="000000"/>
              </w:rPr>
              <w:t xml:space="preserve"> 4 </w:t>
            </w:r>
            <w:r w:rsidRPr="00E1613F">
              <w:rPr>
                <w:rFonts w:ascii="Book Antiqua" w:hAnsi="Book Antiqua"/>
                <w:bCs/>
                <w:i/>
                <w:color w:val="000000"/>
              </w:rPr>
              <w:t>vs</w:t>
            </w:r>
            <w:r w:rsidRPr="00E1613F">
              <w:rPr>
                <w:rFonts w:ascii="Book Antiqua" w:hAnsi="Book Antiqua"/>
                <w:bCs/>
                <w:color w:val="000000"/>
              </w:rPr>
              <w:t xml:space="preserve"> &lt; 4</w:t>
            </w:r>
          </w:p>
        </w:tc>
        <w:tc>
          <w:tcPr>
            <w:tcW w:w="2430" w:type="dxa"/>
            <w:noWrap/>
          </w:tcPr>
          <w:p w14:paraId="4BA4A904"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0.77 (0.53-1.12)</w:t>
            </w:r>
          </w:p>
        </w:tc>
        <w:tc>
          <w:tcPr>
            <w:tcW w:w="1620" w:type="dxa"/>
            <w:noWrap/>
          </w:tcPr>
          <w:p w14:paraId="06F4E748"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0.202</w:t>
            </w:r>
          </w:p>
        </w:tc>
        <w:tc>
          <w:tcPr>
            <w:tcW w:w="1800" w:type="dxa"/>
            <w:noWrap/>
          </w:tcPr>
          <w:p w14:paraId="7C596D0D"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4</w:t>
            </w:r>
          </w:p>
        </w:tc>
        <w:tc>
          <w:tcPr>
            <w:tcW w:w="1620" w:type="dxa"/>
            <w:noWrap/>
          </w:tcPr>
          <w:p w14:paraId="0DB978E6"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1192</w:t>
            </w:r>
          </w:p>
        </w:tc>
      </w:tr>
      <w:tr w:rsidR="00F614B0" w:rsidRPr="00E1613F" w14:paraId="295DF889" w14:textId="77777777">
        <w:trPr>
          <w:trHeight w:val="588"/>
        </w:trPr>
        <w:tc>
          <w:tcPr>
            <w:tcW w:w="5580" w:type="dxa"/>
          </w:tcPr>
          <w:p w14:paraId="35CA3299" w14:textId="77777777" w:rsidR="00F614B0" w:rsidRPr="00E1613F" w:rsidRDefault="00000000">
            <w:pPr>
              <w:snapToGrid w:val="0"/>
              <w:spacing w:line="360" w:lineRule="auto"/>
              <w:jc w:val="both"/>
              <w:rPr>
                <w:rFonts w:ascii="Book Antiqua" w:hAnsi="Book Antiqua"/>
                <w:bCs/>
                <w:color w:val="000000"/>
                <w:lang w:val="de-AT"/>
              </w:rPr>
            </w:pPr>
            <w:r w:rsidRPr="00E1613F">
              <w:rPr>
                <w:rFonts w:ascii="Book Antiqua" w:hAnsi="Book Antiqua"/>
                <w:bCs/>
                <w:color w:val="000000"/>
                <w:lang w:val="de-AT"/>
              </w:rPr>
              <w:t xml:space="preserve">T </w:t>
            </w:r>
            <w:proofErr w:type="spellStart"/>
            <w:r w:rsidRPr="00E1613F">
              <w:rPr>
                <w:rFonts w:ascii="Book Antiqua" w:hAnsi="Book Antiqua"/>
                <w:bCs/>
                <w:color w:val="000000"/>
                <w:lang w:val="de-AT"/>
              </w:rPr>
              <w:t>stage</w:t>
            </w:r>
            <w:proofErr w:type="spellEnd"/>
            <w:r w:rsidRPr="00E1613F">
              <w:rPr>
                <w:rFonts w:ascii="Book Antiqua" w:hAnsi="Book Antiqua"/>
                <w:bCs/>
                <w:color w:val="000000"/>
                <w:lang w:val="de-AT"/>
              </w:rPr>
              <w:t xml:space="preserve">: T1-2 </w:t>
            </w:r>
            <w:proofErr w:type="spellStart"/>
            <w:r w:rsidRPr="00E1613F">
              <w:rPr>
                <w:rFonts w:ascii="Book Antiqua" w:hAnsi="Book Antiqua"/>
                <w:bCs/>
                <w:i/>
                <w:color w:val="000000"/>
                <w:lang w:val="de-AT"/>
              </w:rPr>
              <w:t>vs</w:t>
            </w:r>
            <w:proofErr w:type="spellEnd"/>
            <w:r w:rsidRPr="00E1613F">
              <w:rPr>
                <w:rFonts w:ascii="Book Antiqua" w:hAnsi="Book Antiqua"/>
                <w:bCs/>
                <w:color w:val="000000"/>
                <w:lang w:val="de-AT"/>
              </w:rPr>
              <w:t xml:space="preserve"> T3-4</w:t>
            </w:r>
          </w:p>
        </w:tc>
        <w:tc>
          <w:tcPr>
            <w:tcW w:w="2430" w:type="dxa"/>
            <w:noWrap/>
          </w:tcPr>
          <w:p w14:paraId="2903F59E"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1.39 (1.06-1.83)</w:t>
            </w:r>
          </w:p>
        </w:tc>
        <w:tc>
          <w:tcPr>
            <w:tcW w:w="1620" w:type="dxa"/>
            <w:noWrap/>
          </w:tcPr>
          <w:p w14:paraId="17F286AB"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0.6</w:t>
            </w:r>
          </w:p>
        </w:tc>
        <w:tc>
          <w:tcPr>
            <w:tcW w:w="1800" w:type="dxa"/>
            <w:noWrap/>
          </w:tcPr>
          <w:p w14:paraId="4E25008C"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3</w:t>
            </w:r>
          </w:p>
        </w:tc>
        <w:tc>
          <w:tcPr>
            <w:tcW w:w="1620" w:type="dxa"/>
            <w:noWrap/>
          </w:tcPr>
          <w:p w14:paraId="7C92DE10"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865</w:t>
            </w:r>
          </w:p>
        </w:tc>
      </w:tr>
      <w:tr w:rsidR="00F614B0" w:rsidRPr="00E1613F" w14:paraId="552C8F62" w14:textId="77777777">
        <w:trPr>
          <w:trHeight w:val="704"/>
        </w:trPr>
        <w:tc>
          <w:tcPr>
            <w:tcW w:w="5580" w:type="dxa"/>
          </w:tcPr>
          <w:p w14:paraId="151468D4" w14:textId="77777777" w:rsidR="00F614B0" w:rsidRPr="00E1613F" w:rsidRDefault="00000000">
            <w:pPr>
              <w:snapToGrid w:val="0"/>
              <w:spacing w:line="360" w:lineRule="auto"/>
              <w:jc w:val="both"/>
              <w:rPr>
                <w:rFonts w:ascii="Book Antiqua" w:hAnsi="Book Antiqua"/>
                <w:bCs/>
                <w:color w:val="000000"/>
                <w:lang w:val="pt-PT"/>
              </w:rPr>
            </w:pPr>
            <w:r w:rsidRPr="00E1613F">
              <w:rPr>
                <w:rFonts w:ascii="Book Antiqua" w:hAnsi="Book Antiqua"/>
                <w:bCs/>
                <w:color w:val="000000"/>
                <w:lang w:val="pt-PT"/>
              </w:rPr>
              <w:t xml:space="preserve">N </w:t>
            </w:r>
            <w:proofErr w:type="spellStart"/>
            <w:r w:rsidRPr="00E1613F">
              <w:rPr>
                <w:rFonts w:ascii="Book Antiqua" w:hAnsi="Book Antiqua"/>
                <w:bCs/>
                <w:color w:val="000000"/>
                <w:lang w:val="pt-PT"/>
              </w:rPr>
              <w:t>stage</w:t>
            </w:r>
            <w:proofErr w:type="spellEnd"/>
            <w:r w:rsidRPr="00E1613F">
              <w:rPr>
                <w:rFonts w:ascii="Book Antiqua" w:hAnsi="Book Antiqua"/>
                <w:bCs/>
                <w:color w:val="000000"/>
                <w:lang w:val="pt-PT"/>
              </w:rPr>
              <w:t xml:space="preserve">: N0-1 </w:t>
            </w:r>
            <w:proofErr w:type="spellStart"/>
            <w:r w:rsidRPr="00E1613F">
              <w:rPr>
                <w:rFonts w:ascii="Book Antiqua" w:hAnsi="Book Antiqua"/>
                <w:bCs/>
                <w:i/>
                <w:color w:val="000000"/>
                <w:lang w:val="pt-PT"/>
              </w:rPr>
              <w:t>vs</w:t>
            </w:r>
            <w:proofErr w:type="spellEnd"/>
            <w:r w:rsidRPr="00E1613F">
              <w:rPr>
                <w:rFonts w:ascii="Book Antiqua" w:hAnsi="Book Antiqua"/>
                <w:bCs/>
                <w:color w:val="000000"/>
                <w:lang w:val="pt-PT"/>
              </w:rPr>
              <w:t xml:space="preserve"> N2-3</w:t>
            </w:r>
          </w:p>
        </w:tc>
        <w:tc>
          <w:tcPr>
            <w:tcW w:w="2430" w:type="dxa"/>
            <w:noWrap/>
          </w:tcPr>
          <w:p w14:paraId="4B064450"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1.5 (1.11-2.01)</w:t>
            </w:r>
          </w:p>
        </w:tc>
        <w:tc>
          <w:tcPr>
            <w:tcW w:w="1620" w:type="dxa"/>
            <w:noWrap/>
          </w:tcPr>
          <w:p w14:paraId="4A778CD9"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0.803</w:t>
            </w:r>
          </w:p>
        </w:tc>
        <w:tc>
          <w:tcPr>
            <w:tcW w:w="1800" w:type="dxa"/>
            <w:noWrap/>
          </w:tcPr>
          <w:p w14:paraId="67634E3A"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3</w:t>
            </w:r>
          </w:p>
        </w:tc>
        <w:tc>
          <w:tcPr>
            <w:tcW w:w="1620" w:type="dxa"/>
            <w:noWrap/>
          </w:tcPr>
          <w:p w14:paraId="67BCE866"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865</w:t>
            </w:r>
          </w:p>
        </w:tc>
      </w:tr>
      <w:tr w:rsidR="00F614B0" w:rsidRPr="00E1613F" w14:paraId="40E88C20" w14:textId="77777777">
        <w:trPr>
          <w:trHeight w:val="557"/>
        </w:trPr>
        <w:tc>
          <w:tcPr>
            <w:tcW w:w="5580" w:type="dxa"/>
          </w:tcPr>
          <w:p w14:paraId="298585E2" w14:textId="77777777" w:rsidR="00F614B0" w:rsidRPr="00E1613F" w:rsidRDefault="00000000">
            <w:pPr>
              <w:snapToGrid w:val="0"/>
              <w:spacing w:line="360" w:lineRule="auto"/>
              <w:jc w:val="both"/>
              <w:rPr>
                <w:rFonts w:ascii="Book Antiqua" w:hAnsi="Book Antiqua"/>
                <w:bCs/>
                <w:color w:val="000000"/>
              </w:rPr>
            </w:pPr>
            <w:r w:rsidRPr="00E1613F">
              <w:rPr>
                <w:rFonts w:ascii="Book Antiqua" w:hAnsi="Book Antiqua"/>
                <w:bCs/>
                <w:color w:val="000000"/>
              </w:rPr>
              <w:t xml:space="preserve">TNM Stage: III/IV </w:t>
            </w:r>
            <w:r w:rsidRPr="00E1613F">
              <w:rPr>
                <w:rFonts w:ascii="Book Antiqua" w:hAnsi="Book Antiqua"/>
                <w:bCs/>
                <w:i/>
                <w:color w:val="000000"/>
              </w:rPr>
              <w:t>vs</w:t>
            </w:r>
            <w:r w:rsidRPr="00E1613F">
              <w:rPr>
                <w:rFonts w:ascii="Book Antiqua" w:hAnsi="Book Antiqua"/>
                <w:bCs/>
                <w:color w:val="000000"/>
              </w:rPr>
              <w:t xml:space="preserve"> I/II</w:t>
            </w:r>
          </w:p>
        </w:tc>
        <w:tc>
          <w:tcPr>
            <w:tcW w:w="2430" w:type="dxa"/>
            <w:noWrap/>
          </w:tcPr>
          <w:p w14:paraId="026DFC6F"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1.21 (0.63-2.33)</w:t>
            </w:r>
          </w:p>
        </w:tc>
        <w:tc>
          <w:tcPr>
            <w:tcW w:w="1620" w:type="dxa"/>
            <w:noWrap/>
          </w:tcPr>
          <w:p w14:paraId="5079CCD2"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 xml:space="preserve"> &lt; 0.001</w:t>
            </w:r>
          </w:p>
        </w:tc>
        <w:tc>
          <w:tcPr>
            <w:tcW w:w="1800" w:type="dxa"/>
            <w:noWrap/>
          </w:tcPr>
          <w:p w14:paraId="6BB36B5B"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7</w:t>
            </w:r>
          </w:p>
        </w:tc>
        <w:tc>
          <w:tcPr>
            <w:tcW w:w="1620" w:type="dxa"/>
            <w:noWrap/>
          </w:tcPr>
          <w:p w14:paraId="5D2A7572"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1866</w:t>
            </w:r>
          </w:p>
        </w:tc>
      </w:tr>
      <w:tr w:rsidR="00F614B0" w:rsidRPr="00E1613F" w14:paraId="55A7080D" w14:textId="77777777">
        <w:trPr>
          <w:trHeight w:val="707"/>
        </w:trPr>
        <w:tc>
          <w:tcPr>
            <w:tcW w:w="5580" w:type="dxa"/>
          </w:tcPr>
          <w:p w14:paraId="34548F2D" w14:textId="77777777" w:rsidR="00F614B0" w:rsidRPr="00E1613F" w:rsidRDefault="00000000">
            <w:pPr>
              <w:snapToGrid w:val="0"/>
              <w:spacing w:line="360" w:lineRule="auto"/>
              <w:jc w:val="both"/>
              <w:rPr>
                <w:rFonts w:ascii="Book Antiqua" w:hAnsi="Book Antiqua"/>
                <w:bCs/>
                <w:color w:val="000000"/>
                <w:lang w:val="de-AT"/>
              </w:rPr>
            </w:pPr>
            <w:r w:rsidRPr="00E1613F">
              <w:rPr>
                <w:rFonts w:ascii="Book Antiqua" w:hAnsi="Book Antiqua"/>
                <w:bCs/>
                <w:color w:val="000000"/>
                <w:lang w:val="de-AT"/>
              </w:rPr>
              <w:t xml:space="preserve">Grade: G1 </w:t>
            </w:r>
            <w:proofErr w:type="spellStart"/>
            <w:r w:rsidRPr="00E1613F">
              <w:rPr>
                <w:rFonts w:ascii="Book Antiqua" w:hAnsi="Book Antiqua"/>
                <w:bCs/>
                <w:i/>
                <w:color w:val="000000"/>
                <w:lang w:val="de-AT"/>
              </w:rPr>
              <w:t>vs</w:t>
            </w:r>
            <w:proofErr w:type="spellEnd"/>
            <w:r w:rsidRPr="00E1613F">
              <w:rPr>
                <w:rFonts w:ascii="Book Antiqua" w:hAnsi="Book Antiqua"/>
                <w:bCs/>
                <w:color w:val="000000"/>
                <w:lang w:val="de-AT"/>
              </w:rPr>
              <w:t xml:space="preserve"> G2 + G3</w:t>
            </w:r>
          </w:p>
        </w:tc>
        <w:tc>
          <w:tcPr>
            <w:tcW w:w="2430" w:type="dxa"/>
            <w:noWrap/>
          </w:tcPr>
          <w:p w14:paraId="2B058C3D"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0.7 (0.40-1.22)</w:t>
            </w:r>
          </w:p>
        </w:tc>
        <w:tc>
          <w:tcPr>
            <w:tcW w:w="1620" w:type="dxa"/>
            <w:noWrap/>
          </w:tcPr>
          <w:p w14:paraId="0EE1C04D"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0.427</w:t>
            </w:r>
          </w:p>
        </w:tc>
        <w:tc>
          <w:tcPr>
            <w:tcW w:w="1800" w:type="dxa"/>
            <w:noWrap/>
          </w:tcPr>
          <w:p w14:paraId="059B1009"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3</w:t>
            </w:r>
          </w:p>
        </w:tc>
        <w:tc>
          <w:tcPr>
            <w:tcW w:w="1620" w:type="dxa"/>
            <w:noWrap/>
          </w:tcPr>
          <w:p w14:paraId="28C2D661" w14:textId="77777777" w:rsidR="00F614B0" w:rsidRPr="00E1613F" w:rsidRDefault="00000000">
            <w:pPr>
              <w:snapToGrid w:val="0"/>
              <w:spacing w:line="360" w:lineRule="auto"/>
              <w:jc w:val="both"/>
              <w:rPr>
                <w:rFonts w:ascii="Book Antiqua" w:hAnsi="Book Antiqua"/>
                <w:color w:val="000000"/>
              </w:rPr>
            </w:pPr>
            <w:r w:rsidRPr="00E1613F">
              <w:rPr>
                <w:rFonts w:ascii="Book Antiqua" w:hAnsi="Book Antiqua"/>
                <w:color w:val="000000"/>
              </w:rPr>
              <w:t>323</w:t>
            </w:r>
          </w:p>
        </w:tc>
      </w:tr>
    </w:tbl>
    <w:p w14:paraId="03ECB923" w14:textId="19472FA1" w:rsidR="00E1613F" w:rsidRPr="00E1613F" w:rsidRDefault="00000000">
      <w:pPr>
        <w:adjustRightInd w:val="0"/>
        <w:snapToGrid w:val="0"/>
        <w:spacing w:line="360" w:lineRule="auto"/>
        <w:jc w:val="both"/>
        <w:rPr>
          <w:rFonts w:ascii="Book Antiqua" w:hAnsi="Book Antiqua"/>
          <w:color w:val="000000" w:themeColor="text1"/>
        </w:rPr>
      </w:pPr>
      <w:r w:rsidRPr="00E1613F">
        <w:rPr>
          <w:rFonts w:ascii="Book Antiqua" w:hAnsi="Book Antiqua"/>
          <w:color w:val="000000" w:themeColor="text1"/>
        </w:rPr>
        <w:t>CI: Confidence interval; OR: Odds ratio; TNM: Tumor-node-metastasis.</w:t>
      </w:r>
    </w:p>
    <w:p w14:paraId="5AFB059C" w14:textId="77777777" w:rsidR="00E1613F" w:rsidRPr="00E1613F" w:rsidRDefault="00E1613F">
      <w:pPr>
        <w:rPr>
          <w:rFonts w:ascii="Book Antiqua" w:hAnsi="Book Antiqua"/>
          <w:color w:val="000000" w:themeColor="text1"/>
        </w:rPr>
      </w:pPr>
      <w:r w:rsidRPr="00E1613F">
        <w:rPr>
          <w:rFonts w:ascii="Book Antiqua" w:hAnsi="Book Antiqua"/>
          <w:color w:val="000000" w:themeColor="text1"/>
        </w:rPr>
        <w:br w:type="page"/>
      </w:r>
    </w:p>
    <w:p w14:paraId="6B130E81" w14:textId="77777777" w:rsidR="00E1613F" w:rsidRPr="00E1613F" w:rsidRDefault="00E1613F" w:rsidP="00E1613F">
      <w:pPr>
        <w:snapToGrid w:val="0"/>
        <w:ind w:leftChars="100" w:left="240"/>
        <w:jc w:val="center"/>
        <w:rPr>
          <w:rFonts w:ascii="Book Antiqua" w:hAnsi="Book Antiqua"/>
        </w:rPr>
      </w:pPr>
    </w:p>
    <w:p w14:paraId="55206D16" w14:textId="77777777" w:rsidR="00E1613F" w:rsidRPr="00E1613F" w:rsidRDefault="00E1613F" w:rsidP="00E1613F">
      <w:pPr>
        <w:snapToGrid w:val="0"/>
        <w:ind w:leftChars="100" w:left="240"/>
        <w:jc w:val="center"/>
        <w:rPr>
          <w:rFonts w:ascii="Book Antiqua" w:hAnsi="Book Antiqua"/>
        </w:rPr>
      </w:pPr>
    </w:p>
    <w:p w14:paraId="5805D95B" w14:textId="77777777" w:rsidR="00E1613F" w:rsidRPr="00E1613F" w:rsidRDefault="00E1613F" w:rsidP="00E1613F">
      <w:pPr>
        <w:snapToGrid w:val="0"/>
        <w:ind w:leftChars="100" w:left="240"/>
        <w:jc w:val="center"/>
        <w:rPr>
          <w:rFonts w:ascii="Book Antiqua" w:hAnsi="Book Antiqua"/>
        </w:rPr>
      </w:pPr>
    </w:p>
    <w:p w14:paraId="73705544" w14:textId="77777777" w:rsidR="00E1613F" w:rsidRPr="00E1613F" w:rsidRDefault="00E1613F" w:rsidP="00E1613F">
      <w:pPr>
        <w:snapToGrid w:val="0"/>
        <w:ind w:leftChars="100" w:left="240"/>
        <w:jc w:val="center"/>
        <w:rPr>
          <w:rFonts w:ascii="Book Antiqua" w:hAnsi="Book Antiqua"/>
        </w:rPr>
      </w:pPr>
    </w:p>
    <w:p w14:paraId="37841068" w14:textId="77777777" w:rsidR="00E1613F" w:rsidRPr="00E1613F" w:rsidRDefault="00E1613F" w:rsidP="00E1613F">
      <w:pPr>
        <w:snapToGrid w:val="0"/>
        <w:ind w:leftChars="100" w:left="240"/>
        <w:jc w:val="center"/>
        <w:rPr>
          <w:rFonts w:ascii="Book Antiqua" w:hAnsi="Book Antiqua"/>
        </w:rPr>
      </w:pPr>
      <w:r w:rsidRPr="00E1613F">
        <w:rPr>
          <w:rFonts w:ascii="Book Antiqua" w:hAnsi="Book Antiqua"/>
          <w:noProof/>
        </w:rPr>
        <w:drawing>
          <wp:inline distT="0" distB="0" distL="0" distR="0" wp14:anchorId="63766CB1" wp14:editId="5134AE9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76459D" w14:textId="77777777" w:rsidR="00E1613F" w:rsidRPr="00E1613F" w:rsidRDefault="00E1613F" w:rsidP="00E1613F">
      <w:pPr>
        <w:snapToGrid w:val="0"/>
        <w:ind w:leftChars="100" w:left="240"/>
        <w:jc w:val="center"/>
        <w:rPr>
          <w:rFonts w:ascii="Book Antiqua" w:hAnsi="Book Antiqua"/>
        </w:rPr>
      </w:pPr>
    </w:p>
    <w:p w14:paraId="34597E17" w14:textId="77777777" w:rsidR="00E1613F" w:rsidRPr="00E1613F" w:rsidRDefault="00E1613F" w:rsidP="00E1613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E1613F">
        <w:rPr>
          <w:rFonts w:ascii="Book Antiqua" w:eastAsia="TimesNewRomanPSMT" w:hAnsi="Book Antiqua" w:cs="TimesNewRomanPSMT"/>
          <w:color w:val="000000"/>
          <w:sz w:val="28"/>
          <w:szCs w:val="28"/>
        </w:rPr>
        <w:t xml:space="preserve">Published by </w:t>
      </w:r>
      <w:proofErr w:type="spellStart"/>
      <w:r w:rsidRPr="00E1613F">
        <w:rPr>
          <w:rFonts w:ascii="Book Antiqua" w:eastAsia="Garamond-Bold" w:hAnsi="Book Antiqua" w:cs="Garamond-Bold"/>
          <w:b/>
          <w:bCs/>
          <w:color w:val="000000"/>
          <w:sz w:val="28"/>
          <w:szCs w:val="28"/>
        </w:rPr>
        <w:t>Baishideng</w:t>
      </w:r>
      <w:proofErr w:type="spellEnd"/>
      <w:r w:rsidRPr="00E1613F">
        <w:rPr>
          <w:rFonts w:ascii="Book Antiqua" w:eastAsia="Garamond-Bold" w:hAnsi="Book Antiqua" w:cs="Garamond-Bold"/>
          <w:b/>
          <w:bCs/>
          <w:color w:val="000000"/>
          <w:sz w:val="28"/>
          <w:szCs w:val="28"/>
        </w:rPr>
        <w:t xml:space="preserve"> Publishing Group Inc</w:t>
      </w:r>
    </w:p>
    <w:p w14:paraId="6846FAF7" w14:textId="77777777" w:rsidR="00E1613F" w:rsidRPr="00E1613F" w:rsidRDefault="00E1613F" w:rsidP="00E1613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E1613F">
        <w:rPr>
          <w:rFonts w:ascii="Book Antiqua" w:eastAsia="TimesNewRomanPSMT" w:hAnsi="Book Antiqua" w:cs="Garamond"/>
          <w:color w:val="000000"/>
          <w:sz w:val="28"/>
          <w:szCs w:val="28"/>
        </w:rPr>
        <w:t>7041 Koll Center Parkway, Suite 160, Pleasanton, CA 94566, USA</w:t>
      </w:r>
    </w:p>
    <w:p w14:paraId="0616C1EE" w14:textId="77777777" w:rsidR="00E1613F" w:rsidRPr="00E1613F" w:rsidRDefault="00E1613F" w:rsidP="00E1613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E1613F">
        <w:rPr>
          <w:rFonts w:ascii="Book Antiqua" w:eastAsia="Garamond-Bold" w:hAnsi="Book Antiqua" w:cs="Garamond-Bold"/>
          <w:b/>
          <w:bCs/>
          <w:color w:val="000000"/>
          <w:sz w:val="28"/>
          <w:szCs w:val="28"/>
        </w:rPr>
        <w:t xml:space="preserve">Telephone: </w:t>
      </w:r>
      <w:r w:rsidRPr="00E1613F">
        <w:rPr>
          <w:rFonts w:ascii="Book Antiqua" w:eastAsia="TimesNewRomanPSMT" w:hAnsi="Book Antiqua" w:cs="Garamond"/>
          <w:color w:val="000000"/>
          <w:sz w:val="28"/>
          <w:szCs w:val="28"/>
        </w:rPr>
        <w:t>+1-925-3991568</w:t>
      </w:r>
    </w:p>
    <w:p w14:paraId="321A8607" w14:textId="77777777" w:rsidR="00E1613F" w:rsidRPr="00E1613F" w:rsidRDefault="00E1613F" w:rsidP="00E1613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E1613F">
        <w:rPr>
          <w:rFonts w:ascii="Book Antiqua" w:eastAsia="Garamond-Bold" w:hAnsi="Book Antiqua" w:cs="Garamond-Bold"/>
          <w:b/>
          <w:bCs/>
          <w:color w:val="000000"/>
          <w:sz w:val="28"/>
          <w:szCs w:val="28"/>
        </w:rPr>
        <w:t xml:space="preserve">E-mail: </w:t>
      </w:r>
      <w:r w:rsidRPr="00E1613F">
        <w:rPr>
          <w:rFonts w:ascii="Book Antiqua" w:eastAsia="TimesNewRomanPSMT" w:hAnsi="Book Antiqua" w:cs="Garamond"/>
          <w:color w:val="D56400"/>
          <w:sz w:val="28"/>
          <w:szCs w:val="28"/>
        </w:rPr>
        <w:t>bpgoffice@wjgnet.com</w:t>
      </w:r>
    </w:p>
    <w:p w14:paraId="3E9487B8" w14:textId="77777777" w:rsidR="00E1613F" w:rsidRPr="00E1613F" w:rsidRDefault="00E1613F" w:rsidP="00E1613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E1613F">
        <w:rPr>
          <w:rFonts w:ascii="Book Antiqua" w:eastAsia="Garamond-Bold" w:hAnsi="Book Antiqua" w:cs="Garamond-Bold"/>
          <w:b/>
          <w:bCs/>
          <w:color w:val="000000"/>
          <w:sz w:val="28"/>
          <w:szCs w:val="28"/>
        </w:rPr>
        <w:t xml:space="preserve">Help Desk: </w:t>
      </w:r>
      <w:proofErr w:type="gramStart"/>
      <w:r w:rsidRPr="00E1613F">
        <w:rPr>
          <w:rFonts w:ascii="Book Antiqua" w:eastAsia="TimesNewRomanPSMT" w:hAnsi="Book Antiqua" w:cs="Garamond"/>
          <w:color w:val="D56400"/>
          <w:sz w:val="28"/>
          <w:szCs w:val="28"/>
        </w:rPr>
        <w:t>https://www.f6publishing.com/helpdesk</w:t>
      </w:r>
      <w:proofErr w:type="gramEnd"/>
    </w:p>
    <w:p w14:paraId="63277B21" w14:textId="77777777" w:rsidR="00E1613F" w:rsidRPr="00E1613F" w:rsidRDefault="00E1613F" w:rsidP="00E1613F">
      <w:pPr>
        <w:snapToGrid w:val="0"/>
        <w:ind w:leftChars="100" w:left="240"/>
        <w:jc w:val="center"/>
        <w:rPr>
          <w:rFonts w:ascii="Book Antiqua" w:hAnsi="Book Antiqua"/>
        </w:rPr>
      </w:pPr>
      <w:r w:rsidRPr="00E1613F">
        <w:rPr>
          <w:rFonts w:ascii="Book Antiqua" w:eastAsia="TimesNewRomanPSMT" w:hAnsi="Book Antiqua" w:cs="Garamond"/>
          <w:color w:val="D56400"/>
          <w:sz w:val="28"/>
          <w:szCs w:val="28"/>
        </w:rPr>
        <w:t>https://www.wjgnet.com</w:t>
      </w:r>
    </w:p>
    <w:p w14:paraId="7CAB804B" w14:textId="77777777" w:rsidR="00E1613F" w:rsidRPr="00E1613F" w:rsidRDefault="00E1613F" w:rsidP="00E1613F">
      <w:pPr>
        <w:snapToGrid w:val="0"/>
        <w:ind w:leftChars="100" w:left="240"/>
        <w:jc w:val="center"/>
        <w:rPr>
          <w:rFonts w:ascii="Book Antiqua" w:hAnsi="Book Antiqua"/>
        </w:rPr>
      </w:pPr>
    </w:p>
    <w:p w14:paraId="5A65BF3F" w14:textId="77777777" w:rsidR="00E1613F" w:rsidRPr="00E1613F" w:rsidRDefault="00E1613F" w:rsidP="00E1613F">
      <w:pPr>
        <w:snapToGrid w:val="0"/>
        <w:ind w:leftChars="100" w:left="240"/>
        <w:jc w:val="center"/>
        <w:rPr>
          <w:rFonts w:ascii="Book Antiqua" w:hAnsi="Book Antiqua"/>
        </w:rPr>
      </w:pPr>
    </w:p>
    <w:p w14:paraId="0C66B36C" w14:textId="77777777" w:rsidR="00E1613F" w:rsidRPr="00E1613F" w:rsidRDefault="00E1613F" w:rsidP="00E1613F">
      <w:pPr>
        <w:snapToGrid w:val="0"/>
        <w:ind w:leftChars="100" w:left="240"/>
        <w:jc w:val="center"/>
        <w:rPr>
          <w:rFonts w:ascii="Book Antiqua" w:hAnsi="Book Antiqua"/>
        </w:rPr>
      </w:pPr>
    </w:p>
    <w:p w14:paraId="5AFE0069" w14:textId="77777777" w:rsidR="00E1613F" w:rsidRPr="00E1613F" w:rsidRDefault="00E1613F" w:rsidP="00E1613F">
      <w:pPr>
        <w:snapToGrid w:val="0"/>
        <w:ind w:leftChars="100" w:left="240"/>
        <w:jc w:val="center"/>
        <w:rPr>
          <w:rFonts w:ascii="Book Antiqua" w:hAnsi="Book Antiqua"/>
        </w:rPr>
      </w:pPr>
      <w:r w:rsidRPr="00E1613F">
        <w:rPr>
          <w:rFonts w:ascii="Book Antiqua" w:hAnsi="Book Antiqua"/>
          <w:noProof/>
        </w:rPr>
        <w:drawing>
          <wp:inline distT="0" distB="0" distL="0" distR="0" wp14:anchorId="6D1A02EF" wp14:editId="19EF7A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62B59A" w14:textId="77777777" w:rsidR="00E1613F" w:rsidRPr="00E1613F" w:rsidRDefault="00E1613F" w:rsidP="00E1613F">
      <w:pPr>
        <w:snapToGrid w:val="0"/>
        <w:ind w:leftChars="100" w:left="240"/>
        <w:jc w:val="center"/>
        <w:rPr>
          <w:rFonts w:ascii="Book Antiqua" w:hAnsi="Book Antiqua"/>
        </w:rPr>
      </w:pPr>
    </w:p>
    <w:p w14:paraId="2EDDBFA5" w14:textId="77777777" w:rsidR="00E1613F" w:rsidRPr="00E1613F" w:rsidRDefault="00E1613F" w:rsidP="00E1613F">
      <w:pPr>
        <w:snapToGrid w:val="0"/>
        <w:ind w:leftChars="100" w:left="240"/>
        <w:jc w:val="center"/>
        <w:rPr>
          <w:rFonts w:ascii="Book Antiqua" w:hAnsi="Book Antiqua"/>
        </w:rPr>
      </w:pPr>
    </w:p>
    <w:p w14:paraId="0C0DE999" w14:textId="77777777" w:rsidR="00E1613F" w:rsidRPr="00E1613F" w:rsidRDefault="00E1613F" w:rsidP="00E1613F">
      <w:pPr>
        <w:snapToGrid w:val="0"/>
        <w:ind w:leftChars="100" w:left="240"/>
        <w:jc w:val="center"/>
        <w:rPr>
          <w:rFonts w:ascii="Book Antiqua" w:hAnsi="Book Antiqua"/>
        </w:rPr>
      </w:pPr>
    </w:p>
    <w:p w14:paraId="0CC73F18" w14:textId="77777777" w:rsidR="00E1613F" w:rsidRPr="00E1613F" w:rsidRDefault="00E1613F" w:rsidP="00E1613F">
      <w:pPr>
        <w:snapToGrid w:val="0"/>
        <w:ind w:leftChars="100" w:left="240"/>
        <w:jc w:val="center"/>
        <w:rPr>
          <w:rFonts w:ascii="Book Antiqua" w:hAnsi="Book Antiqua"/>
        </w:rPr>
      </w:pPr>
    </w:p>
    <w:p w14:paraId="52CC2B26" w14:textId="77777777" w:rsidR="00E1613F" w:rsidRPr="00E1613F" w:rsidRDefault="00E1613F" w:rsidP="00E1613F">
      <w:pPr>
        <w:snapToGrid w:val="0"/>
        <w:ind w:leftChars="100" w:left="240"/>
        <w:jc w:val="center"/>
        <w:rPr>
          <w:rFonts w:ascii="Book Antiqua" w:hAnsi="Book Antiqua"/>
        </w:rPr>
      </w:pPr>
    </w:p>
    <w:p w14:paraId="7DA029D1" w14:textId="77777777" w:rsidR="00E1613F" w:rsidRPr="00E1613F" w:rsidRDefault="00E1613F" w:rsidP="00E1613F">
      <w:pPr>
        <w:snapToGrid w:val="0"/>
        <w:ind w:leftChars="100" w:left="240"/>
        <w:jc w:val="center"/>
        <w:rPr>
          <w:rFonts w:ascii="Book Antiqua" w:hAnsi="Book Antiqua"/>
        </w:rPr>
      </w:pPr>
    </w:p>
    <w:p w14:paraId="04712F0A" w14:textId="77777777" w:rsidR="00E1613F" w:rsidRPr="00E1613F" w:rsidRDefault="00E1613F" w:rsidP="00E1613F">
      <w:pPr>
        <w:snapToGrid w:val="0"/>
        <w:ind w:leftChars="100" w:left="240"/>
        <w:jc w:val="center"/>
        <w:rPr>
          <w:rFonts w:ascii="Book Antiqua" w:hAnsi="Book Antiqua"/>
        </w:rPr>
      </w:pPr>
    </w:p>
    <w:p w14:paraId="05264CB5" w14:textId="77777777" w:rsidR="00E1613F" w:rsidRPr="00E1613F" w:rsidRDefault="00E1613F" w:rsidP="00E1613F">
      <w:pPr>
        <w:snapToGrid w:val="0"/>
        <w:ind w:leftChars="100" w:left="240"/>
        <w:jc w:val="center"/>
        <w:rPr>
          <w:rFonts w:ascii="Book Antiqua" w:hAnsi="Book Antiqua"/>
        </w:rPr>
      </w:pPr>
    </w:p>
    <w:p w14:paraId="29596677" w14:textId="77777777" w:rsidR="00E1613F" w:rsidRPr="00E1613F" w:rsidRDefault="00E1613F" w:rsidP="00E1613F">
      <w:pPr>
        <w:snapToGrid w:val="0"/>
        <w:ind w:leftChars="100" w:left="240"/>
        <w:jc w:val="center"/>
        <w:rPr>
          <w:rFonts w:ascii="Book Antiqua" w:hAnsi="Book Antiqua"/>
        </w:rPr>
      </w:pPr>
    </w:p>
    <w:p w14:paraId="65BCAB3C" w14:textId="77777777" w:rsidR="00E1613F" w:rsidRPr="00E1613F" w:rsidRDefault="00E1613F" w:rsidP="00E1613F">
      <w:pPr>
        <w:snapToGrid w:val="0"/>
        <w:ind w:leftChars="100" w:left="240"/>
        <w:jc w:val="right"/>
        <w:rPr>
          <w:rFonts w:ascii="Book Antiqua" w:hAnsi="Book Antiqua"/>
          <w:color w:val="000000" w:themeColor="text1"/>
        </w:rPr>
      </w:pPr>
    </w:p>
    <w:p w14:paraId="12020BFE" w14:textId="77777777" w:rsidR="00E1613F" w:rsidRDefault="00E1613F" w:rsidP="00E1613F">
      <w:pPr>
        <w:snapToGrid w:val="0"/>
        <w:jc w:val="center"/>
        <w:rPr>
          <w:rFonts w:ascii="Book Antiqua" w:hAnsi="Book Antiqua"/>
          <w:shd w:val="clear" w:color="auto" w:fill="FFFFFF"/>
        </w:rPr>
      </w:pPr>
      <w:r w:rsidRPr="00E1613F">
        <w:rPr>
          <w:rFonts w:ascii="Book Antiqua" w:eastAsia="BookAntiqua-Bold" w:hAnsi="Book Antiqua" w:cs="BookAntiqua-Bold"/>
          <w:b/>
          <w:bCs/>
          <w:color w:val="000000" w:themeColor="text1"/>
        </w:rPr>
        <w:t>© 202</w:t>
      </w:r>
      <w:r w:rsidRPr="00E1613F">
        <w:rPr>
          <w:rFonts w:ascii="Book Antiqua" w:hAnsi="Book Antiqua" w:cs="BookAntiqua-Bold"/>
          <w:b/>
          <w:bCs/>
          <w:color w:val="000000" w:themeColor="text1"/>
        </w:rPr>
        <w:t>3</w:t>
      </w:r>
      <w:r w:rsidRPr="00E1613F">
        <w:rPr>
          <w:rFonts w:ascii="Book Antiqua" w:eastAsia="BookAntiqua-Bold" w:hAnsi="Book Antiqua" w:cs="BookAntiqua-Bold"/>
          <w:b/>
          <w:bCs/>
          <w:color w:val="000000" w:themeColor="text1"/>
        </w:rPr>
        <w:t xml:space="preserve"> </w:t>
      </w:r>
      <w:proofErr w:type="spellStart"/>
      <w:r w:rsidRPr="00E1613F">
        <w:rPr>
          <w:rFonts w:ascii="Book Antiqua" w:eastAsia="BookAntiqua-Bold" w:hAnsi="Book Antiqua" w:cs="BookAntiqua-Bold"/>
          <w:b/>
          <w:bCs/>
          <w:color w:val="000000" w:themeColor="text1"/>
        </w:rPr>
        <w:t>Baishideng</w:t>
      </w:r>
      <w:proofErr w:type="spellEnd"/>
      <w:r w:rsidRPr="00E1613F">
        <w:rPr>
          <w:rFonts w:ascii="Book Antiqua" w:eastAsia="BookAntiqua-Bold" w:hAnsi="Book Antiqua" w:cs="BookAntiqua-Bold"/>
          <w:b/>
          <w:bCs/>
          <w:color w:val="000000" w:themeColor="text1"/>
        </w:rPr>
        <w:t xml:space="preserve"> Publishing Group Inc. All rights reserved.</w:t>
      </w:r>
    </w:p>
    <w:p w14:paraId="7392D807" w14:textId="77777777" w:rsidR="00E1613F" w:rsidRDefault="00E1613F" w:rsidP="00E1613F">
      <w:pPr>
        <w:rPr>
          <w:rFonts w:ascii="Book Antiqua" w:hAnsi="Book Antiqua" w:cs="Book Antiqua"/>
          <w:b/>
          <w:bCs/>
          <w:color w:val="000000"/>
        </w:rPr>
      </w:pPr>
    </w:p>
    <w:p w14:paraId="616921EB" w14:textId="77777777" w:rsidR="00F614B0" w:rsidRDefault="00F614B0">
      <w:pPr>
        <w:adjustRightInd w:val="0"/>
        <w:snapToGrid w:val="0"/>
        <w:spacing w:line="360" w:lineRule="auto"/>
        <w:jc w:val="both"/>
        <w:rPr>
          <w:rFonts w:ascii="Book Antiqua" w:hAnsi="Book Antiqua"/>
          <w:color w:val="000000" w:themeColor="text1"/>
        </w:rPr>
      </w:pPr>
    </w:p>
    <w:sectPr w:rsidR="00F614B0" w:rsidSect="00E161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ABDDC" w14:textId="77777777" w:rsidR="003E59E8" w:rsidRDefault="003E59E8">
      <w:r>
        <w:separator/>
      </w:r>
    </w:p>
  </w:endnote>
  <w:endnote w:type="continuationSeparator" w:id="0">
    <w:p w14:paraId="14560FD7" w14:textId="77777777" w:rsidR="003E59E8" w:rsidRDefault="003E5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682559275"/>
    </w:sdtPr>
    <w:sdtContent>
      <w:sdt>
        <w:sdtPr>
          <w:rPr>
            <w:rFonts w:ascii="Book Antiqua" w:hAnsi="Book Antiqua"/>
            <w:sz w:val="24"/>
            <w:szCs w:val="24"/>
          </w:rPr>
          <w:id w:val="-1769616900"/>
        </w:sdtPr>
        <w:sdtContent>
          <w:p w14:paraId="4EA189DC" w14:textId="77777777" w:rsidR="00F614B0"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632A500" w14:textId="77777777" w:rsidR="00F614B0" w:rsidRDefault="00F614B0">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19539" w14:textId="77777777" w:rsidR="003E59E8" w:rsidRDefault="003E59E8">
      <w:r>
        <w:separator/>
      </w:r>
    </w:p>
  </w:footnote>
  <w:footnote w:type="continuationSeparator" w:id="0">
    <w:p w14:paraId="183044F6" w14:textId="77777777" w:rsidR="003E59E8" w:rsidRDefault="003E59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RhMTI4YzFiZmRhMWU2NTBlZWFmYTgwNzk4YWJmMTMifQ=="/>
  </w:docVars>
  <w:rsids>
    <w:rsidRoot w:val="00A77B3E"/>
    <w:rsid w:val="0001582D"/>
    <w:rsid w:val="00020B86"/>
    <w:rsid w:val="00056157"/>
    <w:rsid w:val="00080D64"/>
    <w:rsid w:val="00083A78"/>
    <w:rsid w:val="000921D8"/>
    <w:rsid w:val="000A4EAB"/>
    <w:rsid w:val="00100DA5"/>
    <w:rsid w:val="00104853"/>
    <w:rsid w:val="00106E12"/>
    <w:rsid w:val="00111648"/>
    <w:rsid w:val="001249B7"/>
    <w:rsid w:val="00130839"/>
    <w:rsid w:val="0015574E"/>
    <w:rsid w:val="00173850"/>
    <w:rsid w:val="00183227"/>
    <w:rsid w:val="001B1076"/>
    <w:rsid w:val="001B4DA8"/>
    <w:rsid w:val="001C51EA"/>
    <w:rsid w:val="001D3DC6"/>
    <w:rsid w:val="00201B9C"/>
    <w:rsid w:val="0022054F"/>
    <w:rsid w:val="00224107"/>
    <w:rsid w:val="0023730F"/>
    <w:rsid w:val="0024264F"/>
    <w:rsid w:val="0026216A"/>
    <w:rsid w:val="00272263"/>
    <w:rsid w:val="00276D3C"/>
    <w:rsid w:val="00285118"/>
    <w:rsid w:val="00295235"/>
    <w:rsid w:val="002B557F"/>
    <w:rsid w:val="002C089E"/>
    <w:rsid w:val="002E2B7F"/>
    <w:rsid w:val="00300031"/>
    <w:rsid w:val="00311498"/>
    <w:rsid w:val="00334727"/>
    <w:rsid w:val="003622BC"/>
    <w:rsid w:val="00364372"/>
    <w:rsid w:val="003A41EE"/>
    <w:rsid w:val="003A42D7"/>
    <w:rsid w:val="003E59E8"/>
    <w:rsid w:val="00412B33"/>
    <w:rsid w:val="00414195"/>
    <w:rsid w:val="00415CE4"/>
    <w:rsid w:val="00431F48"/>
    <w:rsid w:val="004367D6"/>
    <w:rsid w:val="00442CA5"/>
    <w:rsid w:val="004827C3"/>
    <w:rsid w:val="00520816"/>
    <w:rsid w:val="0052740A"/>
    <w:rsid w:val="0052791F"/>
    <w:rsid w:val="00544BFC"/>
    <w:rsid w:val="00570F68"/>
    <w:rsid w:val="0057494A"/>
    <w:rsid w:val="0058175F"/>
    <w:rsid w:val="0059004E"/>
    <w:rsid w:val="005B2DFF"/>
    <w:rsid w:val="005C602E"/>
    <w:rsid w:val="005D6A0D"/>
    <w:rsid w:val="005E1CAB"/>
    <w:rsid w:val="005F1E70"/>
    <w:rsid w:val="00601E66"/>
    <w:rsid w:val="00612705"/>
    <w:rsid w:val="00661FDE"/>
    <w:rsid w:val="0066769B"/>
    <w:rsid w:val="00691418"/>
    <w:rsid w:val="006932A3"/>
    <w:rsid w:val="00696274"/>
    <w:rsid w:val="0069677A"/>
    <w:rsid w:val="006B19BF"/>
    <w:rsid w:val="006C2A21"/>
    <w:rsid w:val="006F39B1"/>
    <w:rsid w:val="00715C6B"/>
    <w:rsid w:val="007220A5"/>
    <w:rsid w:val="00747200"/>
    <w:rsid w:val="00760298"/>
    <w:rsid w:val="0079375A"/>
    <w:rsid w:val="007A4CDF"/>
    <w:rsid w:val="007A5CF6"/>
    <w:rsid w:val="007C3B0F"/>
    <w:rsid w:val="007D77DD"/>
    <w:rsid w:val="007E046B"/>
    <w:rsid w:val="007E238C"/>
    <w:rsid w:val="007E51DF"/>
    <w:rsid w:val="007E6C80"/>
    <w:rsid w:val="007F74A6"/>
    <w:rsid w:val="0082016C"/>
    <w:rsid w:val="00877E2E"/>
    <w:rsid w:val="00886649"/>
    <w:rsid w:val="008C052E"/>
    <w:rsid w:val="0091661F"/>
    <w:rsid w:val="00925C0C"/>
    <w:rsid w:val="00945E51"/>
    <w:rsid w:val="00950AAF"/>
    <w:rsid w:val="00966710"/>
    <w:rsid w:val="009747DB"/>
    <w:rsid w:val="00993D8D"/>
    <w:rsid w:val="009E5490"/>
    <w:rsid w:val="009F527B"/>
    <w:rsid w:val="00A15E85"/>
    <w:rsid w:val="00A263DC"/>
    <w:rsid w:val="00A27D36"/>
    <w:rsid w:val="00A32F33"/>
    <w:rsid w:val="00A778D2"/>
    <w:rsid w:val="00A77B3E"/>
    <w:rsid w:val="00A82A11"/>
    <w:rsid w:val="00A83F34"/>
    <w:rsid w:val="00A8608C"/>
    <w:rsid w:val="00A93723"/>
    <w:rsid w:val="00AA4643"/>
    <w:rsid w:val="00AB3E70"/>
    <w:rsid w:val="00AE3C44"/>
    <w:rsid w:val="00AF3061"/>
    <w:rsid w:val="00AF3873"/>
    <w:rsid w:val="00AF3AE5"/>
    <w:rsid w:val="00AF49DC"/>
    <w:rsid w:val="00B051C7"/>
    <w:rsid w:val="00B15D56"/>
    <w:rsid w:val="00B16DC7"/>
    <w:rsid w:val="00B274DD"/>
    <w:rsid w:val="00B36948"/>
    <w:rsid w:val="00BB30A0"/>
    <w:rsid w:val="00BC0B14"/>
    <w:rsid w:val="00BD6448"/>
    <w:rsid w:val="00BE38BF"/>
    <w:rsid w:val="00C02D1F"/>
    <w:rsid w:val="00C22977"/>
    <w:rsid w:val="00C561E0"/>
    <w:rsid w:val="00C90C08"/>
    <w:rsid w:val="00CA11FF"/>
    <w:rsid w:val="00CA2A55"/>
    <w:rsid w:val="00CB324F"/>
    <w:rsid w:val="00CE7032"/>
    <w:rsid w:val="00CF7CE3"/>
    <w:rsid w:val="00D121F1"/>
    <w:rsid w:val="00D40F70"/>
    <w:rsid w:val="00D741B0"/>
    <w:rsid w:val="00DC05DB"/>
    <w:rsid w:val="00DD24E4"/>
    <w:rsid w:val="00DE0303"/>
    <w:rsid w:val="00DE1875"/>
    <w:rsid w:val="00DF47BF"/>
    <w:rsid w:val="00E1613F"/>
    <w:rsid w:val="00E262B9"/>
    <w:rsid w:val="00E83541"/>
    <w:rsid w:val="00E86EBF"/>
    <w:rsid w:val="00EA5C04"/>
    <w:rsid w:val="00ED4F54"/>
    <w:rsid w:val="00F061FD"/>
    <w:rsid w:val="00F10278"/>
    <w:rsid w:val="00F2705B"/>
    <w:rsid w:val="00F37F50"/>
    <w:rsid w:val="00F46BE7"/>
    <w:rsid w:val="00F614B0"/>
    <w:rsid w:val="00F6457C"/>
    <w:rsid w:val="00F762E4"/>
    <w:rsid w:val="00F81A61"/>
    <w:rsid w:val="00F83FA8"/>
    <w:rsid w:val="00F87663"/>
    <w:rsid w:val="00FD0B81"/>
    <w:rsid w:val="00FE1795"/>
    <w:rsid w:val="01276F32"/>
    <w:rsid w:val="04FA6940"/>
    <w:rsid w:val="05EF03F3"/>
    <w:rsid w:val="08EF6610"/>
    <w:rsid w:val="23EA7E14"/>
    <w:rsid w:val="24015121"/>
    <w:rsid w:val="24B959FC"/>
    <w:rsid w:val="29CE03E2"/>
    <w:rsid w:val="2CC43190"/>
    <w:rsid w:val="31E83DC4"/>
    <w:rsid w:val="33823753"/>
    <w:rsid w:val="33D87354"/>
    <w:rsid w:val="3422536C"/>
    <w:rsid w:val="38652EFD"/>
    <w:rsid w:val="400D3374"/>
    <w:rsid w:val="446F57B3"/>
    <w:rsid w:val="486F44A0"/>
    <w:rsid w:val="4CAD5597"/>
    <w:rsid w:val="4D2B3854"/>
    <w:rsid w:val="51376C36"/>
    <w:rsid w:val="550E3519"/>
    <w:rsid w:val="56997B00"/>
    <w:rsid w:val="56CD7382"/>
    <w:rsid w:val="603F1282"/>
    <w:rsid w:val="60F72618"/>
    <w:rsid w:val="652D23B5"/>
    <w:rsid w:val="690D143F"/>
    <w:rsid w:val="7D0805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78C90E1"/>
  <w15:docId w15:val="{1F58F7E6-FDE6-2044-9DA8-D89128F1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uiPriority w:val="99"/>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customStyle="1" w:styleId="2">
    <w:name w:val="修订2"/>
    <w:hidden/>
    <w:uiPriority w:val="99"/>
    <w:unhideWhenUsed/>
    <w:qFormat/>
    <w:rPr>
      <w:sz w:val="24"/>
      <w:szCs w:val="24"/>
      <w:lang w:eastAsia="en-US"/>
    </w:rPr>
  </w:style>
  <w:style w:type="paragraph" w:customStyle="1" w:styleId="Revision1">
    <w:name w:val="Revision1"/>
    <w:hidden/>
    <w:uiPriority w:val="99"/>
    <w:unhideWhenUsed/>
    <w:qFormat/>
    <w:rPr>
      <w:sz w:val="24"/>
      <w:szCs w:val="24"/>
      <w:lang w:eastAsia="en-US"/>
    </w:rPr>
  </w:style>
  <w:style w:type="paragraph" w:customStyle="1" w:styleId="3">
    <w:name w:val="修订3"/>
    <w:hidden/>
    <w:uiPriority w:val="99"/>
    <w:unhideWhenUsed/>
    <w:qFormat/>
    <w:rPr>
      <w:sz w:val="24"/>
      <w:szCs w:val="24"/>
      <w:lang w:eastAsia="en-US"/>
    </w:rPr>
  </w:style>
  <w:style w:type="paragraph" w:styleId="ac">
    <w:name w:val="Revision"/>
    <w:hidden/>
    <w:uiPriority w:val="99"/>
    <w:unhideWhenUsed/>
    <w:rsid w:val="00AF49D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33</Pages>
  <Words>7186</Words>
  <Characters>40962</Characters>
  <Application>Microsoft Office Word</Application>
  <DocSecurity>0</DocSecurity>
  <Lines>341</Lines>
  <Paragraphs>96</Paragraphs>
  <ScaleCrop>false</ScaleCrop>
  <Company/>
  <LinksUpToDate>false</LinksUpToDate>
  <CharactersWithSpaces>48052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M18955</cp:lastModifiedBy>
  <cp:revision>7</cp:revision>
  <dcterms:created xsi:type="dcterms:W3CDTF">2023-10-23T21:11:00Z</dcterms:created>
  <dcterms:modified xsi:type="dcterms:W3CDTF">2023-12-11T06:16:00Z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DA81A72569DF48269C4EEDEC075255E7_12</vt:lpwstr>
  </property>
</Properties>
</file>