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87451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Acute myocardial infarction after initially diagnosed with unprovoked venous thromboembolism: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Seo J </w:t>
      </w:r>
      <w:r>
        <w:rPr>
          <w:rFonts w:ascii="Book Antiqua" w:hAnsi="Book Antiqua" w:eastAsia="Book Antiqua" w:cs="Book Antiqua"/>
          <w:i/>
          <w:iCs/>
          <w:color w:val="000000"/>
        </w:rPr>
        <w:t>et al</w:t>
      </w:r>
      <w:r>
        <w:rPr>
          <w:rFonts w:ascii="Book Antiqua" w:hAnsi="Book Antiqua" w:eastAsia="Book Antiqua" w:cs="Book Antiqua"/>
          <w:color w:val="000000"/>
        </w:rPr>
        <w:t>. AMI after unprovoked VTE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Jeongduk Seo, Joonpyo Lee, Yong Hoon Shin, Albert Youngwoo Jang, Soon Yong Suh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Jeongduk Seo, Joonpyo Lee, Yong Hoon Shin, Albert Youngwoo Jang, Soon Yong Suh, </w:t>
      </w:r>
      <w:bookmarkStart w:id="0" w:name="OLE_LINK2"/>
      <w:bookmarkStart w:id="1" w:name="OLE_LINK1"/>
      <w:r>
        <w:rPr>
          <w:rFonts w:ascii="Book Antiqua" w:hAnsi="Book Antiqua" w:eastAsia="Book Antiqua" w:cs="Book Antiqua"/>
          <w:bCs/>
          <w:color w:val="000000"/>
        </w:rPr>
        <w:t xml:space="preserve">Department of </w:t>
      </w:r>
      <w:bookmarkEnd w:id="0"/>
      <w:bookmarkEnd w:id="1"/>
      <w:r>
        <w:rPr>
          <w:rFonts w:ascii="Book Antiqua" w:hAnsi="Book Antiqua" w:eastAsia="Book Antiqua" w:cs="Book Antiqua"/>
          <w:color w:val="000000"/>
        </w:rPr>
        <w:t>Cardiology, Gachon University Gil medical center, Incheon 405-760,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Seo J, Jang Y, and Suh SY contributed to conceptualization, design and methodology, and visualization; Seo J, Lee J, Shin YH, Jang Y, and Suh SY were responsible for validation; Seo J, Jang Y, and Suh SY participated in the original draft preparation; Seo J, Jang Y, and Suh SY reviewed and edited the manuscript; Suh SY contributed to the supervision and project administration. All authors issued their final approval for the version to be submitted.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Soon Yong Suh, MD, PhD, Associate Professor,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Cardiology, Gachon University Gil medical center, 1198 Guwol-dong, Namdong-gu, Incheon 405-760, South Korea. ssy@gilhospital.com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23, 2023</w:t>
      </w:r>
    </w:p>
    <w:p>
      <w:pPr>
        <w:spacing w:line="360" w:lineRule="auto"/>
        <w:jc w:val="both"/>
        <w:rPr>
          <w:rFonts w:ascii="Book Antiqua" w:hAnsi="Book Antiqua"/>
        </w:rPr>
      </w:pPr>
      <w:r>
        <w:rPr>
          <w:rFonts w:ascii="Book Antiqua" w:hAnsi="Book Antiqua" w:eastAsia="Book Antiqua" w:cs="Book Antiqua"/>
          <w:b/>
          <w:bCs/>
        </w:rPr>
        <w:t>Revised:</w:t>
      </w:r>
      <w:r>
        <w:rPr>
          <w:rFonts w:ascii="Book Antiqua" w:hAnsi="Book Antiqua" w:eastAsia="Book Antiqua" w:cs="Book Antiqua"/>
          <w:bCs/>
        </w:rPr>
        <w:t xml:space="preserve"> October 3, 2023</w:t>
      </w:r>
    </w:p>
    <w:p>
      <w:pPr>
        <w:spacing w:line="360" w:lineRule="auto"/>
        <w:jc w:val="both"/>
        <w:rPr>
          <w:rFonts w:ascii="Book Antiqua" w:hAnsi="Book Antiqua"/>
        </w:rPr>
      </w:pPr>
      <w:r>
        <w:rPr>
          <w:rFonts w:ascii="Book Antiqua" w:hAnsi="Book Antiqua" w:eastAsia="Book Antiqua" w:cs="Book Antiqua"/>
          <w:b/>
          <w:bCs/>
        </w:rPr>
        <w:t xml:space="preserve">Accepted: </w:t>
      </w:r>
      <w:bookmarkStart w:id="2" w:name="_Hlk148435617"/>
      <w:r>
        <w:rPr>
          <w:rFonts w:ascii="Book Antiqua" w:hAnsi="Book Antiqua" w:eastAsia="Book Antiqua" w:cs="Book Antiqua"/>
        </w:rPr>
        <w:t>October 16, 2023</w:t>
      </w:r>
      <w:bookmarkEnd w:id="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October 2</w:t>
      </w:r>
      <w:r>
        <w:rPr>
          <w:rFonts w:hint="eastAsia" w:ascii="Book Antiqua" w:hAnsi="Book Antiqua"/>
          <w:color w:val="000000"/>
          <w:shd w:val="clear" w:color="auto" w:fill="FFFFFF"/>
          <w:lang w:val="en-US" w:eastAsia="zh-CN"/>
        </w:rPr>
        <w:t>6</w:t>
      </w:r>
      <w:r>
        <w:rPr>
          <w:rFonts w:ascii="Book Antiqua" w:hAnsi="Book Antiqua"/>
          <w:color w:val="000000"/>
          <w:shd w:val="clear" w:color="auto" w:fill="FFFFFF"/>
        </w:rPr>
        <w:t>,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Protein C deficiency is typically associated with venous thromboembolism; however, arterial thrombosis has been reported in several cases. We report the case of a patient with pulmonary thromboembolism and deep vein thrombosis following acute myocardial infarction with high thrombus burden.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rPr>
        <w:t>A 40-year-old man was diagnosed with pulmonary thromboembolism and deep vein thrombosis without any provoking factors. The patient was treated with anticoagulants for six months, which were then discontinued. Three months after the discontinuation of anticoagulant therapy, the patient was hospitalized with chest pain and diagnosed with acute myocardial infarction with high thrombus burden. Additional tests revealed protein C deficiency associated with thrombophilia. The patient was treated with anticoagulants combined with dual antiplatelet agents for 1 year after percutaneous coronary intervention, and no recurrent events were reported during a follow-up period of 5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Recurrent thromboembolic events including acute myocardial infarction with thrombus should be considered an alarming sign of thrombophilia.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Venous thromboembolism; thrombophilia; Protein C deficiency; ST elevation myocardial infarction; Anticoagulation</w:t>
      </w:r>
      <w:r>
        <w:rPr>
          <w:rFonts w:hint="eastAsia" w:ascii="Book Antiqua" w:hAnsi="Book Antiqua" w:cs="Book Antiqua"/>
          <w:lang w:eastAsia="zh-CN"/>
        </w:rPr>
        <w:t>;</w:t>
      </w:r>
      <w:r>
        <w:rPr>
          <w:rFonts w:ascii="Book Antiqua" w:hAnsi="Book Antiqua" w:cs="Book Antiqua"/>
          <w:lang w:eastAsia="zh-CN"/>
        </w:rPr>
        <w:t xml:space="preserv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Seo J, Lee J, Shin YH, Jang AY, Suh SY. Acute myocardial infarction after initially diagnosed with unprovoked venous thromboembolism: A case report. </w:t>
      </w:r>
      <w:r>
        <w:rPr>
          <w:rFonts w:ascii="Book Antiqua" w:hAnsi="Book Antiqua" w:eastAsia="Book Antiqua" w:cs="Book Antiqua"/>
          <w:i/>
          <w:iCs/>
        </w:rPr>
        <w:t>World J Clin Cases</w:t>
      </w:r>
      <w:r>
        <w:rPr>
          <w:rFonts w:ascii="Book Antiqua" w:hAnsi="Book Antiqua" w:eastAsia="Book Antiqua" w:cs="Book Antiqua"/>
        </w:rPr>
        <w:t xml:space="preserve"> 2023; 11(30): </w:t>
      </w:r>
      <w:r>
        <w:rPr>
          <w:rStyle w:val="9"/>
          <w:rFonts w:hint="default" w:ascii="Book Antiqua" w:hAnsi="Book Antiqua" w:eastAsia="宋体" w:cs="Book Antiqua"/>
          <w:sz w:val="24"/>
          <w:szCs w:val="24"/>
          <w:lang w:val="en-US" w:eastAsia="zh-CN" w:bidi="ar"/>
        </w:rPr>
        <w:t>7497-7501</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https://www.wjgnet.com/2307-8960/full/v11/i30/</w:t>
      </w:r>
      <w:r>
        <w:rPr>
          <w:rStyle w:val="9"/>
          <w:rFonts w:hint="default" w:ascii="Book Antiqua" w:hAnsi="Book Antiqua" w:eastAsia="宋体" w:cs="Book Antiqua"/>
          <w:sz w:val="24"/>
          <w:szCs w:val="24"/>
          <w:lang w:val="en-US" w:eastAsia="zh-CN" w:bidi="ar"/>
        </w:rPr>
        <w:t>7497</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https://dx.doi.org/10.12998/wjcc.v11.i30.</w:t>
      </w:r>
      <w:r>
        <w:rPr>
          <w:rStyle w:val="9"/>
          <w:rFonts w:hint="default" w:ascii="Book Antiqua" w:hAnsi="Book Antiqua" w:eastAsia="宋体" w:cs="Book Antiqua"/>
          <w:sz w:val="24"/>
          <w:szCs w:val="24"/>
          <w:lang w:val="en-US" w:eastAsia="zh-CN" w:bidi="ar"/>
        </w:rPr>
        <w:t>7497</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 case report outlines a 40-year-old male patient who experienced a sequence of thromboembolic events, including pulmonary thromboembolism, deep vein thrombosis, and acute myocardial infarction, all accompanied by significant thrombus burdens.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Protein C (PC) is present in the blood and plays a role in preventing excessive blood clotting</w:t>
      </w:r>
      <w:r>
        <w:rPr>
          <w:rFonts w:ascii="Book Antiqua" w:hAnsi="Book Antiqua" w:eastAsia="Book Antiqua" w:cs="Book Antiqua"/>
          <w:color w:val="000000"/>
          <w:vertAlign w:val="superscript"/>
        </w:rPr>
        <w:t>[1]</w:t>
      </w:r>
      <w:r>
        <w:rPr>
          <w:rFonts w:ascii="Book Antiqua" w:hAnsi="Book Antiqua" w:eastAsia="Book Antiqua" w:cs="Book Antiqua"/>
          <w:color w:val="000000"/>
        </w:rPr>
        <w:t>. In the presence of PC deficiency, the thrombin production rate is not regulated and excessive coagulation occurs</w:t>
      </w:r>
      <w:r>
        <w:rPr>
          <w:rFonts w:ascii="Book Antiqua" w:hAnsi="Book Antiqua" w:eastAsia="Book Antiqua" w:cs="Book Antiqua"/>
          <w:color w:val="000000"/>
          <w:vertAlign w:val="superscript"/>
        </w:rPr>
        <w:t>[2]</w:t>
      </w:r>
      <w:r>
        <w:rPr>
          <w:rFonts w:ascii="Book Antiqua" w:hAnsi="Book Antiqua" w:eastAsia="Book Antiqua" w:cs="Book Antiqua"/>
          <w:color w:val="000000"/>
        </w:rPr>
        <w:t>. PC deficiency is typically associated with venous thromboembolism. Several cases of arterial thrombosis such as myocardial infarction (MI) or aortic mural thrombus have been reported</w:t>
      </w:r>
      <w:r>
        <w:rPr>
          <w:rFonts w:ascii="Book Antiqua" w:hAnsi="Book Antiqua" w:eastAsia="Book Antiqua" w:cs="Book Antiqua"/>
          <w:color w:val="000000"/>
          <w:vertAlign w:val="superscript"/>
        </w:rPr>
        <w:t>[3,4]</w:t>
      </w:r>
      <w:r>
        <w:rPr>
          <w:rFonts w:ascii="Book Antiqua" w:hAnsi="Book Antiqua" w:eastAsia="Book Antiqua" w:cs="Book Antiqua"/>
          <w:color w:val="000000"/>
        </w:rPr>
        <w:t>. However, recurrent thromboembolic events with combined arterial and venous flows have not been reported. Herein, we report the case of a man who had pulmonary thromboembolism (PTE), deep vein thrombosis (DVT), and acute MI with high thrombus burden in the right coronary artery (RCA).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 xml:space="preserve">A 40-year-old man presented with shortness of breath that started five days prior to hospital presentation.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patient had no previously diagnosed illness, and dyspnea suddenly developed while he was swimming.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had undergone laparoscopic cholecystectomy for cholecystitis caused by gallbladder stones 1 year previously. The patient was not taking any medication at the time of admission.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was a nonsmoker and social drinker who drank alcohol once per week.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The patient was 173 cm tall, and weighed 81 kg.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Initial arterial blood gas analysis revealed hypoxia, with a pH of 7.44, pCO</w:t>
      </w:r>
      <w:r>
        <w:rPr>
          <w:rFonts w:ascii="Book Antiqua" w:hAnsi="Book Antiqua" w:eastAsia="Book Antiqua" w:cs="Book Antiqua"/>
          <w:color w:val="000000"/>
          <w:vertAlign w:val="subscript"/>
        </w:rPr>
        <w:t xml:space="preserve">2 </w:t>
      </w:r>
      <w:r>
        <w:rPr>
          <w:rFonts w:ascii="Book Antiqua" w:hAnsi="Book Antiqua" w:eastAsia="Book Antiqua" w:cs="Book Antiqua"/>
          <w:color w:val="000000"/>
        </w:rPr>
        <w:t>of 38 mmHg, pO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of 63 mmHg, HCO</w:t>
      </w:r>
      <w:r>
        <w:rPr>
          <w:rFonts w:ascii="Book Antiqua" w:hAnsi="Book Antiqua" w:eastAsia="Book Antiqua" w:cs="Book Antiqua"/>
          <w:color w:val="000000"/>
          <w:vertAlign w:val="subscript"/>
        </w:rPr>
        <w:t>3</w:t>
      </w:r>
      <w:r>
        <w:rPr>
          <w:rFonts w:ascii="Book Antiqua" w:hAnsi="Book Antiqua" w:eastAsia="Book Antiqua" w:cs="Book Antiqua"/>
          <w:color w:val="000000"/>
        </w:rPr>
        <w:t xml:space="preserve"> of 26.1 mmol/L, and arterial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saturation of 93%.</w:t>
      </w:r>
    </w:p>
    <w:p>
      <w:pPr>
        <w:spacing w:line="360" w:lineRule="auto"/>
        <w:ind w:firstLine="480" w:firstLineChars="200"/>
        <w:jc w:val="both"/>
        <w:rPr>
          <w:rFonts w:ascii="Book Antiqua" w:hAnsi="Book Antiqua"/>
        </w:rPr>
      </w:pPr>
      <w:r>
        <w:rPr>
          <w:rFonts w:ascii="Book Antiqua" w:hAnsi="Book Antiqua" w:eastAsia="Book Antiqua" w:cs="Book Antiqua"/>
          <w:color w:val="000000"/>
        </w:rPr>
        <w:t>His complete blood count (hemoglobin 15.3 g/dL; hematocrit 44.9%) and troponin I levels (0.086 ng/mL) (normal range: 0–0.78 ng/mL) were within the normal range; however, his D-dimer level was elevated to 2.17 µg/mL ((normal range: 0–0.22 µg/mL).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 xml:space="preserve">The initial chest radiograph was normal. We then performed chest computed tomography (CT) of the pulmonary artery and suspected acute PTE. Chest CT revealed a large amount of contrast-filling defects in both the main and lobar segmental pulmonary arteries, which was suggestive of acute PTE (Figure 1). Transthoracic echocardiography showed no right ventricular dysfunction (tricuspid regurgitation peak velocity, 3.4 m/sec; mean pulmonary artery pressure calculated using Mahan’s equation, 42 mmHg; right ventricular systolic pressure, 51 mmHg; no inferior vena cava plethora; normal-sized cardiac chambers; and left ventricular ejection fraction, 64%).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Unprovoked venous thromboembolism.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After intravenous heparinization for the first 5 d, the treatment was converted to oral dabigatran 150 mg twice daily. The patient was discharged and followed up at the outpatient clinic.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There were no DVT findings on lower extremity Doppler ultrasonography performed 3 mo after treatment initiation. Follow-up chest CT pulmonary arteriography showed a reduced thrombus burden, although a minimal residual contrast-filling defect remained in the pulmonary artery of the right lower lobe. Dabigatran was maintained for an additional 3 mo. After a total of 6 mo of treatment, dabigatran was discontinued and substituted with aspirin. Three months after switching to aspirin, the patient visited the hospital with sudden chest pain that had started 5 h prior. Initial 12-lead electrocardiography revealed ST-segment elevation in the inferior leads and reciprocal changes in the anterior leads. As ST-segment elevation MI was suspected, emergent percutaneous coronary intervention (PCI) was performed. Coronary angiography (CAG) revealed 100% occlusion at the distal RCA without abnormal angiographic lesions in the left coronary artery (Additional file 1: Video 1). A 4.0 mm × 26 mm drug-eluting stent (Osiro</w:t>
      </w:r>
      <w:r>
        <w:rPr>
          <w:rFonts w:ascii="Book Antiqua" w:hAnsi="Book Antiqua" w:eastAsia="Book Antiqua" w:cs="Book Antiqua"/>
          <w:color w:val="000000"/>
          <w:vertAlign w:val="superscript"/>
        </w:rPr>
        <w:t>TM</w:t>
      </w:r>
      <w:r>
        <w:rPr>
          <w:rFonts w:ascii="Book Antiqua" w:hAnsi="Book Antiqua" w:eastAsia="Book Antiqua" w:cs="Book Antiqua"/>
          <w:color w:val="000000"/>
        </w:rPr>
        <w:t>; Biotronik AG, Bülach, Switzerland) was implanted in the distal RCA lesion after balloon expansion. We administered intracoronary abciximab (10.25 mg of ReoPro</w:t>
      </w:r>
      <w:r>
        <w:rPr>
          <w:rFonts w:ascii="Book Antiqua" w:hAnsi="Book Antiqua" w:eastAsia="Book Antiqua" w:cs="Book Antiqua"/>
          <w:color w:val="000000"/>
          <w:vertAlign w:val="superscript"/>
        </w:rPr>
        <w:t>®</w:t>
      </w:r>
      <w:r>
        <w:rPr>
          <w:rFonts w:ascii="Book Antiqua" w:hAnsi="Book Antiqua" w:eastAsia="Book Antiqua" w:cs="Book Antiqua"/>
          <w:color w:val="000000"/>
        </w:rPr>
        <w:t>) as there was residual thrombus in the RCA (Figure 2). The thrombus remained in the RCA even on follow-up CAG performed 3 days later (Additional file 2: Video 2). Dual antiplatelet therapy (100 mg of aspirin and 75 mg of clopidogrel daily) and low-molecular-weight heparin (7000 IU of fraxiparine daily) were administered to the patient for the following 7 d. Additional tests for suspected thrombophilia revealed that PC activity had decreased to 49% (reference interval, 70%–130%) and the PC antigen levels had decreased to 39.3% (reference interval, 72%–160%). Therefore, the patient was diagnosed with PC deficiency. Triple antithrombotic therapy (100 mg of aspirin, 75 mg of clopidogrel daily and warfarin) was administered for 1 year after PCI, followed by clopidogrel discontinuation. The patient’s condition remained uneventful for the following 5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Venous thromboembolism (VTE) can be classified into unprovoked or provoked, depending on whether a predisposing factor is present. If VTE has a specific cause, the recurrence risk is relatively low when the cause is addressed. However, in the case of unprovoked VTE, the recurrence risk increases after the discontinuation of anticoagulant therapy</w:t>
      </w:r>
      <w:r>
        <w:rPr>
          <w:rFonts w:ascii="Book Antiqua" w:hAnsi="Book Antiqua" w:eastAsia="Book Antiqua" w:cs="Book Antiqua"/>
          <w:color w:val="000000"/>
          <w:vertAlign w:val="superscript"/>
        </w:rPr>
        <w:t>[5]</w:t>
      </w:r>
      <w:r>
        <w:rPr>
          <w:rFonts w:ascii="Book Antiqua" w:hAnsi="Book Antiqua" w:eastAsia="Book Antiqua" w:cs="Book Antiqua"/>
          <w:color w:val="000000"/>
        </w:rPr>
        <w:t>. Therefore, both treatment and identification of cause are equally important when VTE is first diagnosed. Unfortunately, the patient in this report stopped taking direct oral anticoagulants for 6 mo without the cause of VTE being clearly identified at the time of initial diagnosis. Subsequently, the patient developed acute MI due to arterial thrombosis. Therefore, when diagnosing VTE, possible predisposing factors should be assessed, and in the case of unprovoked VTE, a more careful decision should be made before discontinuing anticoagulation therapy. Careful history-taking is required to confirm the predisposing factors for VTE. Predisposing factors for VTE are classified into weak, moderate, and strong risk factors, such as bed rest, obesity, cancer, thrombophilia, fracture, and major trauma</w:t>
      </w:r>
      <w:r>
        <w:rPr>
          <w:rFonts w:ascii="Book Antiqua" w:hAnsi="Book Antiqua" w:eastAsia="Book Antiqua" w:cs="Book Antiqua"/>
          <w:color w:val="000000"/>
          <w:vertAlign w:val="superscript"/>
        </w:rPr>
        <w:t>[6]</w:t>
      </w:r>
      <w:r>
        <w:rPr>
          <w:rFonts w:ascii="Book Antiqua" w:hAnsi="Book Antiqua" w:eastAsia="Book Antiqua" w:cs="Book Antiqua"/>
          <w:color w:val="000000"/>
        </w:rPr>
        <w:t>. Identifying the predisposing factors and performing additional tests are necessary for the diagnosis of VTE. The patient in our study was overweight, had a body mass index of 27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was swimming regularly when VTE was first diagnosed. Therefore, bed rest or obesity could not be considered predisposing factors for this patient, and the possibility of cancer was excluded from the tests performed during the initial hospitalization. Thrombophilia is a major cause of VTE; however, there are no clear guidelines regarding when thrombophilia testing should be performed. Patients with a first episode of VTE are not routinely recommended to undergo thrombophilia testing owing to its high cost. According to several studies, a positive thrombophilia test does not reduce the risk of VTE recurrence</w:t>
      </w:r>
      <w:r>
        <w:rPr>
          <w:rFonts w:ascii="Book Antiqua" w:hAnsi="Book Antiqua" w:eastAsia="Book Antiqua" w:cs="Book Antiqua"/>
          <w:color w:val="000000"/>
          <w:vertAlign w:val="superscript"/>
        </w:rPr>
        <w:t>[7-9]</w:t>
      </w:r>
      <w:r>
        <w:rPr>
          <w:rFonts w:ascii="Book Antiqua" w:hAnsi="Book Antiqua" w:eastAsia="Book Antiqua" w:cs="Book Antiqua"/>
          <w:color w:val="000000"/>
        </w:rPr>
        <w:t>. A thrombophilia test was not performed for this patient, and other predisposing factors were not identified during the initial VTE episode. Furthermore, thrombophilia was not considered before the discontinuation of anticoagulant therapy in this young nonsmoking patient with no other risk factors. PC deficiency is a heritable or acquired risk factor for thrombophilia and causes of VTE. PC deficiency can be diagnosed when PC activity and antigen assays are performed as laboratory tests and the values are lower than the standard values</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PC deficiency is rare, the risk of developing recurrent VTE is high. According to previous studies, the incidence of PC deficiency in healthy people is estimated to be 0.2%–0.5%, and that of clinically significant PC deficiency is known to be approximately 0.005%</w:t>
      </w:r>
      <w:r>
        <w:rPr>
          <w:rFonts w:ascii="Book Antiqua" w:hAnsi="Book Antiqua" w:eastAsia="Book Antiqua" w:cs="Book Antiqua"/>
          <w:color w:val="000000"/>
          <w:vertAlign w:val="superscript"/>
        </w:rPr>
        <w:t>[1]</w:t>
      </w:r>
      <w:r>
        <w:rPr>
          <w:rFonts w:ascii="Book Antiqua" w:hAnsi="Book Antiqua" w:eastAsia="Book Antiqua" w:cs="Book Antiqua"/>
          <w:color w:val="000000"/>
        </w:rPr>
        <w:t>. The annual incidence of recurrent VTE in patients with PC deficiency during a follow-up period of 4.6 years is approximately 6.0%</w:t>
      </w:r>
      <w:r>
        <w:rPr>
          <w:rFonts w:ascii="Book Antiqua" w:hAnsi="Book Antiqua" w:eastAsia="Book Antiqua" w:cs="Book Antiqua"/>
          <w:color w:val="000000"/>
          <w:vertAlign w:val="superscript"/>
        </w:rPr>
        <w:t>[10]</w:t>
      </w:r>
      <w:r>
        <w:rPr>
          <w:rFonts w:ascii="Book Antiqua" w:hAnsi="Book Antiqua" w:eastAsia="Book Antiqua" w:cs="Book Antiqua"/>
          <w:color w:val="000000"/>
        </w:rPr>
        <w:t>. Whether evaluation for PC deficiency should be performed at the time of the initial episode of VTE is controversial; however, the evaluation of thrombophilia, including PC deficiency, must be considered in patients with recurrent VTE. The development of acute MI in this patient was probably due to PC deficiency. According to Virchow’s triad (venous stasis, hypercoagulability, and endothelial injury), thrombi are more likely to occur in veins with slower blood flow than in arteries. If acute MI occurs due to an embolism from the venous side, there should be a right-to-left shunt, such as an atrial septal defect, patent foramen ovale, or ventricular septal defect. If an embolism originating from the left side of the heart causes MI, a left ventricular (LV) thrombus with a decreased LV ejection fraction or a thrombus in the left atrial appendage is possible. However, this patient had no structural defects or previously observed thrombi in the heart, as confirmed by transthoracic echocardiography, and had no history of atrial fibrillation, which could have caused the formation a thrombus in the atrial appendage. Therefore, acute MI in this patient was most likely caused by a thrombus originating from the coronary artery. A contrast-filling defect lesion was observed in the mid-RCA without angiographic stenosis or abrupt occlusion from the distal part on the initial coronary angiography. Diffuse thromboses were observed after passing the guidewire through the distal RCA lesion. MI that occurs without angiographic stenosis, such as that in the mid-RCA in this patient, is called MI with nonobstructive coronary arteries (MINOCA)</w:t>
      </w:r>
      <w:r>
        <w:rPr>
          <w:rFonts w:ascii="Book Antiqua" w:hAnsi="Book Antiqua" w:eastAsia="Book Antiqua" w:cs="Book Antiqua"/>
          <w:color w:val="000000"/>
          <w:vertAlign w:val="superscript"/>
        </w:rPr>
        <w:t>[11]</w:t>
      </w:r>
      <w:r>
        <w:rPr>
          <w:rFonts w:ascii="Book Antiqua" w:hAnsi="Book Antiqua" w:eastAsia="Book Antiqua" w:cs="Book Antiqua"/>
          <w:color w:val="000000"/>
        </w:rPr>
        <w:t>. Approximately 40% of patients diagnosed with MINOCA experience plaque rupture</w:t>
      </w:r>
      <w:r>
        <w:rPr>
          <w:rFonts w:ascii="Book Antiqua" w:hAnsi="Book Antiqua" w:eastAsia="Book Antiqua" w:cs="Book Antiqua"/>
          <w:color w:val="000000"/>
          <w:vertAlign w:val="superscript"/>
        </w:rPr>
        <w:t>[12]</w:t>
      </w:r>
      <w:r>
        <w:rPr>
          <w:rFonts w:ascii="Book Antiqua" w:hAnsi="Book Antiqua" w:eastAsia="Book Antiqua" w:cs="Book Antiqua"/>
          <w:color w:val="000000"/>
        </w:rPr>
        <w:t>. It can be considered that arterial thrombosis in this patient was caused by hypercoagulability due to PC deficiency, blood flow stasis and endothelial injury due to atherosclerosis. Previously published large cohort studies have concluded that atherosclerosis induces VTE or that the two diseases share the same risk factors, although the mechanism is unclear</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Recurrent thromboembolic events, including acute MI after unprovoked venous thromboembolism, should be considered an alarming sign of thrombophilia. In the present case, the patient was diagnosed with PC deficiency and required treatment to prevent atherosclerosis as well as anticoagulation therapy. In addition, thrombophilia, such as PC deficiency, should be considered the cause of MINOCA.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Goldenberg NA</w:t>
      </w:r>
      <w:r>
        <w:rPr>
          <w:rFonts w:ascii="Book Antiqua" w:hAnsi="Book Antiqua" w:eastAsia="Book Antiqua" w:cs="Book Antiqua"/>
        </w:rPr>
        <w:t xml:space="preserve">, Manco-Johnson MJ. Protein C deficiency. </w:t>
      </w:r>
      <w:r>
        <w:rPr>
          <w:rFonts w:ascii="Book Antiqua" w:hAnsi="Book Antiqua" w:eastAsia="Book Antiqua" w:cs="Book Antiqua"/>
          <w:i/>
          <w:iCs/>
        </w:rPr>
        <w:t>Haemophilia</w:t>
      </w:r>
      <w:r>
        <w:rPr>
          <w:rFonts w:ascii="Book Antiqua" w:hAnsi="Book Antiqua" w:eastAsia="Book Antiqua" w:cs="Book Antiqua"/>
        </w:rPr>
        <w:t xml:space="preserve"> 2008; </w:t>
      </w:r>
      <w:r>
        <w:rPr>
          <w:rFonts w:ascii="Book Antiqua" w:hAnsi="Book Antiqua" w:eastAsia="Book Antiqua" w:cs="Book Antiqua"/>
          <w:b/>
          <w:bCs/>
        </w:rPr>
        <w:t>14</w:t>
      </w:r>
      <w:r>
        <w:rPr>
          <w:rFonts w:ascii="Book Antiqua" w:hAnsi="Book Antiqua" w:eastAsia="Book Antiqua" w:cs="Book Antiqua"/>
        </w:rPr>
        <w:t>: 1214-1221 [PMID: 19141162 DOI: 10.1111/j.1365-2516.2008.01838.x]</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Dinarvand P</w:t>
      </w:r>
      <w:r>
        <w:rPr>
          <w:rFonts w:ascii="Book Antiqua" w:hAnsi="Book Antiqua" w:eastAsia="Book Antiqua" w:cs="Book Antiqua"/>
        </w:rPr>
        <w:t xml:space="preserve">, Moser KA. Protein C Deficiency. </w:t>
      </w:r>
      <w:r>
        <w:rPr>
          <w:rFonts w:ascii="Book Antiqua" w:hAnsi="Book Antiqua" w:eastAsia="Book Antiqua" w:cs="Book Antiqua"/>
          <w:i/>
          <w:iCs/>
        </w:rPr>
        <w:t>Arch Pathol Lab Med</w:t>
      </w:r>
      <w:r>
        <w:rPr>
          <w:rFonts w:ascii="Book Antiqua" w:hAnsi="Book Antiqua" w:eastAsia="Book Antiqua" w:cs="Book Antiqua"/>
        </w:rPr>
        <w:t xml:space="preserve"> 2019; </w:t>
      </w:r>
      <w:r>
        <w:rPr>
          <w:rFonts w:ascii="Book Antiqua" w:hAnsi="Book Antiqua" w:eastAsia="Book Antiqua" w:cs="Book Antiqua"/>
          <w:b/>
          <w:bCs/>
        </w:rPr>
        <w:t>143</w:t>
      </w:r>
      <w:r>
        <w:rPr>
          <w:rFonts w:ascii="Book Antiqua" w:hAnsi="Book Antiqua" w:eastAsia="Book Antiqua" w:cs="Book Antiqua"/>
        </w:rPr>
        <w:t>: 1281-1285 [PMID: 30702334 DOI: 10.5858/arpa.2017-0403-RS]</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Ueda K</w:t>
      </w:r>
      <w:r>
        <w:rPr>
          <w:rFonts w:ascii="Book Antiqua" w:hAnsi="Book Antiqua" w:eastAsia="Book Antiqua" w:cs="Book Antiqua"/>
        </w:rPr>
        <w:t xml:space="preserve">, Morishita E, Shiraki H, Matsuoka S, Imashuku S. Aortic Mural Thrombus Associated with Congenital Protein C Deficiency in an Elderly Patient. </w:t>
      </w:r>
      <w:r>
        <w:rPr>
          <w:rFonts w:ascii="Book Antiqua" w:hAnsi="Book Antiqua" w:eastAsia="Book Antiqua" w:cs="Book Antiqua"/>
          <w:i/>
          <w:iCs/>
        </w:rPr>
        <w:t>J Atheroscler Thromb</w:t>
      </w:r>
      <w:r>
        <w:rPr>
          <w:rFonts w:ascii="Book Antiqua" w:hAnsi="Book Antiqua" w:eastAsia="Book Antiqua" w:cs="Book Antiqua"/>
        </w:rPr>
        <w:t xml:space="preserve"> 2020; </w:t>
      </w:r>
      <w:r>
        <w:rPr>
          <w:rFonts w:ascii="Book Antiqua" w:hAnsi="Book Antiqua" w:eastAsia="Book Antiqua" w:cs="Book Antiqua"/>
          <w:b/>
          <w:bCs/>
        </w:rPr>
        <w:t>27</w:t>
      </w:r>
      <w:r>
        <w:rPr>
          <w:rFonts w:ascii="Book Antiqua" w:hAnsi="Book Antiqua" w:eastAsia="Book Antiqua" w:cs="Book Antiqua"/>
        </w:rPr>
        <w:t>: 100-103 [PMID: 31092765 DOI: 10.5551/jat.48819]</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Tiong IY</w:t>
      </w:r>
      <w:r>
        <w:rPr>
          <w:rFonts w:ascii="Book Antiqua" w:hAnsi="Book Antiqua" w:eastAsia="Book Antiqua" w:cs="Book Antiqua"/>
        </w:rPr>
        <w:t xml:space="preserve">, Alkotob ML, Ghaffari S. Protein C deficiency manifesting as an acute myocardial infarction and ischaemic stroke. </w:t>
      </w:r>
      <w:r>
        <w:rPr>
          <w:rFonts w:ascii="Book Antiqua" w:hAnsi="Book Antiqua" w:eastAsia="Book Antiqua" w:cs="Book Antiqua"/>
          <w:i/>
          <w:iCs/>
        </w:rPr>
        <w:t>Heart</w:t>
      </w:r>
      <w:r>
        <w:rPr>
          <w:rFonts w:ascii="Book Antiqua" w:hAnsi="Book Antiqua" w:eastAsia="Book Antiqua" w:cs="Book Antiqua"/>
        </w:rPr>
        <w:t xml:space="preserve"> 2003; </w:t>
      </w:r>
      <w:r>
        <w:rPr>
          <w:rFonts w:ascii="Book Antiqua" w:hAnsi="Book Antiqua" w:eastAsia="Book Antiqua" w:cs="Book Antiqua"/>
          <w:b/>
          <w:bCs/>
        </w:rPr>
        <w:t>89</w:t>
      </w:r>
      <w:r>
        <w:rPr>
          <w:rFonts w:ascii="Book Antiqua" w:hAnsi="Book Antiqua" w:eastAsia="Book Antiqua" w:cs="Book Antiqua"/>
        </w:rPr>
        <w:t>: E7 [PMID: 12527693 DOI: 10.1136/heart.89.2.e7]</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Eichinger S</w:t>
      </w:r>
      <w:r>
        <w:rPr>
          <w:rFonts w:ascii="Book Antiqua" w:hAnsi="Book Antiqua" w:eastAsia="Book Antiqua" w:cs="Book Antiqua"/>
        </w:rPr>
        <w:t xml:space="preserve">, Heinze G, Jandeck LM, Kyrle PA. Risk assessment of recurrence in patients with unprovoked deep vein thrombosis or pulmonary embolism: the Vienna prediction model. </w:t>
      </w:r>
      <w:r>
        <w:rPr>
          <w:rFonts w:ascii="Book Antiqua" w:hAnsi="Book Antiqua" w:eastAsia="Book Antiqua" w:cs="Book Antiqua"/>
          <w:i/>
          <w:iCs/>
        </w:rPr>
        <w:t>Circulation</w:t>
      </w:r>
      <w:r>
        <w:rPr>
          <w:rFonts w:ascii="Book Antiqua" w:hAnsi="Book Antiqua" w:eastAsia="Book Antiqua" w:cs="Book Antiqua"/>
        </w:rPr>
        <w:t xml:space="preserve"> 2010; </w:t>
      </w:r>
      <w:r>
        <w:rPr>
          <w:rFonts w:ascii="Book Antiqua" w:hAnsi="Book Antiqua" w:eastAsia="Book Antiqua" w:cs="Book Antiqua"/>
          <w:b/>
          <w:bCs/>
        </w:rPr>
        <w:t>121</w:t>
      </w:r>
      <w:r>
        <w:rPr>
          <w:rFonts w:ascii="Book Antiqua" w:hAnsi="Book Antiqua" w:eastAsia="Book Antiqua" w:cs="Book Antiqua"/>
        </w:rPr>
        <w:t>: 1630-1636 [PMID: 20351233 DOI: 10.1161/CIRCULATIONAHA.109.925214]</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Konstantinides SV</w:t>
      </w:r>
      <w:r>
        <w:rPr>
          <w:rFonts w:ascii="Book Antiqua" w:hAnsi="Book Antiqua" w:eastAsia="Book Antiqua" w:cs="Book Antiqua"/>
        </w:rPr>
        <w:t xml:space="preserve">, Meyer G, Becattini C, Bueno H, Geersing GJ, Harjola VP, Huisman MV, Humbert M, Jennings CS, Jiménez D, Kucher N, Lang IM, Lankeit M, Lorusso R, Mazzolai L, Meneveau N, Áinle FN, Prandoni P, Pruszczyk P, Righini M, Torbicki A, Van Belle E, Zamorano JL; The Task Force for the diagnosis and management of acute pulmonary embolism of the European Society of Cardiology (ESC). 2019 ESC Guidelines for the diagnosis and management of acute pulmonary embolism developed in collaboration with the European Respiratory Society (ERS): The Task Force for the diagnosis and management of acute pulmonary embolism of the European Society of Cardiology (ESC). </w:t>
      </w:r>
      <w:r>
        <w:rPr>
          <w:rFonts w:ascii="Book Antiqua" w:hAnsi="Book Antiqua" w:eastAsia="Book Antiqua" w:cs="Book Antiqua"/>
          <w:i/>
          <w:iCs/>
        </w:rPr>
        <w:t>Eur Respir J</w:t>
      </w:r>
      <w:r>
        <w:rPr>
          <w:rFonts w:ascii="Book Antiqua" w:hAnsi="Book Antiqua" w:eastAsia="Book Antiqua" w:cs="Book Antiqua"/>
        </w:rPr>
        <w:t xml:space="preserve"> 2019; </w:t>
      </w:r>
      <w:r>
        <w:rPr>
          <w:rFonts w:ascii="Book Antiqua" w:hAnsi="Book Antiqua" w:eastAsia="Book Antiqua" w:cs="Book Antiqua"/>
          <w:b/>
          <w:bCs/>
        </w:rPr>
        <w:t>54</w:t>
      </w:r>
      <w:r>
        <w:rPr>
          <w:rFonts w:ascii="Book Antiqua" w:hAnsi="Book Antiqua" w:eastAsia="Book Antiqua" w:cs="Book Antiqua"/>
        </w:rPr>
        <w:t xml:space="preserve"> [PMID: 31473594 DOI: 10.1183/13993003.01647-2019]</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Middeldorp S</w:t>
      </w:r>
      <w:r>
        <w:rPr>
          <w:rFonts w:ascii="Book Antiqua" w:hAnsi="Book Antiqua" w:eastAsia="Book Antiqua" w:cs="Book Antiqua"/>
        </w:rPr>
        <w:t xml:space="preserve">. Is thrombophilia testing useful? </w:t>
      </w:r>
      <w:r>
        <w:rPr>
          <w:rFonts w:ascii="Book Antiqua" w:hAnsi="Book Antiqua" w:eastAsia="Book Antiqua" w:cs="Book Antiqua"/>
          <w:i/>
          <w:iCs/>
        </w:rPr>
        <w:t>Hematology Am Soc Hematol Educ Program</w:t>
      </w:r>
      <w:r>
        <w:rPr>
          <w:rFonts w:ascii="Book Antiqua" w:hAnsi="Book Antiqua" w:eastAsia="Book Antiqua" w:cs="Book Antiqua"/>
        </w:rPr>
        <w:t xml:space="preserve"> 2011; </w:t>
      </w:r>
      <w:r>
        <w:rPr>
          <w:rFonts w:ascii="Book Antiqua" w:hAnsi="Book Antiqua" w:eastAsia="Book Antiqua" w:cs="Book Antiqua"/>
          <w:b/>
          <w:bCs/>
        </w:rPr>
        <w:t>2011</w:t>
      </w:r>
      <w:r>
        <w:rPr>
          <w:rFonts w:ascii="Book Antiqua" w:hAnsi="Book Antiqua" w:eastAsia="Book Antiqua" w:cs="Book Antiqua"/>
        </w:rPr>
        <w:t>: 150-155 [PMID: 22160027 DOI: 10.1182/asheducation-2011.1.150.]</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Connors JM</w:t>
      </w:r>
      <w:r>
        <w:rPr>
          <w:rFonts w:ascii="Book Antiqua" w:hAnsi="Book Antiqua" w:eastAsia="Book Antiqua" w:cs="Book Antiqua"/>
        </w:rPr>
        <w:t xml:space="preserve">. Thrombophilia Testing and Venous Thrombosis. </w:t>
      </w:r>
      <w:r>
        <w:rPr>
          <w:rFonts w:ascii="Book Antiqua" w:hAnsi="Book Antiqua" w:eastAsia="Book Antiqua" w:cs="Book Antiqua"/>
          <w:i/>
          <w:iCs/>
        </w:rPr>
        <w:t>N Engl J Med</w:t>
      </w:r>
      <w:r>
        <w:rPr>
          <w:rFonts w:ascii="Book Antiqua" w:hAnsi="Book Antiqua" w:eastAsia="Book Antiqua" w:cs="Book Antiqua"/>
        </w:rPr>
        <w:t xml:space="preserve"> 2017; </w:t>
      </w:r>
      <w:r>
        <w:rPr>
          <w:rFonts w:ascii="Book Antiqua" w:hAnsi="Book Antiqua" w:eastAsia="Book Antiqua" w:cs="Book Antiqua"/>
          <w:b/>
          <w:bCs/>
        </w:rPr>
        <w:t>377</w:t>
      </w:r>
      <w:r>
        <w:rPr>
          <w:rFonts w:ascii="Book Antiqua" w:hAnsi="Book Antiqua" w:eastAsia="Book Antiqua" w:cs="Book Antiqua"/>
        </w:rPr>
        <w:t>: 1177-1187 [PMID: 28930509 DOI: 10.1056/NEJMra1700365]</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Stern RM</w:t>
      </w:r>
      <w:r>
        <w:rPr>
          <w:rFonts w:ascii="Book Antiqua" w:hAnsi="Book Antiqua" w:eastAsia="Book Antiqua" w:cs="Book Antiqua"/>
        </w:rPr>
        <w:t xml:space="preserve">, Al-Samkari H, Connors JM. Thrombophilia evaluation in pulmonary embolism. </w:t>
      </w:r>
      <w:r>
        <w:rPr>
          <w:rFonts w:ascii="Book Antiqua" w:hAnsi="Book Antiqua" w:eastAsia="Book Antiqua" w:cs="Book Antiqua"/>
          <w:i/>
          <w:iCs/>
        </w:rPr>
        <w:t>Curr Opin Cardiol</w:t>
      </w:r>
      <w:r>
        <w:rPr>
          <w:rFonts w:ascii="Book Antiqua" w:hAnsi="Book Antiqua" w:eastAsia="Book Antiqua" w:cs="Book Antiqua"/>
        </w:rPr>
        <w:t xml:space="preserve"> 2019; </w:t>
      </w:r>
      <w:r>
        <w:rPr>
          <w:rFonts w:ascii="Book Antiqua" w:hAnsi="Book Antiqua" w:eastAsia="Book Antiqua" w:cs="Book Antiqua"/>
          <w:b/>
          <w:bCs/>
        </w:rPr>
        <w:t>34</w:t>
      </w:r>
      <w:r>
        <w:rPr>
          <w:rFonts w:ascii="Book Antiqua" w:hAnsi="Book Antiqua" w:eastAsia="Book Antiqua" w:cs="Book Antiqua"/>
        </w:rPr>
        <w:t>: 603-609 [PMID: 31389825 DOI: 10.1097/HCO.0000000000000668]</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Brouwer JL</w:t>
      </w:r>
      <w:r>
        <w:rPr>
          <w:rFonts w:ascii="Book Antiqua" w:hAnsi="Book Antiqua" w:eastAsia="Book Antiqua" w:cs="Book Antiqua"/>
        </w:rPr>
        <w:t xml:space="preserve">, Lijfering WM, Ten Kate MK, Kluin-Nelemans HC, Veeger NJ, van der Meer J. High long-term absolute risk of recurrent venous thromboembolism in patients with hereditary deficiencies of protein S, protein C or antithrombin. </w:t>
      </w:r>
      <w:r>
        <w:rPr>
          <w:rFonts w:ascii="Book Antiqua" w:hAnsi="Book Antiqua" w:eastAsia="Book Antiqua" w:cs="Book Antiqua"/>
          <w:i/>
          <w:iCs/>
        </w:rPr>
        <w:t>Thromb Haemost</w:t>
      </w:r>
      <w:r>
        <w:rPr>
          <w:rFonts w:ascii="Book Antiqua" w:hAnsi="Book Antiqua" w:eastAsia="Book Antiqua" w:cs="Book Antiqua"/>
        </w:rPr>
        <w:t xml:space="preserve"> 2009; </w:t>
      </w:r>
      <w:r>
        <w:rPr>
          <w:rFonts w:ascii="Book Antiqua" w:hAnsi="Book Antiqua" w:eastAsia="Book Antiqua" w:cs="Book Antiqua"/>
          <w:b/>
          <w:bCs/>
        </w:rPr>
        <w:t>101</w:t>
      </w:r>
      <w:r>
        <w:rPr>
          <w:rFonts w:ascii="Book Antiqua" w:hAnsi="Book Antiqua" w:eastAsia="Book Antiqua" w:cs="Book Antiqua"/>
        </w:rPr>
        <w:t>: 93-99 [PMID: 19132194]</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Collet JP</w:t>
      </w:r>
      <w:r>
        <w:rPr>
          <w:rFonts w:ascii="Book Antiqua" w:hAnsi="Book Antiqua" w:eastAsia="Book Antiqua" w:cs="Book Antiqua"/>
        </w:rPr>
        <w:t xml:space="preserve">, Thiele H, Barbato E, Barthélémy O, Bauersachs J, Bhatt DL, Dendale P, Dorobantu M, Edvardsen T, Folliguet T, Gale CP, Gilard M, Jobs A, Jüni P, Lambrinou E, Lewis BS, Mehilli J, Meliga E, Merkely B, Mueller C, Roffi M, Rutten FH, Sibbing D, Siontis GCM; ESC Scientific Document Group. 2020 ESC Guidelines for the management of acute coronary syndromes in patients presenting without persistent ST-segment elevation. </w:t>
      </w:r>
      <w:r>
        <w:rPr>
          <w:rFonts w:ascii="Book Antiqua" w:hAnsi="Book Antiqua" w:eastAsia="Book Antiqua" w:cs="Book Antiqua"/>
          <w:i/>
          <w:iCs/>
        </w:rPr>
        <w:t>Eur Heart J</w:t>
      </w:r>
      <w:r>
        <w:rPr>
          <w:rFonts w:ascii="Book Antiqua" w:hAnsi="Book Antiqua" w:eastAsia="Book Antiqua" w:cs="Book Antiqua"/>
        </w:rPr>
        <w:t xml:space="preserve"> 2021; </w:t>
      </w:r>
      <w:r>
        <w:rPr>
          <w:rFonts w:ascii="Book Antiqua" w:hAnsi="Book Antiqua" w:eastAsia="Book Antiqua" w:cs="Book Antiqua"/>
          <w:b/>
          <w:bCs/>
        </w:rPr>
        <w:t>42</w:t>
      </w:r>
      <w:r>
        <w:rPr>
          <w:rFonts w:ascii="Book Antiqua" w:hAnsi="Book Antiqua" w:eastAsia="Book Antiqua" w:cs="Book Antiqua"/>
        </w:rPr>
        <w:t>: 1289-1367 [PMID: 32860058 DOI: 10.1093/eurheartj/ehaa575]</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Abdu FA</w:t>
      </w:r>
      <w:r>
        <w:rPr>
          <w:rFonts w:ascii="Book Antiqua" w:hAnsi="Book Antiqua" w:eastAsia="Book Antiqua" w:cs="Book Antiqua"/>
        </w:rPr>
        <w:t xml:space="preserve">, Mohammed AQ, Liu L, Xu Y, Che W. Myocardial Infarction with Nonobstructive Coronary Arteries (MINOCA): A Review of the Current Position. </w:t>
      </w:r>
      <w:r>
        <w:rPr>
          <w:rFonts w:ascii="Book Antiqua" w:hAnsi="Book Antiqua" w:eastAsia="Book Antiqua" w:cs="Book Antiqua"/>
          <w:i/>
          <w:iCs/>
        </w:rPr>
        <w:t>Cardiology</w:t>
      </w:r>
      <w:r>
        <w:rPr>
          <w:rFonts w:ascii="Book Antiqua" w:hAnsi="Book Antiqua" w:eastAsia="Book Antiqua" w:cs="Book Antiqua"/>
        </w:rPr>
        <w:t xml:space="preserve"> 2020; </w:t>
      </w:r>
      <w:r>
        <w:rPr>
          <w:rFonts w:ascii="Book Antiqua" w:hAnsi="Book Antiqua" w:eastAsia="Book Antiqua" w:cs="Book Antiqua"/>
          <w:b/>
          <w:bCs/>
        </w:rPr>
        <w:t>145</w:t>
      </w:r>
      <w:r>
        <w:rPr>
          <w:rFonts w:ascii="Book Antiqua" w:hAnsi="Book Antiqua" w:eastAsia="Book Antiqua" w:cs="Book Antiqua"/>
        </w:rPr>
        <w:t>: 543-552 [PMID: 32750696 DOI: 10.1159/000509100]</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Prandoni P</w:t>
      </w:r>
      <w:r>
        <w:rPr>
          <w:rFonts w:ascii="Book Antiqua" w:hAnsi="Book Antiqua" w:eastAsia="Book Antiqua" w:cs="Book Antiqua"/>
        </w:rPr>
        <w:t xml:space="preserve">, Bilora F, Marchiori A, Bernardi E, Petrobelli F, Lensing AW, Prins MH, Girolami A. An association between atherosclerosis and venous thrombosis. </w:t>
      </w:r>
      <w:r>
        <w:rPr>
          <w:rFonts w:ascii="Book Antiqua" w:hAnsi="Book Antiqua" w:eastAsia="Book Antiqua" w:cs="Book Antiqua"/>
          <w:i/>
          <w:iCs/>
        </w:rPr>
        <w:t>N Engl J Med</w:t>
      </w:r>
      <w:r>
        <w:rPr>
          <w:rFonts w:ascii="Book Antiqua" w:hAnsi="Book Antiqua" w:eastAsia="Book Antiqua" w:cs="Book Antiqua"/>
        </w:rPr>
        <w:t xml:space="preserve"> 2003; </w:t>
      </w:r>
      <w:r>
        <w:rPr>
          <w:rFonts w:ascii="Book Antiqua" w:hAnsi="Book Antiqua" w:eastAsia="Book Antiqua" w:cs="Book Antiqua"/>
          <w:b/>
          <w:bCs/>
        </w:rPr>
        <w:t>348</w:t>
      </w:r>
      <w:r>
        <w:rPr>
          <w:rFonts w:ascii="Book Antiqua" w:hAnsi="Book Antiqua" w:eastAsia="Book Antiqua" w:cs="Book Antiqua"/>
        </w:rPr>
        <w:t>: 1435-1441 [PMID: 12686699 DOI: 10.1056/NEJMoa022157]</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Ageno W</w:t>
      </w:r>
      <w:r>
        <w:rPr>
          <w:rFonts w:ascii="Book Antiqua" w:hAnsi="Book Antiqua" w:eastAsia="Book Antiqua" w:cs="Book Antiqua"/>
        </w:rPr>
        <w:t xml:space="preserve">, Becattini C, Brighton T, Selby R, Kamphuisen PW. Cardiovascular risk factors and venous thromboembolism: a meta-analysis. </w:t>
      </w:r>
      <w:r>
        <w:rPr>
          <w:rFonts w:ascii="Book Antiqua" w:hAnsi="Book Antiqua" w:eastAsia="Book Antiqua" w:cs="Book Antiqua"/>
          <w:i/>
          <w:iCs/>
        </w:rPr>
        <w:t>Circulation</w:t>
      </w:r>
      <w:r>
        <w:rPr>
          <w:rFonts w:ascii="Book Antiqua" w:hAnsi="Book Antiqua" w:eastAsia="Book Antiqua" w:cs="Book Antiqua"/>
        </w:rPr>
        <w:t xml:space="preserve"> 2008; </w:t>
      </w:r>
      <w:r>
        <w:rPr>
          <w:rFonts w:ascii="Book Antiqua" w:hAnsi="Book Antiqua" w:eastAsia="Book Antiqua" w:cs="Book Antiqua"/>
          <w:b/>
          <w:bCs/>
        </w:rPr>
        <w:t>117</w:t>
      </w:r>
      <w:r>
        <w:rPr>
          <w:rFonts w:ascii="Book Antiqua" w:hAnsi="Book Antiqua" w:eastAsia="Book Antiqua" w:cs="Book Antiqua"/>
        </w:rPr>
        <w:t>: 93-102 [PMID: 18086925 DOI: 10.1161/CIRCULATIONAHA.107.709204]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Informed written consent was obtained from the patient for publication of this report and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bCs/>
        </w:rPr>
        <w:t xml:space="preserve">All </w:t>
      </w:r>
      <w:r>
        <w:rPr>
          <w:rFonts w:ascii="Book Antiqua" w:hAnsi="Book Antiqua" w:eastAsia="Book Antiqua" w:cs="Book Antiqua"/>
          <w:color w:val="000000"/>
        </w:rPr>
        <w:t>the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23,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26,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October 16,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Cardiac </w:t>
      </w:r>
      <w:r>
        <w:rPr>
          <w:rFonts w:hint="eastAsia" w:ascii="Book Antiqua" w:hAnsi="Book Antiqua" w:eastAsia="宋体" w:cs="Book Antiqua"/>
          <w:lang w:val="en-US" w:eastAsia="zh-CN"/>
        </w:rPr>
        <w:t>and</w:t>
      </w:r>
      <w:r>
        <w:rPr>
          <w:rFonts w:ascii="Book Antiqua" w:hAnsi="Book Antiqua" w:eastAsia="Book Antiqua" w:cs="Book Antiqua"/>
        </w:rPr>
        <w:t xml:space="preserve"> cardiovascular systems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Tan X,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rPr>
      </w:pPr>
      <w:r>
        <w:rPr>
          <w:rFonts w:ascii="Book Antiqua" w:hAnsi="Book Antiqua" w:eastAsia="Book Antiqua" w:cs="Book Antiqua"/>
          <w:b/>
          <w:bCs/>
        </w:rPr>
        <w:drawing>
          <wp:inline distT="0" distB="0" distL="114300" distR="114300">
            <wp:extent cx="4309745" cy="2310130"/>
            <wp:effectExtent l="0" t="0" r="5080" b="4445"/>
            <wp:docPr id="3" name="图片 3" descr="WJCC-11-749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1-7497-g001"/>
                    <pic:cNvPicPr>
                      <a:picLocks noChangeAspect="1"/>
                    </pic:cNvPicPr>
                  </pic:nvPicPr>
                  <pic:blipFill>
                    <a:blip r:embed="rId5"/>
                    <a:stretch>
                      <a:fillRect/>
                    </a:stretch>
                  </pic:blipFill>
                  <pic:spPr>
                    <a:xfrm>
                      <a:off x="0" y="0"/>
                      <a:ext cx="4309745" cy="2310130"/>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Figure 1 Large amount of contrast-filling defects observed in both the main and lobar segmental pulmonary arteries on contrast-enhanced chest computed tomography.</w:t>
      </w:r>
      <w:r>
        <w:rPr>
          <w:rFonts w:ascii="Book Antiqua" w:hAnsi="Book Antiqua" w:eastAsia="Book Antiqua" w:cs="Book Antiqua"/>
        </w:rPr>
        <w:t xml:space="preserve"> A: Axial plane; B: Coronal plane.</w:t>
      </w:r>
    </w:p>
    <w:p>
      <w:pPr>
        <w:spacing w:line="360" w:lineRule="auto"/>
        <w:jc w:val="both"/>
        <w:rPr>
          <w:rFonts w:ascii="Book Antiqua" w:hAnsi="Book Antiqua"/>
        </w:rPr>
      </w:pPr>
      <w:r>
        <w:rPr>
          <w:rFonts w:ascii="Book Antiqua" w:hAnsi="Book Antiqua" w:eastAsia="Book Antiqua" w:cs="Book Antiqua"/>
        </w:rPr>
        <w:br w:type="page"/>
      </w:r>
      <w:r>
        <w:rPr>
          <w:rFonts w:ascii="Book Antiqua" w:hAnsi="Book Antiqua"/>
        </w:rPr>
        <w:drawing>
          <wp:inline distT="0" distB="0" distL="114300" distR="114300">
            <wp:extent cx="4108450" cy="2206625"/>
            <wp:effectExtent l="0" t="0" r="6350" b="3175"/>
            <wp:docPr id="4" name="图片 4" descr="WJCC-11-749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1-7497-g002"/>
                    <pic:cNvPicPr>
                      <a:picLocks noChangeAspect="1"/>
                    </pic:cNvPicPr>
                  </pic:nvPicPr>
                  <pic:blipFill>
                    <a:blip r:embed="rId6"/>
                    <a:stretch>
                      <a:fillRect/>
                    </a:stretch>
                  </pic:blipFill>
                  <pic:spPr>
                    <a:xfrm>
                      <a:off x="0" y="0"/>
                      <a:ext cx="4108450" cy="2206625"/>
                    </a:xfrm>
                    <a:prstGeom prst="rect">
                      <a:avLst/>
                    </a:prstGeom>
                  </pic:spPr>
                </pic:pic>
              </a:graphicData>
            </a:graphic>
          </wp:inline>
        </w:drawing>
      </w:r>
      <w:bookmarkStart w:id="3" w:name="_GoBack"/>
      <w:bookmarkEnd w:id="3"/>
    </w:p>
    <w:p>
      <w:pPr>
        <w:spacing w:line="360" w:lineRule="auto"/>
        <w:jc w:val="both"/>
        <w:rPr>
          <w:rFonts w:ascii="Book Antiqua" w:hAnsi="Book Antiqua"/>
        </w:rPr>
      </w:pPr>
      <w:r>
        <w:rPr>
          <w:rFonts w:ascii="Book Antiqua" w:hAnsi="Book Antiqua" w:eastAsia="Book Antiqua" w:cs="Book Antiqua"/>
          <w:b/>
          <w:bCs/>
        </w:rPr>
        <w:t>Figure 2 Each figure shows the left-anterior-oblique 30° view on right coronary angiography before and after percutaneous coronary intervention.</w:t>
      </w:r>
      <w:r>
        <w:rPr>
          <w:rFonts w:ascii="Book Antiqua" w:hAnsi="Book Antiqua" w:eastAsia="Book Antiqua" w:cs="Book Antiqua"/>
        </w:rPr>
        <w:t xml:space="preserve"> A: Coronary angiography revealed a contrast-filling defect lesion in the mid</w:t>
      </w:r>
      <w:r>
        <w:rPr>
          <w:rFonts w:ascii="Book Antiqua" w:hAnsi="Book Antiqua" w:eastAsia="Book Antiqua" w:cs="Book Antiqua"/>
          <w:color w:val="000000"/>
        </w:rPr>
        <w:t xml:space="preserve"> right coronary artery</w:t>
      </w:r>
      <w:r>
        <w:rPr>
          <w:rFonts w:ascii="Book Antiqua" w:hAnsi="Book Antiqua" w:eastAsia="Book Antiqua" w:cs="Book Antiqua"/>
        </w:rPr>
        <w:t xml:space="preserve"> (RCA) without angiographic stenosis (arrowheads) and complete occlusion of the distal RCA; B: Multifocal diffuse thrombi remained in the RCA after percutaneous coronary intervention (arrows).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606714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mQ1YWIyMTUwNTMzYzY5ODk4ZmYxZmUzMWNlMTBmOTEifQ=="/>
  </w:docVars>
  <w:rsids>
    <w:rsidRoot w:val="00A77B3E"/>
    <w:rsid w:val="000315BF"/>
    <w:rsid w:val="000439FE"/>
    <w:rsid w:val="000805CA"/>
    <w:rsid w:val="00114683"/>
    <w:rsid w:val="00145540"/>
    <w:rsid w:val="001B38AD"/>
    <w:rsid w:val="001C6F34"/>
    <w:rsid w:val="00221400"/>
    <w:rsid w:val="002601AC"/>
    <w:rsid w:val="002622F0"/>
    <w:rsid w:val="0027172B"/>
    <w:rsid w:val="002A2748"/>
    <w:rsid w:val="002F6569"/>
    <w:rsid w:val="003246BC"/>
    <w:rsid w:val="003311B3"/>
    <w:rsid w:val="00356437"/>
    <w:rsid w:val="003D243B"/>
    <w:rsid w:val="003F2D69"/>
    <w:rsid w:val="00413F82"/>
    <w:rsid w:val="0043730B"/>
    <w:rsid w:val="004603F0"/>
    <w:rsid w:val="0046326D"/>
    <w:rsid w:val="00474467"/>
    <w:rsid w:val="004F2CEA"/>
    <w:rsid w:val="00531EB8"/>
    <w:rsid w:val="0059370A"/>
    <w:rsid w:val="00645780"/>
    <w:rsid w:val="006B1D28"/>
    <w:rsid w:val="006B4877"/>
    <w:rsid w:val="00715602"/>
    <w:rsid w:val="0075332E"/>
    <w:rsid w:val="00755484"/>
    <w:rsid w:val="00765476"/>
    <w:rsid w:val="007B14BA"/>
    <w:rsid w:val="007E3F3C"/>
    <w:rsid w:val="007F736C"/>
    <w:rsid w:val="00870589"/>
    <w:rsid w:val="0093100B"/>
    <w:rsid w:val="00932C31"/>
    <w:rsid w:val="0099769F"/>
    <w:rsid w:val="00A533EA"/>
    <w:rsid w:val="00A66E89"/>
    <w:rsid w:val="00A77B3E"/>
    <w:rsid w:val="00AA158B"/>
    <w:rsid w:val="00AA478C"/>
    <w:rsid w:val="00AC005C"/>
    <w:rsid w:val="00AD65D1"/>
    <w:rsid w:val="00B803A6"/>
    <w:rsid w:val="00B84962"/>
    <w:rsid w:val="00C521F2"/>
    <w:rsid w:val="00C863B0"/>
    <w:rsid w:val="00CA2A55"/>
    <w:rsid w:val="00CC351E"/>
    <w:rsid w:val="00D30F57"/>
    <w:rsid w:val="00D3512A"/>
    <w:rsid w:val="00D930B1"/>
    <w:rsid w:val="00D972BD"/>
    <w:rsid w:val="00DD016C"/>
    <w:rsid w:val="00DD5321"/>
    <w:rsid w:val="00E10ADC"/>
    <w:rsid w:val="00E213CF"/>
    <w:rsid w:val="00E2197D"/>
    <w:rsid w:val="00E81A81"/>
    <w:rsid w:val="00E85220"/>
    <w:rsid w:val="00F17EE7"/>
    <w:rsid w:val="00F70427"/>
    <w:rsid w:val="00FD1406"/>
    <w:rsid w:val="00FE48FE"/>
    <w:rsid w:val="00FF1270"/>
    <w:rsid w:val="1F936BEB"/>
    <w:rsid w:val="2BD562AA"/>
    <w:rsid w:val="48367BDF"/>
    <w:rsid w:val="668E30D0"/>
    <w:rsid w:val="6AE41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 w:type="paragraph" w:customStyle="1" w:styleId="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9">
    <w:name w:val="font3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2867</Words>
  <Characters>16344</Characters>
  <Lines>136</Lines>
  <Paragraphs>38</Paragraphs>
  <TotalTime>9</TotalTime>
  <ScaleCrop>false</ScaleCrop>
  <LinksUpToDate>false</LinksUpToDate>
  <CharactersWithSpaces>19173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2023-10-07T07:11:00Z</dcterms:created>
  <dc:creator>10436</dc:creator>
  <cp:lastModifiedBy>xzh</cp:lastModifiedBy>
  <dcterms:modified xsi:type="dcterms:W3CDTF">2023-10-24T02:18:28Z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B3AB99CCB7B74FFD9BC277108A7B1F9F_12</vt:lpwstr>
  </property>
</Properties>
</file>