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98697" w14:textId="77777777" w:rsidR="00F20BB0"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242D4EDF" w14:textId="77777777" w:rsidR="00F20BB0"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87680</w:t>
      </w:r>
    </w:p>
    <w:p w14:paraId="79379467" w14:textId="77777777" w:rsidR="00F20BB0"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44539FD" w14:textId="77777777" w:rsidR="00F20BB0" w:rsidRDefault="00F20BB0">
      <w:pPr>
        <w:spacing w:line="360" w:lineRule="auto"/>
        <w:jc w:val="both"/>
      </w:pPr>
    </w:p>
    <w:p w14:paraId="4ECE8171" w14:textId="77777777" w:rsidR="00F20BB0" w:rsidRDefault="00000000">
      <w:pPr>
        <w:spacing w:line="360" w:lineRule="auto"/>
        <w:jc w:val="both"/>
      </w:pPr>
      <w:r>
        <w:rPr>
          <w:rFonts w:ascii="Book Antiqua" w:eastAsia="Book Antiqua" w:hAnsi="Book Antiqua" w:cs="Book Antiqua"/>
          <w:b/>
          <w:i/>
        </w:rPr>
        <w:t>Retrospective Study</w:t>
      </w:r>
    </w:p>
    <w:p w14:paraId="6348A06B" w14:textId="77777777" w:rsidR="00F20BB0" w:rsidRDefault="00000000">
      <w:pPr>
        <w:spacing w:line="360" w:lineRule="auto"/>
        <w:jc w:val="both"/>
      </w:pPr>
      <w:r>
        <w:rPr>
          <w:rFonts w:ascii="Book Antiqua" w:eastAsia="Book Antiqua" w:hAnsi="Book Antiqua" w:cs="Book Antiqua"/>
          <w:b/>
          <w:color w:val="000000"/>
        </w:rPr>
        <w:t xml:space="preserve">High patatin like phospholipase domain containing 8 </w:t>
      </w:r>
      <w:proofErr w:type="gramStart"/>
      <w:r>
        <w:rPr>
          <w:rFonts w:ascii="Book Antiqua" w:eastAsia="Book Antiqua" w:hAnsi="Book Antiqua" w:cs="Book Antiqua"/>
          <w:b/>
          <w:color w:val="000000"/>
        </w:rPr>
        <w:t>expression</w:t>
      </w:r>
      <w:proofErr w:type="gramEnd"/>
      <w:r>
        <w:rPr>
          <w:rFonts w:ascii="Book Antiqua" w:eastAsia="Book Antiqua" w:hAnsi="Book Antiqua" w:cs="Book Antiqua"/>
          <w:b/>
          <w:color w:val="000000"/>
        </w:rPr>
        <w:t xml:space="preserve"> as a biomarker for poor prognosis of colorectal cancer</w:t>
      </w:r>
    </w:p>
    <w:p w14:paraId="743F16F0" w14:textId="77777777" w:rsidR="00F20BB0" w:rsidRDefault="00F20BB0">
      <w:pPr>
        <w:spacing w:line="360" w:lineRule="auto"/>
        <w:jc w:val="both"/>
      </w:pPr>
    </w:p>
    <w:p w14:paraId="335FEEDF" w14:textId="77777777" w:rsidR="00F20BB0" w:rsidRDefault="00000000">
      <w:pPr>
        <w:spacing w:line="360" w:lineRule="auto"/>
        <w:jc w:val="both"/>
      </w:pPr>
      <w:r>
        <w:rPr>
          <w:rFonts w:ascii="Book Antiqua" w:eastAsia="Book Antiqua" w:hAnsi="Book Antiqua" w:cs="Book Antiqua"/>
          <w:color w:val="000000"/>
        </w:rPr>
        <w:t xml:space="preserve">Zhou PY </w:t>
      </w:r>
      <w:r>
        <w:rPr>
          <w:rFonts w:ascii="Book Antiqua" w:eastAsia="Book Antiqua" w:hAnsi="Book Antiqua" w:cs="Book Antiqua"/>
          <w:i/>
          <w:iCs/>
          <w:color w:val="000000"/>
        </w:rPr>
        <w:t>et al</w:t>
      </w:r>
      <w:r>
        <w:rPr>
          <w:rFonts w:ascii="Book Antiqua" w:eastAsia="Book Antiqua" w:hAnsi="Book Antiqua" w:cs="Book Antiqua"/>
          <w:color w:val="000000"/>
        </w:rPr>
        <w:t>. PNPLA8 and colorectal cancer</w:t>
      </w:r>
    </w:p>
    <w:p w14:paraId="025BBA41" w14:textId="77777777" w:rsidR="00F20BB0" w:rsidRDefault="00F20BB0">
      <w:pPr>
        <w:spacing w:line="360" w:lineRule="auto"/>
        <w:jc w:val="both"/>
      </w:pPr>
    </w:p>
    <w:p w14:paraId="14050FE8" w14:textId="77777777" w:rsidR="00F20BB0" w:rsidRDefault="00000000">
      <w:pPr>
        <w:spacing w:line="360" w:lineRule="auto"/>
        <w:jc w:val="both"/>
        <w:rPr>
          <w:b/>
          <w:bCs/>
        </w:rPr>
      </w:pPr>
      <w:r>
        <w:rPr>
          <w:rFonts w:ascii="Book Antiqua" w:eastAsia="Book Antiqua" w:hAnsi="Book Antiqua" w:cs="Book Antiqua"/>
          <w:b/>
          <w:bCs/>
          <w:color w:val="000000"/>
        </w:rPr>
        <w:t>Peng-Yang Zhou, De-Xiang Zhu, Yi-Jiao Chen, Qing-Yang Feng, Yi-Hao Mao, Ao-Bo Zhuang, Jian-Min Xu</w:t>
      </w:r>
    </w:p>
    <w:p w14:paraId="213FE4EB" w14:textId="77777777" w:rsidR="00F20BB0" w:rsidRDefault="00F20BB0">
      <w:pPr>
        <w:spacing w:line="360" w:lineRule="auto"/>
        <w:jc w:val="both"/>
      </w:pPr>
    </w:p>
    <w:p w14:paraId="2B3DC73E" w14:textId="77777777" w:rsidR="00F20BB0" w:rsidRDefault="00000000">
      <w:pPr>
        <w:spacing w:line="360" w:lineRule="auto"/>
        <w:jc w:val="both"/>
      </w:pPr>
      <w:r>
        <w:rPr>
          <w:rFonts w:ascii="Book Antiqua" w:eastAsia="Book Antiqua" w:hAnsi="Book Antiqua" w:cs="Book Antiqua"/>
          <w:b/>
          <w:bCs/>
          <w:color w:val="000000"/>
        </w:rPr>
        <w:t xml:space="preserve">Peng-Yang Zhou, De-Xiang Zhu, Yi-Jiao Chen, Qing-Yang Feng, Yi-Hao Mao, Ao-Bo Zhuang, Jian-Min Xu, </w:t>
      </w:r>
      <w:r>
        <w:rPr>
          <w:rFonts w:ascii="Book Antiqua" w:eastAsia="Book Antiqua" w:hAnsi="Book Antiqua" w:cs="Book Antiqua"/>
          <w:color w:val="000000"/>
        </w:rPr>
        <w:t>Department of General Surgery, Zhongshan Hospital Fudan University, Shanghai 200032, China</w:t>
      </w:r>
    </w:p>
    <w:p w14:paraId="7C114E04" w14:textId="77777777" w:rsidR="00F20BB0" w:rsidRDefault="00F20BB0">
      <w:pPr>
        <w:spacing w:line="360" w:lineRule="auto"/>
        <w:jc w:val="both"/>
      </w:pPr>
    </w:p>
    <w:p w14:paraId="3EEAEE02" w14:textId="77777777" w:rsidR="00F20BB0"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rPr>
        <w:t>Zhou PY</w:t>
      </w:r>
      <w:r>
        <w:rPr>
          <w:rFonts w:ascii="Book Antiqua" w:eastAsia="Book Antiqua" w:hAnsi="Book Antiqua" w:cs="Book Antiqua"/>
          <w:color w:val="000000"/>
        </w:rPr>
        <w:t xml:space="preserve"> carried out the studies; </w:t>
      </w:r>
      <w:r>
        <w:rPr>
          <w:rFonts w:ascii="Book Antiqua" w:eastAsia="Book Antiqua" w:hAnsi="Book Antiqua" w:cs="Book Antiqua"/>
        </w:rPr>
        <w:t>Zhuang AB</w:t>
      </w:r>
      <w:r>
        <w:rPr>
          <w:rFonts w:ascii="Book Antiqua" w:eastAsia="Book Antiqua" w:hAnsi="Book Antiqua" w:cs="Book Antiqua"/>
          <w:color w:val="000000"/>
        </w:rPr>
        <w:t xml:space="preserve"> and </w:t>
      </w:r>
      <w:r>
        <w:rPr>
          <w:rFonts w:ascii="Book Antiqua" w:eastAsia="Book Antiqua" w:hAnsi="Book Antiqua" w:cs="Book Antiqua"/>
        </w:rPr>
        <w:t>Chen YJ</w:t>
      </w:r>
      <w:r>
        <w:rPr>
          <w:rFonts w:ascii="Book Antiqua" w:eastAsia="Book Antiqua" w:hAnsi="Book Antiqua" w:cs="Book Antiqua"/>
          <w:color w:val="000000"/>
        </w:rPr>
        <w:t xml:space="preserve"> participated in collecting data and drafted the manuscript; </w:t>
      </w:r>
      <w:r>
        <w:rPr>
          <w:rFonts w:ascii="Book Antiqua" w:eastAsia="Book Antiqua" w:hAnsi="Book Antiqua" w:cs="Book Antiqua"/>
        </w:rPr>
        <w:t>Mao YH</w:t>
      </w:r>
      <w:r>
        <w:rPr>
          <w:rFonts w:ascii="Book Antiqua" w:eastAsia="Book Antiqua" w:hAnsi="Book Antiqua" w:cs="Book Antiqua"/>
          <w:color w:val="000000"/>
        </w:rPr>
        <w:t xml:space="preserve"> and </w:t>
      </w:r>
      <w:r>
        <w:rPr>
          <w:rFonts w:ascii="Book Antiqua" w:eastAsia="Book Antiqua" w:hAnsi="Book Antiqua" w:cs="Book Antiqua"/>
        </w:rPr>
        <w:t>Feng QY</w:t>
      </w:r>
      <w:r>
        <w:rPr>
          <w:rFonts w:ascii="Book Antiqua" w:eastAsia="Book Antiqua" w:hAnsi="Book Antiqua" w:cs="Book Antiqua"/>
          <w:color w:val="000000"/>
        </w:rPr>
        <w:t xml:space="preserve"> performed statistical analysis and participated in its design; </w:t>
      </w:r>
      <w:r>
        <w:rPr>
          <w:rFonts w:ascii="Book Antiqua" w:eastAsia="Book Antiqua" w:hAnsi="Book Antiqua" w:cs="Book Antiqua"/>
        </w:rPr>
        <w:t>Zhu DX</w:t>
      </w:r>
      <w:r>
        <w:rPr>
          <w:rFonts w:ascii="Book Antiqua" w:eastAsia="Book Antiqua" w:hAnsi="Book Antiqua" w:cs="Book Antiqua"/>
          <w:color w:val="000000"/>
        </w:rPr>
        <w:t xml:space="preserve"> participated in acquisition, analysis, and interpretation of data and drafted the manuscript; all authors read and approved the final manuscript.</w:t>
      </w:r>
    </w:p>
    <w:p w14:paraId="55B9949F" w14:textId="77777777" w:rsidR="00F20BB0" w:rsidRDefault="00F20BB0">
      <w:pPr>
        <w:spacing w:line="360" w:lineRule="auto"/>
        <w:jc w:val="both"/>
      </w:pPr>
    </w:p>
    <w:p w14:paraId="4B87860E" w14:textId="77777777" w:rsidR="00F20BB0" w:rsidRDefault="00000000">
      <w:pPr>
        <w:spacing w:line="360" w:lineRule="auto"/>
        <w:jc w:val="both"/>
      </w:pPr>
      <w:r>
        <w:rPr>
          <w:rFonts w:ascii="Book Antiqua" w:eastAsia="Book Antiqua" w:hAnsi="Book Antiqua" w:cs="Book Antiqua"/>
          <w:b/>
          <w:bCs/>
          <w:color w:val="000000"/>
        </w:rPr>
        <w:t xml:space="preserve">Corresponding author: Jian-Min Xu, PhD, Professor, Surgeon, </w:t>
      </w:r>
      <w:r>
        <w:rPr>
          <w:rFonts w:ascii="Book Antiqua" w:eastAsia="Book Antiqua" w:hAnsi="Book Antiqua" w:cs="Book Antiqua"/>
          <w:color w:val="000000"/>
        </w:rPr>
        <w:t>Department of General Surgery, Zhongshan Hospital Fudan University, No. 180 Fenglin Road, Shanghai 200032, China. xujmin@aliyun.com</w:t>
      </w:r>
    </w:p>
    <w:p w14:paraId="292EAF50" w14:textId="77777777" w:rsidR="00F20BB0" w:rsidRDefault="00F20BB0">
      <w:pPr>
        <w:spacing w:line="360" w:lineRule="auto"/>
        <w:jc w:val="both"/>
      </w:pPr>
    </w:p>
    <w:p w14:paraId="7F085CEF" w14:textId="77777777" w:rsidR="00F20BB0"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August 22, 2023</w:t>
      </w:r>
    </w:p>
    <w:p w14:paraId="7EE24AF6" w14:textId="77777777" w:rsidR="00F20BB0"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December 19, 2023</w:t>
      </w:r>
    </w:p>
    <w:p w14:paraId="4A62AF3C" w14:textId="77777777" w:rsidR="00F20BB0"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7254"/>
      <w:bookmarkStart w:id="1" w:name="OLE_LINK6812"/>
      <w:bookmarkStart w:id="2" w:name="OLE_LINK7681"/>
      <w:bookmarkStart w:id="3" w:name="OLE_LINK7688"/>
      <w:bookmarkStart w:id="4" w:name="OLE_LINK7761"/>
      <w:bookmarkStart w:id="5" w:name="OLE_LINK7700"/>
      <w:bookmarkStart w:id="6" w:name="OLE_LINK6830"/>
      <w:bookmarkStart w:id="7" w:name="OLE_LINK6816"/>
      <w:bookmarkStart w:id="8" w:name="OLE_LINK7682"/>
      <w:bookmarkStart w:id="9" w:name="OLE_LINK7693"/>
      <w:bookmarkStart w:id="10" w:name="OLE_LINK7238"/>
      <w:bookmarkStart w:id="11" w:name="OLE_LINK7810"/>
      <w:bookmarkStart w:id="12" w:name="OLE_LINK7260"/>
      <w:bookmarkStart w:id="13" w:name="OLE_LINK7265"/>
      <w:bookmarkStart w:id="14" w:name="OLE_LINK7800"/>
      <w:bookmarkStart w:id="15" w:name="OLE_LINK7788"/>
      <w:bookmarkStart w:id="16" w:name="OLE_LINK7559"/>
      <w:bookmarkStart w:id="17" w:name="OLE_LINK7769"/>
      <w:bookmarkStart w:id="18" w:name="OLE_LINK7616"/>
      <w:bookmarkStart w:id="19" w:name="OLE_LINK7806"/>
      <w:bookmarkStart w:id="20" w:name="OLE_LINK7587"/>
      <w:bookmarkStart w:id="21" w:name="OLE_LINK7605"/>
      <w:bookmarkStart w:id="22" w:name="OLE_LINK7633"/>
      <w:bookmarkStart w:id="23" w:name="OLE_LINK7775"/>
      <w:bookmarkStart w:id="24" w:name="OLE_LINK7555"/>
      <w:bookmarkStart w:id="25" w:name="OLE_LINK7629"/>
      <w:bookmarkStart w:id="26" w:name="OLE_LINK7765"/>
      <w:bookmarkStart w:id="27" w:name="OLE_LINK7753"/>
      <w:bookmarkStart w:id="28" w:name="OLE_LINK7779"/>
      <w:bookmarkStart w:id="29" w:name="OLE_LINK7785"/>
      <w:bookmarkStart w:id="30" w:name="OLE_LINK7727"/>
      <w:bookmarkStart w:id="31" w:name="OLE_LINK7791"/>
      <w:bookmarkStart w:id="32" w:name="OLE_LINK7724"/>
      <w:bookmarkStart w:id="33" w:name="OLE_LINK7628"/>
      <w:bookmarkStart w:id="34" w:name="OLE_LINK7578"/>
      <w:bookmarkStart w:id="35" w:name="OLE_LINK7772"/>
      <w:bookmarkStart w:id="36" w:name="OLE_LINK7794"/>
      <w:bookmarkStart w:id="37" w:name="OLE_LINK7568"/>
      <w:bookmarkStart w:id="38" w:name="OLE_LINK7641"/>
      <w:bookmarkStart w:id="39" w:name="OLE_LINK7263"/>
      <w:bookmarkStart w:id="40" w:name="OLE_LINK7569"/>
      <w:bookmarkStart w:id="41" w:name="OLE_LINK7583"/>
      <w:bookmarkStart w:id="42" w:name="OLE_LINK7635"/>
      <w:bookmarkStart w:id="43" w:name="OLE_LINK7608"/>
      <w:bookmarkStart w:id="44" w:name="OLE_LINK7611"/>
      <w:bookmarkStart w:id="45" w:name="OLE_LINK7732"/>
      <w:bookmarkStart w:id="46" w:name="OLE_LINK7744"/>
      <w:bookmarkStart w:id="47" w:name="OLE_LINK7811"/>
      <w:bookmarkStart w:id="48" w:name="OLE_LINK7684"/>
      <w:bookmarkStart w:id="49" w:name="OLE_LINK7597"/>
      <w:bookmarkStart w:id="50" w:name="OLE_LINK7836"/>
      <w:bookmarkStart w:id="51" w:name="OLE_LINK7813"/>
      <w:bookmarkStart w:id="52" w:name="OLE_LINK7665"/>
      <w:bookmarkStart w:id="53" w:name="OLE_LINK7837"/>
      <w:bookmarkStart w:id="54" w:name="OLE_LINK7655"/>
      <w:bookmarkStart w:id="55" w:name="OLE_LINK7561"/>
      <w:bookmarkStart w:id="56" w:name="OLE_LINK7245"/>
      <w:bookmarkStart w:id="57" w:name="OLE_LINK7620"/>
      <w:bookmarkStart w:id="58" w:name="OLE_LINK7610"/>
      <w:bookmarkStart w:id="59" w:name="OLE_LINK7574"/>
      <w:bookmarkStart w:id="60" w:name="OLE_LINK7606"/>
      <w:bookmarkStart w:id="61" w:name="OLE_LINK7547"/>
      <w:bookmarkStart w:id="62" w:name="OLE_LINK7625"/>
      <w:bookmarkStart w:id="63" w:name="OLE_LINK7571"/>
      <w:bookmarkStart w:id="64" w:name="OLE_LINK7815"/>
      <w:bookmarkStart w:id="65" w:name="OLE_LINK7577"/>
      <w:bookmarkStart w:id="66" w:name="OLE_LINK7527"/>
      <w:bookmarkStart w:id="67" w:name="OLE_LINK7617"/>
      <w:bookmarkStart w:id="68" w:name="OLE_LINK7730"/>
      <w:bookmarkStart w:id="69" w:name="OLE_LINK7712"/>
      <w:bookmarkStart w:id="70" w:name="OLE_LINK7522"/>
      <w:bookmarkStart w:id="71" w:name="OLE_LINK7550"/>
      <w:bookmarkStart w:id="72" w:name="OLE_LINK7530"/>
      <w:bookmarkStart w:id="73" w:name="OLE_LINK7602"/>
      <w:bookmarkStart w:id="74" w:name="OLE_LINK7710"/>
      <w:bookmarkStart w:id="75" w:name="OLE_LINK7799"/>
      <w:bookmarkStart w:id="76" w:name="OLE_LINK7691"/>
      <w:bookmarkStart w:id="77" w:name="OLE_LINK7803"/>
      <w:bookmarkStart w:id="78" w:name="OLE_LINK7722"/>
      <w:bookmarkStart w:id="79" w:name="OLE_LINK7734"/>
      <w:bookmarkStart w:id="80" w:name="OLE_LINK1223"/>
      <w:bookmarkStart w:id="81" w:name="OLE_LINK7167"/>
      <w:bookmarkStart w:id="82" w:name="OLE_LINK7652"/>
      <w:bookmarkStart w:id="83" w:name="OLE_LINK7738"/>
      <w:bookmarkStart w:id="84" w:name="OLE_LINK7737"/>
      <w:bookmarkStart w:id="85" w:name="OLE_LINK7703"/>
      <w:bookmarkStart w:id="86" w:name="OLE_LINK7119"/>
      <w:bookmarkStart w:id="87" w:name="OLE_LINK7125"/>
      <w:bookmarkStart w:id="88" w:name="OLE_LINK7736"/>
      <w:bookmarkStart w:id="89" w:name="OLE_LINK7236"/>
      <w:bookmarkStart w:id="90" w:name="OLE_LINK7116"/>
      <w:bookmarkStart w:id="91" w:name="OLE_LINK7718"/>
      <w:bookmarkStart w:id="92" w:name="OLE_LINK7158"/>
      <w:bookmarkStart w:id="93" w:name="OLE_LINK7735"/>
      <w:bookmarkStart w:id="94" w:name="OLE_LINK7141"/>
      <w:bookmarkStart w:id="95" w:name="OLE_LINK7809"/>
      <w:bookmarkStart w:id="96" w:name="OLE_LINK7223"/>
      <w:bookmarkStart w:id="97" w:name="OLE_LINK7711"/>
      <w:bookmarkStart w:id="98" w:name="OLE_LINK7145"/>
      <w:bookmarkStart w:id="99" w:name="OLE_LINK7130"/>
      <w:bookmarkStart w:id="100" w:name="OLE_LINK7153"/>
      <w:bookmarkStart w:id="101" w:name="OLE_LINK7237"/>
      <w:bookmarkStart w:id="102" w:name="OLE_LINK7150"/>
      <w:bookmarkStart w:id="103" w:name="OLE_LINK7687"/>
      <w:bookmarkStart w:id="104" w:name="OLE_LINK7649"/>
      <w:bookmarkStart w:id="105" w:name="OLE_LINK7721"/>
      <w:bookmarkStart w:id="106" w:name="OLE_LINK7127"/>
      <w:bookmarkStart w:id="107" w:name="OLE_LINK7706"/>
      <w:bookmarkStart w:id="108" w:name="OLE_LINK7695"/>
      <w:bookmarkStart w:id="109" w:name="OLE_LINK7699"/>
      <w:bookmarkStart w:id="110" w:name="OLE_LINK7212"/>
      <w:bookmarkStart w:id="111" w:name="OLE_LINK7709"/>
      <w:bookmarkStart w:id="112" w:name="OLE_LINK6834"/>
      <w:bookmarkStart w:id="113" w:name="OLE_LINK7235"/>
      <w:bookmarkStart w:id="114" w:name="OLE_LINK7243"/>
      <w:bookmarkStart w:id="115" w:name="OLE_LINK7122"/>
      <w:bookmarkStart w:id="116" w:name="OLE_LINK7228"/>
      <w:bookmarkStart w:id="117" w:name="OLE_LINK7133"/>
      <w:bookmarkStart w:id="118" w:name="OLE_LINK7215"/>
      <w:bookmarkStart w:id="119" w:name="OLE_LINK7253"/>
      <w:bookmarkStart w:id="120" w:name="OLE_LINK1199"/>
      <w:bookmarkStart w:id="121" w:name="OLE_LINK7240"/>
      <w:bookmarkStart w:id="122" w:name="OLE_LINK1218"/>
      <w:bookmarkStart w:id="123" w:name="OLE_LINK7250"/>
      <w:bookmarkStart w:id="124" w:name="OLE_LINK1242"/>
      <w:bookmarkStart w:id="125" w:name="OLE_LINK1231"/>
      <w:bookmarkStart w:id="126" w:name="OLE_LINK6803"/>
      <w:bookmarkStart w:id="127" w:name="OLE_LINK1227"/>
      <w:bookmarkStart w:id="128" w:name="OLE_LINK7126"/>
      <w:bookmarkStart w:id="129" w:name="OLE_LINK7140"/>
      <w:bookmarkStart w:id="130" w:name="OLE_LINK7515"/>
      <w:bookmarkStart w:id="131" w:name="OLE_LINK6798"/>
      <w:bookmarkStart w:id="132" w:name="OLE_LINK7173"/>
      <w:bookmarkStart w:id="133" w:name="OLE_LINK7513"/>
      <w:bookmarkStart w:id="134" w:name="OLE_LINK7213"/>
      <w:bookmarkStart w:id="135" w:name="OLE_LINK1222"/>
      <w:bookmarkStart w:id="136" w:name="OLE_LINK7"/>
      <w:bookmarkStart w:id="137" w:name="OLE_LINK6827"/>
      <w:bookmarkStart w:id="138" w:name="OLE_LINK7867"/>
      <w:bookmarkStart w:id="139" w:name="OLE_LINK1198"/>
      <w:bookmarkStart w:id="140" w:name="OLE_LINK7820"/>
      <w:bookmarkStart w:id="141" w:name="OLE_LINK1224"/>
      <w:bookmarkStart w:id="142" w:name="OLE_LINK1246"/>
      <w:bookmarkStart w:id="143" w:name="OLE_LINK7214"/>
      <w:bookmarkStart w:id="144" w:name="OLE_LINK7903"/>
      <w:bookmarkStart w:id="145" w:name="OLE_LINK7984"/>
      <w:bookmarkStart w:id="146" w:name="OLE_LINK7897"/>
      <w:bookmarkStart w:id="147" w:name="OLE_LINK7876"/>
      <w:bookmarkStart w:id="148" w:name="OLE_LINK10"/>
      <w:bookmarkStart w:id="149" w:name="OLE_LINK7882"/>
      <w:bookmarkStart w:id="150" w:name="OLE_LINK40"/>
      <w:bookmarkStart w:id="151" w:name="OLE_LINK7979"/>
      <w:bookmarkStart w:id="152" w:name="OLE_LINK7983"/>
      <w:bookmarkStart w:id="153" w:name="OLE_LINK7885"/>
      <w:bookmarkStart w:id="154" w:name="OLE_LINK4"/>
      <w:bookmarkStart w:id="155" w:name="OLE_LINK7873"/>
      <w:bookmarkStart w:id="156" w:name="OLE_LINK7895"/>
      <w:bookmarkStart w:id="157" w:name="OLE_LINK7843"/>
      <w:bookmarkStart w:id="158" w:name="OLE_LINK7796"/>
      <w:bookmarkStart w:id="159" w:name="OLE_LINK7910"/>
      <w:bookmarkStart w:id="160" w:name="OLE_LINK49"/>
      <w:bookmarkStart w:id="161" w:name="OLE_LINK14"/>
      <w:bookmarkStart w:id="162" w:name="OLE_LINK34"/>
      <w:bookmarkStart w:id="163" w:name="OLE_LINK87"/>
      <w:bookmarkStart w:id="164" w:name="OLE_LINK7838"/>
      <w:bookmarkStart w:id="165" w:name="OLE_LINK7896"/>
      <w:bookmarkStart w:id="166" w:name="OLE_LINK7894"/>
      <w:bookmarkStart w:id="167" w:name="OLE_LINK7839"/>
      <w:bookmarkStart w:id="168" w:name="OLE_LINK7846"/>
      <w:bookmarkStart w:id="169" w:name="OLE_LINK7985"/>
      <w:bookmarkStart w:id="170" w:name="OLE_LINK7879"/>
      <w:bookmarkStart w:id="171" w:name="OLE_LINK29"/>
      <w:bookmarkStart w:id="172" w:name="OLE_LINK20"/>
      <w:bookmarkStart w:id="173" w:name="OLE_LINK7977"/>
      <w:bookmarkStart w:id="174" w:name="OLE_LINK7690"/>
      <w:bookmarkStart w:id="175" w:name="OLE_LINK17"/>
      <w:bookmarkStart w:id="176" w:name="OLE_LINK46"/>
      <w:bookmarkStart w:id="177" w:name="OLE_LINK103"/>
      <w:bookmarkStart w:id="178" w:name="OLE_LINK72"/>
      <w:bookmarkStart w:id="179" w:name="OLE_LINK220"/>
      <w:bookmarkStart w:id="180" w:name="OLE_LINK200"/>
      <w:bookmarkStart w:id="181" w:name="OLE_LINK233"/>
      <w:bookmarkStart w:id="182" w:name="OLE_LINK177"/>
      <w:bookmarkStart w:id="183" w:name="OLE_LINK60"/>
      <w:bookmarkStart w:id="184" w:name="OLE_LINK37"/>
      <w:bookmarkStart w:id="185" w:name="OLE_LINK187"/>
      <w:bookmarkStart w:id="186" w:name="OLE_LINK219"/>
      <w:bookmarkStart w:id="187" w:name="OLE_LINK82"/>
      <w:bookmarkStart w:id="188" w:name="OLE_LINK41"/>
      <w:bookmarkStart w:id="189" w:name="OLE_LINK184"/>
      <w:bookmarkStart w:id="190" w:name="OLE_LINK208"/>
      <w:bookmarkStart w:id="191" w:name="OLE_LINK75"/>
      <w:bookmarkStart w:id="192" w:name="OLE_LINK216"/>
      <w:bookmarkStart w:id="193" w:name="OLE_LINK192"/>
      <w:bookmarkStart w:id="194" w:name="OLE_LINK11"/>
      <w:bookmarkStart w:id="195" w:name="OLE_LINK36"/>
      <w:bookmarkStart w:id="196" w:name="OLE_LINK54"/>
      <w:bookmarkStart w:id="197" w:name="OLE_LINK1232"/>
      <w:bookmarkStart w:id="198" w:name="OLE_LINK1272"/>
      <w:bookmarkStart w:id="199" w:name="OLE_LINK108"/>
      <w:bookmarkStart w:id="200" w:name="OLE_LINK174"/>
      <w:bookmarkStart w:id="201" w:name="OLE_LINK241"/>
      <w:bookmarkStart w:id="202" w:name="OLE_LINK229"/>
      <w:bookmarkStart w:id="203" w:name="OLE_LINK197"/>
      <w:bookmarkStart w:id="204" w:name="OLE_LINK236"/>
      <w:bookmarkStart w:id="205" w:name="OLE_LINK65"/>
      <w:bookmarkStart w:id="206" w:name="OLE_LINK84"/>
      <w:bookmarkStart w:id="207" w:name="OLE_LINK100"/>
      <w:bookmarkStart w:id="208" w:name="OLE_LINK1220"/>
      <w:bookmarkStart w:id="209" w:name="OLE_LINK66"/>
      <w:bookmarkStart w:id="210" w:name="OLE_LINK26"/>
      <w:bookmarkStart w:id="211" w:name="OLE_LINK1318"/>
      <w:bookmarkStart w:id="212" w:name="OLE_LINK1324"/>
      <w:bookmarkStart w:id="213" w:name="OLE_LINK1247"/>
      <w:bookmarkStart w:id="214" w:name="OLE_LINK30"/>
      <w:bookmarkStart w:id="215" w:name="OLE_LINK51"/>
      <w:bookmarkStart w:id="216" w:name="OLE_LINK1255"/>
      <w:bookmarkStart w:id="217" w:name="OLE_LINK6"/>
      <w:bookmarkStart w:id="218" w:name="OLE_LINK19"/>
      <w:bookmarkStart w:id="219" w:name="OLE_LINK42"/>
      <w:bookmarkStart w:id="220" w:name="OLE_LINK1241"/>
      <w:bookmarkStart w:id="221" w:name="OLE_LINK1219"/>
      <w:bookmarkStart w:id="222" w:name="OLE_LINK226"/>
      <w:bookmarkStart w:id="223" w:name="OLE_LINK1233"/>
      <w:bookmarkStart w:id="224" w:name="OLE_LINK78"/>
      <w:bookmarkStart w:id="225" w:name="OLE_LINK1261"/>
      <w:bookmarkStart w:id="226" w:name="OLE_LINK1326"/>
      <w:bookmarkStart w:id="227" w:name="OLE_LINK1310"/>
      <w:bookmarkStart w:id="228" w:name="OLE_LINK12"/>
      <w:bookmarkStart w:id="229" w:name="OLE_LINK1283"/>
      <w:bookmarkStart w:id="230" w:name="OLE_LINK1250"/>
      <w:bookmarkStart w:id="231" w:name="OLE_LINK1282"/>
      <w:bookmarkStart w:id="232" w:name="OLE_LINK1312"/>
      <w:bookmarkStart w:id="233" w:name="OLE_LINK1286"/>
      <w:bookmarkStart w:id="234" w:name="OLE_LINK1269"/>
      <w:bookmarkStart w:id="235" w:name="OLE_LINK203"/>
      <w:bookmarkStart w:id="236" w:name="OLE_LINK1290"/>
      <w:bookmarkStart w:id="237" w:name="OLE_LINK57"/>
      <w:bookmarkStart w:id="238" w:name="OLE_LINK1267"/>
      <w:bookmarkStart w:id="239" w:name="OLE_LINK1325"/>
      <w:bookmarkStart w:id="240" w:name="OLE_LINK7675"/>
      <w:bookmarkStart w:id="241" w:name="OLE_LINK1307"/>
      <w:bookmarkStart w:id="242" w:name="OLE_LINK1301"/>
      <w:bookmarkStart w:id="243" w:name="OLE_LINK1311"/>
      <w:bookmarkStart w:id="244" w:name="OLE_LINK1295"/>
      <w:bookmarkStart w:id="245" w:name="OLE_LINK1334"/>
      <w:bookmarkStart w:id="246" w:name="OLE_LINK1346"/>
      <w:bookmarkStart w:id="247" w:name="OLE_LINK1342"/>
      <w:bookmarkStart w:id="248" w:name="OLE_LINK1251"/>
      <w:bookmarkStart w:id="249" w:name="OLE_LINK1352"/>
      <w:bookmarkStart w:id="250" w:name="OLE_LINK1292"/>
      <w:bookmarkStart w:id="251" w:name="OLE_LINK74"/>
      <w:bookmarkStart w:id="252" w:name="OLE_LINK1256"/>
      <w:bookmarkStart w:id="253" w:name="OLE_LINK1225"/>
      <w:bookmarkStart w:id="254" w:name="OLE_LINK1244"/>
      <w:bookmarkStart w:id="255" w:name="OLE_LINK1340"/>
      <w:bookmarkStart w:id="256" w:name="OLE_LINK1297"/>
      <w:bookmarkStart w:id="257" w:name="OLE_LINK1299"/>
      <w:bookmarkStart w:id="258" w:name="OLE_LINK1291"/>
      <w:bookmarkStart w:id="259" w:name="OLE_LINK1303"/>
      <w:bookmarkStart w:id="260" w:name="OLE_LINK1276"/>
      <w:bookmarkStart w:id="261" w:name="OLE_LINK3"/>
      <w:bookmarkStart w:id="262" w:name="OLE_LINK1262"/>
      <w:bookmarkStart w:id="263" w:name="OLE_LINK1327"/>
      <w:bookmarkStart w:id="264" w:name="OLE_LINK23"/>
      <w:bookmarkStart w:id="265" w:name="OLE_LINK1236"/>
      <w:bookmarkStart w:id="266" w:name="OLE_LINK1305"/>
      <w:bookmarkStart w:id="267" w:name="OLE_LINK21"/>
      <w:bookmarkStart w:id="268" w:name="OLE_LINK61"/>
      <w:bookmarkStart w:id="269" w:name="OLE_LINK1237"/>
      <w:bookmarkStart w:id="270" w:name="OLE_LINK1503"/>
      <w:bookmarkStart w:id="271" w:name="OLE_LINK1452"/>
      <w:bookmarkStart w:id="272" w:name="OLE_LINK1356"/>
      <w:bookmarkStart w:id="273" w:name="OLE_LINK1457"/>
      <w:bookmarkStart w:id="274" w:name="OLE_LINK1364"/>
      <w:bookmarkStart w:id="275" w:name="OLE_LINK1371"/>
      <w:bookmarkStart w:id="276" w:name="OLE_LINK1478"/>
      <w:bookmarkStart w:id="277" w:name="OLE_LINK1395"/>
      <w:bookmarkStart w:id="278" w:name="OLE_LINK1433"/>
      <w:bookmarkStart w:id="279" w:name="OLE_LINK7418"/>
      <w:bookmarkStart w:id="280" w:name="OLE_LINK1335"/>
      <w:bookmarkStart w:id="281" w:name="OLE_LINK1399"/>
      <w:bookmarkStart w:id="282" w:name="OLE_LINK1343"/>
      <w:bookmarkStart w:id="283" w:name="OLE_LINK7909"/>
      <w:bookmarkStart w:id="284" w:name="OLE_LINK1365"/>
      <w:bookmarkStart w:id="285" w:name="OLE_LINK1361"/>
      <w:bookmarkStart w:id="286" w:name="OLE_LINK1348"/>
      <w:bookmarkStart w:id="287" w:name="OLE_LINK7771"/>
      <w:bookmarkStart w:id="288" w:name="OLE_LINK1391"/>
      <w:bookmarkStart w:id="289" w:name="OLE_LINK1353"/>
      <w:bookmarkStart w:id="290" w:name="OLE_LINK1412"/>
      <w:bookmarkStart w:id="291" w:name="OLE_LINK1402"/>
      <w:bookmarkStart w:id="292" w:name="OLE_LINK1449"/>
      <w:bookmarkStart w:id="293" w:name="OLE_LINK1384"/>
      <w:bookmarkStart w:id="294" w:name="OLE_LINK1436"/>
      <w:bookmarkStart w:id="295" w:name="OLE_LINK1466"/>
      <w:bookmarkStart w:id="296" w:name="OLE_LINK1375"/>
      <w:bookmarkStart w:id="297" w:name="OLE_LINK7916"/>
      <w:bookmarkStart w:id="298" w:name="OLE_LINK7777"/>
      <w:bookmarkStart w:id="299" w:name="OLE_LINK1387"/>
      <w:bookmarkStart w:id="300" w:name="OLE_LINK7913"/>
      <w:bookmarkStart w:id="301" w:name="OLE_LINK1429"/>
      <w:bookmarkStart w:id="302" w:name="OLE_LINK7755"/>
      <w:bookmarkStart w:id="303" w:name="OLE_LINK7704"/>
      <w:bookmarkStart w:id="304" w:name="OLE_LINK1508"/>
      <w:bookmarkStart w:id="305" w:name="OLE_LINK7762"/>
      <w:bookmarkStart w:id="306" w:name="OLE_LINK1492"/>
      <w:bookmarkStart w:id="307" w:name="OLE_LINK1477"/>
      <w:bookmarkStart w:id="308" w:name="OLE_LINK7683"/>
      <w:bookmarkStart w:id="309" w:name="OLE_LINK7725"/>
      <w:bookmarkStart w:id="310" w:name="OLE_LINK7745"/>
      <w:bookmarkStart w:id="311" w:name="OLE_LINK1484"/>
      <w:bookmarkStart w:id="312" w:name="OLE_LINK1496"/>
      <w:bookmarkStart w:id="313" w:name="OLE_LINK7740"/>
      <w:bookmarkStart w:id="314" w:name="OLE_LINK1379"/>
      <w:bookmarkStart w:id="315" w:name="OLE_LINK7714"/>
      <w:bookmarkStart w:id="316" w:name="OLE_LINK7731"/>
      <w:bookmarkStart w:id="317" w:name="OLE_LINK7766"/>
      <w:bookmarkStart w:id="318" w:name="OLE_LINK7674"/>
      <w:bookmarkStart w:id="319" w:name="OLE_LINK1499"/>
      <w:bookmarkStart w:id="320" w:name="OLE_LINK1474"/>
      <w:bookmarkStart w:id="321" w:name="OLE_LINK1490"/>
      <w:bookmarkStart w:id="322" w:name="OLE_LINK7552"/>
      <w:bookmarkStart w:id="323" w:name="OLE_LINK7290"/>
      <w:bookmarkStart w:id="324" w:name="OLE_LINK7639"/>
      <w:bookmarkStart w:id="325" w:name="OLE_LINK1273"/>
      <w:bookmarkStart w:id="326" w:name="OLE_LINK7229"/>
      <w:bookmarkStart w:id="327" w:name="OLE_LINK7274"/>
      <w:bookmarkStart w:id="328" w:name="OLE_LINK7295"/>
      <w:bookmarkStart w:id="329" w:name="OLE_LINK7234"/>
      <w:bookmarkStart w:id="330" w:name="OLE_LINK7300"/>
      <w:bookmarkStart w:id="331" w:name="OLE_LINK7644"/>
      <w:bookmarkStart w:id="332" w:name="OLE_LINK7224"/>
      <w:bookmarkStart w:id="333" w:name="OLE_LINK7264"/>
      <w:bookmarkStart w:id="334" w:name="OLE_LINK7301"/>
      <w:bookmarkStart w:id="335" w:name="OLE_LINK7305"/>
      <w:bookmarkStart w:id="336" w:name="OLE_LINK1315"/>
      <w:bookmarkStart w:id="337" w:name="OLE_LINK7288"/>
      <w:bookmarkStart w:id="338" w:name="OLE_LINK7666"/>
      <w:bookmarkStart w:id="339" w:name="OLE_LINK7630"/>
      <w:bookmarkStart w:id="340" w:name="OLE_LINK7650"/>
      <w:bookmarkStart w:id="341" w:name="OLE_LINK7618"/>
      <w:bookmarkStart w:id="342" w:name="OLE_LINK15"/>
      <w:bookmarkStart w:id="343" w:name="OLE_LINK7244"/>
      <w:bookmarkStart w:id="344" w:name="OLE_LINK7623"/>
      <w:bookmarkStart w:id="345" w:name="OLE_LINK7302"/>
      <w:bookmarkStart w:id="346" w:name="OLE_LINK7241"/>
      <w:bookmarkStart w:id="347" w:name="OLE_LINK7279"/>
      <w:bookmarkStart w:id="348" w:name="OLE_LINK1319"/>
      <w:bookmarkStart w:id="349" w:name="OLE_LINK1322"/>
      <w:bookmarkStart w:id="350" w:name="OLE_LINK7259"/>
      <w:bookmarkStart w:id="351" w:name="OLE_LINK7654"/>
      <w:bookmarkStart w:id="352" w:name="OLE_LINK7308"/>
      <w:bookmarkStart w:id="353" w:name="OLE_LINK7268"/>
      <w:bookmarkStart w:id="354" w:name="OLE_LINK7376"/>
      <w:bookmarkStart w:id="355" w:name="OLE_LINK7317"/>
      <w:bookmarkStart w:id="356" w:name="OLE_LINK7403"/>
      <w:bookmarkStart w:id="357" w:name="OLE_LINK7670"/>
      <w:bookmarkStart w:id="358" w:name="OLE_LINK7572"/>
      <w:bookmarkStart w:id="359" w:name="OLE_LINK7534"/>
      <w:bookmarkStart w:id="360" w:name="OLE_LINK7432"/>
      <w:bookmarkStart w:id="361" w:name="OLE_LINK7379"/>
      <w:bookmarkStart w:id="362" w:name="OLE_LINK7422"/>
      <w:bookmarkStart w:id="363" w:name="OLE_LINK7266"/>
      <w:bookmarkStart w:id="364" w:name="OLE_LINK7326"/>
      <w:bookmarkStart w:id="365" w:name="OLE_LINK7287"/>
      <w:bookmarkStart w:id="366" w:name="OLE_LINK7303"/>
      <w:bookmarkStart w:id="367" w:name="OLE_LINK7548"/>
      <w:bookmarkStart w:id="368" w:name="OLE_LINK7313"/>
      <w:bookmarkStart w:id="369" w:name="OLE_LINK7394"/>
      <w:bookmarkStart w:id="370" w:name="OLE_LINK7292"/>
      <w:bookmarkStart w:id="371" w:name="OLE_LINK7307"/>
      <w:bookmarkStart w:id="372" w:name="OLE_LINK7562"/>
      <w:bookmarkStart w:id="373" w:name="OLE_LINK7282"/>
      <w:bookmarkStart w:id="374" w:name="OLE_LINK7386"/>
      <w:bookmarkStart w:id="375" w:name="OLE_LINK7526"/>
      <w:bookmarkStart w:id="376" w:name="OLE_LINK7383"/>
      <w:bookmarkStart w:id="377" w:name="OLE_LINK7538"/>
      <w:bookmarkStart w:id="378" w:name="OLE_LINK7523"/>
      <w:bookmarkStart w:id="379" w:name="OLE_LINK7389"/>
      <w:bookmarkStart w:id="380" w:name="OLE_LINK7322"/>
      <w:bookmarkStart w:id="381" w:name="OLE_LINK7533"/>
      <w:bookmarkStart w:id="382" w:name="OLE_LINK7756"/>
      <w:bookmarkStart w:id="383" w:name="OLE_LINK7426"/>
      <w:bookmarkStart w:id="384" w:name="OLE_LINK7272"/>
      <w:bookmarkStart w:id="385" w:name="OLE_LINK7296"/>
      <w:bookmarkStart w:id="386" w:name="OLE_LINK7330"/>
      <w:bookmarkStart w:id="387" w:name="OLE_LINK7844"/>
      <w:bookmarkStart w:id="388" w:name="OLE_LINK7631"/>
      <w:bookmarkStart w:id="389" w:name="OLE_LINK7648"/>
      <w:bookmarkStart w:id="390" w:name="OLE_LINK7739"/>
      <w:bookmarkStart w:id="391" w:name="OLE_LINK7749"/>
      <w:bookmarkStart w:id="392" w:name="OLE_LINK7863"/>
      <w:bookmarkStart w:id="393" w:name="OLE_LINK7646"/>
      <w:bookmarkStart w:id="394" w:name="OLE_LINK7588"/>
      <w:bookmarkStart w:id="395" w:name="OLE_LINK7786"/>
      <w:bookmarkStart w:id="396" w:name="OLE_LINK7658"/>
      <w:bookmarkStart w:id="397" w:name="OLE_LINK7642"/>
      <w:bookmarkStart w:id="398" w:name="OLE_LINK7743"/>
      <w:bookmarkStart w:id="399" w:name="OLE_LINK7440"/>
      <w:bookmarkStart w:id="400" w:name="OLE_LINK7579"/>
      <w:bookmarkStart w:id="401" w:name="OLE_LINK7573"/>
      <w:bookmarkStart w:id="402" w:name="OLE_LINK7793"/>
      <w:bookmarkStart w:id="403" w:name="OLE_LINK7619"/>
      <w:bookmarkStart w:id="404" w:name="OLE_LINK7801"/>
      <w:bookmarkStart w:id="405" w:name="OLE_LINK7825"/>
      <w:bookmarkStart w:id="406" w:name="OLE_LINK7814"/>
      <w:bookmarkStart w:id="407" w:name="OLE_LINK7858"/>
      <w:bookmarkStart w:id="408" w:name="OLE_LINK7864"/>
      <w:bookmarkStart w:id="409" w:name="OLE_LINK7871"/>
      <w:bookmarkStart w:id="410" w:name="OLE_LINK7840"/>
      <w:bookmarkStart w:id="411" w:name="OLE_LINK7862"/>
      <w:bookmarkStart w:id="412" w:name="OLE_LINK7834"/>
      <w:bookmarkStart w:id="413" w:name="OLE_LINK7805"/>
      <w:bookmarkStart w:id="414" w:name="OLE_LINK7818"/>
      <w:bookmarkStart w:id="415" w:name="OLE_LINK7822"/>
      <w:bookmarkStart w:id="416" w:name="OLE_LINK7850"/>
      <w:bookmarkStart w:id="417" w:name="OLE_LINK7853"/>
      <w:bookmarkStart w:id="418" w:name="OLE_LINK7888"/>
      <w:bookmarkStart w:id="419" w:name="OLE_LINK7898"/>
      <w:bookmarkStart w:id="420" w:name="OLE_LINK7280"/>
      <w:bookmarkStart w:id="421" w:name="OLE_LINK7344"/>
      <w:bookmarkStart w:id="422" w:name="OLE_LINK7378"/>
      <w:bookmarkStart w:id="423" w:name="OLE_LINK7404"/>
      <w:bookmarkStart w:id="424" w:name="OLE_LINK7348"/>
      <w:bookmarkStart w:id="425" w:name="OLE_LINK7368"/>
      <w:bookmarkStart w:id="426" w:name="OLE_LINK7286"/>
      <w:bookmarkStart w:id="427" w:name="OLE_LINK7340"/>
      <w:bookmarkStart w:id="428" w:name="OLE_LINK7314"/>
      <w:bookmarkStart w:id="429" w:name="OLE_LINK7335"/>
      <w:bookmarkStart w:id="430" w:name="OLE_LINK7593"/>
      <w:bookmarkStart w:id="431" w:name="OLE_LINK7395"/>
      <w:bookmarkStart w:id="432" w:name="OLE_LINK7357"/>
      <w:bookmarkStart w:id="433" w:name="OLE_LINK7343"/>
      <w:bookmarkStart w:id="434" w:name="OLE_LINK7877"/>
      <w:bookmarkStart w:id="435" w:name="OLE_LINK7701"/>
      <w:bookmarkStart w:id="436" w:name="OLE_LINK7269"/>
      <w:bookmarkStart w:id="437" w:name="OLE_LINK7720"/>
      <w:bookmarkStart w:id="438" w:name="OLE_LINK7906"/>
      <w:bookmarkStart w:id="439" w:name="OLE_LINK7304"/>
      <w:bookmarkStart w:id="440" w:name="OLE_LINK7901"/>
      <w:bookmarkStart w:id="441" w:name="OLE_LINK7361"/>
      <w:bookmarkStart w:id="442" w:name="OLE_LINK7306"/>
      <w:bookmarkStart w:id="443" w:name="OLE_LINK7324"/>
      <w:bookmarkStart w:id="444" w:name="OLE_LINK7293"/>
      <w:bookmarkStart w:id="445" w:name="OLE_LINK7275"/>
      <w:bookmarkStart w:id="446" w:name="OLE_LINK7372"/>
      <w:bookmarkStart w:id="447" w:name="OLE_LINK7883"/>
      <w:bookmarkStart w:id="448" w:name="OLE_LINK7384"/>
      <w:bookmarkStart w:id="449" w:name="OLE_LINK7261"/>
      <w:bookmarkStart w:id="450" w:name="OLE_LINK7360"/>
      <w:bookmarkStart w:id="451" w:name="OLE_LINK7747"/>
      <w:bookmarkStart w:id="452" w:name="OLE_LINK7415"/>
      <w:bookmarkStart w:id="453" w:name="OLE_LINK7781"/>
      <w:bookmarkStart w:id="454" w:name="OLE_LINK7866"/>
      <w:bookmarkStart w:id="455" w:name="OLE_LINK7411"/>
      <w:bookmarkStart w:id="456" w:name="OLE_LINK7754"/>
      <w:bookmarkStart w:id="457" w:name="OLE_LINK7776"/>
      <w:bookmarkStart w:id="458" w:name="OLE_LINK7689"/>
      <w:bookmarkStart w:id="459" w:name="OLE_LINK7848"/>
      <w:bookmarkStart w:id="460" w:name="OLE_LINK7816"/>
      <w:bookmarkStart w:id="461" w:name="OLE_LINK7878"/>
      <w:bookmarkStart w:id="462" w:name="OLE_LINK7424"/>
      <w:bookmarkStart w:id="463" w:name="OLE_LINK7685"/>
      <w:bookmarkStart w:id="464" w:name="OLE_LINK7676"/>
      <w:bookmarkStart w:id="465" w:name="OLE_LINK7351"/>
      <w:bookmarkStart w:id="466" w:name="OLE_LINK7900"/>
      <w:bookmarkStart w:id="467" w:name="OLE_LINK7787"/>
      <w:bookmarkStart w:id="468" w:name="OLE_LINK7789"/>
      <w:bookmarkStart w:id="469" w:name="OLE_LINK7667"/>
      <w:bookmarkStart w:id="470" w:name="OLE_LINK7407"/>
      <w:bookmarkStart w:id="471" w:name="OLE_LINK7729"/>
      <w:bookmarkStart w:id="472" w:name="OLE_LINK7841"/>
      <w:bookmarkStart w:id="473" w:name="OLE_LINK7708"/>
      <w:bookmarkStart w:id="474" w:name="OLE_LINK7889"/>
      <w:bookmarkStart w:id="475" w:name="OLE_LINK7804"/>
      <w:bookmarkStart w:id="476" w:name="OLE_LINK7255"/>
      <w:bookmarkStart w:id="477" w:name="OLE_LINK1344"/>
      <w:bookmarkStart w:id="478" w:name="OLE_LINK7795"/>
      <w:bookmarkStart w:id="479" w:name="OLE_LINK7854"/>
      <w:r>
        <w:rPr>
          <w:rFonts w:ascii="Book Antiqua" w:hAnsi="Book Antiqua"/>
        </w:rPr>
        <w:t>January 22,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46E971FB" w14:textId="77777777" w:rsidR="00F20BB0"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 xml:space="preserve">Published online: </w:t>
      </w:r>
      <w:r>
        <w:rPr>
          <w:rFonts w:ascii="Book Antiqua" w:eastAsia="Book Antiqua" w:hAnsi="Book Antiqua" w:cs="Book Antiqua" w:hint="eastAsia"/>
        </w:rPr>
        <w:t>March 15, 2024</w:t>
      </w:r>
    </w:p>
    <w:p w14:paraId="04C67437" w14:textId="77777777" w:rsidR="00F20BB0" w:rsidRDefault="00F20BB0">
      <w:pPr>
        <w:spacing w:line="360" w:lineRule="auto"/>
        <w:jc w:val="both"/>
        <w:rPr>
          <w:rFonts w:ascii="Book Antiqua" w:eastAsia="Book Antiqua" w:hAnsi="Book Antiqua" w:cs="Book Antiqua"/>
          <w:b/>
          <w:bCs/>
        </w:rPr>
      </w:pPr>
    </w:p>
    <w:p w14:paraId="4C652724" w14:textId="77777777" w:rsidR="00F20BB0" w:rsidRDefault="00000000">
      <w:pPr>
        <w:spacing w:line="360" w:lineRule="auto"/>
        <w:jc w:val="both"/>
      </w:pPr>
      <w:r>
        <w:rPr>
          <w:rFonts w:ascii="Book Antiqua" w:eastAsia="Book Antiqua" w:hAnsi="Book Antiqua" w:cs="Book Antiqua"/>
          <w:b/>
          <w:color w:val="000000"/>
        </w:rPr>
        <w:t>Abstract</w:t>
      </w:r>
    </w:p>
    <w:p w14:paraId="5F9B5CA7" w14:textId="77777777" w:rsidR="00F20BB0" w:rsidRDefault="00000000">
      <w:pPr>
        <w:spacing w:line="360" w:lineRule="auto"/>
        <w:jc w:val="both"/>
      </w:pPr>
      <w:r>
        <w:rPr>
          <w:rFonts w:ascii="Book Antiqua" w:eastAsia="Book Antiqua" w:hAnsi="Book Antiqua" w:cs="Book Antiqua"/>
          <w:color w:val="000000"/>
        </w:rPr>
        <w:t>BACKGROUND</w:t>
      </w:r>
    </w:p>
    <w:p w14:paraId="663E64EE" w14:textId="77777777" w:rsidR="00F20BB0" w:rsidRDefault="00000000">
      <w:pPr>
        <w:spacing w:line="360" w:lineRule="auto"/>
        <w:jc w:val="both"/>
      </w:pPr>
      <w:r>
        <w:rPr>
          <w:rFonts w:ascii="Book Antiqua" w:eastAsia="Book Antiqua" w:hAnsi="Book Antiqua" w:cs="Book Antiqua"/>
          <w:color w:val="000000"/>
        </w:rPr>
        <w:t xml:space="preserve">Patatin like phospholipase domain containing 8 (PNPLA8) has been shown to play a significant role in various cancer entities. Previous studies have focused on its roles as an antioxidant and in lipid peroxidation. However, the role of PNPLA8 in colorectal cancer (CRC) progression is unclear. </w:t>
      </w:r>
    </w:p>
    <w:p w14:paraId="02B2FEBE" w14:textId="77777777" w:rsidR="00F20BB0" w:rsidRDefault="00F20BB0">
      <w:pPr>
        <w:spacing w:line="360" w:lineRule="auto"/>
        <w:jc w:val="both"/>
      </w:pPr>
    </w:p>
    <w:p w14:paraId="27E3714D" w14:textId="77777777" w:rsidR="00F20BB0" w:rsidRDefault="00000000">
      <w:pPr>
        <w:spacing w:line="360" w:lineRule="auto"/>
        <w:jc w:val="both"/>
      </w:pPr>
      <w:r>
        <w:rPr>
          <w:rFonts w:ascii="Book Antiqua" w:eastAsia="Book Antiqua" w:hAnsi="Book Antiqua" w:cs="Book Antiqua"/>
          <w:color w:val="000000"/>
        </w:rPr>
        <w:t>AIM</w:t>
      </w:r>
    </w:p>
    <w:p w14:paraId="5B7E6C3E" w14:textId="77777777" w:rsidR="00F20BB0" w:rsidRDefault="00000000">
      <w:pPr>
        <w:spacing w:line="360" w:lineRule="auto"/>
        <w:jc w:val="both"/>
      </w:pPr>
      <w:r>
        <w:rPr>
          <w:rFonts w:ascii="Book Antiqua" w:eastAsia="Book Antiqua" w:hAnsi="Book Antiqua" w:cs="Book Antiqua"/>
          <w:color w:val="000000"/>
        </w:rPr>
        <w:t>To explore the prognostic effects of PNPLA8 expression in CRC.</w:t>
      </w:r>
    </w:p>
    <w:p w14:paraId="1C0B6C21" w14:textId="77777777" w:rsidR="00F20BB0" w:rsidRDefault="00F20BB0">
      <w:pPr>
        <w:spacing w:line="360" w:lineRule="auto"/>
        <w:jc w:val="both"/>
      </w:pPr>
    </w:p>
    <w:p w14:paraId="7D3FED26" w14:textId="77777777" w:rsidR="00F20BB0" w:rsidRDefault="00000000">
      <w:pPr>
        <w:spacing w:line="360" w:lineRule="auto"/>
        <w:jc w:val="both"/>
      </w:pPr>
      <w:r>
        <w:rPr>
          <w:rFonts w:ascii="Book Antiqua" w:eastAsia="Book Antiqua" w:hAnsi="Book Antiqua" w:cs="Book Antiqua"/>
          <w:color w:val="000000"/>
        </w:rPr>
        <w:t>METHODS</w:t>
      </w:r>
    </w:p>
    <w:p w14:paraId="1879CFBB" w14:textId="77777777" w:rsidR="00F20BB0" w:rsidRDefault="00000000">
      <w:pPr>
        <w:spacing w:line="360" w:lineRule="auto"/>
        <w:jc w:val="both"/>
      </w:pPr>
      <w:r>
        <w:rPr>
          <w:rFonts w:ascii="Book Antiqua" w:eastAsia="Book Antiqua" w:hAnsi="Book Antiqua" w:cs="Book Antiqua"/>
          <w:color w:val="000000"/>
        </w:rPr>
        <w:t>A retrospective cohort containing 751 consecutive CRC patients was enrolled. PNPLA8 expression in tumor samples was evaluated by immunohistochemistry staining and semi-quantitated with immunoreactive scores. CRC patients were divided into high and low PNPLA8 expression groups based on the cut-off values, which were calculated by X-tile software. The prognostic value of PNPLA8 was identified using univariate and multivariate Cox regression analysis. The overall survival (OS) rates of CRC patients in the study cohort were compared with Kaplan-Meier analysis and Log-rank test.</w:t>
      </w:r>
    </w:p>
    <w:p w14:paraId="1422F541" w14:textId="77777777" w:rsidR="00F20BB0" w:rsidRDefault="00F20BB0">
      <w:pPr>
        <w:spacing w:line="360" w:lineRule="auto"/>
        <w:jc w:val="both"/>
      </w:pPr>
    </w:p>
    <w:p w14:paraId="1C277A8F" w14:textId="77777777" w:rsidR="00F20BB0" w:rsidRDefault="00000000">
      <w:pPr>
        <w:spacing w:line="360" w:lineRule="auto"/>
        <w:jc w:val="both"/>
      </w:pPr>
      <w:r>
        <w:rPr>
          <w:rFonts w:ascii="Book Antiqua" w:eastAsia="Book Antiqua" w:hAnsi="Book Antiqua" w:cs="Book Antiqua"/>
          <w:color w:val="000000"/>
        </w:rPr>
        <w:t>RESULTS</w:t>
      </w:r>
    </w:p>
    <w:p w14:paraId="31957F6A" w14:textId="77777777" w:rsidR="00F20BB0" w:rsidRDefault="00000000">
      <w:pPr>
        <w:spacing w:line="360" w:lineRule="auto"/>
        <w:jc w:val="both"/>
      </w:pPr>
      <w:r>
        <w:rPr>
          <w:rFonts w:ascii="Book Antiqua" w:eastAsia="Book Antiqua" w:hAnsi="Book Antiqua" w:cs="Book Antiqua"/>
          <w:color w:val="000000"/>
        </w:rPr>
        <w:t>PNPLA8 expression was significantly associated with distant metastases in our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0.048). CRC patients with high PNPLA8 expression indicated poor OS (median OS = 35.3,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CRC patients with a higher PNPLA8 expression at either stage I and II or stage III and IV had statistically significant shorter OS. For patients with left-sided colon and rectal cancer, the survival curves of two PNPLA8-expression groups showed statistically significant differences. Multivariate analysis also confirmed that high PNPLA8 expression was an independent prognostic factor for overall survival (hazard ratio HR = 1.328, 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1.016-1.734,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0.038). </w:t>
      </w:r>
    </w:p>
    <w:p w14:paraId="4F45D994" w14:textId="77777777" w:rsidR="00F20BB0" w:rsidRDefault="00F20BB0">
      <w:pPr>
        <w:spacing w:line="360" w:lineRule="auto"/>
        <w:jc w:val="both"/>
      </w:pPr>
    </w:p>
    <w:p w14:paraId="45B8D4F6" w14:textId="77777777" w:rsidR="00F20BB0" w:rsidRDefault="00000000">
      <w:pPr>
        <w:spacing w:line="360" w:lineRule="auto"/>
        <w:jc w:val="both"/>
      </w:pPr>
      <w:r>
        <w:rPr>
          <w:rFonts w:ascii="Book Antiqua" w:eastAsia="Book Antiqua" w:hAnsi="Book Antiqua" w:cs="Book Antiqua"/>
          <w:color w:val="000000"/>
        </w:rPr>
        <w:t>CONCLUSION</w:t>
      </w:r>
    </w:p>
    <w:p w14:paraId="5ECEC52C" w14:textId="77777777" w:rsidR="00F20BB0" w:rsidRDefault="00000000">
      <w:pPr>
        <w:spacing w:line="360" w:lineRule="auto"/>
        <w:jc w:val="both"/>
      </w:pPr>
      <w:r>
        <w:rPr>
          <w:rFonts w:ascii="Book Antiqua" w:eastAsia="Book Antiqua" w:hAnsi="Book Antiqua" w:cs="Book Antiqua"/>
          <w:color w:val="000000"/>
        </w:rPr>
        <w:t>PNPLA8 is a novel independent prognostic factor for CRC. These findings suggest that PNPLA8 is a potential target in clinical CRC management.</w:t>
      </w:r>
    </w:p>
    <w:p w14:paraId="3D6F00BA" w14:textId="77777777" w:rsidR="00F20BB0" w:rsidRDefault="00F20BB0">
      <w:pPr>
        <w:spacing w:line="360" w:lineRule="auto"/>
        <w:jc w:val="both"/>
      </w:pPr>
    </w:p>
    <w:p w14:paraId="667BADF1" w14:textId="77777777" w:rsidR="00F20BB0"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Biomarker; Colorectal cancer; Expression level; Overall survival; </w:t>
      </w:r>
      <w:r>
        <w:rPr>
          <w:rFonts w:ascii="Book Antiqua" w:eastAsia="Book Antiqua" w:hAnsi="Book Antiqua" w:cs="Book Antiqua"/>
          <w:color w:val="000000"/>
        </w:rPr>
        <w:t>Patatin like phospholipase domain containing 8</w:t>
      </w:r>
      <w:r>
        <w:rPr>
          <w:rFonts w:ascii="Book Antiqua" w:eastAsia="Book Antiqua" w:hAnsi="Book Antiqua" w:cs="Book Antiqua"/>
        </w:rPr>
        <w:t xml:space="preserve">; </w:t>
      </w:r>
      <w:proofErr w:type="gramStart"/>
      <w:r>
        <w:rPr>
          <w:rFonts w:ascii="Book Antiqua" w:eastAsia="Book Antiqua" w:hAnsi="Book Antiqua" w:cs="Book Antiqua"/>
        </w:rPr>
        <w:t>Prognosis</w:t>
      </w:r>
      <w:proofErr w:type="gramEnd"/>
    </w:p>
    <w:p w14:paraId="31CCF69B" w14:textId="77777777" w:rsidR="00F20BB0" w:rsidRDefault="00F20BB0">
      <w:pPr>
        <w:spacing w:line="360" w:lineRule="auto"/>
        <w:jc w:val="both"/>
      </w:pPr>
    </w:p>
    <w:p w14:paraId="79703AC6" w14:textId="77777777" w:rsidR="00F060A7" w:rsidRDefault="00F060A7" w:rsidP="00F060A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A3B210F" w14:textId="77777777" w:rsidR="00F060A7" w:rsidRDefault="00F060A7">
      <w:pPr>
        <w:spacing w:line="360" w:lineRule="auto"/>
        <w:jc w:val="both"/>
      </w:pPr>
    </w:p>
    <w:p w14:paraId="3C2CC435" w14:textId="2BF6F00B" w:rsidR="00F060A7" w:rsidRDefault="00F060A7">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00000">
        <w:rPr>
          <w:rFonts w:ascii="Book Antiqua" w:eastAsia="Book Antiqua" w:hAnsi="Book Antiqua" w:cs="Book Antiqua"/>
        </w:rPr>
        <w:t xml:space="preserve">Zhou PY, Zhu DX, Chen YJ, Feng QY, Mao YH, Zhuang AB, Xu JM. High </w:t>
      </w:r>
      <w:r w:rsidR="00000000">
        <w:rPr>
          <w:rFonts w:ascii="Book Antiqua" w:eastAsia="Book Antiqua" w:hAnsi="Book Antiqua" w:cs="Book Antiqua"/>
          <w:color w:val="000000"/>
        </w:rPr>
        <w:t>Patatin like phospholipase domain containing 8</w:t>
      </w:r>
      <w:r w:rsidR="00000000">
        <w:rPr>
          <w:rFonts w:ascii="Book Antiqua" w:eastAsia="Book Antiqua" w:hAnsi="Book Antiqua" w:cs="Book Antiqua"/>
        </w:rPr>
        <w:t xml:space="preserve"> </w:t>
      </w:r>
      <w:proofErr w:type="gramStart"/>
      <w:r w:rsidR="00000000">
        <w:rPr>
          <w:rFonts w:ascii="Book Antiqua" w:eastAsia="Book Antiqua" w:hAnsi="Book Antiqua" w:cs="Book Antiqua"/>
        </w:rPr>
        <w:t>expression</w:t>
      </w:r>
      <w:proofErr w:type="gramEnd"/>
      <w:r w:rsidR="00000000">
        <w:rPr>
          <w:rFonts w:ascii="Book Antiqua" w:eastAsia="Book Antiqua" w:hAnsi="Book Antiqua" w:cs="Book Antiqua"/>
        </w:rPr>
        <w:t xml:space="preserve"> as a biomarker for poor prognosis of colorectal cancer. </w:t>
      </w:r>
      <w:r w:rsidR="00000000">
        <w:rPr>
          <w:rFonts w:ascii="Book Antiqua" w:eastAsia="Book Antiqua" w:hAnsi="Book Antiqua" w:cs="Book Antiqua"/>
          <w:i/>
          <w:iCs/>
        </w:rPr>
        <w:t>World J Gastrointest Oncol</w:t>
      </w:r>
      <w:r w:rsidR="00000000">
        <w:rPr>
          <w:rFonts w:ascii="Book Antiqua" w:eastAsia="Book Antiqua" w:hAnsi="Book Antiqua" w:cs="Book Antiqua"/>
        </w:rPr>
        <w:t xml:space="preserve"> 2024; </w:t>
      </w:r>
      <w:r w:rsidR="00000000">
        <w:rPr>
          <w:rFonts w:ascii="Book Antiqua" w:eastAsia="Book Antiqua" w:hAnsi="Book Antiqua" w:cs="Book Antiqua" w:hint="eastAsia"/>
        </w:rPr>
        <w:t xml:space="preserve">16(3): </w:t>
      </w:r>
      <w:r w:rsidRPr="00426153">
        <w:rPr>
          <w:rFonts w:ascii="Book Antiqua" w:eastAsia="Book Antiqua" w:hAnsi="Book Antiqua" w:cs="Book Antiqua"/>
        </w:rPr>
        <w:t>787-797</w:t>
      </w:r>
    </w:p>
    <w:p w14:paraId="208FBFDD" w14:textId="52BF5B77" w:rsidR="00F060A7" w:rsidRDefault="00000000">
      <w:pPr>
        <w:spacing w:line="360" w:lineRule="auto"/>
        <w:jc w:val="both"/>
        <w:rPr>
          <w:rFonts w:ascii="Book Antiqua" w:eastAsia="Book Antiqua" w:hAnsi="Book Antiqua" w:cs="Book Antiqua"/>
        </w:rPr>
      </w:pPr>
      <w:r w:rsidRPr="00F060A7">
        <w:rPr>
          <w:rFonts w:ascii="Book Antiqua" w:eastAsia="Book Antiqua" w:hAnsi="Book Antiqua" w:cs="Book Antiqua" w:hint="eastAsia"/>
          <w:b/>
          <w:bCs/>
        </w:rPr>
        <w:t>URL</w:t>
      </w:r>
      <w:r>
        <w:rPr>
          <w:rFonts w:ascii="Book Antiqua" w:eastAsia="Book Antiqua" w:hAnsi="Book Antiqua" w:cs="Book Antiqua" w:hint="eastAsia"/>
        </w:rPr>
        <w:t>: https://www.wjgnet.com/1948-5204/full/v16/i3/</w:t>
      </w:r>
      <w:r w:rsidR="00F060A7" w:rsidRPr="00426153">
        <w:rPr>
          <w:rFonts w:ascii="Book Antiqua" w:eastAsia="Book Antiqua" w:hAnsi="Book Antiqua" w:cs="Book Antiqua"/>
        </w:rPr>
        <w:t>787</w:t>
      </w:r>
      <w:r>
        <w:rPr>
          <w:rFonts w:ascii="Book Antiqua" w:eastAsia="Book Antiqua" w:hAnsi="Book Antiqua" w:cs="Book Antiqua" w:hint="eastAsia"/>
        </w:rPr>
        <w:t>.htm</w:t>
      </w:r>
    </w:p>
    <w:p w14:paraId="1F1D5C0C" w14:textId="19BD9562" w:rsidR="00F20BB0" w:rsidRDefault="00000000">
      <w:pPr>
        <w:spacing w:line="360" w:lineRule="auto"/>
        <w:jc w:val="both"/>
      </w:pPr>
      <w:r w:rsidRPr="00F060A7">
        <w:rPr>
          <w:rFonts w:ascii="Book Antiqua" w:eastAsia="Book Antiqua" w:hAnsi="Book Antiqua" w:cs="Book Antiqua" w:hint="eastAsia"/>
          <w:b/>
          <w:bCs/>
        </w:rPr>
        <w:t>DOI</w:t>
      </w:r>
      <w:r>
        <w:rPr>
          <w:rFonts w:ascii="Book Antiqua" w:eastAsia="Book Antiqua" w:hAnsi="Book Antiqua" w:cs="Book Antiqua" w:hint="eastAsia"/>
        </w:rPr>
        <w:t>: https://dx.doi.org/10.4251/wjgo.v16.i3.</w:t>
      </w:r>
      <w:r w:rsidR="00F060A7" w:rsidRPr="00426153">
        <w:rPr>
          <w:rFonts w:ascii="Book Antiqua" w:eastAsia="Book Antiqua" w:hAnsi="Book Antiqua" w:cs="Book Antiqua"/>
        </w:rPr>
        <w:t>787</w:t>
      </w:r>
    </w:p>
    <w:p w14:paraId="4460F3A1" w14:textId="77777777" w:rsidR="00F20BB0" w:rsidRDefault="00F20BB0">
      <w:pPr>
        <w:spacing w:line="360" w:lineRule="auto"/>
        <w:jc w:val="both"/>
      </w:pPr>
    </w:p>
    <w:p w14:paraId="566F34F7" w14:textId="77777777" w:rsidR="00F20BB0"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Patatin like phospholipase domain containing 8 (</w:t>
      </w:r>
      <w:r>
        <w:rPr>
          <w:rFonts w:ascii="Book Antiqua" w:eastAsia="Book Antiqua" w:hAnsi="Book Antiqua" w:cs="Book Antiqua"/>
        </w:rPr>
        <w:t>PNPLA8) has been shown to be associated with a variety of cancers, but its role in the progression of colorectal cancer (CRC) is unclear. In this study, 751 consecutive CRC patients were retrospectively analyzed. The results of this study indicate that PNPLA8 is a new independent prognostic factor for CRC. High PNPLA8 expression in CRC leads to impaired survival. These findings suggest that PNPLA8 is a potential target for clinical CRC therapy, providing important insights to help personalize therapy for CRC patients.</w:t>
      </w:r>
    </w:p>
    <w:p w14:paraId="034FBA88" w14:textId="77777777" w:rsidR="00F20BB0" w:rsidRDefault="00F20BB0">
      <w:pPr>
        <w:spacing w:line="360" w:lineRule="auto"/>
        <w:jc w:val="both"/>
      </w:pPr>
    </w:p>
    <w:p w14:paraId="24B39BDF" w14:textId="77777777" w:rsidR="00F20BB0" w:rsidRDefault="00000000">
      <w:pPr>
        <w:spacing w:line="360" w:lineRule="auto"/>
        <w:jc w:val="both"/>
      </w:pPr>
      <w:r>
        <w:rPr>
          <w:rFonts w:ascii="Book Antiqua" w:eastAsia="Book Antiqua" w:hAnsi="Book Antiqua" w:cs="Book Antiqua"/>
          <w:b/>
          <w:caps/>
          <w:color w:val="000000"/>
          <w:u w:val="single"/>
        </w:rPr>
        <w:t>INTRODUCTION</w:t>
      </w:r>
    </w:p>
    <w:p w14:paraId="196F70CA" w14:textId="77777777" w:rsidR="00F20BB0" w:rsidRDefault="00000000">
      <w:pPr>
        <w:spacing w:line="360" w:lineRule="auto"/>
        <w:jc w:val="both"/>
      </w:pPr>
      <w:r>
        <w:rPr>
          <w:rFonts w:ascii="Book Antiqua" w:eastAsia="Book Antiqua" w:hAnsi="Book Antiqua" w:cs="Book Antiqua"/>
          <w:color w:val="000000"/>
        </w:rPr>
        <w:t xml:space="preserve">Colorectal cancer (CRC) is among the deadliest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only curative treatment for localized CRC is surgery, and patients with lymph node metastases are usually advised to undergo adjuvant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relatively low 5-year survival rate of about 56.9% is further affected by inadequate screening methods and increasing resistance to </w:t>
      </w:r>
      <w:r>
        <w:rPr>
          <w:rFonts w:ascii="Book Antiqua" w:eastAsia="Book Antiqua" w:hAnsi="Book Antiqua" w:cs="Book Antiqua"/>
          <w:color w:val="000000"/>
        </w:rPr>
        <w:lastRenderedPageBreak/>
        <w:t xml:space="preserve">chemotherapy during the clinical </w:t>
      </w:r>
      <w:proofErr w:type="gramStart"/>
      <w:r>
        <w:rPr>
          <w:rFonts w:ascii="Book Antiqua" w:eastAsia="Book Antiqua" w:hAnsi="Book Antiqua" w:cs="Book Antiqua"/>
          <w:color w:val="000000"/>
        </w:rPr>
        <w:t>course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Currently, several reliable prognostic factors are widely used in clinical practice, such as molecular subtype, therapeutic response to previous adjuvant chemotherapy, time between adjuvant therapy and metastasis development (shorter is associated with poorer prognosis), comorbidities, and </w:t>
      </w:r>
      <w:proofErr w:type="gramStart"/>
      <w:r>
        <w:rPr>
          <w:rFonts w:ascii="Book Antiqua" w:eastAsia="Book Antiqua" w:hAnsi="Book Antiqua" w:cs="Book Antiqua"/>
          <w:color w:val="000000"/>
        </w:rPr>
        <w:t>frailty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Therefore, considering the heterogeneity of CRC, it is essential to develop new prognostic and therapeutic strategies. However, widely accepted new prognostic biomarkers are scarce.</w:t>
      </w:r>
    </w:p>
    <w:p w14:paraId="6346B765" w14:textId="77777777" w:rsidR="00F20BB0" w:rsidRDefault="00000000">
      <w:pPr>
        <w:spacing w:line="360" w:lineRule="auto"/>
        <w:ind w:firstLineChars="100" w:firstLine="240"/>
        <w:jc w:val="both"/>
      </w:pPr>
      <w:r>
        <w:rPr>
          <w:rFonts w:ascii="Book Antiqua" w:eastAsia="Book Antiqua" w:hAnsi="Book Antiqua" w:cs="Book Antiqua"/>
          <w:color w:val="000000"/>
        </w:rPr>
        <w:t>Patatin like phospholipase domain-containing protein (PNPLA8), also termed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-independent phospholipase A2γ (iPLA2γ), is localized to the mitochondrial matrix, where it may manifest its unique activity to cleave phospholipid side-chains from both </w:t>
      </w:r>
      <w:r>
        <w:rPr>
          <w:rFonts w:ascii="Book Antiqua" w:eastAsia="Book Antiqua" w:hAnsi="Book Antiqua" w:cs="Book Antiqua"/>
          <w:i/>
          <w:iCs/>
          <w:color w:val="000000"/>
        </w:rPr>
        <w:t>sn-1</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sn-2 </w:t>
      </w:r>
      <w:r>
        <w:rPr>
          <w:rFonts w:ascii="Book Antiqua" w:eastAsia="Book Antiqua" w:hAnsi="Book Antiqua" w:cs="Book Antiqua"/>
          <w:color w:val="000000"/>
        </w:rPr>
        <w:t xml:space="preserve">positions, consequently releasing either saturated or unsaturated fatty acids, including oxidized fatty </w:t>
      </w:r>
      <w:proofErr w:type="gramStart"/>
      <w:r>
        <w:rPr>
          <w:rFonts w:ascii="Book Antiqua" w:eastAsia="Book Antiqua" w:hAnsi="Book Antiqua" w:cs="Book Antiqua"/>
          <w:color w:val="000000"/>
        </w:rPr>
        <w:t>acids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As a calcium-independent and membrane-bound phospholipase, PNPLA8 catalyzes the esterolytic cleavage of fatty acids from glycerophospholipids to yield free fatty acids and lysophospholipids, hence regulating membrane physical properties and the release of lipid second messengers and growth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It is essential for maintaining efficient bioenergetic mitochondrial function by regulating mitochondrial membrane lipid metabolism and </w:t>
      </w:r>
      <w:proofErr w:type="gramStart"/>
      <w:r>
        <w:rPr>
          <w:rFonts w:ascii="Book Antiqua" w:eastAsia="Book Antiqua" w:hAnsi="Book Antiqua" w:cs="Book Antiqua"/>
          <w:color w:val="000000"/>
        </w:rPr>
        <w:t>composition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Mutations in the </w:t>
      </w:r>
      <w:r>
        <w:rPr>
          <w:rFonts w:ascii="Book Antiqua" w:eastAsia="Book Antiqua" w:hAnsi="Book Antiqua" w:cs="Book Antiqua"/>
          <w:i/>
          <w:iCs/>
          <w:color w:val="000000"/>
        </w:rPr>
        <w:t>PNPLA8</w:t>
      </w:r>
      <w:r>
        <w:rPr>
          <w:rFonts w:ascii="Book Antiqua" w:eastAsia="Book Antiqua" w:hAnsi="Book Antiqua" w:cs="Book Antiqua"/>
          <w:color w:val="000000"/>
        </w:rPr>
        <w:t xml:space="preserve"> gene have been linked to multiple diseases such as mitochondrial myopathy with lactic acidosis and mitochondrial </w:t>
      </w:r>
      <w:proofErr w:type="gramStart"/>
      <w:r>
        <w:rPr>
          <w:rFonts w:ascii="Book Antiqua" w:eastAsia="Book Antiqua" w:hAnsi="Book Antiqua" w:cs="Book Antiqua"/>
          <w:color w:val="000000"/>
        </w:rPr>
        <w:t>myopathy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Recently, it was found that the dysregulation of iPLA2γ can therefore be a critical factor in the development of many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including metabolic diseases and multiple cancers, such as colitis and CRC</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However, the expression status of PNPLA8 in CRC and its relationship with clinicopathological features and prognosis are largely unknown. </w:t>
      </w:r>
    </w:p>
    <w:p w14:paraId="2AF67882" w14:textId="77777777" w:rsidR="00F20BB0" w:rsidRDefault="00000000">
      <w:pPr>
        <w:spacing w:line="360" w:lineRule="auto"/>
        <w:ind w:firstLineChars="100" w:firstLine="240"/>
        <w:jc w:val="both"/>
      </w:pPr>
      <w:r>
        <w:rPr>
          <w:rFonts w:ascii="Book Antiqua" w:eastAsia="Book Antiqua" w:hAnsi="Book Antiqua" w:cs="Book Antiqua"/>
          <w:color w:val="000000"/>
        </w:rPr>
        <w:t xml:space="preserve">In this study, to investigate the potential biomarker value of PNPLA8, 751 cases of tumor samples from a cohort of CRC patients were selected to analyze PNPLA8 protein expression by immunohistochemical staining. Additionally, concentrated analyses on the correlations between PNPLA8 expression and overall survival of CRC patients in this cohort were conducted to unveil the prognostic significance of PNPLA8 in CRC. Our results suggest that higher PNPLA8 expression is an independent predictor for poor </w:t>
      </w:r>
      <w:r>
        <w:rPr>
          <w:rFonts w:ascii="Book Antiqua" w:eastAsia="Book Antiqua" w:hAnsi="Book Antiqua" w:cs="Book Antiqua"/>
          <w:color w:val="000000"/>
        </w:rPr>
        <w:lastRenderedPageBreak/>
        <w:t>prognosis in CRC patients, which could be potentially used to guide the clinical management of CRC patients.</w:t>
      </w:r>
    </w:p>
    <w:p w14:paraId="4C79CC65" w14:textId="77777777" w:rsidR="00F20BB0" w:rsidRDefault="00F20BB0">
      <w:pPr>
        <w:spacing w:line="360" w:lineRule="auto"/>
        <w:jc w:val="both"/>
      </w:pPr>
    </w:p>
    <w:p w14:paraId="77A32F3B" w14:textId="77777777" w:rsidR="00F20BB0" w:rsidRDefault="00000000">
      <w:pPr>
        <w:spacing w:line="360" w:lineRule="auto"/>
        <w:jc w:val="both"/>
      </w:pPr>
      <w:r>
        <w:rPr>
          <w:rFonts w:ascii="Book Antiqua" w:eastAsia="Book Antiqua" w:hAnsi="Book Antiqua" w:cs="Book Antiqua"/>
          <w:b/>
          <w:caps/>
          <w:color w:val="000000"/>
          <w:u w:val="single"/>
        </w:rPr>
        <w:t>MATERIALS AND METHODS</w:t>
      </w:r>
    </w:p>
    <w:p w14:paraId="4A57E3E4" w14:textId="77777777" w:rsidR="00F20BB0" w:rsidRDefault="00000000">
      <w:pPr>
        <w:spacing w:line="360" w:lineRule="auto"/>
        <w:jc w:val="both"/>
        <w:rPr>
          <w:i/>
          <w:iCs/>
        </w:rPr>
      </w:pPr>
      <w:r>
        <w:rPr>
          <w:rFonts w:ascii="Book Antiqua" w:eastAsia="Book Antiqua" w:hAnsi="Book Antiqua" w:cs="Book Antiqua"/>
          <w:b/>
          <w:bCs/>
          <w:i/>
          <w:iCs/>
          <w:color w:val="000000"/>
        </w:rPr>
        <w:t>Patients and specimens</w:t>
      </w:r>
    </w:p>
    <w:p w14:paraId="28CE8C9A" w14:textId="77777777" w:rsidR="00F20BB0" w:rsidRDefault="00000000">
      <w:pPr>
        <w:spacing w:line="360" w:lineRule="auto"/>
        <w:jc w:val="both"/>
      </w:pPr>
      <w:r>
        <w:rPr>
          <w:rFonts w:ascii="Book Antiqua" w:eastAsia="Book Antiqua" w:hAnsi="Book Antiqua" w:cs="Book Antiqua"/>
          <w:color w:val="000000"/>
        </w:rPr>
        <w:t xml:space="preserve">A total of 751 patients with CRC that were admitted to Zhongshan Hospital, Fudan University (Shanghai, China) between May 2008 and November 2012 were retrospectively enrolled in this study. The inclusion criteria were as follows: (1) </w:t>
      </w:r>
      <w:r>
        <w:rPr>
          <w:rFonts w:ascii="Book Antiqua" w:eastAsia="宋体" w:hAnsi="Book Antiqua" w:cs="Book Antiqua" w:hint="eastAsia"/>
          <w:color w:val="000000"/>
          <w:lang w:eastAsia="zh-CN"/>
        </w:rPr>
        <w:t>R</w:t>
      </w:r>
      <w:r>
        <w:rPr>
          <w:rFonts w:ascii="Book Antiqua" w:eastAsia="Book Antiqua" w:hAnsi="Book Antiqua" w:cs="Book Antiqua"/>
          <w:color w:val="000000"/>
        </w:rPr>
        <w:t>eceiving primary radical resection; (2) pathologically confirmed colorectal adenocarcinoma; (3) no treatment before surgery; and (4) clinicopathological data available. CRC patients with radical resections of synchronous liver metastases were also included. CRC cancer stages were defined according to the International Union Against Cancer/American Joint Committee on Cancer TNM classification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The diagnostic procedures were concluded before the current study was conducted. During the analysis, the observers were fully blinded to patient data. The median follow-up time of the patient cohort was 46.1 mo</w:t>
      </w:r>
      <w:r>
        <w:rPr>
          <w:rStyle w:val="msoIns0"/>
          <w:rFonts w:ascii="Book Antiqua" w:eastAsia="Book Antiqua" w:hAnsi="Book Antiqua" w:cs="Book Antiqua"/>
          <w:color w:val="000000"/>
          <w:u w:color="008080"/>
        </w:rPr>
        <w:t xml:space="preserve"> (IQR = 32.9-59.5).</w:t>
      </w:r>
    </w:p>
    <w:p w14:paraId="16F4C391" w14:textId="77777777" w:rsidR="00F20BB0" w:rsidRDefault="00000000">
      <w:pPr>
        <w:spacing w:line="360" w:lineRule="auto"/>
        <w:ind w:firstLineChars="100" w:firstLine="240"/>
        <w:jc w:val="both"/>
      </w:pPr>
      <w:r>
        <w:rPr>
          <w:rFonts w:ascii="Book Antiqua" w:eastAsia="Book Antiqua" w:hAnsi="Book Antiqua" w:cs="Book Antiqua"/>
          <w:color w:val="000000"/>
        </w:rPr>
        <w:t xml:space="preserve">This study was approved by the Clinical Research Ethics Committee of Zhongshan Hospital, Fudan University. Informed consent was acquired from all patients of the primary cohort for the acquisition of clinical and pathological information and the use of surgical specimens. </w:t>
      </w:r>
    </w:p>
    <w:p w14:paraId="46FF606D" w14:textId="77777777" w:rsidR="00F20BB0" w:rsidRDefault="00F20BB0">
      <w:pPr>
        <w:spacing w:line="360" w:lineRule="auto"/>
        <w:jc w:val="both"/>
      </w:pPr>
    </w:p>
    <w:p w14:paraId="4E230BC4" w14:textId="77777777" w:rsidR="00F20BB0" w:rsidRDefault="00000000">
      <w:pPr>
        <w:spacing w:line="360" w:lineRule="auto"/>
        <w:jc w:val="both"/>
        <w:rPr>
          <w:i/>
          <w:iCs/>
        </w:rPr>
      </w:pPr>
      <w:r>
        <w:rPr>
          <w:rFonts w:ascii="Book Antiqua" w:eastAsia="Book Antiqua" w:hAnsi="Book Antiqua" w:cs="Book Antiqua"/>
          <w:b/>
          <w:bCs/>
          <w:i/>
          <w:iCs/>
          <w:color w:val="000000"/>
        </w:rPr>
        <w:t>Immunohistochemistry</w:t>
      </w:r>
    </w:p>
    <w:p w14:paraId="318733B3" w14:textId="77777777" w:rsidR="00F20BB0" w:rsidRDefault="00000000">
      <w:pPr>
        <w:spacing w:line="360" w:lineRule="auto"/>
        <w:jc w:val="both"/>
      </w:pPr>
      <w:r>
        <w:rPr>
          <w:rFonts w:ascii="Book Antiqua" w:eastAsia="Book Antiqua" w:hAnsi="Book Antiqua" w:cs="Book Antiqua"/>
          <w:color w:val="000000"/>
        </w:rPr>
        <w:t xml:space="preserve">Formalin-fixed paraffin-embedded surgical specimens were used for tissue microarray (TMA) construction and subsequent immunohistochemistry study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Standard procedures were used to determine PNPLA8 expression levels in CRC tumor samples. After being dried overnight at 37˚C and deparaffinized in xylene, the TMA slide was rehydrated through graded alcohol and then immersed in 3% hydrogen peroxide to block endogenous peroxidase activity. After that, the sections were pretreated in a microwave oven (14 min in sodium citrate buffer, pH 6) and then incubated with 10% normal goat serum for 30 min. Primary antibody (rabbit anti-human </w:t>
      </w:r>
      <w:r>
        <w:rPr>
          <w:rFonts w:ascii="Book Antiqua" w:eastAsia="Book Antiqua" w:hAnsi="Book Antiqua" w:cs="Book Antiqua"/>
          <w:color w:val="000000"/>
        </w:rPr>
        <w:lastRenderedPageBreak/>
        <w:t>PNPLA8 polyclonal antibody, ab223726, Abcam; diluted 1:150) was applied overnight in a moist chamber at 4</w:t>
      </w:r>
      <w:r>
        <w:rPr>
          <w:rFonts w:eastAsia="Times New Roman" w:hint="eastAsia"/>
          <w:color w:val="000000"/>
          <w:lang w:eastAsia="ko-KR"/>
        </w:rPr>
        <w:t>˚</w:t>
      </w:r>
      <w:r>
        <w:rPr>
          <w:rFonts w:eastAsia="Times New Roman"/>
          <w:color w:val="000000"/>
          <w:lang w:eastAsia="ko-KR"/>
        </w:rPr>
        <w:t>C</w:t>
      </w:r>
      <w:r>
        <w:rPr>
          <w:rFonts w:ascii="Book Antiqua" w:eastAsia="Book Antiqua" w:hAnsi="Book Antiqua" w:cs="Book Antiqua"/>
          <w:color w:val="000000"/>
        </w:rPr>
        <w:t>. After the primary antibody was washed off with PBS, the secondary goat anti-rabbit antibody (ab6721, Abcam; diluted 1:10000) was applied. Reaction products were visualized by incubation with 3,3'-diaminobenzidine and counterstained with hematoxylin. Negative controls were treated identically, but with the primary antibody omitted. In addition, the paracancerous tissues were used as controls.</w:t>
      </w:r>
    </w:p>
    <w:p w14:paraId="2AD7172C" w14:textId="77777777" w:rsidR="00F20BB0" w:rsidRDefault="00F20BB0">
      <w:pPr>
        <w:spacing w:line="360" w:lineRule="auto"/>
        <w:jc w:val="both"/>
      </w:pPr>
    </w:p>
    <w:p w14:paraId="18A0AEDB" w14:textId="77777777" w:rsidR="00F20BB0" w:rsidRDefault="00000000">
      <w:pPr>
        <w:spacing w:line="360" w:lineRule="auto"/>
        <w:jc w:val="both"/>
        <w:rPr>
          <w:i/>
          <w:iCs/>
        </w:rPr>
      </w:pPr>
      <w:r>
        <w:rPr>
          <w:rFonts w:ascii="Book Antiqua" w:eastAsia="Book Antiqua" w:hAnsi="Book Antiqua" w:cs="Book Antiqua"/>
          <w:b/>
          <w:bCs/>
          <w:i/>
          <w:iCs/>
          <w:color w:val="000000"/>
        </w:rPr>
        <w:t>Evaluation of immunohistochemical staining</w:t>
      </w:r>
    </w:p>
    <w:p w14:paraId="6760C00D" w14:textId="77777777" w:rsidR="00F20BB0" w:rsidRDefault="00000000">
      <w:pPr>
        <w:spacing w:line="360" w:lineRule="auto"/>
        <w:jc w:val="both"/>
      </w:pPr>
      <w:r>
        <w:rPr>
          <w:rFonts w:ascii="Book Antiqua" w:eastAsia="Book Antiqua" w:hAnsi="Book Antiqua" w:cs="Book Antiqua"/>
          <w:color w:val="000000"/>
        </w:rPr>
        <w:t>Two independent pathologists who were blinded to the clinical data evaluated the immunostaining and the results were averaged. In case of significant discrepancies, a final score was established by reassessment on a double-headed microscope and a third person was asked to re-score the results and choose the value with the closest score. The scores for PNPLA8 intensity were set as follows: ‘+++’ was 3; ‘++’ was 2; ‘+’ was 1; and ‘−’ was 0. The area scores for PNPLA8 expression were set as follows: ‘1’ (0%-25% positive cells among all tumor cells), ‘2</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25%-50% positive cells), ‘3’ (51%-75% positive cells), and ‘4’ (more than 75% positive cells). The final score for PNPLA8 expression was the intensity score multiplied by the area score, resulting in a final score ranging from 0 to 12. Boundaries were based on the results from X-Tile Software (Yale University, version 3.6.1). A final score of 0-8 was considered low PNPLA8 expression, while 9-12 was considered high PNPLA8 expression.</w:t>
      </w:r>
    </w:p>
    <w:p w14:paraId="05B4B148" w14:textId="77777777" w:rsidR="00F20BB0" w:rsidRDefault="00F20BB0">
      <w:pPr>
        <w:spacing w:line="360" w:lineRule="auto"/>
        <w:jc w:val="both"/>
      </w:pPr>
    </w:p>
    <w:p w14:paraId="0001C29E" w14:textId="77777777" w:rsidR="00F20BB0" w:rsidRDefault="00000000">
      <w:pPr>
        <w:spacing w:line="360" w:lineRule="auto"/>
        <w:jc w:val="both"/>
        <w:rPr>
          <w:i/>
          <w:iCs/>
        </w:rPr>
      </w:pPr>
      <w:r>
        <w:rPr>
          <w:rFonts w:ascii="Book Antiqua" w:eastAsia="Book Antiqua" w:hAnsi="Book Antiqua" w:cs="Book Antiqua"/>
          <w:b/>
          <w:bCs/>
          <w:i/>
          <w:iCs/>
          <w:color w:val="000000"/>
        </w:rPr>
        <w:t>Statistical analysis</w:t>
      </w:r>
    </w:p>
    <w:p w14:paraId="5E93E85C" w14:textId="77777777" w:rsidR="00F20BB0" w:rsidRDefault="00000000">
      <w:pPr>
        <w:spacing w:line="360" w:lineRule="auto"/>
        <w:jc w:val="both"/>
      </w:pPr>
      <w:r>
        <w:rPr>
          <w:rFonts w:ascii="Book Antiqua" w:eastAsia="Book Antiqua" w:hAnsi="Book Antiqua" w:cs="Book Antiqua"/>
          <w:color w:val="000000"/>
        </w:rPr>
        <w:t xml:space="preserve">The statistical analysis was performed using SPSS 23.0 (IBM, Armonk, NY, United States). The association between clinicopathological features and PNPLA8 expression were accessed by Chi-square test or Fisher’s exact test as appropriate. Kaplan-Meier analysis and Log-rank test were performed to evaluate the relationship between PNPLA8 expression and overall survival (OS). Univariate Cox regression analysis was performed to identify the independent prognostic factors among clinicopathological features and other information. Those factors with </w:t>
      </w:r>
      <w:r>
        <w:rPr>
          <w:rFonts w:ascii="Book Antiqua" w:eastAsia="Book Antiqua" w:hAnsi="Book Antiqua" w:cs="Book Antiqua"/>
          <w:i/>
          <w:iCs/>
          <w:color w:val="000000"/>
        </w:rPr>
        <w:t>P</w:t>
      </w:r>
      <w:r>
        <w:rPr>
          <w:rFonts w:ascii="Book Antiqua" w:eastAsia="Book Antiqua" w:hAnsi="Book Antiqua" w:cs="Book Antiqua"/>
          <w:color w:val="000000"/>
        </w:rPr>
        <w:t xml:space="preserve"> &lt; 0.1 in univariate Cox regression analyses were </w:t>
      </w:r>
      <w:r>
        <w:rPr>
          <w:rFonts w:ascii="Book Antiqua" w:eastAsia="Book Antiqua" w:hAnsi="Book Antiqua" w:cs="Book Antiqua"/>
          <w:color w:val="000000"/>
        </w:rPr>
        <w:lastRenderedPageBreak/>
        <w:t xml:space="preserve">included in the multivariate Cox regression analysis. A two-sided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was considered statistically significant. To obtain the best prognostic efficacy, the cut-off values of PNPLA8 score were calculated using X-Tile Software (Yale University, version 3.6.1) based on the OS </w:t>
      </w:r>
      <w:proofErr w:type="gramStart"/>
      <w:r>
        <w:rPr>
          <w:rFonts w:ascii="Book Antiqua" w:eastAsia="Book Antiqua" w:hAnsi="Book Antiqua" w:cs="Book Antiqua"/>
          <w:color w:val="000000"/>
        </w:rPr>
        <w:t>data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p>
    <w:p w14:paraId="6B45FDC4" w14:textId="77777777" w:rsidR="00F20BB0" w:rsidRDefault="00F20BB0">
      <w:pPr>
        <w:spacing w:line="360" w:lineRule="auto"/>
        <w:jc w:val="both"/>
      </w:pPr>
    </w:p>
    <w:p w14:paraId="772548ED" w14:textId="77777777" w:rsidR="00F20BB0" w:rsidRDefault="00000000">
      <w:pPr>
        <w:spacing w:line="360" w:lineRule="auto"/>
        <w:jc w:val="both"/>
      </w:pPr>
      <w:r>
        <w:rPr>
          <w:rFonts w:ascii="Book Antiqua" w:eastAsia="Book Antiqua" w:hAnsi="Book Antiqua" w:cs="Book Antiqua"/>
          <w:b/>
          <w:caps/>
          <w:color w:val="000000"/>
          <w:u w:val="single"/>
        </w:rPr>
        <w:t>RESULTS</w:t>
      </w:r>
    </w:p>
    <w:p w14:paraId="6C6BAE8C" w14:textId="77777777" w:rsidR="00F20BB0" w:rsidRDefault="00000000">
      <w:pPr>
        <w:spacing w:line="360" w:lineRule="auto"/>
        <w:jc w:val="both"/>
        <w:rPr>
          <w:i/>
          <w:iCs/>
        </w:rPr>
      </w:pPr>
      <w:r>
        <w:rPr>
          <w:rFonts w:ascii="Book Antiqua" w:eastAsia="Book Antiqua" w:hAnsi="Book Antiqua" w:cs="Book Antiqua"/>
          <w:b/>
          <w:bCs/>
          <w:i/>
          <w:iCs/>
          <w:color w:val="000000"/>
        </w:rPr>
        <w:t>Clinicopathologic characteristics of the enrolled patients with CRC</w:t>
      </w:r>
    </w:p>
    <w:p w14:paraId="7A1413D6" w14:textId="77777777" w:rsidR="00F20BB0" w:rsidRDefault="00000000">
      <w:pPr>
        <w:spacing w:line="360" w:lineRule="auto"/>
        <w:jc w:val="both"/>
      </w:pPr>
      <w:r>
        <w:rPr>
          <w:rFonts w:ascii="Book Antiqua" w:eastAsia="Book Antiqua" w:hAnsi="Book Antiqua" w:cs="Book Antiqua"/>
          <w:color w:val="000000"/>
        </w:rPr>
        <w:t xml:space="preserve">The clinicopathologic characteristics of the enrolled CRC patients are listed in Table 1. Approximately half of the patients (53.7%) were over </w:t>
      </w:r>
      <w:proofErr w:type="gramStart"/>
      <w:r>
        <w:rPr>
          <w:rFonts w:ascii="Book Antiqua" w:eastAsia="Book Antiqua" w:hAnsi="Book Antiqua" w:cs="Book Antiqua"/>
          <w:color w:val="000000"/>
        </w:rPr>
        <w:t>60-years-old</w:t>
      </w:r>
      <w:proofErr w:type="gramEnd"/>
      <w:r>
        <w:rPr>
          <w:rFonts w:ascii="Book Antiqua" w:eastAsia="Book Antiqua" w:hAnsi="Book Antiqua" w:cs="Book Antiqua"/>
          <w:color w:val="000000"/>
        </w:rPr>
        <w:t>, and their ages ranged from 19 years to 90 years with a median age of 62 (SD, 12.3) years. The male to female ratio was 60.3:39.7. The patients with CEA value over 5 ng/mL accounted for 47.3% of total patients, while those with CA199 value more than 37 U/mL accounted for 19.2%. The tumor location was categorized as right-sided colon in 209 cases (27.8%), left-sided colon in 200 cases (26.6%), and rectum in 342 cases (45.6%). There were 323 cases (43%) with tumor size over 4.0 cm, while the majority of all the cases were non-mucinous in terms of primary histological type. For primary tumor differentiation, 497 cases (66.2%) had well/moderate differentiation, while 254 cases (33.8%) were poor/anaplastic in tumor differentiation. TNM Staging results showed that a small portion of patients (197 cases, 26.2%) were at active metastasis stage, whereas only 96 cases (12.8%) and 56 cases (7.5%) showed vascular invasion and nerve invasion, respectively.</w:t>
      </w:r>
    </w:p>
    <w:p w14:paraId="6F49F6FE" w14:textId="77777777" w:rsidR="00F20BB0" w:rsidRDefault="00F20BB0">
      <w:pPr>
        <w:spacing w:line="360" w:lineRule="auto"/>
        <w:jc w:val="both"/>
      </w:pPr>
    </w:p>
    <w:p w14:paraId="03957107" w14:textId="77777777" w:rsidR="00F20BB0" w:rsidRDefault="00000000">
      <w:pPr>
        <w:spacing w:line="360" w:lineRule="auto"/>
        <w:jc w:val="both"/>
        <w:rPr>
          <w:i/>
          <w:iCs/>
        </w:rPr>
      </w:pPr>
      <w:r>
        <w:rPr>
          <w:rFonts w:ascii="Book Antiqua" w:eastAsia="Book Antiqua" w:hAnsi="Book Antiqua" w:cs="Book Antiqua"/>
          <w:b/>
          <w:bCs/>
          <w:i/>
          <w:iCs/>
          <w:color w:val="000000"/>
        </w:rPr>
        <w:t>Correlations between PNPLA8 expression and clinicopathological parameters</w:t>
      </w:r>
    </w:p>
    <w:p w14:paraId="171DCBAC" w14:textId="77777777" w:rsidR="00F20BB0" w:rsidRDefault="00000000">
      <w:pPr>
        <w:spacing w:line="360" w:lineRule="auto"/>
        <w:jc w:val="both"/>
      </w:pPr>
      <w:r>
        <w:rPr>
          <w:rFonts w:ascii="Book Antiqua" w:eastAsia="Book Antiqua" w:hAnsi="Book Antiqua" w:cs="Book Antiqua"/>
          <w:color w:val="000000"/>
        </w:rPr>
        <w:t>We next examined PNPLA8 expression in tumor samples using immunohistochemistry staining and scored each sample according to the staining intensity (Figure 1) and staining area. Out of 751 stained CRC specimens, 689 (91.7%) showed positive PNPLA8 expression. These 751 samples were categorized into a PNPLA8-low expression group and PNPLA8-high expression group, and the correlations between PNPLA8 expression and the clinicopathological parameters were analyzed (Table 2). A positive correlation was observed between high cytoplasmic PNPLA8 staining and M stage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0.048). However, there were no significant correlations between PNPLA8 staining and other </w:t>
      </w:r>
      <w:r>
        <w:rPr>
          <w:rFonts w:ascii="Book Antiqua" w:eastAsia="Book Antiqua" w:hAnsi="Book Antiqua" w:cs="Book Antiqua"/>
          <w:color w:val="000000"/>
        </w:rPr>
        <w:lastRenderedPageBreak/>
        <w:t>parameters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including age, sex, CEA, CA199, tumor location, tumor size, primary histological type, primary differentiation, T stage, N stage, vascular invasion, and nerve invasion.</w:t>
      </w:r>
    </w:p>
    <w:p w14:paraId="6D1B4CD0" w14:textId="77777777" w:rsidR="00F20BB0" w:rsidRDefault="00F20BB0">
      <w:pPr>
        <w:spacing w:line="360" w:lineRule="auto"/>
        <w:jc w:val="both"/>
      </w:pPr>
    </w:p>
    <w:p w14:paraId="4B5EC4C4" w14:textId="77777777" w:rsidR="00F20BB0" w:rsidRDefault="00000000">
      <w:pPr>
        <w:spacing w:line="360" w:lineRule="auto"/>
        <w:jc w:val="both"/>
        <w:rPr>
          <w:i/>
          <w:iCs/>
        </w:rPr>
      </w:pPr>
      <w:r>
        <w:rPr>
          <w:rFonts w:ascii="Book Antiqua" w:eastAsia="Book Antiqua" w:hAnsi="Book Antiqua" w:cs="Book Antiqua"/>
          <w:b/>
          <w:bCs/>
          <w:i/>
          <w:iCs/>
          <w:color w:val="000000"/>
        </w:rPr>
        <w:t xml:space="preserve">High PNPLA8 expression is associated with poor overall survival of CRC </w:t>
      </w:r>
      <w:proofErr w:type="gramStart"/>
      <w:r>
        <w:rPr>
          <w:rFonts w:ascii="Book Antiqua" w:eastAsia="Book Antiqua" w:hAnsi="Book Antiqua" w:cs="Book Antiqua"/>
          <w:b/>
          <w:bCs/>
          <w:i/>
          <w:iCs/>
          <w:color w:val="000000"/>
        </w:rPr>
        <w:t>patients</w:t>
      </w:r>
      <w:proofErr w:type="gramEnd"/>
    </w:p>
    <w:p w14:paraId="0DAF8120" w14:textId="77777777" w:rsidR="00F20BB0" w:rsidRDefault="00000000">
      <w:pPr>
        <w:spacing w:line="360" w:lineRule="auto"/>
        <w:jc w:val="both"/>
      </w:pPr>
      <w:r>
        <w:rPr>
          <w:rFonts w:ascii="Book Antiqua" w:eastAsia="Book Antiqua" w:hAnsi="Book Antiqua" w:cs="Book Antiqua"/>
          <w:color w:val="000000"/>
        </w:rPr>
        <w:t xml:space="preserve">To further substantiate the importance of high PNPLA8 expression in CRC progression, we compared the OS of CRC patients in our study cohort with differential PNPLA8 expression levels. The median follow-up OS of the CRC patients was 46.1 mo (IQR = 36.9-60.9). We found that PNPLA8 expression was statistically significantly associated with a shorter OS (HR 1.445; 43.1 mo for PNPLA8-low group </w:t>
      </w:r>
      <w:r>
        <w:rPr>
          <w:rFonts w:ascii="Book Antiqua" w:eastAsia="Book Antiqua" w:hAnsi="Book Antiqua" w:cs="Book Antiqua"/>
          <w:i/>
          <w:iCs/>
          <w:color w:val="000000"/>
        </w:rPr>
        <w:t>vs</w:t>
      </w:r>
      <w:r>
        <w:rPr>
          <w:rFonts w:ascii="Book Antiqua" w:eastAsia="Book Antiqua" w:hAnsi="Book Antiqua" w:cs="Book Antiqua"/>
          <w:color w:val="000000"/>
        </w:rPr>
        <w:t xml:space="preserve"> 35.4 mo for PNPLA8-high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(Figure 2). Therefore, higher PNPLA8 expression could predict poor overall survival in CRC patients, suggesting that PNPLA8 is a prognostic factor of CRC. </w:t>
      </w:r>
    </w:p>
    <w:p w14:paraId="20F96E03" w14:textId="77777777" w:rsidR="00F20BB0" w:rsidRDefault="00000000">
      <w:pPr>
        <w:spacing w:line="360" w:lineRule="auto"/>
        <w:ind w:firstLineChars="100" w:firstLine="240"/>
        <w:jc w:val="both"/>
      </w:pPr>
      <w:r>
        <w:rPr>
          <w:rFonts w:ascii="Book Antiqua" w:eastAsia="Book Antiqua" w:hAnsi="Book Antiqua" w:cs="Book Antiqua"/>
          <w:color w:val="000000"/>
        </w:rPr>
        <w:t xml:space="preserve">We then conducted further stratified analysis according to the TNM stage of CRC patients. For CRC patients at Stage I and II, PNPLA8 expression was a significant prognostic factor (HR 2.578,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Figure 3A). For CRC patients at Stage III, OS did not show statistical differences among patients with different PNPLA8 expression levels (HR 1.061, </w:t>
      </w:r>
      <w:r>
        <w:rPr>
          <w:rFonts w:ascii="Book Antiqua" w:eastAsia="Book Antiqua" w:hAnsi="Book Antiqua" w:cs="Book Antiqua"/>
          <w:i/>
          <w:iCs/>
          <w:color w:val="000000"/>
        </w:rPr>
        <w:t>P</w:t>
      </w:r>
      <w:r>
        <w:rPr>
          <w:rFonts w:ascii="Book Antiqua" w:eastAsia="Book Antiqua" w:hAnsi="Book Antiqua" w:cs="Book Antiqua"/>
          <w:color w:val="000000"/>
        </w:rPr>
        <w:t xml:space="preserve"> = 0.083; Figure 3B). For CRC patients at Stage IV, patients with a higher PNPLA8 expression also had statistically significantly shorter OS (HR 1.476, </w:t>
      </w:r>
      <w:r>
        <w:rPr>
          <w:rFonts w:ascii="Book Antiqua" w:eastAsia="Book Antiqua" w:hAnsi="Book Antiqua" w:cs="Book Antiqua"/>
          <w:i/>
          <w:iCs/>
          <w:color w:val="000000"/>
        </w:rPr>
        <w:t>P</w:t>
      </w:r>
      <w:r>
        <w:rPr>
          <w:rFonts w:ascii="Book Antiqua" w:eastAsia="Book Antiqua" w:hAnsi="Book Antiqua" w:cs="Book Antiqua"/>
          <w:color w:val="000000"/>
        </w:rPr>
        <w:t xml:space="preserve"> = 0.036; Figure 3C). In stratified analysis according to tumor location, PNPLA8 expression was not a significant prognostic factor for patients with right-sided colon cancer (Figure 3E)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0.7057). However, for patients with left-sided colon (Figure 3D) and rectal cancer (Figure 3F), the survival curves of the two PNPLA8-expression groups showed statistically significant differences (HR 1.886,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0.009 for left-sided colon cancer; HR 1.583,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for rectal cancer). </w:t>
      </w:r>
    </w:p>
    <w:p w14:paraId="1BFE2436" w14:textId="77777777" w:rsidR="00F20BB0" w:rsidRDefault="00F20BB0">
      <w:pPr>
        <w:spacing w:line="360" w:lineRule="auto"/>
        <w:jc w:val="both"/>
      </w:pPr>
    </w:p>
    <w:p w14:paraId="7FBFEB27" w14:textId="77777777" w:rsidR="00F20BB0" w:rsidRDefault="00000000">
      <w:pPr>
        <w:spacing w:line="360" w:lineRule="auto"/>
        <w:jc w:val="both"/>
        <w:rPr>
          <w:i/>
          <w:iCs/>
        </w:rPr>
      </w:pPr>
      <w:r>
        <w:rPr>
          <w:rFonts w:ascii="Book Antiqua" w:eastAsia="Book Antiqua" w:hAnsi="Book Antiqua" w:cs="Book Antiqua"/>
          <w:b/>
          <w:bCs/>
          <w:i/>
          <w:iCs/>
          <w:color w:val="000000"/>
        </w:rPr>
        <w:t xml:space="preserve">PNPLA8 and several clinicopathological parameters are independent prognostic factors of </w:t>
      </w:r>
      <w:proofErr w:type="gramStart"/>
      <w:r>
        <w:rPr>
          <w:rFonts w:ascii="Book Antiqua" w:eastAsia="Book Antiqua" w:hAnsi="Book Antiqua" w:cs="Book Antiqua"/>
          <w:b/>
          <w:bCs/>
          <w:i/>
          <w:iCs/>
          <w:color w:val="000000"/>
        </w:rPr>
        <w:t>CRC</w:t>
      </w:r>
      <w:proofErr w:type="gramEnd"/>
    </w:p>
    <w:p w14:paraId="00AD3893" w14:textId="77777777" w:rsidR="00F20BB0" w:rsidRDefault="00000000">
      <w:pPr>
        <w:spacing w:line="360" w:lineRule="auto"/>
        <w:jc w:val="both"/>
      </w:pPr>
      <w:r>
        <w:rPr>
          <w:rFonts w:ascii="Book Antiqua" w:eastAsia="Book Antiqua" w:hAnsi="Book Antiqua" w:cs="Book Antiqua"/>
          <w:color w:val="000000"/>
        </w:rPr>
        <w:t>Using univariate analysis, we found that CRC patients with PNPLA8-high expression showed significant differences compared to PNPLA8-low expression in terms of multiple parameters, including CEA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CA199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primary differentiation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0.02), T stage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N stage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M stage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vascular invasion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nerve invasion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(Table 3). Therefore, multivariate analysis was performed using the Cox proportional hazards model for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 significant variables examined in the univariate analysis. We found that PNPLA8 expression was a </w:t>
      </w:r>
      <w:r>
        <w:rPr>
          <w:rFonts w:ascii="Book Antiqua" w:eastAsia="Book Antiqua" w:hAnsi="Book Antiqua" w:cs="Book Antiqua"/>
          <w:color w:val="000000"/>
        </w:rPr>
        <w:lastRenderedPageBreak/>
        <w:t xml:space="preserve">statistically significant independent prognostic factor (HR 1.328,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0.038). In addition, CA199 (HR 1.548,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N stage (HR 1.701,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M stage (HR 4.862,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and vascular invasion (HR 1.512, </w:t>
      </w:r>
      <w:r>
        <w:rPr>
          <w:rFonts w:ascii="Book Antiqua" w:eastAsia="Book Antiqua" w:hAnsi="Book Antiqua" w:cs="Book Antiqua"/>
          <w:i/>
          <w:iCs/>
          <w:color w:val="000000"/>
        </w:rPr>
        <w:t xml:space="preserve">P </w:t>
      </w:r>
      <w:r>
        <w:rPr>
          <w:rFonts w:ascii="Book Antiqua" w:eastAsia="Book Antiqua" w:hAnsi="Book Antiqua" w:cs="Book Antiqua"/>
          <w:color w:val="000000"/>
        </w:rPr>
        <w:t>= 0.017) (Table 3) were also found to be independent factors.</w:t>
      </w:r>
    </w:p>
    <w:p w14:paraId="10600731" w14:textId="77777777" w:rsidR="00F20BB0" w:rsidRDefault="00F20BB0">
      <w:pPr>
        <w:spacing w:line="360" w:lineRule="auto"/>
        <w:jc w:val="both"/>
      </w:pPr>
    </w:p>
    <w:p w14:paraId="4F00A796" w14:textId="77777777" w:rsidR="00F20BB0" w:rsidRDefault="00000000">
      <w:pPr>
        <w:spacing w:line="360" w:lineRule="auto"/>
        <w:jc w:val="both"/>
      </w:pPr>
      <w:r>
        <w:rPr>
          <w:rFonts w:ascii="Book Antiqua" w:eastAsia="Book Antiqua" w:hAnsi="Book Antiqua" w:cs="Book Antiqua"/>
          <w:b/>
          <w:caps/>
          <w:color w:val="000000"/>
          <w:u w:val="single"/>
        </w:rPr>
        <w:t>DISCUSSION</w:t>
      </w:r>
    </w:p>
    <w:p w14:paraId="672A0117" w14:textId="77777777" w:rsidR="00F20BB0" w:rsidRDefault="00000000">
      <w:pPr>
        <w:spacing w:line="360" w:lineRule="auto"/>
        <w:jc w:val="both"/>
      </w:pPr>
      <w:r>
        <w:rPr>
          <w:rFonts w:ascii="Book Antiqua" w:eastAsia="Book Antiqua" w:hAnsi="Book Antiqua" w:cs="Book Antiqua"/>
          <w:color w:val="000000"/>
        </w:rPr>
        <w:t xml:space="preserve">In this study, a large patient cohort was evaluated for the prognostic value of PNPLA8 in CRC. Patients with a higher PNPLA8 expression had a significantly impaired OS. Moreover, PNPLA8 expression was identified as a new independent prognostic factor for OS of CRC patients. </w:t>
      </w:r>
    </w:p>
    <w:p w14:paraId="5178BE8C" w14:textId="77777777" w:rsidR="00F20BB0" w:rsidRDefault="00000000">
      <w:pPr>
        <w:spacing w:line="360" w:lineRule="auto"/>
        <w:ind w:firstLineChars="100" w:firstLine="240"/>
        <w:jc w:val="both"/>
      </w:pPr>
      <w:r>
        <w:rPr>
          <w:rFonts w:ascii="Book Antiqua" w:eastAsia="Book Antiqua" w:hAnsi="Book Antiqua" w:cs="Book Antiqua"/>
          <w:color w:val="000000"/>
        </w:rPr>
        <w:t>PNPLA8 is part of a diverse family of phospholipase A2 enzymes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s) that hydrolyze the </w:t>
      </w:r>
      <w:r>
        <w:rPr>
          <w:rFonts w:ascii="Book Antiqua" w:eastAsia="Book Antiqua" w:hAnsi="Book Antiqua" w:cs="Book Antiqua"/>
          <w:i/>
          <w:iCs/>
          <w:color w:val="000000"/>
        </w:rPr>
        <w:t>sn-2</w:t>
      </w:r>
      <w:r>
        <w:rPr>
          <w:rFonts w:ascii="Book Antiqua" w:eastAsia="Book Antiqua" w:hAnsi="Book Antiqua" w:cs="Book Antiqua"/>
          <w:color w:val="000000"/>
        </w:rPr>
        <w:t xml:space="preserve"> substituent from membrane phospholipids to release a free fatty acid and a </w:t>
      </w:r>
      <w:proofErr w:type="gramStart"/>
      <w:r>
        <w:rPr>
          <w:rFonts w:ascii="Book Antiqua" w:eastAsia="Book Antiqua" w:hAnsi="Book Antiqua" w:cs="Book Antiqua"/>
          <w:color w:val="000000"/>
        </w:rPr>
        <w:t>lysolipid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16,11]</w:t>
      </w:r>
      <w:r>
        <w:rPr>
          <w:rFonts w:ascii="Book Antiqua" w:eastAsia="Book Antiqua" w:hAnsi="Book Antiqua" w:cs="Book Antiqua"/>
          <w:color w:val="000000"/>
        </w:rPr>
        <w:t>. These enzymes are ubiquitously expressed, and in contrast to secretory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s and cytosolic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s, do not require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for either translocation or activity. Some of the first descriptions of iPLA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activity were in the mid- to late-1980s with the identification of a plasmalogen-selective iPLA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in PNPLA8, when PNPLA8 was found to function as a phospholipase and was better </w:t>
      </w:r>
      <w:proofErr w:type="gramStart"/>
      <w:r>
        <w:rPr>
          <w:rFonts w:ascii="Book Antiqua" w:eastAsia="Book Antiqua" w:hAnsi="Book Antiqua" w:cs="Book Antiqua"/>
          <w:color w:val="000000"/>
        </w:rPr>
        <w:t>characterized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During the past few years, knockout and transgenic mice for manipulated PNPLA8 expression have been </w:t>
      </w:r>
      <w:proofErr w:type="gramStart"/>
      <w:r>
        <w:rPr>
          <w:rFonts w:ascii="Book Antiqua" w:eastAsia="Book Antiqua" w:hAnsi="Book Antiqua" w:cs="Book Antiqua"/>
          <w:color w:val="000000"/>
        </w:rPr>
        <w:t>established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and studies using these gene-manipulated mice have provided models with which to elucidate the physiological and pathophysiological roles of PNPLA8. Recently, the mechanisms by which phospholipase A2 enzymes mediate lipid reprogramming and glycerophospholipid remodeling in cancer cells have been </w:t>
      </w:r>
      <w:proofErr w:type="gramStart"/>
      <w:r>
        <w:rPr>
          <w:rFonts w:ascii="Book Antiqua" w:eastAsia="Book Antiqua" w:hAnsi="Book Antiqua" w:cs="Book Antiqua"/>
          <w:color w:val="000000"/>
        </w:rPr>
        <w:t>elucidated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As the upstream regulators of the arachidonic acid cascade, PLA2s are generally highly expressed and activated in various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Therefore, they are potential pharmacological targets and biomarkers in cancer.</w:t>
      </w:r>
    </w:p>
    <w:p w14:paraId="2032EFFB" w14:textId="77777777" w:rsidR="00F20BB0" w:rsidRDefault="00000000">
      <w:pPr>
        <w:spacing w:line="360" w:lineRule="auto"/>
        <w:ind w:firstLineChars="100" w:firstLine="240"/>
        <w:jc w:val="both"/>
      </w:pPr>
      <w:r>
        <w:rPr>
          <w:rFonts w:ascii="Book Antiqua" w:eastAsia="Book Antiqua" w:hAnsi="Book Antiqua" w:cs="Book Antiqua"/>
          <w:color w:val="000000"/>
        </w:rPr>
        <w:t xml:space="preserve">Our findings are in line with previous reports that PNPLA8 expression is increased in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21,12]</w:t>
      </w:r>
      <w:r>
        <w:rPr>
          <w:rFonts w:ascii="Book Antiqua" w:eastAsia="Book Antiqua" w:hAnsi="Book Antiqua" w:cs="Book Antiqua"/>
          <w:color w:val="000000"/>
        </w:rPr>
        <w:t xml:space="preserve">. The ability of PNPLA8 to promote cell proliferation becomes prominent in the context of tumorigenesis. Several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studies revealed higher expression of PNPLA8 in stimulated immortal cell lines and that chemical inhibition or siRNA-mediated PNPLA8 knockdown reduces proliferation and promotes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Subsequent </w:t>
      </w:r>
      <w:r>
        <w:rPr>
          <w:rFonts w:ascii="Book Antiqua" w:eastAsia="Book Antiqua" w:hAnsi="Book Antiqua" w:cs="Book Antiqua"/>
          <w:color w:val="000000"/>
        </w:rPr>
        <w:lastRenderedPageBreak/>
        <w:t xml:space="preserve">studies targeting specific cancers suggest that PNPLA8 promotes cancer cell growth </w:t>
      </w:r>
      <w:r>
        <w:rPr>
          <w:rFonts w:ascii="Book Antiqua" w:eastAsia="Book Antiqua" w:hAnsi="Book Antiqua" w:cs="Book Antiqua"/>
          <w:i/>
          <w:iCs/>
          <w:color w:val="000000"/>
        </w:rPr>
        <w:t>via</w:t>
      </w:r>
      <w:r>
        <w:rPr>
          <w:rFonts w:ascii="Book Antiqua" w:eastAsia="Book Antiqua" w:hAnsi="Book Antiqua" w:cs="Book Antiqua"/>
          <w:color w:val="000000"/>
        </w:rPr>
        <w:t xml:space="preserve"> signal transduction pathways involving epidermal growth factor receptors, mitogen-activated protein kinases, E3 ubiquitin-protein ligase Mdm</w:t>
      </w:r>
      <w:r>
        <w:rPr>
          <w:rFonts w:ascii="Book Antiqua" w:eastAsia="Book Antiqua" w:hAnsi="Book Antiqua" w:cs="Book Antiqua"/>
          <w:color w:val="000000"/>
          <w:szCs w:val="30"/>
        </w:rPr>
        <w:t>2</w:t>
      </w:r>
      <w:r>
        <w:rPr>
          <w:rFonts w:ascii="Book Antiqua" w:eastAsia="Book Antiqua" w:hAnsi="Book Antiqua" w:cs="Book Antiqua"/>
          <w:color w:val="000000"/>
        </w:rPr>
        <w:t>, tumor suppressor protein p53, and cell cycle regulator p21</w:t>
      </w:r>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Therefore, there is increasing support for a role of PNPLA8 and PNPLA8-associated phospholipase A in promoting cancer cell proliferation and metastasis, which plausibly provides the molecular mechanisms underlying our finding of PNPLA8 as a novel prognostic factor for CRC.</w:t>
      </w:r>
    </w:p>
    <w:p w14:paraId="5D2D31F8" w14:textId="77777777" w:rsidR="00F20BB0" w:rsidRDefault="00000000">
      <w:pPr>
        <w:spacing w:line="360" w:lineRule="auto"/>
        <w:ind w:firstLineChars="100" w:firstLine="240"/>
        <w:jc w:val="both"/>
      </w:pPr>
      <w:r>
        <w:rPr>
          <w:rFonts w:ascii="Book Antiqua" w:eastAsia="Book Antiqua" w:hAnsi="Book Antiqua" w:cs="Book Antiqua"/>
          <w:color w:val="000000"/>
        </w:rPr>
        <w:t xml:space="preserve">However, a couple of limitations of this study must be noted. First, our study is a retrospective one. To further validate our conclusion, a prospective study with data from multiple centers is necessary, especially for patients with left-sided colon and rectal cancer as well as Stage I and II patients. Second, the scores for PNPLA8 protein intensity and area were not determined in a fully automated way, resulting in potential artificial errors due to possible human bias. Third, in-depth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are urgently needed to unveil the mechanisms of PNPLA8 in CRC. </w:t>
      </w:r>
    </w:p>
    <w:p w14:paraId="29E2E35E" w14:textId="77777777" w:rsidR="00F20BB0" w:rsidRDefault="00F20BB0">
      <w:pPr>
        <w:spacing w:line="360" w:lineRule="auto"/>
        <w:jc w:val="both"/>
      </w:pPr>
    </w:p>
    <w:p w14:paraId="003952B0" w14:textId="77777777" w:rsidR="00F20BB0" w:rsidRDefault="00000000">
      <w:pPr>
        <w:spacing w:line="360" w:lineRule="auto"/>
        <w:jc w:val="both"/>
      </w:pPr>
      <w:r>
        <w:rPr>
          <w:rFonts w:ascii="Book Antiqua" w:eastAsia="Book Antiqua" w:hAnsi="Book Antiqua" w:cs="Book Antiqua"/>
          <w:b/>
          <w:caps/>
          <w:color w:val="000000"/>
          <w:u w:val="single"/>
        </w:rPr>
        <w:t>CONCLUSION</w:t>
      </w:r>
    </w:p>
    <w:p w14:paraId="3225CCA1" w14:textId="77777777" w:rsidR="00F20BB0" w:rsidRDefault="00000000">
      <w:pPr>
        <w:spacing w:line="360" w:lineRule="auto"/>
        <w:jc w:val="both"/>
      </w:pPr>
      <w:r>
        <w:rPr>
          <w:rFonts w:ascii="Book Antiqua" w:eastAsia="Book Antiqua" w:hAnsi="Book Antiqua" w:cs="Book Antiqua"/>
          <w:color w:val="000000"/>
        </w:rPr>
        <w:t>In summary, PNPLA8 was identified as a new independent prognostic factor for CRC. CRC with high PNPLA8 expression conferred survival impairment. Our findings provide critical insights into aiding the individualized treatment of CRC patients.</w:t>
      </w:r>
    </w:p>
    <w:p w14:paraId="6F281A26" w14:textId="77777777" w:rsidR="00F20BB0" w:rsidRDefault="00F20BB0">
      <w:pPr>
        <w:spacing w:line="360" w:lineRule="auto"/>
        <w:jc w:val="both"/>
      </w:pPr>
    </w:p>
    <w:p w14:paraId="70800DFA" w14:textId="77777777" w:rsidR="00F20BB0" w:rsidRDefault="00000000">
      <w:pPr>
        <w:spacing w:line="360" w:lineRule="auto"/>
        <w:jc w:val="both"/>
      </w:pPr>
      <w:r>
        <w:rPr>
          <w:rFonts w:ascii="Book Antiqua" w:eastAsia="Book Antiqua" w:hAnsi="Book Antiqua" w:cs="Book Antiqua"/>
          <w:b/>
          <w:caps/>
          <w:color w:val="000000"/>
          <w:u w:val="single"/>
        </w:rPr>
        <w:t>ARTICLE HIGHLIGHTS</w:t>
      </w:r>
    </w:p>
    <w:p w14:paraId="7BA5187E" w14:textId="77777777" w:rsidR="00F20BB0" w:rsidRDefault="00000000">
      <w:pPr>
        <w:spacing w:line="360" w:lineRule="auto"/>
        <w:jc w:val="both"/>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background</w:t>
      </w:r>
      <w:proofErr w:type="gramEnd"/>
    </w:p>
    <w:p w14:paraId="07A9908A" w14:textId="77777777" w:rsidR="00F20BB0" w:rsidRDefault="00000000">
      <w:pPr>
        <w:spacing w:line="360" w:lineRule="auto"/>
        <w:jc w:val="both"/>
      </w:pPr>
      <w:r>
        <w:rPr>
          <w:rFonts w:ascii="Book Antiqua" w:eastAsia="Book Antiqua" w:hAnsi="Book Antiqua" w:cs="Book Antiqua"/>
          <w:color w:val="000000"/>
        </w:rPr>
        <w:t>The role of patatin like phospholipase domain containing 8 (PNPLA8) in colorectal cancer (CRC) progression is unclear.</w:t>
      </w:r>
    </w:p>
    <w:p w14:paraId="0F1AADDE" w14:textId="77777777" w:rsidR="00F20BB0" w:rsidRDefault="00F20BB0">
      <w:pPr>
        <w:spacing w:line="360" w:lineRule="auto"/>
        <w:jc w:val="both"/>
      </w:pPr>
    </w:p>
    <w:p w14:paraId="0D8CC5D0" w14:textId="77777777" w:rsidR="00F20BB0" w:rsidRDefault="00000000">
      <w:pPr>
        <w:spacing w:line="360" w:lineRule="auto"/>
        <w:jc w:val="both"/>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motivation</w:t>
      </w:r>
      <w:proofErr w:type="gramEnd"/>
    </w:p>
    <w:p w14:paraId="6C8D7DD3" w14:textId="77777777" w:rsidR="00F20BB0" w:rsidRDefault="00000000">
      <w:pPr>
        <w:spacing w:line="360" w:lineRule="auto"/>
        <w:jc w:val="both"/>
      </w:pPr>
      <w:r>
        <w:rPr>
          <w:rFonts w:ascii="Book Antiqua" w:eastAsia="Book Antiqua" w:hAnsi="Book Antiqua" w:cs="Book Antiqua"/>
          <w:color w:val="000000"/>
        </w:rPr>
        <w:t>The research motivation is to explore the prognostic effects of PNPLA8 expression in CRC.</w:t>
      </w:r>
    </w:p>
    <w:p w14:paraId="0B20E983" w14:textId="77777777" w:rsidR="00F20BB0" w:rsidRDefault="00F20BB0">
      <w:pPr>
        <w:spacing w:line="360" w:lineRule="auto"/>
        <w:jc w:val="both"/>
      </w:pPr>
    </w:p>
    <w:p w14:paraId="08AB029C" w14:textId="77777777" w:rsidR="00F20BB0" w:rsidRDefault="00000000">
      <w:pPr>
        <w:spacing w:line="360" w:lineRule="auto"/>
        <w:jc w:val="both"/>
        <w:rPr>
          <w:lang w:eastAsia="zh-CN"/>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objectives</w:t>
      </w:r>
      <w:proofErr w:type="gramEnd"/>
    </w:p>
    <w:p w14:paraId="238FE11B" w14:textId="77777777" w:rsidR="00F20BB0" w:rsidRDefault="00000000">
      <w:pPr>
        <w:spacing w:line="360" w:lineRule="auto"/>
        <w:jc w:val="both"/>
      </w:pPr>
      <w:bookmarkStart w:id="480" w:name="OLE_LINK2"/>
      <w:bookmarkStart w:id="481" w:name="OLE_LINK1"/>
      <w:r>
        <w:rPr>
          <w:rStyle w:val="tgt"/>
          <w:rFonts w:ascii="Book Antiqua" w:eastAsia="Book Antiqua" w:hAnsi="Book Antiqua" w:cs="Book Antiqua"/>
          <w:color w:val="000000"/>
          <w:shd w:val="clear" w:color="auto" w:fill="FFFFFF"/>
        </w:rPr>
        <w:lastRenderedPageBreak/>
        <w:t>To evaluate the prognostic value of PNPLA8 expression level for CRC patient survival and its correlation with clinicopathological features of CRC patients.</w:t>
      </w:r>
    </w:p>
    <w:bookmarkEnd w:id="480"/>
    <w:bookmarkEnd w:id="481"/>
    <w:p w14:paraId="61BB98C1" w14:textId="77777777" w:rsidR="00F20BB0" w:rsidRDefault="00F20BB0">
      <w:pPr>
        <w:spacing w:line="360" w:lineRule="auto"/>
        <w:jc w:val="both"/>
      </w:pPr>
    </w:p>
    <w:p w14:paraId="74E01D0B" w14:textId="77777777" w:rsidR="00F20BB0" w:rsidRDefault="00000000">
      <w:pPr>
        <w:spacing w:line="360" w:lineRule="auto"/>
        <w:jc w:val="both"/>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methods</w:t>
      </w:r>
      <w:proofErr w:type="gramEnd"/>
    </w:p>
    <w:p w14:paraId="54C735A4" w14:textId="77777777" w:rsidR="00F20BB0" w:rsidRDefault="00000000">
      <w:pPr>
        <w:spacing w:line="360" w:lineRule="auto"/>
        <w:jc w:val="both"/>
      </w:pPr>
      <w:r>
        <w:rPr>
          <w:rFonts w:ascii="Book Antiqua" w:eastAsia="Book Antiqua" w:hAnsi="Book Antiqua" w:cs="Book Antiqua"/>
          <w:color w:val="000000"/>
        </w:rPr>
        <w:t>PNPLA8 expression in tumor samples was evaluated by immunohistochemistry staining and semi-quantitated with immunoreactive scores.</w:t>
      </w:r>
    </w:p>
    <w:p w14:paraId="7961BE26" w14:textId="77777777" w:rsidR="00F20BB0" w:rsidRDefault="00F20BB0">
      <w:pPr>
        <w:spacing w:line="360" w:lineRule="auto"/>
        <w:jc w:val="both"/>
      </w:pPr>
    </w:p>
    <w:p w14:paraId="35C8B563" w14:textId="77777777" w:rsidR="00F20BB0" w:rsidRDefault="00000000">
      <w:pPr>
        <w:spacing w:line="360" w:lineRule="auto"/>
        <w:jc w:val="both"/>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results</w:t>
      </w:r>
      <w:proofErr w:type="gramEnd"/>
    </w:p>
    <w:p w14:paraId="6FE35AEC" w14:textId="77777777" w:rsidR="00F20BB0" w:rsidRDefault="00000000">
      <w:pPr>
        <w:spacing w:line="360" w:lineRule="auto"/>
        <w:jc w:val="both"/>
      </w:pPr>
      <w:r>
        <w:rPr>
          <w:rFonts w:ascii="Book Antiqua" w:eastAsia="Book Antiqua" w:hAnsi="Book Antiqua" w:cs="Book Antiqua"/>
          <w:color w:val="000000"/>
        </w:rPr>
        <w:t xml:space="preserve">CRC patients with high PNPLA8 expression indicated poor overall survival (OS) (median OS = 35.3, </w:t>
      </w:r>
      <w:r>
        <w:rPr>
          <w:rFonts w:ascii="Book Antiqua" w:eastAsia="Book Antiqua" w:hAnsi="Book Antiqua" w:cs="Book Antiqua"/>
          <w:i/>
          <w:iCs/>
          <w:color w:val="000000"/>
        </w:rPr>
        <w:t>P</w:t>
      </w:r>
      <w:r>
        <w:rPr>
          <w:rFonts w:ascii="Book Antiqua" w:eastAsia="Book Antiqua" w:hAnsi="Book Antiqua" w:cs="Book Antiqua"/>
          <w:color w:val="000000"/>
        </w:rPr>
        <w:t xml:space="preserve"> = 0.005).</w:t>
      </w:r>
      <w:r>
        <w:rPr>
          <w:rFonts w:hint="eastAsia"/>
          <w:lang w:eastAsia="zh-CN"/>
        </w:rPr>
        <w:t xml:space="preserve"> </w:t>
      </w:r>
      <w:r>
        <w:rPr>
          <w:rFonts w:ascii="Book Antiqua" w:eastAsia="Book Antiqua" w:hAnsi="Book Antiqua" w:cs="Book Antiqua"/>
          <w:color w:val="000000"/>
        </w:rPr>
        <w:t>The multivariate analysis also confirmed that high PNPLA8 expression was a significantly independent prognostic factor for overall survival (hazard ratio HR = 1.328, 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1.016-1.734,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0.038). </w:t>
      </w:r>
    </w:p>
    <w:p w14:paraId="00240646" w14:textId="77777777" w:rsidR="00F20BB0" w:rsidRDefault="00F20BB0">
      <w:pPr>
        <w:spacing w:line="360" w:lineRule="auto"/>
        <w:jc w:val="both"/>
      </w:pPr>
    </w:p>
    <w:p w14:paraId="01116C8C" w14:textId="77777777" w:rsidR="00F20BB0" w:rsidRDefault="00000000">
      <w:pPr>
        <w:spacing w:line="360" w:lineRule="auto"/>
        <w:jc w:val="both"/>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conclusions</w:t>
      </w:r>
      <w:proofErr w:type="gramEnd"/>
    </w:p>
    <w:p w14:paraId="147DE46C" w14:textId="77777777" w:rsidR="00F20BB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High PNPLA8 expression level is associated with poorer survival outcomes in CRC patients, indicating its prognostic value for predicting patient outcomes.</w:t>
      </w:r>
    </w:p>
    <w:p w14:paraId="3CB0AF81" w14:textId="77777777" w:rsidR="00F20BB0" w:rsidRDefault="00F20BB0">
      <w:pPr>
        <w:spacing w:line="360" w:lineRule="auto"/>
        <w:jc w:val="both"/>
      </w:pPr>
    </w:p>
    <w:p w14:paraId="6149C3B9" w14:textId="77777777" w:rsidR="00F20BB0" w:rsidRDefault="00000000">
      <w:pPr>
        <w:spacing w:line="360" w:lineRule="auto"/>
        <w:jc w:val="both"/>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perspectives</w:t>
      </w:r>
      <w:proofErr w:type="gramEnd"/>
    </w:p>
    <w:p w14:paraId="65E68492" w14:textId="77777777" w:rsidR="00F20BB0" w:rsidRDefault="00000000">
      <w:pPr>
        <w:spacing w:line="360" w:lineRule="auto"/>
        <w:jc w:val="both"/>
      </w:pPr>
      <w:r>
        <w:rPr>
          <w:rStyle w:val="tgt"/>
          <w:rFonts w:ascii="Book Antiqua" w:eastAsia="Book Antiqua" w:hAnsi="Book Antiqua" w:cs="Book Antiqua" w:hint="eastAsia"/>
          <w:color w:val="000000"/>
          <w:shd w:val="clear" w:color="auto" w:fill="FFFFFF"/>
          <w:lang w:eastAsia="zh-CN"/>
        </w:rPr>
        <w:t>F</w:t>
      </w:r>
      <w:r>
        <w:rPr>
          <w:rStyle w:val="tgt"/>
          <w:rFonts w:ascii="Book Antiqua" w:eastAsia="Book Antiqua" w:hAnsi="Book Antiqua" w:cs="Book Antiqua"/>
          <w:color w:val="000000"/>
          <w:shd w:val="clear" w:color="auto" w:fill="FFFFFF"/>
        </w:rPr>
        <w:t xml:space="preserve">urther studies are needed to validate the prognostic value of PNPLA8 in </w:t>
      </w:r>
      <w:r>
        <w:rPr>
          <w:rStyle w:val="tgt"/>
          <w:rFonts w:ascii="Book Antiqua" w:eastAsia="Book Antiqua" w:hAnsi="Book Antiqua" w:cs="Book Antiqua" w:hint="eastAsia"/>
          <w:color w:val="000000"/>
          <w:shd w:val="clear" w:color="auto" w:fill="FFFFFF"/>
          <w:lang w:eastAsia="zh-CN"/>
        </w:rPr>
        <w:t>multicenter</w:t>
      </w:r>
      <w:r>
        <w:rPr>
          <w:rStyle w:val="tgt"/>
          <w:rFonts w:ascii="Book Antiqua" w:eastAsia="Book Antiqua" w:hAnsi="Book Antiqua" w:cs="Book Antiqua"/>
          <w:color w:val="000000"/>
          <w:shd w:val="clear" w:color="auto" w:fill="FFFFFF"/>
        </w:rPr>
        <w:t xml:space="preserve"> cohorts of CRC patients.</w:t>
      </w:r>
      <w:r>
        <w:t xml:space="preserve"> </w:t>
      </w:r>
      <w:r>
        <w:rPr>
          <w:rStyle w:val="tgt"/>
          <w:rFonts w:ascii="Book Antiqua" w:eastAsia="Book Antiqua" w:hAnsi="Book Antiqua" w:cs="Book Antiqua" w:hint="eastAsia"/>
          <w:color w:val="000000"/>
          <w:shd w:val="clear" w:color="auto" w:fill="FFFFFF"/>
          <w:lang w:eastAsia="zh-CN"/>
        </w:rPr>
        <w:t>T</w:t>
      </w:r>
      <w:r>
        <w:rPr>
          <w:rStyle w:val="tgt"/>
          <w:rFonts w:ascii="Book Antiqua" w:eastAsia="Book Antiqua" w:hAnsi="Book Antiqua" w:cs="Book Antiqua"/>
          <w:color w:val="000000"/>
          <w:shd w:val="clear" w:color="auto" w:fill="FFFFFF"/>
        </w:rPr>
        <w:t>he mechanism of PNPLA8 in CRC development and progression remains to be fully investigated</w:t>
      </w:r>
      <w:r>
        <w:t xml:space="preserve"> to </w:t>
      </w:r>
      <w:r>
        <w:rPr>
          <w:rStyle w:val="tgt"/>
          <w:rFonts w:ascii="Book Antiqua" w:eastAsia="Book Antiqua" w:hAnsi="Book Antiqua" w:cs="Book Antiqua"/>
          <w:color w:val="000000"/>
          <w:shd w:val="clear" w:color="auto" w:fill="FFFFFF"/>
        </w:rPr>
        <w:t>help to identify potential therapeutic targets and develop new treatment strategies.</w:t>
      </w:r>
    </w:p>
    <w:p w14:paraId="5778B240" w14:textId="77777777" w:rsidR="00F20BB0" w:rsidRDefault="00F20BB0">
      <w:pPr>
        <w:spacing w:line="360" w:lineRule="auto"/>
        <w:jc w:val="both"/>
      </w:pPr>
    </w:p>
    <w:p w14:paraId="4C5B1997" w14:textId="77777777" w:rsidR="00F20BB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5DF1959D" w14:textId="77777777" w:rsidR="00F20BB0" w:rsidRDefault="00000000">
      <w:pPr>
        <w:adjustRightInd w:val="0"/>
        <w:snapToGrid w:val="0"/>
        <w:spacing w:line="360" w:lineRule="auto"/>
        <w:jc w:val="both"/>
        <w:rPr>
          <w:rFonts w:ascii="Book Antiqua" w:hAnsi="Book Antiqua"/>
        </w:rPr>
      </w:pPr>
      <w:bookmarkStart w:id="482" w:name="OLE_LINK7783"/>
      <w:bookmarkStart w:id="483" w:name="OLE_LINK7782"/>
      <w:r>
        <w:rPr>
          <w:rFonts w:ascii="Book Antiqua" w:hAnsi="Book Antiqua"/>
        </w:rPr>
        <w:t xml:space="preserve">1 </w:t>
      </w:r>
      <w:r>
        <w:rPr>
          <w:rFonts w:ascii="Book Antiqua" w:hAnsi="Book Antiqua"/>
          <w:b/>
          <w:bCs/>
        </w:rPr>
        <w:t>Bao S</w:t>
      </w:r>
      <w:r>
        <w:rPr>
          <w:rFonts w:ascii="Book Antiqua" w:hAnsi="Book Antiqua"/>
        </w:rPr>
        <w:t xml:space="preserve">, Song H, Tan M, Wohltmann M, Ladenson JH, Turk J. Group VIB Phospholipase </w:t>
      </w:r>
      <w:proofErr w:type="gramStart"/>
      <w:r>
        <w:rPr>
          <w:rFonts w:ascii="Book Antiqua" w:hAnsi="Book Antiqua"/>
        </w:rPr>
        <w:t>A(</w:t>
      </w:r>
      <w:proofErr w:type="gramEnd"/>
      <w:r>
        <w:rPr>
          <w:rFonts w:ascii="Book Antiqua" w:hAnsi="Book Antiqua"/>
        </w:rPr>
        <w:t xml:space="preserve">2) promotes proliferation of INS-1 insulinoma cells and attenuates lipid peroxidation and apoptosis induced by inflammatory cytokines and oxidant agents. </w:t>
      </w:r>
      <w:r>
        <w:rPr>
          <w:rFonts w:ascii="Book Antiqua" w:hAnsi="Book Antiqua"/>
          <w:i/>
          <w:iCs/>
        </w:rPr>
        <w:t>Oxid Med Cell Longev</w:t>
      </w:r>
      <w:r>
        <w:rPr>
          <w:rFonts w:ascii="Book Antiqua" w:hAnsi="Book Antiqua"/>
        </w:rPr>
        <w:t xml:space="preserve"> 2012; </w:t>
      </w:r>
      <w:r>
        <w:rPr>
          <w:rFonts w:ascii="Book Antiqua" w:hAnsi="Book Antiqua"/>
          <w:b/>
          <w:bCs/>
        </w:rPr>
        <w:t>2012</w:t>
      </w:r>
      <w:r>
        <w:rPr>
          <w:rFonts w:ascii="Book Antiqua" w:hAnsi="Book Antiqua"/>
        </w:rPr>
        <w:t>: 989372 [PMID: 23213352 DOI: 10.1155/2012/989372]</w:t>
      </w:r>
    </w:p>
    <w:p w14:paraId="1805871F"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Biller LH</w:t>
      </w:r>
      <w:r>
        <w:rPr>
          <w:rFonts w:ascii="Book Antiqua" w:hAnsi="Book Antiqua"/>
        </w:rPr>
        <w:t xml:space="preserve">, Schrag D. Diagnosis and Treatment of Metastatic Colorectal Cancer: A Review. </w:t>
      </w:r>
      <w:r>
        <w:rPr>
          <w:rFonts w:ascii="Book Antiqua" w:hAnsi="Book Antiqua"/>
          <w:i/>
          <w:iCs/>
        </w:rPr>
        <w:t>JAMA</w:t>
      </w:r>
      <w:r>
        <w:rPr>
          <w:rFonts w:ascii="Book Antiqua" w:hAnsi="Book Antiqua"/>
        </w:rPr>
        <w:t xml:space="preserve"> 2021; </w:t>
      </w:r>
      <w:r>
        <w:rPr>
          <w:rFonts w:ascii="Book Antiqua" w:hAnsi="Book Antiqua"/>
          <w:b/>
          <w:bCs/>
        </w:rPr>
        <w:t>325</w:t>
      </w:r>
      <w:r>
        <w:rPr>
          <w:rFonts w:ascii="Book Antiqua" w:hAnsi="Book Antiqua"/>
        </w:rPr>
        <w:t>: 669-685 [PMID: 33591350 DOI: 10.1001/jama.2021.0106]</w:t>
      </w:r>
    </w:p>
    <w:p w14:paraId="271D76FF" w14:textId="77777777" w:rsidR="00F20BB0" w:rsidRDefault="00000000">
      <w:pPr>
        <w:adjustRightInd w:val="0"/>
        <w:snapToGrid w:val="0"/>
        <w:spacing w:line="360" w:lineRule="auto"/>
        <w:jc w:val="both"/>
        <w:rPr>
          <w:rFonts w:ascii="Book Antiqua" w:hAnsi="Book Antiqua"/>
        </w:rPr>
      </w:pPr>
      <w:r>
        <w:rPr>
          <w:rFonts w:ascii="Book Antiqua" w:hAnsi="Book Antiqua"/>
        </w:rPr>
        <w:lastRenderedPageBreak/>
        <w:t xml:space="preserve">3 </w:t>
      </w:r>
      <w:r>
        <w:rPr>
          <w:rFonts w:ascii="Book Antiqua" w:hAnsi="Book Antiqua"/>
          <w:b/>
          <w:bCs/>
        </w:rPr>
        <w:t>Blanchard H</w:t>
      </w:r>
      <w:r>
        <w:rPr>
          <w:rFonts w:ascii="Book Antiqua" w:hAnsi="Book Antiqua"/>
        </w:rPr>
        <w:t xml:space="preserve">, Taha AY, Cheon Y, Kim HW, Turk J, Rapoport SI. iPLA2β knockout mouse, a genetic model for progressive human motor disorders, develops age-related neuropathology. </w:t>
      </w:r>
      <w:r>
        <w:rPr>
          <w:rFonts w:ascii="Book Antiqua" w:hAnsi="Book Antiqua"/>
          <w:i/>
          <w:iCs/>
        </w:rPr>
        <w:t>Neurochem Res</w:t>
      </w:r>
      <w:r>
        <w:rPr>
          <w:rFonts w:ascii="Book Antiqua" w:hAnsi="Book Antiqua"/>
        </w:rPr>
        <w:t xml:space="preserve"> 2014; </w:t>
      </w:r>
      <w:r>
        <w:rPr>
          <w:rFonts w:ascii="Book Antiqua" w:hAnsi="Book Antiqua"/>
          <w:b/>
          <w:bCs/>
        </w:rPr>
        <w:t>39</w:t>
      </w:r>
      <w:r>
        <w:rPr>
          <w:rFonts w:ascii="Book Antiqua" w:hAnsi="Book Antiqua"/>
        </w:rPr>
        <w:t>: 1522-1532 [PMID: 24919816 DOI: 10.1007/s11064-014-1342-y]</w:t>
      </w:r>
    </w:p>
    <w:p w14:paraId="306ADA19"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Camp RL</w:t>
      </w:r>
      <w:r>
        <w:rPr>
          <w:rFonts w:ascii="Book Antiqua" w:hAnsi="Book Antiqua"/>
        </w:rPr>
        <w:t xml:space="preserve">, Dolled-Filhart M, Rimm DL. X-tile: a new bio-informatics tool for biomarker assessment and outcome-based cut-point optimization. </w:t>
      </w:r>
      <w:r>
        <w:rPr>
          <w:rFonts w:ascii="Book Antiqua" w:hAnsi="Book Antiqua"/>
          <w:i/>
          <w:iCs/>
        </w:rPr>
        <w:t>Clin Cancer Res</w:t>
      </w:r>
      <w:r>
        <w:rPr>
          <w:rFonts w:ascii="Book Antiqua" w:hAnsi="Book Antiqua"/>
        </w:rPr>
        <w:t xml:space="preserve"> 2004; </w:t>
      </w:r>
      <w:r>
        <w:rPr>
          <w:rFonts w:ascii="Book Antiqua" w:hAnsi="Book Antiqua"/>
          <w:b/>
          <w:bCs/>
        </w:rPr>
        <w:t>10</w:t>
      </w:r>
      <w:r>
        <w:rPr>
          <w:rFonts w:ascii="Book Antiqua" w:hAnsi="Book Antiqua"/>
        </w:rPr>
        <w:t>: 7252-7259 [PMID: 15534099 DOI: 10.1158/1078-0432.Ccr-04-0713]</w:t>
      </w:r>
    </w:p>
    <w:p w14:paraId="0E3DB32C"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Cohen D</w:t>
      </w:r>
      <w:r>
        <w:rPr>
          <w:rFonts w:ascii="Book Antiqua" w:hAnsi="Book Antiqua"/>
        </w:rPr>
        <w:t xml:space="preserve">, Papillon J, Aoudjit L, Li H, Cybulsky AV, Takano T. Role of calcium-independent phospholipase A2 in complement-mediated glomerular epithelial cell injury. </w:t>
      </w:r>
      <w:r>
        <w:rPr>
          <w:rFonts w:ascii="Book Antiqua" w:hAnsi="Book Antiqua"/>
          <w:i/>
          <w:iCs/>
        </w:rPr>
        <w:t>Am J Physiol Renal Physiol</w:t>
      </w:r>
      <w:r>
        <w:rPr>
          <w:rFonts w:ascii="Book Antiqua" w:hAnsi="Book Antiqua"/>
        </w:rPr>
        <w:t xml:space="preserve"> 2008; </w:t>
      </w:r>
      <w:r>
        <w:rPr>
          <w:rFonts w:ascii="Book Antiqua" w:hAnsi="Book Antiqua"/>
          <w:b/>
          <w:bCs/>
        </w:rPr>
        <w:t>294</w:t>
      </w:r>
      <w:r>
        <w:rPr>
          <w:rFonts w:ascii="Book Antiqua" w:hAnsi="Book Antiqua"/>
        </w:rPr>
        <w:t>: F469-F479 [PMID: 18171998 DOI: 10.1152/ajprenal.00372.2007]</w:t>
      </w:r>
    </w:p>
    <w:p w14:paraId="700F5A66"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Dekker E</w:t>
      </w:r>
      <w:r>
        <w:rPr>
          <w:rFonts w:ascii="Book Antiqua" w:hAnsi="Book Antiqua"/>
        </w:rPr>
        <w:t xml:space="preserve">, Tanis PJ, Vleugels JLA, Kasi PM, Wallace MB. Colorectal cancer. </w:t>
      </w:r>
      <w:r>
        <w:rPr>
          <w:rFonts w:ascii="Book Antiqua" w:hAnsi="Book Antiqua"/>
          <w:i/>
          <w:iCs/>
        </w:rPr>
        <w:t>Lancet</w:t>
      </w:r>
      <w:r>
        <w:rPr>
          <w:rFonts w:ascii="Book Antiqua" w:hAnsi="Book Antiqua"/>
        </w:rPr>
        <w:t xml:space="preserve"> 2019; </w:t>
      </w:r>
      <w:r>
        <w:rPr>
          <w:rFonts w:ascii="Book Antiqua" w:hAnsi="Book Antiqua"/>
          <w:b/>
          <w:bCs/>
        </w:rPr>
        <w:t>394</w:t>
      </w:r>
      <w:r>
        <w:rPr>
          <w:rFonts w:ascii="Book Antiqua" w:hAnsi="Book Antiqua"/>
        </w:rPr>
        <w:t>: 1467-1480 [PMID: 31631858 DOI: 10.1016/S0140-6736(19)32319-0]</w:t>
      </w:r>
    </w:p>
    <w:p w14:paraId="180BFCD5"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Dennis EA</w:t>
      </w:r>
      <w:r>
        <w:rPr>
          <w:rFonts w:ascii="Book Antiqua" w:hAnsi="Book Antiqua"/>
        </w:rPr>
        <w:t xml:space="preserve">, Cao J, Hsu YH, Magrioti V, Kokotos G. Phospholipase A2 enzymes: physical structure, biological function, disease implication, chemical inhibition, and therapeutic intervention. </w:t>
      </w:r>
      <w:r>
        <w:rPr>
          <w:rFonts w:ascii="Book Antiqua" w:hAnsi="Book Antiqua"/>
          <w:i/>
          <w:iCs/>
        </w:rPr>
        <w:t>Chem Rev</w:t>
      </w:r>
      <w:r>
        <w:rPr>
          <w:rFonts w:ascii="Book Antiqua" w:hAnsi="Book Antiqua"/>
        </w:rPr>
        <w:t xml:space="preserve"> 2011; </w:t>
      </w:r>
      <w:r>
        <w:rPr>
          <w:rFonts w:ascii="Book Antiqua" w:hAnsi="Book Antiqua"/>
          <w:b/>
          <w:bCs/>
        </w:rPr>
        <w:t>111</w:t>
      </w:r>
      <w:r>
        <w:rPr>
          <w:rFonts w:ascii="Book Antiqua" w:hAnsi="Book Antiqua"/>
        </w:rPr>
        <w:t>: 6130-6185 [PMID: 21910409 DOI: 10.1021/cr200085w]</w:t>
      </w:r>
    </w:p>
    <w:p w14:paraId="1EEF41EF"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Hara S</w:t>
      </w:r>
      <w:r>
        <w:rPr>
          <w:rFonts w:ascii="Book Antiqua" w:hAnsi="Book Antiqua"/>
        </w:rPr>
        <w:t xml:space="preserve">, Yoda E, Sasaki Y, Nakatani Y, Kuwata H. Calcium-independent phospholipase </w:t>
      </w:r>
      <w:proofErr w:type="gramStart"/>
      <w:r>
        <w:rPr>
          <w:rFonts w:ascii="Book Antiqua" w:hAnsi="Book Antiqua"/>
        </w:rPr>
        <w:t>A(</w:t>
      </w:r>
      <w:proofErr w:type="gramEnd"/>
      <w:r>
        <w:rPr>
          <w:rFonts w:ascii="Book Antiqua" w:hAnsi="Book Antiqua"/>
        </w:rPr>
        <w:t xml:space="preserve">2)γ (iPLA(2)γ) and its roles in cellular functions and diseases. </w:t>
      </w:r>
      <w:r>
        <w:rPr>
          <w:rFonts w:ascii="Book Antiqua" w:hAnsi="Book Antiqua"/>
          <w:i/>
          <w:iCs/>
        </w:rPr>
        <w:t>Biochim Biophys Acta Mol Cell Biol Lipids</w:t>
      </w:r>
      <w:r>
        <w:rPr>
          <w:rFonts w:ascii="Book Antiqua" w:hAnsi="Book Antiqua"/>
        </w:rPr>
        <w:t xml:space="preserve"> 2019; </w:t>
      </w:r>
      <w:r>
        <w:rPr>
          <w:rFonts w:ascii="Book Antiqua" w:hAnsi="Book Antiqua"/>
          <w:b/>
          <w:bCs/>
        </w:rPr>
        <w:t>1864</w:t>
      </w:r>
      <w:r>
        <w:rPr>
          <w:rFonts w:ascii="Book Antiqua" w:hAnsi="Book Antiqua"/>
        </w:rPr>
        <w:t>: 861-868 [PMID: 30391710 DOI: 10.1016/j.bbalip.2018.10.009]</w:t>
      </w:r>
    </w:p>
    <w:p w14:paraId="5BC13D66"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Hooks SB</w:t>
      </w:r>
      <w:r>
        <w:rPr>
          <w:rFonts w:ascii="Book Antiqua" w:hAnsi="Book Antiqua"/>
        </w:rPr>
        <w:t xml:space="preserve">, Cummings BS. Role of Ca2+-independent phospholipase A2 in cell growth and signaling. </w:t>
      </w:r>
      <w:r>
        <w:rPr>
          <w:rFonts w:ascii="Book Antiqua" w:hAnsi="Book Antiqua"/>
          <w:i/>
          <w:iCs/>
        </w:rPr>
        <w:t>Biochem Pharmacol</w:t>
      </w:r>
      <w:r>
        <w:rPr>
          <w:rFonts w:ascii="Book Antiqua" w:hAnsi="Book Antiqua"/>
        </w:rPr>
        <w:t xml:space="preserve"> 2008; </w:t>
      </w:r>
      <w:r>
        <w:rPr>
          <w:rFonts w:ascii="Book Antiqua" w:hAnsi="Book Antiqua"/>
          <w:b/>
          <w:bCs/>
        </w:rPr>
        <w:t>76</w:t>
      </w:r>
      <w:r>
        <w:rPr>
          <w:rFonts w:ascii="Book Antiqua" w:hAnsi="Book Antiqua"/>
        </w:rPr>
        <w:t>: 1059-1067 [PMID: 18775417 DOI: 10.1016/j.bcp.2008.07.044]</w:t>
      </w:r>
    </w:p>
    <w:p w14:paraId="1F5D4826"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Jabůrek M</w:t>
      </w:r>
      <w:r>
        <w:rPr>
          <w:rFonts w:ascii="Book Antiqua" w:hAnsi="Book Antiqua"/>
        </w:rPr>
        <w:t xml:space="preserve">, Průchová P, Holendová B, Galkin A, Ježek P. Antioxidant Synergy of Mitochondrial Phospholipase PNPLA8/iPLA2γ with Fatty Acid-Conducting SLC25 Gene Family Transporters. </w:t>
      </w:r>
      <w:r>
        <w:rPr>
          <w:rFonts w:ascii="Book Antiqua" w:hAnsi="Book Antiqua"/>
          <w:i/>
          <w:iCs/>
        </w:rPr>
        <w:t>Antioxidants (Basel)</w:t>
      </w:r>
      <w:r>
        <w:rPr>
          <w:rFonts w:ascii="Book Antiqua" w:hAnsi="Book Antiqua"/>
        </w:rPr>
        <w:t xml:space="preserve"> 2021; </w:t>
      </w:r>
      <w:r>
        <w:rPr>
          <w:rFonts w:ascii="Book Antiqua" w:hAnsi="Book Antiqua"/>
          <w:b/>
          <w:bCs/>
        </w:rPr>
        <w:t>10</w:t>
      </w:r>
      <w:r>
        <w:rPr>
          <w:rFonts w:ascii="Book Antiqua" w:hAnsi="Book Antiqua"/>
        </w:rPr>
        <w:t xml:space="preserve"> [PMID: 33926059 DOI: 10.3390/antiox10050678]</w:t>
      </w:r>
    </w:p>
    <w:p w14:paraId="58A5A854"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Ji M</w:t>
      </w:r>
      <w:r>
        <w:rPr>
          <w:rFonts w:ascii="Book Antiqua" w:hAnsi="Book Antiqua"/>
        </w:rPr>
        <w:t xml:space="preserve">, Ren L, Lv Y, Lao X, Feng Q, Tang W, Zhuang A, Liu T, Zheng P, Xu J. Small Nuclear Ribonucleoprotein Polypeptide N Accelerates Malignant Progression and Poor </w:t>
      </w:r>
      <w:r>
        <w:rPr>
          <w:rFonts w:ascii="Book Antiqua" w:hAnsi="Book Antiqua"/>
        </w:rPr>
        <w:lastRenderedPageBreak/>
        <w:t xml:space="preserve">Prognosis in Colorectal Cancer Transcriptionally Regulated by E2F8.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561287 [PMID: 33224876 DOI: 10.3389/fonc.2020.561287]</w:t>
      </w:r>
    </w:p>
    <w:p w14:paraId="66378624"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Khan SA</w:t>
      </w:r>
      <w:r>
        <w:rPr>
          <w:rFonts w:ascii="Book Antiqua" w:hAnsi="Book Antiqua"/>
        </w:rPr>
        <w:t xml:space="preserve">, Ilies MA. The Phospholipase A2 Superfamily: Structure, Isozymes, Catalysis, Physiologic and Pathologic Roles. </w:t>
      </w:r>
      <w:r>
        <w:rPr>
          <w:rFonts w:ascii="Book Antiqua" w:hAnsi="Book Antiqua"/>
          <w:i/>
          <w:iCs/>
        </w:rPr>
        <w:t>Int J Mol Sci</w:t>
      </w:r>
      <w:r>
        <w:rPr>
          <w:rFonts w:ascii="Book Antiqua" w:hAnsi="Book Antiqua"/>
        </w:rPr>
        <w:t xml:space="preserve"> 2023; </w:t>
      </w:r>
      <w:r>
        <w:rPr>
          <w:rFonts w:ascii="Book Antiqua" w:hAnsi="Book Antiqua"/>
          <w:b/>
          <w:bCs/>
        </w:rPr>
        <w:t>24</w:t>
      </w:r>
      <w:r>
        <w:rPr>
          <w:rFonts w:ascii="Book Antiqua" w:hAnsi="Book Antiqua"/>
        </w:rPr>
        <w:t xml:space="preserve"> [PMID: 36674864 DOI: 10.3390/ijms24021353]</w:t>
      </w:r>
    </w:p>
    <w:p w14:paraId="7B21F4EE"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Li N</w:t>
      </w:r>
      <w:r>
        <w:rPr>
          <w:rFonts w:ascii="Book Antiqua" w:hAnsi="Book Antiqua"/>
        </w:rPr>
        <w:t xml:space="preserve">, Lu B, Luo C, Cai J, Lu M, Zhang Y, Chen H, Dai M. Incidence, mortality, survival, risk factor and screening of colorectal cancer: A comparison among China, Europe, and northern America. </w:t>
      </w:r>
      <w:r>
        <w:rPr>
          <w:rFonts w:ascii="Book Antiqua" w:hAnsi="Book Antiqua"/>
          <w:i/>
          <w:iCs/>
        </w:rPr>
        <w:t>Cancer Lett</w:t>
      </w:r>
      <w:r>
        <w:rPr>
          <w:rFonts w:ascii="Book Antiqua" w:hAnsi="Book Antiqua"/>
        </w:rPr>
        <w:t xml:space="preserve"> 2021; </w:t>
      </w:r>
      <w:r>
        <w:rPr>
          <w:rFonts w:ascii="Book Antiqua" w:hAnsi="Book Antiqua"/>
          <w:b/>
          <w:bCs/>
        </w:rPr>
        <w:t>522</w:t>
      </w:r>
      <w:r>
        <w:rPr>
          <w:rFonts w:ascii="Book Antiqua" w:hAnsi="Book Antiqua"/>
        </w:rPr>
        <w:t>: 255-268 [PMID: 34563640 DOI: 10.1016/j.canlet.2021.09.034]</w:t>
      </w:r>
    </w:p>
    <w:p w14:paraId="60BE5734"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Liu GY</w:t>
      </w:r>
      <w:r>
        <w:rPr>
          <w:rFonts w:ascii="Book Antiqua" w:hAnsi="Book Antiqua"/>
        </w:rPr>
        <w:t xml:space="preserve">, Moon SH, Jenkins CM, Li M, Sims HF, Guan S, Gross RW. The phospholipase </w:t>
      </w:r>
      <w:proofErr w:type="gramStart"/>
      <w:r>
        <w:rPr>
          <w:rFonts w:ascii="Book Antiqua" w:hAnsi="Book Antiqua"/>
        </w:rPr>
        <w:t>iPLA(</w:t>
      </w:r>
      <w:proofErr w:type="gramEnd"/>
      <w:r>
        <w:rPr>
          <w:rFonts w:ascii="Book Antiqua" w:hAnsi="Book Antiqua"/>
        </w:rPr>
        <w:t xml:space="preserve">2)γ is a major mediator releasing oxidized aliphatic chains from cardiolipin, integrating mitochondrial bioenergetics and signaling. </w:t>
      </w:r>
      <w:r>
        <w:rPr>
          <w:rFonts w:ascii="Book Antiqua" w:hAnsi="Book Antiqua"/>
          <w:i/>
          <w:iCs/>
        </w:rPr>
        <w:t>J Biol Chem</w:t>
      </w:r>
      <w:r>
        <w:rPr>
          <w:rFonts w:ascii="Book Antiqua" w:hAnsi="Book Antiqua"/>
        </w:rPr>
        <w:t xml:space="preserve"> 2017; </w:t>
      </w:r>
      <w:r>
        <w:rPr>
          <w:rFonts w:ascii="Book Antiqua" w:hAnsi="Book Antiqua"/>
          <w:b/>
          <w:bCs/>
        </w:rPr>
        <w:t>292</w:t>
      </w:r>
      <w:r>
        <w:rPr>
          <w:rFonts w:ascii="Book Antiqua" w:hAnsi="Book Antiqua"/>
        </w:rPr>
        <w:t>: 10672-10684 [PMID: 28442572 DOI: 10.1074/jbc.M117.783068]</w:t>
      </w:r>
    </w:p>
    <w:p w14:paraId="012452C4"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Moon SH</w:t>
      </w:r>
      <w:r>
        <w:rPr>
          <w:rFonts w:ascii="Book Antiqua" w:hAnsi="Book Antiqua"/>
        </w:rPr>
        <w:t xml:space="preserve">, Jenkins CM, Liu X, Guan S, Mancuso DJ, Gross RW. Activation of mitochondrial calcium-independent phospholipase A2γ (iPLA2γ) by divalent cations mediating arachidonate release and production of downstream eicosanoids. </w:t>
      </w:r>
      <w:r>
        <w:rPr>
          <w:rFonts w:ascii="Book Antiqua" w:hAnsi="Book Antiqua"/>
          <w:i/>
          <w:iCs/>
        </w:rPr>
        <w:t>J Biol Chem</w:t>
      </w:r>
      <w:r>
        <w:rPr>
          <w:rFonts w:ascii="Book Antiqua" w:hAnsi="Book Antiqua"/>
        </w:rPr>
        <w:t xml:space="preserve"> 2012; </w:t>
      </w:r>
      <w:r>
        <w:rPr>
          <w:rFonts w:ascii="Book Antiqua" w:hAnsi="Book Antiqua"/>
          <w:b/>
          <w:bCs/>
        </w:rPr>
        <w:t>287</w:t>
      </w:r>
      <w:r>
        <w:rPr>
          <w:rFonts w:ascii="Book Antiqua" w:hAnsi="Book Antiqua"/>
        </w:rPr>
        <w:t>: 14880-14895 [PMID: 22389508 DOI: 10.1074/jbc.M111.336776]</w:t>
      </w:r>
    </w:p>
    <w:p w14:paraId="6987D9C1"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Murakami M</w:t>
      </w:r>
      <w:r>
        <w:rPr>
          <w:rFonts w:ascii="Book Antiqua" w:hAnsi="Book Antiqua"/>
        </w:rPr>
        <w:t xml:space="preserve">, Masuda S, Ueda-Semmyo K, Yoda E, Kuwata H, Takanezawa Y, Aoki J, Arai H, Sumimoto H, Ishikawa Y, Ishii T, Nakatani Y, Kudo I. Group VIB Ca2+-independent phospholipase A2gamma promotes cellular membrane hydrolysis and prostaglandin production in a manner distinct from other intracellular phospholipases A2. </w:t>
      </w:r>
      <w:r>
        <w:rPr>
          <w:rFonts w:ascii="Book Antiqua" w:hAnsi="Book Antiqua"/>
          <w:i/>
          <w:iCs/>
        </w:rPr>
        <w:t>J Biol Chem</w:t>
      </w:r>
      <w:r>
        <w:rPr>
          <w:rFonts w:ascii="Book Antiqua" w:hAnsi="Book Antiqua"/>
        </w:rPr>
        <w:t xml:space="preserve"> 2005; </w:t>
      </w:r>
      <w:r>
        <w:rPr>
          <w:rFonts w:ascii="Book Antiqua" w:hAnsi="Book Antiqua"/>
          <w:b/>
          <w:bCs/>
        </w:rPr>
        <w:t>280</w:t>
      </w:r>
      <w:r>
        <w:rPr>
          <w:rFonts w:ascii="Book Antiqua" w:hAnsi="Book Antiqua"/>
        </w:rPr>
        <w:t>: 14028-14041 [PMID: 15695510 DOI: 10.1074/jbc.M413766200]</w:t>
      </w:r>
    </w:p>
    <w:p w14:paraId="1BB9B5EE"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Murase R</w:t>
      </w:r>
      <w:r>
        <w:rPr>
          <w:rFonts w:ascii="Book Antiqua" w:hAnsi="Book Antiqua"/>
        </w:rPr>
        <w:t xml:space="preserve">, Taketomi Y, Miki Y, Nishito Y, Saito M, Fukami K, Yamamoto K, Murakami M. Group III phospholipase </w:t>
      </w:r>
      <w:proofErr w:type="gramStart"/>
      <w:r>
        <w:rPr>
          <w:rFonts w:ascii="Book Antiqua" w:hAnsi="Book Antiqua"/>
        </w:rPr>
        <w:t>A(</w:t>
      </w:r>
      <w:proofErr w:type="gramEnd"/>
      <w:r>
        <w:rPr>
          <w:rFonts w:ascii="Book Antiqua" w:hAnsi="Book Antiqua"/>
        </w:rPr>
        <w:t xml:space="preserve">2) promotes colitis and colorectal cancer. </w:t>
      </w:r>
      <w:r>
        <w:rPr>
          <w:rFonts w:ascii="Book Antiqua" w:hAnsi="Book Antiqua"/>
          <w:i/>
          <w:iCs/>
        </w:rPr>
        <w:t>Sci Rep</w:t>
      </w:r>
      <w:r>
        <w:rPr>
          <w:rFonts w:ascii="Book Antiqua" w:hAnsi="Book Antiqua"/>
        </w:rPr>
        <w:t xml:space="preserve"> 2017; </w:t>
      </w:r>
      <w:r>
        <w:rPr>
          <w:rFonts w:ascii="Book Antiqua" w:hAnsi="Book Antiqua"/>
          <w:b/>
          <w:bCs/>
        </w:rPr>
        <w:t>7</w:t>
      </w:r>
      <w:r>
        <w:rPr>
          <w:rFonts w:ascii="Book Antiqua" w:hAnsi="Book Antiqua"/>
        </w:rPr>
        <w:t>: 12261 [PMID: 28947740 DOI: 10.1038/s41598-017-12434-z]</w:t>
      </w:r>
    </w:p>
    <w:p w14:paraId="3E853138"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Nappi A</w:t>
      </w:r>
      <w:r>
        <w:rPr>
          <w:rFonts w:ascii="Book Antiqua" w:hAnsi="Book Antiqua"/>
        </w:rPr>
        <w:t xml:space="preserve">, Nasti G, Romano C, Berretta M, Ottaiano A. Metastatic Colorectal Cancer: Prognostic and Predictive Factors. </w:t>
      </w:r>
      <w:r>
        <w:rPr>
          <w:rFonts w:ascii="Book Antiqua" w:hAnsi="Book Antiqua"/>
          <w:i/>
          <w:iCs/>
        </w:rPr>
        <w:t>Curr Med Chem</w:t>
      </w:r>
      <w:r>
        <w:rPr>
          <w:rFonts w:ascii="Book Antiqua" w:hAnsi="Book Antiqua"/>
        </w:rPr>
        <w:t xml:space="preserve"> 2020; </w:t>
      </w:r>
      <w:r>
        <w:rPr>
          <w:rFonts w:ascii="Book Antiqua" w:hAnsi="Book Antiqua"/>
          <w:b/>
          <w:bCs/>
        </w:rPr>
        <w:t>27</w:t>
      </w:r>
      <w:r>
        <w:rPr>
          <w:rFonts w:ascii="Book Antiqua" w:hAnsi="Book Antiqua"/>
        </w:rPr>
        <w:t>: 2779-2791 [PMID: 31218949 DOI: 10.2174/0929867326666190620110732]</w:t>
      </w:r>
    </w:p>
    <w:p w14:paraId="16BE0F4F"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Peng Z</w:t>
      </w:r>
      <w:r>
        <w:rPr>
          <w:rFonts w:ascii="Book Antiqua" w:hAnsi="Book Antiqua"/>
        </w:rPr>
        <w:t xml:space="preserve">, Chang Y, Fan J, Ji W, Su C. Phospholipase A2 superfamily in cancer. </w:t>
      </w:r>
      <w:r>
        <w:rPr>
          <w:rFonts w:ascii="Book Antiqua" w:hAnsi="Book Antiqua"/>
          <w:i/>
          <w:iCs/>
        </w:rPr>
        <w:t>Cancer Lett</w:t>
      </w:r>
      <w:r>
        <w:rPr>
          <w:rFonts w:ascii="Book Antiqua" w:hAnsi="Book Antiqua"/>
        </w:rPr>
        <w:t xml:space="preserve"> 2021; </w:t>
      </w:r>
      <w:r>
        <w:rPr>
          <w:rFonts w:ascii="Book Antiqua" w:hAnsi="Book Antiqua"/>
          <w:b/>
          <w:bCs/>
        </w:rPr>
        <w:t>497</w:t>
      </w:r>
      <w:r>
        <w:rPr>
          <w:rFonts w:ascii="Book Antiqua" w:hAnsi="Book Antiqua"/>
        </w:rPr>
        <w:t>: 165-177 [PMID: 33080311 DOI: 10.1016/j.canlet.2020.10.021]</w:t>
      </w:r>
    </w:p>
    <w:p w14:paraId="145DF4A3" w14:textId="77777777" w:rsidR="00F20BB0" w:rsidRDefault="00000000">
      <w:pPr>
        <w:adjustRightInd w:val="0"/>
        <w:snapToGrid w:val="0"/>
        <w:spacing w:line="360" w:lineRule="auto"/>
        <w:jc w:val="both"/>
        <w:rPr>
          <w:rFonts w:ascii="Book Antiqua" w:hAnsi="Book Antiqua"/>
        </w:rPr>
      </w:pPr>
      <w:r>
        <w:rPr>
          <w:rFonts w:ascii="Book Antiqua" w:hAnsi="Book Antiqua"/>
        </w:rPr>
        <w:lastRenderedPageBreak/>
        <w:t xml:space="preserve">20 </w:t>
      </w:r>
      <w:r>
        <w:rPr>
          <w:rFonts w:ascii="Book Antiqua" w:hAnsi="Book Antiqua"/>
          <w:b/>
          <w:bCs/>
        </w:rPr>
        <w:t>Ramanadham S</w:t>
      </w:r>
      <w:r>
        <w:rPr>
          <w:rFonts w:ascii="Book Antiqua" w:hAnsi="Book Antiqua"/>
        </w:rPr>
        <w:t xml:space="preserve">, Ali T, Ashley JW, Bone RN, Hancock WD, Lei X. Calcium-independent phospholipases A2 and their roles in biological processes and diseases. </w:t>
      </w:r>
      <w:r>
        <w:rPr>
          <w:rFonts w:ascii="Book Antiqua" w:hAnsi="Book Antiqua"/>
          <w:i/>
          <w:iCs/>
        </w:rPr>
        <w:t>J Lipid Res</w:t>
      </w:r>
      <w:r>
        <w:rPr>
          <w:rFonts w:ascii="Book Antiqua" w:hAnsi="Book Antiqua"/>
        </w:rPr>
        <w:t xml:space="preserve"> 2015; </w:t>
      </w:r>
      <w:r>
        <w:rPr>
          <w:rFonts w:ascii="Book Antiqua" w:hAnsi="Book Antiqua"/>
          <w:b/>
          <w:bCs/>
        </w:rPr>
        <w:t>56</w:t>
      </w:r>
      <w:r>
        <w:rPr>
          <w:rFonts w:ascii="Book Antiqua" w:hAnsi="Book Antiqua"/>
        </w:rPr>
        <w:t>: 1643-1668 [PMID: 26023050 DOI: 10.1194/</w:t>
      </w:r>
      <w:proofErr w:type="gramStart"/>
      <w:r>
        <w:rPr>
          <w:rFonts w:ascii="Book Antiqua" w:hAnsi="Book Antiqua"/>
        </w:rPr>
        <w:t>jlr.R</w:t>
      </w:r>
      <w:proofErr w:type="gramEnd"/>
      <w:r>
        <w:rPr>
          <w:rFonts w:ascii="Book Antiqua" w:hAnsi="Book Antiqua"/>
        </w:rPr>
        <w:t>058701]</w:t>
      </w:r>
    </w:p>
    <w:p w14:paraId="737EC7C3"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Saunders CJ</w:t>
      </w:r>
      <w:r>
        <w:rPr>
          <w:rFonts w:ascii="Book Antiqua" w:hAnsi="Book Antiqua"/>
        </w:rPr>
        <w:t xml:space="preserve">, Moon SH, Liu X, Thiffault I, Coffman K, LePichon JB, Taboada E, Smith LD, Farrow EG, Miller N, Gibson M, Patterson M, Kingsmore SF, Gross RW. Loss of function variants in human PNPLA8 encoding calcium-independent phospholipase A2 γ recapitulate the mitochondriopathy of the homologous null mouse. </w:t>
      </w:r>
      <w:r>
        <w:rPr>
          <w:rFonts w:ascii="Book Antiqua" w:hAnsi="Book Antiqua"/>
          <w:i/>
          <w:iCs/>
        </w:rPr>
        <w:t>Hum Mutat</w:t>
      </w:r>
      <w:r>
        <w:rPr>
          <w:rFonts w:ascii="Book Antiqua" w:hAnsi="Book Antiqua"/>
        </w:rPr>
        <w:t xml:space="preserve"> 2015; </w:t>
      </w:r>
      <w:r>
        <w:rPr>
          <w:rFonts w:ascii="Book Antiqua" w:hAnsi="Book Antiqua"/>
          <w:b/>
          <w:bCs/>
        </w:rPr>
        <w:t>36</w:t>
      </w:r>
      <w:r>
        <w:rPr>
          <w:rFonts w:ascii="Book Antiqua" w:hAnsi="Book Antiqua"/>
        </w:rPr>
        <w:t>: 301-306 [PMID: 25512002 DOI: 10.1002/humu.22743]</w:t>
      </w:r>
    </w:p>
    <w:p w14:paraId="61C266AB"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Scott KF</w:t>
      </w:r>
      <w:r>
        <w:rPr>
          <w:rFonts w:ascii="Book Antiqua" w:hAnsi="Book Antiqua"/>
        </w:rPr>
        <w:t xml:space="preserve">, Sajinovic M, Hein J, Nixdorf S, Galettis P, Liauw W, de Souza P, Dong Q, Graham GG, Russell PJ. Emerging roles for phospholipase A2 enzymes in cancer. </w:t>
      </w:r>
      <w:r>
        <w:rPr>
          <w:rFonts w:ascii="Book Antiqua" w:hAnsi="Book Antiqua"/>
          <w:i/>
          <w:iCs/>
        </w:rPr>
        <w:t>Biochimie</w:t>
      </w:r>
      <w:r>
        <w:rPr>
          <w:rFonts w:ascii="Book Antiqua" w:hAnsi="Book Antiqua"/>
        </w:rPr>
        <w:t xml:space="preserve"> 2010; </w:t>
      </w:r>
      <w:r>
        <w:rPr>
          <w:rFonts w:ascii="Book Antiqua" w:hAnsi="Book Antiqua"/>
          <w:b/>
          <w:bCs/>
        </w:rPr>
        <w:t>92</w:t>
      </w:r>
      <w:r>
        <w:rPr>
          <w:rFonts w:ascii="Book Antiqua" w:hAnsi="Book Antiqua"/>
        </w:rPr>
        <w:t>: 601-610 [PMID: 20362028 DOI: 10.1016/j.biochi.2010.03.019]</w:t>
      </w:r>
    </w:p>
    <w:p w14:paraId="79E99E6F"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Siegel RL</w:t>
      </w:r>
      <w:r>
        <w:rPr>
          <w:rFonts w:ascii="Book Antiqua" w:hAnsi="Book Antiqua"/>
        </w:rPr>
        <w:t xml:space="preserve">, Miller KD, Fuchs HE, Jemal A. Cancer statistics, 2022. </w:t>
      </w:r>
      <w:r>
        <w:rPr>
          <w:rFonts w:ascii="Book Antiqua" w:hAnsi="Book Antiqua"/>
          <w:i/>
          <w:iCs/>
        </w:rPr>
        <w:t>CA Cancer J Clin</w:t>
      </w:r>
      <w:r>
        <w:rPr>
          <w:rFonts w:ascii="Book Antiqua" w:hAnsi="Book Antiqua"/>
        </w:rPr>
        <w:t xml:space="preserve"> 2022; </w:t>
      </w:r>
      <w:r>
        <w:rPr>
          <w:rFonts w:ascii="Book Antiqua" w:hAnsi="Book Antiqua"/>
          <w:b/>
          <w:bCs/>
        </w:rPr>
        <w:t>72</w:t>
      </w:r>
      <w:r>
        <w:rPr>
          <w:rFonts w:ascii="Book Antiqua" w:hAnsi="Book Antiqua"/>
        </w:rPr>
        <w:t>: 7-33 [PMID: 35020204 DOI: 10.3322/caac.21708]</w:t>
      </w:r>
    </w:p>
    <w:p w14:paraId="1270133F"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Taketo MM</w:t>
      </w:r>
      <w:r>
        <w:rPr>
          <w:rFonts w:ascii="Book Antiqua" w:hAnsi="Book Antiqua"/>
        </w:rPr>
        <w:t xml:space="preserve">, Sonoshita M. Phospolipase A2 and apoptosis. </w:t>
      </w:r>
      <w:r>
        <w:rPr>
          <w:rFonts w:ascii="Book Antiqua" w:hAnsi="Book Antiqua"/>
          <w:i/>
          <w:iCs/>
        </w:rPr>
        <w:t>Biochim Biophys Acta</w:t>
      </w:r>
      <w:r>
        <w:rPr>
          <w:rFonts w:ascii="Book Antiqua" w:hAnsi="Book Antiqua"/>
        </w:rPr>
        <w:t xml:space="preserve"> 2002; </w:t>
      </w:r>
      <w:r>
        <w:rPr>
          <w:rFonts w:ascii="Book Antiqua" w:hAnsi="Book Antiqua"/>
          <w:b/>
          <w:bCs/>
        </w:rPr>
        <w:t>1585</w:t>
      </w:r>
      <w:r>
        <w:rPr>
          <w:rFonts w:ascii="Book Antiqua" w:hAnsi="Book Antiqua"/>
        </w:rPr>
        <w:t>: 72-76 [PMID: 12531539 DOI: 10.1016/s1388-1981(02)00326-8]</w:t>
      </w:r>
    </w:p>
    <w:p w14:paraId="709F0238" w14:textId="77777777" w:rsidR="00F20BB0" w:rsidRDefault="00000000">
      <w:pPr>
        <w:adjustRightInd w:val="0"/>
        <w:snapToGrid w:val="0"/>
        <w:spacing w:line="360" w:lineRule="auto"/>
        <w:jc w:val="both"/>
        <w:rPr>
          <w:rFonts w:ascii="Book Antiqua" w:hAnsi="Book Antiqua"/>
        </w:rPr>
      </w:pPr>
      <w:r>
        <w:rPr>
          <w:rFonts w:ascii="Book Antiqua" w:hAnsi="Book Antiqua"/>
        </w:rPr>
        <w:t xml:space="preserve">25 </w:t>
      </w:r>
      <w:r>
        <w:rPr>
          <w:rFonts w:ascii="Book Antiqua" w:hAnsi="Book Antiqua"/>
          <w:b/>
          <w:bCs/>
        </w:rPr>
        <w:t>Zhu D</w:t>
      </w:r>
      <w:r>
        <w:rPr>
          <w:rFonts w:ascii="Book Antiqua" w:hAnsi="Book Antiqua"/>
        </w:rPr>
        <w:t xml:space="preserve">, Xia J, Gu Y, Lin J, Ding K, Zhou B, Liang F, Liu T, Qin C, Wei Y, Ren L, Zhong Y, Wang J, Yan Z, Cheng J, Chen J, Chang W, Zhan S, Ding Y, Huo H, Liu F, Sun J, Qin X, Xu J. Preoperative Hepatic and Regional Arterial Chemotherapy in Patients Who Underwent Curative Colorectal Cancer Resection: A Prospective, Multi-center, Randomized Controlled Trial. </w:t>
      </w:r>
      <w:r>
        <w:rPr>
          <w:rFonts w:ascii="Book Antiqua" w:hAnsi="Book Antiqua"/>
          <w:i/>
          <w:iCs/>
        </w:rPr>
        <w:t>Ann Surg</w:t>
      </w:r>
      <w:r>
        <w:rPr>
          <w:rFonts w:ascii="Book Antiqua" w:hAnsi="Book Antiqua"/>
        </w:rPr>
        <w:t xml:space="preserve"> 2021; </w:t>
      </w:r>
      <w:r>
        <w:rPr>
          <w:rFonts w:ascii="Book Antiqua" w:hAnsi="Book Antiqua"/>
          <w:b/>
          <w:bCs/>
        </w:rPr>
        <w:t>273</w:t>
      </w:r>
      <w:r>
        <w:rPr>
          <w:rFonts w:ascii="Book Antiqua" w:hAnsi="Book Antiqua"/>
        </w:rPr>
        <w:t>: 1066-1075 [PMID: 33214446 DOI: 10.1097/SLA.0000000000004558]</w:t>
      </w:r>
    </w:p>
    <w:bookmarkEnd w:id="482"/>
    <w:bookmarkEnd w:id="483"/>
    <w:p w14:paraId="1F25103D" w14:textId="77777777" w:rsidR="00F20BB0" w:rsidRDefault="00F20BB0">
      <w:pPr>
        <w:spacing w:line="360" w:lineRule="auto"/>
        <w:jc w:val="both"/>
      </w:pPr>
    </w:p>
    <w:p w14:paraId="6BECAB3B" w14:textId="77777777" w:rsidR="00F20BB0" w:rsidRDefault="00F20BB0">
      <w:pPr>
        <w:spacing w:line="360" w:lineRule="auto"/>
        <w:jc w:val="both"/>
        <w:sectPr w:rsidR="00F20BB0" w:rsidSect="003A69DE">
          <w:footerReference w:type="default" r:id="rId6"/>
          <w:pgSz w:w="12240" w:h="15840"/>
          <w:pgMar w:top="1440" w:right="1440" w:bottom="1440" w:left="1440" w:header="720" w:footer="720" w:gutter="0"/>
          <w:cols w:space="720"/>
          <w:docGrid w:linePitch="360"/>
        </w:sectPr>
      </w:pPr>
    </w:p>
    <w:p w14:paraId="7171E3AD" w14:textId="77777777" w:rsidR="00F20BB0" w:rsidRDefault="00000000">
      <w:pPr>
        <w:spacing w:line="360" w:lineRule="auto"/>
        <w:jc w:val="both"/>
      </w:pPr>
      <w:r>
        <w:rPr>
          <w:rFonts w:ascii="Book Antiqua" w:eastAsia="Book Antiqua" w:hAnsi="Book Antiqua" w:cs="Book Antiqua"/>
          <w:b/>
          <w:color w:val="000000"/>
        </w:rPr>
        <w:lastRenderedPageBreak/>
        <w:t>Footnotes</w:t>
      </w:r>
    </w:p>
    <w:p w14:paraId="39385D9B" w14:textId="77777777" w:rsidR="00F20BB0"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 xml:space="preserve">This study was approved by the Clinical Research Ethics Committee of Zhongshan Hospital, Fudan University. </w:t>
      </w:r>
    </w:p>
    <w:p w14:paraId="426BE397" w14:textId="77777777" w:rsidR="00F20BB0" w:rsidRDefault="00F20BB0">
      <w:pPr>
        <w:spacing w:line="360" w:lineRule="auto"/>
        <w:jc w:val="both"/>
      </w:pPr>
    </w:p>
    <w:p w14:paraId="4007015B" w14:textId="77777777" w:rsidR="00F20BB0"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acquired from all patients of the primary cohort for the acquisition of clinical and pathological information and the use of surgical specimens.</w:t>
      </w:r>
    </w:p>
    <w:p w14:paraId="67CBD04E" w14:textId="77777777" w:rsidR="00F20BB0" w:rsidRDefault="00F20BB0">
      <w:pPr>
        <w:spacing w:line="360" w:lineRule="auto"/>
        <w:jc w:val="both"/>
      </w:pPr>
    </w:p>
    <w:p w14:paraId="11032EC9" w14:textId="77777777" w:rsidR="00F20BB0"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report having no relevant conflicts of interest for this article.</w:t>
      </w:r>
    </w:p>
    <w:p w14:paraId="42267E74" w14:textId="77777777" w:rsidR="00F20BB0" w:rsidRDefault="00F20BB0">
      <w:pPr>
        <w:spacing w:line="360" w:lineRule="auto"/>
        <w:jc w:val="both"/>
      </w:pPr>
    </w:p>
    <w:p w14:paraId="59CE1323" w14:textId="77777777" w:rsidR="00F20BB0" w:rsidRDefault="0000000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1C10E3D" w14:textId="77777777" w:rsidR="00F20BB0" w:rsidRDefault="00F20BB0">
      <w:pPr>
        <w:spacing w:line="360" w:lineRule="auto"/>
        <w:jc w:val="both"/>
      </w:pPr>
    </w:p>
    <w:p w14:paraId="764C22E8" w14:textId="77777777" w:rsidR="00F20BB0"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E41BEF" w14:textId="77777777" w:rsidR="00F20BB0" w:rsidRDefault="00F20BB0">
      <w:pPr>
        <w:spacing w:line="360" w:lineRule="auto"/>
        <w:jc w:val="both"/>
      </w:pPr>
    </w:p>
    <w:p w14:paraId="07109132" w14:textId="77777777" w:rsidR="00F20BB0"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19ED7D3" w14:textId="77777777" w:rsidR="00F20BB0"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5CA7704" w14:textId="77777777" w:rsidR="00F20BB0" w:rsidRDefault="00F20BB0">
      <w:pPr>
        <w:spacing w:line="360" w:lineRule="auto"/>
        <w:jc w:val="both"/>
      </w:pPr>
    </w:p>
    <w:p w14:paraId="2344CB97" w14:textId="77777777" w:rsidR="00F20BB0"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August 22, 2023</w:t>
      </w:r>
    </w:p>
    <w:p w14:paraId="2143325B" w14:textId="77777777" w:rsidR="00F20BB0"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21, 2023</w:t>
      </w:r>
    </w:p>
    <w:p w14:paraId="29EF8003" w14:textId="77777777" w:rsidR="00F20BB0" w:rsidRDefault="00000000">
      <w:pPr>
        <w:spacing w:line="360" w:lineRule="auto"/>
        <w:jc w:val="both"/>
      </w:pPr>
      <w:r>
        <w:rPr>
          <w:rFonts w:ascii="Book Antiqua" w:eastAsia="Book Antiqua" w:hAnsi="Book Antiqua" w:cs="Book Antiqua"/>
          <w:b/>
          <w:color w:val="000000"/>
        </w:rPr>
        <w:t xml:space="preserve">Article in press: </w:t>
      </w:r>
      <w:r>
        <w:rPr>
          <w:rFonts w:ascii="Book Antiqua" w:hAnsi="Book Antiqua"/>
        </w:rPr>
        <w:t>January 22, 2024</w:t>
      </w:r>
    </w:p>
    <w:p w14:paraId="640EBA58" w14:textId="77777777" w:rsidR="00F20BB0" w:rsidRDefault="00F20BB0">
      <w:pPr>
        <w:spacing w:line="360" w:lineRule="auto"/>
        <w:jc w:val="both"/>
      </w:pPr>
    </w:p>
    <w:p w14:paraId="240FB835" w14:textId="77777777" w:rsidR="00F20BB0"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w:t>
      </w:r>
      <w:r>
        <w:rPr>
          <w:rFonts w:ascii="Book Antiqua" w:eastAsia="宋体" w:hAnsi="Book Antiqua" w:cs="Book Antiqua" w:hint="eastAsia"/>
          <w:lang w:eastAsia="zh-CN"/>
        </w:rPr>
        <w:t>and</w:t>
      </w:r>
      <w:r>
        <w:rPr>
          <w:rFonts w:ascii="Book Antiqua" w:eastAsia="Book Antiqua" w:hAnsi="Book Antiqua" w:cs="Book Antiqua"/>
        </w:rPr>
        <w:t xml:space="preserve"> </w:t>
      </w:r>
      <w:r>
        <w:rPr>
          <w:rFonts w:ascii="Book Antiqua" w:eastAsia="Book Antiqua" w:hAnsi="Book Antiqua" w:cs="Book Antiqua" w:hint="eastAsia"/>
          <w:lang w:eastAsia="zh-CN"/>
        </w:rPr>
        <w:t>h</w:t>
      </w:r>
      <w:r>
        <w:rPr>
          <w:rFonts w:ascii="Book Antiqua" w:eastAsia="Book Antiqua" w:hAnsi="Book Antiqua" w:cs="Book Antiqua"/>
        </w:rPr>
        <w:t>epatology</w:t>
      </w:r>
    </w:p>
    <w:p w14:paraId="0A1A94DC" w14:textId="77777777" w:rsidR="00F20BB0"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8CD79F7" w14:textId="77777777" w:rsidR="00F20BB0" w:rsidRDefault="00000000">
      <w:pPr>
        <w:spacing w:line="360" w:lineRule="auto"/>
        <w:jc w:val="both"/>
      </w:pPr>
      <w:r>
        <w:rPr>
          <w:rFonts w:ascii="Book Antiqua" w:eastAsia="Book Antiqua" w:hAnsi="Book Antiqua" w:cs="Book Antiqua"/>
          <w:b/>
          <w:color w:val="000000"/>
        </w:rPr>
        <w:t>Peer-review report’s scientific quality classification</w:t>
      </w:r>
    </w:p>
    <w:p w14:paraId="3DCCBB7E" w14:textId="77777777" w:rsidR="00F20BB0" w:rsidRDefault="00000000">
      <w:pPr>
        <w:spacing w:line="360" w:lineRule="auto"/>
        <w:jc w:val="both"/>
      </w:pPr>
      <w:r>
        <w:rPr>
          <w:rFonts w:ascii="Book Antiqua" w:eastAsia="Book Antiqua" w:hAnsi="Book Antiqua" w:cs="Book Antiqua"/>
        </w:rPr>
        <w:lastRenderedPageBreak/>
        <w:t>Grade A (Excellent): 0</w:t>
      </w:r>
    </w:p>
    <w:p w14:paraId="7241A48A" w14:textId="77777777" w:rsidR="00F20BB0" w:rsidRDefault="00000000">
      <w:pPr>
        <w:spacing w:line="360" w:lineRule="auto"/>
        <w:jc w:val="both"/>
      </w:pPr>
      <w:r>
        <w:rPr>
          <w:rFonts w:ascii="Book Antiqua" w:eastAsia="Book Antiqua" w:hAnsi="Book Antiqua" w:cs="Book Antiqua"/>
        </w:rPr>
        <w:t>Grade B (Very good): 0</w:t>
      </w:r>
    </w:p>
    <w:p w14:paraId="5B52452E" w14:textId="77777777" w:rsidR="00F20BB0" w:rsidRDefault="00000000">
      <w:pPr>
        <w:spacing w:line="360" w:lineRule="auto"/>
        <w:jc w:val="both"/>
      </w:pPr>
      <w:r>
        <w:rPr>
          <w:rFonts w:ascii="Book Antiqua" w:eastAsia="Book Antiqua" w:hAnsi="Book Antiqua" w:cs="Book Antiqua"/>
        </w:rPr>
        <w:t>Grade C (Good): C</w:t>
      </w:r>
    </w:p>
    <w:p w14:paraId="7E34EA12" w14:textId="77777777" w:rsidR="00F20BB0" w:rsidRDefault="00000000">
      <w:pPr>
        <w:spacing w:line="360" w:lineRule="auto"/>
        <w:jc w:val="both"/>
      </w:pPr>
      <w:r>
        <w:rPr>
          <w:rFonts w:ascii="Book Antiqua" w:eastAsia="Book Antiqua" w:hAnsi="Book Antiqua" w:cs="Book Antiqua"/>
        </w:rPr>
        <w:t>Grade D (Fair): D</w:t>
      </w:r>
    </w:p>
    <w:p w14:paraId="4F04B81D" w14:textId="77777777" w:rsidR="00F20BB0" w:rsidRDefault="00000000">
      <w:pPr>
        <w:spacing w:line="360" w:lineRule="auto"/>
        <w:jc w:val="both"/>
      </w:pPr>
      <w:r>
        <w:rPr>
          <w:rFonts w:ascii="Book Antiqua" w:eastAsia="Book Antiqua" w:hAnsi="Book Antiqua" w:cs="Book Antiqua"/>
        </w:rPr>
        <w:t>Grade E (Poor): E</w:t>
      </w:r>
    </w:p>
    <w:p w14:paraId="031808E1" w14:textId="77777777" w:rsidR="00F20BB0" w:rsidRDefault="00F20BB0">
      <w:pPr>
        <w:spacing w:line="360" w:lineRule="auto"/>
        <w:jc w:val="both"/>
      </w:pPr>
    </w:p>
    <w:p w14:paraId="4C195922" w14:textId="77777777" w:rsidR="00F20BB0" w:rsidRDefault="0000000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Basson MD, United States; Hamaya Y, Japan; Osera S, Japan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Xu ZH</w:t>
      </w:r>
    </w:p>
    <w:p w14:paraId="037D4C71" w14:textId="77777777" w:rsidR="00F20BB0"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78EA426B" w14:textId="77777777" w:rsidR="00F20BB0" w:rsidRDefault="00000000">
      <w:pPr>
        <w:adjustRightInd w:val="0"/>
        <w:snapToGrid w:val="0"/>
        <w:spacing w:line="360" w:lineRule="auto"/>
        <w:jc w:val="both"/>
        <w:rPr>
          <w:rFonts w:ascii="Book Antiqua" w:hAnsi="Book Antiqua"/>
          <w:b/>
          <w:bCs/>
        </w:rPr>
      </w:pPr>
      <w:r>
        <w:rPr>
          <w:noProof/>
        </w:rPr>
        <w:drawing>
          <wp:inline distT="0" distB="0" distL="0" distR="0" wp14:anchorId="25C6E7D2" wp14:editId="5AB83842">
            <wp:extent cx="4648200" cy="5069840"/>
            <wp:effectExtent l="0" t="0" r="0" b="0"/>
            <wp:docPr id="53751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1084" name="图片 1"/>
                    <pic:cNvPicPr>
                      <a:picLocks noChangeAspect="1"/>
                    </pic:cNvPicPr>
                  </pic:nvPicPr>
                  <pic:blipFill>
                    <a:blip r:embed="rId7"/>
                    <a:stretch>
                      <a:fillRect/>
                    </a:stretch>
                  </pic:blipFill>
                  <pic:spPr>
                    <a:xfrm>
                      <a:off x="0" y="0"/>
                      <a:ext cx="4656748" cy="5079636"/>
                    </a:xfrm>
                    <a:prstGeom prst="rect">
                      <a:avLst/>
                    </a:prstGeom>
                  </pic:spPr>
                </pic:pic>
              </a:graphicData>
            </a:graphic>
          </wp:inline>
        </w:drawing>
      </w:r>
    </w:p>
    <w:p w14:paraId="4E030BFD" w14:textId="77777777" w:rsidR="00F20BB0" w:rsidRDefault="00000000">
      <w:pPr>
        <w:adjustRightInd w:val="0"/>
        <w:snapToGrid w:val="0"/>
        <w:spacing w:line="360" w:lineRule="auto"/>
        <w:jc w:val="both"/>
        <w:rPr>
          <w:rFonts w:ascii="Book Antiqua" w:hAnsi="Book Antiqua"/>
        </w:rPr>
      </w:pPr>
      <w:r>
        <w:rPr>
          <w:rFonts w:ascii="Book Antiqua" w:hAnsi="Book Antiqua"/>
          <w:b/>
          <w:bCs/>
        </w:rPr>
        <w:t xml:space="preserve">Figure 1 Immunohistochemical staining of patatin like phospholipase domain containing 8 </w:t>
      </w:r>
      <w:proofErr w:type="gramStart"/>
      <w:r>
        <w:rPr>
          <w:rFonts w:ascii="Book Antiqua" w:hAnsi="Book Antiqua"/>
          <w:b/>
          <w:bCs/>
        </w:rPr>
        <w:t>protein</w:t>
      </w:r>
      <w:proofErr w:type="gramEnd"/>
      <w:r>
        <w:rPr>
          <w:rFonts w:ascii="Book Antiqua" w:hAnsi="Book Antiqua"/>
          <w:b/>
          <w:bCs/>
        </w:rPr>
        <w:t xml:space="preserve"> in colorectal cancer specimens.</w:t>
      </w:r>
      <w:r>
        <w:rPr>
          <w:rFonts w:ascii="Book Antiqua" w:hAnsi="Book Antiqua" w:hint="eastAsia"/>
          <w:lang w:eastAsia="zh-CN"/>
        </w:rPr>
        <w:t xml:space="preserve"> </w:t>
      </w:r>
      <w:r>
        <w:rPr>
          <w:rFonts w:ascii="Book Antiqua" w:hAnsi="Book Antiqua"/>
        </w:rPr>
        <w:t xml:space="preserve">Representative immunohistochemistry images show the staining intensities of </w:t>
      </w:r>
      <w:r>
        <w:rPr>
          <w:rFonts w:ascii="Book Antiqua" w:eastAsia="Book Antiqua" w:hAnsi="Book Antiqua" w:cs="Book Antiqua"/>
          <w:color w:val="000000"/>
        </w:rPr>
        <w:t>patatin like phospholipase domain containing 8</w:t>
      </w:r>
      <w:r>
        <w:rPr>
          <w:rFonts w:ascii="Book Antiqua" w:hAnsi="Book Antiqua"/>
        </w:rPr>
        <w:t xml:space="preserve"> </w:t>
      </w:r>
      <w:proofErr w:type="gramStart"/>
      <w:r>
        <w:rPr>
          <w:rFonts w:ascii="Book Antiqua" w:hAnsi="Book Antiqua"/>
        </w:rPr>
        <w:t>protein</w:t>
      </w:r>
      <w:proofErr w:type="gramEnd"/>
      <w:r>
        <w:rPr>
          <w:rFonts w:ascii="Book Antiqua" w:hAnsi="Book Antiqua"/>
        </w:rPr>
        <w:t>, which were scored as 0 ("-"), 1 ("+"), 2 ("++"), and 3 ("+++"). Scale bar: 200 µm.</w:t>
      </w:r>
    </w:p>
    <w:p w14:paraId="65EFD22F" w14:textId="77777777" w:rsidR="00F20BB0" w:rsidRDefault="00000000">
      <w:pPr>
        <w:adjustRightInd w:val="0"/>
        <w:snapToGrid w:val="0"/>
        <w:spacing w:line="360" w:lineRule="auto"/>
        <w:jc w:val="both"/>
        <w:rPr>
          <w:rFonts w:ascii="Book Antiqua" w:hAnsi="Book Antiqua"/>
        </w:rPr>
      </w:pPr>
      <w:r>
        <w:rPr>
          <w:rFonts w:ascii="Book Antiqua" w:hAnsi="Book Antiqua"/>
        </w:rPr>
        <w:br w:type="page"/>
      </w:r>
      <w:r>
        <w:rPr>
          <w:noProof/>
        </w:rPr>
        <w:lastRenderedPageBreak/>
        <w:drawing>
          <wp:inline distT="0" distB="0" distL="0" distR="0" wp14:anchorId="68531510" wp14:editId="565C05E4">
            <wp:extent cx="3997960" cy="3236595"/>
            <wp:effectExtent l="0" t="0" r="0" b="0"/>
            <wp:docPr id="551952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52041" name="图片 1"/>
                    <pic:cNvPicPr>
                      <a:picLocks noChangeAspect="1"/>
                    </pic:cNvPicPr>
                  </pic:nvPicPr>
                  <pic:blipFill>
                    <a:blip r:embed="rId8"/>
                    <a:stretch>
                      <a:fillRect/>
                    </a:stretch>
                  </pic:blipFill>
                  <pic:spPr>
                    <a:xfrm>
                      <a:off x="0" y="0"/>
                      <a:ext cx="4005159" cy="3242210"/>
                    </a:xfrm>
                    <a:prstGeom prst="rect">
                      <a:avLst/>
                    </a:prstGeom>
                  </pic:spPr>
                </pic:pic>
              </a:graphicData>
            </a:graphic>
          </wp:inline>
        </w:drawing>
      </w:r>
    </w:p>
    <w:p w14:paraId="3C5F36C8" w14:textId="77777777" w:rsidR="00F20BB0" w:rsidRDefault="00000000">
      <w:pPr>
        <w:adjustRightInd w:val="0"/>
        <w:snapToGrid w:val="0"/>
        <w:spacing w:line="360" w:lineRule="auto"/>
        <w:jc w:val="both"/>
        <w:rPr>
          <w:rFonts w:ascii="Book Antiqua" w:hAnsi="Book Antiqua"/>
        </w:rPr>
      </w:pPr>
      <w:r>
        <w:rPr>
          <w:rFonts w:ascii="Book Antiqua" w:hAnsi="Book Antiqua"/>
          <w:b/>
          <w:bCs/>
        </w:rPr>
        <w:t>Figure 2 Kaplan-Meier analyses of overall survival rates in 751 colorectal cancer patients with a low or high patatin like phospholipase domain containing 8 protein expression.</w:t>
      </w:r>
      <w:r>
        <w:rPr>
          <w:rFonts w:ascii="Book Antiqua" w:hAnsi="Book Antiqua" w:hint="eastAsia"/>
          <w:lang w:eastAsia="zh-CN"/>
        </w:rPr>
        <w:t xml:space="preserve"> </w:t>
      </w:r>
      <w:r>
        <w:rPr>
          <w:rFonts w:ascii="Book Antiqua" w:hAnsi="Book Antiqua"/>
        </w:rPr>
        <w:t xml:space="preserve">The </w:t>
      </w:r>
      <w:r>
        <w:rPr>
          <w:rFonts w:ascii="Book Antiqua" w:eastAsia="Book Antiqua" w:hAnsi="Book Antiqua" w:cs="Book Antiqua"/>
          <w:color w:val="000000"/>
        </w:rPr>
        <w:t>colorectal cancer (CRC)</w:t>
      </w:r>
      <w:r>
        <w:rPr>
          <w:rFonts w:ascii="Book Antiqua" w:hAnsi="Book Antiqua"/>
        </w:rPr>
        <w:t xml:space="preserve"> patients with a high </w:t>
      </w:r>
      <w:r>
        <w:rPr>
          <w:rFonts w:ascii="Book Antiqua" w:eastAsia="Book Antiqua" w:hAnsi="Book Antiqua" w:cs="Book Antiqua"/>
          <w:color w:val="000000"/>
        </w:rPr>
        <w:t>patatin like phospholipase domain containing 8 (</w:t>
      </w:r>
      <w:r>
        <w:rPr>
          <w:rFonts w:ascii="Book Antiqua" w:hAnsi="Book Antiqua"/>
        </w:rPr>
        <w:t>PNPLA8) expression (</w:t>
      </w:r>
      <w:r>
        <w:rPr>
          <w:rFonts w:ascii="Book Antiqua" w:hAnsi="Book Antiqua"/>
          <w:i/>
          <w:iCs/>
        </w:rPr>
        <w:t>n</w:t>
      </w:r>
      <w:r>
        <w:rPr>
          <w:rFonts w:ascii="Book Antiqua" w:hAnsi="Book Antiqua"/>
        </w:rPr>
        <w:t xml:space="preserve"> = 420) had an overall survival (OS) rate (</w:t>
      </w:r>
      <w:r>
        <w:rPr>
          <w:rFonts w:ascii="Book Antiqua" w:hAnsi="Book Antiqua"/>
          <w:i/>
          <w:iCs/>
        </w:rPr>
        <w:t xml:space="preserve">P </w:t>
      </w:r>
      <w:r>
        <w:rPr>
          <w:rFonts w:ascii="Book Antiqua" w:hAnsi="Book Antiqua"/>
        </w:rPr>
        <w:t>= 0.005) than those with a low PNPLA8 expression (</w:t>
      </w:r>
      <w:r>
        <w:rPr>
          <w:rFonts w:ascii="Book Antiqua" w:hAnsi="Book Antiqua"/>
          <w:i/>
          <w:iCs/>
        </w:rPr>
        <w:t>n</w:t>
      </w:r>
      <w:r>
        <w:rPr>
          <w:rFonts w:ascii="Book Antiqua" w:hAnsi="Book Antiqua"/>
        </w:rPr>
        <w:t xml:space="preserve"> = 331) as determined using the Kaplan-Meier method.</w:t>
      </w:r>
    </w:p>
    <w:p w14:paraId="2BC56B1A" w14:textId="77777777" w:rsidR="00F20BB0" w:rsidRDefault="00000000">
      <w:pPr>
        <w:adjustRightInd w:val="0"/>
        <w:snapToGrid w:val="0"/>
        <w:spacing w:line="360" w:lineRule="auto"/>
        <w:jc w:val="both"/>
        <w:rPr>
          <w:rFonts w:ascii="Book Antiqua" w:hAnsi="Book Antiqua"/>
        </w:rPr>
      </w:pPr>
      <w:r>
        <w:rPr>
          <w:rFonts w:ascii="Book Antiqua" w:hAnsi="Book Antiqua"/>
        </w:rPr>
        <w:br w:type="page"/>
      </w:r>
      <w:r>
        <w:rPr>
          <w:noProof/>
        </w:rPr>
        <w:lastRenderedPageBreak/>
        <w:drawing>
          <wp:inline distT="0" distB="0" distL="0" distR="0" wp14:anchorId="235AD811" wp14:editId="6F1FCEA7">
            <wp:extent cx="3765550" cy="1543685"/>
            <wp:effectExtent l="0" t="0" r="0" b="0"/>
            <wp:docPr id="2038287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87722" name="图片 1"/>
                    <pic:cNvPicPr>
                      <a:picLocks noChangeAspect="1"/>
                    </pic:cNvPicPr>
                  </pic:nvPicPr>
                  <pic:blipFill>
                    <a:blip r:embed="rId9"/>
                    <a:stretch>
                      <a:fillRect/>
                    </a:stretch>
                  </pic:blipFill>
                  <pic:spPr>
                    <a:xfrm>
                      <a:off x="0" y="0"/>
                      <a:ext cx="3781219" cy="1550058"/>
                    </a:xfrm>
                    <a:prstGeom prst="rect">
                      <a:avLst/>
                    </a:prstGeom>
                  </pic:spPr>
                </pic:pic>
              </a:graphicData>
            </a:graphic>
          </wp:inline>
        </w:drawing>
      </w:r>
    </w:p>
    <w:p w14:paraId="4FAA931F" w14:textId="77777777" w:rsidR="00F20BB0" w:rsidRDefault="00000000">
      <w:pPr>
        <w:adjustRightInd w:val="0"/>
        <w:snapToGrid w:val="0"/>
        <w:spacing w:line="360" w:lineRule="auto"/>
        <w:jc w:val="both"/>
        <w:rPr>
          <w:rFonts w:ascii="Book Antiqua" w:hAnsi="Book Antiqua"/>
        </w:rPr>
      </w:pPr>
      <w:r>
        <w:rPr>
          <w:noProof/>
        </w:rPr>
        <w:drawing>
          <wp:inline distT="0" distB="0" distL="0" distR="0" wp14:anchorId="3247CBA3" wp14:editId="075C0682">
            <wp:extent cx="5943600" cy="1604645"/>
            <wp:effectExtent l="0" t="0" r="0" b="0"/>
            <wp:docPr id="1633039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39487" name="图片 1"/>
                    <pic:cNvPicPr>
                      <a:picLocks noChangeAspect="1"/>
                    </pic:cNvPicPr>
                  </pic:nvPicPr>
                  <pic:blipFill>
                    <a:blip r:embed="rId10"/>
                    <a:stretch>
                      <a:fillRect/>
                    </a:stretch>
                  </pic:blipFill>
                  <pic:spPr>
                    <a:xfrm>
                      <a:off x="0" y="0"/>
                      <a:ext cx="5943600" cy="1604645"/>
                    </a:xfrm>
                    <a:prstGeom prst="rect">
                      <a:avLst/>
                    </a:prstGeom>
                  </pic:spPr>
                </pic:pic>
              </a:graphicData>
            </a:graphic>
          </wp:inline>
        </w:drawing>
      </w:r>
    </w:p>
    <w:p w14:paraId="5DDADB76" w14:textId="77777777" w:rsidR="00F20BB0" w:rsidRDefault="00000000">
      <w:pPr>
        <w:adjustRightInd w:val="0"/>
        <w:snapToGrid w:val="0"/>
        <w:spacing w:line="360" w:lineRule="auto"/>
        <w:jc w:val="both"/>
        <w:rPr>
          <w:rFonts w:ascii="Book Antiqua" w:hAnsi="Book Antiqua"/>
        </w:rPr>
      </w:pPr>
      <w:r>
        <w:rPr>
          <w:rFonts w:ascii="Book Antiqua" w:hAnsi="Book Antiqua"/>
          <w:b/>
          <w:bCs/>
        </w:rPr>
        <w:t>Figure 3 Patatin like phospholipase domain containing 8 protein expression according to TNM stage and tumor location.</w:t>
      </w:r>
      <w:r>
        <w:rPr>
          <w:rFonts w:ascii="Book Antiqua" w:hAnsi="Book Antiqua" w:hint="eastAsia"/>
          <w:lang w:eastAsia="zh-CN"/>
        </w:rPr>
        <w:t xml:space="preserve"> </w:t>
      </w:r>
      <w:r>
        <w:rPr>
          <w:rFonts w:ascii="Book Antiqua" w:hAnsi="Book Antiqua"/>
        </w:rPr>
        <w:t>A: Patients at stage I and stage II [</w:t>
      </w:r>
      <w:r>
        <w:rPr>
          <w:rFonts w:ascii="Book Antiqua" w:hAnsi="Book Antiqua"/>
          <w:i/>
          <w:iCs/>
        </w:rPr>
        <w:t>n</w:t>
      </w:r>
      <w:r>
        <w:rPr>
          <w:rFonts w:ascii="Book Antiqua" w:hAnsi="Book Antiqua"/>
        </w:rPr>
        <w:t xml:space="preserve"> = 153 for </w:t>
      </w:r>
      <w:r>
        <w:rPr>
          <w:rFonts w:ascii="Book Antiqua" w:eastAsia="Book Antiqua" w:hAnsi="Book Antiqua" w:cs="Book Antiqua"/>
          <w:color w:val="000000"/>
        </w:rPr>
        <w:t>patatin like phospholipase domain containing 8 (</w:t>
      </w:r>
      <w:r>
        <w:rPr>
          <w:rFonts w:ascii="Book Antiqua" w:hAnsi="Book Antiqua"/>
        </w:rPr>
        <w:t xml:space="preserve">PNPLA8) low group; </w:t>
      </w:r>
      <w:r>
        <w:rPr>
          <w:rFonts w:ascii="Book Antiqua" w:hAnsi="Book Antiqua"/>
          <w:i/>
          <w:iCs/>
        </w:rPr>
        <w:t>n</w:t>
      </w:r>
      <w:r>
        <w:rPr>
          <w:rFonts w:ascii="Book Antiqua" w:hAnsi="Book Antiqua"/>
        </w:rPr>
        <w:t xml:space="preserve"> = 200 for PNPLA8 high group]; B: Patients at stage III and stage IV (</w:t>
      </w:r>
      <w:r>
        <w:rPr>
          <w:rFonts w:ascii="Book Antiqua" w:hAnsi="Book Antiqua"/>
          <w:i/>
          <w:iCs/>
        </w:rPr>
        <w:t>n</w:t>
      </w:r>
      <w:r>
        <w:rPr>
          <w:rFonts w:ascii="Book Antiqua" w:hAnsi="Book Antiqua"/>
        </w:rPr>
        <w:t xml:space="preserve"> = 178 for PNPLA8 low group; </w:t>
      </w:r>
      <w:r>
        <w:rPr>
          <w:rFonts w:ascii="Book Antiqua" w:hAnsi="Book Antiqua"/>
          <w:i/>
          <w:iCs/>
        </w:rPr>
        <w:t>n</w:t>
      </w:r>
      <w:r>
        <w:rPr>
          <w:rFonts w:ascii="Book Antiqua" w:hAnsi="Book Antiqua"/>
        </w:rPr>
        <w:t xml:space="preserve"> = 220 for PNPLA8 high group); C: Patients with left-sided colon cancer (</w:t>
      </w:r>
      <w:r>
        <w:rPr>
          <w:rFonts w:ascii="Book Antiqua" w:hAnsi="Book Antiqua"/>
          <w:i/>
          <w:iCs/>
        </w:rPr>
        <w:t>n</w:t>
      </w:r>
      <w:r>
        <w:rPr>
          <w:rFonts w:ascii="Book Antiqua" w:hAnsi="Book Antiqua"/>
        </w:rPr>
        <w:t xml:space="preserve"> = 92 for PNPLA8 low group; </w:t>
      </w:r>
      <w:r>
        <w:rPr>
          <w:rFonts w:ascii="Book Antiqua" w:hAnsi="Book Antiqua"/>
          <w:i/>
          <w:iCs/>
        </w:rPr>
        <w:t>n</w:t>
      </w:r>
      <w:r>
        <w:rPr>
          <w:rFonts w:ascii="Book Antiqua" w:hAnsi="Book Antiqua"/>
        </w:rPr>
        <w:t xml:space="preserve"> = 108 for PNPLA8 high group); D: Patients with right-sided colon cancer (</w:t>
      </w:r>
      <w:r>
        <w:rPr>
          <w:rFonts w:ascii="Book Antiqua" w:hAnsi="Book Antiqua"/>
          <w:i/>
          <w:iCs/>
        </w:rPr>
        <w:t>n</w:t>
      </w:r>
      <w:r>
        <w:rPr>
          <w:rFonts w:ascii="Book Antiqua" w:hAnsi="Book Antiqua"/>
        </w:rPr>
        <w:t xml:space="preserve"> = 97 for PNPLA8 low group; </w:t>
      </w:r>
      <w:r>
        <w:rPr>
          <w:rFonts w:ascii="Book Antiqua" w:hAnsi="Book Antiqua"/>
          <w:i/>
          <w:iCs/>
        </w:rPr>
        <w:t>n</w:t>
      </w:r>
      <w:r>
        <w:rPr>
          <w:rFonts w:ascii="Book Antiqua" w:hAnsi="Book Antiqua"/>
        </w:rPr>
        <w:t xml:space="preserve"> = 112 for PNPLA8 high group); E: Patients with rectal cancer (</w:t>
      </w:r>
      <w:r>
        <w:rPr>
          <w:rFonts w:ascii="Book Antiqua" w:hAnsi="Book Antiqua"/>
          <w:i/>
          <w:iCs/>
        </w:rPr>
        <w:t>n</w:t>
      </w:r>
      <w:r>
        <w:rPr>
          <w:rFonts w:ascii="Book Antiqua" w:hAnsi="Book Antiqua"/>
        </w:rPr>
        <w:t xml:space="preserve"> = 142 for PNPLA8 low group; </w:t>
      </w:r>
      <w:r>
        <w:rPr>
          <w:rFonts w:ascii="Book Antiqua" w:hAnsi="Book Antiqua"/>
          <w:i/>
          <w:iCs/>
        </w:rPr>
        <w:t>n</w:t>
      </w:r>
      <w:r>
        <w:rPr>
          <w:rFonts w:ascii="Book Antiqua" w:hAnsi="Book Antiqua"/>
        </w:rPr>
        <w:t xml:space="preserve"> = 200 for PNPLA8 high group). The hazard ratio (HR), 95% confidence interval (95%CI), and log-rank </w:t>
      </w:r>
      <w:r>
        <w:rPr>
          <w:rFonts w:ascii="Book Antiqua" w:hAnsi="Book Antiqua"/>
          <w:i/>
          <w:iCs/>
        </w:rPr>
        <w:t>P</w:t>
      </w:r>
      <w:r>
        <w:rPr>
          <w:rFonts w:ascii="Book Antiqua" w:hAnsi="Book Antiqua"/>
        </w:rPr>
        <w:t xml:space="preserve"> values are indicated in each panel. Overall survival (OS).</w:t>
      </w:r>
    </w:p>
    <w:p w14:paraId="3022177C" w14:textId="77777777" w:rsidR="00F20BB0" w:rsidRDefault="00000000">
      <w:pPr>
        <w:adjustRightInd w:val="0"/>
        <w:snapToGrid w:val="0"/>
        <w:spacing w:line="360" w:lineRule="auto"/>
        <w:jc w:val="both"/>
        <w:rPr>
          <w:rFonts w:ascii="Book Antiqua" w:hAnsi="Book Antiqua" w:cs="Arial"/>
          <w:b/>
          <w:bCs/>
        </w:rPr>
      </w:pPr>
      <w:r>
        <w:rPr>
          <w:rFonts w:ascii="Book Antiqua" w:hAnsi="Book Antiqua"/>
        </w:rPr>
        <w:br w:type="page"/>
      </w:r>
      <w:r>
        <w:rPr>
          <w:rFonts w:ascii="Book Antiqua" w:hAnsi="Book Antiqua" w:cs="Arial"/>
          <w:b/>
          <w:bCs/>
          <w:color w:val="000000"/>
        </w:rPr>
        <w:lastRenderedPageBreak/>
        <w:t>Table 1 Clinicopathologic characteristics of the colorectal cancer patients in this study</w:t>
      </w:r>
    </w:p>
    <w:tbl>
      <w:tblPr>
        <w:tblW w:w="4867" w:type="pct"/>
        <w:jc w:val="center"/>
        <w:tblBorders>
          <w:top w:val="single" w:sz="4" w:space="0" w:color="auto"/>
          <w:bottom w:val="single" w:sz="4" w:space="0" w:color="auto"/>
        </w:tblBorders>
        <w:tblLook w:val="04A0" w:firstRow="1" w:lastRow="0" w:firstColumn="1" w:lastColumn="0" w:noHBand="0" w:noVBand="1"/>
      </w:tblPr>
      <w:tblGrid>
        <w:gridCol w:w="5232"/>
        <w:gridCol w:w="1281"/>
        <w:gridCol w:w="2598"/>
      </w:tblGrid>
      <w:tr w:rsidR="00F20BB0" w14:paraId="58F0F65C" w14:textId="77777777">
        <w:trPr>
          <w:trHeight w:val="340"/>
          <w:jc w:val="center"/>
        </w:trPr>
        <w:tc>
          <w:tcPr>
            <w:tcW w:w="2871" w:type="pct"/>
            <w:tcBorders>
              <w:top w:val="single" w:sz="4" w:space="0" w:color="auto"/>
              <w:bottom w:val="single" w:sz="4" w:space="0" w:color="auto"/>
            </w:tcBorders>
            <w:shd w:val="clear" w:color="auto" w:fill="auto"/>
            <w:noWrap/>
            <w:vAlign w:val="bottom"/>
          </w:tcPr>
          <w:p w14:paraId="26EBACD1" w14:textId="77777777" w:rsidR="00F20BB0" w:rsidRDefault="00000000">
            <w:pPr>
              <w:adjustRightInd w:val="0"/>
              <w:snapToGrid w:val="0"/>
              <w:spacing w:line="360" w:lineRule="auto"/>
              <w:jc w:val="both"/>
              <w:rPr>
                <w:rFonts w:ascii="Book Antiqua" w:hAnsi="Book Antiqua" w:cs="Arial"/>
                <w:b/>
                <w:bCs/>
                <w:color w:val="000000"/>
              </w:rPr>
            </w:pPr>
            <w:r>
              <w:rPr>
                <w:rFonts w:ascii="Book Antiqua" w:hAnsi="Book Antiqua" w:cs="Arial"/>
                <w:b/>
                <w:bCs/>
                <w:color w:val="000000"/>
              </w:rPr>
              <w:t>Clinicopathologic parameters</w:t>
            </w:r>
          </w:p>
        </w:tc>
        <w:tc>
          <w:tcPr>
            <w:tcW w:w="703" w:type="pct"/>
            <w:tcBorders>
              <w:top w:val="single" w:sz="4" w:space="0" w:color="auto"/>
              <w:bottom w:val="single" w:sz="4" w:space="0" w:color="auto"/>
            </w:tcBorders>
            <w:shd w:val="clear" w:color="auto" w:fill="auto"/>
            <w:noWrap/>
            <w:vAlign w:val="bottom"/>
          </w:tcPr>
          <w:p w14:paraId="3A518D51" w14:textId="77777777" w:rsidR="00F20BB0" w:rsidRDefault="00000000">
            <w:pPr>
              <w:adjustRightInd w:val="0"/>
              <w:snapToGrid w:val="0"/>
              <w:spacing w:line="360" w:lineRule="auto"/>
              <w:jc w:val="both"/>
              <w:rPr>
                <w:rFonts w:ascii="Book Antiqua" w:hAnsi="Book Antiqua" w:cs="Arial"/>
                <w:b/>
                <w:bCs/>
                <w:i/>
                <w:iCs/>
                <w:color w:val="000000"/>
              </w:rPr>
            </w:pPr>
            <w:r>
              <w:rPr>
                <w:rFonts w:ascii="Book Antiqua" w:hAnsi="Book Antiqua" w:cs="Arial"/>
                <w:b/>
                <w:bCs/>
                <w:i/>
                <w:iCs/>
                <w:color w:val="000000"/>
              </w:rPr>
              <w:t>n</w:t>
            </w:r>
          </w:p>
        </w:tc>
        <w:tc>
          <w:tcPr>
            <w:tcW w:w="1426" w:type="pct"/>
            <w:tcBorders>
              <w:top w:val="single" w:sz="4" w:space="0" w:color="auto"/>
              <w:bottom w:val="single" w:sz="4" w:space="0" w:color="auto"/>
            </w:tcBorders>
            <w:shd w:val="clear" w:color="auto" w:fill="auto"/>
            <w:noWrap/>
            <w:vAlign w:val="bottom"/>
          </w:tcPr>
          <w:p w14:paraId="65A72986" w14:textId="77777777" w:rsidR="00F20BB0" w:rsidRDefault="00000000">
            <w:pPr>
              <w:adjustRightInd w:val="0"/>
              <w:snapToGrid w:val="0"/>
              <w:spacing w:line="360" w:lineRule="auto"/>
              <w:jc w:val="both"/>
              <w:rPr>
                <w:rFonts w:ascii="Book Antiqua" w:hAnsi="Book Antiqua" w:cs="Arial"/>
                <w:b/>
                <w:bCs/>
                <w:color w:val="000000"/>
              </w:rPr>
            </w:pPr>
            <w:r>
              <w:rPr>
                <w:rFonts w:ascii="Book Antiqua" w:hAnsi="Book Antiqua" w:cs="Arial"/>
                <w:b/>
                <w:bCs/>
                <w:color w:val="000000"/>
              </w:rPr>
              <w:t>Percentage (%)</w:t>
            </w:r>
          </w:p>
        </w:tc>
      </w:tr>
      <w:tr w:rsidR="00F20BB0" w14:paraId="5752B3DD" w14:textId="77777777">
        <w:trPr>
          <w:trHeight w:val="340"/>
          <w:jc w:val="center"/>
        </w:trPr>
        <w:tc>
          <w:tcPr>
            <w:tcW w:w="2871" w:type="pct"/>
            <w:tcBorders>
              <w:top w:val="single" w:sz="4" w:space="0" w:color="auto"/>
            </w:tcBorders>
            <w:shd w:val="clear" w:color="auto" w:fill="auto"/>
            <w:noWrap/>
            <w:vAlign w:val="bottom"/>
          </w:tcPr>
          <w:p w14:paraId="2F280AD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All patients</w:t>
            </w:r>
          </w:p>
        </w:tc>
        <w:tc>
          <w:tcPr>
            <w:tcW w:w="703" w:type="pct"/>
            <w:tcBorders>
              <w:top w:val="single" w:sz="4" w:space="0" w:color="auto"/>
            </w:tcBorders>
            <w:shd w:val="clear" w:color="auto" w:fill="auto"/>
            <w:noWrap/>
            <w:vAlign w:val="bottom"/>
          </w:tcPr>
          <w:p w14:paraId="2E352876"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751</w:t>
            </w:r>
          </w:p>
        </w:tc>
        <w:tc>
          <w:tcPr>
            <w:tcW w:w="1426" w:type="pct"/>
            <w:tcBorders>
              <w:top w:val="single" w:sz="4" w:space="0" w:color="auto"/>
            </w:tcBorders>
            <w:shd w:val="clear" w:color="auto" w:fill="auto"/>
            <w:noWrap/>
            <w:vAlign w:val="bottom"/>
          </w:tcPr>
          <w:p w14:paraId="485DF37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100.0</w:t>
            </w:r>
          </w:p>
        </w:tc>
      </w:tr>
      <w:tr w:rsidR="00F20BB0" w14:paraId="74F26B22" w14:textId="77777777">
        <w:trPr>
          <w:trHeight w:val="320"/>
          <w:jc w:val="center"/>
        </w:trPr>
        <w:tc>
          <w:tcPr>
            <w:tcW w:w="2871" w:type="pct"/>
            <w:shd w:val="clear" w:color="auto" w:fill="auto"/>
            <w:noWrap/>
            <w:vAlign w:val="bottom"/>
          </w:tcPr>
          <w:p w14:paraId="1ACAFAA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Age in yr</w:t>
            </w:r>
          </w:p>
        </w:tc>
        <w:tc>
          <w:tcPr>
            <w:tcW w:w="703" w:type="pct"/>
            <w:shd w:val="clear" w:color="auto" w:fill="auto"/>
            <w:noWrap/>
            <w:vAlign w:val="bottom"/>
          </w:tcPr>
          <w:p w14:paraId="77FDC80E" w14:textId="77777777" w:rsidR="00F20BB0" w:rsidRDefault="00F20BB0">
            <w:pPr>
              <w:adjustRightInd w:val="0"/>
              <w:snapToGrid w:val="0"/>
              <w:spacing w:line="360" w:lineRule="auto"/>
              <w:jc w:val="both"/>
              <w:rPr>
                <w:rFonts w:ascii="Book Antiqua" w:hAnsi="Book Antiqua" w:cs="Arial"/>
                <w:color w:val="000000"/>
              </w:rPr>
            </w:pPr>
          </w:p>
        </w:tc>
        <w:tc>
          <w:tcPr>
            <w:tcW w:w="1426" w:type="pct"/>
            <w:shd w:val="clear" w:color="auto" w:fill="auto"/>
            <w:noWrap/>
            <w:vAlign w:val="bottom"/>
          </w:tcPr>
          <w:p w14:paraId="5DF0AB8F" w14:textId="77777777" w:rsidR="00F20BB0" w:rsidRDefault="00F20BB0">
            <w:pPr>
              <w:adjustRightInd w:val="0"/>
              <w:snapToGrid w:val="0"/>
              <w:spacing w:line="360" w:lineRule="auto"/>
              <w:jc w:val="both"/>
              <w:rPr>
                <w:rFonts w:ascii="Book Antiqua" w:hAnsi="Book Antiqua" w:cs="Arial"/>
              </w:rPr>
            </w:pPr>
          </w:p>
        </w:tc>
      </w:tr>
      <w:tr w:rsidR="00F20BB0" w14:paraId="50464B03" w14:textId="77777777">
        <w:trPr>
          <w:trHeight w:val="320"/>
          <w:jc w:val="center"/>
        </w:trPr>
        <w:tc>
          <w:tcPr>
            <w:tcW w:w="2871" w:type="pct"/>
            <w:shd w:val="clear" w:color="auto" w:fill="auto"/>
            <w:noWrap/>
            <w:vAlign w:val="bottom"/>
          </w:tcPr>
          <w:p w14:paraId="1304DD8F"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 60</w:t>
            </w:r>
          </w:p>
        </w:tc>
        <w:tc>
          <w:tcPr>
            <w:tcW w:w="703" w:type="pct"/>
            <w:shd w:val="clear" w:color="auto" w:fill="auto"/>
            <w:noWrap/>
            <w:vAlign w:val="bottom"/>
          </w:tcPr>
          <w:p w14:paraId="3CB4612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348</w:t>
            </w:r>
          </w:p>
        </w:tc>
        <w:tc>
          <w:tcPr>
            <w:tcW w:w="1426" w:type="pct"/>
            <w:shd w:val="clear" w:color="auto" w:fill="auto"/>
            <w:noWrap/>
            <w:vAlign w:val="bottom"/>
          </w:tcPr>
          <w:p w14:paraId="6EFF394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46.3</w:t>
            </w:r>
          </w:p>
        </w:tc>
      </w:tr>
      <w:tr w:rsidR="00F20BB0" w14:paraId="3BCA39F1" w14:textId="77777777">
        <w:trPr>
          <w:trHeight w:val="320"/>
          <w:jc w:val="center"/>
        </w:trPr>
        <w:tc>
          <w:tcPr>
            <w:tcW w:w="2871" w:type="pct"/>
            <w:shd w:val="clear" w:color="auto" w:fill="auto"/>
            <w:noWrap/>
            <w:vAlign w:val="bottom"/>
          </w:tcPr>
          <w:p w14:paraId="33B89EA9"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&gt; 60</w:t>
            </w:r>
          </w:p>
        </w:tc>
        <w:tc>
          <w:tcPr>
            <w:tcW w:w="703" w:type="pct"/>
            <w:shd w:val="clear" w:color="auto" w:fill="auto"/>
            <w:noWrap/>
            <w:vAlign w:val="bottom"/>
          </w:tcPr>
          <w:p w14:paraId="4CAB9AC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403</w:t>
            </w:r>
          </w:p>
        </w:tc>
        <w:tc>
          <w:tcPr>
            <w:tcW w:w="1426" w:type="pct"/>
            <w:shd w:val="clear" w:color="auto" w:fill="auto"/>
            <w:noWrap/>
            <w:vAlign w:val="bottom"/>
          </w:tcPr>
          <w:p w14:paraId="6E5E8968"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53.7</w:t>
            </w:r>
          </w:p>
        </w:tc>
      </w:tr>
      <w:tr w:rsidR="00F20BB0" w14:paraId="6D90F8B4" w14:textId="77777777">
        <w:trPr>
          <w:trHeight w:val="320"/>
          <w:jc w:val="center"/>
        </w:trPr>
        <w:tc>
          <w:tcPr>
            <w:tcW w:w="2871" w:type="pct"/>
            <w:shd w:val="clear" w:color="auto" w:fill="auto"/>
            <w:noWrap/>
            <w:vAlign w:val="bottom"/>
          </w:tcPr>
          <w:p w14:paraId="581DA04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Sex</w:t>
            </w:r>
          </w:p>
        </w:tc>
        <w:tc>
          <w:tcPr>
            <w:tcW w:w="703" w:type="pct"/>
            <w:shd w:val="clear" w:color="auto" w:fill="auto"/>
            <w:noWrap/>
            <w:vAlign w:val="bottom"/>
          </w:tcPr>
          <w:p w14:paraId="03999EF4" w14:textId="77777777" w:rsidR="00F20BB0" w:rsidRDefault="00F20BB0">
            <w:pPr>
              <w:adjustRightInd w:val="0"/>
              <w:snapToGrid w:val="0"/>
              <w:spacing w:line="360" w:lineRule="auto"/>
              <w:jc w:val="both"/>
              <w:rPr>
                <w:rFonts w:ascii="Book Antiqua" w:hAnsi="Book Antiqua" w:cs="Arial"/>
                <w:color w:val="000000"/>
              </w:rPr>
            </w:pPr>
          </w:p>
        </w:tc>
        <w:tc>
          <w:tcPr>
            <w:tcW w:w="1426" w:type="pct"/>
            <w:shd w:val="clear" w:color="auto" w:fill="auto"/>
            <w:noWrap/>
            <w:vAlign w:val="bottom"/>
          </w:tcPr>
          <w:p w14:paraId="3773B91A" w14:textId="77777777" w:rsidR="00F20BB0" w:rsidRDefault="00F20BB0">
            <w:pPr>
              <w:adjustRightInd w:val="0"/>
              <w:snapToGrid w:val="0"/>
              <w:spacing w:line="360" w:lineRule="auto"/>
              <w:jc w:val="both"/>
              <w:rPr>
                <w:rFonts w:ascii="Book Antiqua" w:hAnsi="Book Antiqua" w:cs="Arial"/>
              </w:rPr>
            </w:pPr>
          </w:p>
        </w:tc>
      </w:tr>
      <w:tr w:rsidR="00F20BB0" w14:paraId="60F009E7" w14:textId="77777777">
        <w:trPr>
          <w:trHeight w:val="320"/>
          <w:jc w:val="center"/>
        </w:trPr>
        <w:tc>
          <w:tcPr>
            <w:tcW w:w="2871" w:type="pct"/>
            <w:shd w:val="clear" w:color="auto" w:fill="auto"/>
            <w:noWrap/>
            <w:vAlign w:val="bottom"/>
          </w:tcPr>
          <w:p w14:paraId="6DA1FE8F"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Male</w:t>
            </w:r>
          </w:p>
        </w:tc>
        <w:tc>
          <w:tcPr>
            <w:tcW w:w="703" w:type="pct"/>
            <w:shd w:val="clear" w:color="auto" w:fill="auto"/>
            <w:noWrap/>
            <w:vAlign w:val="bottom"/>
          </w:tcPr>
          <w:p w14:paraId="7AAFA6D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453</w:t>
            </w:r>
          </w:p>
        </w:tc>
        <w:tc>
          <w:tcPr>
            <w:tcW w:w="1426" w:type="pct"/>
            <w:shd w:val="clear" w:color="auto" w:fill="auto"/>
            <w:noWrap/>
            <w:vAlign w:val="bottom"/>
          </w:tcPr>
          <w:p w14:paraId="3F9F64E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60.3</w:t>
            </w:r>
          </w:p>
        </w:tc>
      </w:tr>
      <w:tr w:rsidR="00F20BB0" w14:paraId="503AAEB5" w14:textId="77777777">
        <w:trPr>
          <w:trHeight w:val="320"/>
          <w:jc w:val="center"/>
        </w:trPr>
        <w:tc>
          <w:tcPr>
            <w:tcW w:w="2871" w:type="pct"/>
            <w:shd w:val="clear" w:color="auto" w:fill="auto"/>
            <w:noWrap/>
            <w:vAlign w:val="bottom"/>
          </w:tcPr>
          <w:p w14:paraId="73B8BE07"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Female</w:t>
            </w:r>
          </w:p>
        </w:tc>
        <w:tc>
          <w:tcPr>
            <w:tcW w:w="703" w:type="pct"/>
            <w:shd w:val="clear" w:color="auto" w:fill="auto"/>
            <w:noWrap/>
            <w:vAlign w:val="bottom"/>
          </w:tcPr>
          <w:p w14:paraId="115F0DF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298</w:t>
            </w:r>
          </w:p>
        </w:tc>
        <w:tc>
          <w:tcPr>
            <w:tcW w:w="1426" w:type="pct"/>
            <w:shd w:val="clear" w:color="auto" w:fill="auto"/>
            <w:noWrap/>
            <w:vAlign w:val="bottom"/>
          </w:tcPr>
          <w:p w14:paraId="06A7036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39.7</w:t>
            </w:r>
          </w:p>
        </w:tc>
      </w:tr>
      <w:tr w:rsidR="00F20BB0" w14:paraId="11C845EC" w14:textId="77777777">
        <w:trPr>
          <w:trHeight w:val="320"/>
          <w:jc w:val="center"/>
        </w:trPr>
        <w:tc>
          <w:tcPr>
            <w:tcW w:w="2871" w:type="pct"/>
            <w:shd w:val="clear" w:color="auto" w:fill="auto"/>
            <w:noWrap/>
            <w:vAlign w:val="bottom"/>
          </w:tcPr>
          <w:p w14:paraId="764D2E3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CEA in ng/mL</w:t>
            </w:r>
          </w:p>
        </w:tc>
        <w:tc>
          <w:tcPr>
            <w:tcW w:w="703" w:type="pct"/>
            <w:shd w:val="clear" w:color="auto" w:fill="auto"/>
            <w:noWrap/>
            <w:vAlign w:val="bottom"/>
          </w:tcPr>
          <w:p w14:paraId="09F3EE39" w14:textId="77777777" w:rsidR="00F20BB0" w:rsidRDefault="00F20BB0">
            <w:pPr>
              <w:adjustRightInd w:val="0"/>
              <w:snapToGrid w:val="0"/>
              <w:spacing w:line="360" w:lineRule="auto"/>
              <w:jc w:val="both"/>
              <w:rPr>
                <w:rFonts w:ascii="Book Antiqua" w:hAnsi="Book Antiqua" w:cs="Arial"/>
                <w:color w:val="000000"/>
              </w:rPr>
            </w:pPr>
          </w:p>
        </w:tc>
        <w:tc>
          <w:tcPr>
            <w:tcW w:w="1426" w:type="pct"/>
            <w:shd w:val="clear" w:color="auto" w:fill="auto"/>
            <w:noWrap/>
            <w:vAlign w:val="bottom"/>
          </w:tcPr>
          <w:p w14:paraId="6E06B12F" w14:textId="77777777" w:rsidR="00F20BB0" w:rsidRDefault="00F20BB0">
            <w:pPr>
              <w:adjustRightInd w:val="0"/>
              <w:snapToGrid w:val="0"/>
              <w:spacing w:line="360" w:lineRule="auto"/>
              <w:jc w:val="both"/>
              <w:rPr>
                <w:rFonts w:ascii="Book Antiqua" w:hAnsi="Book Antiqua" w:cs="Arial"/>
              </w:rPr>
            </w:pPr>
          </w:p>
        </w:tc>
      </w:tr>
      <w:tr w:rsidR="00F20BB0" w14:paraId="3CDAD456" w14:textId="77777777">
        <w:trPr>
          <w:trHeight w:val="320"/>
          <w:jc w:val="center"/>
        </w:trPr>
        <w:tc>
          <w:tcPr>
            <w:tcW w:w="2871" w:type="pct"/>
            <w:shd w:val="clear" w:color="auto" w:fill="auto"/>
            <w:noWrap/>
            <w:vAlign w:val="bottom"/>
          </w:tcPr>
          <w:p w14:paraId="4B2F2D26"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 5</w:t>
            </w:r>
          </w:p>
        </w:tc>
        <w:tc>
          <w:tcPr>
            <w:tcW w:w="703" w:type="pct"/>
            <w:shd w:val="clear" w:color="auto" w:fill="auto"/>
            <w:noWrap/>
            <w:vAlign w:val="bottom"/>
          </w:tcPr>
          <w:p w14:paraId="6BE3F068"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396</w:t>
            </w:r>
          </w:p>
        </w:tc>
        <w:tc>
          <w:tcPr>
            <w:tcW w:w="1426" w:type="pct"/>
            <w:shd w:val="clear" w:color="auto" w:fill="auto"/>
            <w:noWrap/>
            <w:vAlign w:val="bottom"/>
          </w:tcPr>
          <w:p w14:paraId="228AAB5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52.7</w:t>
            </w:r>
          </w:p>
        </w:tc>
      </w:tr>
      <w:tr w:rsidR="00F20BB0" w14:paraId="26EE1BFB" w14:textId="77777777">
        <w:trPr>
          <w:trHeight w:val="320"/>
          <w:jc w:val="center"/>
        </w:trPr>
        <w:tc>
          <w:tcPr>
            <w:tcW w:w="2871" w:type="pct"/>
            <w:shd w:val="clear" w:color="auto" w:fill="auto"/>
            <w:noWrap/>
            <w:vAlign w:val="bottom"/>
          </w:tcPr>
          <w:p w14:paraId="3210AA87"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&gt; 5</w:t>
            </w:r>
          </w:p>
        </w:tc>
        <w:tc>
          <w:tcPr>
            <w:tcW w:w="703" w:type="pct"/>
            <w:shd w:val="clear" w:color="auto" w:fill="auto"/>
            <w:noWrap/>
            <w:vAlign w:val="bottom"/>
          </w:tcPr>
          <w:p w14:paraId="446ADB3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355</w:t>
            </w:r>
          </w:p>
        </w:tc>
        <w:tc>
          <w:tcPr>
            <w:tcW w:w="1426" w:type="pct"/>
            <w:shd w:val="clear" w:color="auto" w:fill="auto"/>
            <w:noWrap/>
            <w:vAlign w:val="bottom"/>
          </w:tcPr>
          <w:p w14:paraId="52692646"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47.3</w:t>
            </w:r>
          </w:p>
        </w:tc>
      </w:tr>
      <w:tr w:rsidR="00F20BB0" w14:paraId="46F72D46" w14:textId="77777777">
        <w:trPr>
          <w:trHeight w:val="320"/>
          <w:jc w:val="center"/>
        </w:trPr>
        <w:tc>
          <w:tcPr>
            <w:tcW w:w="2871" w:type="pct"/>
            <w:shd w:val="clear" w:color="auto" w:fill="auto"/>
            <w:noWrap/>
            <w:vAlign w:val="bottom"/>
          </w:tcPr>
          <w:p w14:paraId="17B429C7"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CA199 in U/mL</w:t>
            </w:r>
          </w:p>
        </w:tc>
        <w:tc>
          <w:tcPr>
            <w:tcW w:w="703" w:type="pct"/>
            <w:shd w:val="clear" w:color="auto" w:fill="auto"/>
            <w:noWrap/>
            <w:vAlign w:val="bottom"/>
          </w:tcPr>
          <w:p w14:paraId="75B3769B" w14:textId="77777777" w:rsidR="00F20BB0" w:rsidRDefault="00F20BB0">
            <w:pPr>
              <w:adjustRightInd w:val="0"/>
              <w:snapToGrid w:val="0"/>
              <w:spacing w:line="360" w:lineRule="auto"/>
              <w:jc w:val="both"/>
              <w:rPr>
                <w:rFonts w:ascii="Book Antiqua" w:hAnsi="Book Antiqua" w:cs="Arial"/>
                <w:color w:val="000000"/>
              </w:rPr>
            </w:pPr>
          </w:p>
        </w:tc>
        <w:tc>
          <w:tcPr>
            <w:tcW w:w="1426" w:type="pct"/>
            <w:shd w:val="clear" w:color="auto" w:fill="auto"/>
            <w:noWrap/>
            <w:vAlign w:val="bottom"/>
          </w:tcPr>
          <w:p w14:paraId="00DA04CF" w14:textId="77777777" w:rsidR="00F20BB0" w:rsidRDefault="00F20BB0">
            <w:pPr>
              <w:adjustRightInd w:val="0"/>
              <w:snapToGrid w:val="0"/>
              <w:spacing w:line="360" w:lineRule="auto"/>
              <w:jc w:val="both"/>
              <w:rPr>
                <w:rFonts w:ascii="Book Antiqua" w:hAnsi="Book Antiqua" w:cs="Arial"/>
              </w:rPr>
            </w:pPr>
          </w:p>
        </w:tc>
      </w:tr>
      <w:tr w:rsidR="00F20BB0" w14:paraId="44556729" w14:textId="77777777">
        <w:trPr>
          <w:trHeight w:val="320"/>
          <w:jc w:val="center"/>
        </w:trPr>
        <w:tc>
          <w:tcPr>
            <w:tcW w:w="2871" w:type="pct"/>
            <w:shd w:val="clear" w:color="auto" w:fill="auto"/>
            <w:noWrap/>
            <w:vAlign w:val="bottom"/>
          </w:tcPr>
          <w:p w14:paraId="1390B97D"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 37</w:t>
            </w:r>
          </w:p>
        </w:tc>
        <w:tc>
          <w:tcPr>
            <w:tcW w:w="703" w:type="pct"/>
            <w:shd w:val="clear" w:color="auto" w:fill="auto"/>
            <w:noWrap/>
            <w:vAlign w:val="bottom"/>
          </w:tcPr>
          <w:p w14:paraId="3228B44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607</w:t>
            </w:r>
          </w:p>
        </w:tc>
        <w:tc>
          <w:tcPr>
            <w:tcW w:w="1426" w:type="pct"/>
            <w:shd w:val="clear" w:color="auto" w:fill="auto"/>
            <w:noWrap/>
            <w:vAlign w:val="bottom"/>
          </w:tcPr>
          <w:p w14:paraId="5E9990D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80.8</w:t>
            </w:r>
          </w:p>
        </w:tc>
      </w:tr>
      <w:tr w:rsidR="00F20BB0" w14:paraId="6AA2DB3D" w14:textId="77777777">
        <w:trPr>
          <w:trHeight w:val="320"/>
          <w:jc w:val="center"/>
        </w:trPr>
        <w:tc>
          <w:tcPr>
            <w:tcW w:w="2871" w:type="pct"/>
            <w:shd w:val="clear" w:color="auto" w:fill="auto"/>
            <w:noWrap/>
            <w:vAlign w:val="bottom"/>
          </w:tcPr>
          <w:p w14:paraId="1B636371"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&gt; 37</w:t>
            </w:r>
          </w:p>
        </w:tc>
        <w:tc>
          <w:tcPr>
            <w:tcW w:w="703" w:type="pct"/>
            <w:shd w:val="clear" w:color="auto" w:fill="auto"/>
            <w:noWrap/>
            <w:vAlign w:val="bottom"/>
          </w:tcPr>
          <w:p w14:paraId="4EEAADD5"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144</w:t>
            </w:r>
          </w:p>
        </w:tc>
        <w:tc>
          <w:tcPr>
            <w:tcW w:w="1426" w:type="pct"/>
            <w:shd w:val="clear" w:color="auto" w:fill="auto"/>
            <w:noWrap/>
            <w:vAlign w:val="bottom"/>
          </w:tcPr>
          <w:p w14:paraId="1C1B9EA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19.2</w:t>
            </w:r>
          </w:p>
        </w:tc>
      </w:tr>
      <w:tr w:rsidR="00F20BB0" w14:paraId="1F94204A" w14:textId="77777777">
        <w:trPr>
          <w:trHeight w:val="320"/>
          <w:jc w:val="center"/>
        </w:trPr>
        <w:tc>
          <w:tcPr>
            <w:tcW w:w="2871" w:type="pct"/>
            <w:shd w:val="clear" w:color="auto" w:fill="auto"/>
            <w:noWrap/>
            <w:vAlign w:val="bottom"/>
          </w:tcPr>
          <w:p w14:paraId="04C19A3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Tumor location</w:t>
            </w:r>
          </w:p>
        </w:tc>
        <w:tc>
          <w:tcPr>
            <w:tcW w:w="703" w:type="pct"/>
            <w:shd w:val="clear" w:color="auto" w:fill="auto"/>
            <w:noWrap/>
            <w:vAlign w:val="bottom"/>
          </w:tcPr>
          <w:p w14:paraId="1244F3EA" w14:textId="77777777" w:rsidR="00F20BB0" w:rsidRDefault="00F20BB0">
            <w:pPr>
              <w:adjustRightInd w:val="0"/>
              <w:snapToGrid w:val="0"/>
              <w:spacing w:line="360" w:lineRule="auto"/>
              <w:jc w:val="both"/>
              <w:rPr>
                <w:rFonts w:ascii="Book Antiqua" w:hAnsi="Book Antiqua" w:cs="Arial"/>
                <w:color w:val="000000"/>
              </w:rPr>
            </w:pPr>
          </w:p>
        </w:tc>
        <w:tc>
          <w:tcPr>
            <w:tcW w:w="1426" w:type="pct"/>
            <w:shd w:val="clear" w:color="auto" w:fill="auto"/>
            <w:noWrap/>
            <w:vAlign w:val="bottom"/>
          </w:tcPr>
          <w:p w14:paraId="7A4E0EA1" w14:textId="77777777" w:rsidR="00F20BB0" w:rsidRDefault="00F20BB0">
            <w:pPr>
              <w:adjustRightInd w:val="0"/>
              <w:snapToGrid w:val="0"/>
              <w:spacing w:line="360" w:lineRule="auto"/>
              <w:jc w:val="both"/>
              <w:rPr>
                <w:rFonts w:ascii="Book Antiqua" w:hAnsi="Book Antiqua" w:cs="Arial"/>
              </w:rPr>
            </w:pPr>
          </w:p>
        </w:tc>
      </w:tr>
      <w:tr w:rsidR="00F20BB0" w14:paraId="131AA0E0" w14:textId="77777777">
        <w:trPr>
          <w:trHeight w:val="320"/>
          <w:jc w:val="center"/>
        </w:trPr>
        <w:tc>
          <w:tcPr>
            <w:tcW w:w="2871" w:type="pct"/>
            <w:shd w:val="clear" w:color="auto" w:fill="auto"/>
            <w:noWrap/>
            <w:vAlign w:val="bottom"/>
          </w:tcPr>
          <w:p w14:paraId="10A77CA5"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Right-sided colon</w:t>
            </w:r>
          </w:p>
        </w:tc>
        <w:tc>
          <w:tcPr>
            <w:tcW w:w="703" w:type="pct"/>
            <w:shd w:val="clear" w:color="auto" w:fill="auto"/>
            <w:noWrap/>
            <w:vAlign w:val="bottom"/>
          </w:tcPr>
          <w:p w14:paraId="04657D8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209</w:t>
            </w:r>
          </w:p>
        </w:tc>
        <w:tc>
          <w:tcPr>
            <w:tcW w:w="1426" w:type="pct"/>
            <w:shd w:val="clear" w:color="auto" w:fill="auto"/>
            <w:noWrap/>
            <w:vAlign w:val="bottom"/>
          </w:tcPr>
          <w:p w14:paraId="448DE86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27.8</w:t>
            </w:r>
          </w:p>
        </w:tc>
      </w:tr>
      <w:tr w:rsidR="00F20BB0" w14:paraId="566F1C30" w14:textId="77777777">
        <w:trPr>
          <w:trHeight w:val="320"/>
          <w:jc w:val="center"/>
        </w:trPr>
        <w:tc>
          <w:tcPr>
            <w:tcW w:w="2871" w:type="pct"/>
            <w:shd w:val="clear" w:color="auto" w:fill="auto"/>
            <w:noWrap/>
            <w:vAlign w:val="bottom"/>
          </w:tcPr>
          <w:p w14:paraId="7F9A6DD7"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Left-sided colon</w:t>
            </w:r>
          </w:p>
        </w:tc>
        <w:tc>
          <w:tcPr>
            <w:tcW w:w="703" w:type="pct"/>
            <w:shd w:val="clear" w:color="auto" w:fill="auto"/>
            <w:noWrap/>
            <w:vAlign w:val="bottom"/>
          </w:tcPr>
          <w:p w14:paraId="6274C15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200</w:t>
            </w:r>
          </w:p>
        </w:tc>
        <w:tc>
          <w:tcPr>
            <w:tcW w:w="1426" w:type="pct"/>
            <w:shd w:val="clear" w:color="auto" w:fill="auto"/>
            <w:noWrap/>
            <w:vAlign w:val="bottom"/>
          </w:tcPr>
          <w:p w14:paraId="342A50E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26.6</w:t>
            </w:r>
          </w:p>
        </w:tc>
      </w:tr>
      <w:tr w:rsidR="00F20BB0" w14:paraId="7D12C80F" w14:textId="77777777">
        <w:trPr>
          <w:trHeight w:val="320"/>
          <w:jc w:val="center"/>
        </w:trPr>
        <w:tc>
          <w:tcPr>
            <w:tcW w:w="2871" w:type="pct"/>
            <w:shd w:val="clear" w:color="auto" w:fill="auto"/>
            <w:noWrap/>
            <w:vAlign w:val="bottom"/>
          </w:tcPr>
          <w:p w14:paraId="7F994EF3"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Rectum</w:t>
            </w:r>
          </w:p>
        </w:tc>
        <w:tc>
          <w:tcPr>
            <w:tcW w:w="703" w:type="pct"/>
            <w:shd w:val="clear" w:color="auto" w:fill="auto"/>
            <w:noWrap/>
            <w:vAlign w:val="bottom"/>
          </w:tcPr>
          <w:p w14:paraId="3776C79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342</w:t>
            </w:r>
          </w:p>
        </w:tc>
        <w:tc>
          <w:tcPr>
            <w:tcW w:w="1426" w:type="pct"/>
            <w:shd w:val="clear" w:color="auto" w:fill="auto"/>
            <w:noWrap/>
            <w:vAlign w:val="bottom"/>
          </w:tcPr>
          <w:p w14:paraId="62D4141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45.6</w:t>
            </w:r>
          </w:p>
        </w:tc>
      </w:tr>
      <w:tr w:rsidR="00F20BB0" w14:paraId="31B07CD3" w14:textId="77777777">
        <w:trPr>
          <w:trHeight w:val="320"/>
          <w:jc w:val="center"/>
        </w:trPr>
        <w:tc>
          <w:tcPr>
            <w:tcW w:w="2871" w:type="pct"/>
            <w:shd w:val="clear" w:color="auto" w:fill="auto"/>
            <w:noWrap/>
            <w:vAlign w:val="bottom"/>
          </w:tcPr>
          <w:p w14:paraId="5491D94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Tumor size in cm</w:t>
            </w:r>
          </w:p>
        </w:tc>
        <w:tc>
          <w:tcPr>
            <w:tcW w:w="703" w:type="pct"/>
            <w:shd w:val="clear" w:color="auto" w:fill="auto"/>
            <w:noWrap/>
            <w:vAlign w:val="bottom"/>
          </w:tcPr>
          <w:p w14:paraId="7A48DC3E" w14:textId="77777777" w:rsidR="00F20BB0" w:rsidRDefault="00F20BB0">
            <w:pPr>
              <w:adjustRightInd w:val="0"/>
              <w:snapToGrid w:val="0"/>
              <w:spacing w:line="360" w:lineRule="auto"/>
              <w:jc w:val="both"/>
              <w:rPr>
                <w:rFonts w:ascii="Book Antiqua" w:hAnsi="Book Antiqua" w:cs="Arial"/>
                <w:color w:val="000000"/>
              </w:rPr>
            </w:pPr>
          </w:p>
        </w:tc>
        <w:tc>
          <w:tcPr>
            <w:tcW w:w="1426" w:type="pct"/>
            <w:shd w:val="clear" w:color="auto" w:fill="auto"/>
            <w:noWrap/>
            <w:vAlign w:val="bottom"/>
          </w:tcPr>
          <w:p w14:paraId="58362EDB" w14:textId="77777777" w:rsidR="00F20BB0" w:rsidRDefault="00F20BB0">
            <w:pPr>
              <w:adjustRightInd w:val="0"/>
              <w:snapToGrid w:val="0"/>
              <w:spacing w:line="360" w:lineRule="auto"/>
              <w:jc w:val="both"/>
              <w:rPr>
                <w:rFonts w:ascii="Book Antiqua" w:hAnsi="Book Antiqua" w:cs="Arial"/>
              </w:rPr>
            </w:pPr>
          </w:p>
        </w:tc>
      </w:tr>
      <w:tr w:rsidR="00F20BB0" w14:paraId="1237C607" w14:textId="77777777">
        <w:trPr>
          <w:trHeight w:val="320"/>
          <w:jc w:val="center"/>
        </w:trPr>
        <w:tc>
          <w:tcPr>
            <w:tcW w:w="2871" w:type="pct"/>
            <w:shd w:val="clear" w:color="auto" w:fill="auto"/>
            <w:noWrap/>
            <w:vAlign w:val="bottom"/>
          </w:tcPr>
          <w:p w14:paraId="5AB16864"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 4.0</w:t>
            </w:r>
          </w:p>
        </w:tc>
        <w:tc>
          <w:tcPr>
            <w:tcW w:w="703" w:type="pct"/>
            <w:shd w:val="clear" w:color="auto" w:fill="auto"/>
            <w:noWrap/>
            <w:vAlign w:val="bottom"/>
          </w:tcPr>
          <w:p w14:paraId="62FEB7F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428</w:t>
            </w:r>
          </w:p>
        </w:tc>
        <w:tc>
          <w:tcPr>
            <w:tcW w:w="1426" w:type="pct"/>
            <w:shd w:val="clear" w:color="auto" w:fill="auto"/>
            <w:noWrap/>
            <w:vAlign w:val="bottom"/>
          </w:tcPr>
          <w:p w14:paraId="60E37CC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57.0</w:t>
            </w:r>
          </w:p>
        </w:tc>
      </w:tr>
      <w:tr w:rsidR="00F20BB0" w14:paraId="0B6CAB15" w14:textId="77777777">
        <w:trPr>
          <w:trHeight w:val="320"/>
          <w:jc w:val="center"/>
        </w:trPr>
        <w:tc>
          <w:tcPr>
            <w:tcW w:w="2871" w:type="pct"/>
            <w:shd w:val="clear" w:color="auto" w:fill="auto"/>
            <w:noWrap/>
            <w:vAlign w:val="bottom"/>
          </w:tcPr>
          <w:p w14:paraId="00B4B032"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&gt; 4.0</w:t>
            </w:r>
          </w:p>
        </w:tc>
        <w:tc>
          <w:tcPr>
            <w:tcW w:w="703" w:type="pct"/>
            <w:shd w:val="clear" w:color="auto" w:fill="auto"/>
            <w:noWrap/>
            <w:vAlign w:val="bottom"/>
          </w:tcPr>
          <w:p w14:paraId="2ED823B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323</w:t>
            </w:r>
          </w:p>
        </w:tc>
        <w:tc>
          <w:tcPr>
            <w:tcW w:w="1426" w:type="pct"/>
            <w:shd w:val="clear" w:color="auto" w:fill="auto"/>
            <w:noWrap/>
            <w:vAlign w:val="bottom"/>
          </w:tcPr>
          <w:p w14:paraId="34DFDEA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43.0</w:t>
            </w:r>
          </w:p>
        </w:tc>
      </w:tr>
      <w:tr w:rsidR="00F20BB0" w14:paraId="742F28A9" w14:textId="77777777">
        <w:trPr>
          <w:trHeight w:val="320"/>
          <w:jc w:val="center"/>
        </w:trPr>
        <w:tc>
          <w:tcPr>
            <w:tcW w:w="2871" w:type="pct"/>
            <w:shd w:val="clear" w:color="auto" w:fill="auto"/>
            <w:noWrap/>
            <w:vAlign w:val="bottom"/>
          </w:tcPr>
          <w:p w14:paraId="62EC05A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Primary histological type</w:t>
            </w:r>
          </w:p>
        </w:tc>
        <w:tc>
          <w:tcPr>
            <w:tcW w:w="703" w:type="pct"/>
            <w:shd w:val="clear" w:color="auto" w:fill="auto"/>
            <w:noWrap/>
            <w:vAlign w:val="bottom"/>
          </w:tcPr>
          <w:p w14:paraId="13A0CE24" w14:textId="77777777" w:rsidR="00F20BB0" w:rsidRDefault="00F20BB0">
            <w:pPr>
              <w:adjustRightInd w:val="0"/>
              <w:snapToGrid w:val="0"/>
              <w:spacing w:line="360" w:lineRule="auto"/>
              <w:jc w:val="both"/>
              <w:rPr>
                <w:rFonts w:ascii="Book Antiqua" w:hAnsi="Book Antiqua" w:cs="Arial"/>
                <w:color w:val="000000"/>
              </w:rPr>
            </w:pPr>
          </w:p>
        </w:tc>
        <w:tc>
          <w:tcPr>
            <w:tcW w:w="1426" w:type="pct"/>
            <w:shd w:val="clear" w:color="auto" w:fill="auto"/>
            <w:noWrap/>
            <w:vAlign w:val="bottom"/>
          </w:tcPr>
          <w:p w14:paraId="1B10F261" w14:textId="77777777" w:rsidR="00F20BB0" w:rsidRDefault="00F20BB0">
            <w:pPr>
              <w:adjustRightInd w:val="0"/>
              <w:snapToGrid w:val="0"/>
              <w:spacing w:line="360" w:lineRule="auto"/>
              <w:jc w:val="both"/>
              <w:rPr>
                <w:rFonts w:ascii="Book Antiqua" w:hAnsi="Book Antiqua" w:cs="Arial"/>
              </w:rPr>
            </w:pPr>
          </w:p>
        </w:tc>
      </w:tr>
      <w:tr w:rsidR="00F20BB0" w14:paraId="7A1C6AB1" w14:textId="77777777">
        <w:trPr>
          <w:trHeight w:val="320"/>
          <w:jc w:val="center"/>
        </w:trPr>
        <w:tc>
          <w:tcPr>
            <w:tcW w:w="2871" w:type="pct"/>
            <w:shd w:val="clear" w:color="auto" w:fill="auto"/>
            <w:noWrap/>
            <w:vAlign w:val="bottom"/>
          </w:tcPr>
          <w:p w14:paraId="5037C8CA"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Non-mucinous</w:t>
            </w:r>
          </w:p>
        </w:tc>
        <w:tc>
          <w:tcPr>
            <w:tcW w:w="703" w:type="pct"/>
            <w:shd w:val="clear" w:color="auto" w:fill="auto"/>
            <w:noWrap/>
            <w:vAlign w:val="bottom"/>
          </w:tcPr>
          <w:p w14:paraId="071ECEB8"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640</w:t>
            </w:r>
          </w:p>
        </w:tc>
        <w:tc>
          <w:tcPr>
            <w:tcW w:w="1426" w:type="pct"/>
            <w:shd w:val="clear" w:color="auto" w:fill="auto"/>
            <w:noWrap/>
            <w:vAlign w:val="bottom"/>
          </w:tcPr>
          <w:p w14:paraId="43ED1A7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85.2</w:t>
            </w:r>
          </w:p>
        </w:tc>
      </w:tr>
      <w:tr w:rsidR="00F20BB0" w14:paraId="606ADC42" w14:textId="77777777">
        <w:trPr>
          <w:trHeight w:val="320"/>
          <w:jc w:val="center"/>
        </w:trPr>
        <w:tc>
          <w:tcPr>
            <w:tcW w:w="2871" w:type="pct"/>
            <w:shd w:val="clear" w:color="auto" w:fill="auto"/>
            <w:noWrap/>
            <w:vAlign w:val="bottom"/>
          </w:tcPr>
          <w:p w14:paraId="2F35FBFE"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Mucinous</w:t>
            </w:r>
          </w:p>
        </w:tc>
        <w:tc>
          <w:tcPr>
            <w:tcW w:w="703" w:type="pct"/>
            <w:shd w:val="clear" w:color="auto" w:fill="auto"/>
            <w:noWrap/>
            <w:vAlign w:val="bottom"/>
          </w:tcPr>
          <w:p w14:paraId="4511042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111</w:t>
            </w:r>
          </w:p>
        </w:tc>
        <w:tc>
          <w:tcPr>
            <w:tcW w:w="1426" w:type="pct"/>
            <w:shd w:val="clear" w:color="auto" w:fill="auto"/>
            <w:noWrap/>
            <w:vAlign w:val="bottom"/>
          </w:tcPr>
          <w:p w14:paraId="38D8636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14.8</w:t>
            </w:r>
          </w:p>
        </w:tc>
      </w:tr>
      <w:tr w:rsidR="00F20BB0" w14:paraId="5847C0B3" w14:textId="77777777">
        <w:trPr>
          <w:trHeight w:val="320"/>
          <w:jc w:val="center"/>
        </w:trPr>
        <w:tc>
          <w:tcPr>
            <w:tcW w:w="2871" w:type="pct"/>
            <w:shd w:val="clear" w:color="auto" w:fill="auto"/>
            <w:noWrap/>
            <w:vAlign w:val="bottom"/>
          </w:tcPr>
          <w:p w14:paraId="7E90A86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Primary differentiation</w:t>
            </w:r>
          </w:p>
        </w:tc>
        <w:tc>
          <w:tcPr>
            <w:tcW w:w="703" w:type="pct"/>
            <w:shd w:val="clear" w:color="auto" w:fill="auto"/>
            <w:noWrap/>
            <w:vAlign w:val="bottom"/>
          </w:tcPr>
          <w:p w14:paraId="0E98EB0F" w14:textId="77777777" w:rsidR="00F20BB0" w:rsidRDefault="00F20BB0">
            <w:pPr>
              <w:adjustRightInd w:val="0"/>
              <w:snapToGrid w:val="0"/>
              <w:spacing w:line="360" w:lineRule="auto"/>
              <w:jc w:val="both"/>
              <w:rPr>
                <w:rFonts w:ascii="Book Antiqua" w:hAnsi="Book Antiqua" w:cs="Arial"/>
                <w:color w:val="000000"/>
              </w:rPr>
            </w:pPr>
          </w:p>
        </w:tc>
        <w:tc>
          <w:tcPr>
            <w:tcW w:w="1426" w:type="pct"/>
            <w:shd w:val="clear" w:color="auto" w:fill="auto"/>
            <w:noWrap/>
            <w:vAlign w:val="bottom"/>
          </w:tcPr>
          <w:p w14:paraId="1B7E5320" w14:textId="77777777" w:rsidR="00F20BB0" w:rsidRDefault="00F20BB0">
            <w:pPr>
              <w:adjustRightInd w:val="0"/>
              <w:snapToGrid w:val="0"/>
              <w:spacing w:line="360" w:lineRule="auto"/>
              <w:jc w:val="both"/>
              <w:rPr>
                <w:rFonts w:ascii="Book Antiqua" w:hAnsi="Book Antiqua" w:cs="Arial"/>
              </w:rPr>
            </w:pPr>
          </w:p>
        </w:tc>
      </w:tr>
      <w:tr w:rsidR="00F20BB0" w14:paraId="77F207EA" w14:textId="77777777">
        <w:trPr>
          <w:trHeight w:val="320"/>
          <w:jc w:val="center"/>
        </w:trPr>
        <w:tc>
          <w:tcPr>
            <w:tcW w:w="2871" w:type="pct"/>
            <w:shd w:val="clear" w:color="auto" w:fill="auto"/>
            <w:noWrap/>
            <w:vAlign w:val="bottom"/>
          </w:tcPr>
          <w:p w14:paraId="53B87735" w14:textId="77777777" w:rsidR="00F20BB0" w:rsidRDefault="00000000">
            <w:pPr>
              <w:adjustRightInd w:val="0"/>
              <w:snapToGrid w:val="0"/>
              <w:spacing w:line="360" w:lineRule="auto"/>
              <w:ind w:leftChars="100" w:left="240"/>
              <w:jc w:val="both"/>
              <w:rPr>
                <w:rFonts w:ascii="Book Antiqua" w:hAnsi="Book Antiqua" w:cs="Arial"/>
                <w:color w:val="000000"/>
              </w:rPr>
            </w:pPr>
            <w:proofErr w:type="gramStart"/>
            <w:r>
              <w:rPr>
                <w:rFonts w:ascii="Book Antiqua" w:hAnsi="Book Antiqua" w:cs="Arial"/>
                <w:color w:val="000000"/>
              </w:rPr>
              <w:t>Well</w:t>
            </w:r>
            <w:proofErr w:type="gramEnd"/>
            <w:r>
              <w:rPr>
                <w:rFonts w:ascii="Book Antiqua" w:hAnsi="Book Antiqua" w:cs="Arial"/>
                <w:color w:val="000000"/>
              </w:rPr>
              <w:t>/moderate</w:t>
            </w:r>
          </w:p>
        </w:tc>
        <w:tc>
          <w:tcPr>
            <w:tcW w:w="703" w:type="pct"/>
            <w:shd w:val="clear" w:color="auto" w:fill="auto"/>
            <w:noWrap/>
            <w:vAlign w:val="bottom"/>
          </w:tcPr>
          <w:p w14:paraId="66C2007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497</w:t>
            </w:r>
          </w:p>
        </w:tc>
        <w:tc>
          <w:tcPr>
            <w:tcW w:w="1426" w:type="pct"/>
            <w:shd w:val="clear" w:color="auto" w:fill="auto"/>
            <w:noWrap/>
            <w:vAlign w:val="bottom"/>
          </w:tcPr>
          <w:p w14:paraId="3B990217"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66.2</w:t>
            </w:r>
          </w:p>
        </w:tc>
      </w:tr>
      <w:tr w:rsidR="00F20BB0" w14:paraId="03633EE6" w14:textId="77777777">
        <w:trPr>
          <w:trHeight w:val="320"/>
          <w:jc w:val="center"/>
        </w:trPr>
        <w:tc>
          <w:tcPr>
            <w:tcW w:w="2871" w:type="pct"/>
            <w:shd w:val="clear" w:color="auto" w:fill="auto"/>
            <w:noWrap/>
            <w:vAlign w:val="bottom"/>
          </w:tcPr>
          <w:p w14:paraId="1B269ADD"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Poor/anaplastic</w:t>
            </w:r>
          </w:p>
        </w:tc>
        <w:tc>
          <w:tcPr>
            <w:tcW w:w="703" w:type="pct"/>
            <w:shd w:val="clear" w:color="auto" w:fill="auto"/>
            <w:noWrap/>
            <w:vAlign w:val="bottom"/>
          </w:tcPr>
          <w:p w14:paraId="330FD7B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254</w:t>
            </w:r>
          </w:p>
        </w:tc>
        <w:tc>
          <w:tcPr>
            <w:tcW w:w="1426" w:type="pct"/>
            <w:shd w:val="clear" w:color="auto" w:fill="auto"/>
            <w:noWrap/>
            <w:vAlign w:val="bottom"/>
          </w:tcPr>
          <w:p w14:paraId="01D27F1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33.8</w:t>
            </w:r>
          </w:p>
        </w:tc>
      </w:tr>
      <w:tr w:rsidR="00F20BB0" w14:paraId="2AD70334" w14:textId="77777777">
        <w:trPr>
          <w:trHeight w:val="320"/>
          <w:jc w:val="center"/>
        </w:trPr>
        <w:tc>
          <w:tcPr>
            <w:tcW w:w="2871" w:type="pct"/>
            <w:shd w:val="clear" w:color="auto" w:fill="auto"/>
            <w:noWrap/>
            <w:vAlign w:val="bottom"/>
          </w:tcPr>
          <w:p w14:paraId="1170BC5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T stage</w:t>
            </w:r>
          </w:p>
        </w:tc>
        <w:tc>
          <w:tcPr>
            <w:tcW w:w="703" w:type="pct"/>
            <w:shd w:val="clear" w:color="auto" w:fill="auto"/>
            <w:noWrap/>
            <w:vAlign w:val="bottom"/>
          </w:tcPr>
          <w:p w14:paraId="2CF6750D" w14:textId="77777777" w:rsidR="00F20BB0" w:rsidRDefault="00F20BB0">
            <w:pPr>
              <w:adjustRightInd w:val="0"/>
              <w:snapToGrid w:val="0"/>
              <w:spacing w:line="360" w:lineRule="auto"/>
              <w:jc w:val="both"/>
              <w:rPr>
                <w:rFonts w:ascii="Book Antiqua" w:hAnsi="Book Antiqua" w:cs="Arial"/>
                <w:color w:val="000000"/>
              </w:rPr>
            </w:pPr>
          </w:p>
        </w:tc>
        <w:tc>
          <w:tcPr>
            <w:tcW w:w="1426" w:type="pct"/>
            <w:shd w:val="clear" w:color="auto" w:fill="auto"/>
            <w:noWrap/>
            <w:vAlign w:val="bottom"/>
          </w:tcPr>
          <w:p w14:paraId="05F533F5" w14:textId="77777777" w:rsidR="00F20BB0" w:rsidRDefault="00F20BB0">
            <w:pPr>
              <w:adjustRightInd w:val="0"/>
              <w:snapToGrid w:val="0"/>
              <w:spacing w:line="360" w:lineRule="auto"/>
              <w:jc w:val="both"/>
              <w:rPr>
                <w:rFonts w:ascii="Book Antiqua" w:hAnsi="Book Antiqua" w:cs="Arial"/>
              </w:rPr>
            </w:pPr>
          </w:p>
        </w:tc>
      </w:tr>
      <w:tr w:rsidR="00F20BB0" w14:paraId="296EE7E3" w14:textId="77777777">
        <w:trPr>
          <w:trHeight w:val="320"/>
          <w:jc w:val="center"/>
        </w:trPr>
        <w:tc>
          <w:tcPr>
            <w:tcW w:w="2871" w:type="pct"/>
            <w:shd w:val="clear" w:color="auto" w:fill="auto"/>
            <w:noWrap/>
            <w:vAlign w:val="bottom"/>
          </w:tcPr>
          <w:p w14:paraId="15A29EC6"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lastRenderedPageBreak/>
              <w:t>T1</w:t>
            </w:r>
          </w:p>
        </w:tc>
        <w:tc>
          <w:tcPr>
            <w:tcW w:w="703" w:type="pct"/>
            <w:shd w:val="clear" w:color="auto" w:fill="auto"/>
            <w:noWrap/>
            <w:vAlign w:val="bottom"/>
          </w:tcPr>
          <w:p w14:paraId="1AB1C898"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24</w:t>
            </w:r>
          </w:p>
        </w:tc>
        <w:tc>
          <w:tcPr>
            <w:tcW w:w="1426" w:type="pct"/>
            <w:shd w:val="clear" w:color="auto" w:fill="auto"/>
            <w:noWrap/>
            <w:vAlign w:val="bottom"/>
          </w:tcPr>
          <w:p w14:paraId="316922F5"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3.2</w:t>
            </w:r>
          </w:p>
        </w:tc>
      </w:tr>
      <w:tr w:rsidR="00F20BB0" w14:paraId="158DB5F8" w14:textId="77777777">
        <w:trPr>
          <w:trHeight w:val="320"/>
          <w:jc w:val="center"/>
        </w:trPr>
        <w:tc>
          <w:tcPr>
            <w:tcW w:w="2871" w:type="pct"/>
            <w:shd w:val="clear" w:color="auto" w:fill="auto"/>
            <w:noWrap/>
            <w:vAlign w:val="bottom"/>
          </w:tcPr>
          <w:p w14:paraId="1EC2A740"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T2</w:t>
            </w:r>
          </w:p>
        </w:tc>
        <w:tc>
          <w:tcPr>
            <w:tcW w:w="703" w:type="pct"/>
            <w:shd w:val="clear" w:color="auto" w:fill="auto"/>
            <w:noWrap/>
            <w:vAlign w:val="bottom"/>
          </w:tcPr>
          <w:p w14:paraId="2C9711C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132</w:t>
            </w:r>
          </w:p>
        </w:tc>
        <w:tc>
          <w:tcPr>
            <w:tcW w:w="1426" w:type="pct"/>
            <w:shd w:val="clear" w:color="auto" w:fill="auto"/>
            <w:noWrap/>
            <w:vAlign w:val="bottom"/>
          </w:tcPr>
          <w:p w14:paraId="3A9231C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17.6</w:t>
            </w:r>
          </w:p>
        </w:tc>
      </w:tr>
      <w:tr w:rsidR="00F20BB0" w14:paraId="5F5B696E" w14:textId="77777777">
        <w:trPr>
          <w:trHeight w:val="320"/>
          <w:jc w:val="center"/>
        </w:trPr>
        <w:tc>
          <w:tcPr>
            <w:tcW w:w="2871" w:type="pct"/>
            <w:shd w:val="clear" w:color="auto" w:fill="auto"/>
            <w:noWrap/>
            <w:vAlign w:val="bottom"/>
          </w:tcPr>
          <w:p w14:paraId="788AAC34"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T3</w:t>
            </w:r>
          </w:p>
        </w:tc>
        <w:tc>
          <w:tcPr>
            <w:tcW w:w="703" w:type="pct"/>
            <w:shd w:val="clear" w:color="auto" w:fill="auto"/>
            <w:noWrap/>
            <w:vAlign w:val="bottom"/>
          </w:tcPr>
          <w:p w14:paraId="7AFD412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354</w:t>
            </w:r>
          </w:p>
        </w:tc>
        <w:tc>
          <w:tcPr>
            <w:tcW w:w="1426" w:type="pct"/>
            <w:shd w:val="clear" w:color="auto" w:fill="auto"/>
            <w:noWrap/>
            <w:vAlign w:val="bottom"/>
          </w:tcPr>
          <w:p w14:paraId="60BA1F9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47.1</w:t>
            </w:r>
          </w:p>
        </w:tc>
      </w:tr>
      <w:tr w:rsidR="00F20BB0" w14:paraId="130404C3" w14:textId="77777777">
        <w:trPr>
          <w:trHeight w:val="320"/>
          <w:jc w:val="center"/>
        </w:trPr>
        <w:tc>
          <w:tcPr>
            <w:tcW w:w="2871" w:type="pct"/>
            <w:shd w:val="clear" w:color="auto" w:fill="auto"/>
            <w:noWrap/>
            <w:vAlign w:val="bottom"/>
          </w:tcPr>
          <w:p w14:paraId="50E87EEC"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T4</w:t>
            </w:r>
          </w:p>
        </w:tc>
        <w:tc>
          <w:tcPr>
            <w:tcW w:w="703" w:type="pct"/>
            <w:shd w:val="clear" w:color="auto" w:fill="auto"/>
            <w:noWrap/>
            <w:vAlign w:val="bottom"/>
          </w:tcPr>
          <w:p w14:paraId="0259F50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241</w:t>
            </w:r>
          </w:p>
        </w:tc>
        <w:tc>
          <w:tcPr>
            <w:tcW w:w="1426" w:type="pct"/>
            <w:shd w:val="clear" w:color="auto" w:fill="auto"/>
            <w:noWrap/>
            <w:vAlign w:val="bottom"/>
          </w:tcPr>
          <w:p w14:paraId="501A10D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32.1</w:t>
            </w:r>
          </w:p>
        </w:tc>
      </w:tr>
      <w:tr w:rsidR="00F20BB0" w14:paraId="0B49D83F" w14:textId="77777777">
        <w:trPr>
          <w:trHeight w:val="320"/>
          <w:jc w:val="center"/>
        </w:trPr>
        <w:tc>
          <w:tcPr>
            <w:tcW w:w="2871" w:type="pct"/>
            <w:shd w:val="clear" w:color="auto" w:fill="auto"/>
            <w:noWrap/>
            <w:vAlign w:val="bottom"/>
          </w:tcPr>
          <w:p w14:paraId="1C37675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N stage</w:t>
            </w:r>
          </w:p>
        </w:tc>
        <w:tc>
          <w:tcPr>
            <w:tcW w:w="703" w:type="pct"/>
            <w:shd w:val="clear" w:color="auto" w:fill="auto"/>
            <w:noWrap/>
            <w:vAlign w:val="bottom"/>
          </w:tcPr>
          <w:p w14:paraId="148508F2" w14:textId="77777777" w:rsidR="00F20BB0" w:rsidRDefault="00F20BB0">
            <w:pPr>
              <w:adjustRightInd w:val="0"/>
              <w:snapToGrid w:val="0"/>
              <w:spacing w:line="360" w:lineRule="auto"/>
              <w:jc w:val="both"/>
              <w:rPr>
                <w:rFonts w:ascii="Book Antiqua" w:hAnsi="Book Antiqua" w:cs="Arial"/>
                <w:color w:val="000000"/>
              </w:rPr>
            </w:pPr>
          </w:p>
        </w:tc>
        <w:tc>
          <w:tcPr>
            <w:tcW w:w="1426" w:type="pct"/>
            <w:shd w:val="clear" w:color="auto" w:fill="auto"/>
            <w:noWrap/>
            <w:vAlign w:val="bottom"/>
          </w:tcPr>
          <w:p w14:paraId="4EB4DB31" w14:textId="77777777" w:rsidR="00F20BB0" w:rsidRDefault="00F20BB0">
            <w:pPr>
              <w:adjustRightInd w:val="0"/>
              <w:snapToGrid w:val="0"/>
              <w:spacing w:line="360" w:lineRule="auto"/>
              <w:jc w:val="both"/>
              <w:rPr>
                <w:rFonts w:ascii="Book Antiqua" w:hAnsi="Book Antiqua" w:cs="Arial"/>
              </w:rPr>
            </w:pPr>
          </w:p>
        </w:tc>
      </w:tr>
      <w:tr w:rsidR="00F20BB0" w14:paraId="727591D2" w14:textId="77777777">
        <w:trPr>
          <w:trHeight w:val="320"/>
          <w:jc w:val="center"/>
        </w:trPr>
        <w:tc>
          <w:tcPr>
            <w:tcW w:w="2871" w:type="pct"/>
            <w:shd w:val="clear" w:color="auto" w:fill="auto"/>
            <w:noWrap/>
            <w:vAlign w:val="bottom"/>
          </w:tcPr>
          <w:p w14:paraId="2AF99C84"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N0</w:t>
            </w:r>
          </w:p>
        </w:tc>
        <w:tc>
          <w:tcPr>
            <w:tcW w:w="703" w:type="pct"/>
            <w:shd w:val="clear" w:color="auto" w:fill="auto"/>
            <w:noWrap/>
            <w:vAlign w:val="bottom"/>
          </w:tcPr>
          <w:p w14:paraId="44F62D3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410</w:t>
            </w:r>
          </w:p>
        </w:tc>
        <w:tc>
          <w:tcPr>
            <w:tcW w:w="1426" w:type="pct"/>
            <w:shd w:val="clear" w:color="auto" w:fill="auto"/>
            <w:noWrap/>
            <w:vAlign w:val="bottom"/>
          </w:tcPr>
          <w:p w14:paraId="3330CEA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54.6</w:t>
            </w:r>
          </w:p>
        </w:tc>
      </w:tr>
      <w:tr w:rsidR="00F20BB0" w14:paraId="7F9077C5" w14:textId="77777777">
        <w:trPr>
          <w:trHeight w:val="320"/>
          <w:jc w:val="center"/>
        </w:trPr>
        <w:tc>
          <w:tcPr>
            <w:tcW w:w="2871" w:type="pct"/>
            <w:shd w:val="clear" w:color="auto" w:fill="auto"/>
            <w:noWrap/>
            <w:vAlign w:val="bottom"/>
          </w:tcPr>
          <w:p w14:paraId="2368105D"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N1</w:t>
            </w:r>
          </w:p>
        </w:tc>
        <w:tc>
          <w:tcPr>
            <w:tcW w:w="703" w:type="pct"/>
            <w:shd w:val="clear" w:color="auto" w:fill="auto"/>
            <w:noWrap/>
            <w:vAlign w:val="bottom"/>
          </w:tcPr>
          <w:p w14:paraId="6A4888F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231</w:t>
            </w:r>
          </w:p>
        </w:tc>
        <w:tc>
          <w:tcPr>
            <w:tcW w:w="1426" w:type="pct"/>
            <w:shd w:val="clear" w:color="auto" w:fill="auto"/>
            <w:noWrap/>
            <w:vAlign w:val="bottom"/>
          </w:tcPr>
          <w:p w14:paraId="7BBC3D8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30.8</w:t>
            </w:r>
          </w:p>
        </w:tc>
      </w:tr>
      <w:tr w:rsidR="00F20BB0" w14:paraId="0F7020AE" w14:textId="77777777">
        <w:trPr>
          <w:trHeight w:val="320"/>
          <w:jc w:val="center"/>
        </w:trPr>
        <w:tc>
          <w:tcPr>
            <w:tcW w:w="2871" w:type="pct"/>
            <w:shd w:val="clear" w:color="auto" w:fill="auto"/>
            <w:noWrap/>
            <w:vAlign w:val="bottom"/>
          </w:tcPr>
          <w:p w14:paraId="644FAEC9"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N2</w:t>
            </w:r>
          </w:p>
        </w:tc>
        <w:tc>
          <w:tcPr>
            <w:tcW w:w="703" w:type="pct"/>
            <w:shd w:val="clear" w:color="auto" w:fill="auto"/>
            <w:noWrap/>
            <w:vAlign w:val="bottom"/>
          </w:tcPr>
          <w:p w14:paraId="5FF1365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110</w:t>
            </w:r>
          </w:p>
        </w:tc>
        <w:tc>
          <w:tcPr>
            <w:tcW w:w="1426" w:type="pct"/>
            <w:shd w:val="clear" w:color="auto" w:fill="auto"/>
            <w:noWrap/>
            <w:vAlign w:val="bottom"/>
          </w:tcPr>
          <w:p w14:paraId="43BEF2A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14.6</w:t>
            </w:r>
          </w:p>
        </w:tc>
      </w:tr>
      <w:tr w:rsidR="00F20BB0" w14:paraId="3CDA6B2D" w14:textId="77777777">
        <w:trPr>
          <w:trHeight w:val="320"/>
          <w:jc w:val="center"/>
        </w:trPr>
        <w:tc>
          <w:tcPr>
            <w:tcW w:w="2871" w:type="pct"/>
            <w:shd w:val="clear" w:color="auto" w:fill="auto"/>
            <w:noWrap/>
            <w:vAlign w:val="bottom"/>
          </w:tcPr>
          <w:p w14:paraId="5BA25A2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Vascular invasion</w:t>
            </w:r>
          </w:p>
        </w:tc>
        <w:tc>
          <w:tcPr>
            <w:tcW w:w="703" w:type="pct"/>
            <w:shd w:val="clear" w:color="auto" w:fill="auto"/>
            <w:noWrap/>
            <w:vAlign w:val="bottom"/>
          </w:tcPr>
          <w:p w14:paraId="7E6A3534" w14:textId="77777777" w:rsidR="00F20BB0" w:rsidRDefault="00F20BB0">
            <w:pPr>
              <w:adjustRightInd w:val="0"/>
              <w:snapToGrid w:val="0"/>
              <w:spacing w:line="360" w:lineRule="auto"/>
              <w:jc w:val="both"/>
              <w:rPr>
                <w:rFonts w:ascii="Book Antiqua" w:hAnsi="Book Antiqua" w:cs="Arial"/>
                <w:color w:val="000000"/>
              </w:rPr>
            </w:pPr>
          </w:p>
        </w:tc>
        <w:tc>
          <w:tcPr>
            <w:tcW w:w="1426" w:type="pct"/>
            <w:shd w:val="clear" w:color="auto" w:fill="auto"/>
            <w:noWrap/>
            <w:vAlign w:val="bottom"/>
          </w:tcPr>
          <w:p w14:paraId="4B880952" w14:textId="77777777" w:rsidR="00F20BB0" w:rsidRDefault="00F20BB0">
            <w:pPr>
              <w:adjustRightInd w:val="0"/>
              <w:snapToGrid w:val="0"/>
              <w:spacing w:line="360" w:lineRule="auto"/>
              <w:jc w:val="both"/>
              <w:rPr>
                <w:rFonts w:ascii="Book Antiqua" w:hAnsi="Book Antiqua" w:cs="Arial"/>
              </w:rPr>
            </w:pPr>
          </w:p>
        </w:tc>
      </w:tr>
      <w:tr w:rsidR="00F20BB0" w14:paraId="0CB91BB0" w14:textId="77777777">
        <w:trPr>
          <w:trHeight w:val="320"/>
          <w:jc w:val="center"/>
        </w:trPr>
        <w:tc>
          <w:tcPr>
            <w:tcW w:w="2871" w:type="pct"/>
            <w:shd w:val="clear" w:color="auto" w:fill="auto"/>
            <w:noWrap/>
            <w:vAlign w:val="bottom"/>
          </w:tcPr>
          <w:p w14:paraId="224E75C4"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No</w:t>
            </w:r>
          </w:p>
        </w:tc>
        <w:tc>
          <w:tcPr>
            <w:tcW w:w="703" w:type="pct"/>
            <w:shd w:val="clear" w:color="auto" w:fill="auto"/>
            <w:noWrap/>
            <w:vAlign w:val="bottom"/>
          </w:tcPr>
          <w:p w14:paraId="3708A09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655</w:t>
            </w:r>
          </w:p>
        </w:tc>
        <w:tc>
          <w:tcPr>
            <w:tcW w:w="1426" w:type="pct"/>
            <w:shd w:val="clear" w:color="auto" w:fill="auto"/>
            <w:noWrap/>
            <w:vAlign w:val="bottom"/>
          </w:tcPr>
          <w:p w14:paraId="6104B5A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87.2</w:t>
            </w:r>
          </w:p>
        </w:tc>
      </w:tr>
      <w:tr w:rsidR="00F20BB0" w14:paraId="16FDEECF" w14:textId="77777777">
        <w:trPr>
          <w:trHeight w:val="320"/>
          <w:jc w:val="center"/>
        </w:trPr>
        <w:tc>
          <w:tcPr>
            <w:tcW w:w="2871" w:type="pct"/>
            <w:shd w:val="clear" w:color="auto" w:fill="auto"/>
            <w:noWrap/>
            <w:vAlign w:val="bottom"/>
          </w:tcPr>
          <w:p w14:paraId="3467F0E0"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Yes</w:t>
            </w:r>
          </w:p>
        </w:tc>
        <w:tc>
          <w:tcPr>
            <w:tcW w:w="703" w:type="pct"/>
            <w:shd w:val="clear" w:color="auto" w:fill="auto"/>
            <w:noWrap/>
            <w:vAlign w:val="bottom"/>
          </w:tcPr>
          <w:p w14:paraId="1290953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96</w:t>
            </w:r>
          </w:p>
        </w:tc>
        <w:tc>
          <w:tcPr>
            <w:tcW w:w="1426" w:type="pct"/>
            <w:shd w:val="clear" w:color="auto" w:fill="auto"/>
            <w:noWrap/>
            <w:vAlign w:val="bottom"/>
          </w:tcPr>
          <w:p w14:paraId="4FB968F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12.8</w:t>
            </w:r>
          </w:p>
        </w:tc>
      </w:tr>
      <w:tr w:rsidR="00F20BB0" w14:paraId="7B25D442" w14:textId="77777777">
        <w:trPr>
          <w:trHeight w:val="320"/>
          <w:jc w:val="center"/>
        </w:trPr>
        <w:tc>
          <w:tcPr>
            <w:tcW w:w="2871" w:type="pct"/>
            <w:shd w:val="clear" w:color="auto" w:fill="auto"/>
            <w:noWrap/>
            <w:vAlign w:val="bottom"/>
          </w:tcPr>
          <w:p w14:paraId="26BF2B7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Nerve invasion</w:t>
            </w:r>
          </w:p>
        </w:tc>
        <w:tc>
          <w:tcPr>
            <w:tcW w:w="703" w:type="pct"/>
            <w:shd w:val="clear" w:color="auto" w:fill="auto"/>
            <w:noWrap/>
            <w:vAlign w:val="bottom"/>
          </w:tcPr>
          <w:p w14:paraId="0EF2DA15" w14:textId="77777777" w:rsidR="00F20BB0" w:rsidRDefault="00F20BB0">
            <w:pPr>
              <w:adjustRightInd w:val="0"/>
              <w:snapToGrid w:val="0"/>
              <w:spacing w:line="360" w:lineRule="auto"/>
              <w:jc w:val="both"/>
              <w:rPr>
                <w:rFonts w:ascii="Book Antiqua" w:hAnsi="Book Antiqua" w:cs="Arial"/>
                <w:color w:val="000000"/>
              </w:rPr>
            </w:pPr>
          </w:p>
        </w:tc>
        <w:tc>
          <w:tcPr>
            <w:tcW w:w="1426" w:type="pct"/>
            <w:shd w:val="clear" w:color="auto" w:fill="auto"/>
            <w:noWrap/>
            <w:vAlign w:val="bottom"/>
          </w:tcPr>
          <w:p w14:paraId="15A52269" w14:textId="77777777" w:rsidR="00F20BB0" w:rsidRDefault="00F20BB0">
            <w:pPr>
              <w:adjustRightInd w:val="0"/>
              <w:snapToGrid w:val="0"/>
              <w:spacing w:line="360" w:lineRule="auto"/>
              <w:jc w:val="both"/>
              <w:rPr>
                <w:rFonts w:ascii="Book Antiqua" w:hAnsi="Book Antiqua" w:cs="Arial"/>
              </w:rPr>
            </w:pPr>
          </w:p>
        </w:tc>
      </w:tr>
      <w:tr w:rsidR="00F20BB0" w14:paraId="76E738C5" w14:textId="77777777">
        <w:trPr>
          <w:trHeight w:val="320"/>
          <w:jc w:val="center"/>
        </w:trPr>
        <w:tc>
          <w:tcPr>
            <w:tcW w:w="2871" w:type="pct"/>
            <w:shd w:val="clear" w:color="auto" w:fill="auto"/>
            <w:noWrap/>
            <w:vAlign w:val="bottom"/>
          </w:tcPr>
          <w:p w14:paraId="754CD811"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No</w:t>
            </w:r>
          </w:p>
        </w:tc>
        <w:tc>
          <w:tcPr>
            <w:tcW w:w="703" w:type="pct"/>
            <w:shd w:val="clear" w:color="auto" w:fill="auto"/>
            <w:noWrap/>
            <w:vAlign w:val="bottom"/>
          </w:tcPr>
          <w:p w14:paraId="2009FA3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695</w:t>
            </w:r>
          </w:p>
        </w:tc>
        <w:tc>
          <w:tcPr>
            <w:tcW w:w="1426" w:type="pct"/>
            <w:shd w:val="clear" w:color="auto" w:fill="auto"/>
            <w:noWrap/>
            <w:vAlign w:val="bottom"/>
          </w:tcPr>
          <w:p w14:paraId="39CFE09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92.5</w:t>
            </w:r>
          </w:p>
        </w:tc>
      </w:tr>
      <w:tr w:rsidR="00F20BB0" w14:paraId="5667DD82" w14:textId="77777777">
        <w:trPr>
          <w:trHeight w:val="320"/>
          <w:jc w:val="center"/>
        </w:trPr>
        <w:tc>
          <w:tcPr>
            <w:tcW w:w="2871" w:type="pct"/>
            <w:shd w:val="clear" w:color="auto" w:fill="auto"/>
            <w:noWrap/>
            <w:vAlign w:val="bottom"/>
          </w:tcPr>
          <w:p w14:paraId="1F79E7D0"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Yes</w:t>
            </w:r>
          </w:p>
        </w:tc>
        <w:tc>
          <w:tcPr>
            <w:tcW w:w="703" w:type="pct"/>
            <w:shd w:val="clear" w:color="auto" w:fill="auto"/>
            <w:noWrap/>
            <w:vAlign w:val="bottom"/>
          </w:tcPr>
          <w:p w14:paraId="22BECEF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56</w:t>
            </w:r>
          </w:p>
        </w:tc>
        <w:tc>
          <w:tcPr>
            <w:tcW w:w="1426" w:type="pct"/>
            <w:shd w:val="clear" w:color="auto" w:fill="auto"/>
            <w:noWrap/>
            <w:vAlign w:val="bottom"/>
          </w:tcPr>
          <w:p w14:paraId="0D176AC6"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7.5</w:t>
            </w:r>
          </w:p>
        </w:tc>
      </w:tr>
      <w:tr w:rsidR="00F20BB0" w14:paraId="3F286D6B" w14:textId="77777777">
        <w:trPr>
          <w:trHeight w:val="320"/>
          <w:jc w:val="center"/>
        </w:trPr>
        <w:tc>
          <w:tcPr>
            <w:tcW w:w="2871" w:type="pct"/>
            <w:shd w:val="clear" w:color="auto" w:fill="auto"/>
            <w:noWrap/>
            <w:vAlign w:val="bottom"/>
          </w:tcPr>
          <w:p w14:paraId="69A9AB2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M stage</w:t>
            </w:r>
          </w:p>
        </w:tc>
        <w:tc>
          <w:tcPr>
            <w:tcW w:w="703" w:type="pct"/>
            <w:shd w:val="clear" w:color="auto" w:fill="auto"/>
            <w:noWrap/>
            <w:vAlign w:val="bottom"/>
          </w:tcPr>
          <w:p w14:paraId="2D18CD38" w14:textId="77777777" w:rsidR="00F20BB0" w:rsidRDefault="00F20BB0">
            <w:pPr>
              <w:adjustRightInd w:val="0"/>
              <w:snapToGrid w:val="0"/>
              <w:spacing w:line="360" w:lineRule="auto"/>
              <w:jc w:val="both"/>
              <w:rPr>
                <w:rFonts w:ascii="Book Antiqua" w:hAnsi="Book Antiqua" w:cs="Arial"/>
                <w:color w:val="000000"/>
              </w:rPr>
            </w:pPr>
          </w:p>
        </w:tc>
        <w:tc>
          <w:tcPr>
            <w:tcW w:w="1426" w:type="pct"/>
            <w:shd w:val="clear" w:color="auto" w:fill="auto"/>
            <w:noWrap/>
            <w:vAlign w:val="bottom"/>
          </w:tcPr>
          <w:p w14:paraId="2B859817" w14:textId="77777777" w:rsidR="00F20BB0" w:rsidRDefault="00F20BB0">
            <w:pPr>
              <w:adjustRightInd w:val="0"/>
              <w:snapToGrid w:val="0"/>
              <w:spacing w:line="360" w:lineRule="auto"/>
              <w:jc w:val="both"/>
              <w:rPr>
                <w:rFonts w:ascii="Book Antiqua" w:hAnsi="Book Antiqua" w:cs="Arial"/>
              </w:rPr>
            </w:pPr>
          </w:p>
        </w:tc>
      </w:tr>
      <w:tr w:rsidR="00F20BB0" w14:paraId="6DD89957" w14:textId="77777777">
        <w:trPr>
          <w:trHeight w:val="320"/>
          <w:jc w:val="center"/>
        </w:trPr>
        <w:tc>
          <w:tcPr>
            <w:tcW w:w="2871" w:type="pct"/>
            <w:shd w:val="clear" w:color="auto" w:fill="auto"/>
            <w:noWrap/>
            <w:vAlign w:val="bottom"/>
          </w:tcPr>
          <w:p w14:paraId="0CFA6B28"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M0</w:t>
            </w:r>
          </w:p>
        </w:tc>
        <w:tc>
          <w:tcPr>
            <w:tcW w:w="703" w:type="pct"/>
            <w:shd w:val="clear" w:color="auto" w:fill="auto"/>
            <w:noWrap/>
            <w:vAlign w:val="bottom"/>
          </w:tcPr>
          <w:p w14:paraId="7DED835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554</w:t>
            </w:r>
          </w:p>
        </w:tc>
        <w:tc>
          <w:tcPr>
            <w:tcW w:w="1426" w:type="pct"/>
            <w:shd w:val="clear" w:color="auto" w:fill="auto"/>
            <w:noWrap/>
            <w:vAlign w:val="bottom"/>
          </w:tcPr>
          <w:p w14:paraId="1BD5A2F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73.8</w:t>
            </w:r>
          </w:p>
        </w:tc>
      </w:tr>
      <w:tr w:rsidR="00F20BB0" w14:paraId="6B213554" w14:textId="77777777">
        <w:trPr>
          <w:trHeight w:val="340"/>
          <w:jc w:val="center"/>
        </w:trPr>
        <w:tc>
          <w:tcPr>
            <w:tcW w:w="2871" w:type="pct"/>
            <w:shd w:val="clear" w:color="auto" w:fill="auto"/>
            <w:noWrap/>
            <w:vAlign w:val="bottom"/>
          </w:tcPr>
          <w:p w14:paraId="297F9BBD"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M1</w:t>
            </w:r>
          </w:p>
        </w:tc>
        <w:tc>
          <w:tcPr>
            <w:tcW w:w="703" w:type="pct"/>
            <w:shd w:val="clear" w:color="auto" w:fill="auto"/>
            <w:noWrap/>
            <w:vAlign w:val="bottom"/>
          </w:tcPr>
          <w:p w14:paraId="1F86622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197</w:t>
            </w:r>
          </w:p>
        </w:tc>
        <w:tc>
          <w:tcPr>
            <w:tcW w:w="1426" w:type="pct"/>
            <w:shd w:val="clear" w:color="auto" w:fill="auto"/>
            <w:noWrap/>
            <w:vAlign w:val="bottom"/>
          </w:tcPr>
          <w:p w14:paraId="01711AE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26.2</w:t>
            </w:r>
          </w:p>
        </w:tc>
      </w:tr>
    </w:tbl>
    <w:p w14:paraId="7407C090" w14:textId="77777777" w:rsidR="00F20BB0" w:rsidRDefault="00000000">
      <w:pPr>
        <w:adjustRightInd w:val="0"/>
        <w:snapToGrid w:val="0"/>
        <w:spacing w:line="360" w:lineRule="auto"/>
        <w:jc w:val="both"/>
        <w:rPr>
          <w:rFonts w:ascii="Book Antiqua" w:hAnsi="Book Antiqua" w:cs="Arial"/>
        </w:rPr>
      </w:pPr>
      <w:r>
        <w:rPr>
          <w:rFonts w:ascii="Book Antiqua" w:hAnsi="Book Antiqua" w:cs="Arial"/>
        </w:rPr>
        <w:t>CA199: Carbohydrate antigen 19-9; CEA: Carcinoembryonic antigen; M: Presence of metastasis; N: Extent of tumor spread to the lymph nodes; T: Extent of the tumor (the size of the tumor and any spread of tumor into nearby tissue).</w:t>
      </w:r>
    </w:p>
    <w:p w14:paraId="68735304" w14:textId="77777777" w:rsidR="00F20BB0" w:rsidRDefault="00000000">
      <w:pPr>
        <w:adjustRightInd w:val="0"/>
        <w:snapToGrid w:val="0"/>
        <w:spacing w:line="360" w:lineRule="auto"/>
        <w:jc w:val="both"/>
        <w:rPr>
          <w:rFonts w:ascii="Book Antiqua" w:hAnsi="Book Antiqua" w:cs="Arial"/>
        </w:rPr>
      </w:pPr>
      <w:r>
        <w:rPr>
          <w:rFonts w:ascii="Book Antiqua" w:hAnsi="Book Antiqua" w:cs="Arial"/>
        </w:rPr>
        <w:br w:type="page"/>
      </w:r>
      <w:r>
        <w:rPr>
          <w:rFonts w:ascii="Book Antiqua" w:hAnsi="Book Antiqua" w:cs="Arial"/>
          <w:b/>
          <w:bCs/>
          <w:color w:val="000000"/>
        </w:rPr>
        <w:lastRenderedPageBreak/>
        <w:t xml:space="preserve">Table 2 Correlations between patatin like phospholipase domain containing 8 expression and clinicopathological parameters of colorectal cancer patients in this </w:t>
      </w:r>
      <w:proofErr w:type="gramStart"/>
      <w:r>
        <w:rPr>
          <w:rFonts w:ascii="Book Antiqua" w:hAnsi="Book Antiqua" w:cs="Arial"/>
          <w:b/>
          <w:bCs/>
          <w:color w:val="000000"/>
        </w:rPr>
        <w:t>study</w:t>
      </w:r>
      <w:proofErr w:type="gramEnd"/>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2640"/>
        <w:gridCol w:w="1283"/>
        <w:gridCol w:w="1838"/>
      </w:tblGrid>
      <w:tr w:rsidR="00F20BB0" w14:paraId="7EB8E749" w14:textId="77777777">
        <w:trPr>
          <w:trHeight w:val="337"/>
          <w:jc w:val="center"/>
        </w:trPr>
        <w:tc>
          <w:tcPr>
            <w:tcW w:w="1802" w:type="pct"/>
            <w:vMerge w:val="restart"/>
            <w:tcBorders>
              <w:top w:val="single" w:sz="4" w:space="0" w:color="auto"/>
              <w:left w:val="nil"/>
              <w:bottom w:val="single" w:sz="4" w:space="0" w:color="auto"/>
              <w:right w:val="nil"/>
            </w:tcBorders>
            <w:shd w:val="clear" w:color="auto" w:fill="auto"/>
            <w:noWrap/>
            <w:vAlign w:val="bottom"/>
          </w:tcPr>
          <w:p w14:paraId="2B44A04A" w14:textId="77777777" w:rsidR="00F20BB0" w:rsidRDefault="00000000">
            <w:pPr>
              <w:adjustRightInd w:val="0"/>
              <w:snapToGrid w:val="0"/>
              <w:spacing w:line="360" w:lineRule="auto"/>
              <w:jc w:val="both"/>
              <w:rPr>
                <w:rFonts w:ascii="Book Antiqua" w:hAnsi="Book Antiqua" w:cs="Arial"/>
                <w:b/>
                <w:bCs/>
                <w:color w:val="000000"/>
              </w:rPr>
            </w:pPr>
            <w:r>
              <w:rPr>
                <w:rFonts w:ascii="Book Antiqua" w:hAnsi="Book Antiqua" w:cs="Arial"/>
                <w:b/>
                <w:bCs/>
                <w:color w:val="000000"/>
              </w:rPr>
              <w:t>Variables</w:t>
            </w:r>
          </w:p>
        </w:tc>
        <w:tc>
          <w:tcPr>
            <w:tcW w:w="2177" w:type="pct"/>
            <w:gridSpan w:val="2"/>
            <w:tcBorders>
              <w:top w:val="single" w:sz="4" w:space="0" w:color="auto"/>
              <w:left w:val="nil"/>
              <w:bottom w:val="single" w:sz="4" w:space="0" w:color="auto"/>
              <w:right w:val="nil"/>
            </w:tcBorders>
            <w:shd w:val="clear" w:color="auto" w:fill="auto"/>
            <w:noWrap/>
            <w:vAlign w:val="bottom"/>
          </w:tcPr>
          <w:p w14:paraId="02C5F693" w14:textId="77777777" w:rsidR="00F20BB0" w:rsidRDefault="00000000">
            <w:pPr>
              <w:adjustRightInd w:val="0"/>
              <w:snapToGrid w:val="0"/>
              <w:spacing w:line="360" w:lineRule="auto"/>
              <w:jc w:val="both"/>
              <w:rPr>
                <w:rFonts w:ascii="Book Antiqua" w:hAnsi="Book Antiqua" w:cs="Arial"/>
                <w:b/>
                <w:bCs/>
                <w:color w:val="000000"/>
              </w:rPr>
            </w:pPr>
            <w:r>
              <w:rPr>
                <w:rFonts w:ascii="Book Antiqua" w:hAnsi="Book Antiqua" w:cs="Arial"/>
                <w:b/>
                <w:bCs/>
                <w:color w:val="000000"/>
              </w:rPr>
              <w:t>PNPLA8 expression</w:t>
            </w:r>
          </w:p>
        </w:tc>
        <w:tc>
          <w:tcPr>
            <w:tcW w:w="1020" w:type="pct"/>
            <w:vMerge w:val="restart"/>
            <w:tcBorders>
              <w:top w:val="single" w:sz="4" w:space="0" w:color="auto"/>
              <w:left w:val="nil"/>
              <w:bottom w:val="single" w:sz="4" w:space="0" w:color="auto"/>
              <w:right w:val="nil"/>
            </w:tcBorders>
            <w:shd w:val="clear" w:color="auto" w:fill="auto"/>
            <w:noWrap/>
            <w:vAlign w:val="bottom"/>
          </w:tcPr>
          <w:p w14:paraId="7F912803" w14:textId="77777777" w:rsidR="00F20BB0" w:rsidRDefault="00000000">
            <w:pPr>
              <w:adjustRightInd w:val="0"/>
              <w:snapToGrid w:val="0"/>
              <w:spacing w:line="360" w:lineRule="auto"/>
              <w:jc w:val="both"/>
              <w:rPr>
                <w:rFonts w:ascii="Book Antiqua" w:hAnsi="Book Antiqua" w:cs="Arial"/>
                <w:b/>
                <w:bCs/>
                <w:color w:val="000000"/>
              </w:rPr>
            </w:pPr>
            <w:r>
              <w:rPr>
                <w:rFonts w:ascii="Book Antiqua" w:hAnsi="Book Antiqua" w:cs="Arial"/>
                <w:b/>
                <w:bCs/>
                <w:i/>
                <w:iCs/>
                <w:color w:val="000000"/>
              </w:rPr>
              <w:t>P</w:t>
            </w:r>
            <w:r>
              <w:rPr>
                <w:rFonts w:ascii="Book Antiqua" w:hAnsi="Book Antiqua" w:cs="Arial"/>
                <w:b/>
                <w:bCs/>
                <w:color w:val="000000"/>
              </w:rPr>
              <w:t xml:space="preserve"> value</w:t>
            </w:r>
          </w:p>
        </w:tc>
      </w:tr>
      <w:tr w:rsidR="00F20BB0" w14:paraId="4C07A489" w14:textId="77777777">
        <w:trPr>
          <w:trHeight w:val="337"/>
          <w:jc w:val="center"/>
        </w:trPr>
        <w:tc>
          <w:tcPr>
            <w:tcW w:w="1802" w:type="pct"/>
            <w:vMerge/>
            <w:tcBorders>
              <w:top w:val="single" w:sz="4" w:space="0" w:color="auto"/>
              <w:left w:val="nil"/>
              <w:bottom w:val="single" w:sz="4" w:space="0" w:color="auto"/>
              <w:right w:val="nil"/>
            </w:tcBorders>
            <w:shd w:val="clear" w:color="auto" w:fill="auto"/>
            <w:noWrap/>
            <w:vAlign w:val="bottom"/>
          </w:tcPr>
          <w:p w14:paraId="168DD761" w14:textId="77777777" w:rsidR="00F20BB0" w:rsidRDefault="00F20BB0">
            <w:pPr>
              <w:adjustRightInd w:val="0"/>
              <w:snapToGrid w:val="0"/>
              <w:spacing w:line="360" w:lineRule="auto"/>
              <w:jc w:val="both"/>
              <w:rPr>
                <w:rFonts w:ascii="Book Antiqua" w:hAnsi="Book Antiqua" w:cs="Arial"/>
                <w:b/>
                <w:bCs/>
                <w:color w:val="000000"/>
              </w:rPr>
            </w:pPr>
          </w:p>
        </w:tc>
        <w:tc>
          <w:tcPr>
            <w:tcW w:w="1465" w:type="pct"/>
            <w:tcBorders>
              <w:top w:val="single" w:sz="4" w:space="0" w:color="auto"/>
              <w:left w:val="nil"/>
              <w:bottom w:val="single" w:sz="4" w:space="0" w:color="auto"/>
              <w:right w:val="nil"/>
            </w:tcBorders>
            <w:shd w:val="clear" w:color="auto" w:fill="auto"/>
            <w:noWrap/>
            <w:vAlign w:val="bottom"/>
          </w:tcPr>
          <w:p w14:paraId="5A8C6174" w14:textId="77777777" w:rsidR="00F20BB0" w:rsidRDefault="00000000">
            <w:pPr>
              <w:adjustRightInd w:val="0"/>
              <w:snapToGrid w:val="0"/>
              <w:spacing w:line="360" w:lineRule="auto"/>
              <w:jc w:val="both"/>
              <w:rPr>
                <w:rFonts w:ascii="Book Antiqua" w:hAnsi="Book Antiqua" w:cs="Arial"/>
                <w:b/>
                <w:bCs/>
                <w:color w:val="000000"/>
              </w:rPr>
            </w:pPr>
            <w:r>
              <w:rPr>
                <w:rFonts w:ascii="Book Antiqua" w:hAnsi="Book Antiqua" w:cs="Arial"/>
                <w:b/>
                <w:bCs/>
                <w:color w:val="000000"/>
              </w:rPr>
              <w:t>Low (%)</w:t>
            </w:r>
          </w:p>
        </w:tc>
        <w:tc>
          <w:tcPr>
            <w:tcW w:w="712" w:type="pct"/>
            <w:tcBorders>
              <w:top w:val="single" w:sz="4" w:space="0" w:color="auto"/>
              <w:left w:val="nil"/>
              <w:bottom w:val="single" w:sz="4" w:space="0" w:color="auto"/>
              <w:right w:val="nil"/>
            </w:tcBorders>
            <w:shd w:val="clear" w:color="auto" w:fill="auto"/>
            <w:noWrap/>
            <w:vAlign w:val="bottom"/>
          </w:tcPr>
          <w:p w14:paraId="56838857" w14:textId="77777777" w:rsidR="00F20BB0" w:rsidRDefault="00000000">
            <w:pPr>
              <w:adjustRightInd w:val="0"/>
              <w:snapToGrid w:val="0"/>
              <w:spacing w:line="360" w:lineRule="auto"/>
              <w:jc w:val="both"/>
              <w:rPr>
                <w:rFonts w:ascii="Book Antiqua" w:hAnsi="Book Antiqua" w:cs="Arial"/>
                <w:b/>
                <w:bCs/>
                <w:color w:val="000000"/>
              </w:rPr>
            </w:pPr>
            <w:r>
              <w:rPr>
                <w:rFonts w:ascii="Book Antiqua" w:hAnsi="Book Antiqua" w:cs="Arial"/>
                <w:b/>
                <w:bCs/>
                <w:color w:val="000000"/>
              </w:rPr>
              <w:t>High (%)</w:t>
            </w:r>
          </w:p>
        </w:tc>
        <w:tc>
          <w:tcPr>
            <w:tcW w:w="1020" w:type="pct"/>
            <w:vMerge/>
            <w:tcBorders>
              <w:top w:val="single" w:sz="4" w:space="0" w:color="auto"/>
              <w:left w:val="nil"/>
              <w:bottom w:val="single" w:sz="4" w:space="0" w:color="auto"/>
              <w:right w:val="nil"/>
            </w:tcBorders>
            <w:shd w:val="clear" w:color="auto" w:fill="auto"/>
            <w:noWrap/>
            <w:vAlign w:val="bottom"/>
          </w:tcPr>
          <w:p w14:paraId="0F124C59" w14:textId="77777777" w:rsidR="00F20BB0" w:rsidRDefault="00F20BB0">
            <w:pPr>
              <w:adjustRightInd w:val="0"/>
              <w:snapToGrid w:val="0"/>
              <w:spacing w:line="360" w:lineRule="auto"/>
              <w:jc w:val="both"/>
              <w:rPr>
                <w:rFonts w:ascii="Book Antiqua" w:hAnsi="Book Antiqua" w:cs="Arial"/>
                <w:b/>
                <w:bCs/>
                <w:color w:val="000000"/>
              </w:rPr>
            </w:pPr>
          </w:p>
        </w:tc>
      </w:tr>
      <w:tr w:rsidR="00F20BB0" w14:paraId="511C083B" w14:textId="77777777">
        <w:trPr>
          <w:trHeight w:val="337"/>
          <w:jc w:val="center"/>
        </w:trPr>
        <w:tc>
          <w:tcPr>
            <w:tcW w:w="1802" w:type="pct"/>
            <w:tcBorders>
              <w:top w:val="single" w:sz="4" w:space="0" w:color="auto"/>
              <w:left w:val="nil"/>
              <w:bottom w:val="nil"/>
              <w:right w:val="nil"/>
            </w:tcBorders>
            <w:shd w:val="clear" w:color="auto" w:fill="auto"/>
            <w:noWrap/>
            <w:vAlign w:val="bottom"/>
          </w:tcPr>
          <w:p w14:paraId="5C3FEA1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All patients</w:t>
            </w:r>
          </w:p>
        </w:tc>
        <w:tc>
          <w:tcPr>
            <w:tcW w:w="1465" w:type="pct"/>
            <w:tcBorders>
              <w:top w:val="single" w:sz="4" w:space="0" w:color="auto"/>
              <w:left w:val="nil"/>
              <w:bottom w:val="nil"/>
              <w:right w:val="nil"/>
            </w:tcBorders>
            <w:shd w:val="clear" w:color="auto" w:fill="auto"/>
            <w:noWrap/>
            <w:vAlign w:val="bottom"/>
          </w:tcPr>
          <w:p w14:paraId="1B03874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331</w:t>
            </w:r>
          </w:p>
        </w:tc>
        <w:tc>
          <w:tcPr>
            <w:tcW w:w="712" w:type="pct"/>
            <w:tcBorders>
              <w:top w:val="single" w:sz="4" w:space="0" w:color="auto"/>
              <w:left w:val="nil"/>
              <w:bottom w:val="nil"/>
              <w:right w:val="nil"/>
            </w:tcBorders>
            <w:shd w:val="clear" w:color="auto" w:fill="auto"/>
            <w:noWrap/>
            <w:vAlign w:val="bottom"/>
          </w:tcPr>
          <w:p w14:paraId="7168DD3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420</w:t>
            </w:r>
          </w:p>
        </w:tc>
        <w:tc>
          <w:tcPr>
            <w:tcW w:w="1020" w:type="pct"/>
            <w:tcBorders>
              <w:top w:val="single" w:sz="4" w:space="0" w:color="auto"/>
              <w:left w:val="nil"/>
              <w:bottom w:val="nil"/>
              <w:right w:val="nil"/>
            </w:tcBorders>
            <w:shd w:val="clear" w:color="auto" w:fill="auto"/>
            <w:noWrap/>
            <w:vAlign w:val="bottom"/>
          </w:tcPr>
          <w:p w14:paraId="5EFAA86B" w14:textId="77777777" w:rsidR="00F20BB0" w:rsidRDefault="00F20BB0">
            <w:pPr>
              <w:adjustRightInd w:val="0"/>
              <w:snapToGrid w:val="0"/>
              <w:spacing w:line="360" w:lineRule="auto"/>
              <w:jc w:val="both"/>
              <w:rPr>
                <w:rFonts w:ascii="Book Antiqua" w:hAnsi="Book Antiqua" w:cs="Arial"/>
                <w:color w:val="000000"/>
              </w:rPr>
            </w:pPr>
          </w:p>
        </w:tc>
      </w:tr>
      <w:tr w:rsidR="00F20BB0" w14:paraId="1FA8E0A3" w14:textId="77777777">
        <w:trPr>
          <w:trHeight w:val="317"/>
          <w:jc w:val="center"/>
        </w:trPr>
        <w:tc>
          <w:tcPr>
            <w:tcW w:w="1802" w:type="pct"/>
            <w:tcBorders>
              <w:top w:val="nil"/>
              <w:left w:val="nil"/>
              <w:bottom w:val="nil"/>
              <w:right w:val="nil"/>
            </w:tcBorders>
            <w:shd w:val="clear" w:color="auto" w:fill="auto"/>
            <w:noWrap/>
            <w:vAlign w:val="bottom"/>
          </w:tcPr>
          <w:p w14:paraId="3B74A6D6"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Age in yr</w:t>
            </w:r>
          </w:p>
        </w:tc>
        <w:tc>
          <w:tcPr>
            <w:tcW w:w="1465" w:type="pct"/>
            <w:tcBorders>
              <w:top w:val="nil"/>
              <w:left w:val="nil"/>
              <w:bottom w:val="nil"/>
              <w:right w:val="nil"/>
            </w:tcBorders>
            <w:shd w:val="clear" w:color="auto" w:fill="auto"/>
            <w:noWrap/>
            <w:vAlign w:val="bottom"/>
          </w:tcPr>
          <w:p w14:paraId="05312CB3" w14:textId="77777777" w:rsidR="00F20BB0" w:rsidRDefault="00F20BB0">
            <w:pPr>
              <w:adjustRightInd w:val="0"/>
              <w:snapToGrid w:val="0"/>
              <w:spacing w:line="360" w:lineRule="auto"/>
              <w:jc w:val="both"/>
              <w:rPr>
                <w:rFonts w:ascii="Book Antiqua" w:hAnsi="Book Antiqua" w:cs="Arial"/>
                <w:color w:val="000000"/>
              </w:rPr>
            </w:pPr>
          </w:p>
        </w:tc>
        <w:tc>
          <w:tcPr>
            <w:tcW w:w="712" w:type="pct"/>
            <w:tcBorders>
              <w:top w:val="nil"/>
              <w:left w:val="nil"/>
              <w:bottom w:val="nil"/>
              <w:right w:val="nil"/>
            </w:tcBorders>
            <w:shd w:val="clear" w:color="auto" w:fill="auto"/>
            <w:noWrap/>
            <w:vAlign w:val="bottom"/>
          </w:tcPr>
          <w:p w14:paraId="4A8C710B" w14:textId="77777777" w:rsidR="00F20BB0" w:rsidRDefault="00F20BB0">
            <w:pPr>
              <w:adjustRightInd w:val="0"/>
              <w:snapToGrid w:val="0"/>
              <w:spacing w:line="360" w:lineRule="auto"/>
              <w:jc w:val="both"/>
              <w:rPr>
                <w:rFonts w:ascii="Book Antiqua" w:hAnsi="Book Antiqua" w:cs="Arial"/>
              </w:rPr>
            </w:pPr>
          </w:p>
        </w:tc>
        <w:tc>
          <w:tcPr>
            <w:tcW w:w="1020" w:type="pct"/>
            <w:tcBorders>
              <w:top w:val="nil"/>
              <w:left w:val="nil"/>
              <w:bottom w:val="nil"/>
              <w:right w:val="nil"/>
            </w:tcBorders>
            <w:shd w:val="clear" w:color="auto" w:fill="auto"/>
            <w:noWrap/>
            <w:vAlign w:val="bottom"/>
          </w:tcPr>
          <w:p w14:paraId="08D99EA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0.811</w:t>
            </w:r>
          </w:p>
        </w:tc>
      </w:tr>
      <w:tr w:rsidR="00F20BB0" w14:paraId="6BF84DE7" w14:textId="77777777">
        <w:trPr>
          <w:trHeight w:val="317"/>
          <w:jc w:val="center"/>
        </w:trPr>
        <w:tc>
          <w:tcPr>
            <w:tcW w:w="1802" w:type="pct"/>
            <w:tcBorders>
              <w:top w:val="nil"/>
              <w:left w:val="nil"/>
              <w:bottom w:val="nil"/>
              <w:right w:val="nil"/>
            </w:tcBorders>
            <w:shd w:val="clear" w:color="auto" w:fill="auto"/>
            <w:noWrap/>
            <w:vAlign w:val="bottom"/>
          </w:tcPr>
          <w:p w14:paraId="2CBE90E0"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 60</w:t>
            </w:r>
          </w:p>
        </w:tc>
        <w:tc>
          <w:tcPr>
            <w:tcW w:w="1465" w:type="pct"/>
            <w:tcBorders>
              <w:top w:val="nil"/>
              <w:left w:val="nil"/>
              <w:bottom w:val="nil"/>
              <w:right w:val="nil"/>
            </w:tcBorders>
            <w:shd w:val="clear" w:color="auto" w:fill="auto"/>
            <w:noWrap/>
            <w:vAlign w:val="bottom"/>
          </w:tcPr>
          <w:p w14:paraId="25C8BC0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155 (46.8)</w:t>
            </w:r>
          </w:p>
        </w:tc>
        <w:tc>
          <w:tcPr>
            <w:tcW w:w="712" w:type="pct"/>
            <w:tcBorders>
              <w:top w:val="nil"/>
              <w:left w:val="nil"/>
              <w:bottom w:val="nil"/>
              <w:right w:val="nil"/>
            </w:tcBorders>
            <w:shd w:val="clear" w:color="auto" w:fill="auto"/>
            <w:noWrap/>
            <w:vAlign w:val="bottom"/>
          </w:tcPr>
          <w:p w14:paraId="20E29D3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193 (46.0)</w:t>
            </w:r>
          </w:p>
        </w:tc>
        <w:tc>
          <w:tcPr>
            <w:tcW w:w="1020" w:type="pct"/>
            <w:tcBorders>
              <w:top w:val="nil"/>
              <w:left w:val="nil"/>
              <w:bottom w:val="nil"/>
              <w:right w:val="nil"/>
            </w:tcBorders>
            <w:shd w:val="clear" w:color="auto" w:fill="auto"/>
            <w:noWrap/>
            <w:vAlign w:val="bottom"/>
          </w:tcPr>
          <w:p w14:paraId="30B6B2DB" w14:textId="77777777" w:rsidR="00F20BB0" w:rsidRDefault="00F20BB0">
            <w:pPr>
              <w:adjustRightInd w:val="0"/>
              <w:snapToGrid w:val="0"/>
              <w:spacing w:line="360" w:lineRule="auto"/>
              <w:jc w:val="both"/>
              <w:rPr>
                <w:rFonts w:ascii="Book Antiqua" w:hAnsi="Book Antiqua" w:cs="Arial"/>
                <w:color w:val="000000"/>
              </w:rPr>
            </w:pPr>
          </w:p>
        </w:tc>
      </w:tr>
      <w:tr w:rsidR="00F20BB0" w14:paraId="5A5BC9CA" w14:textId="77777777">
        <w:trPr>
          <w:trHeight w:val="317"/>
          <w:jc w:val="center"/>
        </w:trPr>
        <w:tc>
          <w:tcPr>
            <w:tcW w:w="1802" w:type="pct"/>
            <w:tcBorders>
              <w:top w:val="nil"/>
              <w:left w:val="nil"/>
              <w:bottom w:val="nil"/>
              <w:right w:val="nil"/>
            </w:tcBorders>
            <w:shd w:val="clear" w:color="auto" w:fill="auto"/>
            <w:noWrap/>
            <w:vAlign w:val="bottom"/>
          </w:tcPr>
          <w:p w14:paraId="2FD188A9"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&gt; 60</w:t>
            </w:r>
          </w:p>
        </w:tc>
        <w:tc>
          <w:tcPr>
            <w:tcW w:w="1465" w:type="pct"/>
            <w:tcBorders>
              <w:top w:val="nil"/>
              <w:left w:val="nil"/>
              <w:bottom w:val="nil"/>
              <w:right w:val="nil"/>
            </w:tcBorders>
            <w:shd w:val="clear" w:color="auto" w:fill="auto"/>
            <w:noWrap/>
            <w:vAlign w:val="bottom"/>
          </w:tcPr>
          <w:p w14:paraId="14748AE5"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176 (53.2)</w:t>
            </w:r>
          </w:p>
        </w:tc>
        <w:tc>
          <w:tcPr>
            <w:tcW w:w="712" w:type="pct"/>
            <w:tcBorders>
              <w:top w:val="nil"/>
              <w:left w:val="nil"/>
              <w:bottom w:val="nil"/>
              <w:right w:val="nil"/>
            </w:tcBorders>
            <w:shd w:val="clear" w:color="auto" w:fill="auto"/>
            <w:noWrap/>
            <w:vAlign w:val="bottom"/>
          </w:tcPr>
          <w:p w14:paraId="5601425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227 (54.0)</w:t>
            </w:r>
          </w:p>
        </w:tc>
        <w:tc>
          <w:tcPr>
            <w:tcW w:w="1020" w:type="pct"/>
            <w:tcBorders>
              <w:top w:val="nil"/>
              <w:left w:val="nil"/>
              <w:bottom w:val="nil"/>
              <w:right w:val="nil"/>
            </w:tcBorders>
            <w:shd w:val="clear" w:color="auto" w:fill="auto"/>
            <w:noWrap/>
            <w:vAlign w:val="bottom"/>
          </w:tcPr>
          <w:p w14:paraId="0959F013" w14:textId="77777777" w:rsidR="00F20BB0" w:rsidRDefault="00F20BB0">
            <w:pPr>
              <w:adjustRightInd w:val="0"/>
              <w:snapToGrid w:val="0"/>
              <w:spacing w:line="360" w:lineRule="auto"/>
              <w:jc w:val="both"/>
              <w:rPr>
                <w:rFonts w:ascii="Book Antiqua" w:hAnsi="Book Antiqua" w:cs="Arial"/>
                <w:color w:val="000000"/>
              </w:rPr>
            </w:pPr>
          </w:p>
        </w:tc>
      </w:tr>
      <w:tr w:rsidR="00F20BB0" w14:paraId="2D0F5F0F" w14:textId="77777777">
        <w:trPr>
          <w:trHeight w:val="317"/>
          <w:jc w:val="center"/>
        </w:trPr>
        <w:tc>
          <w:tcPr>
            <w:tcW w:w="1802" w:type="pct"/>
            <w:tcBorders>
              <w:top w:val="nil"/>
              <w:left w:val="nil"/>
              <w:bottom w:val="nil"/>
              <w:right w:val="nil"/>
            </w:tcBorders>
            <w:shd w:val="clear" w:color="auto" w:fill="auto"/>
            <w:noWrap/>
            <w:vAlign w:val="bottom"/>
          </w:tcPr>
          <w:p w14:paraId="0E592FC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Sex</w:t>
            </w:r>
          </w:p>
        </w:tc>
        <w:tc>
          <w:tcPr>
            <w:tcW w:w="1465" w:type="pct"/>
            <w:tcBorders>
              <w:top w:val="nil"/>
              <w:left w:val="nil"/>
              <w:bottom w:val="nil"/>
              <w:right w:val="nil"/>
            </w:tcBorders>
            <w:shd w:val="clear" w:color="auto" w:fill="auto"/>
            <w:noWrap/>
            <w:vAlign w:val="bottom"/>
          </w:tcPr>
          <w:p w14:paraId="0E8A1C77" w14:textId="77777777" w:rsidR="00F20BB0" w:rsidRDefault="00F20BB0">
            <w:pPr>
              <w:adjustRightInd w:val="0"/>
              <w:snapToGrid w:val="0"/>
              <w:spacing w:line="360" w:lineRule="auto"/>
              <w:jc w:val="both"/>
              <w:rPr>
                <w:rFonts w:ascii="Book Antiqua" w:hAnsi="Book Antiqua" w:cs="Arial"/>
                <w:color w:val="000000"/>
              </w:rPr>
            </w:pPr>
          </w:p>
        </w:tc>
        <w:tc>
          <w:tcPr>
            <w:tcW w:w="712" w:type="pct"/>
            <w:tcBorders>
              <w:top w:val="nil"/>
              <w:left w:val="nil"/>
              <w:bottom w:val="nil"/>
              <w:right w:val="nil"/>
            </w:tcBorders>
            <w:shd w:val="clear" w:color="auto" w:fill="auto"/>
            <w:noWrap/>
            <w:vAlign w:val="bottom"/>
          </w:tcPr>
          <w:p w14:paraId="6372C5CA" w14:textId="77777777" w:rsidR="00F20BB0" w:rsidRDefault="00F20BB0">
            <w:pPr>
              <w:adjustRightInd w:val="0"/>
              <w:snapToGrid w:val="0"/>
              <w:spacing w:line="360" w:lineRule="auto"/>
              <w:jc w:val="both"/>
              <w:rPr>
                <w:rFonts w:ascii="Book Antiqua" w:hAnsi="Book Antiqua" w:cs="Arial"/>
              </w:rPr>
            </w:pPr>
          </w:p>
        </w:tc>
        <w:tc>
          <w:tcPr>
            <w:tcW w:w="1020" w:type="pct"/>
            <w:tcBorders>
              <w:top w:val="nil"/>
              <w:left w:val="nil"/>
              <w:bottom w:val="nil"/>
              <w:right w:val="nil"/>
            </w:tcBorders>
            <w:shd w:val="clear" w:color="auto" w:fill="auto"/>
            <w:noWrap/>
            <w:vAlign w:val="bottom"/>
          </w:tcPr>
          <w:p w14:paraId="451AB7F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0.375</w:t>
            </w:r>
          </w:p>
        </w:tc>
      </w:tr>
      <w:tr w:rsidR="00F20BB0" w14:paraId="1992DDCC" w14:textId="77777777">
        <w:trPr>
          <w:trHeight w:val="317"/>
          <w:jc w:val="center"/>
        </w:trPr>
        <w:tc>
          <w:tcPr>
            <w:tcW w:w="1802" w:type="pct"/>
            <w:tcBorders>
              <w:top w:val="nil"/>
              <w:left w:val="nil"/>
              <w:bottom w:val="nil"/>
              <w:right w:val="nil"/>
            </w:tcBorders>
            <w:shd w:val="clear" w:color="auto" w:fill="auto"/>
            <w:noWrap/>
            <w:vAlign w:val="bottom"/>
          </w:tcPr>
          <w:p w14:paraId="41BE995E"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Male</w:t>
            </w:r>
          </w:p>
        </w:tc>
        <w:tc>
          <w:tcPr>
            <w:tcW w:w="1465" w:type="pct"/>
            <w:tcBorders>
              <w:top w:val="nil"/>
              <w:left w:val="nil"/>
              <w:bottom w:val="nil"/>
              <w:right w:val="nil"/>
            </w:tcBorders>
            <w:shd w:val="clear" w:color="auto" w:fill="auto"/>
            <w:noWrap/>
            <w:vAlign w:val="bottom"/>
          </w:tcPr>
          <w:p w14:paraId="480E799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199 (60.1)</w:t>
            </w:r>
          </w:p>
        </w:tc>
        <w:tc>
          <w:tcPr>
            <w:tcW w:w="712" w:type="pct"/>
            <w:tcBorders>
              <w:top w:val="nil"/>
              <w:left w:val="nil"/>
              <w:bottom w:val="nil"/>
              <w:right w:val="nil"/>
            </w:tcBorders>
            <w:shd w:val="clear" w:color="auto" w:fill="auto"/>
            <w:noWrap/>
            <w:vAlign w:val="bottom"/>
          </w:tcPr>
          <w:p w14:paraId="6E5BC33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239 (56.9)</w:t>
            </w:r>
          </w:p>
        </w:tc>
        <w:tc>
          <w:tcPr>
            <w:tcW w:w="1020" w:type="pct"/>
            <w:tcBorders>
              <w:top w:val="nil"/>
              <w:left w:val="nil"/>
              <w:bottom w:val="nil"/>
              <w:right w:val="nil"/>
            </w:tcBorders>
            <w:shd w:val="clear" w:color="auto" w:fill="auto"/>
            <w:noWrap/>
            <w:vAlign w:val="bottom"/>
          </w:tcPr>
          <w:p w14:paraId="515DE123" w14:textId="77777777" w:rsidR="00F20BB0" w:rsidRDefault="00F20BB0">
            <w:pPr>
              <w:adjustRightInd w:val="0"/>
              <w:snapToGrid w:val="0"/>
              <w:spacing w:line="360" w:lineRule="auto"/>
              <w:jc w:val="both"/>
              <w:rPr>
                <w:rFonts w:ascii="Book Antiqua" w:hAnsi="Book Antiqua" w:cs="Arial"/>
                <w:color w:val="000000"/>
              </w:rPr>
            </w:pPr>
          </w:p>
        </w:tc>
      </w:tr>
      <w:tr w:rsidR="00F20BB0" w14:paraId="2F94B12D" w14:textId="77777777">
        <w:trPr>
          <w:trHeight w:val="317"/>
          <w:jc w:val="center"/>
        </w:trPr>
        <w:tc>
          <w:tcPr>
            <w:tcW w:w="1802" w:type="pct"/>
            <w:tcBorders>
              <w:top w:val="nil"/>
              <w:left w:val="nil"/>
              <w:bottom w:val="nil"/>
              <w:right w:val="nil"/>
            </w:tcBorders>
            <w:shd w:val="clear" w:color="auto" w:fill="auto"/>
            <w:noWrap/>
            <w:vAlign w:val="bottom"/>
          </w:tcPr>
          <w:p w14:paraId="3253AC08"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Female</w:t>
            </w:r>
          </w:p>
        </w:tc>
        <w:tc>
          <w:tcPr>
            <w:tcW w:w="1465" w:type="pct"/>
            <w:tcBorders>
              <w:top w:val="nil"/>
              <w:left w:val="nil"/>
              <w:bottom w:val="nil"/>
              <w:right w:val="nil"/>
            </w:tcBorders>
            <w:shd w:val="clear" w:color="auto" w:fill="auto"/>
            <w:noWrap/>
            <w:vAlign w:val="bottom"/>
          </w:tcPr>
          <w:p w14:paraId="4EFB8F57"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132 (39.9)</w:t>
            </w:r>
          </w:p>
        </w:tc>
        <w:tc>
          <w:tcPr>
            <w:tcW w:w="712" w:type="pct"/>
            <w:tcBorders>
              <w:top w:val="nil"/>
              <w:left w:val="nil"/>
              <w:bottom w:val="nil"/>
              <w:right w:val="nil"/>
            </w:tcBorders>
            <w:shd w:val="clear" w:color="auto" w:fill="auto"/>
            <w:noWrap/>
            <w:vAlign w:val="bottom"/>
          </w:tcPr>
          <w:p w14:paraId="23B6CDA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181 (43.1)</w:t>
            </w:r>
          </w:p>
        </w:tc>
        <w:tc>
          <w:tcPr>
            <w:tcW w:w="1020" w:type="pct"/>
            <w:tcBorders>
              <w:top w:val="nil"/>
              <w:left w:val="nil"/>
              <w:bottom w:val="nil"/>
              <w:right w:val="nil"/>
            </w:tcBorders>
            <w:shd w:val="clear" w:color="auto" w:fill="auto"/>
            <w:noWrap/>
            <w:vAlign w:val="bottom"/>
          </w:tcPr>
          <w:p w14:paraId="36FD5438" w14:textId="77777777" w:rsidR="00F20BB0" w:rsidRDefault="00F20BB0">
            <w:pPr>
              <w:adjustRightInd w:val="0"/>
              <w:snapToGrid w:val="0"/>
              <w:spacing w:line="360" w:lineRule="auto"/>
              <w:jc w:val="both"/>
              <w:rPr>
                <w:rFonts w:ascii="Book Antiqua" w:hAnsi="Book Antiqua" w:cs="Arial"/>
                <w:color w:val="000000"/>
              </w:rPr>
            </w:pPr>
          </w:p>
        </w:tc>
      </w:tr>
      <w:tr w:rsidR="00F20BB0" w14:paraId="60F2EAC1" w14:textId="77777777">
        <w:trPr>
          <w:trHeight w:val="317"/>
          <w:jc w:val="center"/>
        </w:trPr>
        <w:tc>
          <w:tcPr>
            <w:tcW w:w="1802" w:type="pct"/>
            <w:tcBorders>
              <w:top w:val="nil"/>
              <w:left w:val="nil"/>
              <w:bottom w:val="nil"/>
              <w:right w:val="nil"/>
            </w:tcBorders>
            <w:shd w:val="clear" w:color="auto" w:fill="auto"/>
            <w:noWrap/>
            <w:vAlign w:val="bottom"/>
          </w:tcPr>
          <w:p w14:paraId="765DD41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CEA in ng/mL</w:t>
            </w:r>
          </w:p>
        </w:tc>
        <w:tc>
          <w:tcPr>
            <w:tcW w:w="1465" w:type="pct"/>
            <w:tcBorders>
              <w:top w:val="nil"/>
              <w:left w:val="nil"/>
              <w:bottom w:val="nil"/>
              <w:right w:val="nil"/>
            </w:tcBorders>
            <w:shd w:val="clear" w:color="auto" w:fill="auto"/>
            <w:noWrap/>
            <w:vAlign w:val="bottom"/>
          </w:tcPr>
          <w:p w14:paraId="089ED199" w14:textId="77777777" w:rsidR="00F20BB0" w:rsidRDefault="00F20BB0">
            <w:pPr>
              <w:adjustRightInd w:val="0"/>
              <w:snapToGrid w:val="0"/>
              <w:spacing w:line="360" w:lineRule="auto"/>
              <w:jc w:val="both"/>
              <w:rPr>
                <w:rFonts w:ascii="Book Antiqua" w:hAnsi="Book Antiqua" w:cs="Arial"/>
                <w:color w:val="000000"/>
              </w:rPr>
            </w:pPr>
          </w:p>
        </w:tc>
        <w:tc>
          <w:tcPr>
            <w:tcW w:w="712" w:type="pct"/>
            <w:tcBorders>
              <w:top w:val="nil"/>
              <w:left w:val="nil"/>
              <w:bottom w:val="nil"/>
              <w:right w:val="nil"/>
            </w:tcBorders>
            <w:shd w:val="clear" w:color="auto" w:fill="auto"/>
            <w:noWrap/>
            <w:vAlign w:val="bottom"/>
          </w:tcPr>
          <w:p w14:paraId="4FDBA07D" w14:textId="77777777" w:rsidR="00F20BB0" w:rsidRDefault="00F20BB0">
            <w:pPr>
              <w:adjustRightInd w:val="0"/>
              <w:snapToGrid w:val="0"/>
              <w:spacing w:line="360" w:lineRule="auto"/>
              <w:jc w:val="both"/>
              <w:rPr>
                <w:rFonts w:ascii="Book Antiqua" w:hAnsi="Book Antiqua" w:cs="Arial"/>
              </w:rPr>
            </w:pPr>
          </w:p>
        </w:tc>
        <w:tc>
          <w:tcPr>
            <w:tcW w:w="1020" w:type="pct"/>
            <w:tcBorders>
              <w:top w:val="nil"/>
              <w:left w:val="nil"/>
              <w:bottom w:val="nil"/>
              <w:right w:val="nil"/>
            </w:tcBorders>
            <w:shd w:val="clear" w:color="auto" w:fill="auto"/>
            <w:noWrap/>
            <w:vAlign w:val="bottom"/>
          </w:tcPr>
          <w:p w14:paraId="37A8C74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0.821</w:t>
            </w:r>
          </w:p>
        </w:tc>
      </w:tr>
      <w:tr w:rsidR="00F20BB0" w14:paraId="3759A0CC" w14:textId="77777777">
        <w:trPr>
          <w:trHeight w:val="317"/>
          <w:jc w:val="center"/>
        </w:trPr>
        <w:tc>
          <w:tcPr>
            <w:tcW w:w="1802" w:type="pct"/>
            <w:tcBorders>
              <w:top w:val="nil"/>
              <w:left w:val="nil"/>
              <w:bottom w:val="nil"/>
              <w:right w:val="nil"/>
            </w:tcBorders>
            <w:shd w:val="clear" w:color="auto" w:fill="auto"/>
            <w:noWrap/>
            <w:vAlign w:val="bottom"/>
          </w:tcPr>
          <w:p w14:paraId="6224CBC6"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 5</w:t>
            </w:r>
          </w:p>
        </w:tc>
        <w:tc>
          <w:tcPr>
            <w:tcW w:w="1465" w:type="pct"/>
            <w:tcBorders>
              <w:top w:val="nil"/>
              <w:left w:val="nil"/>
              <w:bottom w:val="nil"/>
              <w:right w:val="nil"/>
            </w:tcBorders>
            <w:shd w:val="clear" w:color="auto" w:fill="auto"/>
            <w:noWrap/>
            <w:vAlign w:val="bottom"/>
          </w:tcPr>
          <w:p w14:paraId="38AA46B8"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173 (52.3)</w:t>
            </w:r>
          </w:p>
        </w:tc>
        <w:tc>
          <w:tcPr>
            <w:tcW w:w="712" w:type="pct"/>
            <w:tcBorders>
              <w:top w:val="nil"/>
              <w:left w:val="nil"/>
              <w:bottom w:val="nil"/>
              <w:right w:val="nil"/>
            </w:tcBorders>
            <w:shd w:val="clear" w:color="auto" w:fill="auto"/>
            <w:noWrap/>
            <w:vAlign w:val="bottom"/>
          </w:tcPr>
          <w:p w14:paraId="7767C7D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223 (53.1)</w:t>
            </w:r>
          </w:p>
        </w:tc>
        <w:tc>
          <w:tcPr>
            <w:tcW w:w="1020" w:type="pct"/>
            <w:tcBorders>
              <w:top w:val="nil"/>
              <w:left w:val="nil"/>
              <w:bottom w:val="nil"/>
              <w:right w:val="nil"/>
            </w:tcBorders>
            <w:shd w:val="clear" w:color="auto" w:fill="auto"/>
            <w:noWrap/>
            <w:vAlign w:val="bottom"/>
          </w:tcPr>
          <w:p w14:paraId="636BBDB4" w14:textId="77777777" w:rsidR="00F20BB0" w:rsidRDefault="00F20BB0">
            <w:pPr>
              <w:adjustRightInd w:val="0"/>
              <w:snapToGrid w:val="0"/>
              <w:spacing w:line="360" w:lineRule="auto"/>
              <w:jc w:val="both"/>
              <w:rPr>
                <w:rFonts w:ascii="Book Antiqua" w:hAnsi="Book Antiqua" w:cs="Arial"/>
                <w:color w:val="000000"/>
              </w:rPr>
            </w:pPr>
          </w:p>
        </w:tc>
      </w:tr>
      <w:tr w:rsidR="00F20BB0" w14:paraId="4078D5F8" w14:textId="77777777">
        <w:trPr>
          <w:trHeight w:val="317"/>
          <w:jc w:val="center"/>
        </w:trPr>
        <w:tc>
          <w:tcPr>
            <w:tcW w:w="1802" w:type="pct"/>
            <w:tcBorders>
              <w:top w:val="nil"/>
              <w:left w:val="nil"/>
              <w:bottom w:val="nil"/>
              <w:right w:val="nil"/>
            </w:tcBorders>
            <w:shd w:val="clear" w:color="auto" w:fill="auto"/>
            <w:noWrap/>
            <w:vAlign w:val="bottom"/>
          </w:tcPr>
          <w:p w14:paraId="047A7600"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&gt; 5</w:t>
            </w:r>
          </w:p>
        </w:tc>
        <w:tc>
          <w:tcPr>
            <w:tcW w:w="1465" w:type="pct"/>
            <w:tcBorders>
              <w:top w:val="nil"/>
              <w:left w:val="nil"/>
              <w:bottom w:val="nil"/>
              <w:right w:val="nil"/>
            </w:tcBorders>
            <w:shd w:val="clear" w:color="auto" w:fill="auto"/>
            <w:noWrap/>
            <w:vAlign w:val="bottom"/>
          </w:tcPr>
          <w:p w14:paraId="690D80D7"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158 (47.7)</w:t>
            </w:r>
          </w:p>
        </w:tc>
        <w:tc>
          <w:tcPr>
            <w:tcW w:w="712" w:type="pct"/>
            <w:tcBorders>
              <w:top w:val="nil"/>
              <w:left w:val="nil"/>
              <w:bottom w:val="nil"/>
              <w:right w:val="nil"/>
            </w:tcBorders>
            <w:shd w:val="clear" w:color="auto" w:fill="auto"/>
            <w:noWrap/>
            <w:vAlign w:val="bottom"/>
          </w:tcPr>
          <w:p w14:paraId="4614A3B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197 (46.9)</w:t>
            </w:r>
          </w:p>
        </w:tc>
        <w:tc>
          <w:tcPr>
            <w:tcW w:w="1020" w:type="pct"/>
            <w:tcBorders>
              <w:top w:val="nil"/>
              <w:left w:val="nil"/>
              <w:bottom w:val="nil"/>
              <w:right w:val="nil"/>
            </w:tcBorders>
            <w:shd w:val="clear" w:color="auto" w:fill="auto"/>
            <w:noWrap/>
            <w:vAlign w:val="bottom"/>
          </w:tcPr>
          <w:p w14:paraId="20D903F0" w14:textId="77777777" w:rsidR="00F20BB0" w:rsidRDefault="00F20BB0">
            <w:pPr>
              <w:adjustRightInd w:val="0"/>
              <w:snapToGrid w:val="0"/>
              <w:spacing w:line="360" w:lineRule="auto"/>
              <w:jc w:val="both"/>
              <w:rPr>
                <w:rFonts w:ascii="Book Antiqua" w:hAnsi="Book Antiqua" w:cs="Arial"/>
                <w:color w:val="000000"/>
              </w:rPr>
            </w:pPr>
          </w:p>
        </w:tc>
      </w:tr>
      <w:tr w:rsidR="00F20BB0" w14:paraId="2B2CEB09" w14:textId="77777777">
        <w:trPr>
          <w:trHeight w:val="317"/>
          <w:jc w:val="center"/>
        </w:trPr>
        <w:tc>
          <w:tcPr>
            <w:tcW w:w="1802" w:type="pct"/>
            <w:tcBorders>
              <w:top w:val="nil"/>
              <w:left w:val="nil"/>
              <w:bottom w:val="nil"/>
              <w:right w:val="nil"/>
            </w:tcBorders>
            <w:shd w:val="clear" w:color="auto" w:fill="auto"/>
            <w:noWrap/>
            <w:vAlign w:val="bottom"/>
          </w:tcPr>
          <w:p w14:paraId="76B5656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CA199 in U/mL</w:t>
            </w:r>
          </w:p>
        </w:tc>
        <w:tc>
          <w:tcPr>
            <w:tcW w:w="1465" w:type="pct"/>
            <w:tcBorders>
              <w:top w:val="nil"/>
              <w:left w:val="nil"/>
              <w:bottom w:val="nil"/>
              <w:right w:val="nil"/>
            </w:tcBorders>
            <w:shd w:val="clear" w:color="auto" w:fill="auto"/>
            <w:noWrap/>
            <w:vAlign w:val="bottom"/>
          </w:tcPr>
          <w:p w14:paraId="27FF35B9" w14:textId="77777777" w:rsidR="00F20BB0" w:rsidRDefault="00F20BB0">
            <w:pPr>
              <w:adjustRightInd w:val="0"/>
              <w:snapToGrid w:val="0"/>
              <w:spacing w:line="360" w:lineRule="auto"/>
              <w:jc w:val="both"/>
              <w:rPr>
                <w:rFonts w:ascii="Book Antiqua" w:hAnsi="Book Antiqua" w:cs="Arial"/>
                <w:color w:val="000000"/>
              </w:rPr>
            </w:pPr>
          </w:p>
        </w:tc>
        <w:tc>
          <w:tcPr>
            <w:tcW w:w="712" w:type="pct"/>
            <w:tcBorders>
              <w:top w:val="nil"/>
              <w:left w:val="nil"/>
              <w:bottom w:val="nil"/>
              <w:right w:val="nil"/>
            </w:tcBorders>
            <w:shd w:val="clear" w:color="auto" w:fill="auto"/>
            <w:noWrap/>
            <w:vAlign w:val="bottom"/>
          </w:tcPr>
          <w:p w14:paraId="04BCBAE0" w14:textId="77777777" w:rsidR="00F20BB0" w:rsidRDefault="00F20BB0">
            <w:pPr>
              <w:adjustRightInd w:val="0"/>
              <w:snapToGrid w:val="0"/>
              <w:spacing w:line="360" w:lineRule="auto"/>
              <w:jc w:val="both"/>
              <w:rPr>
                <w:rFonts w:ascii="Book Antiqua" w:hAnsi="Book Antiqua" w:cs="Arial"/>
              </w:rPr>
            </w:pPr>
          </w:p>
        </w:tc>
        <w:tc>
          <w:tcPr>
            <w:tcW w:w="1020" w:type="pct"/>
            <w:tcBorders>
              <w:top w:val="nil"/>
              <w:left w:val="nil"/>
              <w:bottom w:val="nil"/>
              <w:right w:val="nil"/>
            </w:tcBorders>
            <w:shd w:val="clear" w:color="auto" w:fill="auto"/>
            <w:noWrap/>
            <w:vAlign w:val="bottom"/>
          </w:tcPr>
          <w:p w14:paraId="5759CD7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0.900</w:t>
            </w:r>
          </w:p>
        </w:tc>
      </w:tr>
      <w:tr w:rsidR="00F20BB0" w14:paraId="5E9399FD" w14:textId="77777777">
        <w:trPr>
          <w:trHeight w:val="317"/>
          <w:jc w:val="center"/>
        </w:trPr>
        <w:tc>
          <w:tcPr>
            <w:tcW w:w="1802" w:type="pct"/>
            <w:tcBorders>
              <w:top w:val="nil"/>
              <w:left w:val="nil"/>
              <w:bottom w:val="nil"/>
              <w:right w:val="nil"/>
            </w:tcBorders>
            <w:shd w:val="clear" w:color="auto" w:fill="auto"/>
            <w:noWrap/>
            <w:vAlign w:val="bottom"/>
          </w:tcPr>
          <w:p w14:paraId="75417BB4"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 37</w:t>
            </w:r>
          </w:p>
        </w:tc>
        <w:tc>
          <w:tcPr>
            <w:tcW w:w="1465" w:type="pct"/>
            <w:tcBorders>
              <w:top w:val="nil"/>
              <w:left w:val="nil"/>
              <w:bottom w:val="nil"/>
              <w:right w:val="nil"/>
            </w:tcBorders>
            <w:shd w:val="clear" w:color="auto" w:fill="auto"/>
            <w:noWrap/>
            <w:vAlign w:val="bottom"/>
          </w:tcPr>
          <w:p w14:paraId="6C33948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267 (80.7)</w:t>
            </w:r>
          </w:p>
        </w:tc>
        <w:tc>
          <w:tcPr>
            <w:tcW w:w="712" w:type="pct"/>
            <w:tcBorders>
              <w:top w:val="nil"/>
              <w:left w:val="nil"/>
              <w:bottom w:val="nil"/>
              <w:right w:val="nil"/>
            </w:tcBorders>
            <w:shd w:val="clear" w:color="auto" w:fill="auto"/>
            <w:noWrap/>
            <w:vAlign w:val="bottom"/>
          </w:tcPr>
          <w:p w14:paraId="11D543A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340 (81.0)</w:t>
            </w:r>
          </w:p>
        </w:tc>
        <w:tc>
          <w:tcPr>
            <w:tcW w:w="1020" w:type="pct"/>
            <w:tcBorders>
              <w:top w:val="nil"/>
              <w:left w:val="nil"/>
              <w:bottom w:val="nil"/>
              <w:right w:val="nil"/>
            </w:tcBorders>
            <w:shd w:val="clear" w:color="auto" w:fill="auto"/>
            <w:noWrap/>
            <w:vAlign w:val="bottom"/>
          </w:tcPr>
          <w:p w14:paraId="3D902977" w14:textId="77777777" w:rsidR="00F20BB0" w:rsidRDefault="00F20BB0">
            <w:pPr>
              <w:adjustRightInd w:val="0"/>
              <w:snapToGrid w:val="0"/>
              <w:spacing w:line="360" w:lineRule="auto"/>
              <w:jc w:val="both"/>
              <w:rPr>
                <w:rFonts w:ascii="Book Antiqua" w:hAnsi="Book Antiqua" w:cs="Arial"/>
                <w:color w:val="000000"/>
              </w:rPr>
            </w:pPr>
          </w:p>
        </w:tc>
      </w:tr>
      <w:tr w:rsidR="00F20BB0" w14:paraId="5A83E747" w14:textId="77777777">
        <w:trPr>
          <w:trHeight w:val="317"/>
          <w:jc w:val="center"/>
        </w:trPr>
        <w:tc>
          <w:tcPr>
            <w:tcW w:w="1802" w:type="pct"/>
            <w:tcBorders>
              <w:top w:val="nil"/>
              <w:left w:val="nil"/>
              <w:bottom w:val="nil"/>
              <w:right w:val="nil"/>
            </w:tcBorders>
            <w:shd w:val="clear" w:color="auto" w:fill="auto"/>
            <w:noWrap/>
            <w:vAlign w:val="bottom"/>
          </w:tcPr>
          <w:p w14:paraId="5F875DFE"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&gt; 37</w:t>
            </w:r>
          </w:p>
        </w:tc>
        <w:tc>
          <w:tcPr>
            <w:tcW w:w="1465" w:type="pct"/>
            <w:tcBorders>
              <w:top w:val="nil"/>
              <w:left w:val="nil"/>
              <w:bottom w:val="nil"/>
              <w:right w:val="nil"/>
            </w:tcBorders>
            <w:shd w:val="clear" w:color="auto" w:fill="auto"/>
            <w:noWrap/>
            <w:vAlign w:val="bottom"/>
          </w:tcPr>
          <w:p w14:paraId="672DC65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64 (19.3)</w:t>
            </w:r>
          </w:p>
        </w:tc>
        <w:tc>
          <w:tcPr>
            <w:tcW w:w="712" w:type="pct"/>
            <w:tcBorders>
              <w:top w:val="nil"/>
              <w:left w:val="nil"/>
              <w:bottom w:val="nil"/>
              <w:right w:val="nil"/>
            </w:tcBorders>
            <w:shd w:val="clear" w:color="auto" w:fill="auto"/>
            <w:noWrap/>
            <w:vAlign w:val="bottom"/>
          </w:tcPr>
          <w:p w14:paraId="621FEFF8"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80 (19.0)</w:t>
            </w:r>
          </w:p>
        </w:tc>
        <w:tc>
          <w:tcPr>
            <w:tcW w:w="1020" w:type="pct"/>
            <w:tcBorders>
              <w:top w:val="nil"/>
              <w:left w:val="nil"/>
              <w:bottom w:val="nil"/>
              <w:right w:val="nil"/>
            </w:tcBorders>
            <w:shd w:val="clear" w:color="auto" w:fill="auto"/>
            <w:noWrap/>
            <w:vAlign w:val="bottom"/>
          </w:tcPr>
          <w:p w14:paraId="7E45E58A" w14:textId="77777777" w:rsidR="00F20BB0" w:rsidRDefault="00F20BB0">
            <w:pPr>
              <w:adjustRightInd w:val="0"/>
              <w:snapToGrid w:val="0"/>
              <w:spacing w:line="360" w:lineRule="auto"/>
              <w:jc w:val="both"/>
              <w:rPr>
                <w:rFonts w:ascii="Book Antiqua" w:hAnsi="Book Antiqua" w:cs="Arial"/>
                <w:color w:val="000000"/>
              </w:rPr>
            </w:pPr>
          </w:p>
        </w:tc>
      </w:tr>
      <w:tr w:rsidR="00F20BB0" w14:paraId="24E16B13" w14:textId="77777777">
        <w:trPr>
          <w:trHeight w:val="317"/>
          <w:jc w:val="center"/>
        </w:trPr>
        <w:tc>
          <w:tcPr>
            <w:tcW w:w="1802" w:type="pct"/>
            <w:tcBorders>
              <w:top w:val="nil"/>
              <w:left w:val="nil"/>
              <w:bottom w:val="nil"/>
              <w:right w:val="nil"/>
            </w:tcBorders>
            <w:shd w:val="clear" w:color="auto" w:fill="auto"/>
            <w:noWrap/>
            <w:vAlign w:val="bottom"/>
          </w:tcPr>
          <w:p w14:paraId="114C6A4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Tumor location</w:t>
            </w:r>
          </w:p>
        </w:tc>
        <w:tc>
          <w:tcPr>
            <w:tcW w:w="1465" w:type="pct"/>
            <w:tcBorders>
              <w:top w:val="nil"/>
              <w:left w:val="nil"/>
              <w:bottom w:val="nil"/>
              <w:right w:val="nil"/>
            </w:tcBorders>
            <w:shd w:val="clear" w:color="auto" w:fill="auto"/>
            <w:noWrap/>
            <w:vAlign w:val="bottom"/>
          </w:tcPr>
          <w:p w14:paraId="3B961DAE" w14:textId="77777777" w:rsidR="00F20BB0" w:rsidRDefault="00F20BB0">
            <w:pPr>
              <w:adjustRightInd w:val="0"/>
              <w:snapToGrid w:val="0"/>
              <w:spacing w:line="360" w:lineRule="auto"/>
              <w:jc w:val="both"/>
              <w:rPr>
                <w:rFonts w:ascii="Book Antiqua" w:hAnsi="Book Antiqua" w:cs="Arial"/>
                <w:color w:val="000000"/>
              </w:rPr>
            </w:pPr>
          </w:p>
        </w:tc>
        <w:tc>
          <w:tcPr>
            <w:tcW w:w="712" w:type="pct"/>
            <w:tcBorders>
              <w:top w:val="nil"/>
              <w:left w:val="nil"/>
              <w:bottom w:val="nil"/>
              <w:right w:val="nil"/>
            </w:tcBorders>
            <w:shd w:val="clear" w:color="auto" w:fill="auto"/>
            <w:noWrap/>
            <w:vAlign w:val="bottom"/>
          </w:tcPr>
          <w:p w14:paraId="08FD67AB" w14:textId="77777777" w:rsidR="00F20BB0" w:rsidRDefault="00F20BB0">
            <w:pPr>
              <w:adjustRightInd w:val="0"/>
              <w:snapToGrid w:val="0"/>
              <w:spacing w:line="360" w:lineRule="auto"/>
              <w:jc w:val="both"/>
              <w:rPr>
                <w:rFonts w:ascii="Book Antiqua" w:hAnsi="Book Antiqua" w:cs="Arial"/>
              </w:rPr>
            </w:pPr>
          </w:p>
        </w:tc>
        <w:tc>
          <w:tcPr>
            <w:tcW w:w="1020" w:type="pct"/>
            <w:tcBorders>
              <w:top w:val="nil"/>
              <w:left w:val="nil"/>
              <w:bottom w:val="nil"/>
              <w:right w:val="nil"/>
            </w:tcBorders>
            <w:shd w:val="clear" w:color="auto" w:fill="auto"/>
            <w:noWrap/>
            <w:vAlign w:val="bottom"/>
          </w:tcPr>
          <w:p w14:paraId="7C7EBB3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0.434</w:t>
            </w:r>
          </w:p>
        </w:tc>
      </w:tr>
      <w:tr w:rsidR="00F20BB0" w14:paraId="248AE58E" w14:textId="77777777">
        <w:trPr>
          <w:trHeight w:val="317"/>
          <w:jc w:val="center"/>
        </w:trPr>
        <w:tc>
          <w:tcPr>
            <w:tcW w:w="1802" w:type="pct"/>
            <w:tcBorders>
              <w:top w:val="nil"/>
              <w:left w:val="nil"/>
              <w:bottom w:val="nil"/>
              <w:right w:val="nil"/>
            </w:tcBorders>
            <w:shd w:val="clear" w:color="auto" w:fill="auto"/>
            <w:noWrap/>
            <w:vAlign w:val="bottom"/>
          </w:tcPr>
          <w:p w14:paraId="76D58AFF"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Right-sided colon</w:t>
            </w:r>
          </w:p>
        </w:tc>
        <w:tc>
          <w:tcPr>
            <w:tcW w:w="1465" w:type="pct"/>
            <w:tcBorders>
              <w:top w:val="nil"/>
              <w:left w:val="nil"/>
              <w:bottom w:val="nil"/>
              <w:right w:val="nil"/>
            </w:tcBorders>
            <w:shd w:val="clear" w:color="auto" w:fill="auto"/>
            <w:noWrap/>
            <w:vAlign w:val="bottom"/>
          </w:tcPr>
          <w:p w14:paraId="79424355"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97 (29.3)</w:t>
            </w:r>
          </w:p>
        </w:tc>
        <w:tc>
          <w:tcPr>
            <w:tcW w:w="712" w:type="pct"/>
            <w:tcBorders>
              <w:top w:val="nil"/>
              <w:left w:val="nil"/>
              <w:bottom w:val="nil"/>
              <w:right w:val="nil"/>
            </w:tcBorders>
            <w:shd w:val="clear" w:color="auto" w:fill="auto"/>
            <w:noWrap/>
            <w:vAlign w:val="bottom"/>
          </w:tcPr>
          <w:p w14:paraId="7E1E06E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112 (26.7)</w:t>
            </w:r>
          </w:p>
        </w:tc>
        <w:tc>
          <w:tcPr>
            <w:tcW w:w="1020" w:type="pct"/>
            <w:tcBorders>
              <w:top w:val="nil"/>
              <w:left w:val="nil"/>
              <w:bottom w:val="nil"/>
              <w:right w:val="nil"/>
            </w:tcBorders>
            <w:shd w:val="clear" w:color="auto" w:fill="auto"/>
            <w:noWrap/>
            <w:vAlign w:val="bottom"/>
          </w:tcPr>
          <w:p w14:paraId="60FB5223" w14:textId="77777777" w:rsidR="00F20BB0" w:rsidRDefault="00F20BB0">
            <w:pPr>
              <w:adjustRightInd w:val="0"/>
              <w:snapToGrid w:val="0"/>
              <w:spacing w:line="360" w:lineRule="auto"/>
              <w:jc w:val="both"/>
              <w:rPr>
                <w:rFonts w:ascii="Book Antiqua" w:hAnsi="Book Antiqua" w:cs="Arial"/>
                <w:color w:val="000000"/>
              </w:rPr>
            </w:pPr>
          </w:p>
        </w:tc>
      </w:tr>
      <w:tr w:rsidR="00F20BB0" w14:paraId="7914D89C" w14:textId="77777777">
        <w:trPr>
          <w:trHeight w:val="317"/>
          <w:jc w:val="center"/>
        </w:trPr>
        <w:tc>
          <w:tcPr>
            <w:tcW w:w="1802" w:type="pct"/>
            <w:tcBorders>
              <w:top w:val="nil"/>
              <w:left w:val="nil"/>
              <w:bottom w:val="nil"/>
              <w:right w:val="nil"/>
            </w:tcBorders>
            <w:shd w:val="clear" w:color="auto" w:fill="auto"/>
            <w:noWrap/>
            <w:vAlign w:val="bottom"/>
          </w:tcPr>
          <w:p w14:paraId="7F952E15"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Left-sided colon</w:t>
            </w:r>
          </w:p>
        </w:tc>
        <w:tc>
          <w:tcPr>
            <w:tcW w:w="1465" w:type="pct"/>
            <w:tcBorders>
              <w:top w:val="nil"/>
              <w:left w:val="nil"/>
              <w:bottom w:val="nil"/>
              <w:right w:val="nil"/>
            </w:tcBorders>
            <w:shd w:val="clear" w:color="auto" w:fill="auto"/>
            <w:noWrap/>
            <w:vAlign w:val="bottom"/>
          </w:tcPr>
          <w:p w14:paraId="1915CFF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92 (27.8)</w:t>
            </w:r>
          </w:p>
        </w:tc>
        <w:tc>
          <w:tcPr>
            <w:tcW w:w="712" w:type="pct"/>
            <w:tcBorders>
              <w:top w:val="nil"/>
              <w:left w:val="nil"/>
              <w:bottom w:val="nil"/>
              <w:right w:val="nil"/>
            </w:tcBorders>
            <w:shd w:val="clear" w:color="auto" w:fill="auto"/>
            <w:noWrap/>
            <w:vAlign w:val="bottom"/>
          </w:tcPr>
          <w:p w14:paraId="74D9208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108 (25.7)</w:t>
            </w:r>
          </w:p>
        </w:tc>
        <w:tc>
          <w:tcPr>
            <w:tcW w:w="1020" w:type="pct"/>
            <w:tcBorders>
              <w:top w:val="nil"/>
              <w:left w:val="nil"/>
              <w:bottom w:val="nil"/>
              <w:right w:val="nil"/>
            </w:tcBorders>
            <w:shd w:val="clear" w:color="auto" w:fill="auto"/>
            <w:noWrap/>
            <w:vAlign w:val="bottom"/>
          </w:tcPr>
          <w:p w14:paraId="48C2ED42" w14:textId="77777777" w:rsidR="00F20BB0" w:rsidRDefault="00F20BB0">
            <w:pPr>
              <w:adjustRightInd w:val="0"/>
              <w:snapToGrid w:val="0"/>
              <w:spacing w:line="360" w:lineRule="auto"/>
              <w:jc w:val="both"/>
              <w:rPr>
                <w:rFonts w:ascii="Book Antiqua" w:hAnsi="Book Antiqua" w:cs="Arial"/>
                <w:color w:val="000000"/>
              </w:rPr>
            </w:pPr>
          </w:p>
        </w:tc>
      </w:tr>
      <w:tr w:rsidR="00F20BB0" w14:paraId="200C9640" w14:textId="77777777">
        <w:trPr>
          <w:trHeight w:val="317"/>
          <w:jc w:val="center"/>
        </w:trPr>
        <w:tc>
          <w:tcPr>
            <w:tcW w:w="1802" w:type="pct"/>
            <w:tcBorders>
              <w:top w:val="nil"/>
              <w:left w:val="nil"/>
              <w:bottom w:val="nil"/>
              <w:right w:val="nil"/>
            </w:tcBorders>
            <w:shd w:val="clear" w:color="auto" w:fill="auto"/>
            <w:noWrap/>
            <w:vAlign w:val="bottom"/>
          </w:tcPr>
          <w:p w14:paraId="2FC6DE7F"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Rectum</w:t>
            </w:r>
          </w:p>
        </w:tc>
        <w:tc>
          <w:tcPr>
            <w:tcW w:w="1465" w:type="pct"/>
            <w:tcBorders>
              <w:top w:val="nil"/>
              <w:left w:val="nil"/>
              <w:bottom w:val="nil"/>
              <w:right w:val="nil"/>
            </w:tcBorders>
            <w:shd w:val="clear" w:color="auto" w:fill="auto"/>
            <w:noWrap/>
            <w:vAlign w:val="bottom"/>
          </w:tcPr>
          <w:p w14:paraId="7B527158"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142 (42.9)</w:t>
            </w:r>
          </w:p>
        </w:tc>
        <w:tc>
          <w:tcPr>
            <w:tcW w:w="712" w:type="pct"/>
            <w:tcBorders>
              <w:top w:val="nil"/>
              <w:left w:val="nil"/>
              <w:bottom w:val="nil"/>
              <w:right w:val="nil"/>
            </w:tcBorders>
            <w:shd w:val="clear" w:color="auto" w:fill="auto"/>
            <w:noWrap/>
            <w:vAlign w:val="bottom"/>
          </w:tcPr>
          <w:p w14:paraId="24D33A8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200 (47.6)</w:t>
            </w:r>
          </w:p>
        </w:tc>
        <w:tc>
          <w:tcPr>
            <w:tcW w:w="1020" w:type="pct"/>
            <w:tcBorders>
              <w:top w:val="nil"/>
              <w:left w:val="nil"/>
              <w:bottom w:val="nil"/>
              <w:right w:val="nil"/>
            </w:tcBorders>
            <w:shd w:val="clear" w:color="auto" w:fill="auto"/>
            <w:noWrap/>
            <w:vAlign w:val="bottom"/>
          </w:tcPr>
          <w:p w14:paraId="5679F72E" w14:textId="77777777" w:rsidR="00F20BB0" w:rsidRDefault="00F20BB0">
            <w:pPr>
              <w:adjustRightInd w:val="0"/>
              <w:snapToGrid w:val="0"/>
              <w:spacing w:line="360" w:lineRule="auto"/>
              <w:jc w:val="both"/>
              <w:rPr>
                <w:rFonts w:ascii="Book Antiqua" w:hAnsi="Book Antiqua" w:cs="Arial"/>
                <w:color w:val="000000"/>
              </w:rPr>
            </w:pPr>
          </w:p>
        </w:tc>
      </w:tr>
      <w:tr w:rsidR="00F20BB0" w14:paraId="6E0021B4" w14:textId="77777777">
        <w:trPr>
          <w:trHeight w:val="317"/>
          <w:jc w:val="center"/>
        </w:trPr>
        <w:tc>
          <w:tcPr>
            <w:tcW w:w="1802" w:type="pct"/>
            <w:tcBorders>
              <w:top w:val="nil"/>
              <w:left w:val="nil"/>
              <w:bottom w:val="nil"/>
              <w:right w:val="nil"/>
            </w:tcBorders>
            <w:shd w:val="clear" w:color="auto" w:fill="auto"/>
            <w:noWrap/>
            <w:vAlign w:val="bottom"/>
          </w:tcPr>
          <w:p w14:paraId="1DECD65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Tumor size in cm</w:t>
            </w:r>
          </w:p>
        </w:tc>
        <w:tc>
          <w:tcPr>
            <w:tcW w:w="1465" w:type="pct"/>
            <w:tcBorders>
              <w:top w:val="nil"/>
              <w:left w:val="nil"/>
              <w:bottom w:val="nil"/>
              <w:right w:val="nil"/>
            </w:tcBorders>
            <w:shd w:val="clear" w:color="auto" w:fill="auto"/>
            <w:noWrap/>
            <w:vAlign w:val="bottom"/>
          </w:tcPr>
          <w:p w14:paraId="21E881B5" w14:textId="77777777" w:rsidR="00F20BB0" w:rsidRDefault="00F20BB0">
            <w:pPr>
              <w:adjustRightInd w:val="0"/>
              <w:snapToGrid w:val="0"/>
              <w:spacing w:line="360" w:lineRule="auto"/>
              <w:jc w:val="both"/>
              <w:rPr>
                <w:rFonts w:ascii="Book Antiqua" w:hAnsi="Book Antiqua" w:cs="Arial"/>
                <w:color w:val="000000"/>
              </w:rPr>
            </w:pPr>
          </w:p>
        </w:tc>
        <w:tc>
          <w:tcPr>
            <w:tcW w:w="712" w:type="pct"/>
            <w:tcBorders>
              <w:top w:val="nil"/>
              <w:left w:val="nil"/>
              <w:bottom w:val="nil"/>
              <w:right w:val="nil"/>
            </w:tcBorders>
            <w:shd w:val="clear" w:color="auto" w:fill="auto"/>
            <w:noWrap/>
            <w:vAlign w:val="bottom"/>
          </w:tcPr>
          <w:p w14:paraId="6FC4C103" w14:textId="77777777" w:rsidR="00F20BB0" w:rsidRDefault="00F20BB0">
            <w:pPr>
              <w:adjustRightInd w:val="0"/>
              <w:snapToGrid w:val="0"/>
              <w:spacing w:line="360" w:lineRule="auto"/>
              <w:jc w:val="both"/>
              <w:rPr>
                <w:rFonts w:ascii="Book Antiqua" w:hAnsi="Book Antiqua" w:cs="Arial"/>
              </w:rPr>
            </w:pPr>
          </w:p>
        </w:tc>
        <w:tc>
          <w:tcPr>
            <w:tcW w:w="1020" w:type="pct"/>
            <w:tcBorders>
              <w:top w:val="nil"/>
              <w:left w:val="nil"/>
              <w:bottom w:val="nil"/>
              <w:right w:val="nil"/>
            </w:tcBorders>
            <w:shd w:val="clear" w:color="auto" w:fill="auto"/>
            <w:noWrap/>
            <w:vAlign w:val="bottom"/>
          </w:tcPr>
          <w:p w14:paraId="6A2D7C2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0.589</w:t>
            </w:r>
          </w:p>
        </w:tc>
      </w:tr>
      <w:tr w:rsidR="00F20BB0" w14:paraId="75AC2605" w14:textId="77777777">
        <w:trPr>
          <w:trHeight w:val="317"/>
          <w:jc w:val="center"/>
        </w:trPr>
        <w:tc>
          <w:tcPr>
            <w:tcW w:w="1802" w:type="pct"/>
            <w:tcBorders>
              <w:top w:val="nil"/>
              <w:left w:val="nil"/>
              <w:bottom w:val="nil"/>
              <w:right w:val="nil"/>
            </w:tcBorders>
            <w:shd w:val="clear" w:color="auto" w:fill="auto"/>
            <w:noWrap/>
            <w:vAlign w:val="bottom"/>
          </w:tcPr>
          <w:p w14:paraId="1619F22D"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 4.0</w:t>
            </w:r>
          </w:p>
        </w:tc>
        <w:tc>
          <w:tcPr>
            <w:tcW w:w="1465" w:type="pct"/>
            <w:tcBorders>
              <w:top w:val="nil"/>
              <w:left w:val="nil"/>
              <w:bottom w:val="nil"/>
              <w:right w:val="nil"/>
            </w:tcBorders>
            <w:shd w:val="clear" w:color="auto" w:fill="auto"/>
            <w:noWrap/>
            <w:vAlign w:val="bottom"/>
          </w:tcPr>
          <w:p w14:paraId="7C6C5E8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185 (55.9)</w:t>
            </w:r>
          </w:p>
        </w:tc>
        <w:tc>
          <w:tcPr>
            <w:tcW w:w="712" w:type="pct"/>
            <w:tcBorders>
              <w:top w:val="nil"/>
              <w:left w:val="nil"/>
              <w:bottom w:val="nil"/>
              <w:right w:val="nil"/>
            </w:tcBorders>
            <w:shd w:val="clear" w:color="auto" w:fill="auto"/>
            <w:noWrap/>
            <w:vAlign w:val="bottom"/>
          </w:tcPr>
          <w:p w14:paraId="6472FAA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243 (57.9)</w:t>
            </w:r>
          </w:p>
        </w:tc>
        <w:tc>
          <w:tcPr>
            <w:tcW w:w="1020" w:type="pct"/>
            <w:tcBorders>
              <w:top w:val="nil"/>
              <w:left w:val="nil"/>
              <w:bottom w:val="nil"/>
              <w:right w:val="nil"/>
            </w:tcBorders>
            <w:shd w:val="clear" w:color="auto" w:fill="auto"/>
            <w:noWrap/>
            <w:vAlign w:val="bottom"/>
          </w:tcPr>
          <w:p w14:paraId="2A07509B" w14:textId="77777777" w:rsidR="00F20BB0" w:rsidRDefault="00F20BB0">
            <w:pPr>
              <w:adjustRightInd w:val="0"/>
              <w:snapToGrid w:val="0"/>
              <w:spacing w:line="360" w:lineRule="auto"/>
              <w:jc w:val="both"/>
              <w:rPr>
                <w:rFonts w:ascii="Book Antiqua" w:hAnsi="Book Antiqua" w:cs="Arial"/>
                <w:color w:val="000000"/>
              </w:rPr>
            </w:pPr>
          </w:p>
        </w:tc>
      </w:tr>
      <w:tr w:rsidR="00F20BB0" w14:paraId="05622D0D" w14:textId="77777777">
        <w:trPr>
          <w:trHeight w:val="317"/>
          <w:jc w:val="center"/>
        </w:trPr>
        <w:tc>
          <w:tcPr>
            <w:tcW w:w="1802" w:type="pct"/>
            <w:tcBorders>
              <w:top w:val="nil"/>
              <w:left w:val="nil"/>
              <w:bottom w:val="nil"/>
              <w:right w:val="nil"/>
            </w:tcBorders>
            <w:shd w:val="clear" w:color="auto" w:fill="auto"/>
            <w:noWrap/>
            <w:vAlign w:val="bottom"/>
          </w:tcPr>
          <w:p w14:paraId="683B743E"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&gt; 4.0</w:t>
            </w:r>
          </w:p>
        </w:tc>
        <w:tc>
          <w:tcPr>
            <w:tcW w:w="1465" w:type="pct"/>
            <w:tcBorders>
              <w:top w:val="nil"/>
              <w:left w:val="nil"/>
              <w:bottom w:val="nil"/>
              <w:right w:val="nil"/>
            </w:tcBorders>
            <w:shd w:val="clear" w:color="auto" w:fill="auto"/>
            <w:noWrap/>
            <w:vAlign w:val="bottom"/>
          </w:tcPr>
          <w:p w14:paraId="4BE7540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146 (44.1)</w:t>
            </w:r>
          </w:p>
        </w:tc>
        <w:tc>
          <w:tcPr>
            <w:tcW w:w="712" w:type="pct"/>
            <w:tcBorders>
              <w:top w:val="nil"/>
              <w:left w:val="nil"/>
              <w:bottom w:val="nil"/>
              <w:right w:val="nil"/>
            </w:tcBorders>
            <w:shd w:val="clear" w:color="auto" w:fill="auto"/>
            <w:noWrap/>
            <w:vAlign w:val="bottom"/>
          </w:tcPr>
          <w:p w14:paraId="0490554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177 (42.1)</w:t>
            </w:r>
          </w:p>
        </w:tc>
        <w:tc>
          <w:tcPr>
            <w:tcW w:w="1020" w:type="pct"/>
            <w:tcBorders>
              <w:top w:val="nil"/>
              <w:left w:val="nil"/>
              <w:bottom w:val="nil"/>
              <w:right w:val="nil"/>
            </w:tcBorders>
            <w:shd w:val="clear" w:color="auto" w:fill="auto"/>
            <w:noWrap/>
            <w:vAlign w:val="bottom"/>
          </w:tcPr>
          <w:p w14:paraId="30248DD7" w14:textId="77777777" w:rsidR="00F20BB0" w:rsidRDefault="00F20BB0">
            <w:pPr>
              <w:adjustRightInd w:val="0"/>
              <w:snapToGrid w:val="0"/>
              <w:spacing w:line="360" w:lineRule="auto"/>
              <w:jc w:val="both"/>
              <w:rPr>
                <w:rFonts w:ascii="Book Antiqua" w:hAnsi="Book Antiqua" w:cs="Arial"/>
                <w:color w:val="000000"/>
              </w:rPr>
            </w:pPr>
          </w:p>
        </w:tc>
      </w:tr>
      <w:tr w:rsidR="00F20BB0" w14:paraId="137EC760" w14:textId="77777777">
        <w:trPr>
          <w:trHeight w:val="317"/>
          <w:jc w:val="center"/>
        </w:trPr>
        <w:tc>
          <w:tcPr>
            <w:tcW w:w="1802" w:type="pct"/>
            <w:tcBorders>
              <w:top w:val="nil"/>
              <w:left w:val="nil"/>
              <w:bottom w:val="nil"/>
              <w:right w:val="nil"/>
            </w:tcBorders>
            <w:shd w:val="clear" w:color="auto" w:fill="auto"/>
            <w:noWrap/>
            <w:vAlign w:val="bottom"/>
          </w:tcPr>
          <w:p w14:paraId="22670B3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Primary histological type</w:t>
            </w:r>
          </w:p>
        </w:tc>
        <w:tc>
          <w:tcPr>
            <w:tcW w:w="1465" w:type="pct"/>
            <w:tcBorders>
              <w:top w:val="nil"/>
              <w:left w:val="nil"/>
              <w:bottom w:val="nil"/>
              <w:right w:val="nil"/>
            </w:tcBorders>
            <w:shd w:val="clear" w:color="auto" w:fill="auto"/>
            <w:noWrap/>
            <w:vAlign w:val="bottom"/>
          </w:tcPr>
          <w:p w14:paraId="66250481" w14:textId="77777777" w:rsidR="00F20BB0" w:rsidRDefault="00F20BB0">
            <w:pPr>
              <w:adjustRightInd w:val="0"/>
              <w:snapToGrid w:val="0"/>
              <w:spacing w:line="360" w:lineRule="auto"/>
              <w:jc w:val="both"/>
              <w:rPr>
                <w:rFonts w:ascii="Book Antiqua" w:hAnsi="Book Antiqua" w:cs="Arial"/>
                <w:color w:val="000000"/>
              </w:rPr>
            </w:pPr>
          </w:p>
        </w:tc>
        <w:tc>
          <w:tcPr>
            <w:tcW w:w="712" w:type="pct"/>
            <w:tcBorders>
              <w:top w:val="nil"/>
              <w:left w:val="nil"/>
              <w:bottom w:val="nil"/>
              <w:right w:val="nil"/>
            </w:tcBorders>
            <w:shd w:val="clear" w:color="auto" w:fill="auto"/>
            <w:noWrap/>
            <w:vAlign w:val="bottom"/>
          </w:tcPr>
          <w:p w14:paraId="352AC16D" w14:textId="77777777" w:rsidR="00F20BB0" w:rsidRDefault="00F20BB0">
            <w:pPr>
              <w:adjustRightInd w:val="0"/>
              <w:snapToGrid w:val="0"/>
              <w:spacing w:line="360" w:lineRule="auto"/>
              <w:jc w:val="both"/>
              <w:rPr>
                <w:rFonts w:ascii="Book Antiqua" w:hAnsi="Book Antiqua" w:cs="Arial"/>
              </w:rPr>
            </w:pPr>
          </w:p>
        </w:tc>
        <w:tc>
          <w:tcPr>
            <w:tcW w:w="1020" w:type="pct"/>
            <w:tcBorders>
              <w:top w:val="nil"/>
              <w:left w:val="nil"/>
              <w:bottom w:val="nil"/>
              <w:right w:val="nil"/>
            </w:tcBorders>
            <w:shd w:val="clear" w:color="auto" w:fill="auto"/>
            <w:noWrap/>
            <w:vAlign w:val="bottom"/>
          </w:tcPr>
          <w:p w14:paraId="444B300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0.848</w:t>
            </w:r>
          </w:p>
        </w:tc>
      </w:tr>
      <w:tr w:rsidR="00F20BB0" w14:paraId="47327CF1" w14:textId="77777777">
        <w:trPr>
          <w:trHeight w:val="317"/>
          <w:jc w:val="center"/>
        </w:trPr>
        <w:tc>
          <w:tcPr>
            <w:tcW w:w="1802" w:type="pct"/>
            <w:tcBorders>
              <w:top w:val="nil"/>
              <w:left w:val="nil"/>
              <w:bottom w:val="nil"/>
              <w:right w:val="nil"/>
            </w:tcBorders>
            <w:shd w:val="clear" w:color="auto" w:fill="auto"/>
            <w:noWrap/>
            <w:vAlign w:val="bottom"/>
          </w:tcPr>
          <w:p w14:paraId="01B37C41"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Non-mucinous</w:t>
            </w:r>
          </w:p>
        </w:tc>
        <w:tc>
          <w:tcPr>
            <w:tcW w:w="1465" w:type="pct"/>
            <w:tcBorders>
              <w:top w:val="nil"/>
              <w:left w:val="nil"/>
              <w:bottom w:val="nil"/>
              <w:right w:val="nil"/>
            </w:tcBorders>
            <w:shd w:val="clear" w:color="auto" w:fill="auto"/>
            <w:noWrap/>
            <w:vAlign w:val="bottom"/>
          </w:tcPr>
          <w:p w14:paraId="5DB27CF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283 (85.5)</w:t>
            </w:r>
          </w:p>
        </w:tc>
        <w:tc>
          <w:tcPr>
            <w:tcW w:w="712" w:type="pct"/>
            <w:tcBorders>
              <w:top w:val="nil"/>
              <w:left w:val="nil"/>
              <w:bottom w:val="nil"/>
              <w:right w:val="nil"/>
            </w:tcBorders>
            <w:shd w:val="clear" w:color="auto" w:fill="auto"/>
            <w:noWrap/>
            <w:vAlign w:val="bottom"/>
          </w:tcPr>
          <w:p w14:paraId="236FED4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357 (85.0)</w:t>
            </w:r>
          </w:p>
        </w:tc>
        <w:tc>
          <w:tcPr>
            <w:tcW w:w="1020" w:type="pct"/>
            <w:tcBorders>
              <w:top w:val="nil"/>
              <w:left w:val="nil"/>
              <w:bottom w:val="nil"/>
              <w:right w:val="nil"/>
            </w:tcBorders>
            <w:shd w:val="clear" w:color="auto" w:fill="auto"/>
            <w:noWrap/>
            <w:vAlign w:val="bottom"/>
          </w:tcPr>
          <w:p w14:paraId="17EF0228" w14:textId="77777777" w:rsidR="00F20BB0" w:rsidRDefault="00F20BB0">
            <w:pPr>
              <w:adjustRightInd w:val="0"/>
              <w:snapToGrid w:val="0"/>
              <w:spacing w:line="360" w:lineRule="auto"/>
              <w:jc w:val="both"/>
              <w:rPr>
                <w:rFonts w:ascii="Book Antiqua" w:hAnsi="Book Antiqua" w:cs="Arial"/>
                <w:color w:val="000000"/>
              </w:rPr>
            </w:pPr>
          </w:p>
        </w:tc>
      </w:tr>
      <w:tr w:rsidR="00F20BB0" w14:paraId="1247C57A" w14:textId="77777777">
        <w:trPr>
          <w:trHeight w:val="317"/>
          <w:jc w:val="center"/>
        </w:trPr>
        <w:tc>
          <w:tcPr>
            <w:tcW w:w="1802" w:type="pct"/>
            <w:tcBorders>
              <w:top w:val="nil"/>
              <w:left w:val="nil"/>
              <w:bottom w:val="nil"/>
              <w:right w:val="nil"/>
            </w:tcBorders>
            <w:shd w:val="clear" w:color="auto" w:fill="auto"/>
            <w:noWrap/>
            <w:vAlign w:val="bottom"/>
          </w:tcPr>
          <w:p w14:paraId="76EFFD2B"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Mucinous</w:t>
            </w:r>
          </w:p>
        </w:tc>
        <w:tc>
          <w:tcPr>
            <w:tcW w:w="1465" w:type="pct"/>
            <w:tcBorders>
              <w:top w:val="nil"/>
              <w:left w:val="nil"/>
              <w:bottom w:val="nil"/>
              <w:right w:val="nil"/>
            </w:tcBorders>
            <w:shd w:val="clear" w:color="auto" w:fill="auto"/>
            <w:noWrap/>
            <w:vAlign w:val="bottom"/>
          </w:tcPr>
          <w:p w14:paraId="6FD04FB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48 (14.5)</w:t>
            </w:r>
          </w:p>
        </w:tc>
        <w:tc>
          <w:tcPr>
            <w:tcW w:w="712" w:type="pct"/>
            <w:tcBorders>
              <w:top w:val="nil"/>
              <w:left w:val="nil"/>
              <w:bottom w:val="nil"/>
              <w:right w:val="nil"/>
            </w:tcBorders>
            <w:shd w:val="clear" w:color="auto" w:fill="auto"/>
            <w:noWrap/>
            <w:vAlign w:val="bottom"/>
          </w:tcPr>
          <w:p w14:paraId="258FB58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63 (15.0)</w:t>
            </w:r>
          </w:p>
        </w:tc>
        <w:tc>
          <w:tcPr>
            <w:tcW w:w="1020" w:type="pct"/>
            <w:tcBorders>
              <w:top w:val="nil"/>
              <w:left w:val="nil"/>
              <w:bottom w:val="nil"/>
              <w:right w:val="nil"/>
            </w:tcBorders>
            <w:shd w:val="clear" w:color="auto" w:fill="auto"/>
            <w:noWrap/>
            <w:vAlign w:val="bottom"/>
          </w:tcPr>
          <w:p w14:paraId="15344BAC" w14:textId="77777777" w:rsidR="00F20BB0" w:rsidRDefault="00F20BB0">
            <w:pPr>
              <w:adjustRightInd w:val="0"/>
              <w:snapToGrid w:val="0"/>
              <w:spacing w:line="360" w:lineRule="auto"/>
              <w:jc w:val="both"/>
              <w:rPr>
                <w:rFonts w:ascii="Book Antiqua" w:hAnsi="Book Antiqua" w:cs="Arial"/>
                <w:color w:val="000000"/>
              </w:rPr>
            </w:pPr>
          </w:p>
        </w:tc>
      </w:tr>
      <w:tr w:rsidR="00F20BB0" w14:paraId="5D807E1F" w14:textId="77777777">
        <w:trPr>
          <w:trHeight w:val="317"/>
          <w:jc w:val="center"/>
        </w:trPr>
        <w:tc>
          <w:tcPr>
            <w:tcW w:w="1802" w:type="pct"/>
            <w:tcBorders>
              <w:top w:val="nil"/>
              <w:left w:val="nil"/>
              <w:bottom w:val="nil"/>
              <w:right w:val="nil"/>
            </w:tcBorders>
            <w:shd w:val="clear" w:color="auto" w:fill="auto"/>
            <w:noWrap/>
            <w:vAlign w:val="bottom"/>
          </w:tcPr>
          <w:p w14:paraId="666F917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Primary differentiation</w:t>
            </w:r>
          </w:p>
        </w:tc>
        <w:tc>
          <w:tcPr>
            <w:tcW w:w="1465" w:type="pct"/>
            <w:tcBorders>
              <w:top w:val="nil"/>
              <w:left w:val="nil"/>
              <w:bottom w:val="nil"/>
              <w:right w:val="nil"/>
            </w:tcBorders>
            <w:shd w:val="clear" w:color="auto" w:fill="auto"/>
            <w:noWrap/>
            <w:vAlign w:val="bottom"/>
          </w:tcPr>
          <w:p w14:paraId="612B77C3" w14:textId="77777777" w:rsidR="00F20BB0" w:rsidRDefault="00F20BB0">
            <w:pPr>
              <w:adjustRightInd w:val="0"/>
              <w:snapToGrid w:val="0"/>
              <w:spacing w:line="360" w:lineRule="auto"/>
              <w:jc w:val="both"/>
              <w:rPr>
                <w:rFonts w:ascii="Book Antiqua" w:hAnsi="Book Antiqua" w:cs="Arial"/>
                <w:color w:val="000000"/>
              </w:rPr>
            </w:pPr>
          </w:p>
        </w:tc>
        <w:tc>
          <w:tcPr>
            <w:tcW w:w="712" w:type="pct"/>
            <w:tcBorders>
              <w:top w:val="nil"/>
              <w:left w:val="nil"/>
              <w:bottom w:val="nil"/>
              <w:right w:val="nil"/>
            </w:tcBorders>
            <w:shd w:val="clear" w:color="auto" w:fill="auto"/>
            <w:noWrap/>
            <w:vAlign w:val="bottom"/>
          </w:tcPr>
          <w:p w14:paraId="5B9E5A44" w14:textId="77777777" w:rsidR="00F20BB0" w:rsidRDefault="00F20BB0">
            <w:pPr>
              <w:adjustRightInd w:val="0"/>
              <w:snapToGrid w:val="0"/>
              <w:spacing w:line="360" w:lineRule="auto"/>
              <w:jc w:val="both"/>
              <w:rPr>
                <w:rFonts w:ascii="Book Antiqua" w:hAnsi="Book Antiqua" w:cs="Arial"/>
              </w:rPr>
            </w:pPr>
          </w:p>
        </w:tc>
        <w:tc>
          <w:tcPr>
            <w:tcW w:w="1020" w:type="pct"/>
            <w:tcBorders>
              <w:top w:val="nil"/>
              <w:left w:val="nil"/>
              <w:bottom w:val="nil"/>
              <w:right w:val="nil"/>
            </w:tcBorders>
            <w:shd w:val="clear" w:color="auto" w:fill="auto"/>
            <w:noWrap/>
            <w:vAlign w:val="bottom"/>
          </w:tcPr>
          <w:p w14:paraId="64F9C827"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0.160</w:t>
            </w:r>
          </w:p>
        </w:tc>
      </w:tr>
      <w:tr w:rsidR="00F20BB0" w14:paraId="2F2EB9D6" w14:textId="77777777">
        <w:trPr>
          <w:trHeight w:val="317"/>
          <w:jc w:val="center"/>
        </w:trPr>
        <w:tc>
          <w:tcPr>
            <w:tcW w:w="1802" w:type="pct"/>
            <w:tcBorders>
              <w:top w:val="nil"/>
              <w:left w:val="nil"/>
              <w:bottom w:val="nil"/>
              <w:right w:val="nil"/>
            </w:tcBorders>
            <w:shd w:val="clear" w:color="auto" w:fill="auto"/>
            <w:noWrap/>
            <w:vAlign w:val="bottom"/>
          </w:tcPr>
          <w:p w14:paraId="25735211" w14:textId="77777777" w:rsidR="00F20BB0" w:rsidRDefault="00000000">
            <w:pPr>
              <w:adjustRightInd w:val="0"/>
              <w:snapToGrid w:val="0"/>
              <w:spacing w:line="360" w:lineRule="auto"/>
              <w:ind w:leftChars="100" w:left="240"/>
              <w:jc w:val="both"/>
              <w:rPr>
                <w:rFonts w:ascii="Book Antiqua" w:hAnsi="Book Antiqua" w:cs="Arial"/>
                <w:color w:val="000000"/>
              </w:rPr>
            </w:pPr>
            <w:proofErr w:type="gramStart"/>
            <w:r>
              <w:rPr>
                <w:rFonts w:ascii="Book Antiqua" w:hAnsi="Book Antiqua" w:cs="Arial"/>
                <w:color w:val="000000"/>
              </w:rPr>
              <w:lastRenderedPageBreak/>
              <w:t>Well</w:t>
            </w:r>
            <w:proofErr w:type="gramEnd"/>
            <w:r>
              <w:rPr>
                <w:rFonts w:ascii="Book Antiqua" w:hAnsi="Book Antiqua" w:cs="Arial"/>
                <w:color w:val="000000"/>
              </w:rPr>
              <w:t>/moderate</w:t>
            </w:r>
          </w:p>
        </w:tc>
        <w:tc>
          <w:tcPr>
            <w:tcW w:w="1465" w:type="pct"/>
            <w:tcBorders>
              <w:top w:val="nil"/>
              <w:left w:val="nil"/>
              <w:bottom w:val="nil"/>
              <w:right w:val="nil"/>
            </w:tcBorders>
            <w:shd w:val="clear" w:color="auto" w:fill="auto"/>
            <w:noWrap/>
            <w:vAlign w:val="bottom"/>
          </w:tcPr>
          <w:p w14:paraId="542011B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210 (63.4)</w:t>
            </w:r>
          </w:p>
        </w:tc>
        <w:tc>
          <w:tcPr>
            <w:tcW w:w="712" w:type="pct"/>
            <w:tcBorders>
              <w:top w:val="nil"/>
              <w:left w:val="nil"/>
              <w:bottom w:val="nil"/>
              <w:right w:val="nil"/>
            </w:tcBorders>
            <w:shd w:val="clear" w:color="auto" w:fill="auto"/>
            <w:noWrap/>
            <w:vAlign w:val="bottom"/>
          </w:tcPr>
          <w:p w14:paraId="6D558F5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287 (68.3)</w:t>
            </w:r>
          </w:p>
        </w:tc>
        <w:tc>
          <w:tcPr>
            <w:tcW w:w="1020" w:type="pct"/>
            <w:tcBorders>
              <w:top w:val="nil"/>
              <w:left w:val="nil"/>
              <w:bottom w:val="nil"/>
              <w:right w:val="nil"/>
            </w:tcBorders>
            <w:shd w:val="clear" w:color="auto" w:fill="auto"/>
            <w:noWrap/>
            <w:vAlign w:val="bottom"/>
          </w:tcPr>
          <w:p w14:paraId="066A1831" w14:textId="77777777" w:rsidR="00F20BB0" w:rsidRDefault="00F20BB0">
            <w:pPr>
              <w:adjustRightInd w:val="0"/>
              <w:snapToGrid w:val="0"/>
              <w:spacing w:line="360" w:lineRule="auto"/>
              <w:jc w:val="both"/>
              <w:rPr>
                <w:rFonts w:ascii="Book Antiqua" w:hAnsi="Book Antiqua" w:cs="Arial"/>
                <w:color w:val="000000"/>
              </w:rPr>
            </w:pPr>
          </w:p>
        </w:tc>
      </w:tr>
      <w:tr w:rsidR="00F20BB0" w14:paraId="01FBF39A" w14:textId="77777777">
        <w:trPr>
          <w:trHeight w:val="317"/>
          <w:jc w:val="center"/>
        </w:trPr>
        <w:tc>
          <w:tcPr>
            <w:tcW w:w="1802" w:type="pct"/>
            <w:tcBorders>
              <w:top w:val="nil"/>
              <w:left w:val="nil"/>
              <w:bottom w:val="nil"/>
              <w:right w:val="nil"/>
            </w:tcBorders>
            <w:shd w:val="clear" w:color="auto" w:fill="auto"/>
            <w:noWrap/>
            <w:vAlign w:val="bottom"/>
          </w:tcPr>
          <w:p w14:paraId="2E9C1CC3"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Poor/anaplastic</w:t>
            </w:r>
          </w:p>
        </w:tc>
        <w:tc>
          <w:tcPr>
            <w:tcW w:w="1465" w:type="pct"/>
            <w:tcBorders>
              <w:top w:val="nil"/>
              <w:left w:val="nil"/>
              <w:bottom w:val="nil"/>
              <w:right w:val="nil"/>
            </w:tcBorders>
            <w:shd w:val="clear" w:color="auto" w:fill="auto"/>
            <w:noWrap/>
            <w:vAlign w:val="bottom"/>
          </w:tcPr>
          <w:p w14:paraId="36082C66"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121 (36.6)</w:t>
            </w:r>
          </w:p>
        </w:tc>
        <w:tc>
          <w:tcPr>
            <w:tcW w:w="712" w:type="pct"/>
            <w:tcBorders>
              <w:top w:val="nil"/>
              <w:left w:val="nil"/>
              <w:bottom w:val="nil"/>
              <w:right w:val="nil"/>
            </w:tcBorders>
            <w:shd w:val="clear" w:color="auto" w:fill="auto"/>
            <w:noWrap/>
            <w:vAlign w:val="bottom"/>
          </w:tcPr>
          <w:p w14:paraId="729C0A6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133 (31.7)</w:t>
            </w:r>
          </w:p>
        </w:tc>
        <w:tc>
          <w:tcPr>
            <w:tcW w:w="1020" w:type="pct"/>
            <w:tcBorders>
              <w:top w:val="nil"/>
              <w:left w:val="nil"/>
              <w:bottom w:val="nil"/>
              <w:right w:val="nil"/>
            </w:tcBorders>
            <w:shd w:val="clear" w:color="auto" w:fill="auto"/>
            <w:noWrap/>
            <w:vAlign w:val="bottom"/>
          </w:tcPr>
          <w:p w14:paraId="67494C2B" w14:textId="77777777" w:rsidR="00F20BB0" w:rsidRDefault="00F20BB0">
            <w:pPr>
              <w:adjustRightInd w:val="0"/>
              <w:snapToGrid w:val="0"/>
              <w:spacing w:line="360" w:lineRule="auto"/>
              <w:jc w:val="both"/>
              <w:rPr>
                <w:rFonts w:ascii="Book Antiqua" w:hAnsi="Book Antiqua" w:cs="Arial"/>
                <w:color w:val="000000"/>
              </w:rPr>
            </w:pPr>
          </w:p>
        </w:tc>
      </w:tr>
      <w:tr w:rsidR="00F20BB0" w14:paraId="08E73887" w14:textId="77777777">
        <w:trPr>
          <w:trHeight w:val="317"/>
          <w:jc w:val="center"/>
        </w:trPr>
        <w:tc>
          <w:tcPr>
            <w:tcW w:w="1802" w:type="pct"/>
            <w:tcBorders>
              <w:top w:val="nil"/>
              <w:left w:val="nil"/>
              <w:bottom w:val="nil"/>
              <w:right w:val="nil"/>
            </w:tcBorders>
            <w:shd w:val="clear" w:color="auto" w:fill="auto"/>
            <w:noWrap/>
            <w:vAlign w:val="bottom"/>
          </w:tcPr>
          <w:p w14:paraId="39BD1697"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T stage</w:t>
            </w:r>
          </w:p>
        </w:tc>
        <w:tc>
          <w:tcPr>
            <w:tcW w:w="1465" w:type="pct"/>
            <w:tcBorders>
              <w:top w:val="nil"/>
              <w:left w:val="nil"/>
              <w:bottom w:val="nil"/>
              <w:right w:val="nil"/>
            </w:tcBorders>
            <w:shd w:val="clear" w:color="auto" w:fill="auto"/>
            <w:noWrap/>
            <w:vAlign w:val="bottom"/>
          </w:tcPr>
          <w:p w14:paraId="261868D0" w14:textId="77777777" w:rsidR="00F20BB0" w:rsidRDefault="00F20BB0">
            <w:pPr>
              <w:adjustRightInd w:val="0"/>
              <w:snapToGrid w:val="0"/>
              <w:spacing w:line="360" w:lineRule="auto"/>
              <w:jc w:val="both"/>
              <w:rPr>
                <w:rFonts w:ascii="Book Antiqua" w:hAnsi="Book Antiqua" w:cs="Arial"/>
                <w:color w:val="000000"/>
              </w:rPr>
            </w:pPr>
          </w:p>
        </w:tc>
        <w:tc>
          <w:tcPr>
            <w:tcW w:w="712" w:type="pct"/>
            <w:tcBorders>
              <w:top w:val="nil"/>
              <w:left w:val="nil"/>
              <w:bottom w:val="nil"/>
              <w:right w:val="nil"/>
            </w:tcBorders>
            <w:shd w:val="clear" w:color="auto" w:fill="auto"/>
            <w:noWrap/>
            <w:vAlign w:val="bottom"/>
          </w:tcPr>
          <w:p w14:paraId="1179C8C2" w14:textId="77777777" w:rsidR="00F20BB0" w:rsidRDefault="00F20BB0">
            <w:pPr>
              <w:adjustRightInd w:val="0"/>
              <w:snapToGrid w:val="0"/>
              <w:spacing w:line="360" w:lineRule="auto"/>
              <w:jc w:val="both"/>
              <w:rPr>
                <w:rFonts w:ascii="Book Antiqua" w:hAnsi="Book Antiqua" w:cs="Arial"/>
              </w:rPr>
            </w:pPr>
          </w:p>
        </w:tc>
        <w:tc>
          <w:tcPr>
            <w:tcW w:w="1020" w:type="pct"/>
            <w:tcBorders>
              <w:top w:val="nil"/>
              <w:left w:val="nil"/>
              <w:bottom w:val="nil"/>
              <w:right w:val="nil"/>
            </w:tcBorders>
            <w:shd w:val="clear" w:color="auto" w:fill="auto"/>
            <w:noWrap/>
            <w:vAlign w:val="bottom"/>
          </w:tcPr>
          <w:p w14:paraId="0817821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0.618</w:t>
            </w:r>
          </w:p>
        </w:tc>
      </w:tr>
      <w:tr w:rsidR="00F20BB0" w14:paraId="6404EE9F" w14:textId="77777777">
        <w:trPr>
          <w:trHeight w:val="317"/>
          <w:jc w:val="center"/>
        </w:trPr>
        <w:tc>
          <w:tcPr>
            <w:tcW w:w="1802" w:type="pct"/>
            <w:tcBorders>
              <w:top w:val="nil"/>
              <w:left w:val="nil"/>
              <w:bottom w:val="nil"/>
              <w:right w:val="nil"/>
            </w:tcBorders>
            <w:shd w:val="clear" w:color="auto" w:fill="auto"/>
            <w:noWrap/>
            <w:vAlign w:val="bottom"/>
          </w:tcPr>
          <w:p w14:paraId="29704A0B"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T1/T2</w:t>
            </w:r>
          </w:p>
        </w:tc>
        <w:tc>
          <w:tcPr>
            <w:tcW w:w="1465" w:type="pct"/>
            <w:tcBorders>
              <w:top w:val="nil"/>
              <w:left w:val="nil"/>
              <w:bottom w:val="nil"/>
              <w:right w:val="nil"/>
            </w:tcBorders>
            <w:shd w:val="clear" w:color="auto" w:fill="auto"/>
            <w:noWrap/>
            <w:vAlign w:val="bottom"/>
          </w:tcPr>
          <w:p w14:paraId="53D547E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66 (19.9)</w:t>
            </w:r>
          </w:p>
        </w:tc>
        <w:tc>
          <w:tcPr>
            <w:tcW w:w="712" w:type="pct"/>
            <w:tcBorders>
              <w:top w:val="nil"/>
              <w:left w:val="nil"/>
              <w:bottom w:val="nil"/>
              <w:right w:val="nil"/>
            </w:tcBorders>
            <w:shd w:val="clear" w:color="auto" w:fill="auto"/>
            <w:noWrap/>
            <w:vAlign w:val="bottom"/>
          </w:tcPr>
          <w:p w14:paraId="38348D2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90 (21.4)</w:t>
            </w:r>
          </w:p>
        </w:tc>
        <w:tc>
          <w:tcPr>
            <w:tcW w:w="1020" w:type="pct"/>
            <w:tcBorders>
              <w:top w:val="nil"/>
              <w:left w:val="nil"/>
              <w:bottom w:val="nil"/>
              <w:right w:val="nil"/>
            </w:tcBorders>
            <w:shd w:val="clear" w:color="auto" w:fill="auto"/>
            <w:noWrap/>
            <w:vAlign w:val="bottom"/>
          </w:tcPr>
          <w:p w14:paraId="53183DBA" w14:textId="77777777" w:rsidR="00F20BB0" w:rsidRDefault="00F20BB0">
            <w:pPr>
              <w:adjustRightInd w:val="0"/>
              <w:snapToGrid w:val="0"/>
              <w:spacing w:line="360" w:lineRule="auto"/>
              <w:jc w:val="both"/>
              <w:rPr>
                <w:rFonts w:ascii="Book Antiqua" w:hAnsi="Book Antiqua" w:cs="Arial"/>
                <w:color w:val="000000"/>
              </w:rPr>
            </w:pPr>
          </w:p>
        </w:tc>
      </w:tr>
      <w:tr w:rsidR="00F20BB0" w14:paraId="31A145F6" w14:textId="77777777">
        <w:trPr>
          <w:trHeight w:val="317"/>
          <w:jc w:val="center"/>
        </w:trPr>
        <w:tc>
          <w:tcPr>
            <w:tcW w:w="1802" w:type="pct"/>
            <w:tcBorders>
              <w:top w:val="nil"/>
              <w:left w:val="nil"/>
              <w:bottom w:val="nil"/>
              <w:right w:val="nil"/>
            </w:tcBorders>
            <w:shd w:val="clear" w:color="auto" w:fill="auto"/>
            <w:noWrap/>
            <w:vAlign w:val="bottom"/>
          </w:tcPr>
          <w:p w14:paraId="2C4332BD"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T3/T4</w:t>
            </w:r>
          </w:p>
        </w:tc>
        <w:tc>
          <w:tcPr>
            <w:tcW w:w="1465" w:type="pct"/>
            <w:tcBorders>
              <w:top w:val="nil"/>
              <w:left w:val="nil"/>
              <w:bottom w:val="nil"/>
              <w:right w:val="nil"/>
            </w:tcBorders>
            <w:shd w:val="clear" w:color="auto" w:fill="auto"/>
            <w:noWrap/>
            <w:vAlign w:val="bottom"/>
          </w:tcPr>
          <w:p w14:paraId="28FE427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265 (80.1)</w:t>
            </w:r>
          </w:p>
        </w:tc>
        <w:tc>
          <w:tcPr>
            <w:tcW w:w="712" w:type="pct"/>
            <w:tcBorders>
              <w:top w:val="nil"/>
              <w:left w:val="nil"/>
              <w:bottom w:val="nil"/>
              <w:right w:val="nil"/>
            </w:tcBorders>
            <w:shd w:val="clear" w:color="auto" w:fill="auto"/>
            <w:noWrap/>
            <w:vAlign w:val="bottom"/>
          </w:tcPr>
          <w:p w14:paraId="3D49C0B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330 (78.6)</w:t>
            </w:r>
          </w:p>
        </w:tc>
        <w:tc>
          <w:tcPr>
            <w:tcW w:w="1020" w:type="pct"/>
            <w:tcBorders>
              <w:top w:val="nil"/>
              <w:left w:val="nil"/>
              <w:bottom w:val="nil"/>
              <w:right w:val="nil"/>
            </w:tcBorders>
            <w:shd w:val="clear" w:color="auto" w:fill="auto"/>
            <w:noWrap/>
            <w:vAlign w:val="bottom"/>
          </w:tcPr>
          <w:p w14:paraId="51728691" w14:textId="77777777" w:rsidR="00F20BB0" w:rsidRDefault="00F20BB0">
            <w:pPr>
              <w:adjustRightInd w:val="0"/>
              <w:snapToGrid w:val="0"/>
              <w:spacing w:line="360" w:lineRule="auto"/>
              <w:jc w:val="both"/>
              <w:rPr>
                <w:rFonts w:ascii="Book Antiqua" w:hAnsi="Book Antiqua" w:cs="Arial"/>
                <w:color w:val="000000"/>
              </w:rPr>
            </w:pPr>
          </w:p>
        </w:tc>
      </w:tr>
      <w:tr w:rsidR="00F20BB0" w14:paraId="78977EE7" w14:textId="77777777">
        <w:trPr>
          <w:trHeight w:val="317"/>
          <w:jc w:val="center"/>
        </w:trPr>
        <w:tc>
          <w:tcPr>
            <w:tcW w:w="1802" w:type="pct"/>
            <w:tcBorders>
              <w:top w:val="nil"/>
              <w:left w:val="nil"/>
              <w:bottom w:val="nil"/>
              <w:right w:val="nil"/>
            </w:tcBorders>
            <w:shd w:val="clear" w:color="auto" w:fill="auto"/>
            <w:noWrap/>
            <w:vAlign w:val="bottom"/>
          </w:tcPr>
          <w:p w14:paraId="1305CDA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N stage</w:t>
            </w:r>
          </w:p>
        </w:tc>
        <w:tc>
          <w:tcPr>
            <w:tcW w:w="1465" w:type="pct"/>
            <w:tcBorders>
              <w:top w:val="nil"/>
              <w:left w:val="nil"/>
              <w:bottom w:val="nil"/>
              <w:right w:val="nil"/>
            </w:tcBorders>
            <w:shd w:val="clear" w:color="auto" w:fill="auto"/>
            <w:noWrap/>
            <w:vAlign w:val="bottom"/>
          </w:tcPr>
          <w:p w14:paraId="60B0417C" w14:textId="77777777" w:rsidR="00F20BB0" w:rsidRDefault="00F20BB0">
            <w:pPr>
              <w:adjustRightInd w:val="0"/>
              <w:snapToGrid w:val="0"/>
              <w:spacing w:line="360" w:lineRule="auto"/>
              <w:jc w:val="both"/>
              <w:rPr>
                <w:rFonts w:ascii="Book Antiqua" w:hAnsi="Book Antiqua" w:cs="Arial"/>
                <w:color w:val="000000"/>
              </w:rPr>
            </w:pPr>
          </w:p>
        </w:tc>
        <w:tc>
          <w:tcPr>
            <w:tcW w:w="712" w:type="pct"/>
            <w:tcBorders>
              <w:top w:val="nil"/>
              <w:left w:val="nil"/>
              <w:bottom w:val="nil"/>
              <w:right w:val="nil"/>
            </w:tcBorders>
            <w:shd w:val="clear" w:color="auto" w:fill="auto"/>
            <w:noWrap/>
            <w:vAlign w:val="bottom"/>
          </w:tcPr>
          <w:p w14:paraId="64CD1181" w14:textId="77777777" w:rsidR="00F20BB0" w:rsidRDefault="00F20BB0">
            <w:pPr>
              <w:adjustRightInd w:val="0"/>
              <w:snapToGrid w:val="0"/>
              <w:spacing w:line="360" w:lineRule="auto"/>
              <w:jc w:val="both"/>
              <w:rPr>
                <w:rFonts w:ascii="Book Antiqua" w:hAnsi="Book Antiqua" w:cs="Arial"/>
              </w:rPr>
            </w:pPr>
          </w:p>
        </w:tc>
        <w:tc>
          <w:tcPr>
            <w:tcW w:w="1020" w:type="pct"/>
            <w:tcBorders>
              <w:top w:val="nil"/>
              <w:left w:val="nil"/>
              <w:bottom w:val="nil"/>
              <w:right w:val="nil"/>
            </w:tcBorders>
            <w:shd w:val="clear" w:color="auto" w:fill="auto"/>
            <w:noWrap/>
            <w:vAlign w:val="bottom"/>
          </w:tcPr>
          <w:p w14:paraId="2A256B7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0.684</w:t>
            </w:r>
          </w:p>
        </w:tc>
      </w:tr>
      <w:tr w:rsidR="00F20BB0" w14:paraId="32D12D77" w14:textId="77777777">
        <w:trPr>
          <w:trHeight w:val="317"/>
          <w:jc w:val="center"/>
        </w:trPr>
        <w:tc>
          <w:tcPr>
            <w:tcW w:w="1802" w:type="pct"/>
            <w:tcBorders>
              <w:top w:val="nil"/>
              <w:left w:val="nil"/>
              <w:bottom w:val="nil"/>
              <w:right w:val="nil"/>
            </w:tcBorders>
            <w:shd w:val="clear" w:color="auto" w:fill="auto"/>
            <w:noWrap/>
            <w:vAlign w:val="bottom"/>
          </w:tcPr>
          <w:p w14:paraId="66EC4E3D"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N0</w:t>
            </w:r>
          </w:p>
        </w:tc>
        <w:tc>
          <w:tcPr>
            <w:tcW w:w="1465" w:type="pct"/>
            <w:tcBorders>
              <w:top w:val="nil"/>
              <w:left w:val="nil"/>
              <w:bottom w:val="nil"/>
              <w:right w:val="nil"/>
            </w:tcBorders>
            <w:shd w:val="clear" w:color="auto" w:fill="auto"/>
            <w:noWrap/>
            <w:vAlign w:val="bottom"/>
          </w:tcPr>
          <w:p w14:paraId="128270C6"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180 (54.4)</w:t>
            </w:r>
          </w:p>
        </w:tc>
        <w:tc>
          <w:tcPr>
            <w:tcW w:w="712" w:type="pct"/>
            <w:tcBorders>
              <w:top w:val="nil"/>
              <w:left w:val="nil"/>
              <w:bottom w:val="nil"/>
              <w:right w:val="nil"/>
            </w:tcBorders>
            <w:shd w:val="clear" w:color="auto" w:fill="auto"/>
            <w:noWrap/>
            <w:vAlign w:val="bottom"/>
          </w:tcPr>
          <w:p w14:paraId="312D240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230 (54.8)</w:t>
            </w:r>
          </w:p>
        </w:tc>
        <w:tc>
          <w:tcPr>
            <w:tcW w:w="1020" w:type="pct"/>
            <w:tcBorders>
              <w:top w:val="nil"/>
              <w:left w:val="nil"/>
              <w:bottom w:val="nil"/>
              <w:right w:val="nil"/>
            </w:tcBorders>
            <w:shd w:val="clear" w:color="auto" w:fill="auto"/>
            <w:noWrap/>
            <w:vAlign w:val="bottom"/>
          </w:tcPr>
          <w:p w14:paraId="2BCB56E4" w14:textId="77777777" w:rsidR="00F20BB0" w:rsidRDefault="00F20BB0">
            <w:pPr>
              <w:adjustRightInd w:val="0"/>
              <w:snapToGrid w:val="0"/>
              <w:spacing w:line="360" w:lineRule="auto"/>
              <w:jc w:val="both"/>
              <w:rPr>
                <w:rFonts w:ascii="Book Antiqua" w:hAnsi="Book Antiqua" w:cs="Arial"/>
                <w:color w:val="000000"/>
              </w:rPr>
            </w:pPr>
          </w:p>
        </w:tc>
      </w:tr>
      <w:tr w:rsidR="00F20BB0" w14:paraId="483A4ACA" w14:textId="77777777">
        <w:trPr>
          <w:trHeight w:val="317"/>
          <w:jc w:val="center"/>
        </w:trPr>
        <w:tc>
          <w:tcPr>
            <w:tcW w:w="1802" w:type="pct"/>
            <w:tcBorders>
              <w:top w:val="nil"/>
              <w:left w:val="nil"/>
              <w:bottom w:val="nil"/>
              <w:right w:val="nil"/>
            </w:tcBorders>
            <w:shd w:val="clear" w:color="auto" w:fill="auto"/>
            <w:noWrap/>
            <w:vAlign w:val="bottom"/>
          </w:tcPr>
          <w:p w14:paraId="1DC9F065"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N1</w:t>
            </w:r>
          </w:p>
        </w:tc>
        <w:tc>
          <w:tcPr>
            <w:tcW w:w="1465" w:type="pct"/>
            <w:tcBorders>
              <w:top w:val="nil"/>
              <w:left w:val="nil"/>
              <w:bottom w:val="nil"/>
              <w:right w:val="nil"/>
            </w:tcBorders>
            <w:shd w:val="clear" w:color="auto" w:fill="auto"/>
            <w:noWrap/>
            <w:vAlign w:val="bottom"/>
          </w:tcPr>
          <w:p w14:paraId="6718151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106 (32.0)</w:t>
            </w:r>
          </w:p>
        </w:tc>
        <w:tc>
          <w:tcPr>
            <w:tcW w:w="712" w:type="pct"/>
            <w:tcBorders>
              <w:top w:val="nil"/>
              <w:left w:val="nil"/>
              <w:bottom w:val="nil"/>
              <w:right w:val="nil"/>
            </w:tcBorders>
            <w:shd w:val="clear" w:color="auto" w:fill="auto"/>
            <w:noWrap/>
            <w:vAlign w:val="bottom"/>
          </w:tcPr>
          <w:p w14:paraId="21ED778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125 (29.8)</w:t>
            </w:r>
          </w:p>
        </w:tc>
        <w:tc>
          <w:tcPr>
            <w:tcW w:w="1020" w:type="pct"/>
            <w:tcBorders>
              <w:top w:val="nil"/>
              <w:left w:val="nil"/>
              <w:bottom w:val="nil"/>
              <w:right w:val="nil"/>
            </w:tcBorders>
            <w:shd w:val="clear" w:color="auto" w:fill="auto"/>
            <w:noWrap/>
            <w:vAlign w:val="bottom"/>
          </w:tcPr>
          <w:p w14:paraId="2E1073E1" w14:textId="77777777" w:rsidR="00F20BB0" w:rsidRDefault="00F20BB0">
            <w:pPr>
              <w:adjustRightInd w:val="0"/>
              <w:snapToGrid w:val="0"/>
              <w:spacing w:line="360" w:lineRule="auto"/>
              <w:jc w:val="both"/>
              <w:rPr>
                <w:rFonts w:ascii="Book Antiqua" w:hAnsi="Book Antiqua" w:cs="Arial"/>
                <w:color w:val="000000"/>
              </w:rPr>
            </w:pPr>
          </w:p>
        </w:tc>
      </w:tr>
      <w:tr w:rsidR="00F20BB0" w14:paraId="41CAF920" w14:textId="77777777">
        <w:trPr>
          <w:trHeight w:val="317"/>
          <w:jc w:val="center"/>
        </w:trPr>
        <w:tc>
          <w:tcPr>
            <w:tcW w:w="1802" w:type="pct"/>
            <w:tcBorders>
              <w:top w:val="nil"/>
              <w:left w:val="nil"/>
              <w:bottom w:val="nil"/>
              <w:right w:val="nil"/>
            </w:tcBorders>
            <w:shd w:val="clear" w:color="auto" w:fill="auto"/>
            <w:noWrap/>
            <w:vAlign w:val="bottom"/>
          </w:tcPr>
          <w:p w14:paraId="7F540F3B"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N2</w:t>
            </w:r>
          </w:p>
        </w:tc>
        <w:tc>
          <w:tcPr>
            <w:tcW w:w="1465" w:type="pct"/>
            <w:tcBorders>
              <w:top w:val="nil"/>
              <w:left w:val="nil"/>
              <w:bottom w:val="nil"/>
              <w:right w:val="nil"/>
            </w:tcBorders>
            <w:shd w:val="clear" w:color="auto" w:fill="auto"/>
            <w:noWrap/>
            <w:vAlign w:val="bottom"/>
          </w:tcPr>
          <w:p w14:paraId="56D9413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45 (13.6)</w:t>
            </w:r>
          </w:p>
        </w:tc>
        <w:tc>
          <w:tcPr>
            <w:tcW w:w="712" w:type="pct"/>
            <w:tcBorders>
              <w:top w:val="nil"/>
              <w:left w:val="nil"/>
              <w:bottom w:val="nil"/>
              <w:right w:val="nil"/>
            </w:tcBorders>
            <w:shd w:val="clear" w:color="auto" w:fill="auto"/>
            <w:noWrap/>
            <w:vAlign w:val="bottom"/>
          </w:tcPr>
          <w:p w14:paraId="67A6F14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65 (15.4)</w:t>
            </w:r>
          </w:p>
        </w:tc>
        <w:tc>
          <w:tcPr>
            <w:tcW w:w="1020" w:type="pct"/>
            <w:tcBorders>
              <w:top w:val="nil"/>
              <w:left w:val="nil"/>
              <w:bottom w:val="nil"/>
              <w:right w:val="nil"/>
            </w:tcBorders>
            <w:shd w:val="clear" w:color="auto" w:fill="auto"/>
            <w:noWrap/>
            <w:vAlign w:val="bottom"/>
          </w:tcPr>
          <w:p w14:paraId="0A823F81" w14:textId="77777777" w:rsidR="00F20BB0" w:rsidRDefault="00F20BB0">
            <w:pPr>
              <w:adjustRightInd w:val="0"/>
              <w:snapToGrid w:val="0"/>
              <w:spacing w:line="360" w:lineRule="auto"/>
              <w:jc w:val="both"/>
              <w:rPr>
                <w:rFonts w:ascii="Book Antiqua" w:hAnsi="Book Antiqua" w:cs="Arial"/>
                <w:color w:val="000000"/>
              </w:rPr>
            </w:pPr>
          </w:p>
        </w:tc>
      </w:tr>
      <w:tr w:rsidR="00F20BB0" w14:paraId="60ADCF55" w14:textId="77777777">
        <w:trPr>
          <w:trHeight w:val="317"/>
          <w:jc w:val="center"/>
        </w:trPr>
        <w:tc>
          <w:tcPr>
            <w:tcW w:w="1802" w:type="pct"/>
            <w:tcBorders>
              <w:top w:val="nil"/>
              <w:left w:val="nil"/>
              <w:bottom w:val="nil"/>
              <w:right w:val="nil"/>
            </w:tcBorders>
            <w:shd w:val="clear" w:color="auto" w:fill="auto"/>
            <w:noWrap/>
            <w:vAlign w:val="bottom"/>
          </w:tcPr>
          <w:p w14:paraId="22C4227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Vascular invasion</w:t>
            </w:r>
          </w:p>
        </w:tc>
        <w:tc>
          <w:tcPr>
            <w:tcW w:w="1465" w:type="pct"/>
            <w:tcBorders>
              <w:top w:val="nil"/>
              <w:left w:val="nil"/>
              <w:bottom w:val="nil"/>
              <w:right w:val="nil"/>
            </w:tcBorders>
            <w:shd w:val="clear" w:color="auto" w:fill="auto"/>
            <w:noWrap/>
            <w:vAlign w:val="bottom"/>
          </w:tcPr>
          <w:p w14:paraId="596BAB10" w14:textId="77777777" w:rsidR="00F20BB0" w:rsidRDefault="00F20BB0">
            <w:pPr>
              <w:adjustRightInd w:val="0"/>
              <w:snapToGrid w:val="0"/>
              <w:spacing w:line="360" w:lineRule="auto"/>
              <w:jc w:val="both"/>
              <w:rPr>
                <w:rFonts w:ascii="Book Antiqua" w:hAnsi="Book Antiqua" w:cs="Arial"/>
                <w:color w:val="000000"/>
              </w:rPr>
            </w:pPr>
          </w:p>
        </w:tc>
        <w:tc>
          <w:tcPr>
            <w:tcW w:w="712" w:type="pct"/>
            <w:tcBorders>
              <w:top w:val="nil"/>
              <w:left w:val="nil"/>
              <w:bottom w:val="nil"/>
              <w:right w:val="nil"/>
            </w:tcBorders>
            <w:shd w:val="clear" w:color="auto" w:fill="auto"/>
            <w:noWrap/>
            <w:vAlign w:val="bottom"/>
          </w:tcPr>
          <w:p w14:paraId="128E719D" w14:textId="77777777" w:rsidR="00F20BB0" w:rsidRDefault="00F20BB0">
            <w:pPr>
              <w:adjustRightInd w:val="0"/>
              <w:snapToGrid w:val="0"/>
              <w:spacing w:line="360" w:lineRule="auto"/>
              <w:jc w:val="both"/>
              <w:rPr>
                <w:rFonts w:ascii="Book Antiqua" w:hAnsi="Book Antiqua" w:cs="Arial"/>
              </w:rPr>
            </w:pPr>
          </w:p>
        </w:tc>
        <w:tc>
          <w:tcPr>
            <w:tcW w:w="1020" w:type="pct"/>
            <w:tcBorders>
              <w:top w:val="nil"/>
              <w:left w:val="nil"/>
              <w:bottom w:val="nil"/>
              <w:right w:val="nil"/>
            </w:tcBorders>
            <w:shd w:val="clear" w:color="auto" w:fill="auto"/>
            <w:noWrap/>
            <w:vAlign w:val="bottom"/>
          </w:tcPr>
          <w:p w14:paraId="7DA93D9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0.710</w:t>
            </w:r>
          </w:p>
        </w:tc>
      </w:tr>
      <w:tr w:rsidR="00F20BB0" w14:paraId="0FD43F86" w14:textId="77777777">
        <w:trPr>
          <w:trHeight w:val="317"/>
          <w:jc w:val="center"/>
        </w:trPr>
        <w:tc>
          <w:tcPr>
            <w:tcW w:w="1802" w:type="pct"/>
            <w:tcBorders>
              <w:top w:val="nil"/>
              <w:left w:val="nil"/>
              <w:bottom w:val="nil"/>
              <w:right w:val="nil"/>
            </w:tcBorders>
            <w:shd w:val="clear" w:color="auto" w:fill="auto"/>
            <w:noWrap/>
            <w:vAlign w:val="bottom"/>
          </w:tcPr>
          <w:p w14:paraId="06F7D02A"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No</w:t>
            </w:r>
          </w:p>
        </w:tc>
        <w:tc>
          <w:tcPr>
            <w:tcW w:w="1465" w:type="pct"/>
            <w:tcBorders>
              <w:top w:val="nil"/>
              <w:left w:val="nil"/>
              <w:bottom w:val="nil"/>
              <w:right w:val="nil"/>
            </w:tcBorders>
            <w:shd w:val="clear" w:color="auto" w:fill="auto"/>
            <w:noWrap/>
            <w:vAlign w:val="bottom"/>
          </w:tcPr>
          <w:p w14:paraId="6BF99E6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287 (86.7)</w:t>
            </w:r>
          </w:p>
        </w:tc>
        <w:tc>
          <w:tcPr>
            <w:tcW w:w="712" w:type="pct"/>
            <w:tcBorders>
              <w:top w:val="nil"/>
              <w:left w:val="nil"/>
              <w:bottom w:val="nil"/>
              <w:right w:val="nil"/>
            </w:tcBorders>
            <w:shd w:val="clear" w:color="auto" w:fill="auto"/>
            <w:noWrap/>
            <w:vAlign w:val="bottom"/>
          </w:tcPr>
          <w:p w14:paraId="623E58F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368 (87.6)</w:t>
            </w:r>
          </w:p>
        </w:tc>
        <w:tc>
          <w:tcPr>
            <w:tcW w:w="1020" w:type="pct"/>
            <w:tcBorders>
              <w:top w:val="nil"/>
              <w:left w:val="nil"/>
              <w:bottom w:val="nil"/>
              <w:right w:val="nil"/>
            </w:tcBorders>
            <w:shd w:val="clear" w:color="auto" w:fill="auto"/>
            <w:noWrap/>
            <w:vAlign w:val="bottom"/>
          </w:tcPr>
          <w:p w14:paraId="0CE6DDB6" w14:textId="77777777" w:rsidR="00F20BB0" w:rsidRDefault="00F20BB0">
            <w:pPr>
              <w:adjustRightInd w:val="0"/>
              <w:snapToGrid w:val="0"/>
              <w:spacing w:line="360" w:lineRule="auto"/>
              <w:jc w:val="both"/>
              <w:rPr>
                <w:rFonts w:ascii="Book Antiqua" w:hAnsi="Book Antiqua" w:cs="Arial"/>
                <w:color w:val="000000"/>
              </w:rPr>
            </w:pPr>
          </w:p>
        </w:tc>
      </w:tr>
      <w:tr w:rsidR="00F20BB0" w14:paraId="28B76482" w14:textId="77777777">
        <w:trPr>
          <w:trHeight w:val="317"/>
          <w:jc w:val="center"/>
        </w:trPr>
        <w:tc>
          <w:tcPr>
            <w:tcW w:w="1802" w:type="pct"/>
            <w:tcBorders>
              <w:top w:val="nil"/>
              <w:left w:val="nil"/>
              <w:bottom w:val="nil"/>
              <w:right w:val="nil"/>
            </w:tcBorders>
            <w:shd w:val="clear" w:color="auto" w:fill="auto"/>
            <w:noWrap/>
            <w:vAlign w:val="bottom"/>
          </w:tcPr>
          <w:p w14:paraId="5C95B831"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Yes</w:t>
            </w:r>
          </w:p>
        </w:tc>
        <w:tc>
          <w:tcPr>
            <w:tcW w:w="1465" w:type="pct"/>
            <w:tcBorders>
              <w:top w:val="nil"/>
              <w:left w:val="nil"/>
              <w:bottom w:val="nil"/>
              <w:right w:val="nil"/>
            </w:tcBorders>
            <w:shd w:val="clear" w:color="auto" w:fill="auto"/>
            <w:noWrap/>
            <w:vAlign w:val="bottom"/>
          </w:tcPr>
          <w:p w14:paraId="76C818B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44 (13.3)</w:t>
            </w:r>
          </w:p>
        </w:tc>
        <w:tc>
          <w:tcPr>
            <w:tcW w:w="712" w:type="pct"/>
            <w:tcBorders>
              <w:top w:val="nil"/>
              <w:left w:val="nil"/>
              <w:bottom w:val="nil"/>
              <w:right w:val="nil"/>
            </w:tcBorders>
            <w:shd w:val="clear" w:color="auto" w:fill="auto"/>
            <w:noWrap/>
            <w:vAlign w:val="bottom"/>
          </w:tcPr>
          <w:p w14:paraId="7568704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52 (12.4)</w:t>
            </w:r>
          </w:p>
        </w:tc>
        <w:tc>
          <w:tcPr>
            <w:tcW w:w="1020" w:type="pct"/>
            <w:tcBorders>
              <w:top w:val="nil"/>
              <w:left w:val="nil"/>
              <w:bottom w:val="nil"/>
              <w:right w:val="nil"/>
            </w:tcBorders>
            <w:shd w:val="clear" w:color="auto" w:fill="auto"/>
            <w:noWrap/>
            <w:vAlign w:val="bottom"/>
          </w:tcPr>
          <w:p w14:paraId="42A756BD" w14:textId="77777777" w:rsidR="00F20BB0" w:rsidRDefault="00F20BB0">
            <w:pPr>
              <w:adjustRightInd w:val="0"/>
              <w:snapToGrid w:val="0"/>
              <w:spacing w:line="360" w:lineRule="auto"/>
              <w:jc w:val="both"/>
              <w:rPr>
                <w:rFonts w:ascii="Book Antiqua" w:hAnsi="Book Antiqua" w:cs="Arial"/>
                <w:color w:val="000000"/>
              </w:rPr>
            </w:pPr>
          </w:p>
        </w:tc>
      </w:tr>
      <w:tr w:rsidR="00F20BB0" w14:paraId="046AA4FE" w14:textId="77777777">
        <w:trPr>
          <w:trHeight w:val="317"/>
          <w:jc w:val="center"/>
        </w:trPr>
        <w:tc>
          <w:tcPr>
            <w:tcW w:w="1802" w:type="pct"/>
            <w:tcBorders>
              <w:top w:val="nil"/>
              <w:left w:val="nil"/>
              <w:bottom w:val="nil"/>
              <w:right w:val="nil"/>
            </w:tcBorders>
            <w:shd w:val="clear" w:color="auto" w:fill="auto"/>
            <w:noWrap/>
            <w:vAlign w:val="bottom"/>
          </w:tcPr>
          <w:p w14:paraId="1E978C85"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Nerve invasion</w:t>
            </w:r>
          </w:p>
        </w:tc>
        <w:tc>
          <w:tcPr>
            <w:tcW w:w="1465" w:type="pct"/>
            <w:tcBorders>
              <w:top w:val="nil"/>
              <w:left w:val="nil"/>
              <w:bottom w:val="nil"/>
              <w:right w:val="nil"/>
            </w:tcBorders>
            <w:shd w:val="clear" w:color="auto" w:fill="auto"/>
            <w:noWrap/>
            <w:vAlign w:val="bottom"/>
          </w:tcPr>
          <w:p w14:paraId="36F6941F" w14:textId="77777777" w:rsidR="00F20BB0" w:rsidRDefault="00F20BB0">
            <w:pPr>
              <w:adjustRightInd w:val="0"/>
              <w:snapToGrid w:val="0"/>
              <w:spacing w:line="360" w:lineRule="auto"/>
              <w:jc w:val="both"/>
              <w:rPr>
                <w:rFonts w:ascii="Book Antiqua" w:hAnsi="Book Antiqua" w:cs="Arial"/>
                <w:color w:val="000000"/>
              </w:rPr>
            </w:pPr>
          </w:p>
        </w:tc>
        <w:tc>
          <w:tcPr>
            <w:tcW w:w="712" w:type="pct"/>
            <w:tcBorders>
              <w:top w:val="nil"/>
              <w:left w:val="nil"/>
              <w:bottom w:val="nil"/>
              <w:right w:val="nil"/>
            </w:tcBorders>
            <w:shd w:val="clear" w:color="auto" w:fill="auto"/>
            <w:noWrap/>
            <w:vAlign w:val="bottom"/>
          </w:tcPr>
          <w:p w14:paraId="2C9D3FE1" w14:textId="77777777" w:rsidR="00F20BB0" w:rsidRDefault="00F20BB0">
            <w:pPr>
              <w:adjustRightInd w:val="0"/>
              <w:snapToGrid w:val="0"/>
              <w:spacing w:line="360" w:lineRule="auto"/>
              <w:jc w:val="both"/>
              <w:rPr>
                <w:rFonts w:ascii="Book Antiqua" w:hAnsi="Book Antiqua" w:cs="Arial"/>
              </w:rPr>
            </w:pPr>
          </w:p>
        </w:tc>
        <w:tc>
          <w:tcPr>
            <w:tcW w:w="1020" w:type="pct"/>
            <w:tcBorders>
              <w:top w:val="nil"/>
              <w:left w:val="nil"/>
              <w:bottom w:val="nil"/>
              <w:right w:val="nil"/>
            </w:tcBorders>
            <w:shd w:val="clear" w:color="auto" w:fill="auto"/>
            <w:noWrap/>
            <w:vAlign w:val="bottom"/>
          </w:tcPr>
          <w:p w14:paraId="27A873A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0.638</w:t>
            </w:r>
          </w:p>
        </w:tc>
      </w:tr>
      <w:tr w:rsidR="00F20BB0" w14:paraId="25E9A8D9" w14:textId="77777777">
        <w:trPr>
          <w:trHeight w:val="317"/>
          <w:jc w:val="center"/>
        </w:trPr>
        <w:tc>
          <w:tcPr>
            <w:tcW w:w="1802" w:type="pct"/>
            <w:tcBorders>
              <w:top w:val="nil"/>
              <w:left w:val="nil"/>
              <w:bottom w:val="nil"/>
              <w:right w:val="nil"/>
            </w:tcBorders>
            <w:shd w:val="clear" w:color="auto" w:fill="auto"/>
            <w:noWrap/>
            <w:vAlign w:val="bottom"/>
          </w:tcPr>
          <w:p w14:paraId="0A486265"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No</w:t>
            </w:r>
          </w:p>
        </w:tc>
        <w:tc>
          <w:tcPr>
            <w:tcW w:w="1465" w:type="pct"/>
            <w:tcBorders>
              <w:top w:val="nil"/>
              <w:left w:val="nil"/>
              <w:bottom w:val="nil"/>
              <w:right w:val="nil"/>
            </w:tcBorders>
            <w:shd w:val="clear" w:color="auto" w:fill="auto"/>
            <w:noWrap/>
            <w:vAlign w:val="bottom"/>
          </w:tcPr>
          <w:p w14:paraId="15F3600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308 (93.1)</w:t>
            </w:r>
          </w:p>
        </w:tc>
        <w:tc>
          <w:tcPr>
            <w:tcW w:w="712" w:type="pct"/>
            <w:tcBorders>
              <w:top w:val="nil"/>
              <w:left w:val="nil"/>
              <w:bottom w:val="nil"/>
              <w:right w:val="nil"/>
            </w:tcBorders>
            <w:shd w:val="clear" w:color="auto" w:fill="auto"/>
            <w:noWrap/>
            <w:vAlign w:val="bottom"/>
          </w:tcPr>
          <w:p w14:paraId="34B8EF1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387 (92.1)</w:t>
            </w:r>
          </w:p>
        </w:tc>
        <w:tc>
          <w:tcPr>
            <w:tcW w:w="1020" w:type="pct"/>
            <w:tcBorders>
              <w:top w:val="nil"/>
              <w:left w:val="nil"/>
              <w:bottom w:val="nil"/>
              <w:right w:val="nil"/>
            </w:tcBorders>
            <w:shd w:val="clear" w:color="auto" w:fill="auto"/>
            <w:noWrap/>
            <w:vAlign w:val="bottom"/>
          </w:tcPr>
          <w:p w14:paraId="35B96F25" w14:textId="77777777" w:rsidR="00F20BB0" w:rsidRDefault="00F20BB0">
            <w:pPr>
              <w:adjustRightInd w:val="0"/>
              <w:snapToGrid w:val="0"/>
              <w:spacing w:line="360" w:lineRule="auto"/>
              <w:jc w:val="both"/>
              <w:rPr>
                <w:rFonts w:ascii="Book Antiqua" w:hAnsi="Book Antiqua" w:cs="Arial"/>
                <w:color w:val="000000"/>
              </w:rPr>
            </w:pPr>
          </w:p>
        </w:tc>
      </w:tr>
      <w:tr w:rsidR="00F20BB0" w14:paraId="60B698EF" w14:textId="77777777">
        <w:trPr>
          <w:trHeight w:val="317"/>
          <w:jc w:val="center"/>
        </w:trPr>
        <w:tc>
          <w:tcPr>
            <w:tcW w:w="1802" w:type="pct"/>
            <w:tcBorders>
              <w:top w:val="nil"/>
              <w:left w:val="nil"/>
              <w:bottom w:val="nil"/>
              <w:right w:val="nil"/>
            </w:tcBorders>
            <w:shd w:val="clear" w:color="auto" w:fill="auto"/>
            <w:noWrap/>
            <w:vAlign w:val="bottom"/>
          </w:tcPr>
          <w:p w14:paraId="0FFF4E79"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Yes</w:t>
            </w:r>
          </w:p>
        </w:tc>
        <w:tc>
          <w:tcPr>
            <w:tcW w:w="1465" w:type="pct"/>
            <w:tcBorders>
              <w:top w:val="nil"/>
              <w:left w:val="nil"/>
              <w:bottom w:val="nil"/>
              <w:right w:val="nil"/>
            </w:tcBorders>
            <w:shd w:val="clear" w:color="auto" w:fill="auto"/>
            <w:noWrap/>
            <w:vAlign w:val="bottom"/>
          </w:tcPr>
          <w:p w14:paraId="50722FE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23 (6.9)</w:t>
            </w:r>
          </w:p>
        </w:tc>
        <w:tc>
          <w:tcPr>
            <w:tcW w:w="712" w:type="pct"/>
            <w:tcBorders>
              <w:top w:val="nil"/>
              <w:left w:val="nil"/>
              <w:bottom w:val="nil"/>
              <w:right w:val="nil"/>
            </w:tcBorders>
            <w:shd w:val="clear" w:color="auto" w:fill="auto"/>
            <w:noWrap/>
            <w:vAlign w:val="bottom"/>
          </w:tcPr>
          <w:p w14:paraId="47A58B3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33 (7.9)</w:t>
            </w:r>
          </w:p>
        </w:tc>
        <w:tc>
          <w:tcPr>
            <w:tcW w:w="1020" w:type="pct"/>
            <w:tcBorders>
              <w:top w:val="nil"/>
              <w:left w:val="nil"/>
              <w:bottom w:val="nil"/>
              <w:right w:val="nil"/>
            </w:tcBorders>
            <w:shd w:val="clear" w:color="auto" w:fill="auto"/>
            <w:noWrap/>
            <w:vAlign w:val="bottom"/>
          </w:tcPr>
          <w:p w14:paraId="34DB6B78" w14:textId="77777777" w:rsidR="00F20BB0" w:rsidRDefault="00F20BB0">
            <w:pPr>
              <w:adjustRightInd w:val="0"/>
              <w:snapToGrid w:val="0"/>
              <w:spacing w:line="360" w:lineRule="auto"/>
              <w:jc w:val="both"/>
              <w:rPr>
                <w:rFonts w:ascii="Book Antiqua" w:hAnsi="Book Antiqua" w:cs="Arial"/>
                <w:color w:val="000000"/>
              </w:rPr>
            </w:pPr>
          </w:p>
        </w:tc>
      </w:tr>
      <w:tr w:rsidR="00F20BB0" w14:paraId="1ADA991B" w14:textId="77777777">
        <w:trPr>
          <w:trHeight w:val="317"/>
          <w:jc w:val="center"/>
        </w:trPr>
        <w:tc>
          <w:tcPr>
            <w:tcW w:w="1802" w:type="pct"/>
            <w:tcBorders>
              <w:top w:val="nil"/>
              <w:left w:val="nil"/>
              <w:bottom w:val="nil"/>
              <w:right w:val="nil"/>
            </w:tcBorders>
            <w:shd w:val="clear" w:color="auto" w:fill="auto"/>
            <w:noWrap/>
            <w:vAlign w:val="bottom"/>
          </w:tcPr>
          <w:p w14:paraId="5815E775"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M stage</w:t>
            </w:r>
          </w:p>
        </w:tc>
        <w:tc>
          <w:tcPr>
            <w:tcW w:w="1465" w:type="pct"/>
            <w:tcBorders>
              <w:top w:val="nil"/>
              <w:left w:val="nil"/>
              <w:bottom w:val="nil"/>
              <w:right w:val="nil"/>
            </w:tcBorders>
            <w:shd w:val="clear" w:color="auto" w:fill="auto"/>
            <w:noWrap/>
            <w:vAlign w:val="bottom"/>
          </w:tcPr>
          <w:p w14:paraId="5B5D5D27" w14:textId="77777777" w:rsidR="00F20BB0" w:rsidRDefault="00F20BB0">
            <w:pPr>
              <w:adjustRightInd w:val="0"/>
              <w:snapToGrid w:val="0"/>
              <w:spacing w:line="360" w:lineRule="auto"/>
              <w:jc w:val="both"/>
              <w:rPr>
                <w:rFonts w:ascii="Book Antiqua" w:hAnsi="Book Antiqua" w:cs="Arial"/>
                <w:color w:val="000000"/>
              </w:rPr>
            </w:pPr>
          </w:p>
        </w:tc>
        <w:tc>
          <w:tcPr>
            <w:tcW w:w="712" w:type="pct"/>
            <w:tcBorders>
              <w:top w:val="nil"/>
              <w:left w:val="nil"/>
              <w:bottom w:val="nil"/>
              <w:right w:val="nil"/>
            </w:tcBorders>
            <w:shd w:val="clear" w:color="auto" w:fill="auto"/>
            <w:noWrap/>
            <w:vAlign w:val="bottom"/>
          </w:tcPr>
          <w:p w14:paraId="27CB7F5B" w14:textId="77777777" w:rsidR="00F20BB0" w:rsidRDefault="00F20BB0">
            <w:pPr>
              <w:adjustRightInd w:val="0"/>
              <w:snapToGrid w:val="0"/>
              <w:spacing w:line="360" w:lineRule="auto"/>
              <w:jc w:val="both"/>
              <w:rPr>
                <w:rFonts w:ascii="Book Antiqua" w:hAnsi="Book Antiqua" w:cs="Arial"/>
              </w:rPr>
            </w:pPr>
          </w:p>
        </w:tc>
        <w:tc>
          <w:tcPr>
            <w:tcW w:w="1020" w:type="pct"/>
            <w:tcBorders>
              <w:top w:val="nil"/>
              <w:left w:val="nil"/>
              <w:bottom w:val="nil"/>
              <w:right w:val="nil"/>
            </w:tcBorders>
            <w:shd w:val="clear" w:color="auto" w:fill="auto"/>
            <w:noWrap/>
            <w:vAlign w:val="bottom"/>
          </w:tcPr>
          <w:p w14:paraId="44E185E6"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0.048</w:t>
            </w:r>
          </w:p>
        </w:tc>
      </w:tr>
      <w:tr w:rsidR="00F20BB0" w14:paraId="3D24101C" w14:textId="77777777">
        <w:trPr>
          <w:trHeight w:val="317"/>
          <w:jc w:val="center"/>
        </w:trPr>
        <w:tc>
          <w:tcPr>
            <w:tcW w:w="1802" w:type="pct"/>
            <w:tcBorders>
              <w:top w:val="nil"/>
              <w:left w:val="nil"/>
              <w:bottom w:val="nil"/>
              <w:right w:val="nil"/>
            </w:tcBorders>
            <w:shd w:val="clear" w:color="auto" w:fill="auto"/>
            <w:noWrap/>
            <w:vAlign w:val="bottom"/>
          </w:tcPr>
          <w:p w14:paraId="4F305E66"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M0</w:t>
            </w:r>
          </w:p>
        </w:tc>
        <w:tc>
          <w:tcPr>
            <w:tcW w:w="1465" w:type="pct"/>
            <w:tcBorders>
              <w:top w:val="nil"/>
              <w:left w:val="nil"/>
              <w:bottom w:val="nil"/>
              <w:right w:val="nil"/>
            </w:tcBorders>
            <w:shd w:val="clear" w:color="auto" w:fill="auto"/>
            <w:noWrap/>
            <w:vAlign w:val="bottom"/>
          </w:tcPr>
          <w:p w14:paraId="0DA254B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256 (77.3)</w:t>
            </w:r>
          </w:p>
        </w:tc>
        <w:tc>
          <w:tcPr>
            <w:tcW w:w="712" w:type="pct"/>
            <w:tcBorders>
              <w:top w:val="nil"/>
              <w:left w:val="nil"/>
              <w:bottom w:val="nil"/>
              <w:right w:val="nil"/>
            </w:tcBorders>
            <w:shd w:val="clear" w:color="auto" w:fill="auto"/>
            <w:noWrap/>
            <w:vAlign w:val="bottom"/>
          </w:tcPr>
          <w:p w14:paraId="2799766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298 (71.0)</w:t>
            </w:r>
          </w:p>
        </w:tc>
        <w:tc>
          <w:tcPr>
            <w:tcW w:w="1020" w:type="pct"/>
            <w:tcBorders>
              <w:top w:val="nil"/>
              <w:left w:val="nil"/>
              <w:bottom w:val="nil"/>
              <w:right w:val="nil"/>
            </w:tcBorders>
            <w:shd w:val="clear" w:color="auto" w:fill="auto"/>
            <w:noWrap/>
            <w:vAlign w:val="bottom"/>
          </w:tcPr>
          <w:p w14:paraId="45613466" w14:textId="77777777" w:rsidR="00F20BB0" w:rsidRDefault="00F20BB0">
            <w:pPr>
              <w:adjustRightInd w:val="0"/>
              <w:snapToGrid w:val="0"/>
              <w:spacing w:line="360" w:lineRule="auto"/>
              <w:jc w:val="both"/>
              <w:rPr>
                <w:rFonts w:ascii="Book Antiqua" w:hAnsi="Book Antiqua" w:cs="Arial"/>
                <w:color w:val="000000"/>
              </w:rPr>
            </w:pPr>
          </w:p>
        </w:tc>
      </w:tr>
      <w:tr w:rsidR="00F20BB0" w14:paraId="0A8EA881" w14:textId="77777777">
        <w:trPr>
          <w:trHeight w:val="337"/>
          <w:jc w:val="center"/>
        </w:trPr>
        <w:tc>
          <w:tcPr>
            <w:tcW w:w="1802" w:type="pct"/>
            <w:tcBorders>
              <w:top w:val="nil"/>
              <w:left w:val="nil"/>
              <w:bottom w:val="single" w:sz="4" w:space="0" w:color="auto"/>
              <w:right w:val="nil"/>
            </w:tcBorders>
            <w:shd w:val="clear" w:color="auto" w:fill="auto"/>
            <w:noWrap/>
            <w:vAlign w:val="bottom"/>
          </w:tcPr>
          <w:p w14:paraId="2B8AE0F5"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M1</w:t>
            </w:r>
          </w:p>
        </w:tc>
        <w:tc>
          <w:tcPr>
            <w:tcW w:w="1465" w:type="pct"/>
            <w:tcBorders>
              <w:top w:val="nil"/>
              <w:left w:val="nil"/>
              <w:bottom w:val="single" w:sz="4" w:space="0" w:color="auto"/>
              <w:right w:val="nil"/>
            </w:tcBorders>
            <w:shd w:val="clear" w:color="auto" w:fill="auto"/>
            <w:noWrap/>
            <w:vAlign w:val="bottom"/>
          </w:tcPr>
          <w:p w14:paraId="09E4E83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75 (22.7)</w:t>
            </w:r>
          </w:p>
        </w:tc>
        <w:tc>
          <w:tcPr>
            <w:tcW w:w="712" w:type="pct"/>
            <w:tcBorders>
              <w:top w:val="nil"/>
              <w:left w:val="nil"/>
              <w:bottom w:val="single" w:sz="4" w:space="0" w:color="auto"/>
              <w:right w:val="nil"/>
            </w:tcBorders>
            <w:shd w:val="clear" w:color="auto" w:fill="auto"/>
            <w:noWrap/>
            <w:vAlign w:val="bottom"/>
          </w:tcPr>
          <w:p w14:paraId="2DADCF0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122 (29.0)</w:t>
            </w:r>
          </w:p>
        </w:tc>
        <w:tc>
          <w:tcPr>
            <w:tcW w:w="1020" w:type="pct"/>
            <w:tcBorders>
              <w:top w:val="nil"/>
              <w:left w:val="nil"/>
              <w:bottom w:val="single" w:sz="4" w:space="0" w:color="auto"/>
              <w:right w:val="nil"/>
            </w:tcBorders>
            <w:shd w:val="clear" w:color="auto" w:fill="auto"/>
            <w:noWrap/>
            <w:vAlign w:val="bottom"/>
          </w:tcPr>
          <w:p w14:paraId="7FEB8D0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 xml:space="preserve"> </w:t>
            </w:r>
          </w:p>
        </w:tc>
      </w:tr>
    </w:tbl>
    <w:p w14:paraId="1DE317AF" w14:textId="77777777" w:rsidR="00F20BB0" w:rsidRDefault="00000000">
      <w:pPr>
        <w:adjustRightInd w:val="0"/>
        <w:snapToGrid w:val="0"/>
        <w:spacing w:line="360" w:lineRule="auto"/>
        <w:jc w:val="both"/>
        <w:rPr>
          <w:rFonts w:ascii="Book Antiqua" w:hAnsi="Book Antiqua" w:cs="Arial"/>
        </w:rPr>
      </w:pPr>
      <w:r>
        <w:rPr>
          <w:rFonts w:ascii="Book Antiqua" w:hAnsi="Book Antiqua" w:cs="Arial"/>
        </w:rPr>
        <w:t xml:space="preserve">CA199: Carbohydrate antigen 19-9; CEA: Carcinoembryonic antigen; </w:t>
      </w:r>
      <w:r>
        <w:rPr>
          <w:rFonts w:ascii="Book Antiqua" w:eastAsia="Book Antiqua" w:hAnsi="Book Antiqua" w:cs="Book Antiqua"/>
          <w:color w:val="000000"/>
        </w:rPr>
        <w:t xml:space="preserve">PNPLA8: Patatin like phospholipase domain containing 8; </w:t>
      </w:r>
      <w:r>
        <w:rPr>
          <w:rFonts w:ascii="Book Antiqua" w:hAnsi="Book Antiqua" w:cs="Arial"/>
        </w:rPr>
        <w:t>M: Presence of metastasis; N: Extent of tumor spread to the lymph nodes; T: Extent of the tumor (the size of the tumor and any spread of tumor into nearby tissue).</w:t>
      </w:r>
    </w:p>
    <w:p w14:paraId="2C105E9B" w14:textId="77777777" w:rsidR="00F20BB0" w:rsidRDefault="00000000">
      <w:pPr>
        <w:adjustRightInd w:val="0"/>
        <w:snapToGrid w:val="0"/>
        <w:spacing w:line="360" w:lineRule="auto"/>
        <w:jc w:val="both"/>
        <w:rPr>
          <w:rFonts w:ascii="Book Antiqua" w:hAnsi="Book Antiqua" w:cs="Arial"/>
        </w:rPr>
      </w:pPr>
      <w:r>
        <w:rPr>
          <w:rFonts w:ascii="Book Antiqua" w:hAnsi="Book Antiqua" w:cs="Arial"/>
        </w:rPr>
        <w:br w:type="page"/>
      </w:r>
      <w:r>
        <w:rPr>
          <w:rFonts w:ascii="Book Antiqua" w:hAnsi="Book Antiqua" w:cs="Arial"/>
          <w:b/>
          <w:bCs/>
        </w:rPr>
        <w:lastRenderedPageBreak/>
        <w:t>Table 3 Cox regression analyses for overall survival of colorectal cancer patients in this study</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136"/>
        <w:gridCol w:w="1037"/>
        <w:gridCol w:w="2136"/>
        <w:gridCol w:w="1037"/>
      </w:tblGrid>
      <w:tr w:rsidR="00F20BB0" w14:paraId="4A3A18E3" w14:textId="77777777">
        <w:trPr>
          <w:trHeight w:val="339"/>
        </w:trPr>
        <w:tc>
          <w:tcPr>
            <w:tcW w:w="1513" w:type="pct"/>
            <w:vMerge w:val="restart"/>
            <w:tcBorders>
              <w:top w:val="single" w:sz="4" w:space="0" w:color="auto"/>
              <w:left w:val="nil"/>
              <w:bottom w:val="single" w:sz="4" w:space="0" w:color="auto"/>
              <w:right w:val="nil"/>
            </w:tcBorders>
            <w:shd w:val="clear" w:color="auto" w:fill="auto"/>
            <w:noWrap/>
            <w:vAlign w:val="bottom"/>
          </w:tcPr>
          <w:p w14:paraId="0B0A2579" w14:textId="77777777" w:rsidR="00F20BB0" w:rsidRDefault="00000000">
            <w:pPr>
              <w:adjustRightInd w:val="0"/>
              <w:snapToGrid w:val="0"/>
              <w:spacing w:line="360" w:lineRule="auto"/>
              <w:jc w:val="both"/>
              <w:rPr>
                <w:rFonts w:ascii="Book Antiqua" w:hAnsi="Book Antiqua" w:cs="Arial"/>
                <w:b/>
                <w:bCs/>
                <w:color w:val="000000"/>
              </w:rPr>
            </w:pPr>
            <w:r>
              <w:rPr>
                <w:rFonts w:ascii="Book Antiqua" w:hAnsi="Book Antiqua" w:cs="Arial"/>
                <w:b/>
                <w:bCs/>
                <w:color w:val="000000"/>
              </w:rPr>
              <w:t>Variates</w:t>
            </w:r>
          </w:p>
        </w:tc>
        <w:tc>
          <w:tcPr>
            <w:tcW w:w="3487" w:type="pct"/>
            <w:gridSpan w:val="4"/>
            <w:tcBorders>
              <w:top w:val="single" w:sz="4" w:space="0" w:color="auto"/>
              <w:left w:val="nil"/>
              <w:bottom w:val="single" w:sz="4" w:space="0" w:color="auto"/>
              <w:right w:val="nil"/>
            </w:tcBorders>
            <w:shd w:val="clear" w:color="auto" w:fill="auto"/>
            <w:noWrap/>
            <w:vAlign w:val="bottom"/>
          </w:tcPr>
          <w:p w14:paraId="1F4C392C" w14:textId="77777777" w:rsidR="00F20BB0" w:rsidRDefault="00000000">
            <w:pPr>
              <w:adjustRightInd w:val="0"/>
              <w:snapToGrid w:val="0"/>
              <w:spacing w:line="360" w:lineRule="auto"/>
              <w:jc w:val="both"/>
              <w:rPr>
                <w:rFonts w:ascii="Book Antiqua" w:hAnsi="Book Antiqua" w:cs="Arial"/>
                <w:b/>
                <w:bCs/>
                <w:color w:val="000000"/>
              </w:rPr>
            </w:pPr>
            <w:r>
              <w:rPr>
                <w:rFonts w:ascii="Book Antiqua" w:hAnsi="Book Antiqua" w:cs="Arial"/>
                <w:b/>
                <w:bCs/>
                <w:color w:val="000000"/>
              </w:rPr>
              <w:t>Overall survival</w:t>
            </w:r>
          </w:p>
        </w:tc>
      </w:tr>
      <w:tr w:rsidR="00F20BB0" w14:paraId="5A706B53" w14:textId="77777777">
        <w:trPr>
          <w:trHeight w:val="339"/>
        </w:trPr>
        <w:tc>
          <w:tcPr>
            <w:tcW w:w="1513" w:type="pct"/>
            <w:vMerge/>
            <w:tcBorders>
              <w:top w:val="single" w:sz="4" w:space="0" w:color="auto"/>
              <w:left w:val="nil"/>
              <w:bottom w:val="single" w:sz="4" w:space="0" w:color="auto"/>
              <w:right w:val="nil"/>
            </w:tcBorders>
            <w:shd w:val="clear" w:color="auto" w:fill="auto"/>
            <w:noWrap/>
            <w:vAlign w:val="bottom"/>
          </w:tcPr>
          <w:p w14:paraId="31D99661" w14:textId="77777777" w:rsidR="00F20BB0" w:rsidRDefault="00F20BB0">
            <w:pPr>
              <w:adjustRightInd w:val="0"/>
              <w:snapToGrid w:val="0"/>
              <w:spacing w:line="360" w:lineRule="auto"/>
              <w:jc w:val="both"/>
              <w:rPr>
                <w:rFonts w:ascii="Book Antiqua" w:hAnsi="Book Antiqua" w:cs="Arial"/>
                <w:b/>
                <w:bCs/>
                <w:color w:val="000000"/>
              </w:rPr>
            </w:pPr>
          </w:p>
        </w:tc>
        <w:tc>
          <w:tcPr>
            <w:tcW w:w="1758" w:type="pct"/>
            <w:gridSpan w:val="2"/>
            <w:tcBorders>
              <w:top w:val="single" w:sz="4" w:space="0" w:color="auto"/>
              <w:left w:val="nil"/>
              <w:bottom w:val="single" w:sz="4" w:space="0" w:color="auto"/>
              <w:right w:val="nil"/>
            </w:tcBorders>
            <w:shd w:val="clear" w:color="auto" w:fill="auto"/>
            <w:noWrap/>
            <w:vAlign w:val="bottom"/>
          </w:tcPr>
          <w:p w14:paraId="036ADFE2" w14:textId="77777777" w:rsidR="00F20BB0" w:rsidRDefault="00000000">
            <w:pPr>
              <w:adjustRightInd w:val="0"/>
              <w:snapToGrid w:val="0"/>
              <w:spacing w:line="360" w:lineRule="auto"/>
              <w:jc w:val="both"/>
              <w:rPr>
                <w:rFonts w:ascii="Book Antiqua" w:hAnsi="Book Antiqua" w:cs="Arial"/>
                <w:b/>
                <w:bCs/>
                <w:color w:val="000000"/>
              </w:rPr>
            </w:pPr>
            <w:r>
              <w:rPr>
                <w:rFonts w:ascii="Book Antiqua" w:hAnsi="Book Antiqua" w:cs="Arial"/>
                <w:b/>
                <w:bCs/>
                <w:color w:val="000000"/>
              </w:rPr>
              <w:t>Univariate analysis</w:t>
            </w:r>
          </w:p>
        </w:tc>
        <w:tc>
          <w:tcPr>
            <w:tcW w:w="1728" w:type="pct"/>
            <w:gridSpan w:val="2"/>
            <w:tcBorders>
              <w:top w:val="single" w:sz="4" w:space="0" w:color="auto"/>
              <w:left w:val="nil"/>
              <w:bottom w:val="single" w:sz="4" w:space="0" w:color="auto"/>
              <w:right w:val="nil"/>
            </w:tcBorders>
            <w:shd w:val="clear" w:color="auto" w:fill="auto"/>
            <w:noWrap/>
            <w:vAlign w:val="bottom"/>
          </w:tcPr>
          <w:p w14:paraId="361B9002" w14:textId="77777777" w:rsidR="00F20BB0" w:rsidRDefault="00000000">
            <w:pPr>
              <w:adjustRightInd w:val="0"/>
              <w:snapToGrid w:val="0"/>
              <w:spacing w:line="360" w:lineRule="auto"/>
              <w:jc w:val="both"/>
              <w:rPr>
                <w:rFonts w:ascii="Book Antiqua" w:hAnsi="Book Antiqua" w:cs="Arial"/>
                <w:b/>
                <w:bCs/>
                <w:color w:val="000000"/>
              </w:rPr>
            </w:pPr>
            <w:r>
              <w:rPr>
                <w:rFonts w:ascii="Book Antiqua" w:hAnsi="Book Antiqua" w:cs="Arial"/>
                <w:b/>
                <w:bCs/>
                <w:color w:val="000000"/>
              </w:rPr>
              <w:t>Multivariate analysis</w:t>
            </w:r>
          </w:p>
        </w:tc>
      </w:tr>
      <w:tr w:rsidR="00F20BB0" w14:paraId="6850D53C" w14:textId="77777777">
        <w:trPr>
          <w:trHeight w:val="339"/>
        </w:trPr>
        <w:tc>
          <w:tcPr>
            <w:tcW w:w="1513" w:type="pct"/>
            <w:vMerge/>
            <w:tcBorders>
              <w:top w:val="single" w:sz="4" w:space="0" w:color="auto"/>
              <w:left w:val="nil"/>
              <w:bottom w:val="single" w:sz="4" w:space="0" w:color="auto"/>
              <w:right w:val="nil"/>
            </w:tcBorders>
            <w:shd w:val="clear" w:color="auto" w:fill="auto"/>
            <w:noWrap/>
            <w:vAlign w:val="bottom"/>
          </w:tcPr>
          <w:p w14:paraId="25D23DC0" w14:textId="77777777" w:rsidR="00F20BB0" w:rsidRDefault="00F20BB0">
            <w:pPr>
              <w:adjustRightInd w:val="0"/>
              <w:snapToGrid w:val="0"/>
              <w:spacing w:line="360" w:lineRule="auto"/>
              <w:jc w:val="both"/>
              <w:rPr>
                <w:rFonts w:ascii="Book Antiqua" w:hAnsi="Book Antiqua" w:cs="Arial"/>
                <w:b/>
                <w:bCs/>
                <w:color w:val="000000"/>
              </w:rPr>
            </w:pPr>
          </w:p>
        </w:tc>
        <w:tc>
          <w:tcPr>
            <w:tcW w:w="1232" w:type="pct"/>
            <w:tcBorders>
              <w:top w:val="single" w:sz="4" w:space="0" w:color="auto"/>
              <w:left w:val="nil"/>
              <w:bottom w:val="single" w:sz="4" w:space="0" w:color="auto"/>
              <w:right w:val="nil"/>
            </w:tcBorders>
            <w:shd w:val="clear" w:color="auto" w:fill="auto"/>
            <w:noWrap/>
            <w:vAlign w:val="bottom"/>
          </w:tcPr>
          <w:p w14:paraId="0D97A620" w14:textId="77777777" w:rsidR="00F20BB0" w:rsidRDefault="00000000">
            <w:pPr>
              <w:adjustRightInd w:val="0"/>
              <w:snapToGrid w:val="0"/>
              <w:spacing w:line="360" w:lineRule="auto"/>
              <w:jc w:val="both"/>
              <w:rPr>
                <w:rFonts w:ascii="Book Antiqua" w:hAnsi="Book Antiqua" w:cs="Arial"/>
                <w:b/>
                <w:bCs/>
                <w:color w:val="000000"/>
              </w:rPr>
            </w:pPr>
            <w:r>
              <w:rPr>
                <w:rFonts w:ascii="Book Antiqua" w:hAnsi="Book Antiqua" w:cs="Arial"/>
                <w:b/>
                <w:bCs/>
                <w:color w:val="000000"/>
              </w:rPr>
              <w:t>HR (95%CI)</w:t>
            </w:r>
          </w:p>
        </w:tc>
        <w:tc>
          <w:tcPr>
            <w:tcW w:w="527" w:type="pct"/>
            <w:tcBorders>
              <w:top w:val="single" w:sz="4" w:space="0" w:color="auto"/>
              <w:left w:val="nil"/>
              <w:bottom w:val="single" w:sz="4" w:space="0" w:color="auto"/>
              <w:right w:val="nil"/>
            </w:tcBorders>
            <w:shd w:val="clear" w:color="auto" w:fill="auto"/>
            <w:noWrap/>
            <w:vAlign w:val="bottom"/>
          </w:tcPr>
          <w:p w14:paraId="0DCCD605" w14:textId="77777777" w:rsidR="00F20BB0" w:rsidRDefault="00000000">
            <w:pPr>
              <w:adjustRightInd w:val="0"/>
              <w:snapToGrid w:val="0"/>
              <w:spacing w:line="360" w:lineRule="auto"/>
              <w:jc w:val="both"/>
              <w:rPr>
                <w:rFonts w:ascii="Book Antiqua" w:hAnsi="Book Antiqua" w:cs="Arial"/>
                <w:b/>
                <w:bCs/>
                <w:i/>
                <w:iCs/>
                <w:color w:val="000000"/>
              </w:rPr>
            </w:pPr>
            <w:r>
              <w:rPr>
                <w:rFonts w:ascii="Book Antiqua" w:hAnsi="Book Antiqua" w:cs="Arial"/>
                <w:b/>
                <w:bCs/>
                <w:i/>
                <w:iCs/>
                <w:color w:val="000000"/>
              </w:rPr>
              <w:t xml:space="preserve">P </w:t>
            </w:r>
            <w:r>
              <w:rPr>
                <w:rFonts w:ascii="Book Antiqua" w:hAnsi="Book Antiqua" w:cs="Arial"/>
                <w:b/>
                <w:bCs/>
                <w:color w:val="000000"/>
              </w:rPr>
              <w:t>value</w:t>
            </w:r>
          </w:p>
        </w:tc>
        <w:tc>
          <w:tcPr>
            <w:tcW w:w="1202" w:type="pct"/>
            <w:tcBorders>
              <w:top w:val="single" w:sz="4" w:space="0" w:color="auto"/>
              <w:left w:val="nil"/>
              <w:bottom w:val="single" w:sz="4" w:space="0" w:color="auto"/>
              <w:right w:val="nil"/>
            </w:tcBorders>
            <w:shd w:val="clear" w:color="auto" w:fill="auto"/>
            <w:noWrap/>
            <w:vAlign w:val="bottom"/>
          </w:tcPr>
          <w:p w14:paraId="063B40BB" w14:textId="77777777" w:rsidR="00F20BB0" w:rsidRDefault="00000000">
            <w:pPr>
              <w:adjustRightInd w:val="0"/>
              <w:snapToGrid w:val="0"/>
              <w:spacing w:line="360" w:lineRule="auto"/>
              <w:jc w:val="both"/>
              <w:rPr>
                <w:rFonts w:ascii="Book Antiqua" w:hAnsi="Book Antiqua" w:cs="Arial"/>
                <w:b/>
                <w:bCs/>
                <w:color w:val="000000"/>
              </w:rPr>
            </w:pPr>
            <w:r>
              <w:rPr>
                <w:rFonts w:ascii="Book Antiqua" w:hAnsi="Book Antiqua" w:cs="Arial"/>
                <w:b/>
                <w:bCs/>
                <w:color w:val="000000"/>
              </w:rPr>
              <w:t>HR (95%CI)</w:t>
            </w:r>
          </w:p>
        </w:tc>
        <w:tc>
          <w:tcPr>
            <w:tcW w:w="526" w:type="pct"/>
            <w:tcBorders>
              <w:top w:val="single" w:sz="4" w:space="0" w:color="auto"/>
              <w:left w:val="nil"/>
              <w:bottom w:val="single" w:sz="4" w:space="0" w:color="auto"/>
              <w:right w:val="nil"/>
            </w:tcBorders>
            <w:shd w:val="clear" w:color="auto" w:fill="auto"/>
            <w:noWrap/>
            <w:vAlign w:val="bottom"/>
          </w:tcPr>
          <w:p w14:paraId="2A2F0147" w14:textId="77777777" w:rsidR="00F20BB0" w:rsidRDefault="00000000">
            <w:pPr>
              <w:adjustRightInd w:val="0"/>
              <w:snapToGrid w:val="0"/>
              <w:spacing w:line="360" w:lineRule="auto"/>
              <w:jc w:val="both"/>
              <w:rPr>
                <w:rFonts w:ascii="Book Antiqua" w:hAnsi="Book Antiqua" w:cs="Arial"/>
                <w:b/>
                <w:bCs/>
                <w:i/>
                <w:iCs/>
                <w:color w:val="000000"/>
              </w:rPr>
            </w:pPr>
            <w:r>
              <w:rPr>
                <w:rFonts w:ascii="Book Antiqua" w:hAnsi="Book Antiqua" w:cs="Arial"/>
                <w:b/>
                <w:bCs/>
                <w:i/>
                <w:iCs/>
                <w:color w:val="000000"/>
              </w:rPr>
              <w:t xml:space="preserve">P </w:t>
            </w:r>
            <w:r>
              <w:rPr>
                <w:rFonts w:ascii="Book Antiqua" w:hAnsi="Book Antiqua" w:cs="Arial"/>
                <w:b/>
                <w:bCs/>
                <w:color w:val="000000"/>
              </w:rPr>
              <w:t>value</w:t>
            </w:r>
          </w:p>
        </w:tc>
      </w:tr>
      <w:tr w:rsidR="00F20BB0" w14:paraId="03BF3F0D" w14:textId="77777777">
        <w:trPr>
          <w:trHeight w:val="339"/>
        </w:trPr>
        <w:tc>
          <w:tcPr>
            <w:tcW w:w="1513" w:type="pct"/>
            <w:tcBorders>
              <w:top w:val="single" w:sz="4" w:space="0" w:color="auto"/>
              <w:left w:val="nil"/>
              <w:bottom w:val="nil"/>
              <w:right w:val="nil"/>
            </w:tcBorders>
            <w:shd w:val="clear" w:color="auto" w:fill="auto"/>
            <w:noWrap/>
            <w:vAlign w:val="bottom"/>
          </w:tcPr>
          <w:p w14:paraId="001153D7"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PNPLA8</w:t>
            </w:r>
          </w:p>
        </w:tc>
        <w:tc>
          <w:tcPr>
            <w:tcW w:w="1232" w:type="pct"/>
            <w:tcBorders>
              <w:top w:val="single" w:sz="4" w:space="0" w:color="auto"/>
              <w:left w:val="nil"/>
              <w:bottom w:val="nil"/>
              <w:right w:val="nil"/>
            </w:tcBorders>
            <w:shd w:val="clear" w:color="auto" w:fill="auto"/>
            <w:noWrap/>
            <w:vAlign w:val="bottom"/>
          </w:tcPr>
          <w:p w14:paraId="33CA07F1"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single" w:sz="4" w:space="0" w:color="auto"/>
              <w:left w:val="nil"/>
              <w:bottom w:val="nil"/>
              <w:right w:val="nil"/>
            </w:tcBorders>
            <w:shd w:val="clear" w:color="auto" w:fill="auto"/>
            <w:noWrap/>
            <w:vAlign w:val="bottom"/>
          </w:tcPr>
          <w:p w14:paraId="689F822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0.004</w:t>
            </w:r>
          </w:p>
        </w:tc>
        <w:tc>
          <w:tcPr>
            <w:tcW w:w="1202" w:type="pct"/>
            <w:tcBorders>
              <w:top w:val="single" w:sz="4" w:space="0" w:color="auto"/>
              <w:left w:val="nil"/>
              <w:bottom w:val="nil"/>
              <w:right w:val="nil"/>
            </w:tcBorders>
            <w:shd w:val="clear" w:color="auto" w:fill="auto"/>
            <w:noWrap/>
            <w:vAlign w:val="bottom"/>
          </w:tcPr>
          <w:p w14:paraId="4A517606"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single" w:sz="4" w:space="0" w:color="auto"/>
              <w:left w:val="nil"/>
              <w:bottom w:val="nil"/>
              <w:right w:val="nil"/>
            </w:tcBorders>
            <w:shd w:val="clear" w:color="auto" w:fill="auto"/>
            <w:noWrap/>
            <w:vAlign w:val="bottom"/>
          </w:tcPr>
          <w:p w14:paraId="3229AC2E" w14:textId="77777777" w:rsidR="00F20BB0" w:rsidRDefault="00000000">
            <w:pPr>
              <w:adjustRightInd w:val="0"/>
              <w:snapToGrid w:val="0"/>
              <w:spacing w:line="360" w:lineRule="auto"/>
              <w:jc w:val="both"/>
              <w:rPr>
                <w:rFonts w:ascii="Book Antiqua" w:hAnsi="Book Antiqua" w:cs="Arial"/>
              </w:rPr>
            </w:pPr>
            <w:r>
              <w:rPr>
                <w:rFonts w:ascii="Book Antiqua" w:hAnsi="Book Antiqua" w:cs="Arial"/>
                <w:color w:val="000000"/>
              </w:rPr>
              <w:t>0.038</w:t>
            </w:r>
          </w:p>
        </w:tc>
      </w:tr>
      <w:tr w:rsidR="00F20BB0" w14:paraId="0933393B" w14:textId="77777777">
        <w:trPr>
          <w:trHeight w:val="339"/>
        </w:trPr>
        <w:tc>
          <w:tcPr>
            <w:tcW w:w="1513" w:type="pct"/>
            <w:tcBorders>
              <w:top w:val="nil"/>
              <w:left w:val="nil"/>
              <w:bottom w:val="nil"/>
              <w:right w:val="nil"/>
            </w:tcBorders>
            <w:shd w:val="clear" w:color="auto" w:fill="auto"/>
            <w:noWrap/>
            <w:vAlign w:val="bottom"/>
          </w:tcPr>
          <w:p w14:paraId="5AE27D22"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Low</w:t>
            </w:r>
          </w:p>
        </w:tc>
        <w:tc>
          <w:tcPr>
            <w:tcW w:w="1232" w:type="pct"/>
            <w:tcBorders>
              <w:top w:val="nil"/>
              <w:left w:val="nil"/>
              <w:bottom w:val="nil"/>
              <w:right w:val="nil"/>
            </w:tcBorders>
            <w:shd w:val="clear" w:color="auto" w:fill="auto"/>
            <w:noWrap/>
            <w:vAlign w:val="bottom"/>
          </w:tcPr>
          <w:p w14:paraId="3DE77005"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72C15484"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7DD450F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6" w:type="pct"/>
            <w:tcBorders>
              <w:top w:val="nil"/>
              <w:left w:val="nil"/>
              <w:bottom w:val="nil"/>
              <w:right w:val="nil"/>
            </w:tcBorders>
            <w:shd w:val="clear" w:color="auto" w:fill="auto"/>
            <w:noWrap/>
            <w:vAlign w:val="bottom"/>
          </w:tcPr>
          <w:p w14:paraId="55326400" w14:textId="77777777" w:rsidR="00F20BB0" w:rsidRDefault="00F20BB0">
            <w:pPr>
              <w:adjustRightInd w:val="0"/>
              <w:snapToGrid w:val="0"/>
              <w:spacing w:line="360" w:lineRule="auto"/>
              <w:jc w:val="both"/>
              <w:rPr>
                <w:rFonts w:ascii="Book Antiqua" w:hAnsi="Book Antiqua" w:cs="Arial"/>
              </w:rPr>
            </w:pPr>
          </w:p>
        </w:tc>
      </w:tr>
      <w:tr w:rsidR="00F20BB0" w14:paraId="601649B8" w14:textId="77777777">
        <w:trPr>
          <w:trHeight w:val="339"/>
        </w:trPr>
        <w:tc>
          <w:tcPr>
            <w:tcW w:w="1513" w:type="pct"/>
            <w:tcBorders>
              <w:top w:val="nil"/>
              <w:left w:val="nil"/>
              <w:bottom w:val="nil"/>
              <w:right w:val="nil"/>
            </w:tcBorders>
            <w:shd w:val="clear" w:color="auto" w:fill="auto"/>
            <w:noWrap/>
            <w:vAlign w:val="bottom"/>
          </w:tcPr>
          <w:p w14:paraId="0D274F20"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High</w:t>
            </w:r>
          </w:p>
        </w:tc>
        <w:tc>
          <w:tcPr>
            <w:tcW w:w="1232" w:type="pct"/>
            <w:tcBorders>
              <w:top w:val="nil"/>
              <w:left w:val="nil"/>
              <w:bottom w:val="nil"/>
              <w:right w:val="nil"/>
            </w:tcBorders>
            <w:shd w:val="clear" w:color="auto" w:fill="auto"/>
            <w:noWrap/>
            <w:vAlign w:val="bottom"/>
          </w:tcPr>
          <w:p w14:paraId="3813251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1.472 (1.132-1.914)</w:t>
            </w:r>
          </w:p>
        </w:tc>
        <w:tc>
          <w:tcPr>
            <w:tcW w:w="527" w:type="pct"/>
            <w:tcBorders>
              <w:top w:val="nil"/>
              <w:left w:val="nil"/>
              <w:bottom w:val="nil"/>
              <w:right w:val="nil"/>
            </w:tcBorders>
            <w:shd w:val="clear" w:color="auto" w:fill="auto"/>
            <w:noWrap/>
            <w:vAlign w:val="bottom"/>
          </w:tcPr>
          <w:p w14:paraId="5181B79E"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786E1C4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1.328 (1.016-1.734)</w:t>
            </w:r>
          </w:p>
        </w:tc>
        <w:tc>
          <w:tcPr>
            <w:tcW w:w="526" w:type="pct"/>
            <w:tcBorders>
              <w:top w:val="nil"/>
              <w:left w:val="nil"/>
              <w:bottom w:val="nil"/>
              <w:right w:val="nil"/>
            </w:tcBorders>
            <w:shd w:val="clear" w:color="auto" w:fill="auto"/>
            <w:noWrap/>
            <w:vAlign w:val="bottom"/>
          </w:tcPr>
          <w:p w14:paraId="334102D4" w14:textId="77777777" w:rsidR="00F20BB0" w:rsidRDefault="00000000">
            <w:pPr>
              <w:adjustRightInd w:val="0"/>
              <w:snapToGrid w:val="0"/>
              <w:spacing w:line="360" w:lineRule="auto"/>
              <w:jc w:val="both"/>
              <w:rPr>
                <w:rFonts w:ascii="Book Antiqua" w:hAnsi="Book Antiqua" w:cs="Arial"/>
              </w:rPr>
            </w:pPr>
            <w:r>
              <w:rPr>
                <w:rFonts w:ascii="Book Antiqua" w:hAnsi="Book Antiqua" w:cs="Arial"/>
                <w:color w:val="000000"/>
              </w:rPr>
              <w:t xml:space="preserve"> </w:t>
            </w:r>
          </w:p>
        </w:tc>
      </w:tr>
      <w:tr w:rsidR="00F20BB0" w14:paraId="459B066F" w14:textId="77777777">
        <w:trPr>
          <w:trHeight w:val="339"/>
        </w:trPr>
        <w:tc>
          <w:tcPr>
            <w:tcW w:w="1513" w:type="pct"/>
            <w:tcBorders>
              <w:top w:val="nil"/>
              <w:left w:val="nil"/>
              <w:bottom w:val="nil"/>
              <w:right w:val="nil"/>
            </w:tcBorders>
            <w:shd w:val="clear" w:color="auto" w:fill="auto"/>
            <w:noWrap/>
            <w:vAlign w:val="bottom"/>
          </w:tcPr>
          <w:p w14:paraId="5216F55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Age in yr</w:t>
            </w:r>
          </w:p>
        </w:tc>
        <w:tc>
          <w:tcPr>
            <w:tcW w:w="1232" w:type="pct"/>
            <w:tcBorders>
              <w:top w:val="nil"/>
              <w:left w:val="nil"/>
              <w:bottom w:val="nil"/>
              <w:right w:val="nil"/>
            </w:tcBorders>
            <w:shd w:val="clear" w:color="auto" w:fill="auto"/>
            <w:noWrap/>
            <w:vAlign w:val="bottom"/>
          </w:tcPr>
          <w:p w14:paraId="55CF71E8"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nil"/>
              <w:left w:val="nil"/>
              <w:bottom w:val="nil"/>
              <w:right w:val="nil"/>
            </w:tcBorders>
            <w:shd w:val="clear" w:color="auto" w:fill="auto"/>
            <w:noWrap/>
            <w:vAlign w:val="bottom"/>
          </w:tcPr>
          <w:p w14:paraId="1251C6E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0.561</w:t>
            </w:r>
          </w:p>
        </w:tc>
        <w:tc>
          <w:tcPr>
            <w:tcW w:w="1202" w:type="pct"/>
            <w:tcBorders>
              <w:top w:val="nil"/>
              <w:left w:val="nil"/>
              <w:bottom w:val="nil"/>
              <w:right w:val="nil"/>
            </w:tcBorders>
            <w:shd w:val="clear" w:color="auto" w:fill="auto"/>
            <w:noWrap/>
            <w:vAlign w:val="bottom"/>
          </w:tcPr>
          <w:p w14:paraId="664905F4"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nil"/>
              <w:left w:val="nil"/>
              <w:bottom w:val="nil"/>
              <w:right w:val="nil"/>
            </w:tcBorders>
            <w:shd w:val="clear" w:color="auto" w:fill="auto"/>
            <w:noWrap/>
            <w:vAlign w:val="bottom"/>
          </w:tcPr>
          <w:p w14:paraId="1A7640A7" w14:textId="77777777" w:rsidR="00F20BB0" w:rsidRDefault="00F20BB0">
            <w:pPr>
              <w:adjustRightInd w:val="0"/>
              <w:snapToGrid w:val="0"/>
              <w:spacing w:line="360" w:lineRule="auto"/>
              <w:jc w:val="both"/>
              <w:rPr>
                <w:rFonts w:ascii="Book Antiqua" w:hAnsi="Book Antiqua" w:cs="Arial"/>
              </w:rPr>
            </w:pPr>
          </w:p>
        </w:tc>
      </w:tr>
      <w:tr w:rsidR="00F20BB0" w14:paraId="2DB79F31" w14:textId="77777777">
        <w:trPr>
          <w:trHeight w:val="319"/>
        </w:trPr>
        <w:tc>
          <w:tcPr>
            <w:tcW w:w="1513" w:type="pct"/>
            <w:tcBorders>
              <w:top w:val="nil"/>
              <w:left w:val="nil"/>
              <w:bottom w:val="nil"/>
              <w:right w:val="nil"/>
            </w:tcBorders>
            <w:shd w:val="clear" w:color="auto" w:fill="auto"/>
            <w:noWrap/>
            <w:vAlign w:val="bottom"/>
          </w:tcPr>
          <w:p w14:paraId="675299E7"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 60</w:t>
            </w:r>
          </w:p>
        </w:tc>
        <w:tc>
          <w:tcPr>
            <w:tcW w:w="1232" w:type="pct"/>
            <w:tcBorders>
              <w:top w:val="nil"/>
              <w:left w:val="nil"/>
              <w:bottom w:val="nil"/>
              <w:right w:val="nil"/>
            </w:tcBorders>
            <w:shd w:val="clear" w:color="auto" w:fill="auto"/>
            <w:noWrap/>
            <w:vAlign w:val="bottom"/>
          </w:tcPr>
          <w:p w14:paraId="66E71AF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4B036793"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5CA9626B" w14:textId="77777777" w:rsidR="00F20BB0" w:rsidRDefault="00F20BB0">
            <w:pPr>
              <w:adjustRightInd w:val="0"/>
              <w:snapToGrid w:val="0"/>
              <w:spacing w:line="360" w:lineRule="auto"/>
              <w:jc w:val="both"/>
              <w:rPr>
                <w:rFonts w:ascii="Book Antiqua" w:hAnsi="Book Antiqua" w:cs="Arial"/>
              </w:rPr>
            </w:pPr>
          </w:p>
        </w:tc>
        <w:tc>
          <w:tcPr>
            <w:tcW w:w="526" w:type="pct"/>
            <w:tcBorders>
              <w:top w:val="nil"/>
              <w:left w:val="nil"/>
              <w:bottom w:val="nil"/>
              <w:right w:val="nil"/>
            </w:tcBorders>
            <w:shd w:val="clear" w:color="auto" w:fill="auto"/>
            <w:noWrap/>
            <w:vAlign w:val="bottom"/>
          </w:tcPr>
          <w:p w14:paraId="693191EA" w14:textId="77777777" w:rsidR="00F20BB0" w:rsidRDefault="00F20BB0">
            <w:pPr>
              <w:adjustRightInd w:val="0"/>
              <w:snapToGrid w:val="0"/>
              <w:spacing w:line="360" w:lineRule="auto"/>
              <w:jc w:val="both"/>
              <w:rPr>
                <w:rFonts w:ascii="Book Antiqua" w:hAnsi="Book Antiqua" w:cs="Arial"/>
              </w:rPr>
            </w:pPr>
          </w:p>
        </w:tc>
      </w:tr>
      <w:tr w:rsidR="00F20BB0" w14:paraId="3F1C0BC7" w14:textId="77777777">
        <w:trPr>
          <w:trHeight w:val="319"/>
        </w:trPr>
        <w:tc>
          <w:tcPr>
            <w:tcW w:w="1513" w:type="pct"/>
            <w:tcBorders>
              <w:top w:val="nil"/>
              <w:left w:val="nil"/>
              <w:bottom w:val="nil"/>
              <w:right w:val="nil"/>
            </w:tcBorders>
            <w:shd w:val="clear" w:color="auto" w:fill="auto"/>
            <w:noWrap/>
            <w:vAlign w:val="bottom"/>
          </w:tcPr>
          <w:p w14:paraId="7862E4D4"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&gt; 60</w:t>
            </w:r>
          </w:p>
        </w:tc>
        <w:tc>
          <w:tcPr>
            <w:tcW w:w="1232" w:type="pct"/>
            <w:tcBorders>
              <w:top w:val="nil"/>
              <w:left w:val="nil"/>
              <w:bottom w:val="nil"/>
              <w:right w:val="nil"/>
            </w:tcBorders>
            <w:shd w:val="clear" w:color="auto" w:fill="auto"/>
            <w:noWrap/>
            <w:vAlign w:val="bottom"/>
          </w:tcPr>
          <w:p w14:paraId="04F1848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1.079 (0.835-1.394)</w:t>
            </w:r>
          </w:p>
        </w:tc>
        <w:tc>
          <w:tcPr>
            <w:tcW w:w="527" w:type="pct"/>
            <w:tcBorders>
              <w:top w:val="nil"/>
              <w:left w:val="nil"/>
              <w:bottom w:val="nil"/>
              <w:right w:val="nil"/>
            </w:tcBorders>
            <w:shd w:val="clear" w:color="auto" w:fill="auto"/>
            <w:noWrap/>
            <w:vAlign w:val="bottom"/>
          </w:tcPr>
          <w:p w14:paraId="40766EC9"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1A84E7E5" w14:textId="77777777" w:rsidR="00F20BB0" w:rsidRDefault="00F20BB0">
            <w:pPr>
              <w:adjustRightInd w:val="0"/>
              <w:snapToGrid w:val="0"/>
              <w:spacing w:line="360" w:lineRule="auto"/>
              <w:jc w:val="both"/>
              <w:rPr>
                <w:rFonts w:ascii="Book Antiqua" w:hAnsi="Book Antiqua" w:cs="Arial"/>
              </w:rPr>
            </w:pPr>
          </w:p>
        </w:tc>
        <w:tc>
          <w:tcPr>
            <w:tcW w:w="526" w:type="pct"/>
            <w:tcBorders>
              <w:top w:val="nil"/>
              <w:left w:val="nil"/>
              <w:bottom w:val="nil"/>
              <w:right w:val="nil"/>
            </w:tcBorders>
            <w:shd w:val="clear" w:color="auto" w:fill="auto"/>
            <w:noWrap/>
            <w:vAlign w:val="bottom"/>
          </w:tcPr>
          <w:p w14:paraId="77C0EB9E" w14:textId="77777777" w:rsidR="00F20BB0" w:rsidRDefault="00F20BB0">
            <w:pPr>
              <w:adjustRightInd w:val="0"/>
              <w:snapToGrid w:val="0"/>
              <w:spacing w:line="360" w:lineRule="auto"/>
              <w:jc w:val="both"/>
              <w:rPr>
                <w:rFonts w:ascii="Book Antiqua" w:hAnsi="Book Antiqua" w:cs="Arial"/>
              </w:rPr>
            </w:pPr>
          </w:p>
        </w:tc>
      </w:tr>
      <w:tr w:rsidR="00F20BB0" w14:paraId="19EB21AA" w14:textId="77777777">
        <w:trPr>
          <w:trHeight w:val="319"/>
        </w:trPr>
        <w:tc>
          <w:tcPr>
            <w:tcW w:w="1513" w:type="pct"/>
            <w:tcBorders>
              <w:top w:val="nil"/>
              <w:left w:val="nil"/>
              <w:bottom w:val="nil"/>
              <w:right w:val="nil"/>
            </w:tcBorders>
            <w:shd w:val="clear" w:color="auto" w:fill="auto"/>
            <w:noWrap/>
            <w:vAlign w:val="bottom"/>
          </w:tcPr>
          <w:p w14:paraId="31FCA30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Sex</w:t>
            </w:r>
          </w:p>
        </w:tc>
        <w:tc>
          <w:tcPr>
            <w:tcW w:w="1232" w:type="pct"/>
            <w:tcBorders>
              <w:top w:val="nil"/>
              <w:left w:val="nil"/>
              <w:bottom w:val="nil"/>
              <w:right w:val="nil"/>
            </w:tcBorders>
            <w:shd w:val="clear" w:color="auto" w:fill="auto"/>
            <w:noWrap/>
            <w:vAlign w:val="bottom"/>
          </w:tcPr>
          <w:p w14:paraId="440796FE"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nil"/>
              <w:left w:val="nil"/>
              <w:bottom w:val="nil"/>
              <w:right w:val="nil"/>
            </w:tcBorders>
            <w:shd w:val="clear" w:color="auto" w:fill="auto"/>
            <w:noWrap/>
            <w:vAlign w:val="bottom"/>
          </w:tcPr>
          <w:p w14:paraId="7238586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0.087</w:t>
            </w:r>
          </w:p>
        </w:tc>
        <w:tc>
          <w:tcPr>
            <w:tcW w:w="1202" w:type="pct"/>
            <w:tcBorders>
              <w:top w:val="nil"/>
              <w:left w:val="nil"/>
              <w:bottom w:val="nil"/>
              <w:right w:val="nil"/>
            </w:tcBorders>
            <w:shd w:val="clear" w:color="auto" w:fill="auto"/>
            <w:noWrap/>
            <w:vAlign w:val="bottom"/>
          </w:tcPr>
          <w:p w14:paraId="76A34D5D"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nil"/>
              <w:left w:val="nil"/>
              <w:bottom w:val="nil"/>
              <w:right w:val="nil"/>
            </w:tcBorders>
            <w:shd w:val="clear" w:color="auto" w:fill="auto"/>
            <w:noWrap/>
            <w:vAlign w:val="bottom"/>
          </w:tcPr>
          <w:p w14:paraId="71DBD79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0.903</w:t>
            </w:r>
          </w:p>
        </w:tc>
      </w:tr>
      <w:tr w:rsidR="00F20BB0" w14:paraId="4EA6AA0F" w14:textId="77777777">
        <w:trPr>
          <w:trHeight w:val="319"/>
        </w:trPr>
        <w:tc>
          <w:tcPr>
            <w:tcW w:w="1513" w:type="pct"/>
            <w:tcBorders>
              <w:top w:val="nil"/>
              <w:left w:val="nil"/>
              <w:bottom w:val="nil"/>
              <w:right w:val="nil"/>
            </w:tcBorders>
            <w:shd w:val="clear" w:color="auto" w:fill="auto"/>
            <w:noWrap/>
            <w:vAlign w:val="bottom"/>
          </w:tcPr>
          <w:p w14:paraId="6C772DD4"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Male</w:t>
            </w:r>
          </w:p>
        </w:tc>
        <w:tc>
          <w:tcPr>
            <w:tcW w:w="1232" w:type="pct"/>
            <w:tcBorders>
              <w:top w:val="nil"/>
              <w:left w:val="nil"/>
              <w:bottom w:val="nil"/>
              <w:right w:val="nil"/>
            </w:tcBorders>
            <w:shd w:val="clear" w:color="auto" w:fill="auto"/>
            <w:noWrap/>
            <w:vAlign w:val="bottom"/>
          </w:tcPr>
          <w:p w14:paraId="33260B4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558ADCBC"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4B42F88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6" w:type="pct"/>
            <w:tcBorders>
              <w:top w:val="nil"/>
              <w:left w:val="nil"/>
              <w:bottom w:val="nil"/>
              <w:right w:val="nil"/>
            </w:tcBorders>
            <w:shd w:val="clear" w:color="auto" w:fill="auto"/>
            <w:noWrap/>
            <w:vAlign w:val="bottom"/>
          </w:tcPr>
          <w:p w14:paraId="63444F64" w14:textId="77777777" w:rsidR="00F20BB0" w:rsidRDefault="00F20BB0">
            <w:pPr>
              <w:adjustRightInd w:val="0"/>
              <w:snapToGrid w:val="0"/>
              <w:spacing w:line="360" w:lineRule="auto"/>
              <w:jc w:val="both"/>
              <w:rPr>
                <w:rFonts w:ascii="Book Antiqua" w:hAnsi="Book Antiqua" w:cs="Arial"/>
                <w:color w:val="000000"/>
              </w:rPr>
            </w:pPr>
          </w:p>
        </w:tc>
      </w:tr>
      <w:tr w:rsidR="00F20BB0" w14:paraId="4175E154" w14:textId="77777777">
        <w:trPr>
          <w:trHeight w:val="319"/>
        </w:trPr>
        <w:tc>
          <w:tcPr>
            <w:tcW w:w="1513" w:type="pct"/>
            <w:tcBorders>
              <w:top w:val="nil"/>
              <w:left w:val="nil"/>
              <w:bottom w:val="nil"/>
              <w:right w:val="nil"/>
            </w:tcBorders>
            <w:shd w:val="clear" w:color="auto" w:fill="auto"/>
            <w:noWrap/>
            <w:vAlign w:val="bottom"/>
          </w:tcPr>
          <w:p w14:paraId="6AD6EF84"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Female</w:t>
            </w:r>
          </w:p>
        </w:tc>
        <w:tc>
          <w:tcPr>
            <w:tcW w:w="1232" w:type="pct"/>
            <w:tcBorders>
              <w:top w:val="nil"/>
              <w:left w:val="nil"/>
              <w:bottom w:val="nil"/>
              <w:right w:val="nil"/>
            </w:tcBorders>
            <w:shd w:val="clear" w:color="auto" w:fill="auto"/>
            <w:noWrap/>
            <w:vAlign w:val="bottom"/>
          </w:tcPr>
          <w:p w14:paraId="52AF94A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0.792(0.606-1.304)</w:t>
            </w:r>
          </w:p>
        </w:tc>
        <w:tc>
          <w:tcPr>
            <w:tcW w:w="527" w:type="pct"/>
            <w:tcBorders>
              <w:top w:val="nil"/>
              <w:left w:val="nil"/>
              <w:bottom w:val="nil"/>
              <w:right w:val="nil"/>
            </w:tcBorders>
            <w:shd w:val="clear" w:color="auto" w:fill="auto"/>
            <w:noWrap/>
            <w:vAlign w:val="bottom"/>
          </w:tcPr>
          <w:p w14:paraId="34E60A75"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782BEAC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0.903 (0.687-1.187)</w:t>
            </w:r>
          </w:p>
        </w:tc>
        <w:tc>
          <w:tcPr>
            <w:tcW w:w="526" w:type="pct"/>
            <w:tcBorders>
              <w:top w:val="nil"/>
              <w:left w:val="nil"/>
              <w:bottom w:val="nil"/>
              <w:right w:val="nil"/>
            </w:tcBorders>
            <w:shd w:val="clear" w:color="auto" w:fill="auto"/>
            <w:noWrap/>
            <w:vAlign w:val="bottom"/>
          </w:tcPr>
          <w:p w14:paraId="47DB41BE" w14:textId="77777777" w:rsidR="00F20BB0" w:rsidRDefault="00F20BB0">
            <w:pPr>
              <w:adjustRightInd w:val="0"/>
              <w:snapToGrid w:val="0"/>
              <w:spacing w:line="360" w:lineRule="auto"/>
              <w:jc w:val="both"/>
              <w:rPr>
                <w:rFonts w:ascii="Book Antiqua" w:hAnsi="Book Antiqua" w:cs="Arial"/>
                <w:color w:val="000000"/>
              </w:rPr>
            </w:pPr>
          </w:p>
        </w:tc>
      </w:tr>
      <w:tr w:rsidR="00F20BB0" w14:paraId="5AC4DF29" w14:textId="77777777">
        <w:trPr>
          <w:trHeight w:val="319"/>
        </w:trPr>
        <w:tc>
          <w:tcPr>
            <w:tcW w:w="1513" w:type="pct"/>
            <w:tcBorders>
              <w:top w:val="nil"/>
              <w:left w:val="nil"/>
              <w:bottom w:val="nil"/>
              <w:right w:val="nil"/>
            </w:tcBorders>
            <w:shd w:val="clear" w:color="auto" w:fill="auto"/>
            <w:noWrap/>
            <w:vAlign w:val="bottom"/>
          </w:tcPr>
          <w:p w14:paraId="62521C0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CEA in ng/mL</w:t>
            </w:r>
          </w:p>
        </w:tc>
        <w:tc>
          <w:tcPr>
            <w:tcW w:w="1232" w:type="pct"/>
            <w:tcBorders>
              <w:top w:val="nil"/>
              <w:left w:val="nil"/>
              <w:bottom w:val="nil"/>
              <w:right w:val="nil"/>
            </w:tcBorders>
            <w:shd w:val="clear" w:color="auto" w:fill="auto"/>
            <w:noWrap/>
            <w:vAlign w:val="bottom"/>
          </w:tcPr>
          <w:p w14:paraId="030ACB9C"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nil"/>
              <w:left w:val="nil"/>
              <w:bottom w:val="nil"/>
              <w:right w:val="nil"/>
            </w:tcBorders>
            <w:shd w:val="clear" w:color="auto" w:fill="auto"/>
            <w:noWrap/>
            <w:vAlign w:val="bottom"/>
          </w:tcPr>
          <w:p w14:paraId="5031CB9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&lt; 0.001</w:t>
            </w:r>
          </w:p>
        </w:tc>
        <w:tc>
          <w:tcPr>
            <w:tcW w:w="1202" w:type="pct"/>
            <w:tcBorders>
              <w:top w:val="nil"/>
              <w:left w:val="nil"/>
              <w:bottom w:val="nil"/>
              <w:right w:val="nil"/>
            </w:tcBorders>
            <w:shd w:val="clear" w:color="auto" w:fill="auto"/>
            <w:noWrap/>
            <w:vAlign w:val="bottom"/>
          </w:tcPr>
          <w:p w14:paraId="215BD78B"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nil"/>
              <w:left w:val="nil"/>
              <w:bottom w:val="nil"/>
              <w:right w:val="nil"/>
            </w:tcBorders>
            <w:shd w:val="clear" w:color="auto" w:fill="auto"/>
            <w:noWrap/>
            <w:vAlign w:val="bottom"/>
          </w:tcPr>
          <w:p w14:paraId="5B68B3C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0.811</w:t>
            </w:r>
          </w:p>
        </w:tc>
      </w:tr>
      <w:tr w:rsidR="00F20BB0" w14:paraId="2F07B19C" w14:textId="77777777">
        <w:trPr>
          <w:trHeight w:val="319"/>
        </w:trPr>
        <w:tc>
          <w:tcPr>
            <w:tcW w:w="1513" w:type="pct"/>
            <w:tcBorders>
              <w:top w:val="nil"/>
              <w:left w:val="nil"/>
              <w:bottom w:val="nil"/>
              <w:right w:val="nil"/>
            </w:tcBorders>
            <w:shd w:val="clear" w:color="auto" w:fill="auto"/>
            <w:noWrap/>
            <w:vAlign w:val="bottom"/>
          </w:tcPr>
          <w:p w14:paraId="4DB1FEE3"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 5</w:t>
            </w:r>
          </w:p>
        </w:tc>
        <w:tc>
          <w:tcPr>
            <w:tcW w:w="1232" w:type="pct"/>
            <w:tcBorders>
              <w:top w:val="nil"/>
              <w:left w:val="nil"/>
              <w:bottom w:val="nil"/>
              <w:right w:val="nil"/>
            </w:tcBorders>
            <w:shd w:val="clear" w:color="auto" w:fill="auto"/>
            <w:noWrap/>
            <w:vAlign w:val="bottom"/>
          </w:tcPr>
          <w:p w14:paraId="408C1FE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5AAFFDA3"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2CA23C9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6" w:type="pct"/>
            <w:tcBorders>
              <w:top w:val="nil"/>
              <w:left w:val="nil"/>
              <w:bottom w:val="nil"/>
              <w:right w:val="nil"/>
            </w:tcBorders>
            <w:shd w:val="clear" w:color="auto" w:fill="auto"/>
            <w:noWrap/>
            <w:vAlign w:val="bottom"/>
          </w:tcPr>
          <w:p w14:paraId="66FA6529" w14:textId="77777777" w:rsidR="00F20BB0" w:rsidRDefault="00F20BB0">
            <w:pPr>
              <w:adjustRightInd w:val="0"/>
              <w:snapToGrid w:val="0"/>
              <w:spacing w:line="360" w:lineRule="auto"/>
              <w:jc w:val="both"/>
              <w:rPr>
                <w:rFonts w:ascii="Book Antiqua" w:hAnsi="Book Antiqua" w:cs="Arial"/>
                <w:color w:val="000000"/>
              </w:rPr>
            </w:pPr>
          </w:p>
        </w:tc>
      </w:tr>
      <w:tr w:rsidR="00F20BB0" w14:paraId="12551F5C" w14:textId="77777777">
        <w:trPr>
          <w:trHeight w:val="319"/>
        </w:trPr>
        <w:tc>
          <w:tcPr>
            <w:tcW w:w="1513" w:type="pct"/>
            <w:tcBorders>
              <w:top w:val="nil"/>
              <w:left w:val="nil"/>
              <w:bottom w:val="nil"/>
              <w:right w:val="nil"/>
            </w:tcBorders>
            <w:shd w:val="clear" w:color="auto" w:fill="auto"/>
            <w:noWrap/>
            <w:vAlign w:val="bottom"/>
          </w:tcPr>
          <w:p w14:paraId="55356DBC"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&gt; 5</w:t>
            </w:r>
          </w:p>
        </w:tc>
        <w:tc>
          <w:tcPr>
            <w:tcW w:w="1232" w:type="pct"/>
            <w:tcBorders>
              <w:top w:val="nil"/>
              <w:left w:val="nil"/>
              <w:bottom w:val="nil"/>
              <w:right w:val="nil"/>
            </w:tcBorders>
            <w:shd w:val="clear" w:color="auto" w:fill="auto"/>
            <w:noWrap/>
            <w:vAlign w:val="bottom"/>
          </w:tcPr>
          <w:p w14:paraId="7DBFAAB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2.126(1.636-2.763)</w:t>
            </w:r>
          </w:p>
        </w:tc>
        <w:tc>
          <w:tcPr>
            <w:tcW w:w="527" w:type="pct"/>
            <w:tcBorders>
              <w:top w:val="nil"/>
              <w:left w:val="nil"/>
              <w:bottom w:val="nil"/>
              <w:right w:val="nil"/>
            </w:tcBorders>
            <w:shd w:val="clear" w:color="auto" w:fill="auto"/>
            <w:noWrap/>
            <w:vAlign w:val="bottom"/>
          </w:tcPr>
          <w:p w14:paraId="3D065F57"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3884737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0.964 (0.715-1.300)</w:t>
            </w:r>
          </w:p>
        </w:tc>
        <w:tc>
          <w:tcPr>
            <w:tcW w:w="526" w:type="pct"/>
            <w:tcBorders>
              <w:top w:val="nil"/>
              <w:left w:val="nil"/>
              <w:bottom w:val="nil"/>
              <w:right w:val="nil"/>
            </w:tcBorders>
            <w:shd w:val="clear" w:color="auto" w:fill="auto"/>
            <w:noWrap/>
            <w:vAlign w:val="bottom"/>
          </w:tcPr>
          <w:p w14:paraId="4C4F1E95" w14:textId="77777777" w:rsidR="00F20BB0" w:rsidRDefault="00F20BB0">
            <w:pPr>
              <w:adjustRightInd w:val="0"/>
              <w:snapToGrid w:val="0"/>
              <w:spacing w:line="360" w:lineRule="auto"/>
              <w:jc w:val="both"/>
              <w:rPr>
                <w:rFonts w:ascii="Book Antiqua" w:hAnsi="Book Antiqua" w:cs="Arial"/>
                <w:color w:val="000000"/>
              </w:rPr>
            </w:pPr>
          </w:p>
        </w:tc>
      </w:tr>
      <w:tr w:rsidR="00F20BB0" w14:paraId="2A8592F2" w14:textId="77777777">
        <w:trPr>
          <w:trHeight w:val="319"/>
        </w:trPr>
        <w:tc>
          <w:tcPr>
            <w:tcW w:w="1513" w:type="pct"/>
            <w:tcBorders>
              <w:top w:val="nil"/>
              <w:left w:val="nil"/>
              <w:bottom w:val="nil"/>
              <w:right w:val="nil"/>
            </w:tcBorders>
            <w:shd w:val="clear" w:color="auto" w:fill="auto"/>
            <w:noWrap/>
            <w:vAlign w:val="bottom"/>
          </w:tcPr>
          <w:p w14:paraId="66A0CF1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CA199 in U/mL</w:t>
            </w:r>
          </w:p>
        </w:tc>
        <w:tc>
          <w:tcPr>
            <w:tcW w:w="1232" w:type="pct"/>
            <w:tcBorders>
              <w:top w:val="nil"/>
              <w:left w:val="nil"/>
              <w:bottom w:val="nil"/>
              <w:right w:val="nil"/>
            </w:tcBorders>
            <w:shd w:val="clear" w:color="auto" w:fill="auto"/>
            <w:noWrap/>
            <w:vAlign w:val="bottom"/>
          </w:tcPr>
          <w:p w14:paraId="423631F9"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nil"/>
              <w:left w:val="nil"/>
              <w:bottom w:val="nil"/>
              <w:right w:val="nil"/>
            </w:tcBorders>
            <w:shd w:val="clear" w:color="auto" w:fill="auto"/>
            <w:noWrap/>
            <w:vAlign w:val="bottom"/>
          </w:tcPr>
          <w:p w14:paraId="3427FE4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&lt; 0.001</w:t>
            </w:r>
          </w:p>
        </w:tc>
        <w:tc>
          <w:tcPr>
            <w:tcW w:w="1202" w:type="pct"/>
            <w:tcBorders>
              <w:top w:val="nil"/>
              <w:left w:val="nil"/>
              <w:bottom w:val="nil"/>
              <w:right w:val="nil"/>
            </w:tcBorders>
            <w:shd w:val="clear" w:color="auto" w:fill="auto"/>
            <w:noWrap/>
            <w:vAlign w:val="bottom"/>
          </w:tcPr>
          <w:p w14:paraId="7D524440"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nil"/>
              <w:left w:val="nil"/>
              <w:bottom w:val="nil"/>
              <w:right w:val="nil"/>
            </w:tcBorders>
            <w:shd w:val="clear" w:color="auto" w:fill="auto"/>
            <w:noWrap/>
            <w:vAlign w:val="bottom"/>
          </w:tcPr>
          <w:p w14:paraId="58114B6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0.004</w:t>
            </w:r>
          </w:p>
        </w:tc>
      </w:tr>
      <w:tr w:rsidR="00F20BB0" w14:paraId="6C975CDE" w14:textId="77777777">
        <w:trPr>
          <w:trHeight w:val="319"/>
        </w:trPr>
        <w:tc>
          <w:tcPr>
            <w:tcW w:w="1513" w:type="pct"/>
            <w:tcBorders>
              <w:top w:val="nil"/>
              <w:left w:val="nil"/>
              <w:bottom w:val="nil"/>
              <w:right w:val="nil"/>
            </w:tcBorders>
            <w:shd w:val="clear" w:color="auto" w:fill="auto"/>
            <w:noWrap/>
            <w:vAlign w:val="bottom"/>
          </w:tcPr>
          <w:p w14:paraId="6163050F"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 37</w:t>
            </w:r>
          </w:p>
        </w:tc>
        <w:tc>
          <w:tcPr>
            <w:tcW w:w="1232" w:type="pct"/>
            <w:tcBorders>
              <w:top w:val="nil"/>
              <w:left w:val="nil"/>
              <w:bottom w:val="nil"/>
              <w:right w:val="nil"/>
            </w:tcBorders>
            <w:shd w:val="clear" w:color="auto" w:fill="auto"/>
            <w:noWrap/>
            <w:vAlign w:val="bottom"/>
          </w:tcPr>
          <w:p w14:paraId="2EC604A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7DADBD07"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0D39BC7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6" w:type="pct"/>
            <w:tcBorders>
              <w:top w:val="nil"/>
              <w:left w:val="nil"/>
              <w:bottom w:val="nil"/>
              <w:right w:val="nil"/>
            </w:tcBorders>
            <w:shd w:val="clear" w:color="auto" w:fill="auto"/>
            <w:noWrap/>
            <w:vAlign w:val="bottom"/>
          </w:tcPr>
          <w:p w14:paraId="7B00E67E" w14:textId="77777777" w:rsidR="00F20BB0" w:rsidRDefault="00F20BB0">
            <w:pPr>
              <w:adjustRightInd w:val="0"/>
              <w:snapToGrid w:val="0"/>
              <w:spacing w:line="360" w:lineRule="auto"/>
              <w:jc w:val="both"/>
              <w:rPr>
                <w:rFonts w:ascii="Book Antiqua" w:hAnsi="Book Antiqua" w:cs="Arial"/>
                <w:color w:val="000000"/>
              </w:rPr>
            </w:pPr>
          </w:p>
        </w:tc>
      </w:tr>
      <w:tr w:rsidR="00F20BB0" w14:paraId="23726797" w14:textId="77777777">
        <w:trPr>
          <w:trHeight w:val="319"/>
        </w:trPr>
        <w:tc>
          <w:tcPr>
            <w:tcW w:w="1513" w:type="pct"/>
            <w:tcBorders>
              <w:top w:val="nil"/>
              <w:left w:val="nil"/>
              <w:bottom w:val="nil"/>
              <w:right w:val="nil"/>
            </w:tcBorders>
            <w:shd w:val="clear" w:color="auto" w:fill="auto"/>
            <w:noWrap/>
            <w:vAlign w:val="bottom"/>
          </w:tcPr>
          <w:p w14:paraId="05D29C79"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&gt; 37</w:t>
            </w:r>
          </w:p>
        </w:tc>
        <w:tc>
          <w:tcPr>
            <w:tcW w:w="1232" w:type="pct"/>
            <w:tcBorders>
              <w:top w:val="nil"/>
              <w:left w:val="nil"/>
              <w:bottom w:val="nil"/>
              <w:right w:val="nil"/>
            </w:tcBorders>
            <w:shd w:val="clear" w:color="auto" w:fill="auto"/>
            <w:noWrap/>
            <w:vAlign w:val="bottom"/>
          </w:tcPr>
          <w:p w14:paraId="7BC9901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2.870 (2.191-3.759)</w:t>
            </w:r>
          </w:p>
        </w:tc>
        <w:tc>
          <w:tcPr>
            <w:tcW w:w="527" w:type="pct"/>
            <w:tcBorders>
              <w:top w:val="nil"/>
              <w:left w:val="nil"/>
              <w:bottom w:val="nil"/>
              <w:right w:val="nil"/>
            </w:tcBorders>
            <w:shd w:val="clear" w:color="auto" w:fill="auto"/>
            <w:noWrap/>
            <w:vAlign w:val="bottom"/>
          </w:tcPr>
          <w:p w14:paraId="7EAAB7A5"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76543298"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1.548 (1.150-2.083)</w:t>
            </w:r>
          </w:p>
        </w:tc>
        <w:tc>
          <w:tcPr>
            <w:tcW w:w="526" w:type="pct"/>
            <w:tcBorders>
              <w:top w:val="nil"/>
              <w:left w:val="nil"/>
              <w:bottom w:val="nil"/>
              <w:right w:val="nil"/>
            </w:tcBorders>
            <w:shd w:val="clear" w:color="auto" w:fill="auto"/>
            <w:noWrap/>
            <w:vAlign w:val="bottom"/>
          </w:tcPr>
          <w:p w14:paraId="1725E297" w14:textId="77777777" w:rsidR="00F20BB0" w:rsidRDefault="00F20BB0">
            <w:pPr>
              <w:adjustRightInd w:val="0"/>
              <w:snapToGrid w:val="0"/>
              <w:spacing w:line="360" w:lineRule="auto"/>
              <w:jc w:val="both"/>
              <w:rPr>
                <w:rFonts w:ascii="Book Antiqua" w:hAnsi="Book Antiqua" w:cs="Arial"/>
                <w:color w:val="000000"/>
              </w:rPr>
            </w:pPr>
          </w:p>
        </w:tc>
      </w:tr>
      <w:tr w:rsidR="00F20BB0" w14:paraId="67CEA0D9" w14:textId="77777777">
        <w:trPr>
          <w:trHeight w:val="319"/>
        </w:trPr>
        <w:tc>
          <w:tcPr>
            <w:tcW w:w="1513" w:type="pct"/>
            <w:tcBorders>
              <w:top w:val="nil"/>
              <w:left w:val="nil"/>
              <w:bottom w:val="nil"/>
              <w:right w:val="nil"/>
            </w:tcBorders>
            <w:shd w:val="clear" w:color="auto" w:fill="auto"/>
            <w:noWrap/>
            <w:vAlign w:val="bottom"/>
          </w:tcPr>
          <w:p w14:paraId="76FCD03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Tumor location</w:t>
            </w:r>
          </w:p>
        </w:tc>
        <w:tc>
          <w:tcPr>
            <w:tcW w:w="1232" w:type="pct"/>
            <w:tcBorders>
              <w:top w:val="nil"/>
              <w:left w:val="nil"/>
              <w:bottom w:val="nil"/>
              <w:right w:val="nil"/>
            </w:tcBorders>
            <w:shd w:val="clear" w:color="auto" w:fill="auto"/>
            <w:noWrap/>
            <w:vAlign w:val="bottom"/>
          </w:tcPr>
          <w:p w14:paraId="5BCBB473"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nil"/>
              <w:left w:val="nil"/>
              <w:bottom w:val="nil"/>
              <w:right w:val="nil"/>
            </w:tcBorders>
            <w:shd w:val="clear" w:color="auto" w:fill="auto"/>
            <w:noWrap/>
            <w:vAlign w:val="bottom"/>
          </w:tcPr>
          <w:p w14:paraId="30D69916"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0.050</w:t>
            </w:r>
          </w:p>
        </w:tc>
        <w:tc>
          <w:tcPr>
            <w:tcW w:w="1202" w:type="pct"/>
            <w:tcBorders>
              <w:top w:val="nil"/>
              <w:left w:val="nil"/>
              <w:bottom w:val="nil"/>
              <w:right w:val="nil"/>
            </w:tcBorders>
            <w:shd w:val="clear" w:color="auto" w:fill="auto"/>
            <w:noWrap/>
            <w:vAlign w:val="bottom"/>
          </w:tcPr>
          <w:p w14:paraId="33BBBDC1"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nil"/>
              <w:left w:val="nil"/>
              <w:bottom w:val="nil"/>
              <w:right w:val="nil"/>
            </w:tcBorders>
            <w:shd w:val="clear" w:color="auto" w:fill="auto"/>
            <w:noWrap/>
            <w:vAlign w:val="bottom"/>
          </w:tcPr>
          <w:p w14:paraId="446B6A0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0.895</w:t>
            </w:r>
          </w:p>
        </w:tc>
      </w:tr>
      <w:tr w:rsidR="00F20BB0" w14:paraId="51F2FE7F" w14:textId="77777777">
        <w:trPr>
          <w:trHeight w:val="319"/>
        </w:trPr>
        <w:tc>
          <w:tcPr>
            <w:tcW w:w="1513" w:type="pct"/>
            <w:tcBorders>
              <w:top w:val="nil"/>
              <w:left w:val="nil"/>
              <w:bottom w:val="nil"/>
              <w:right w:val="nil"/>
            </w:tcBorders>
            <w:shd w:val="clear" w:color="auto" w:fill="auto"/>
            <w:noWrap/>
            <w:vAlign w:val="bottom"/>
          </w:tcPr>
          <w:p w14:paraId="7CFD81AA"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Right-sided colon</w:t>
            </w:r>
          </w:p>
        </w:tc>
        <w:tc>
          <w:tcPr>
            <w:tcW w:w="1232" w:type="pct"/>
            <w:tcBorders>
              <w:top w:val="nil"/>
              <w:left w:val="nil"/>
              <w:bottom w:val="nil"/>
              <w:right w:val="nil"/>
            </w:tcBorders>
            <w:shd w:val="clear" w:color="auto" w:fill="auto"/>
            <w:noWrap/>
            <w:vAlign w:val="bottom"/>
          </w:tcPr>
          <w:p w14:paraId="246458F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38B6898C"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4DC79D1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6" w:type="pct"/>
            <w:tcBorders>
              <w:top w:val="nil"/>
              <w:left w:val="nil"/>
              <w:bottom w:val="nil"/>
              <w:right w:val="nil"/>
            </w:tcBorders>
            <w:shd w:val="clear" w:color="auto" w:fill="auto"/>
            <w:noWrap/>
            <w:vAlign w:val="bottom"/>
          </w:tcPr>
          <w:p w14:paraId="7DE193E0" w14:textId="77777777" w:rsidR="00F20BB0" w:rsidRDefault="00F20BB0">
            <w:pPr>
              <w:adjustRightInd w:val="0"/>
              <w:snapToGrid w:val="0"/>
              <w:spacing w:line="360" w:lineRule="auto"/>
              <w:jc w:val="both"/>
              <w:rPr>
                <w:rFonts w:ascii="Book Antiqua" w:hAnsi="Book Antiqua" w:cs="Arial"/>
                <w:color w:val="000000"/>
              </w:rPr>
            </w:pPr>
          </w:p>
        </w:tc>
      </w:tr>
      <w:tr w:rsidR="00F20BB0" w14:paraId="151744CB" w14:textId="77777777">
        <w:trPr>
          <w:trHeight w:val="319"/>
        </w:trPr>
        <w:tc>
          <w:tcPr>
            <w:tcW w:w="1513" w:type="pct"/>
            <w:tcBorders>
              <w:top w:val="nil"/>
              <w:left w:val="nil"/>
              <w:bottom w:val="nil"/>
              <w:right w:val="nil"/>
            </w:tcBorders>
            <w:shd w:val="clear" w:color="auto" w:fill="auto"/>
            <w:noWrap/>
            <w:vAlign w:val="bottom"/>
          </w:tcPr>
          <w:p w14:paraId="721A2D38"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Left-sided colon</w:t>
            </w:r>
          </w:p>
        </w:tc>
        <w:tc>
          <w:tcPr>
            <w:tcW w:w="1232" w:type="pct"/>
            <w:tcBorders>
              <w:top w:val="nil"/>
              <w:left w:val="nil"/>
              <w:bottom w:val="nil"/>
              <w:right w:val="nil"/>
            </w:tcBorders>
            <w:shd w:val="clear" w:color="auto" w:fill="auto"/>
            <w:noWrap/>
            <w:vAlign w:val="bottom"/>
          </w:tcPr>
          <w:p w14:paraId="7145AA7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0.952 (0.687-1.320)</w:t>
            </w:r>
          </w:p>
        </w:tc>
        <w:tc>
          <w:tcPr>
            <w:tcW w:w="527" w:type="pct"/>
            <w:tcBorders>
              <w:top w:val="nil"/>
              <w:left w:val="nil"/>
              <w:bottom w:val="nil"/>
              <w:right w:val="nil"/>
            </w:tcBorders>
            <w:shd w:val="clear" w:color="auto" w:fill="auto"/>
            <w:noWrap/>
            <w:vAlign w:val="bottom"/>
          </w:tcPr>
          <w:p w14:paraId="18A87683"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11D741C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0.933 (0.667-1.305)</w:t>
            </w:r>
          </w:p>
        </w:tc>
        <w:tc>
          <w:tcPr>
            <w:tcW w:w="526" w:type="pct"/>
            <w:tcBorders>
              <w:top w:val="nil"/>
              <w:left w:val="nil"/>
              <w:bottom w:val="nil"/>
              <w:right w:val="nil"/>
            </w:tcBorders>
            <w:shd w:val="clear" w:color="auto" w:fill="auto"/>
            <w:noWrap/>
            <w:vAlign w:val="bottom"/>
          </w:tcPr>
          <w:p w14:paraId="0A024B81" w14:textId="77777777" w:rsidR="00F20BB0" w:rsidRDefault="00F20BB0">
            <w:pPr>
              <w:adjustRightInd w:val="0"/>
              <w:snapToGrid w:val="0"/>
              <w:spacing w:line="360" w:lineRule="auto"/>
              <w:jc w:val="both"/>
              <w:rPr>
                <w:rFonts w:ascii="Book Antiqua" w:hAnsi="Book Antiqua" w:cs="Arial"/>
                <w:color w:val="000000"/>
              </w:rPr>
            </w:pPr>
          </w:p>
        </w:tc>
      </w:tr>
      <w:tr w:rsidR="00F20BB0" w14:paraId="30812A7E" w14:textId="77777777">
        <w:trPr>
          <w:trHeight w:val="319"/>
        </w:trPr>
        <w:tc>
          <w:tcPr>
            <w:tcW w:w="1513" w:type="pct"/>
            <w:tcBorders>
              <w:top w:val="nil"/>
              <w:left w:val="nil"/>
              <w:bottom w:val="nil"/>
              <w:right w:val="nil"/>
            </w:tcBorders>
            <w:shd w:val="clear" w:color="auto" w:fill="auto"/>
            <w:noWrap/>
            <w:vAlign w:val="bottom"/>
          </w:tcPr>
          <w:p w14:paraId="38B6EAAD"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Rectum</w:t>
            </w:r>
          </w:p>
        </w:tc>
        <w:tc>
          <w:tcPr>
            <w:tcW w:w="1232" w:type="pct"/>
            <w:tcBorders>
              <w:top w:val="nil"/>
              <w:left w:val="nil"/>
              <w:bottom w:val="nil"/>
              <w:right w:val="nil"/>
            </w:tcBorders>
            <w:shd w:val="clear" w:color="auto" w:fill="auto"/>
            <w:noWrap/>
            <w:vAlign w:val="bottom"/>
          </w:tcPr>
          <w:p w14:paraId="5C55BAE6"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0.706 (0.518-0.962)</w:t>
            </w:r>
          </w:p>
        </w:tc>
        <w:tc>
          <w:tcPr>
            <w:tcW w:w="527" w:type="pct"/>
            <w:tcBorders>
              <w:top w:val="nil"/>
              <w:left w:val="nil"/>
              <w:bottom w:val="nil"/>
              <w:right w:val="nil"/>
            </w:tcBorders>
            <w:shd w:val="clear" w:color="auto" w:fill="auto"/>
            <w:noWrap/>
            <w:vAlign w:val="bottom"/>
          </w:tcPr>
          <w:p w14:paraId="5FEFF167"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130CF32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0.934 (0.680-1.284)</w:t>
            </w:r>
          </w:p>
        </w:tc>
        <w:tc>
          <w:tcPr>
            <w:tcW w:w="526" w:type="pct"/>
            <w:tcBorders>
              <w:top w:val="nil"/>
              <w:left w:val="nil"/>
              <w:bottom w:val="nil"/>
              <w:right w:val="nil"/>
            </w:tcBorders>
            <w:shd w:val="clear" w:color="auto" w:fill="auto"/>
            <w:noWrap/>
            <w:vAlign w:val="bottom"/>
          </w:tcPr>
          <w:p w14:paraId="72DA01BA" w14:textId="77777777" w:rsidR="00F20BB0" w:rsidRDefault="00F20BB0">
            <w:pPr>
              <w:adjustRightInd w:val="0"/>
              <w:snapToGrid w:val="0"/>
              <w:spacing w:line="360" w:lineRule="auto"/>
              <w:jc w:val="both"/>
              <w:rPr>
                <w:rFonts w:ascii="Book Antiqua" w:hAnsi="Book Antiqua" w:cs="Arial"/>
                <w:color w:val="000000"/>
              </w:rPr>
            </w:pPr>
          </w:p>
        </w:tc>
      </w:tr>
      <w:tr w:rsidR="00F20BB0" w14:paraId="2B965EB1" w14:textId="77777777">
        <w:trPr>
          <w:trHeight w:val="319"/>
        </w:trPr>
        <w:tc>
          <w:tcPr>
            <w:tcW w:w="1513" w:type="pct"/>
            <w:tcBorders>
              <w:top w:val="nil"/>
              <w:left w:val="nil"/>
              <w:bottom w:val="nil"/>
              <w:right w:val="nil"/>
            </w:tcBorders>
            <w:shd w:val="clear" w:color="auto" w:fill="auto"/>
            <w:noWrap/>
            <w:vAlign w:val="bottom"/>
          </w:tcPr>
          <w:p w14:paraId="6647E93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Tumor size in cm</w:t>
            </w:r>
          </w:p>
        </w:tc>
        <w:tc>
          <w:tcPr>
            <w:tcW w:w="1232" w:type="pct"/>
            <w:tcBorders>
              <w:top w:val="nil"/>
              <w:left w:val="nil"/>
              <w:bottom w:val="nil"/>
              <w:right w:val="nil"/>
            </w:tcBorders>
            <w:shd w:val="clear" w:color="auto" w:fill="auto"/>
            <w:noWrap/>
            <w:vAlign w:val="bottom"/>
          </w:tcPr>
          <w:p w14:paraId="6FCB64E2"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nil"/>
              <w:left w:val="nil"/>
              <w:bottom w:val="nil"/>
              <w:right w:val="nil"/>
            </w:tcBorders>
            <w:shd w:val="clear" w:color="auto" w:fill="auto"/>
            <w:noWrap/>
            <w:vAlign w:val="bottom"/>
          </w:tcPr>
          <w:p w14:paraId="68EA13E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0.512</w:t>
            </w:r>
          </w:p>
        </w:tc>
        <w:tc>
          <w:tcPr>
            <w:tcW w:w="1202" w:type="pct"/>
            <w:tcBorders>
              <w:top w:val="nil"/>
              <w:left w:val="nil"/>
              <w:bottom w:val="nil"/>
              <w:right w:val="nil"/>
            </w:tcBorders>
            <w:shd w:val="clear" w:color="auto" w:fill="auto"/>
            <w:noWrap/>
            <w:vAlign w:val="bottom"/>
          </w:tcPr>
          <w:p w14:paraId="7709A096"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nil"/>
              <w:left w:val="nil"/>
              <w:bottom w:val="nil"/>
              <w:right w:val="nil"/>
            </w:tcBorders>
            <w:shd w:val="clear" w:color="auto" w:fill="auto"/>
            <w:noWrap/>
            <w:vAlign w:val="bottom"/>
          </w:tcPr>
          <w:p w14:paraId="47629261" w14:textId="77777777" w:rsidR="00F20BB0" w:rsidRDefault="00F20BB0">
            <w:pPr>
              <w:adjustRightInd w:val="0"/>
              <w:snapToGrid w:val="0"/>
              <w:spacing w:line="360" w:lineRule="auto"/>
              <w:jc w:val="both"/>
              <w:rPr>
                <w:rFonts w:ascii="Book Antiqua" w:hAnsi="Book Antiqua" w:cs="Arial"/>
              </w:rPr>
            </w:pPr>
          </w:p>
        </w:tc>
      </w:tr>
      <w:tr w:rsidR="00F20BB0" w14:paraId="71F7D18A" w14:textId="77777777">
        <w:trPr>
          <w:trHeight w:val="319"/>
        </w:trPr>
        <w:tc>
          <w:tcPr>
            <w:tcW w:w="1513" w:type="pct"/>
            <w:tcBorders>
              <w:top w:val="nil"/>
              <w:left w:val="nil"/>
              <w:bottom w:val="nil"/>
              <w:right w:val="nil"/>
            </w:tcBorders>
            <w:shd w:val="clear" w:color="auto" w:fill="auto"/>
            <w:noWrap/>
            <w:vAlign w:val="bottom"/>
          </w:tcPr>
          <w:p w14:paraId="42BB82C5"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 4.0</w:t>
            </w:r>
          </w:p>
        </w:tc>
        <w:tc>
          <w:tcPr>
            <w:tcW w:w="1232" w:type="pct"/>
            <w:tcBorders>
              <w:top w:val="nil"/>
              <w:left w:val="nil"/>
              <w:bottom w:val="nil"/>
              <w:right w:val="nil"/>
            </w:tcBorders>
            <w:shd w:val="clear" w:color="auto" w:fill="auto"/>
            <w:noWrap/>
            <w:vAlign w:val="bottom"/>
          </w:tcPr>
          <w:p w14:paraId="2E948A9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1394D610"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4FE4E12E" w14:textId="77777777" w:rsidR="00F20BB0" w:rsidRDefault="00F20BB0">
            <w:pPr>
              <w:adjustRightInd w:val="0"/>
              <w:snapToGrid w:val="0"/>
              <w:spacing w:line="360" w:lineRule="auto"/>
              <w:jc w:val="both"/>
              <w:rPr>
                <w:rFonts w:ascii="Book Antiqua" w:hAnsi="Book Antiqua" w:cs="Arial"/>
              </w:rPr>
            </w:pPr>
          </w:p>
        </w:tc>
        <w:tc>
          <w:tcPr>
            <w:tcW w:w="526" w:type="pct"/>
            <w:tcBorders>
              <w:top w:val="nil"/>
              <w:left w:val="nil"/>
              <w:bottom w:val="nil"/>
              <w:right w:val="nil"/>
            </w:tcBorders>
            <w:shd w:val="clear" w:color="auto" w:fill="auto"/>
            <w:noWrap/>
            <w:vAlign w:val="bottom"/>
          </w:tcPr>
          <w:p w14:paraId="1A9F727C" w14:textId="77777777" w:rsidR="00F20BB0" w:rsidRDefault="00F20BB0">
            <w:pPr>
              <w:adjustRightInd w:val="0"/>
              <w:snapToGrid w:val="0"/>
              <w:spacing w:line="360" w:lineRule="auto"/>
              <w:jc w:val="both"/>
              <w:rPr>
                <w:rFonts w:ascii="Book Antiqua" w:hAnsi="Book Antiqua" w:cs="Arial"/>
              </w:rPr>
            </w:pPr>
          </w:p>
        </w:tc>
      </w:tr>
      <w:tr w:rsidR="00F20BB0" w14:paraId="213D1747" w14:textId="77777777">
        <w:trPr>
          <w:trHeight w:val="319"/>
        </w:trPr>
        <w:tc>
          <w:tcPr>
            <w:tcW w:w="1513" w:type="pct"/>
            <w:tcBorders>
              <w:top w:val="nil"/>
              <w:left w:val="nil"/>
              <w:bottom w:val="nil"/>
              <w:right w:val="nil"/>
            </w:tcBorders>
            <w:shd w:val="clear" w:color="auto" w:fill="auto"/>
            <w:noWrap/>
            <w:vAlign w:val="bottom"/>
          </w:tcPr>
          <w:p w14:paraId="4B2E9ACF"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&gt; 4.0</w:t>
            </w:r>
          </w:p>
        </w:tc>
        <w:tc>
          <w:tcPr>
            <w:tcW w:w="1232" w:type="pct"/>
            <w:tcBorders>
              <w:top w:val="nil"/>
              <w:left w:val="nil"/>
              <w:bottom w:val="nil"/>
              <w:right w:val="nil"/>
            </w:tcBorders>
            <w:shd w:val="clear" w:color="auto" w:fill="auto"/>
            <w:noWrap/>
            <w:vAlign w:val="bottom"/>
          </w:tcPr>
          <w:p w14:paraId="55F5E4D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1.090 (0.843-1.409)</w:t>
            </w:r>
          </w:p>
        </w:tc>
        <w:tc>
          <w:tcPr>
            <w:tcW w:w="527" w:type="pct"/>
            <w:tcBorders>
              <w:top w:val="nil"/>
              <w:left w:val="nil"/>
              <w:bottom w:val="nil"/>
              <w:right w:val="nil"/>
            </w:tcBorders>
            <w:shd w:val="clear" w:color="auto" w:fill="auto"/>
            <w:noWrap/>
            <w:vAlign w:val="bottom"/>
          </w:tcPr>
          <w:p w14:paraId="55581C29"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303D42DD" w14:textId="77777777" w:rsidR="00F20BB0" w:rsidRDefault="00F20BB0">
            <w:pPr>
              <w:adjustRightInd w:val="0"/>
              <w:snapToGrid w:val="0"/>
              <w:spacing w:line="360" w:lineRule="auto"/>
              <w:jc w:val="both"/>
              <w:rPr>
                <w:rFonts w:ascii="Book Antiqua" w:hAnsi="Book Antiqua" w:cs="Arial"/>
              </w:rPr>
            </w:pPr>
          </w:p>
        </w:tc>
        <w:tc>
          <w:tcPr>
            <w:tcW w:w="526" w:type="pct"/>
            <w:tcBorders>
              <w:top w:val="nil"/>
              <w:left w:val="nil"/>
              <w:bottom w:val="nil"/>
              <w:right w:val="nil"/>
            </w:tcBorders>
            <w:shd w:val="clear" w:color="auto" w:fill="auto"/>
            <w:noWrap/>
            <w:vAlign w:val="bottom"/>
          </w:tcPr>
          <w:p w14:paraId="393AD654" w14:textId="77777777" w:rsidR="00F20BB0" w:rsidRDefault="00F20BB0">
            <w:pPr>
              <w:adjustRightInd w:val="0"/>
              <w:snapToGrid w:val="0"/>
              <w:spacing w:line="360" w:lineRule="auto"/>
              <w:jc w:val="both"/>
              <w:rPr>
                <w:rFonts w:ascii="Book Antiqua" w:hAnsi="Book Antiqua" w:cs="Arial"/>
              </w:rPr>
            </w:pPr>
          </w:p>
        </w:tc>
      </w:tr>
      <w:tr w:rsidR="00F20BB0" w14:paraId="24C64F90" w14:textId="77777777">
        <w:trPr>
          <w:trHeight w:val="319"/>
        </w:trPr>
        <w:tc>
          <w:tcPr>
            <w:tcW w:w="1513" w:type="pct"/>
            <w:tcBorders>
              <w:top w:val="nil"/>
              <w:left w:val="nil"/>
              <w:bottom w:val="nil"/>
              <w:right w:val="nil"/>
            </w:tcBorders>
            <w:shd w:val="clear" w:color="auto" w:fill="auto"/>
            <w:noWrap/>
            <w:vAlign w:val="bottom"/>
          </w:tcPr>
          <w:p w14:paraId="3FB2D29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Primary histological type</w:t>
            </w:r>
          </w:p>
        </w:tc>
        <w:tc>
          <w:tcPr>
            <w:tcW w:w="1232" w:type="pct"/>
            <w:tcBorders>
              <w:top w:val="nil"/>
              <w:left w:val="nil"/>
              <w:bottom w:val="nil"/>
              <w:right w:val="nil"/>
            </w:tcBorders>
            <w:shd w:val="clear" w:color="auto" w:fill="auto"/>
            <w:noWrap/>
            <w:vAlign w:val="bottom"/>
          </w:tcPr>
          <w:p w14:paraId="4A44BB00"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nil"/>
              <w:left w:val="nil"/>
              <w:bottom w:val="nil"/>
              <w:right w:val="nil"/>
            </w:tcBorders>
            <w:shd w:val="clear" w:color="auto" w:fill="auto"/>
            <w:noWrap/>
            <w:vAlign w:val="bottom"/>
          </w:tcPr>
          <w:p w14:paraId="49C6BCE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0.371</w:t>
            </w:r>
          </w:p>
        </w:tc>
        <w:tc>
          <w:tcPr>
            <w:tcW w:w="1202" w:type="pct"/>
            <w:tcBorders>
              <w:top w:val="nil"/>
              <w:left w:val="nil"/>
              <w:bottom w:val="nil"/>
              <w:right w:val="nil"/>
            </w:tcBorders>
            <w:shd w:val="clear" w:color="auto" w:fill="auto"/>
            <w:noWrap/>
            <w:vAlign w:val="bottom"/>
          </w:tcPr>
          <w:p w14:paraId="684AA657"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nil"/>
              <w:left w:val="nil"/>
              <w:bottom w:val="nil"/>
              <w:right w:val="nil"/>
            </w:tcBorders>
            <w:shd w:val="clear" w:color="auto" w:fill="auto"/>
            <w:noWrap/>
            <w:vAlign w:val="bottom"/>
          </w:tcPr>
          <w:p w14:paraId="12DC3412" w14:textId="77777777" w:rsidR="00F20BB0" w:rsidRDefault="00F20BB0">
            <w:pPr>
              <w:adjustRightInd w:val="0"/>
              <w:snapToGrid w:val="0"/>
              <w:spacing w:line="360" w:lineRule="auto"/>
              <w:jc w:val="both"/>
              <w:rPr>
                <w:rFonts w:ascii="Book Antiqua" w:hAnsi="Book Antiqua" w:cs="Arial"/>
              </w:rPr>
            </w:pPr>
          </w:p>
        </w:tc>
      </w:tr>
      <w:tr w:rsidR="00F20BB0" w14:paraId="17670E12" w14:textId="77777777">
        <w:trPr>
          <w:trHeight w:val="319"/>
        </w:trPr>
        <w:tc>
          <w:tcPr>
            <w:tcW w:w="1513" w:type="pct"/>
            <w:tcBorders>
              <w:top w:val="nil"/>
              <w:left w:val="nil"/>
              <w:bottom w:val="nil"/>
              <w:right w:val="nil"/>
            </w:tcBorders>
            <w:shd w:val="clear" w:color="auto" w:fill="auto"/>
            <w:noWrap/>
            <w:vAlign w:val="bottom"/>
          </w:tcPr>
          <w:p w14:paraId="66E7038E"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Non-mucinous</w:t>
            </w:r>
          </w:p>
        </w:tc>
        <w:tc>
          <w:tcPr>
            <w:tcW w:w="1232" w:type="pct"/>
            <w:tcBorders>
              <w:top w:val="nil"/>
              <w:left w:val="nil"/>
              <w:bottom w:val="nil"/>
              <w:right w:val="nil"/>
            </w:tcBorders>
            <w:shd w:val="clear" w:color="auto" w:fill="auto"/>
            <w:noWrap/>
            <w:vAlign w:val="bottom"/>
          </w:tcPr>
          <w:p w14:paraId="478039E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1D3AFCAF"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7AFC9944" w14:textId="77777777" w:rsidR="00F20BB0" w:rsidRDefault="00F20BB0">
            <w:pPr>
              <w:adjustRightInd w:val="0"/>
              <w:snapToGrid w:val="0"/>
              <w:spacing w:line="360" w:lineRule="auto"/>
              <w:jc w:val="both"/>
              <w:rPr>
                <w:rFonts w:ascii="Book Antiqua" w:hAnsi="Book Antiqua" w:cs="Arial"/>
              </w:rPr>
            </w:pPr>
          </w:p>
        </w:tc>
        <w:tc>
          <w:tcPr>
            <w:tcW w:w="526" w:type="pct"/>
            <w:tcBorders>
              <w:top w:val="nil"/>
              <w:left w:val="nil"/>
              <w:bottom w:val="nil"/>
              <w:right w:val="nil"/>
            </w:tcBorders>
            <w:shd w:val="clear" w:color="auto" w:fill="auto"/>
            <w:noWrap/>
            <w:vAlign w:val="bottom"/>
          </w:tcPr>
          <w:p w14:paraId="4790C1C9" w14:textId="77777777" w:rsidR="00F20BB0" w:rsidRDefault="00F20BB0">
            <w:pPr>
              <w:adjustRightInd w:val="0"/>
              <w:snapToGrid w:val="0"/>
              <w:spacing w:line="360" w:lineRule="auto"/>
              <w:jc w:val="both"/>
              <w:rPr>
                <w:rFonts w:ascii="Book Antiqua" w:hAnsi="Book Antiqua" w:cs="Arial"/>
              </w:rPr>
            </w:pPr>
          </w:p>
        </w:tc>
      </w:tr>
      <w:tr w:rsidR="00F20BB0" w14:paraId="6184DAAA" w14:textId="77777777">
        <w:trPr>
          <w:trHeight w:val="319"/>
        </w:trPr>
        <w:tc>
          <w:tcPr>
            <w:tcW w:w="1513" w:type="pct"/>
            <w:tcBorders>
              <w:top w:val="nil"/>
              <w:left w:val="nil"/>
              <w:bottom w:val="nil"/>
              <w:right w:val="nil"/>
            </w:tcBorders>
            <w:shd w:val="clear" w:color="auto" w:fill="auto"/>
            <w:noWrap/>
            <w:vAlign w:val="bottom"/>
          </w:tcPr>
          <w:p w14:paraId="6793780B"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lastRenderedPageBreak/>
              <w:t>Mucinous</w:t>
            </w:r>
          </w:p>
        </w:tc>
        <w:tc>
          <w:tcPr>
            <w:tcW w:w="1232" w:type="pct"/>
            <w:tcBorders>
              <w:top w:val="nil"/>
              <w:left w:val="nil"/>
              <w:bottom w:val="nil"/>
              <w:right w:val="nil"/>
            </w:tcBorders>
            <w:shd w:val="clear" w:color="auto" w:fill="auto"/>
            <w:noWrap/>
            <w:vAlign w:val="bottom"/>
          </w:tcPr>
          <w:p w14:paraId="1F711DF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0.854 (0.603-1.208)</w:t>
            </w:r>
          </w:p>
        </w:tc>
        <w:tc>
          <w:tcPr>
            <w:tcW w:w="527" w:type="pct"/>
            <w:tcBorders>
              <w:top w:val="nil"/>
              <w:left w:val="nil"/>
              <w:bottom w:val="nil"/>
              <w:right w:val="nil"/>
            </w:tcBorders>
            <w:shd w:val="clear" w:color="auto" w:fill="auto"/>
            <w:noWrap/>
            <w:vAlign w:val="bottom"/>
          </w:tcPr>
          <w:p w14:paraId="5197F3CF"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4D712CEE" w14:textId="77777777" w:rsidR="00F20BB0" w:rsidRDefault="00F20BB0">
            <w:pPr>
              <w:adjustRightInd w:val="0"/>
              <w:snapToGrid w:val="0"/>
              <w:spacing w:line="360" w:lineRule="auto"/>
              <w:jc w:val="both"/>
              <w:rPr>
                <w:rFonts w:ascii="Book Antiqua" w:hAnsi="Book Antiqua" w:cs="Arial"/>
              </w:rPr>
            </w:pPr>
          </w:p>
        </w:tc>
        <w:tc>
          <w:tcPr>
            <w:tcW w:w="526" w:type="pct"/>
            <w:tcBorders>
              <w:top w:val="nil"/>
              <w:left w:val="nil"/>
              <w:bottom w:val="nil"/>
              <w:right w:val="nil"/>
            </w:tcBorders>
            <w:shd w:val="clear" w:color="auto" w:fill="auto"/>
            <w:noWrap/>
            <w:vAlign w:val="bottom"/>
          </w:tcPr>
          <w:p w14:paraId="09D59369" w14:textId="77777777" w:rsidR="00F20BB0" w:rsidRDefault="00F20BB0">
            <w:pPr>
              <w:adjustRightInd w:val="0"/>
              <w:snapToGrid w:val="0"/>
              <w:spacing w:line="360" w:lineRule="auto"/>
              <w:jc w:val="both"/>
              <w:rPr>
                <w:rFonts w:ascii="Book Antiqua" w:hAnsi="Book Antiqua" w:cs="Arial"/>
              </w:rPr>
            </w:pPr>
          </w:p>
        </w:tc>
      </w:tr>
      <w:tr w:rsidR="00F20BB0" w14:paraId="4B28B61D" w14:textId="77777777">
        <w:trPr>
          <w:trHeight w:val="319"/>
        </w:trPr>
        <w:tc>
          <w:tcPr>
            <w:tcW w:w="1513" w:type="pct"/>
            <w:tcBorders>
              <w:top w:val="nil"/>
              <w:left w:val="nil"/>
              <w:bottom w:val="nil"/>
              <w:right w:val="nil"/>
            </w:tcBorders>
            <w:shd w:val="clear" w:color="auto" w:fill="auto"/>
            <w:noWrap/>
            <w:vAlign w:val="bottom"/>
          </w:tcPr>
          <w:p w14:paraId="40C59C73"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Primary differentiation</w:t>
            </w:r>
          </w:p>
        </w:tc>
        <w:tc>
          <w:tcPr>
            <w:tcW w:w="1232" w:type="pct"/>
            <w:tcBorders>
              <w:top w:val="nil"/>
              <w:left w:val="nil"/>
              <w:bottom w:val="nil"/>
              <w:right w:val="nil"/>
            </w:tcBorders>
            <w:shd w:val="clear" w:color="auto" w:fill="auto"/>
            <w:noWrap/>
            <w:vAlign w:val="bottom"/>
          </w:tcPr>
          <w:p w14:paraId="780FC8CE"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nil"/>
              <w:left w:val="nil"/>
              <w:bottom w:val="nil"/>
              <w:right w:val="nil"/>
            </w:tcBorders>
            <w:shd w:val="clear" w:color="auto" w:fill="auto"/>
            <w:noWrap/>
            <w:vAlign w:val="bottom"/>
          </w:tcPr>
          <w:p w14:paraId="10978FA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0.002</w:t>
            </w:r>
          </w:p>
        </w:tc>
        <w:tc>
          <w:tcPr>
            <w:tcW w:w="1202" w:type="pct"/>
            <w:tcBorders>
              <w:top w:val="nil"/>
              <w:left w:val="nil"/>
              <w:bottom w:val="nil"/>
              <w:right w:val="nil"/>
            </w:tcBorders>
            <w:shd w:val="clear" w:color="auto" w:fill="auto"/>
            <w:noWrap/>
            <w:vAlign w:val="bottom"/>
          </w:tcPr>
          <w:p w14:paraId="216EED6F"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nil"/>
              <w:left w:val="nil"/>
              <w:bottom w:val="nil"/>
              <w:right w:val="nil"/>
            </w:tcBorders>
            <w:shd w:val="clear" w:color="auto" w:fill="auto"/>
            <w:noWrap/>
            <w:vAlign w:val="bottom"/>
          </w:tcPr>
          <w:p w14:paraId="37978727"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0.162</w:t>
            </w:r>
          </w:p>
        </w:tc>
      </w:tr>
      <w:tr w:rsidR="00F20BB0" w14:paraId="2E405F6F" w14:textId="77777777">
        <w:trPr>
          <w:trHeight w:val="319"/>
        </w:trPr>
        <w:tc>
          <w:tcPr>
            <w:tcW w:w="1513" w:type="pct"/>
            <w:tcBorders>
              <w:top w:val="nil"/>
              <w:left w:val="nil"/>
              <w:bottom w:val="nil"/>
              <w:right w:val="nil"/>
            </w:tcBorders>
            <w:shd w:val="clear" w:color="auto" w:fill="auto"/>
            <w:noWrap/>
            <w:vAlign w:val="bottom"/>
          </w:tcPr>
          <w:p w14:paraId="73DF534B" w14:textId="77777777" w:rsidR="00F20BB0" w:rsidRDefault="00000000">
            <w:pPr>
              <w:adjustRightInd w:val="0"/>
              <w:snapToGrid w:val="0"/>
              <w:spacing w:line="360" w:lineRule="auto"/>
              <w:ind w:leftChars="100" w:left="240"/>
              <w:jc w:val="both"/>
              <w:rPr>
                <w:rFonts w:ascii="Book Antiqua" w:hAnsi="Book Antiqua" w:cs="Arial"/>
                <w:color w:val="000000"/>
              </w:rPr>
            </w:pPr>
            <w:proofErr w:type="gramStart"/>
            <w:r>
              <w:rPr>
                <w:rFonts w:ascii="Book Antiqua" w:hAnsi="Book Antiqua" w:cs="Arial"/>
                <w:color w:val="000000"/>
              </w:rPr>
              <w:t>Well</w:t>
            </w:r>
            <w:proofErr w:type="gramEnd"/>
            <w:r>
              <w:rPr>
                <w:rFonts w:ascii="Book Antiqua" w:hAnsi="Book Antiqua" w:cs="Arial"/>
                <w:color w:val="000000"/>
              </w:rPr>
              <w:t>/moderate</w:t>
            </w:r>
          </w:p>
        </w:tc>
        <w:tc>
          <w:tcPr>
            <w:tcW w:w="1232" w:type="pct"/>
            <w:tcBorders>
              <w:top w:val="nil"/>
              <w:left w:val="nil"/>
              <w:bottom w:val="nil"/>
              <w:right w:val="nil"/>
            </w:tcBorders>
            <w:shd w:val="clear" w:color="auto" w:fill="auto"/>
            <w:noWrap/>
            <w:vAlign w:val="bottom"/>
          </w:tcPr>
          <w:p w14:paraId="598B5F8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52DBAA0F"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5017E54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6" w:type="pct"/>
            <w:tcBorders>
              <w:top w:val="nil"/>
              <w:left w:val="nil"/>
              <w:bottom w:val="nil"/>
              <w:right w:val="nil"/>
            </w:tcBorders>
            <w:shd w:val="clear" w:color="auto" w:fill="auto"/>
            <w:noWrap/>
            <w:vAlign w:val="bottom"/>
          </w:tcPr>
          <w:p w14:paraId="3FC2C65B" w14:textId="77777777" w:rsidR="00F20BB0" w:rsidRDefault="00F20BB0">
            <w:pPr>
              <w:adjustRightInd w:val="0"/>
              <w:snapToGrid w:val="0"/>
              <w:spacing w:line="360" w:lineRule="auto"/>
              <w:jc w:val="both"/>
              <w:rPr>
                <w:rFonts w:ascii="Book Antiqua" w:hAnsi="Book Antiqua" w:cs="Arial"/>
                <w:color w:val="000000"/>
              </w:rPr>
            </w:pPr>
          </w:p>
        </w:tc>
      </w:tr>
      <w:tr w:rsidR="00F20BB0" w14:paraId="490F8113" w14:textId="77777777">
        <w:trPr>
          <w:trHeight w:val="319"/>
        </w:trPr>
        <w:tc>
          <w:tcPr>
            <w:tcW w:w="1513" w:type="pct"/>
            <w:tcBorders>
              <w:top w:val="nil"/>
              <w:left w:val="nil"/>
              <w:bottom w:val="nil"/>
              <w:right w:val="nil"/>
            </w:tcBorders>
            <w:shd w:val="clear" w:color="auto" w:fill="auto"/>
            <w:noWrap/>
            <w:vAlign w:val="bottom"/>
          </w:tcPr>
          <w:p w14:paraId="7699FF03"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Poor/anaplastic</w:t>
            </w:r>
          </w:p>
        </w:tc>
        <w:tc>
          <w:tcPr>
            <w:tcW w:w="1232" w:type="pct"/>
            <w:tcBorders>
              <w:top w:val="nil"/>
              <w:left w:val="nil"/>
              <w:bottom w:val="nil"/>
              <w:right w:val="nil"/>
            </w:tcBorders>
            <w:shd w:val="clear" w:color="auto" w:fill="auto"/>
            <w:noWrap/>
            <w:vAlign w:val="bottom"/>
          </w:tcPr>
          <w:p w14:paraId="0CD90031"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1.507 (1.162-1.954)</w:t>
            </w:r>
          </w:p>
        </w:tc>
        <w:tc>
          <w:tcPr>
            <w:tcW w:w="527" w:type="pct"/>
            <w:tcBorders>
              <w:top w:val="nil"/>
              <w:left w:val="nil"/>
              <w:bottom w:val="nil"/>
              <w:right w:val="nil"/>
            </w:tcBorders>
            <w:shd w:val="clear" w:color="auto" w:fill="auto"/>
            <w:noWrap/>
            <w:vAlign w:val="bottom"/>
          </w:tcPr>
          <w:p w14:paraId="7BE91311"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378D670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1.210 (0.926-1.581)</w:t>
            </w:r>
          </w:p>
        </w:tc>
        <w:tc>
          <w:tcPr>
            <w:tcW w:w="526" w:type="pct"/>
            <w:tcBorders>
              <w:top w:val="nil"/>
              <w:left w:val="nil"/>
              <w:bottom w:val="nil"/>
              <w:right w:val="nil"/>
            </w:tcBorders>
            <w:shd w:val="clear" w:color="auto" w:fill="auto"/>
            <w:noWrap/>
            <w:vAlign w:val="bottom"/>
          </w:tcPr>
          <w:p w14:paraId="46B5D740" w14:textId="77777777" w:rsidR="00F20BB0" w:rsidRDefault="00F20BB0">
            <w:pPr>
              <w:adjustRightInd w:val="0"/>
              <w:snapToGrid w:val="0"/>
              <w:spacing w:line="360" w:lineRule="auto"/>
              <w:jc w:val="both"/>
              <w:rPr>
                <w:rFonts w:ascii="Book Antiqua" w:hAnsi="Book Antiqua" w:cs="Arial"/>
                <w:color w:val="000000"/>
              </w:rPr>
            </w:pPr>
          </w:p>
        </w:tc>
      </w:tr>
      <w:tr w:rsidR="00F20BB0" w14:paraId="5F330FDC" w14:textId="77777777">
        <w:trPr>
          <w:trHeight w:val="319"/>
        </w:trPr>
        <w:tc>
          <w:tcPr>
            <w:tcW w:w="1513" w:type="pct"/>
            <w:tcBorders>
              <w:top w:val="nil"/>
              <w:left w:val="nil"/>
              <w:bottom w:val="nil"/>
              <w:right w:val="nil"/>
            </w:tcBorders>
            <w:shd w:val="clear" w:color="auto" w:fill="auto"/>
            <w:noWrap/>
            <w:vAlign w:val="bottom"/>
          </w:tcPr>
          <w:p w14:paraId="72D7930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T stage</w:t>
            </w:r>
          </w:p>
        </w:tc>
        <w:tc>
          <w:tcPr>
            <w:tcW w:w="1232" w:type="pct"/>
            <w:tcBorders>
              <w:top w:val="nil"/>
              <w:left w:val="nil"/>
              <w:bottom w:val="nil"/>
              <w:right w:val="nil"/>
            </w:tcBorders>
            <w:shd w:val="clear" w:color="auto" w:fill="auto"/>
            <w:noWrap/>
            <w:vAlign w:val="bottom"/>
          </w:tcPr>
          <w:p w14:paraId="5330B801"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nil"/>
              <w:left w:val="nil"/>
              <w:bottom w:val="nil"/>
              <w:right w:val="nil"/>
            </w:tcBorders>
            <w:shd w:val="clear" w:color="auto" w:fill="auto"/>
            <w:noWrap/>
            <w:vAlign w:val="bottom"/>
          </w:tcPr>
          <w:p w14:paraId="0F0FE23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&lt; 0.001</w:t>
            </w:r>
          </w:p>
        </w:tc>
        <w:tc>
          <w:tcPr>
            <w:tcW w:w="1202" w:type="pct"/>
            <w:tcBorders>
              <w:top w:val="nil"/>
              <w:left w:val="nil"/>
              <w:bottom w:val="nil"/>
              <w:right w:val="nil"/>
            </w:tcBorders>
            <w:shd w:val="clear" w:color="auto" w:fill="auto"/>
            <w:noWrap/>
            <w:vAlign w:val="bottom"/>
          </w:tcPr>
          <w:p w14:paraId="6F67433B"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nil"/>
              <w:left w:val="nil"/>
              <w:bottom w:val="nil"/>
              <w:right w:val="nil"/>
            </w:tcBorders>
            <w:shd w:val="clear" w:color="auto" w:fill="auto"/>
            <w:noWrap/>
            <w:vAlign w:val="bottom"/>
          </w:tcPr>
          <w:p w14:paraId="678B1F0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0.163</w:t>
            </w:r>
          </w:p>
        </w:tc>
      </w:tr>
      <w:tr w:rsidR="00F20BB0" w14:paraId="36978DED" w14:textId="77777777">
        <w:trPr>
          <w:trHeight w:val="319"/>
        </w:trPr>
        <w:tc>
          <w:tcPr>
            <w:tcW w:w="1513" w:type="pct"/>
            <w:tcBorders>
              <w:top w:val="nil"/>
              <w:left w:val="nil"/>
              <w:bottom w:val="nil"/>
              <w:right w:val="nil"/>
            </w:tcBorders>
            <w:shd w:val="clear" w:color="auto" w:fill="auto"/>
            <w:noWrap/>
            <w:vAlign w:val="bottom"/>
          </w:tcPr>
          <w:p w14:paraId="44F45878"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T1/T2</w:t>
            </w:r>
          </w:p>
        </w:tc>
        <w:tc>
          <w:tcPr>
            <w:tcW w:w="1232" w:type="pct"/>
            <w:tcBorders>
              <w:top w:val="nil"/>
              <w:left w:val="nil"/>
              <w:bottom w:val="nil"/>
              <w:right w:val="nil"/>
            </w:tcBorders>
            <w:shd w:val="clear" w:color="auto" w:fill="auto"/>
            <w:noWrap/>
            <w:vAlign w:val="bottom"/>
          </w:tcPr>
          <w:p w14:paraId="6CF2BC7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37364A39"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38CA50B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6" w:type="pct"/>
            <w:tcBorders>
              <w:top w:val="nil"/>
              <w:left w:val="nil"/>
              <w:bottom w:val="nil"/>
              <w:right w:val="nil"/>
            </w:tcBorders>
            <w:shd w:val="clear" w:color="auto" w:fill="auto"/>
            <w:noWrap/>
            <w:vAlign w:val="bottom"/>
          </w:tcPr>
          <w:p w14:paraId="448828F1" w14:textId="77777777" w:rsidR="00F20BB0" w:rsidRDefault="00F20BB0">
            <w:pPr>
              <w:adjustRightInd w:val="0"/>
              <w:snapToGrid w:val="0"/>
              <w:spacing w:line="360" w:lineRule="auto"/>
              <w:jc w:val="both"/>
              <w:rPr>
                <w:rFonts w:ascii="Book Antiqua" w:hAnsi="Book Antiqua" w:cs="Arial"/>
                <w:color w:val="000000"/>
              </w:rPr>
            </w:pPr>
          </w:p>
        </w:tc>
      </w:tr>
      <w:tr w:rsidR="00F20BB0" w14:paraId="4019A72E" w14:textId="77777777">
        <w:trPr>
          <w:trHeight w:val="319"/>
        </w:trPr>
        <w:tc>
          <w:tcPr>
            <w:tcW w:w="1513" w:type="pct"/>
            <w:tcBorders>
              <w:top w:val="nil"/>
              <w:left w:val="nil"/>
              <w:bottom w:val="nil"/>
              <w:right w:val="nil"/>
            </w:tcBorders>
            <w:shd w:val="clear" w:color="auto" w:fill="auto"/>
            <w:noWrap/>
            <w:vAlign w:val="bottom"/>
          </w:tcPr>
          <w:p w14:paraId="6F2C97E8"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T3/T4</w:t>
            </w:r>
          </w:p>
        </w:tc>
        <w:tc>
          <w:tcPr>
            <w:tcW w:w="1232" w:type="pct"/>
            <w:tcBorders>
              <w:top w:val="nil"/>
              <w:left w:val="nil"/>
              <w:bottom w:val="nil"/>
              <w:right w:val="nil"/>
            </w:tcBorders>
            <w:shd w:val="clear" w:color="auto" w:fill="auto"/>
            <w:noWrap/>
            <w:vAlign w:val="bottom"/>
          </w:tcPr>
          <w:p w14:paraId="1CCCA52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3.058 (1.934-4.834)</w:t>
            </w:r>
          </w:p>
        </w:tc>
        <w:tc>
          <w:tcPr>
            <w:tcW w:w="527" w:type="pct"/>
            <w:tcBorders>
              <w:top w:val="nil"/>
              <w:left w:val="nil"/>
              <w:bottom w:val="nil"/>
              <w:right w:val="nil"/>
            </w:tcBorders>
            <w:shd w:val="clear" w:color="auto" w:fill="auto"/>
            <w:noWrap/>
            <w:vAlign w:val="bottom"/>
          </w:tcPr>
          <w:p w14:paraId="71E99FF6"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2AAAA0C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1.415 (0.869-2.306)</w:t>
            </w:r>
          </w:p>
        </w:tc>
        <w:tc>
          <w:tcPr>
            <w:tcW w:w="526" w:type="pct"/>
            <w:tcBorders>
              <w:top w:val="nil"/>
              <w:left w:val="nil"/>
              <w:bottom w:val="nil"/>
              <w:right w:val="nil"/>
            </w:tcBorders>
            <w:shd w:val="clear" w:color="auto" w:fill="auto"/>
            <w:noWrap/>
            <w:vAlign w:val="bottom"/>
          </w:tcPr>
          <w:p w14:paraId="6EE77252" w14:textId="77777777" w:rsidR="00F20BB0" w:rsidRDefault="00F20BB0">
            <w:pPr>
              <w:adjustRightInd w:val="0"/>
              <w:snapToGrid w:val="0"/>
              <w:spacing w:line="360" w:lineRule="auto"/>
              <w:jc w:val="both"/>
              <w:rPr>
                <w:rFonts w:ascii="Book Antiqua" w:hAnsi="Book Antiqua" w:cs="Arial"/>
                <w:color w:val="000000"/>
              </w:rPr>
            </w:pPr>
          </w:p>
        </w:tc>
      </w:tr>
      <w:tr w:rsidR="00F20BB0" w14:paraId="04ADA1A4" w14:textId="77777777">
        <w:trPr>
          <w:trHeight w:val="319"/>
        </w:trPr>
        <w:tc>
          <w:tcPr>
            <w:tcW w:w="1513" w:type="pct"/>
            <w:tcBorders>
              <w:top w:val="nil"/>
              <w:left w:val="nil"/>
              <w:bottom w:val="nil"/>
              <w:right w:val="nil"/>
            </w:tcBorders>
            <w:shd w:val="clear" w:color="auto" w:fill="auto"/>
            <w:noWrap/>
            <w:vAlign w:val="bottom"/>
          </w:tcPr>
          <w:p w14:paraId="332F5F1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N stage</w:t>
            </w:r>
          </w:p>
        </w:tc>
        <w:tc>
          <w:tcPr>
            <w:tcW w:w="1232" w:type="pct"/>
            <w:tcBorders>
              <w:top w:val="nil"/>
              <w:left w:val="nil"/>
              <w:bottom w:val="nil"/>
              <w:right w:val="nil"/>
            </w:tcBorders>
            <w:shd w:val="clear" w:color="auto" w:fill="auto"/>
            <w:noWrap/>
            <w:vAlign w:val="bottom"/>
          </w:tcPr>
          <w:p w14:paraId="3B5EAA00"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nil"/>
              <w:left w:val="nil"/>
              <w:bottom w:val="nil"/>
              <w:right w:val="nil"/>
            </w:tcBorders>
            <w:shd w:val="clear" w:color="auto" w:fill="auto"/>
            <w:noWrap/>
            <w:vAlign w:val="bottom"/>
          </w:tcPr>
          <w:p w14:paraId="39AC9CE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&lt; 0.001</w:t>
            </w:r>
          </w:p>
        </w:tc>
        <w:tc>
          <w:tcPr>
            <w:tcW w:w="1202" w:type="pct"/>
            <w:tcBorders>
              <w:top w:val="nil"/>
              <w:left w:val="nil"/>
              <w:bottom w:val="nil"/>
              <w:right w:val="nil"/>
            </w:tcBorders>
            <w:shd w:val="clear" w:color="auto" w:fill="auto"/>
            <w:noWrap/>
            <w:vAlign w:val="bottom"/>
          </w:tcPr>
          <w:p w14:paraId="2E0B96F8"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nil"/>
              <w:left w:val="nil"/>
              <w:bottom w:val="nil"/>
              <w:right w:val="nil"/>
            </w:tcBorders>
            <w:shd w:val="clear" w:color="auto" w:fill="auto"/>
            <w:noWrap/>
            <w:vAlign w:val="bottom"/>
          </w:tcPr>
          <w:p w14:paraId="0DAB6E28"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&lt; 0.001</w:t>
            </w:r>
          </w:p>
        </w:tc>
      </w:tr>
      <w:tr w:rsidR="00F20BB0" w14:paraId="2AB6AD34" w14:textId="77777777">
        <w:trPr>
          <w:trHeight w:val="319"/>
        </w:trPr>
        <w:tc>
          <w:tcPr>
            <w:tcW w:w="1513" w:type="pct"/>
            <w:tcBorders>
              <w:top w:val="nil"/>
              <w:left w:val="nil"/>
              <w:bottom w:val="nil"/>
              <w:right w:val="nil"/>
            </w:tcBorders>
            <w:shd w:val="clear" w:color="auto" w:fill="auto"/>
            <w:noWrap/>
            <w:vAlign w:val="bottom"/>
          </w:tcPr>
          <w:p w14:paraId="141ED165"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N0</w:t>
            </w:r>
          </w:p>
        </w:tc>
        <w:tc>
          <w:tcPr>
            <w:tcW w:w="1232" w:type="pct"/>
            <w:tcBorders>
              <w:top w:val="nil"/>
              <w:left w:val="nil"/>
              <w:bottom w:val="nil"/>
              <w:right w:val="nil"/>
            </w:tcBorders>
            <w:shd w:val="clear" w:color="auto" w:fill="auto"/>
            <w:noWrap/>
            <w:vAlign w:val="bottom"/>
          </w:tcPr>
          <w:p w14:paraId="7D53C7B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12227268"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4E8BC40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6" w:type="pct"/>
            <w:tcBorders>
              <w:top w:val="nil"/>
              <w:left w:val="nil"/>
              <w:bottom w:val="nil"/>
              <w:right w:val="nil"/>
            </w:tcBorders>
            <w:shd w:val="clear" w:color="auto" w:fill="auto"/>
            <w:noWrap/>
            <w:vAlign w:val="bottom"/>
          </w:tcPr>
          <w:p w14:paraId="62EC9FAD" w14:textId="77777777" w:rsidR="00F20BB0" w:rsidRDefault="00F20BB0">
            <w:pPr>
              <w:adjustRightInd w:val="0"/>
              <w:snapToGrid w:val="0"/>
              <w:spacing w:line="360" w:lineRule="auto"/>
              <w:jc w:val="both"/>
              <w:rPr>
                <w:rFonts w:ascii="Book Antiqua" w:hAnsi="Book Antiqua" w:cs="Arial"/>
                <w:color w:val="000000"/>
              </w:rPr>
            </w:pPr>
          </w:p>
        </w:tc>
      </w:tr>
      <w:tr w:rsidR="00F20BB0" w14:paraId="546143A5" w14:textId="77777777">
        <w:trPr>
          <w:trHeight w:val="319"/>
        </w:trPr>
        <w:tc>
          <w:tcPr>
            <w:tcW w:w="1513" w:type="pct"/>
            <w:tcBorders>
              <w:top w:val="nil"/>
              <w:left w:val="nil"/>
              <w:bottom w:val="nil"/>
              <w:right w:val="nil"/>
            </w:tcBorders>
            <w:shd w:val="clear" w:color="auto" w:fill="auto"/>
            <w:noWrap/>
            <w:vAlign w:val="bottom"/>
          </w:tcPr>
          <w:p w14:paraId="3D1F794F"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N1/N2</w:t>
            </w:r>
          </w:p>
        </w:tc>
        <w:tc>
          <w:tcPr>
            <w:tcW w:w="1232" w:type="pct"/>
            <w:tcBorders>
              <w:top w:val="nil"/>
              <w:left w:val="nil"/>
              <w:bottom w:val="nil"/>
              <w:right w:val="nil"/>
            </w:tcBorders>
            <w:shd w:val="clear" w:color="auto" w:fill="auto"/>
            <w:noWrap/>
            <w:vAlign w:val="bottom"/>
          </w:tcPr>
          <w:p w14:paraId="7B7DA83B"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2.948 (2.852-3.859)</w:t>
            </w:r>
          </w:p>
        </w:tc>
        <w:tc>
          <w:tcPr>
            <w:tcW w:w="527" w:type="pct"/>
            <w:tcBorders>
              <w:top w:val="nil"/>
              <w:left w:val="nil"/>
              <w:bottom w:val="nil"/>
              <w:right w:val="nil"/>
            </w:tcBorders>
            <w:shd w:val="clear" w:color="auto" w:fill="auto"/>
            <w:noWrap/>
            <w:vAlign w:val="bottom"/>
          </w:tcPr>
          <w:p w14:paraId="1EABEC27"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448F4C4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1.701 (1.272-2.274)</w:t>
            </w:r>
          </w:p>
        </w:tc>
        <w:tc>
          <w:tcPr>
            <w:tcW w:w="526" w:type="pct"/>
            <w:tcBorders>
              <w:top w:val="nil"/>
              <w:left w:val="nil"/>
              <w:bottom w:val="nil"/>
              <w:right w:val="nil"/>
            </w:tcBorders>
            <w:shd w:val="clear" w:color="auto" w:fill="auto"/>
            <w:noWrap/>
            <w:vAlign w:val="bottom"/>
          </w:tcPr>
          <w:p w14:paraId="486E8E98" w14:textId="77777777" w:rsidR="00F20BB0" w:rsidRDefault="00F20BB0">
            <w:pPr>
              <w:adjustRightInd w:val="0"/>
              <w:snapToGrid w:val="0"/>
              <w:spacing w:line="360" w:lineRule="auto"/>
              <w:jc w:val="both"/>
              <w:rPr>
                <w:rFonts w:ascii="Book Antiqua" w:hAnsi="Book Antiqua" w:cs="Arial"/>
                <w:color w:val="000000"/>
              </w:rPr>
            </w:pPr>
          </w:p>
        </w:tc>
      </w:tr>
      <w:tr w:rsidR="00F20BB0" w14:paraId="3A76B2A9" w14:textId="77777777">
        <w:trPr>
          <w:trHeight w:val="319"/>
        </w:trPr>
        <w:tc>
          <w:tcPr>
            <w:tcW w:w="1513" w:type="pct"/>
            <w:tcBorders>
              <w:top w:val="nil"/>
              <w:left w:val="nil"/>
              <w:bottom w:val="nil"/>
              <w:right w:val="nil"/>
            </w:tcBorders>
            <w:shd w:val="clear" w:color="auto" w:fill="auto"/>
            <w:noWrap/>
            <w:vAlign w:val="bottom"/>
          </w:tcPr>
          <w:p w14:paraId="326CF665"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M stage</w:t>
            </w:r>
          </w:p>
        </w:tc>
        <w:tc>
          <w:tcPr>
            <w:tcW w:w="1232" w:type="pct"/>
            <w:tcBorders>
              <w:top w:val="nil"/>
              <w:left w:val="nil"/>
              <w:bottom w:val="nil"/>
              <w:right w:val="nil"/>
            </w:tcBorders>
            <w:shd w:val="clear" w:color="auto" w:fill="auto"/>
            <w:noWrap/>
            <w:vAlign w:val="bottom"/>
          </w:tcPr>
          <w:p w14:paraId="19355849"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nil"/>
              <w:left w:val="nil"/>
              <w:bottom w:val="nil"/>
              <w:right w:val="nil"/>
            </w:tcBorders>
            <w:shd w:val="clear" w:color="auto" w:fill="auto"/>
            <w:noWrap/>
            <w:vAlign w:val="bottom"/>
          </w:tcPr>
          <w:p w14:paraId="2E88A8F6"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&lt; 0.001</w:t>
            </w:r>
          </w:p>
        </w:tc>
        <w:tc>
          <w:tcPr>
            <w:tcW w:w="1202" w:type="pct"/>
            <w:tcBorders>
              <w:top w:val="nil"/>
              <w:left w:val="nil"/>
              <w:bottom w:val="nil"/>
              <w:right w:val="nil"/>
            </w:tcBorders>
            <w:shd w:val="clear" w:color="auto" w:fill="auto"/>
            <w:noWrap/>
            <w:vAlign w:val="bottom"/>
          </w:tcPr>
          <w:p w14:paraId="4BC6A0EF"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nil"/>
              <w:left w:val="nil"/>
              <w:bottom w:val="nil"/>
              <w:right w:val="nil"/>
            </w:tcBorders>
            <w:shd w:val="clear" w:color="auto" w:fill="auto"/>
            <w:noWrap/>
            <w:vAlign w:val="bottom"/>
          </w:tcPr>
          <w:p w14:paraId="1E18DA2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&lt; 0.001</w:t>
            </w:r>
          </w:p>
        </w:tc>
      </w:tr>
      <w:tr w:rsidR="00F20BB0" w14:paraId="2AC2D087" w14:textId="77777777">
        <w:trPr>
          <w:trHeight w:val="319"/>
        </w:trPr>
        <w:tc>
          <w:tcPr>
            <w:tcW w:w="1513" w:type="pct"/>
            <w:tcBorders>
              <w:top w:val="nil"/>
              <w:left w:val="nil"/>
              <w:bottom w:val="nil"/>
              <w:right w:val="nil"/>
            </w:tcBorders>
            <w:shd w:val="clear" w:color="auto" w:fill="auto"/>
            <w:noWrap/>
            <w:vAlign w:val="bottom"/>
          </w:tcPr>
          <w:p w14:paraId="76B0CDB7"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M0</w:t>
            </w:r>
          </w:p>
        </w:tc>
        <w:tc>
          <w:tcPr>
            <w:tcW w:w="1232" w:type="pct"/>
            <w:tcBorders>
              <w:top w:val="nil"/>
              <w:left w:val="nil"/>
              <w:bottom w:val="nil"/>
              <w:right w:val="nil"/>
            </w:tcBorders>
            <w:shd w:val="clear" w:color="auto" w:fill="auto"/>
            <w:noWrap/>
            <w:vAlign w:val="bottom"/>
          </w:tcPr>
          <w:p w14:paraId="77D0DAE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226A4EF2"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636365F7"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6" w:type="pct"/>
            <w:tcBorders>
              <w:top w:val="nil"/>
              <w:left w:val="nil"/>
              <w:bottom w:val="nil"/>
              <w:right w:val="nil"/>
            </w:tcBorders>
            <w:shd w:val="clear" w:color="auto" w:fill="auto"/>
            <w:noWrap/>
            <w:vAlign w:val="bottom"/>
          </w:tcPr>
          <w:p w14:paraId="774B9C94" w14:textId="77777777" w:rsidR="00F20BB0" w:rsidRDefault="00F20BB0">
            <w:pPr>
              <w:adjustRightInd w:val="0"/>
              <w:snapToGrid w:val="0"/>
              <w:spacing w:line="360" w:lineRule="auto"/>
              <w:jc w:val="both"/>
              <w:rPr>
                <w:rFonts w:ascii="Book Antiqua" w:hAnsi="Book Antiqua" w:cs="Arial"/>
                <w:color w:val="000000"/>
              </w:rPr>
            </w:pPr>
          </w:p>
        </w:tc>
      </w:tr>
      <w:tr w:rsidR="00F20BB0" w14:paraId="2A44CAAC" w14:textId="77777777">
        <w:trPr>
          <w:trHeight w:val="319"/>
        </w:trPr>
        <w:tc>
          <w:tcPr>
            <w:tcW w:w="1513" w:type="pct"/>
            <w:tcBorders>
              <w:top w:val="nil"/>
              <w:left w:val="nil"/>
              <w:bottom w:val="nil"/>
              <w:right w:val="nil"/>
            </w:tcBorders>
            <w:shd w:val="clear" w:color="auto" w:fill="auto"/>
            <w:noWrap/>
            <w:vAlign w:val="bottom"/>
          </w:tcPr>
          <w:p w14:paraId="0EC6A124"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M1</w:t>
            </w:r>
          </w:p>
        </w:tc>
        <w:tc>
          <w:tcPr>
            <w:tcW w:w="1232" w:type="pct"/>
            <w:tcBorders>
              <w:top w:val="nil"/>
              <w:left w:val="nil"/>
              <w:bottom w:val="nil"/>
              <w:right w:val="nil"/>
            </w:tcBorders>
            <w:shd w:val="clear" w:color="auto" w:fill="auto"/>
            <w:noWrap/>
            <w:vAlign w:val="bottom"/>
          </w:tcPr>
          <w:p w14:paraId="75208A3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7.193 (5.520-9.372)</w:t>
            </w:r>
          </w:p>
        </w:tc>
        <w:tc>
          <w:tcPr>
            <w:tcW w:w="527" w:type="pct"/>
            <w:tcBorders>
              <w:top w:val="nil"/>
              <w:left w:val="nil"/>
              <w:bottom w:val="nil"/>
              <w:right w:val="nil"/>
            </w:tcBorders>
            <w:shd w:val="clear" w:color="auto" w:fill="auto"/>
            <w:noWrap/>
            <w:vAlign w:val="bottom"/>
          </w:tcPr>
          <w:p w14:paraId="7C642DC8"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2A3D59F4"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4.862 (3.608-6.551)</w:t>
            </w:r>
          </w:p>
        </w:tc>
        <w:tc>
          <w:tcPr>
            <w:tcW w:w="526" w:type="pct"/>
            <w:tcBorders>
              <w:top w:val="nil"/>
              <w:left w:val="nil"/>
              <w:bottom w:val="nil"/>
              <w:right w:val="nil"/>
            </w:tcBorders>
            <w:shd w:val="clear" w:color="auto" w:fill="auto"/>
            <w:noWrap/>
            <w:vAlign w:val="bottom"/>
          </w:tcPr>
          <w:p w14:paraId="0EB0A8B4" w14:textId="77777777" w:rsidR="00F20BB0" w:rsidRDefault="00F20BB0">
            <w:pPr>
              <w:adjustRightInd w:val="0"/>
              <w:snapToGrid w:val="0"/>
              <w:spacing w:line="360" w:lineRule="auto"/>
              <w:jc w:val="both"/>
              <w:rPr>
                <w:rFonts w:ascii="Book Antiqua" w:hAnsi="Book Antiqua" w:cs="Arial"/>
                <w:color w:val="000000"/>
              </w:rPr>
            </w:pPr>
          </w:p>
        </w:tc>
      </w:tr>
      <w:tr w:rsidR="00F20BB0" w14:paraId="67697EDF" w14:textId="77777777">
        <w:trPr>
          <w:trHeight w:val="319"/>
        </w:trPr>
        <w:tc>
          <w:tcPr>
            <w:tcW w:w="1513" w:type="pct"/>
            <w:tcBorders>
              <w:top w:val="nil"/>
              <w:left w:val="nil"/>
              <w:bottom w:val="nil"/>
              <w:right w:val="nil"/>
            </w:tcBorders>
            <w:shd w:val="clear" w:color="auto" w:fill="auto"/>
            <w:noWrap/>
            <w:vAlign w:val="bottom"/>
          </w:tcPr>
          <w:p w14:paraId="2C1FF4B0"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Vascular invasion</w:t>
            </w:r>
          </w:p>
        </w:tc>
        <w:tc>
          <w:tcPr>
            <w:tcW w:w="1232" w:type="pct"/>
            <w:tcBorders>
              <w:top w:val="nil"/>
              <w:left w:val="nil"/>
              <w:bottom w:val="nil"/>
              <w:right w:val="nil"/>
            </w:tcBorders>
            <w:shd w:val="clear" w:color="auto" w:fill="auto"/>
            <w:noWrap/>
            <w:vAlign w:val="bottom"/>
          </w:tcPr>
          <w:p w14:paraId="60FAD35C"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nil"/>
              <w:left w:val="nil"/>
              <w:bottom w:val="nil"/>
              <w:right w:val="nil"/>
            </w:tcBorders>
            <w:shd w:val="clear" w:color="auto" w:fill="auto"/>
            <w:noWrap/>
            <w:vAlign w:val="bottom"/>
          </w:tcPr>
          <w:p w14:paraId="118B5EF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&lt; 0.001</w:t>
            </w:r>
          </w:p>
        </w:tc>
        <w:tc>
          <w:tcPr>
            <w:tcW w:w="1202" w:type="pct"/>
            <w:tcBorders>
              <w:top w:val="nil"/>
              <w:left w:val="nil"/>
              <w:bottom w:val="nil"/>
              <w:right w:val="nil"/>
            </w:tcBorders>
            <w:shd w:val="clear" w:color="auto" w:fill="auto"/>
            <w:noWrap/>
            <w:vAlign w:val="bottom"/>
          </w:tcPr>
          <w:p w14:paraId="2AC61A52"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nil"/>
              <w:left w:val="nil"/>
              <w:bottom w:val="nil"/>
              <w:right w:val="nil"/>
            </w:tcBorders>
            <w:shd w:val="clear" w:color="auto" w:fill="auto"/>
            <w:noWrap/>
            <w:vAlign w:val="bottom"/>
          </w:tcPr>
          <w:p w14:paraId="0CEC7C4E"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0.017</w:t>
            </w:r>
          </w:p>
        </w:tc>
      </w:tr>
      <w:tr w:rsidR="00F20BB0" w14:paraId="58993C7E" w14:textId="77777777">
        <w:trPr>
          <w:trHeight w:val="319"/>
        </w:trPr>
        <w:tc>
          <w:tcPr>
            <w:tcW w:w="1513" w:type="pct"/>
            <w:tcBorders>
              <w:top w:val="nil"/>
              <w:left w:val="nil"/>
              <w:bottom w:val="nil"/>
              <w:right w:val="nil"/>
            </w:tcBorders>
            <w:shd w:val="clear" w:color="auto" w:fill="auto"/>
            <w:noWrap/>
            <w:vAlign w:val="bottom"/>
          </w:tcPr>
          <w:p w14:paraId="5535163D"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No</w:t>
            </w:r>
          </w:p>
        </w:tc>
        <w:tc>
          <w:tcPr>
            <w:tcW w:w="1232" w:type="pct"/>
            <w:tcBorders>
              <w:top w:val="nil"/>
              <w:left w:val="nil"/>
              <w:bottom w:val="nil"/>
              <w:right w:val="nil"/>
            </w:tcBorders>
            <w:shd w:val="clear" w:color="auto" w:fill="auto"/>
            <w:noWrap/>
            <w:vAlign w:val="bottom"/>
          </w:tcPr>
          <w:p w14:paraId="70A30B35"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39F1E36B"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0FAE60C2"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6" w:type="pct"/>
            <w:tcBorders>
              <w:top w:val="nil"/>
              <w:left w:val="nil"/>
              <w:bottom w:val="nil"/>
              <w:right w:val="nil"/>
            </w:tcBorders>
            <w:shd w:val="clear" w:color="auto" w:fill="auto"/>
            <w:noWrap/>
            <w:vAlign w:val="bottom"/>
          </w:tcPr>
          <w:p w14:paraId="2FC2A0A2" w14:textId="77777777" w:rsidR="00F20BB0" w:rsidRDefault="00F20BB0">
            <w:pPr>
              <w:adjustRightInd w:val="0"/>
              <w:snapToGrid w:val="0"/>
              <w:spacing w:line="360" w:lineRule="auto"/>
              <w:jc w:val="both"/>
              <w:rPr>
                <w:rFonts w:ascii="Book Antiqua" w:hAnsi="Book Antiqua" w:cs="Arial"/>
                <w:color w:val="000000"/>
              </w:rPr>
            </w:pPr>
          </w:p>
        </w:tc>
      </w:tr>
      <w:tr w:rsidR="00F20BB0" w14:paraId="12C520E2" w14:textId="77777777">
        <w:trPr>
          <w:trHeight w:val="319"/>
        </w:trPr>
        <w:tc>
          <w:tcPr>
            <w:tcW w:w="1513" w:type="pct"/>
            <w:tcBorders>
              <w:top w:val="nil"/>
              <w:left w:val="nil"/>
              <w:bottom w:val="nil"/>
              <w:right w:val="nil"/>
            </w:tcBorders>
            <w:shd w:val="clear" w:color="auto" w:fill="auto"/>
            <w:noWrap/>
            <w:vAlign w:val="bottom"/>
          </w:tcPr>
          <w:p w14:paraId="09B29F38"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Yes</w:t>
            </w:r>
          </w:p>
        </w:tc>
        <w:tc>
          <w:tcPr>
            <w:tcW w:w="1232" w:type="pct"/>
            <w:tcBorders>
              <w:top w:val="nil"/>
              <w:left w:val="nil"/>
              <w:bottom w:val="nil"/>
              <w:right w:val="nil"/>
            </w:tcBorders>
            <w:shd w:val="clear" w:color="auto" w:fill="auto"/>
            <w:noWrap/>
            <w:vAlign w:val="bottom"/>
          </w:tcPr>
          <w:p w14:paraId="2492DAF9"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2.265 (1.649-3.111)</w:t>
            </w:r>
          </w:p>
        </w:tc>
        <w:tc>
          <w:tcPr>
            <w:tcW w:w="527" w:type="pct"/>
            <w:tcBorders>
              <w:top w:val="nil"/>
              <w:left w:val="nil"/>
              <w:bottom w:val="nil"/>
              <w:right w:val="nil"/>
            </w:tcBorders>
            <w:shd w:val="clear" w:color="auto" w:fill="auto"/>
            <w:noWrap/>
            <w:vAlign w:val="bottom"/>
          </w:tcPr>
          <w:p w14:paraId="30E73BB4"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31EA398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1.512 (1.078-2.121)</w:t>
            </w:r>
          </w:p>
        </w:tc>
        <w:tc>
          <w:tcPr>
            <w:tcW w:w="526" w:type="pct"/>
            <w:tcBorders>
              <w:top w:val="nil"/>
              <w:left w:val="nil"/>
              <w:bottom w:val="nil"/>
              <w:right w:val="nil"/>
            </w:tcBorders>
            <w:shd w:val="clear" w:color="auto" w:fill="auto"/>
            <w:noWrap/>
            <w:vAlign w:val="bottom"/>
          </w:tcPr>
          <w:p w14:paraId="01AE321D" w14:textId="77777777" w:rsidR="00F20BB0" w:rsidRDefault="00F20BB0">
            <w:pPr>
              <w:adjustRightInd w:val="0"/>
              <w:snapToGrid w:val="0"/>
              <w:spacing w:line="360" w:lineRule="auto"/>
              <w:jc w:val="both"/>
              <w:rPr>
                <w:rFonts w:ascii="Book Antiqua" w:hAnsi="Book Antiqua" w:cs="Arial"/>
                <w:color w:val="000000"/>
              </w:rPr>
            </w:pPr>
          </w:p>
        </w:tc>
      </w:tr>
      <w:tr w:rsidR="00F20BB0" w14:paraId="0E8D5944" w14:textId="77777777">
        <w:trPr>
          <w:trHeight w:val="319"/>
        </w:trPr>
        <w:tc>
          <w:tcPr>
            <w:tcW w:w="1513" w:type="pct"/>
            <w:tcBorders>
              <w:top w:val="nil"/>
              <w:left w:val="nil"/>
              <w:bottom w:val="nil"/>
              <w:right w:val="nil"/>
            </w:tcBorders>
            <w:shd w:val="clear" w:color="auto" w:fill="auto"/>
            <w:noWrap/>
            <w:vAlign w:val="bottom"/>
          </w:tcPr>
          <w:p w14:paraId="2F8B473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Nerve invasion</w:t>
            </w:r>
          </w:p>
        </w:tc>
        <w:tc>
          <w:tcPr>
            <w:tcW w:w="1232" w:type="pct"/>
            <w:tcBorders>
              <w:top w:val="nil"/>
              <w:left w:val="nil"/>
              <w:bottom w:val="nil"/>
              <w:right w:val="nil"/>
            </w:tcBorders>
            <w:shd w:val="clear" w:color="auto" w:fill="auto"/>
            <w:noWrap/>
            <w:vAlign w:val="bottom"/>
          </w:tcPr>
          <w:p w14:paraId="0D389E12" w14:textId="77777777" w:rsidR="00F20BB0" w:rsidRDefault="00F20BB0">
            <w:pPr>
              <w:adjustRightInd w:val="0"/>
              <w:snapToGrid w:val="0"/>
              <w:spacing w:line="360" w:lineRule="auto"/>
              <w:jc w:val="both"/>
              <w:rPr>
                <w:rFonts w:ascii="Book Antiqua" w:hAnsi="Book Antiqua" w:cs="Arial"/>
                <w:color w:val="000000"/>
              </w:rPr>
            </w:pPr>
          </w:p>
        </w:tc>
        <w:tc>
          <w:tcPr>
            <w:tcW w:w="527" w:type="pct"/>
            <w:tcBorders>
              <w:top w:val="nil"/>
              <w:left w:val="nil"/>
              <w:bottom w:val="nil"/>
              <w:right w:val="nil"/>
            </w:tcBorders>
            <w:shd w:val="clear" w:color="auto" w:fill="auto"/>
            <w:noWrap/>
            <w:vAlign w:val="bottom"/>
          </w:tcPr>
          <w:p w14:paraId="5014C0C6"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&lt; 0.001</w:t>
            </w:r>
          </w:p>
        </w:tc>
        <w:tc>
          <w:tcPr>
            <w:tcW w:w="1202" w:type="pct"/>
            <w:tcBorders>
              <w:top w:val="nil"/>
              <w:left w:val="nil"/>
              <w:bottom w:val="nil"/>
              <w:right w:val="nil"/>
            </w:tcBorders>
            <w:shd w:val="clear" w:color="auto" w:fill="auto"/>
            <w:noWrap/>
            <w:vAlign w:val="bottom"/>
          </w:tcPr>
          <w:p w14:paraId="47345A86" w14:textId="77777777" w:rsidR="00F20BB0" w:rsidRDefault="00F20BB0">
            <w:pPr>
              <w:adjustRightInd w:val="0"/>
              <w:snapToGrid w:val="0"/>
              <w:spacing w:line="360" w:lineRule="auto"/>
              <w:jc w:val="both"/>
              <w:rPr>
                <w:rFonts w:ascii="Book Antiqua" w:hAnsi="Book Antiqua" w:cs="Arial"/>
                <w:color w:val="000000"/>
              </w:rPr>
            </w:pPr>
          </w:p>
        </w:tc>
        <w:tc>
          <w:tcPr>
            <w:tcW w:w="526" w:type="pct"/>
            <w:tcBorders>
              <w:top w:val="nil"/>
              <w:left w:val="nil"/>
              <w:bottom w:val="nil"/>
              <w:right w:val="nil"/>
            </w:tcBorders>
            <w:shd w:val="clear" w:color="auto" w:fill="auto"/>
            <w:noWrap/>
            <w:vAlign w:val="bottom"/>
          </w:tcPr>
          <w:p w14:paraId="3E81A46A"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0.218</w:t>
            </w:r>
          </w:p>
        </w:tc>
      </w:tr>
      <w:tr w:rsidR="00F20BB0" w14:paraId="49CA8351" w14:textId="77777777">
        <w:trPr>
          <w:trHeight w:val="319"/>
        </w:trPr>
        <w:tc>
          <w:tcPr>
            <w:tcW w:w="1513" w:type="pct"/>
            <w:tcBorders>
              <w:top w:val="nil"/>
              <w:left w:val="nil"/>
              <w:bottom w:val="nil"/>
              <w:right w:val="nil"/>
            </w:tcBorders>
            <w:shd w:val="clear" w:color="auto" w:fill="auto"/>
            <w:noWrap/>
            <w:vAlign w:val="bottom"/>
          </w:tcPr>
          <w:p w14:paraId="5FA6489D"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No</w:t>
            </w:r>
          </w:p>
        </w:tc>
        <w:tc>
          <w:tcPr>
            <w:tcW w:w="1232" w:type="pct"/>
            <w:tcBorders>
              <w:top w:val="nil"/>
              <w:left w:val="nil"/>
              <w:bottom w:val="nil"/>
              <w:right w:val="nil"/>
            </w:tcBorders>
            <w:shd w:val="clear" w:color="auto" w:fill="auto"/>
            <w:noWrap/>
            <w:vAlign w:val="bottom"/>
          </w:tcPr>
          <w:p w14:paraId="093C90BF"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7" w:type="pct"/>
            <w:tcBorders>
              <w:top w:val="nil"/>
              <w:left w:val="nil"/>
              <w:bottom w:val="nil"/>
              <w:right w:val="nil"/>
            </w:tcBorders>
            <w:shd w:val="clear" w:color="auto" w:fill="auto"/>
            <w:noWrap/>
            <w:vAlign w:val="bottom"/>
          </w:tcPr>
          <w:p w14:paraId="73899D77"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nil"/>
              <w:right w:val="nil"/>
            </w:tcBorders>
            <w:shd w:val="clear" w:color="auto" w:fill="auto"/>
            <w:noWrap/>
            <w:vAlign w:val="bottom"/>
          </w:tcPr>
          <w:p w14:paraId="016AD346"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 (reference)</w:t>
            </w:r>
          </w:p>
        </w:tc>
        <w:tc>
          <w:tcPr>
            <w:tcW w:w="526" w:type="pct"/>
            <w:tcBorders>
              <w:top w:val="nil"/>
              <w:left w:val="nil"/>
              <w:bottom w:val="nil"/>
              <w:right w:val="nil"/>
            </w:tcBorders>
            <w:shd w:val="clear" w:color="auto" w:fill="auto"/>
            <w:noWrap/>
            <w:vAlign w:val="bottom"/>
          </w:tcPr>
          <w:p w14:paraId="7A37CD43" w14:textId="77777777" w:rsidR="00F20BB0" w:rsidRDefault="00F20BB0">
            <w:pPr>
              <w:adjustRightInd w:val="0"/>
              <w:snapToGrid w:val="0"/>
              <w:spacing w:line="360" w:lineRule="auto"/>
              <w:jc w:val="both"/>
              <w:rPr>
                <w:rFonts w:ascii="Book Antiqua" w:hAnsi="Book Antiqua" w:cs="Arial"/>
                <w:color w:val="000000"/>
              </w:rPr>
            </w:pPr>
          </w:p>
        </w:tc>
      </w:tr>
      <w:tr w:rsidR="00F20BB0" w14:paraId="22F7CFF4" w14:textId="77777777">
        <w:trPr>
          <w:trHeight w:val="319"/>
        </w:trPr>
        <w:tc>
          <w:tcPr>
            <w:tcW w:w="1513" w:type="pct"/>
            <w:tcBorders>
              <w:top w:val="nil"/>
              <w:left w:val="nil"/>
              <w:bottom w:val="single" w:sz="4" w:space="0" w:color="auto"/>
              <w:right w:val="nil"/>
            </w:tcBorders>
            <w:shd w:val="clear" w:color="auto" w:fill="auto"/>
            <w:noWrap/>
            <w:vAlign w:val="bottom"/>
          </w:tcPr>
          <w:p w14:paraId="791CA917" w14:textId="77777777" w:rsidR="00F20BB0" w:rsidRDefault="00000000">
            <w:pPr>
              <w:adjustRightInd w:val="0"/>
              <w:snapToGrid w:val="0"/>
              <w:spacing w:line="360" w:lineRule="auto"/>
              <w:ind w:leftChars="100" w:left="240"/>
              <w:jc w:val="both"/>
              <w:rPr>
                <w:rFonts w:ascii="Book Antiqua" w:hAnsi="Book Antiqua" w:cs="Arial"/>
                <w:color w:val="000000"/>
              </w:rPr>
            </w:pPr>
            <w:r>
              <w:rPr>
                <w:rFonts w:ascii="Book Antiqua" w:hAnsi="Book Antiqua" w:cs="Arial"/>
                <w:color w:val="000000"/>
              </w:rPr>
              <w:t>Yes</w:t>
            </w:r>
          </w:p>
        </w:tc>
        <w:tc>
          <w:tcPr>
            <w:tcW w:w="1232" w:type="pct"/>
            <w:tcBorders>
              <w:top w:val="nil"/>
              <w:left w:val="nil"/>
              <w:bottom w:val="single" w:sz="4" w:space="0" w:color="auto"/>
              <w:right w:val="nil"/>
            </w:tcBorders>
            <w:shd w:val="clear" w:color="auto" w:fill="auto"/>
            <w:noWrap/>
            <w:vAlign w:val="bottom"/>
          </w:tcPr>
          <w:p w14:paraId="5B8FE26C"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2.901 (1.986-4.236)</w:t>
            </w:r>
          </w:p>
        </w:tc>
        <w:tc>
          <w:tcPr>
            <w:tcW w:w="527" w:type="pct"/>
            <w:tcBorders>
              <w:top w:val="nil"/>
              <w:left w:val="nil"/>
              <w:bottom w:val="single" w:sz="4" w:space="0" w:color="auto"/>
              <w:right w:val="nil"/>
            </w:tcBorders>
            <w:shd w:val="clear" w:color="auto" w:fill="auto"/>
            <w:noWrap/>
            <w:vAlign w:val="bottom"/>
          </w:tcPr>
          <w:p w14:paraId="39EE27DF" w14:textId="77777777" w:rsidR="00F20BB0" w:rsidRDefault="00F20BB0">
            <w:pPr>
              <w:adjustRightInd w:val="0"/>
              <w:snapToGrid w:val="0"/>
              <w:spacing w:line="360" w:lineRule="auto"/>
              <w:jc w:val="both"/>
              <w:rPr>
                <w:rFonts w:ascii="Book Antiqua" w:hAnsi="Book Antiqua" w:cs="Arial"/>
                <w:color w:val="000000"/>
              </w:rPr>
            </w:pPr>
          </w:p>
        </w:tc>
        <w:tc>
          <w:tcPr>
            <w:tcW w:w="1202" w:type="pct"/>
            <w:tcBorders>
              <w:top w:val="nil"/>
              <w:left w:val="nil"/>
              <w:bottom w:val="single" w:sz="4" w:space="0" w:color="auto"/>
              <w:right w:val="nil"/>
            </w:tcBorders>
            <w:shd w:val="clear" w:color="auto" w:fill="auto"/>
            <w:noWrap/>
            <w:vAlign w:val="bottom"/>
          </w:tcPr>
          <w:p w14:paraId="007C594D" w14:textId="77777777" w:rsidR="00F20BB0" w:rsidRDefault="00000000">
            <w:pPr>
              <w:adjustRightInd w:val="0"/>
              <w:snapToGrid w:val="0"/>
              <w:spacing w:line="360" w:lineRule="auto"/>
              <w:jc w:val="both"/>
              <w:rPr>
                <w:rFonts w:ascii="Book Antiqua" w:hAnsi="Book Antiqua" w:cs="Arial"/>
                <w:color w:val="000000"/>
              </w:rPr>
            </w:pPr>
            <w:r>
              <w:rPr>
                <w:rFonts w:ascii="Book Antiqua" w:hAnsi="Book Antiqua" w:cs="Arial"/>
                <w:color w:val="000000"/>
              </w:rPr>
              <w:t>1.291 (0.860-1.939)</w:t>
            </w:r>
          </w:p>
        </w:tc>
        <w:tc>
          <w:tcPr>
            <w:tcW w:w="526" w:type="pct"/>
            <w:tcBorders>
              <w:top w:val="nil"/>
              <w:left w:val="nil"/>
              <w:bottom w:val="single" w:sz="4" w:space="0" w:color="auto"/>
              <w:right w:val="nil"/>
            </w:tcBorders>
            <w:shd w:val="clear" w:color="auto" w:fill="auto"/>
            <w:noWrap/>
            <w:vAlign w:val="bottom"/>
          </w:tcPr>
          <w:p w14:paraId="3D7A96CB" w14:textId="77777777" w:rsidR="00F20BB0" w:rsidRDefault="00F20BB0">
            <w:pPr>
              <w:adjustRightInd w:val="0"/>
              <w:snapToGrid w:val="0"/>
              <w:spacing w:line="360" w:lineRule="auto"/>
              <w:jc w:val="both"/>
              <w:rPr>
                <w:rFonts w:ascii="Book Antiqua" w:hAnsi="Book Antiqua" w:cs="Arial"/>
                <w:color w:val="000000"/>
              </w:rPr>
            </w:pPr>
          </w:p>
        </w:tc>
      </w:tr>
    </w:tbl>
    <w:p w14:paraId="17F1794B" w14:textId="293A7FF4" w:rsidR="00F060A7" w:rsidRDefault="00000000">
      <w:pPr>
        <w:adjustRightInd w:val="0"/>
        <w:snapToGrid w:val="0"/>
        <w:spacing w:line="360" w:lineRule="auto"/>
        <w:jc w:val="both"/>
        <w:rPr>
          <w:rFonts w:ascii="Book Antiqua" w:hAnsi="Book Antiqua" w:cs="Arial"/>
        </w:rPr>
      </w:pPr>
      <w:r>
        <w:rPr>
          <w:rFonts w:ascii="Book Antiqua" w:hAnsi="Book Antiqua" w:cs="Arial"/>
        </w:rPr>
        <w:t>CA199: Carbohydrate antigen 19-9; CEA: Carcinoembryonic antigen; HR: Hazard ratio;</w:t>
      </w:r>
      <w:r>
        <w:rPr>
          <w:rFonts w:ascii="Book Antiqua" w:eastAsia="Book Antiqua" w:hAnsi="Book Antiqua" w:cs="Book Antiqua"/>
          <w:color w:val="000000"/>
        </w:rPr>
        <w:t xml:space="preserve"> </w:t>
      </w:r>
      <w:r>
        <w:rPr>
          <w:rFonts w:ascii="Book Antiqua" w:hAnsi="Book Antiqua" w:cs="Arial"/>
        </w:rPr>
        <w:t xml:space="preserve">M: Presence of metastasis; N: Extent of tumor spread to the lymph nodes; </w:t>
      </w:r>
      <w:r>
        <w:rPr>
          <w:rFonts w:ascii="Book Antiqua" w:eastAsia="Book Antiqua" w:hAnsi="Book Antiqua" w:cs="Book Antiqua"/>
          <w:color w:val="000000"/>
        </w:rPr>
        <w:t>PNPLA8: Patatin like phospholipase domain containing 8;</w:t>
      </w:r>
      <w:r>
        <w:rPr>
          <w:rFonts w:ascii="Book Antiqua" w:hAnsi="Book Antiqua" w:cs="Arial"/>
        </w:rPr>
        <w:t xml:space="preserve"> T: Extent of the tumor (the size of the tumor and any spread of tumor into nearby tissue).</w:t>
      </w:r>
    </w:p>
    <w:p w14:paraId="444B7B0C" w14:textId="77777777" w:rsidR="00F060A7" w:rsidRDefault="00F060A7">
      <w:pPr>
        <w:rPr>
          <w:rFonts w:ascii="Book Antiqua" w:hAnsi="Book Antiqua" w:cs="Arial"/>
        </w:rPr>
      </w:pPr>
      <w:r>
        <w:rPr>
          <w:rFonts w:ascii="Book Antiqua" w:hAnsi="Book Antiqua" w:cs="Arial"/>
        </w:rPr>
        <w:br w:type="page"/>
      </w:r>
    </w:p>
    <w:p w14:paraId="1EBC592C" w14:textId="77777777" w:rsidR="00F060A7" w:rsidRPr="006D4EDA" w:rsidRDefault="00F060A7" w:rsidP="00F060A7">
      <w:pPr>
        <w:snapToGrid w:val="0"/>
        <w:ind w:leftChars="100" w:left="240"/>
        <w:jc w:val="center"/>
        <w:rPr>
          <w:rFonts w:ascii="Book Antiqua" w:hAnsi="Book Antiqua"/>
        </w:rPr>
      </w:pPr>
    </w:p>
    <w:p w14:paraId="3AB5B058" w14:textId="77777777" w:rsidR="00F060A7" w:rsidRPr="006D4EDA" w:rsidRDefault="00F060A7" w:rsidP="00F060A7">
      <w:pPr>
        <w:snapToGrid w:val="0"/>
        <w:ind w:leftChars="100" w:left="240"/>
        <w:jc w:val="center"/>
        <w:rPr>
          <w:rFonts w:ascii="Book Antiqua" w:hAnsi="Book Antiqua"/>
        </w:rPr>
      </w:pPr>
    </w:p>
    <w:p w14:paraId="673B051F" w14:textId="77777777" w:rsidR="00F060A7" w:rsidRPr="006D4EDA" w:rsidRDefault="00F060A7" w:rsidP="00F060A7">
      <w:pPr>
        <w:snapToGrid w:val="0"/>
        <w:ind w:leftChars="100" w:left="240"/>
        <w:jc w:val="center"/>
        <w:rPr>
          <w:rFonts w:ascii="Book Antiqua" w:hAnsi="Book Antiqua"/>
        </w:rPr>
      </w:pPr>
    </w:p>
    <w:p w14:paraId="5E405857" w14:textId="77777777" w:rsidR="00F060A7" w:rsidRPr="006D4EDA" w:rsidRDefault="00F060A7" w:rsidP="00F060A7">
      <w:pPr>
        <w:snapToGrid w:val="0"/>
        <w:ind w:leftChars="100" w:left="240"/>
        <w:jc w:val="center"/>
        <w:rPr>
          <w:rFonts w:ascii="Book Antiqua" w:hAnsi="Book Antiqua"/>
        </w:rPr>
      </w:pPr>
    </w:p>
    <w:p w14:paraId="6589F8E4" w14:textId="77777777" w:rsidR="00F060A7" w:rsidRPr="006D4EDA" w:rsidRDefault="00F060A7" w:rsidP="00F060A7">
      <w:pPr>
        <w:snapToGrid w:val="0"/>
        <w:ind w:leftChars="100" w:left="240"/>
        <w:jc w:val="center"/>
        <w:rPr>
          <w:rFonts w:ascii="Book Antiqua" w:hAnsi="Book Antiqua"/>
        </w:rPr>
      </w:pPr>
      <w:r w:rsidRPr="006D4EDA">
        <w:rPr>
          <w:rFonts w:ascii="Book Antiqua" w:hAnsi="Book Antiqua"/>
          <w:noProof/>
        </w:rPr>
        <w:drawing>
          <wp:inline distT="0" distB="0" distL="0" distR="0" wp14:anchorId="437D08B6" wp14:editId="2EC4125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91E2342" w14:textId="77777777" w:rsidR="00F060A7" w:rsidRPr="006D4EDA" w:rsidRDefault="00F060A7" w:rsidP="00F060A7">
      <w:pPr>
        <w:snapToGrid w:val="0"/>
        <w:ind w:leftChars="100" w:left="240"/>
        <w:jc w:val="center"/>
        <w:rPr>
          <w:rFonts w:ascii="Book Antiqua" w:hAnsi="Book Antiqua"/>
        </w:rPr>
      </w:pPr>
    </w:p>
    <w:p w14:paraId="143B926A" w14:textId="77777777" w:rsidR="00F060A7" w:rsidRPr="006D4EDA" w:rsidRDefault="00F060A7" w:rsidP="00F060A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4C6CB483" w14:textId="77777777" w:rsidR="00F060A7" w:rsidRPr="006D4EDA" w:rsidRDefault="00F060A7" w:rsidP="00F060A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155F4CA" w14:textId="77777777" w:rsidR="00F060A7" w:rsidRPr="006D4EDA" w:rsidRDefault="00F060A7" w:rsidP="00F060A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99C8BC6" w14:textId="77777777" w:rsidR="00F060A7" w:rsidRPr="006D4EDA" w:rsidRDefault="00F060A7" w:rsidP="00F060A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65AB1314" w14:textId="77777777" w:rsidR="00F060A7" w:rsidRPr="006D4EDA" w:rsidRDefault="00F060A7" w:rsidP="00F060A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6F07DE00" w14:textId="77777777" w:rsidR="00F060A7" w:rsidRPr="006D4EDA" w:rsidRDefault="00F060A7" w:rsidP="00F060A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BDC89E2" w14:textId="77777777" w:rsidR="00F060A7" w:rsidRPr="006D4EDA" w:rsidRDefault="00F060A7" w:rsidP="00F060A7">
      <w:pPr>
        <w:snapToGrid w:val="0"/>
        <w:ind w:leftChars="100" w:left="240"/>
        <w:jc w:val="center"/>
        <w:rPr>
          <w:rFonts w:ascii="Book Antiqua" w:hAnsi="Book Antiqua"/>
        </w:rPr>
      </w:pPr>
    </w:p>
    <w:p w14:paraId="76A25B85" w14:textId="77777777" w:rsidR="00F060A7" w:rsidRPr="006D4EDA" w:rsidRDefault="00F060A7" w:rsidP="00F060A7">
      <w:pPr>
        <w:snapToGrid w:val="0"/>
        <w:ind w:leftChars="100" w:left="240"/>
        <w:jc w:val="center"/>
        <w:rPr>
          <w:rFonts w:ascii="Book Antiqua" w:hAnsi="Book Antiqua"/>
        </w:rPr>
      </w:pPr>
    </w:p>
    <w:p w14:paraId="4D9DF4E7" w14:textId="77777777" w:rsidR="00F060A7" w:rsidRPr="006D4EDA" w:rsidRDefault="00F060A7" w:rsidP="00F060A7">
      <w:pPr>
        <w:snapToGrid w:val="0"/>
        <w:ind w:leftChars="100" w:left="240"/>
        <w:jc w:val="center"/>
        <w:rPr>
          <w:rFonts w:ascii="Book Antiqua" w:hAnsi="Book Antiqua"/>
        </w:rPr>
      </w:pPr>
    </w:p>
    <w:p w14:paraId="3FC917DC" w14:textId="77777777" w:rsidR="00F060A7" w:rsidRPr="006D4EDA" w:rsidRDefault="00F060A7" w:rsidP="00F060A7">
      <w:pPr>
        <w:snapToGrid w:val="0"/>
        <w:ind w:leftChars="100" w:left="240"/>
        <w:jc w:val="center"/>
        <w:rPr>
          <w:rFonts w:ascii="Book Antiqua" w:hAnsi="Book Antiqua"/>
        </w:rPr>
      </w:pPr>
      <w:r w:rsidRPr="006D4EDA">
        <w:rPr>
          <w:rFonts w:ascii="Book Antiqua" w:hAnsi="Book Antiqua"/>
          <w:noProof/>
        </w:rPr>
        <w:drawing>
          <wp:inline distT="0" distB="0" distL="0" distR="0" wp14:anchorId="3301A1B3" wp14:editId="60A52C0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0A539E0" w14:textId="77777777" w:rsidR="00F060A7" w:rsidRPr="006D4EDA" w:rsidRDefault="00F060A7" w:rsidP="00F060A7">
      <w:pPr>
        <w:snapToGrid w:val="0"/>
        <w:ind w:leftChars="100" w:left="240"/>
        <w:jc w:val="center"/>
        <w:rPr>
          <w:rFonts w:ascii="Book Antiqua" w:hAnsi="Book Antiqua"/>
        </w:rPr>
      </w:pPr>
    </w:p>
    <w:p w14:paraId="7DAA0FE0" w14:textId="77777777" w:rsidR="00F060A7" w:rsidRPr="006D4EDA" w:rsidRDefault="00F060A7" w:rsidP="00F060A7">
      <w:pPr>
        <w:snapToGrid w:val="0"/>
        <w:ind w:leftChars="100" w:left="240"/>
        <w:jc w:val="center"/>
        <w:rPr>
          <w:rFonts w:ascii="Book Antiqua" w:hAnsi="Book Antiqua"/>
        </w:rPr>
      </w:pPr>
    </w:p>
    <w:p w14:paraId="00300BD9" w14:textId="77777777" w:rsidR="00F060A7" w:rsidRPr="006D4EDA" w:rsidRDefault="00F060A7" w:rsidP="00F060A7">
      <w:pPr>
        <w:snapToGrid w:val="0"/>
        <w:ind w:leftChars="100" w:left="240"/>
        <w:jc w:val="center"/>
        <w:rPr>
          <w:rFonts w:ascii="Book Antiqua" w:hAnsi="Book Antiqua"/>
        </w:rPr>
      </w:pPr>
    </w:p>
    <w:p w14:paraId="4E4346E4" w14:textId="77777777" w:rsidR="00F060A7" w:rsidRPr="006D4EDA" w:rsidRDefault="00F060A7" w:rsidP="00F060A7">
      <w:pPr>
        <w:snapToGrid w:val="0"/>
        <w:ind w:leftChars="100" w:left="240"/>
        <w:jc w:val="center"/>
        <w:rPr>
          <w:rFonts w:ascii="Book Antiqua" w:hAnsi="Book Antiqua"/>
        </w:rPr>
      </w:pPr>
    </w:p>
    <w:p w14:paraId="0603887A" w14:textId="77777777" w:rsidR="00F060A7" w:rsidRPr="006D4EDA" w:rsidRDefault="00F060A7" w:rsidP="00F060A7">
      <w:pPr>
        <w:snapToGrid w:val="0"/>
        <w:ind w:leftChars="100" w:left="240"/>
        <w:jc w:val="center"/>
        <w:rPr>
          <w:rFonts w:ascii="Book Antiqua" w:hAnsi="Book Antiqua"/>
        </w:rPr>
      </w:pPr>
    </w:p>
    <w:p w14:paraId="5097648B" w14:textId="77777777" w:rsidR="00F060A7" w:rsidRPr="006D4EDA" w:rsidRDefault="00F060A7" w:rsidP="00F060A7">
      <w:pPr>
        <w:snapToGrid w:val="0"/>
        <w:ind w:leftChars="100" w:left="240"/>
        <w:jc w:val="center"/>
        <w:rPr>
          <w:rFonts w:ascii="Book Antiqua" w:hAnsi="Book Antiqua"/>
        </w:rPr>
      </w:pPr>
    </w:p>
    <w:p w14:paraId="5AF9197D" w14:textId="77777777" w:rsidR="00F060A7" w:rsidRPr="006D4EDA" w:rsidRDefault="00F060A7" w:rsidP="00F060A7">
      <w:pPr>
        <w:snapToGrid w:val="0"/>
        <w:ind w:leftChars="100" w:left="240"/>
        <w:jc w:val="center"/>
        <w:rPr>
          <w:rFonts w:ascii="Book Antiqua" w:hAnsi="Book Antiqua"/>
        </w:rPr>
      </w:pPr>
    </w:p>
    <w:p w14:paraId="2153A6F4" w14:textId="77777777" w:rsidR="00F060A7" w:rsidRPr="006D4EDA" w:rsidRDefault="00F060A7" w:rsidP="00F060A7">
      <w:pPr>
        <w:snapToGrid w:val="0"/>
        <w:ind w:leftChars="100" w:left="240"/>
        <w:jc w:val="center"/>
        <w:rPr>
          <w:rFonts w:ascii="Book Antiqua" w:hAnsi="Book Antiqua"/>
        </w:rPr>
      </w:pPr>
    </w:p>
    <w:p w14:paraId="2138B09D" w14:textId="77777777" w:rsidR="00F060A7" w:rsidRPr="006D4EDA" w:rsidRDefault="00F060A7" w:rsidP="00F060A7">
      <w:pPr>
        <w:snapToGrid w:val="0"/>
        <w:ind w:leftChars="100" w:left="240"/>
        <w:jc w:val="center"/>
        <w:rPr>
          <w:rFonts w:ascii="Book Antiqua" w:hAnsi="Book Antiqua"/>
        </w:rPr>
      </w:pPr>
    </w:p>
    <w:p w14:paraId="16DC45F0" w14:textId="77777777" w:rsidR="00F060A7" w:rsidRPr="006D4EDA" w:rsidRDefault="00F060A7" w:rsidP="00F060A7">
      <w:pPr>
        <w:snapToGrid w:val="0"/>
        <w:ind w:leftChars="100" w:left="240"/>
        <w:jc w:val="right"/>
        <w:rPr>
          <w:rFonts w:ascii="Book Antiqua" w:hAnsi="Book Antiqua"/>
          <w:color w:val="000000" w:themeColor="text1"/>
        </w:rPr>
      </w:pPr>
    </w:p>
    <w:p w14:paraId="1B73C5EE" w14:textId="77777777" w:rsidR="00F060A7" w:rsidRPr="00A2530C" w:rsidRDefault="00F060A7" w:rsidP="00F060A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6BF821ED" w14:textId="77777777" w:rsidR="00F20BB0" w:rsidRDefault="00F20BB0">
      <w:pPr>
        <w:adjustRightInd w:val="0"/>
        <w:snapToGrid w:val="0"/>
        <w:spacing w:line="360" w:lineRule="auto"/>
        <w:jc w:val="both"/>
        <w:rPr>
          <w:rFonts w:ascii="Book Antiqua" w:hAnsi="Book Antiqua" w:cs="Arial"/>
        </w:rPr>
      </w:pPr>
    </w:p>
    <w:sectPr w:rsidR="00F20B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A8F03" w14:textId="77777777" w:rsidR="003A69DE" w:rsidRDefault="003A69DE">
      <w:r>
        <w:separator/>
      </w:r>
    </w:p>
  </w:endnote>
  <w:endnote w:type="continuationSeparator" w:id="0">
    <w:p w14:paraId="27ECD76E" w14:textId="77777777" w:rsidR="003A69DE" w:rsidRDefault="003A6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218085"/>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6C7A41E3" w14:textId="77777777" w:rsidR="00F20BB0" w:rsidRDefault="00000000">
            <w:pPr>
              <w:pStyle w:val="a5"/>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93E94DB" w14:textId="77777777" w:rsidR="00F20BB0" w:rsidRDefault="00F20B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4CF55" w14:textId="77777777" w:rsidR="003A69DE" w:rsidRDefault="003A69DE">
      <w:r>
        <w:separator/>
      </w:r>
    </w:p>
  </w:footnote>
  <w:footnote w:type="continuationSeparator" w:id="0">
    <w:p w14:paraId="140691ED" w14:textId="77777777" w:rsidR="003A69DE" w:rsidRDefault="003A69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FmY2M5ZTlmZDY0NjQzZDFiMTRmMDdmYTM1YjkzZTgifQ=="/>
  </w:docVars>
  <w:rsids>
    <w:rsidRoot w:val="00A77B3E"/>
    <w:rsid w:val="00026528"/>
    <w:rsid w:val="00031109"/>
    <w:rsid w:val="000366E2"/>
    <w:rsid w:val="00036CB3"/>
    <w:rsid w:val="00051764"/>
    <w:rsid w:val="00062048"/>
    <w:rsid w:val="0008036F"/>
    <w:rsid w:val="00087313"/>
    <w:rsid w:val="000D7A5C"/>
    <w:rsid w:val="00117A9E"/>
    <w:rsid w:val="00136B55"/>
    <w:rsid w:val="00136F12"/>
    <w:rsid w:val="00147075"/>
    <w:rsid w:val="00243F47"/>
    <w:rsid w:val="00244C31"/>
    <w:rsid w:val="002478B6"/>
    <w:rsid w:val="002506FC"/>
    <w:rsid w:val="0026643B"/>
    <w:rsid w:val="002674F0"/>
    <w:rsid w:val="00291D00"/>
    <w:rsid w:val="002A37DF"/>
    <w:rsid w:val="002C4493"/>
    <w:rsid w:val="002D1524"/>
    <w:rsid w:val="0031210E"/>
    <w:rsid w:val="00320CD9"/>
    <w:rsid w:val="00342F44"/>
    <w:rsid w:val="003430B5"/>
    <w:rsid w:val="0038448D"/>
    <w:rsid w:val="00392D8D"/>
    <w:rsid w:val="00395FA3"/>
    <w:rsid w:val="00396587"/>
    <w:rsid w:val="003A69DE"/>
    <w:rsid w:val="003C68D5"/>
    <w:rsid w:val="003D1C0A"/>
    <w:rsid w:val="003E09A2"/>
    <w:rsid w:val="003E0B55"/>
    <w:rsid w:val="003E2273"/>
    <w:rsid w:val="00420785"/>
    <w:rsid w:val="004571D0"/>
    <w:rsid w:val="0047259F"/>
    <w:rsid w:val="00483691"/>
    <w:rsid w:val="004A01FD"/>
    <w:rsid w:val="004D4AE3"/>
    <w:rsid w:val="004E0F7E"/>
    <w:rsid w:val="005550AF"/>
    <w:rsid w:val="005722E7"/>
    <w:rsid w:val="005826A6"/>
    <w:rsid w:val="00596C16"/>
    <w:rsid w:val="005D5CEC"/>
    <w:rsid w:val="005E00A1"/>
    <w:rsid w:val="0061446E"/>
    <w:rsid w:val="006324D6"/>
    <w:rsid w:val="006C1847"/>
    <w:rsid w:val="006F763E"/>
    <w:rsid w:val="00713A59"/>
    <w:rsid w:val="0074262A"/>
    <w:rsid w:val="00763063"/>
    <w:rsid w:val="0077605E"/>
    <w:rsid w:val="00787637"/>
    <w:rsid w:val="007949F5"/>
    <w:rsid w:val="00794C33"/>
    <w:rsid w:val="0079685F"/>
    <w:rsid w:val="007A1D29"/>
    <w:rsid w:val="007B5FF8"/>
    <w:rsid w:val="007F2EFA"/>
    <w:rsid w:val="007F5457"/>
    <w:rsid w:val="0080491E"/>
    <w:rsid w:val="00821BD1"/>
    <w:rsid w:val="00826C34"/>
    <w:rsid w:val="00882169"/>
    <w:rsid w:val="00882CD0"/>
    <w:rsid w:val="0089315E"/>
    <w:rsid w:val="008E1B1E"/>
    <w:rsid w:val="008E289C"/>
    <w:rsid w:val="009537FC"/>
    <w:rsid w:val="009873D1"/>
    <w:rsid w:val="00991B5F"/>
    <w:rsid w:val="009A61D0"/>
    <w:rsid w:val="009F165C"/>
    <w:rsid w:val="00A1696A"/>
    <w:rsid w:val="00A17B13"/>
    <w:rsid w:val="00A550E4"/>
    <w:rsid w:val="00A75BF9"/>
    <w:rsid w:val="00A77B3E"/>
    <w:rsid w:val="00AA042E"/>
    <w:rsid w:val="00AC527F"/>
    <w:rsid w:val="00AE576B"/>
    <w:rsid w:val="00B0299C"/>
    <w:rsid w:val="00B04444"/>
    <w:rsid w:val="00B34E97"/>
    <w:rsid w:val="00B66AF8"/>
    <w:rsid w:val="00B948FF"/>
    <w:rsid w:val="00BB654C"/>
    <w:rsid w:val="00BD2C2C"/>
    <w:rsid w:val="00BD6563"/>
    <w:rsid w:val="00BD6A64"/>
    <w:rsid w:val="00BE210B"/>
    <w:rsid w:val="00C17F40"/>
    <w:rsid w:val="00C42F8D"/>
    <w:rsid w:val="00C80806"/>
    <w:rsid w:val="00C81A18"/>
    <w:rsid w:val="00CA1F5E"/>
    <w:rsid w:val="00CA2A55"/>
    <w:rsid w:val="00CF348A"/>
    <w:rsid w:val="00D06E43"/>
    <w:rsid w:val="00D66D58"/>
    <w:rsid w:val="00D6712F"/>
    <w:rsid w:val="00D70987"/>
    <w:rsid w:val="00D727BC"/>
    <w:rsid w:val="00D816FF"/>
    <w:rsid w:val="00DB57B2"/>
    <w:rsid w:val="00DB6B8C"/>
    <w:rsid w:val="00DB72F0"/>
    <w:rsid w:val="00DF68D8"/>
    <w:rsid w:val="00E11F1B"/>
    <w:rsid w:val="00E15DB7"/>
    <w:rsid w:val="00E24771"/>
    <w:rsid w:val="00EA0FAC"/>
    <w:rsid w:val="00EB4241"/>
    <w:rsid w:val="00EE5ACF"/>
    <w:rsid w:val="00F060A7"/>
    <w:rsid w:val="00F07720"/>
    <w:rsid w:val="00F20BB0"/>
    <w:rsid w:val="00F47B16"/>
    <w:rsid w:val="00F748BF"/>
    <w:rsid w:val="00F91C50"/>
    <w:rsid w:val="00FA3BD2"/>
    <w:rsid w:val="00FA724B"/>
    <w:rsid w:val="00FB519F"/>
    <w:rsid w:val="00FC3A59"/>
    <w:rsid w:val="1BD56BE1"/>
    <w:rsid w:val="2C3D2EFA"/>
    <w:rsid w:val="6E4F1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BFC834F"/>
  <w15:docId w15:val="{93DA186D-9EB8-2E45-8B6A-E7C71C910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annotation reference"/>
    <w:basedOn w:val="a0"/>
    <w:autoRedefine/>
    <w:qFormat/>
    <w:rPr>
      <w:sz w:val="21"/>
      <w:szCs w:val="21"/>
    </w:rPr>
  </w:style>
  <w:style w:type="character" w:customStyle="1" w:styleId="msoIns0">
    <w:name w:val="msoIns"/>
    <w:basedOn w:val="a0"/>
    <w:autoRedefine/>
    <w:qFormat/>
  </w:style>
  <w:style w:type="character" w:customStyle="1" w:styleId="msoDel0">
    <w:name w:val="msoDel"/>
    <w:basedOn w:val="a0"/>
    <w:autoRedefine/>
    <w:qFormat/>
  </w:style>
  <w:style w:type="character" w:customStyle="1" w:styleId="tgt">
    <w:name w:val="tgt"/>
    <w:basedOn w:val="a0"/>
    <w:autoRedefine/>
    <w:qFormat/>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a">
    <w:name w:val="批注主题 字符"/>
    <w:basedOn w:val="a4"/>
    <w:link w:val="a9"/>
    <w:autoRedefine/>
    <w:qFormat/>
    <w:rPr>
      <w:b/>
      <w:bCs/>
      <w:sz w:val="24"/>
      <w:szCs w:val="24"/>
    </w:rPr>
  </w:style>
  <w:style w:type="paragraph" w:customStyle="1" w:styleId="ordinary-output">
    <w:name w:val="ordinary-output"/>
    <w:basedOn w:val="a"/>
    <w:autoRedefine/>
    <w:qFormat/>
    <w:pPr>
      <w:spacing w:before="100" w:beforeAutospacing="1" w:after="100" w:afterAutospacing="1"/>
    </w:pPr>
    <w:rPr>
      <w:rFonts w:ascii="宋体" w:eastAsia="宋体" w:hAnsi="宋体" w:cs="宋体"/>
      <w:lang w:eastAsia="zh-CN"/>
    </w:rPr>
  </w:style>
  <w:style w:type="paragraph" w:customStyle="1" w:styleId="1">
    <w:name w:val="修订1"/>
    <w:autoRedefine/>
    <w:hidden/>
    <w:uiPriority w:val="99"/>
    <w:semiHidden/>
    <w:qFormat/>
    <w:rPr>
      <w:rFonts w:eastAsiaTheme="minorEastAsia"/>
      <w:sz w:val="24"/>
      <w:szCs w:val="24"/>
      <w:lang w:eastAsia="en-US"/>
    </w:rPr>
  </w:style>
  <w:style w:type="paragraph" w:styleId="ac">
    <w:name w:val="Revision"/>
    <w:hidden/>
    <w:uiPriority w:val="99"/>
    <w:unhideWhenUsed/>
    <w:rsid w:val="00F060A7"/>
    <w:rPr>
      <w:rFonts w:eastAsiaTheme="minorEastAsia"/>
      <w:sz w:val="24"/>
      <w:szCs w:val="24"/>
      <w:lang w:eastAsia="en-US"/>
    </w:rPr>
  </w:style>
  <w:style w:type="character" w:styleId="ad">
    <w:name w:val="Hyperlink"/>
    <w:basedOn w:val="a0"/>
    <w:rsid w:val="00F060A7"/>
    <w:rPr>
      <w:color w:val="0000FF" w:themeColor="hyperlink"/>
      <w:u w:val="single"/>
    </w:rPr>
  </w:style>
  <w:style w:type="character" w:styleId="ae">
    <w:name w:val="Unresolved Mention"/>
    <w:basedOn w:val="a0"/>
    <w:uiPriority w:val="99"/>
    <w:semiHidden/>
    <w:unhideWhenUsed/>
    <w:rsid w:val="00F060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26</Pages>
  <Words>5320</Words>
  <Characters>30328</Characters>
  <Application>Microsoft Office Word</Application>
  <DocSecurity>0</DocSecurity>
  <Lines>252</Lines>
  <Paragraphs>71</Paragraphs>
  <ScaleCrop>false</ScaleCrop>
  <Company/>
  <LinksUpToDate>false</LinksUpToDate>
  <CharactersWithSpaces>35577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10436</dc:creator>
  <cp:lastModifiedBy>M18955</cp:lastModifiedBy>
  <cp:revision>3</cp:revision>
  <dcterms:created xsi:type="dcterms:W3CDTF">2024-01-26T03:45:00Z</dcterms:created>
  <dcterms:modified xsi:type="dcterms:W3CDTF">2024-03-05T04:45:00Z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1B448791C8D5490296C1C6F8DC4B1F4A_12</vt:lpwstr>
  </property>
</Properties>
</file>