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Orthopedics</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87822</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pPr>
    </w:p>
    <w:p>
      <w:pPr>
        <w:spacing w:line="360" w:lineRule="auto"/>
        <w:jc w:val="both"/>
      </w:pPr>
      <w:r>
        <w:rPr>
          <w:rFonts w:hint="eastAsia" w:ascii="Book Antiqua" w:hAnsi="Book Antiqua" w:eastAsia="宋体" w:cs="Book Antiqua"/>
          <w:b/>
          <w:color w:val="000000"/>
          <w:lang w:eastAsia="zh-CN"/>
        </w:rPr>
        <w:t>Unicompartimental knee arthroplasty</w:t>
      </w:r>
      <w:r>
        <w:rPr>
          <w:rFonts w:ascii="Book Antiqua" w:hAnsi="Book Antiqua" w:eastAsia="Book Antiqua" w:cs="Book Antiqua"/>
          <w:b/>
          <w:color w:val="000000"/>
        </w:rPr>
        <w:t xml:space="preserve"> metallosis treated with uni-on-uni revision: </w:t>
      </w:r>
      <w:r>
        <w:rPr>
          <w:rFonts w:hint="eastAsia" w:ascii="Book Antiqua" w:hAnsi="Book Antiqua" w:eastAsia="宋体" w:cs="Book Antiqua"/>
          <w:b/>
          <w:color w:val="000000"/>
          <w:lang w:eastAsia="zh-CN"/>
        </w:rPr>
        <w:t>A</w:t>
      </w:r>
      <w:r>
        <w:rPr>
          <w:rFonts w:ascii="Book Antiqua" w:hAnsi="Book Antiqua" w:eastAsia="Book Antiqua" w:cs="Book Antiqua"/>
          <w:b/>
          <w:color w:val="000000"/>
        </w:rPr>
        <w:t xml:space="preserve"> case report</w:t>
      </w:r>
    </w:p>
    <w:p>
      <w:pPr>
        <w:spacing w:line="360" w:lineRule="auto"/>
        <w:jc w:val="both"/>
      </w:pPr>
    </w:p>
    <w:p>
      <w:pPr>
        <w:spacing w:line="360" w:lineRule="auto"/>
        <w:jc w:val="both"/>
      </w:pPr>
      <w:r>
        <w:rPr>
          <w:rFonts w:ascii="Book Antiqua" w:hAnsi="Book Antiqua" w:eastAsia="Book Antiqua" w:cs="Book Antiqua"/>
          <w:color w:val="000000"/>
          <w:lang w:val="en-GB"/>
        </w:rPr>
        <w:t>Toro</w:t>
      </w:r>
      <w:r>
        <w:rPr>
          <w:rFonts w:hint="eastAsia" w:ascii="Book Antiqua" w:hAnsi="Book Antiqua" w:eastAsia="宋体" w:cs="Book Antiqua"/>
          <w:color w:val="000000"/>
          <w:lang w:eastAsia="zh-CN"/>
        </w:rPr>
        <w:t xml:space="preserve"> G </w:t>
      </w:r>
      <w:r>
        <w:rPr>
          <w:rFonts w:hint="eastAsia" w:ascii="Book Antiqua" w:hAnsi="Book Antiqua" w:eastAsia="宋体" w:cs="Book Antiqua"/>
          <w:i/>
          <w:iCs/>
          <w:color w:val="000000"/>
          <w:lang w:eastAsia="zh-CN"/>
        </w:rPr>
        <w:t>et al</w:t>
      </w:r>
      <w:r>
        <w:rPr>
          <w:rFonts w:hint="eastAsia" w:ascii="Book Antiqua" w:hAnsi="Book Antiqua" w:eastAsia="宋体" w:cs="Book Antiqua"/>
          <w:color w:val="000000"/>
          <w:lang w:eastAsia="zh-CN"/>
        </w:rPr>
        <w:t>. U</w:t>
      </w:r>
      <w:r>
        <w:rPr>
          <w:rFonts w:ascii="Book Antiqua" w:hAnsi="Book Antiqua" w:eastAsia="Book Antiqua" w:cs="Book Antiqua"/>
          <w:color w:val="000000"/>
        </w:rPr>
        <w:t>ka metallosis treated with uni-on-uni revision</w:t>
      </w:r>
    </w:p>
    <w:p>
      <w:pPr>
        <w:spacing w:line="360" w:lineRule="auto"/>
        <w:jc w:val="both"/>
      </w:pPr>
    </w:p>
    <w:p>
      <w:pPr>
        <w:spacing w:line="360" w:lineRule="auto"/>
        <w:jc w:val="both"/>
        <w:rPr>
          <w:lang w:val="it-IT"/>
        </w:rPr>
      </w:pPr>
      <w:r>
        <w:rPr>
          <w:rFonts w:ascii="Book Antiqua" w:hAnsi="Book Antiqua" w:eastAsia="Book Antiqua" w:cs="Book Antiqua"/>
          <w:color w:val="000000"/>
          <w:lang w:val="it-IT"/>
        </w:rPr>
        <w:t>Giuseppe Toro, Adriano Braile, Gianluca Conza, Annalisa De Cicco, Assala Abu Mukh, Giacomo Placella, Vincenzo Salini</w:t>
      </w:r>
    </w:p>
    <w:p>
      <w:pPr>
        <w:spacing w:line="360" w:lineRule="auto"/>
        <w:jc w:val="both"/>
        <w:rPr>
          <w:lang w:val="it-IT"/>
        </w:rPr>
      </w:pPr>
    </w:p>
    <w:p>
      <w:pPr>
        <w:spacing w:line="360" w:lineRule="auto"/>
        <w:jc w:val="both"/>
        <w:rPr>
          <w:lang w:val="it-IT"/>
        </w:rPr>
      </w:pPr>
      <w:r>
        <w:rPr>
          <w:rFonts w:ascii="Book Antiqua" w:hAnsi="Book Antiqua" w:eastAsia="Book Antiqua" w:cs="Book Antiqua"/>
          <w:b/>
          <w:bCs/>
          <w:color w:val="000000"/>
          <w:lang w:val="it-IT"/>
        </w:rPr>
        <w:t xml:space="preserve">Giuseppe Toro, Adriano Braile, Gianluca Conza, Annalisa De Cicco, </w:t>
      </w:r>
      <w:r>
        <w:rPr>
          <w:rFonts w:ascii="Book Antiqua" w:hAnsi="Book Antiqua" w:eastAsia="Book Antiqua" w:cs="Book Antiqua"/>
          <w:color w:val="000000"/>
          <w:lang w:val="it-IT"/>
        </w:rPr>
        <w:t>Department of Medical and Surgical Specialties and Dentistry, University of Campania “Luigi Vanvitelli”, Naples 80138, Italy</w:t>
      </w:r>
    </w:p>
    <w:p>
      <w:pPr>
        <w:spacing w:line="360" w:lineRule="auto"/>
        <w:jc w:val="both"/>
        <w:rPr>
          <w:lang w:val="it-IT"/>
        </w:rPr>
      </w:pPr>
    </w:p>
    <w:p>
      <w:pPr>
        <w:spacing w:line="360" w:lineRule="auto"/>
        <w:jc w:val="both"/>
      </w:pPr>
      <w:r>
        <w:rPr>
          <w:rFonts w:ascii="Book Antiqua" w:hAnsi="Book Antiqua" w:eastAsia="Book Antiqua" w:cs="Book Antiqua"/>
          <w:b/>
          <w:bCs/>
          <w:color w:val="000000"/>
        </w:rPr>
        <w:t xml:space="preserve">Assala Abu Mukh, Giacomo Placella, Vincenzo Salini, </w:t>
      </w:r>
      <w:r>
        <w:rPr>
          <w:rFonts w:ascii="Book Antiqua" w:hAnsi="Book Antiqua" w:eastAsia="Book Antiqua" w:cs="Book Antiqua"/>
          <w:color w:val="000000"/>
        </w:rPr>
        <w:t>Department of Orthopaedics and Traumatology, San Raffaele Hospital, Milan 20132, Italy</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lang w:val="en-GB"/>
        </w:rPr>
        <w:t>Braile</w:t>
      </w:r>
      <w:r>
        <w:rPr>
          <w:rFonts w:hint="eastAsia" w:ascii="Book Antiqua" w:hAnsi="Book Antiqua" w:eastAsia="宋体" w:cs="Book Antiqua"/>
          <w:color w:val="000000"/>
          <w:lang w:eastAsia="zh-CN"/>
        </w:rPr>
        <w:t xml:space="preserve"> A, </w:t>
      </w:r>
      <w:r>
        <w:rPr>
          <w:rFonts w:ascii="Book Antiqua" w:hAnsi="Book Antiqua" w:eastAsia="Book Antiqua" w:cs="Book Antiqua"/>
          <w:color w:val="000000"/>
          <w:lang w:val="en-GB"/>
        </w:rPr>
        <w:t>Conza</w:t>
      </w:r>
      <w:r>
        <w:rPr>
          <w:rFonts w:hint="eastAsia" w:ascii="Book Antiqua" w:hAnsi="Book Antiqua" w:eastAsia="宋体" w:cs="Book Antiqua"/>
          <w:color w:val="000000"/>
          <w:lang w:eastAsia="zh-CN"/>
        </w:rPr>
        <w:t xml:space="preserve"> G </w:t>
      </w:r>
      <w:r>
        <w:rPr>
          <w:rFonts w:ascii="Book Antiqua" w:hAnsi="Book Antiqua" w:eastAsia="Book Antiqua" w:cs="Book Antiqua"/>
          <w:color w:val="000000"/>
        </w:rPr>
        <w:t xml:space="preserve">and </w:t>
      </w:r>
      <w:r>
        <w:rPr>
          <w:rFonts w:ascii="Book Antiqua" w:hAnsi="Book Antiqua" w:eastAsia="Book Antiqua" w:cs="Book Antiqua"/>
          <w:color w:val="000000"/>
          <w:lang w:val="en-GB"/>
        </w:rPr>
        <w:t>Salini</w:t>
      </w:r>
      <w:r>
        <w:rPr>
          <w:rFonts w:hint="eastAsia" w:ascii="Book Antiqua" w:hAnsi="Book Antiqua" w:eastAsia="宋体" w:cs="Book Antiqua"/>
          <w:color w:val="000000"/>
          <w:lang w:eastAsia="zh-CN"/>
        </w:rPr>
        <w:t xml:space="preserve"> V </w:t>
      </w:r>
      <w:r>
        <w:rPr>
          <w:rFonts w:ascii="Book Antiqua" w:hAnsi="Book Antiqua" w:eastAsia="Book Antiqua" w:cs="Book Antiqua"/>
          <w:color w:val="000000"/>
        </w:rPr>
        <w:t>performed</w:t>
      </w:r>
      <w:r>
        <w:rPr>
          <w:rFonts w:hint="eastAsia" w:ascii="Book Antiqua" w:hAnsi="Book Antiqua" w:eastAsia="宋体" w:cs="Book Antiqua"/>
          <w:color w:val="000000"/>
          <w:lang w:eastAsia="zh-CN"/>
        </w:rPr>
        <w:t xml:space="preserve"> m</w:t>
      </w:r>
      <w:r>
        <w:rPr>
          <w:rFonts w:ascii="Book Antiqua" w:hAnsi="Book Antiqua" w:eastAsia="Book Antiqua" w:cs="Book Antiqua"/>
          <w:color w:val="000000"/>
        </w:rPr>
        <w:t>aterial preparation and data collection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color w:val="000000"/>
          <w:lang w:val="en-GB"/>
        </w:rPr>
        <w:t>Placella</w:t>
      </w:r>
      <w:r>
        <w:rPr>
          <w:rFonts w:hint="eastAsia" w:ascii="Book Antiqua" w:hAnsi="Book Antiqua" w:eastAsia="宋体" w:cs="Book Antiqua"/>
          <w:color w:val="000000"/>
          <w:lang w:eastAsia="zh-CN"/>
        </w:rPr>
        <w:t xml:space="preserve"> G, </w:t>
      </w:r>
      <w:r>
        <w:rPr>
          <w:rFonts w:ascii="Book Antiqua" w:hAnsi="Book Antiqua" w:eastAsia="Book Antiqua" w:cs="Book Antiqua"/>
          <w:color w:val="000000"/>
          <w:lang w:val="en-GB"/>
        </w:rPr>
        <w:t>Toro</w:t>
      </w:r>
      <w:r>
        <w:rPr>
          <w:rFonts w:hint="eastAsia" w:ascii="Book Antiqua" w:hAnsi="Book Antiqua" w:eastAsia="宋体" w:cs="Book Antiqua"/>
          <w:color w:val="000000"/>
          <w:lang w:eastAsia="zh-CN"/>
        </w:rPr>
        <w:t xml:space="preserve"> G, </w:t>
      </w:r>
      <w:r>
        <w:rPr>
          <w:rFonts w:ascii="Book Antiqua" w:hAnsi="Book Antiqua" w:eastAsia="Book Antiqua" w:cs="Book Antiqua"/>
          <w:color w:val="000000"/>
          <w:lang w:val="en-GB"/>
        </w:rPr>
        <w:t>Salini</w:t>
      </w:r>
      <w:r>
        <w:rPr>
          <w:rFonts w:hint="eastAsia" w:ascii="Book Antiqua" w:hAnsi="Book Antiqua" w:eastAsia="宋体" w:cs="Book Antiqua"/>
          <w:color w:val="000000"/>
          <w:lang w:eastAsia="zh-CN"/>
        </w:rPr>
        <w:t xml:space="preserve"> V </w:t>
      </w:r>
      <w:r>
        <w:rPr>
          <w:rFonts w:ascii="Book Antiqua" w:hAnsi="Book Antiqua" w:eastAsia="Book Antiqua" w:cs="Book Antiqua"/>
          <w:color w:val="000000"/>
        </w:rPr>
        <w:t>performed</w:t>
      </w:r>
      <w:r>
        <w:rPr>
          <w:rFonts w:hint="eastAsia" w:ascii="Book Antiqua" w:hAnsi="Book Antiqua" w:eastAsia="宋体" w:cs="Book Antiqua"/>
          <w:color w:val="000000"/>
          <w:lang w:eastAsia="zh-CN"/>
        </w:rPr>
        <w:t xml:space="preserve"> d</w:t>
      </w:r>
      <w:r>
        <w:rPr>
          <w:rFonts w:ascii="Book Antiqua" w:hAnsi="Book Antiqua" w:eastAsia="Book Antiqua" w:cs="Book Antiqua"/>
          <w:color w:val="000000"/>
        </w:rPr>
        <w:t>ata analysis and interpretation</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rPr>
        <w:t>Abu Mukh A</w:t>
      </w:r>
      <w:r>
        <w:rPr>
          <w:rFonts w:hint="eastAsia" w:ascii="Book Antiqua" w:hAnsi="Book Antiqua" w:eastAsia="宋体" w:cs="Book Antiqua"/>
          <w:color w:val="000000"/>
          <w:lang w:eastAsia="zh-CN"/>
        </w:rPr>
        <w:t xml:space="preserve"> and </w:t>
      </w:r>
      <w:r>
        <w:rPr>
          <w:rFonts w:ascii="Book Antiqua" w:hAnsi="Book Antiqua" w:eastAsia="Book Antiqua" w:cs="Book Antiqua"/>
        </w:rPr>
        <w:t>De Cicco 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written</w:t>
      </w:r>
      <w:r>
        <w:rPr>
          <w:rFonts w:hint="eastAsia" w:ascii="Book Antiqua" w:hAnsi="Book Antiqua" w:eastAsia="宋体" w:cs="Book Antiqua"/>
          <w:color w:val="000000"/>
          <w:lang w:eastAsia="zh-CN"/>
        </w:rPr>
        <w:t xml:space="preserve"> t</w:t>
      </w:r>
      <w:r>
        <w:rPr>
          <w:rFonts w:ascii="Book Antiqua" w:hAnsi="Book Antiqua" w:eastAsia="Book Antiqua" w:cs="Book Antiqua"/>
          <w:color w:val="000000"/>
        </w:rPr>
        <w:t>he first draft of the manuscript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Book Antiqua" w:cs="Book Antiqua"/>
          <w:color w:val="000000"/>
        </w:rPr>
        <w:t>Placella</w:t>
      </w:r>
      <w:r>
        <w:rPr>
          <w:rFonts w:hint="eastAsia" w:ascii="Book Antiqua" w:hAnsi="Book Antiqua" w:eastAsia="宋体" w:cs="Book Antiqua"/>
          <w:color w:val="000000"/>
          <w:lang w:eastAsia="zh-CN"/>
        </w:rPr>
        <w:t xml:space="preserve"> G</w:t>
      </w:r>
      <w:r>
        <w:rPr>
          <w:rFonts w:ascii="Book Antiqua" w:hAnsi="Book Antiqua" w:eastAsia="Book Antiqua" w:cs="Book Antiqua"/>
          <w:color w:val="000000"/>
        </w:rPr>
        <w:t xml:space="preserve"> and </w:t>
      </w:r>
      <w:r>
        <w:rPr>
          <w:rFonts w:ascii="Book Antiqua" w:hAnsi="Book Antiqua" w:eastAsia="Book Antiqua" w:cs="Book Antiqua"/>
          <w:color w:val="000000"/>
          <w:lang w:val="en-GB"/>
        </w:rPr>
        <w:t>Toro</w:t>
      </w:r>
      <w:r>
        <w:rPr>
          <w:rFonts w:hint="eastAsia" w:ascii="Book Antiqua" w:hAnsi="Book Antiqua" w:eastAsia="宋体" w:cs="Book Antiqua"/>
          <w:color w:val="000000"/>
          <w:lang w:eastAsia="zh-CN"/>
        </w:rPr>
        <w:t xml:space="preserve"> G</w:t>
      </w:r>
      <w:r>
        <w:rPr>
          <w:rFonts w:ascii="Book Antiqua" w:hAnsi="Book Antiqua" w:eastAsia="Book Antiqua" w:cs="Book Antiqua"/>
          <w:color w:val="000000"/>
        </w:rPr>
        <w:t xml:space="preserve"> revised the paper and wrote the final version of the manuscript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color w:val="000000"/>
          <w:lang w:val="en-GB"/>
        </w:rPr>
        <w:t>Toro</w:t>
      </w:r>
      <w:r>
        <w:rPr>
          <w:rFonts w:hint="eastAsia" w:ascii="Book Antiqua" w:hAnsi="Book Antiqua" w:eastAsia="宋体" w:cs="Book Antiqua"/>
          <w:color w:val="000000"/>
          <w:lang w:eastAsia="zh-CN"/>
        </w:rPr>
        <w:t xml:space="preserve"> G</w:t>
      </w:r>
      <w:r>
        <w:rPr>
          <w:rFonts w:ascii="Book Antiqua" w:hAnsi="Book Antiqua" w:eastAsia="Book Antiqua" w:cs="Book Antiqua"/>
          <w:color w:val="000000"/>
        </w:rPr>
        <w:t xml:space="preserve"> and </w:t>
      </w:r>
      <w:r>
        <w:rPr>
          <w:rFonts w:ascii="Book Antiqua" w:hAnsi="Book Antiqua" w:eastAsia="Book Antiqua" w:cs="Book Antiqua"/>
          <w:color w:val="000000"/>
          <w:lang w:val="en-GB"/>
        </w:rPr>
        <w:t>Salini</w:t>
      </w:r>
      <w:r>
        <w:rPr>
          <w:rFonts w:hint="eastAsia" w:ascii="Book Antiqua" w:hAnsi="Book Antiqua" w:eastAsia="宋体" w:cs="Book Antiqua"/>
          <w:color w:val="000000"/>
          <w:lang w:eastAsia="zh-CN"/>
        </w:rPr>
        <w:t xml:space="preserve"> V</w:t>
      </w:r>
      <w:r>
        <w:rPr>
          <w:rFonts w:ascii="Book Antiqua" w:hAnsi="Book Antiqua" w:eastAsia="Book Antiqua" w:cs="Book Antiqua"/>
          <w:color w:val="000000"/>
        </w:rPr>
        <w:t xml:space="preserve"> supervised the entire study</w:t>
      </w:r>
      <w:r>
        <w:rPr>
          <w:rFonts w:hint="eastAsia" w:ascii="Book Antiqua" w:hAnsi="Book Antiqua" w:eastAsia="宋体" w:cs="Book Antiqua"/>
          <w:color w:val="000000"/>
          <w:lang w:eastAsia="zh-CN"/>
        </w:rPr>
        <w:t>; a</w:t>
      </w:r>
      <w:r>
        <w:rPr>
          <w:rFonts w:ascii="Book Antiqua" w:hAnsi="Book Antiqua" w:eastAsia="Book Antiqua" w:cs="Book Antiqua"/>
          <w:color w:val="000000"/>
        </w:rPr>
        <w:t>ll authors commented on previous versions of the manuscript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a</w:t>
      </w:r>
      <w:r>
        <w:rPr>
          <w:rFonts w:ascii="Book Antiqua" w:hAnsi="Book Antiqua" w:eastAsia="Book Antiqua" w:cs="Book Antiqua"/>
          <w:color w:val="000000"/>
        </w:rPr>
        <w:t>ll authors read and approved the final manuscript</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a</w:t>
      </w:r>
      <w:r>
        <w:rPr>
          <w:rFonts w:ascii="Book Antiqua" w:hAnsi="Book Antiqua" w:eastAsia="Book Antiqua" w:cs="Book Antiqua"/>
          <w:color w:val="000000"/>
        </w:rPr>
        <w:t>ll authors contributed to the study conception and design.</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Giuseppe Toro, MD, PhD, Research Assistant Professor, </w:t>
      </w:r>
      <w:r>
        <w:rPr>
          <w:rFonts w:ascii="Book Antiqua" w:hAnsi="Book Antiqua" w:eastAsia="Book Antiqua" w:cs="Book Antiqua"/>
          <w:color w:val="000000"/>
        </w:rPr>
        <w:t xml:space="preserve">Department of Medical and Surgical Specialties and Dentistry, University of Campania “Luigi Vanvitelli,” </w:t>
      </w:r>
      <w:r>
        <w:rPr>
          <w:rFonts w:hint="eastAsia" w:ascii="Book Antiqua" w:hAnsi="Book Antiqua" w:eastAsia="宋体" w:cs="Book Antiqua"/>
          <w:color w:val="000000"/>
          <w:lang w:eastAsia="zh-CN"/>
        </w:rPr>
        <w:t xml:space="preserve">No. </w:t>
      </w:r>
      <w:r>
        <w:rPr>
          <w:rFonts w:ascii="Book Antiqua" w:hAnsi="Book Antiqua" w:eastAsia="Book Antiqua" w:cs="Book Antiqua"/>
          <w:color w:val="000000"/>
        </w:rPr>
        <w:t>4</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Via L. De Crecchio, Naples 80138, Italy. giuseppe.toro@unicampania.it</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August 29, 2023</w:t>
      </w:r>
    </w:p>
    <w:p>
      <w:pPr>
        <w:spacing w:line="360" w:lineRule="auto"/>
        <w:jc w:val="both"/>
      </w:pPr>
      <w:r>
        <w:rPr>
          <w:rFonts w:ascii="Book Antiqua" w:hAnsi="Book Antiqua" w:eastAsia="Book Antiqua" w:cs="Book Antiqua"/>
          <w:b/>
          <w:bCs/>
        </w:rPr>
        <w:t xml:space="preserve">Revised: </w:t>
      </w:r>
      <w:r>
        <w:rPr>
          <w:rFonts w:hint="eastAsia" w:ascii="Book Antiqua" w:hAnsi="Book Antiqua" w:eastAsia="Book Antiqua" w:cs="Book Antiqua"/>
        </w:rPr>
        <w:t>October 15, 2023</w:t>
      </w:r>
    </w:p>
    <w:p>
      <w:pPr>
        <w:spacing w:line="360" w:lineRule="auto"/>
        <w:jc w:val="both"/>
      </w:pPr>
      <w:r>
        <w:rPr>
          <w:rFonts w:ascii="Book Antiqua" w:hAnsi="Book Antiqua" w:eastAsia="Book Antiqua" w:cs="Book Antiqua"/>
          <w:b/>
          <w:bCs/>
        </w:rPr>
        <w:t>Accepted:</w:t>
      </w:r>
      <w:r>
        <w:rPr>
          <w:rFonts w:ascii="Book Antiqua" w:hAnsi="Book Antiqua" w:eastAsia="Book Antiqua" w:cs="Book Antiqua"/>
        </w:rPr>
        <w:t xml:space="preserve"> November 9, 2023</w:t>
      </w:r>
    </w:p>
    <w:p>
      <w:pPr>
        <w:spacing w:line="360" w:lineRule="auto"/>
        <w:jc w:val="both"/>
      </w:pPr>
      <w:r>
        <w:rPr>
          <w:rFonts w:ascii="Book Antiqua" w:hAnsi="Book Antiqua" w:eastAsia="Book Antiqua" w:cs="Book Antiqua"/>
          <w:b/>
          <w:bCs/>
        </w:rPr>
        <w:t xml:space="preserve">Published online: </w:t>
      </w:r>
      <w:r>
        <w:rPr>
          <w:rFonts w:ascii="Book Antiqua" w:hAnsi="Book Antiqua" w:eastAsia="Book Antiqua" w:cs="Book Antiqua"/>
        </w:rPr>
        <w:t xml:space="preserve">December </w:t>
      </w:r>
      <w:r>
        <w:rPr>
          <w:rFonts w:hint="eastAsia" w:ascii="Book Antiqua" w:hAnsi="Book Antiqua" w:cs="Book Antiqua" w:eastAsiaTheme="minorEastAsia"/>
          <w:lang w:eastAsia="zh-CN"/>
        </w:rPr>
        <w:t>18</w:t>
      </w:r>
      <w:r>
        <w:rPr>
          <w:rFonts w:ascii="Book Antiqua" w:hAnsi="Book Antiqua" w:eastAsia="Book Antiqua" w:cs="Book Antiqua"/>
        </w:rPr>
        <w:t>, 2023</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rPr>
        <w:t>Metallosis is the result of metallic wear debris in the soft tissues and is associated to both local and systemic inflammatory response. Metallosis has been reported after total hip and total knee arthroplasty (TKA), but rarely after a unicompartimental knee arthroplasty (UKA).</w:t>
      </w:r>
      <w:r>
        <w:rPr>
          <w:rFonts w:hint="eastAsia" w:ascii="Book Antiqua" w:hAnsi="Book Antiqua" w:eastAsia="宋体" w:cs="Book Antiqua"/>
          <w:lang w:eastAsia="zh-CN"/>
        </w:rPr>
        <w:t xml:space="preserve"> </w:t>
      </w:r>
      <w:r>
        <w:rPr>
          <w:rFonts w:ascii="Book Antiqua" w:hAnsi="Book Antiqua" w:eastAsia="Book Antiqua" w:cs="Book Antiqua"/>
        </w:rPr>
        <w:t>In the context of UKA metallosis, surgeons often opt for revision using a TKA. However, in this paper, the authors successfully treated UKA revising the metal back only.</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rPr>
        <w:t xml:space="preserve">Prior to treat our patient we conducted a literature research through which we identified eleven cases of metallosis after UKA, ten (90.9%) were treated revising using though a TKA. </w:t>
      </w:r>
      <w:r>
        <w:rPr>
          <w:rFonts w:ascii="Book Antiqua" w:hAnsi="Book Antiqua" w:eastAsia="Book Antiqua" w:cs="Book Antiqua"/>
          <w:color w:val="000000"/>
        </w:rPr>
        <w:t xml:space="preserve">Only one case was managed through a uni-on-uni revision, reporting high knee function. </w:t>
      </w:r>
      <w:r>
        <w:rPr>
          <w:rFonts w:ascii="Book Antiqua" w:hAnsi="Book Antiqua" w:eastAsia="Book Antiqua" w:cs="Book Antiqua"/>
        </w:rPr>
        <w:t>Our patient complained worsening pain and function after a snap occurred at 16 mo after UKA implantation. At 18 mo following surgical debridment and uni-on-uni revision surgery, our patient exhibited a relevant improvement in Oxford Knee Score and a reduction of metal ion levels in the blood.</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Our study highlights that in case of metallosis after UKA, the treatment may be based on surgical debridement and just revising the mobilized components.</w:t>
      </w:r>
    </w:p>
    <w:p>
      <w:pPr>
        <w:spacing w:line="360" w:lineRule="auto"/>
        <w:jc w:val="both"/>
      </w:pPr>
    </w:p>
    <w:p>
      <w:pPr>
        <w:spacing w:line="360" w:lineRule="auto"/>
        <w:jc w:val="both"/>
        <w:rPr>
          <w:rFonts w:eastAsia="宋体"/>
          <w:lang w:eastAsia="zh-CN"/>
        </w:rPr>
      </w:pPr>
      <w:r>
        <w:rPr>
          <w:rFonts w:ascii="Book Antiqua" w:hAnsi="Book Antiqua" w:eastAsia="Book Antiqua" w:cs="Book Antiqua"/>
          <w:b/>
          <w:bCs/>
        </w:rPr>
        <w:t xml:space="preserve">Key Words: </w:t>
      </w:r>
      <w:r>
        <w:rPr>
          <w:rFonts w:ascii="Book Antiqua" w:hAnsi="Book Antiqua" w:eastAsia="Book Antiqua" w:cs="Book Antiqua"/>
        </w:rPr>
        <w:t xml:space="preserve">Metallosis; </w:t>
      </w:r>
      <w:r>
        <w:rPr>
          <w:rFonts w:hint="eastAsia" w:ascii="Book Antiqua" w:hAnsi="Book Antiqua" w:eastAsia="宋体" w:cs="Book Antiqua"/>
          <w:lang w:eastAsia="zh-CN"/>
        </w:rPr>
        <w:t>U</w:t>
      </w:r>
      <w:r>
        <w:rPr>
          <w:rFonts w:ascii="Book Antiqua" w:hAnsi="Book Antiqua" w:eastAsia="Book Antiqua" w:cs="Book Antiqua"/>
        </w:rPr>
        <w:t xml:space="preserve">nicompartimental </w:t>
      </w:r>
      <w:r>
        <w:rPr>
          <w:rFonts w:hint="eastAsia" w:ascii="Book Antiqua" w:hAnsi="Book Antiqua" w:eastAsia="宋体" w:cs="Book Antiqua"/>
          <w:lang w:eastAsia="zh-CN"/>
        </w:rPr>
        <w:t>k</w:t>
      </w:r>
      <w:r>
        <w:rPr>
          <w:rFonts w:ascii="Book Antiqua" w:hAnsi="Book Antiqua" w:eastAsia="Book Antiqua" w:cs="Book Antiqua"/>
        </w:rPr>
        <w:t xml:space="preserve">nee </w:t>
      </w:r>
      <w:r>
        <w:rPr>
          <w:rFonts w:hint="eastAsia" w:ascii="Book Antiqua" w:hAnsi="Book Antiqua" w:eastAsia="宋体" w:cs="Book Antiqua"/>
          <w:lang w:eastAsia="zh-CN"/>
        </w:rPr>
        <w:t>a</w:t>
      </w:r>
      <w:r>
        <w:rPr>
          <w:rFonts w:ascii="Book Antiqua" w:hAnsi="Book Antiqua" w:eastAsia="Book Antiqua" w:cs="Book Antiqua"/>
        </w:rPr>
        <w:t xml:space="preserve">rthroplasty; </w:t>
      </w:r>
      <w:r>
        <w:rPr>
          <w:rFonts w:hint="eastAsia" w:ascii="Book Antiqua" w:hAnsi="Book Antiqua" w:eastAsia="宋体" w:cs="Book Antiqua"/>
          <w:lang w:eastAsia="zh-CN"/>
        </w:rPr>
        <w:t>R</w:t>
      </w:r>
      <w:r>
        <w:rPr>
          <w:rFonts w:ascii="Book Antiqua" w:hAnsi="Book Antiqua" w:eastAsia="Book Antiqua" w:cs="Book Antiqua"/>
        </w:rPr>
        <w:t xml:space="preserve">evision; </w:t>
      </w:r>
      <w:r>
        <w:rPr>
          <w:rFonts w:hint="eastAsia" w:ascii="Book Antiqua" w:hAnsi="Book Antiqua" w:eastAsia="宋体" w:cs="Book Antiqua"/>
          <w:lang w:eastAsia="zh-CN"/>
        </w:rPr>
        <w:t>U</w:t>
      </w:r>
      <w:r>
        <w:rPr>
          <w:rFonts w:ascii="Book Antiqua" w:hAnsi="Book Antiqua" w:eastAsia="Book Antiqua" w:cs="Book Antiqua"/>
        </w:rPr>
        <w:t xml:space="preserve">ni-on-uni revision; case report; </w:t>
      </w:r>
      <w:r>
        <w:rPr>
          <w:rFonts w:hint="eastAsia" w:ascii="Book Antiqua" w:hAnsi="Book Antiqua" w:eastAsia="宋体" w:cs="Book Antiqua"/>
          <w:lang w:eastAsia="zh-CN"/>
        </w:rPr>
        <w:t>R</w:t>
      </w:r>
      <w:r>
        <w:rPr>
          <w:rFonts w:ascii="Book Antiqua" w:hAnsi="Book Antiqua" w:eastAsia="Book Antiqua" w:cs="Book Antiqua"/>
        </w:rPr>
        <w:t>eview</w:t>
      </w:r>
      <w:r>
        <w:rPr>
          <w:rFonts w:hint="eastAsia" w:ascii="Book Antiqua" w:hAnsi="Book Antiqua" w:eastAsia="宋体" w:cs="Book Antiqua"/>
          <w:lang w:eastAsia="zh-CN"/>
        </w:rPr>
        <w:t>;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Toro G, Braile A, Conza G, De Cicco A, Abu Mukh A, Placella G, Salini V. </w:t>
      </w:r>
      <w:r>
        <w:rPr>
          <w:rFonts w:hint="eastAsia" w:ascii="Book Antiqua" w:hAnsi="Book Antiqua" w:eastAsia="Book Antiqua" w:cs="Book Antiqua"/>
        </w:rPr>
        <w:t>Unicompartimental knee arthroplasty metallosis treated with uni-on-uni revision: A case report</w:t>
      </w:r>
      <w:r>
        <w:rPr>
          <w:rFonts w:ascii="Book Antiqua" w:hAnsi="Book Antiqua" w:eastAsia="Book Antiqua" w:cs="Book Antiqua"/>
        </w:rPr>
        <w:t xml:space="preserve">. </w:t>
      </w:r>
      <w:r>
        <w:rPr>
          <w:rFonts w:ascii="Book Antiqua" w:hAnsi="Book Antiqua" w:eastAsia="Book Antiqua" w:cs="Book Antiqua"/>
          <w:i/>
          <w:iCs/>
        </w:rPr>
        <w:t>World J Orthop</w:t>
      </w:r>
      <w:r>
        <w:rPr>
          <w:rFonts w:ascii="Book Antiqua" w:hAnsi="Book Antiqua" w:eastAsia="Book Antiqua" w:cs="Book Antiqua"/>
        </w:rPr>
        <w:t xml:space="preserve"> 2023; </w:t>
      </w:r>
      <w:r>
        <w:rPr>
          <w:rFonts w:hint="eastAsia" w:ascii="Book Antiqua" w:hAnsi="Book Antiqua" w:eastAsia="Book Antiqua" w:cs="Book Antiqua"/>
        </w:rPr>
        <w:t xml:space="preserve">14(12): </w:t>
      </w:r>
      <w:r>
        <w:rPr>
          <w:rStyle w:val="19"/>
          <w:rFonts w:hint="default" w:ascii="Book Antiqua" w:hAnsi="Book Antiqua" w:eastAsia="宋体" w:cs="Book Antiqua"/>
          <w:sz w:val="24"/>
          <w:szCs w:val="24"/>
          <w:lang w:val="en-US" w:eastAsia="zh-CN" w:bidi="ar"/>
        </w:rPr>
        <w:t>889-896</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https://www.wjgnet.com/2218-5836/full/v14/i12/</w:t>
      </w:r>
      <w:r>
        <w:rPr>
          <w:rStyle w:val="19"/>
          <w:rFonts w:hint="default" w:ascii="Book Antiqua" w:hAnsi="Book Antiqua" w:eastAsia="宋体" w:cs="Book Antiqua"/>
          <w:sz w:val="24"/>
          <w:szCs w:val="24"/>
          <w:lang w:val="en-US" w:eastAsia="zh-CN" w:bidi="ar"/>
        </w:rPr>
        <w:t>889</w:t>
      </w:r>
      <w:r>
        <w:rPr>
          <w:rFonts w:hint="eastAsia" w:ascii="Book Antiqua" w:hAnsi="Book Antiqua" w:eastAsia="Book Antiqua" w:cs="Book Antiqua"/>
        </w:rPr>
        <w:t xml:space="preserve">.htm </w:t>
      </w:r>
    </w:p>
    <w:p>
      <w:pPr>
        <w:spacing w:line="360" w:lineRule="auto"/>
        <w:jc w:val="both"/>
      </w:pPr>
      <w:r>
        <w:rPr>
          <w:rFonts w:hint="eastAsia" w:ascii="Book Antiqua" w:hAnsi="Book Antiqua" w:eastAsia="Book Antiqua" w:cs="Book Antiqua"/>
          <w:b/>
          <w:bCs/>
        </w:rPr>
        <w:t>DOI</w:t>
      </w:r>
      <w:r>
        <w:rPr>
          <w:rFonts w:hint="eastAsia" w:ascii="Book Antiqua" w:hAnsi="Book Antiqua" w:eastAsia="Book Antiqua" w:cs="Book Antiqua"/>
        </w:rPr>
        <w:t>: https://dx.doi.org/10.5312/wjo.v14.i12.</w:t>
      </w:r>
      <w:r>
        <w:rPr>
          <w:rStyle w:val="19"/>
          <w:rFonts w:hint="default" w:ascii="Book Antiqua" w:hAnsi="Book Antiqua" w:eastAsia="宋体" w:cs="Book Antiqua"/>
          <w:sz w:val="24"/>
          <w:szCs w:val="24"/>
          <w:lang w:val="en-US" w:eastAsia="zh-CN" w:bidi="ar"/>
        </w:rPr>
        <w:t>889</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hint="eastAsia" w:ascii="Book Antiqua" w:hAnsi="Book Antiqua" w:eastAsia="Book Antiqua" w:cs="Book Antiqua"/>
        </w:rPr>
        <w:t>Metallosis is a rare but serious complication of unicompartimental knee arthroplasty. It is generally treated through surgical debridment and revision to a total knee arthroplasty. However, in case of absence of critical signs of implant malpositioning, soft tissue impairment or bone loss, it could be successfully resolved through surgical debridment and uni-on-uni revision.</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Metallosis is a condition in which prosthetic metallic wear produces debris that could be observed in soft tissues, causing both local and systemic inflammation, and could be associated to malignant tumors and systemic toxicity</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Metallosis had been associated mainly with total hip arthroplasty (THA)</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In fact, it could be observed in 2</w:t>
      </w:r>
      <w:r>
        <w:rPr>
          <w:rFonts w:hint="eastAsia" w:ascii="Book Antiqua" w:hAnsi="Book Antiqua" w:eastAsia="宋体" w:cs="Book Antiqua"/>
          <w:color w:val="000000"/>
          <w:lang w:eastAsia="zh-CN"/>
        </w:rPr>
        <w:t>%</w:t>
      </w:r>
      <w:r>
        <w:rPr>
          <w:rFonts w:ascii="Book Antiqua" w:hAnsi="Book Antiqua" w:eastAsia="Book Antiqua" w:cs="Book Antiqua"/>
          <w:color w:val="000000"/>
        </w:rPr>
        <w:t>-5% of metal-on-metal THA implants, yet it was also described in the context of total knee arthroplasty (TKA) and less frequently unicompartimental knee arthroplasty (UKA)</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Metallosis treatment contemplates wide surgical debridement and revision surgery. Nevertheless, the authors noticed that the revision seems to differ from the damage entity. The rare cases of metallosis after an UKA are generally treated through a revision with TKA</w:t>
      </w:r>
      <w:r>
        <w:rPr>
          <w:rFonts w:ascii="Book Antiqua" w:hAnsi="Book Antiqua" w:eastAsia="Book Antiqua" w:cs="Book Antiqua"/>
          <w:color w:val="000000"/>
          <w:szCs w:val="30"/>
          <w:vertAlign w:val="superscript"/>
        </w:rPr>
        <w:t>[5</w:t>
      </w:r>
      <w:r>
        <w:rPr>
          <w:rFonts w:hint="eastAsia" w:ascii="Book Antiqua" w:hAnsi="Book Antiqua" w:cs="Book Antiqua" w:eastAsiaTheme="minorEastAsia"/>
          <w:color w:val="000000"/>
          <w:szCs w:val="30"/>
          <w:vertAlign w:val="superscript"/>
          <w:lang w:eastAsia="zh-CN"/>
        </w:rPr>
        <w:t>-</w:t>
      </w:r>
      <w:r>
        <w:rPr>
          <w:rFonts w:ascii="Book Antiqua" w:hAnsi="Book Antiqua" w:eastAsia="Book Antiqua" w:cs="Book Antiqua"/>
          <w:color w:val="000000"/>
          <w:szCs w:val="30"/>
          <w:vertAlign w:val="superscript"/>
        </w:rPr>
        <w:t>1</w:t>
      </w:r>
      <w:r>
        <w:rPr>
          <w:rFonts w:hint="eastAsia" w:ascii="Book Antiqua" w:hAnsi="Book Antiqua" w:eastAsia="宋体" w:cs="Book Antiqua"/>
          <w:color w:val="000000"/>
          <w:szCs w:val="30"/>
          <w:vertAlign w:val="superscript"/>
          <w:lang w:eastAsia="zh-CN"/>
        </w:rPr>
        <w:t>5</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In this article, we review the literature and introduce a case of 77 years old man presenting an UKA metallosis treated with debridement and UKA tibial metalback revision.</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This article reports the case of a 77 years old patient with a metallosis after a UKA.</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13-mo before, the patient perceived</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a “snap”, that was initially conservatively treated, considering the complete and painless </w:t>
      </w:r>
      <w:r>
        <w:rPr>
          <w:rFonts w:hint="eastAsia" w:ascii="Book Antiqua" w:hAnsi="Book Antiqua" w:eastAsia="Book Antiqua" w:cs="Book Antiqua"/>
          <w:color w:val="000000"/>
        </w:rPr>
        <w:t>range of motion</w:t>
      </w:r>
      <w:r>
        <w:rPr>
          <w:rFonts w:ascii="Book Antiqua" w:hAnsi="Book Antiqua" w:eastAsia="Book Antiqua" w:cs="Book Antiqua"/>
          <w:color w:val="000000"/>
        </w:rPr>
        <w:t xml:space="preserve"> documented during outpatient evaluation.</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Sixteen months prior to the metallosis diagnosis, the patient underwent to a medial UKA for unicompartimental knee osteoarthritis.</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had no other relevant co-morbidities.</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 xml:space="preserve">In the three months after the “snap,” the patient started to report a constant worsening of knee pain and a substantial reduction of joint function </w:t>
      </w:r>
      <w:r>
        <w:rPr>
          <w:rFonts w:hint="eastAsia" w:ascii="Book Antiqua" w:hAnsi="Book Antiqua" w:eastAsia="Book Antiqua" w:cs="Book Antiqua"/>
          <w:color w:val="000000"/>
        </w:rPr>
        <w:t>[</w:t>
      </w:r>
      <w:r>
        <w:rPr>
          <w:rFonts w:hint="eastAsia" w:ascii="Book Antiqua" w:hAnsi="Book Antiqua" w:eastAsia="宋体" w:cs="Book Antiqua"/>
          <w:color w:val="000000"/>
          <w:lang w:eastAsia="zh-CN"/>
        </w:rPr>
        <w:t>o</w:t>
      </w:r>
      <w:r>
        <w:rPr>
          <w:rFonts w:ascii="Book Antiqua" w:hAnsi="Book Antiqua" w:eastAsia="Book Antiqua" w:cs="Book Antiqua"/>
          <w:color w:val="000000"/>
        </w:rPr>
        <w:t xml:space="preserve">xford </w:t>
      </w:r>
      <w:r>
        <w:rPr>
          <w:rFonts w:hint="eastAsia" w:ascii="Book Antiqua" w:hAnsi="Book Antiqua" w:eastAsia="宋体" w:cs="Book Antiqua"/>
          <w:color w:val="000000"/>
          <w:lang w:eastAsia="zh-CN"/>
        </w:rPr>
        <w:t>k</w:t>
      </w:r>
      <w:r>
        <w:rPr>
          <w:rFonts w:ascii="Book Antiqua" w:hAnsi="Book Antiqua" w:eastAsia="Book Antiqua" w:cs="Book Antiqua"/>
          <w:color w:val="000000"/>
        </w:rPr>
        <w:t xml:space="preserve">nee </w:t>
      </w:r>
      <w:r>
        <w:rPr>
          <w:rFonts w:hint="eastAsia" w:ascii="Book Antiqua" w:hAnsi="Book Antiqua" w:eastAsia="宋体" w:cs="Book Antiqua"/>
          <w:color w:val="000000"/>
          <w:lang w:eastAsia="zh-CN"/>
        </w:rPr>
        <w:t>s</w:t>
      </w:r>
      <w:r>
        <w:rPr>
          <w:rFonts w:ascii="Book Antiqua" w:hAnsi="Book Antiqua" w:eastAsia="Book Antiqua" w:cs="Book Antiqua"/>
          <w:color w:val="000000"/>
        </w:rPr>
        <w:t>core (OKS) of 27/48</w:t>
      </w:r>
      <w:r>
        <w:rPr>
          <w:rFonts w:hint="eastAsia" w:ascii="Book Antiqua" w:hAnsi="Book Antiqua" w:eastAsia="Book Antiqua" w:cs="Book Antiqua"/>
          <w:color w:val="000000"/>
        </w:rPr>
        <w:t>]</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Baseline blood ion levels were in line with a diagnosis of metallosis (Chrome 1.26 µg/L, Cobalt 3.94 µg/L).</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The imaging performed at that time</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confirmed tibial implant loosening (Figure 1) and revision surgery was necessary after excluding infection</w:t>
      </w:r>
      <w:r>
        <w:rPr>
          <w:rFonts w:ascii="Book Antiqua" w:hAnsi="Book Antiqua" w:eastAsia="Book Antiqua" w:cs="Book Antiqua"/>
          <w:color w:val="000000"/>
          <w:szCs w:val="30"/>
          <w:vertAlign w:val="superscript"/>
        </w:rPr>
        <w:t>[</w:t>
      </w:r>
      <w:r>
        <w:rPr>
          <w:rFonts w:hint="eastAsia" w:ascii="Book Antiqua" w:hAnsi="Book Antiqua" w:eastAsia="宋体" w:cs="Book Antiqua"/>
          <w:color w:val="000000"/>
          <w:szCs w:val="30"/>
          <w:vertAlign w:val="superscript"/>
          <w:lang w:eastAsia="zh-CN"/>
        </w:rPr>
        <w:t>16-18</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w:t>
      </w:r>
    </w:p>
    <w:p>
      <w:pPr>
        <w:spacing w:line="360" w:lineRule="auto"/>
        <w:jc w:val="both"/>
      </w:pPr>
    </w:p>
    <w:p>
      <w:pPr>
        <w:spacing w:line="360" w:lineRule="auto"/>
        <w:jc w:val="both"/>
        <w:rPr>
          <w:i/>
          <w:iCs/>
        </w:rPr>
      </w:pPr>
      <w:r>
        <w:rPr>
          <w:rFonts w:hint="eastAsia" w:ascii="Book Antiqua" w:hAnsi="Book Antiqua" w:eastAsia="宋体" w:cs="Book Antiqua"/>
          <w:b/>
          <w:i/>
          <w:iCs/>
          <w:color w:val="000000"/>
          <w:lang w:eastAsia="zh-CN"/>
        </w:rPr>
        <w:t>M</w:t>
      </w:r>
      <w:r>
        <w:rPr>
          <w:rFonts w:ascii="Book Antiqua" w:hAnsi="Book Antiqua" w:eastAsia="Book Antiqua" w:cs="Book Antiqua"/>
          <w:b/>
          <w:i/>
          <w:iCs/>
          <w:color w:val="000000"/>
        </w:rPr>
        <w:t>ultidisciplinary expert consultation</w:t>
      </w:r>
    </w:p>
    <w:p>
      <w:pPr>
        <w:spacing w:line="360" w:lineRule="auto"/>
        <w:jc w:val="both"/>
      </w:pPr>
      <w:r>
        <w:rPr>
          <w:rFonts w:ascii="Book Antiqua" w:hAnsi="Book Antiqua" w:eastAsia="Book Antiqua" w:cs="Book Antiqua"/>
          <w:color w:val="000000"/>
        </w:rPr>
        <w:t>Prior to treat the patient, the research team decided to evaluate all the possible procedures. Therefore, a literature research was conducted through PubMed by two independent reviewers (</w:t>
      </w:r>
      <w:r>
        <w:rPr>
          <w:rFonts w:hint="eastAsia" w:ascii="Book Antiqua" w:hAnsi="Book Antiqua" w:eastAsia="Book Antiqua" w:cs="Book Antiqua"/>
          <w:color w:val="000000"/>
        </w:rPr>
        <w:t>Braile A and Conza G</w:t>
      </w:r>
      <w:r>
        <w:rPr>
          <w:rFonts w:ascii="Book Antiqua" w:hAnsi="Book Antiqua" w:eastAsia="Book Antiqua" w:cs="Book Antiqua"/>
          <w:color w:val="000000"/>
        </w:rPr>
        <w:t>) using the following terms in their various combinations “Unicompartmental knee arthroplasty,” “metallosis,” “liner dislocation”, “fixed-bearing”, “mobile-bearing”. Studies compatible with our criteria were included and controversies between the two reviewers were analyzed by a third author for the inclusion decision (</w:t>
      </w:r>
      <w:r>
        <w:rPr>
          <w:rFonts w:ascii="Book Antiqua" w:hAnsi="Book Antiqua" w:eastAsia="Book Antiqua" w:cs="Book Antiqua"/>
          <w:color w:val="000000"/>
          <w:lang w:val="en-GB"/>
        </w:rPr>
        <w:t>Salini</w:t>
      </w:r>
      <w:r>
        <w:rPr>
          <w:rFonts w:hint="eastAsia" w:ascii="Book Antiqua" w:hAnsi="Book Antiqua" w:eastAsia="宋体" w:cs="Book Antiqua"/>
          <w:color w:val="000000"/>
          <w:lang w:eastAsia="zh-CN"/>
        </w:rPr>
        <w:t xml:space="preserve"> V</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 xml:space="preserve">The literature search was conducted only in PubMed given that 90% of high-quality studies can be retrieved from this database, as reported by Rollin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w:t>
      </w:r>
      <w:r>
        <w:rPr>
          <w:rFonts w:hint="eastAsia" w:ascii="Book Antiqua" w:hAnsi="Book Antiqua" w:eastAsia="宋体" w:cs="Book Antiqua"/>
          <w:color w:val="000000"/>
          <w:szCs w:val="30"/>
          <w:vertAlign w:val="superscript"/>
          <w:lang w:eastAsia="zh-CN"/>
        </w:rPr>
        <w:t>19</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Therefore, to summarize the knowledge around a specific topic, PubMed research should be considered cost-effective as practitioners are able to easily retrieve most of the literature by using it</w:t>
      </w:r>
      <w:r>
        <w:rPr>
          <w:rFonts w:ascii="Book Antiqua" w:hAnsi="Book Antiqua" w:eastAsia="Book Antiqua" w:cs="Book Antiqua"/>
          <w:color w:val="000000"/>
          <w:szCs w:val="30"/>
          <w:vertAlign w:val="superscript"/>
        </w:rPr>
        <w:t>[</w:t>
      </w:r>
      <w:r>
        <w:rPr>
          <w:rFonts w:hint="eastAsia" w:ascii="Book Antiqua" w:hAnsi="Book Antiqua" w:eastAsia="宋体" w:cs="Book Antiqua"/>
          <w:color w:val="000000"/>
          <w:szCs w:val="30"/>
          <w:vertAlign w:val="superscript"/>
          <w:lang w:eastAsia="zh-CN"/>
        </w:rPr>
        <w:t>19,20</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All articles on metallosis after UKA in English, Spanish and Italian languages were included and analyzed in the present review. Articles with incomplete follow-up were excluded. The references cited in the included articles were also reviewed to identify further relevant studies.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Data from each retrieved study were collected using a pre-arranged form.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Out of 45 records identified, 20 presented criteria for further review. Eleven articles were then excluded after abstract review because did not meet the inclusion criteria. One further article was included after reviewing references cited in the included articles. Therefore, 10 articles, including 11 patients were retrieved and analyzed in the present study (Figure 2).</w:t>
      </w:r>
    </w:p>
    <w:p>
      <w:pPr>
        <w:spacing w:line="360" w:lineRule="auto"/>
        <w:ind w:firstLine="480" w:firstLineChars="200"/>
        <w:jc w:val="both"/>
      </w:pPr>
      <w:r>
        <w:rPr>
          <w:rFonts w:ascii="Book Antiqua" w:hAnsi="Book Antiqua" w:eastAsia="Book Antiqua" w:cs="Book Antiqua"/>
          <w:color w:val="000000"/>
        </w:rPr>
        <w:t>Patient age averaged 66.4 years (54-76 years), metallosis occurred at a mean time of 42.58 mo from the UKA. Out of 11 patients, 9 (81.8%) were treated through revision TKA. Two cases necessitated a second revision TKA at a mean of 39 mo.</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functional outcome improved in all eleven cases (</w:t>
      </w:r>
      <w:r>
        <w:rPr>
          <w:rFonts w:hint="eastAsia" w:ascii="Book Antiqua" w:hAnsi="Book Antiqua" w:eastAsia="宋体" w:cs="Book Antiqua"/>
          <w:color w:val="000000"/>
          <w:lang w:eastAsia="zh-CN"/>
        </w:rPr>
        <w:t>T</w:t>
      </w:r>
      <w:r>
        <w:rPr>
          <w:rFonts w:ascii="Book Antiqua" w:hAnsi="Book Antiqua" w:eastAsia="Book Antiqua" w:cs="Book Antiqua"/>
          <w:color w:val="000000"/>
        </w:rPr>
        <w:t>able 1).</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Intraoperatively, signs of soft tissue metallosis were evident (Figure 3). Following soft-tissue debridement and specimen collection, a component stability test confirmed isolated loosening of the tibial implant. Surgical specimen and baseline blood ion levels confirmed metallosis (Chrome 1.26 µg/L, Cobalt 3.94 µg/L).</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mobilized tibial component was revised using a larger Genus UNI Alderortho implant (Cormano, Italy).</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We assessed the patient functional status through OKS and blood ion levels as previously recommended</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21,22</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patient presented a normal postoperative course. Complete range of motion, OKS score improvement (40/48), and good </w:t>
      </w:r>
      <w:r>
        <w:rPr>
          <w:rFonts w:hint="eastAsia" w:ascii="Book Antiqua" w:hAnsi="Book Antiqua" w:eastAsia="宋体" w:cs="Book Antiqua"/>
          <w:color w:val="000000"/>
          <w:lang w:eastAsia="zh-CN"/>
        </w:rPr>
        <w:t>k</w:t>
      </w:r>
      <w:r>
        <w:rPr>
          <w:rFonts w:ascii="Book Antiqua" w:hAnsi="Book Antiqua" w:eastAsia="Book Antiqua" w:cs="Book Antiqua"/>
          <w:color w:val="000000"/>
        </w:rPr>
        <w:t>nee alignment were reported at 18 mo (Figure 4), while normalization of Ion blood levels (Chrome 0.95 µg/L, Cobalt 1.06 µg/L) were documented at 30 d after the uni-on-uni revision (</w:t>
      </w:r>
      <w:r>
        <w:rPr>
          <w:rFonts w:hint="eastAsia" w:ascii="Book Antiqua" w:hAnsi="Book Antiqua" w:eastAsia="宋体" w:cs="Book Antiqua"/>
          <w:color w:val="000000"/>
          <w:lang w:eastAsia="zh-CN"/>
        </w:rPr>
        <w:t>T</w:t>
      </w:r>
      <w:r>
        <w:rPr>
          <w:rFonts w:ascii="Book Antiqua" w:hAnsi="Book Antiqua" w:eastAsia="Book Antiqua" w:cs="Book Antiqua"/>
          <w:color w:val="000000"/>
        </w:rPr>
        <w:t>able 2).</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Although UKA is an effective bone-preserving surgical option for unicompartmental symptomatic knee osteoarthritis in young and middle-aged patients</w:t>
      </w:r>
      <w:r>
        <w:rPr>
          <w:rFonts w:ascii="Book Antiqua" w:hAnsi="Book Antiqua" w:eastAsia="Book Antiqua" w:cs="Book Antiqua"/>
          <w:color w:val="000000"/>
          <w:szCs w:val="30"/>
          <w:vertAlign w:val="superscript"/>
        </w:rPr>
        <w:t>[2</w:t>
      </w:r>
      <w:r>
        <w:rPr>
          <w:rFonts w:hint="eastAsia" w:ascii="Book Antiqua" w:hAnsi="Book Antiqua" w:eastAsia="宋体" w:cs="Book Antiqua"/>
          <w:color w:val="000000"/>
          <w:szCs w:val="30"/>
          <w:vertAlign w:val="superscript"/>
          <w:lang w:eastAsia="zh-CN"/>
        </w:rPr>
        <w:t>3</w:t>
      </w:r>
      <w:r>
        <w:rPr>
          <w:rFonts w:ascii="Book Antiqua" w:hAnsi="Book Antiqua" w:eastAsia="Book Antiqua" w:cs="Book Antiqua"/>
          <w:color w:val="000000"/>
          <w:szCs w:val="30"/>
          <w:vertAlign w:val="superscript"/>
        </w:rPr>
        <w:t>]</w:t>
      </w:r>
      <w:r>
        <w:rPr>
          <w:rFonts w:ascii="Book Antiqua" w:hAnsi="Book Antiqua" w:eastAsia="Book Antiqua" w:cs="Book Antiqua"/>
          <w:color w:val="000000"/>
        </w:rPr>
        <w:t>, several complications may arise after its implantation. Due to the increasing number of arthroplasties performed yearly, optimizing the complication management is necessary.</w:t>
      </w:r>
    </w:p>
    <w:p>
      <w:pPr>
        <w:spacing w:line="360" w:lineRule="auto"/>
        <w:jc w:val="both"/>
      </w:pPr>
      <w:r>
        <w:rPr>
          <w:rFonts w:ascii="Book Antiqua" w:hAnsi="Book Antiqua" w:eastAsia="Book Antiqua" w:cs="Book Antiqua"/>
          <w:color w:val="000000"/>
        </w:rPr>
        <w:t>In our case, we attributed metallosis and implant failure due to the progressive subclinical spinout of the polyethylene liner in an undersized tibial component which led to a posterior overload on the tibial implant. The surgeons performed UKA revision with a new UKA larger tibial implant against general recommendations because no tibial slope or coronal malalignment were present</w:t>
      </w:r>
      <w:r>
        <w:rPr>
          <w:rFonts w:ascii="Book Antiqua" w:hAnsi="Book Antiqua" w:eastAsia="Book Antiqua" w:cs="Book Antiqua"/>
          <w:color w:val="000000"/>
          <w:szCs w:val="30"/>
          <w:vertAlign w:val="superscript"/>
        </w:rPr>
        <w:t>[2</w:t>
      </w:r>
      <w:r>
        <w:rPr>
          <w:rFonts w:hint="eastAsia" w:ascii="Book Antiqua" w:hAnsi="Book Antiqua" w:eastAsia="宋体" w:cs="Book Antiqua"/>
          <w:color w:val="000000"/>
          <w:szCs w:val="30"/>
          <w:vertAlign w:val="superscript"/>
          <w:lang w:eastAsia="zh-CN"/>
        </w:rPr>
        <w:t>4</w:t>
      </w:r>
      <w:r>
        <w:rPr>
          <w:rFonts w:hint="eastAsia" w:ascii="Book Antiqua" w:hAnsi="Book Antiqua" w:cs="Book Antiqua" w:eastAsiaTheme="minorEastAsia"/>
          <w:color w:val="000000"/>
          <w:szCs w:val="30"/>
          <w:vertAlign w:val="superscript"/>
          <w:lang w:eastAsia="zh-CN"/>
        </w:rPr>
        <w:t>-</w:t>
      </w:r>
      <w:r>
        <w:rPr>
          <w:rFonts w:ascii="Book Antiqua" w:hAnsi="Book Antiqua" w:eastAsia="Book Antiqua" w:cs="Book Antiqua"/>
          <w:color w:val="000000"/>
          <w:szCs w:val="30"/>
          <w:vertAlign w:val="superscript"/>
        </w:rPr>
        <w:t>27]</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Very few cases of UKA revision with a new UKA implant were described in the available literature. Luyet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hint="eastAsia" w:ascii="Book Antiqua" w:hAnsi="Book Antiqua" w:eastAsia="宋体" w:cs="Book Antiqua"/>
          <w:color w:val="000000"/>
          <w:vertAlign w:val="superscript"/>
          <w:lang w:eastAsia="zh-CN"/>
        </w:rPr>
        <w:t>2</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in a case of anterior dislocation of the polyethylene liner at 6 wk, presenting as a painful and swollen knee</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furtherly complicated by metallosis decided to treat it through a uni-on-uni revision. Following the surgery, the patient presented good clinical and radiological outcomes in a 2 year follow-up</w:t>
      </w:r>
      <w:r>
        <w:rPr>
          <w:rFonts w:ascii="Book Antiqua" w:hAnsi="Book Antiqua" w:eastAsia="Book Antiqua" w:cs="Book Antiqua"/>
          <w:color w:val="000000"/>
          <w:vertAlign w:val="superscript"/>
        </w:rPr>
        <w:t>[12]</w:t>
      </w:r>
      <w:r>
        <w:rPr>
          <w:rFonts w:ascii="Book Antiqua" w:hAnsi="Book Antiqua" w:eastAsia="Book Antiqua" w:cs="Book Antiqua"/>
          <w:color w:val="000000"/>
        </w:rPr>
        <w:t>. Good clinical outcomes were reported after a Uni-on-uni revision also in an another a recent review about metallosis after knee replacement</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Epinette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in a retrospective study of 36 UKA-to-UKA revision surgery described this treatment as a reliable option, with lower morbidity and better functional outcomes compared with UKA-to-TKA revision. The authors suggested to reserve in patients with limited bone defects and no extension of the lesions</w:t>
      </w:r>
      <w:r>
        <w:rPr>
          <w:rFonts w:ascii="Book Antiqua" w:hAnsi="Book Antiqua" w:eastAsia="Book Antiqua" w:cs="Book Antiqua"/>
          <w:color w:val="000000"/>
          <w:vertAlign w:val="superscript"/>
        </w:rPr>
        <w:t>[27]</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Our review is limited by several factors including low patient number, the absence of a statistical analysis related to the nature of the review, and lack of literature on UKA metallosis. However, to the best of our knowledge, this is the first study reporting bloodstream ion changes while confirming clinical improvement following uni-on-uni revision in case of UKA metallosis.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However, we believe that further analysis is necessary to confirm successful uni-on-uni revisions in case of metallosis.</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conclusion, we suggest that aseptic UKA metallosis without critical signs of malpositioning, soft tissue impairment or bone loss could be treated with surgical debridement and unicompartimental knee revision arthroplasty. This kind of approach could lead to a significant improvement of functional outcomes, and blood ion levels.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Toro G</w:t>
      </w:r>
      <w:r>
        <w:rPr>
          <w:rFonts w:ascii="Book Antiqua" w:hAnsi="Book Antiqua" w:cs="Book Antiqua"/>
        </w:rPr>
        <w:t xml:space="preserve">, De Cicco A, Braile A, Landi G, Schiavone Panni A. New insights on metal allergy in total joint arthroplasty. </w:t>
      </w:r>
      <w:r>
        <w:rPr>
          <w:rFonts w:ascii="Book Antiqua" w:hAnsi="Book Antiqua" w:cs="Book Antiqua"/>
          <w:i/>
          <w:iCs/>
        </w:rPr>
        <w:t>J Biol Regul Homeost Agents</w:t>
      </w:r>
      <w:r>
        <w:rPr>
          <w:rFonts w:ascii="Book Antiqua" w:hAnsi="Book Antiqua" w:cs="Book Antiqua"/>
        </w:rPr>
        <w:t xml:space="preserve"> 2020; </w:t>
      </w:r>
      <w:r>
        <w:rPr>
          <w:rFonts w:ascii="Book Antiqua" w:hAnsi="Book Antiqua" w:cs="Book Antiqua"/>
          <w:b/>
          <w:bCs/>
        </w:rPr>
        <w:t>34</w:t>
      </w:r>
      <w:r>
        <w:rPr>
          <w:rFonts w:ascii="Book Antiqua" w:hAnsi="Book Antiqua" w:cs="Book Antiqua"/>
        </w:rPr>
        <w:t>: 125-130. IORS Special Issue on Orthopedics [PMID: 33739017]</w:t>
      </w:r>
    </w:p>
    <w:p>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Pesce V</w:t>
      </w:r>
      <w:r>
        <w:rPr>
          <w:rFonts w:ascii="Book Antiqua" w:hAnsi="Book Antiqua" w:cs="Book Antiqua"/>
        </w:rPr>
        <w:t xml:space="preserve">, Maccagnano G, Vicenti G, Notarnicola A, Lovreglio P, Soleo L, Pantalone A, Salini V, Moretti B. First case report of vanadium metallosis after ceramic-on-ceramic total hip arthroplasty. </w:t>
      </w:r>
      <w:r>
        <w:rPr>
          <w:rFonts w:ascii="Book Antiqua" w:hAnsi="Book Antiqua" w:cs="Book Antiqua"/>
          <w:i/>
          <w:iCs/>
        </w:rPr>
        <w:t>J Biol Regul Homeost Agents</w:t>
      </w:r>
      <w:r>
        <w:rPr>
          <w:rFonts w:ascii="Book Antiqua" w:hAnsi="Book Antiqua" w:cs="Book Antiqua"/>
        </w:rPr>
        <w:t xml:space="preserve"> 2013; </w:t>
      </w:r>
      <w:r>
        <w:rPr>
          <w:rFonts w:ascii="Book Antiqua" w:hAnsi="Book Antiqua" w:cs="Book Antiqua"/>
          <w:b/>
          <w:bCs/>
        </w:rPr>
        <w:t>27</w:t>
      </w:r>
      <w:r>
        <w:rPr>
          <w:rFonts w:ascii="Book Antiqua" w:hAnsi="Book Antiqua" w:cs="Book Antiqua"/>
        </w:rPr>
        <w:t>: 1063-1068 [PMID: 24382188]</w:t>
      </w:r>
    </w:p>
    <w:p>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Goderecci R</w:t>
      </w:r>
      <w:r>
        <w:rPr>
          <w:rFonts w:ascii="Book Antiqua" w:hAnsi="Book Antiqua" w:cs="Book Antiqua"/>
        </w:rPr>
        <w:t xml:space="preserve">, Fidanza A, Necozione S, Francione V, Indelli PF, Calvisi V. Ultrasound-based decision making following metal-on-metal hip arthroplasty. </w:t>
      </w:r>
      <w:r>
        <w:rPr>
          <w:rFonts w:ascii="Book Antiqua" w:hAnsi="Book Antiqua" w:cs="Book Antiqua"/>
          <w:i/>
          <w:iCs/>
        </w:rPr>
        <w:t>J Clin Orthop Trauma</w:t>
      </w:r>
      <w:r>
        <w:rPr>
          <w:rFonts w:ascii="Book Antiqua" w:hAnsi="Book Antiqua" w:cs="Book Antiqua"/>
        </w:rPr>
        <w:t xml:space="preserve"> 2020; </w:t>
      </w:r>
      <w:r>
        <w:rPr>
          <w:rFonts w:ascii="Book Antiqua" w:hAnsi="Book Antiqua" w:cs="Book Antiqua"/>
          <w:b/>
          <w:bCs/>
        </w:rPr>
        <w:t>11</w:t>
      </w:r>
      <w:r>
        <w:rPr>
          <w:rFonts w:ascii="Book Antiqua" w:hAnsi="Book Antiqua" w:cs="Book Antiqua"/>
        </w:rPr>
        <w:t>: 79-84 [PMID: 32001990 DOI: 10.1016/j.jcot.2019.04.009]</w:t>
      </w:r>
    </w:p>
    <w:p>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Sahan I</w:t>
      </w:r>
      <w:r>
        <w:rPr>
          <w:rFonts w:ascii="Book Antiqua" w:hAnsi="Book Antiqua" w:cs="Book Antiqua"/>
        </w:rPr>
        <w:t xml:space="preserve">, Anagnostakos K. Metallosis after knee replacement: a review. </w:t>
      </w:r>
      <w:r>
        <w:rPr>
          <w:rFonts w:ascii="Book Antiqua" w:hAnsi="Book Antiqua" w:cs="Book Antiqua"/>
          <w:i/>
          <w:iCs/>
        </w:rPr>
        <w:t>Arch Orthop Trauma Surg</w:t>
      </w:r>
      <w:r>
        <w:rPr>
          <w:rFonts w:ascii="Book Antiqua" w:hAnsi="Book Antiqua" w:cs="Book Antiqua"/>
        </w:rPr>
        <w:t xml:space="preserve"> 2020; </w:t>
      </w:r>
      <w:r>
        <w:rPr>
          <w:rFonts w:ascii="Book Antiqua" w:hAnsi="Book Antiqua" w:cs="Book Antiqua"/>
          <w:b/>
          <w:bCs/>
        </w:rPr>
        <w:t>140</w:t>
      </w:r>
      <w:r>
        <w:rPr>
          <w:rFonts w:ascii="Book Antiqua" w:hAnsi="Book Antiqua" w:cs="Book Antiqua"/>
        </w:rPr>
        <w:t>: 1791-1808 [PMID: 32715399 DOI: 10.1007/s00402-020-03560-x]</w:t>
      </w:r>
    </w:p>
    <w:p>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Sanchis-Alfonso V</w:t>
      </w:r>
      <w:r>
        <w:rPr>
          <w:rFonts w:ascii="Book Antiqua" w:hAnsi="Book Antiqua" w:cs="Book Antiqua"/>
        </w:rPr>
        <w:t xml:space="preserve">. Severe metallosis after unicompartmental knee arthroplasty. </w:t>
      </w:r>
      <w:r>
        <w:rPr>
          <w:rFonts w:ascii="Book Antiqua" w:hAnsi="Book Antiqua" w:cs="Book Antiqua"/>
          <w:i/>
          <w:iCs/>
        </w:rPr>
        <w:t>Knee Surg Sports Traumatol Arthrosc</w:t>
      </w:r>
      <w:r>
        <w:rPr>
          <w:rFonts w:ascii="Book Antiqua" w:hAnsi="Book Antiqua" w:cs="Book Antiqua"/>
        </w:rPr>
        <w:t xml:space="preserve"> 2007; </w:t>
      </w:r>
      <w:r>
        <w:rPr>
          <w:rFonts w:ascii="Book Antiqua" w:hAnsi="Book Antiqua" w:cs="Book Antiqua"/>
          <w:b/>
          <w:bCs/>
        </w:rPr>
        <w:t>15</w:t>
      </w:r>
      <w:r>
        <w:rPr>
          <w:rFonts w:ascii="Book Antiqua" w:hAnsi="Book Antiqua" w:cs="Book Antiqua"/>
        </w:rPr>
        <w:t>: 361-364 [PMID: 17028866 DOI: 10.1007/s00167-006-0207-6]</w:t>
      </w:r>
    </w:p>
    <w:p>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Apostolopoulos AP</w:t>
      </w:r>
      <w:r>
        <w:rPr>
          <w:rFonts w:ascii="Book Antiqua" w:hAnsi="Book Antiqua" w:cs="Book Antiqua"/>
        </w:rPr>
        <w:t xml:space="preserve">, Katsougrakis I, Fanous R, Harrison A, Saavedra E. Severe metallosis following polyethylene dislocation in a mobile-bearing medial unicompartmental knee replacement. </w:t>
      </w:r>
      <w:r>
        <w:rPr>
          <w:rFonts w:ascii="Book Antiqua" w:hAnsi="Book Antiqua" w:cs="Book Antiqua"/>
          <w:i/>
          <w:iCs/>
        </w:rPr>
        <w:t>J Long Term Eff Med Implants</w:t>
      </w:r>
      <w:r>
        <w:rPr>
          <w:rFonts w:ascii="Book Antiqua" w:hAnsi="Book Antiqua" w:cs="Book Antiqua"/>
        </w:rPr>
        <w:t xml:space="preserve"> 2014; </w:t>
      </w:r>
      <w:r>
        <w:rPr>
          <w:rFonts w:ascii="Book Antiqua" w:hAnsi="Book Antiqua" w:cs="Book Antiqua"/>
          <w:b/>
          <w:bCs/>
        </w:rPr>
        <w:t>24</w:t>
      </w:r>
      <w:r>
        <w:rPr>
          <w:rFonts w:ascii="Book Antiqua" w:hAnsi="Book Antiqua" w:cs="Book Antiqua"/>
        </w:rPr>
        <w:t>: 147-150 [PMID: 25272213 DOI: 10.1615/jlongtermeffmedimplants.2014010563]</w:t>
      </w:r>
    </w:p>
    <w:p>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Fujii T</w:t>
      </w:r>
      <w:r>
        <w:rPr>
          <w:rFonts w:ascii="Book Antiqua" w:hAnsi="Book Antiqua" w:cs="Book Antiqua"/>
        </w:rPr>
        <w:t xml:space="preserve">, Matsui Y, Noboru M, Inagaki Y, Kadoya Y, Tanaka Y. Meniscal Bearing Dislocation of Unicompartmental Knee Arthroplasty with Faint Symptom. </w:t>
      </w:r>
      <w:r>
        <w:rPr>
          <w:rFonts w:ascii="Book Antiqua" w:hAnsi="Book Antiqua" w:cs="Book Antiqua"/>
          <w:i/>
          <w:iCs/>
        </w:rPr>
        <w:t>Case Rep Orthop</w:t>
      </w:r>
      <w:r>
        <w:rPr>
          <w:rFonts w:ascii="Book Antiqua" w:hAnsi="Book Antiqua" w:cs="Book Antiqua"/>
        </w:rPr>
        <w:t xml:space="preserve"> 2015; </w:t>
      </w:r>
      <w:r>
        <w:rPr>
          <w:rFonts w:ascii="Book Antiqua" w:hAnsi="Book Antiqua" w:cs="Book Antiqua"/>
          <w:b/>
          <w:bCs/>
        </w:rPr>
        <w:t>2015</w:t>
      </w:r>
      <w:r>
        <w:rPr>
          <w:rFonts w:ascii="Book Antiqua" w:hAnsi="Book Antiqua" w:cs="Book Antiqua"/>
        </w:rPr>
        <w:t>: 217842 [PMID: 26137336 DOI: 10.1155/2015/217842]</w:t>
      </w:r>
    </w:p>
    <w:p>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Vajapey SP</w:t>
      </w:r>
      <w:r>
        <w:rPr>
          <w:rFonts w:ascii="Book Antiqua" w:hAnsi="Book Antiqua" w:cs="Book Antiqua"/>
        </w:rPr>
        <w:t xml:space="preserve">, Alvarez PM, Chonko D. Bearing failure in a mobile bearing unicompartmental knee arthroplasty: an uncommon presentation of an implant-specific complication. </w:t>
      </w:r>
      <w:r>
        <w:rPr>
          <w:rFonts w:ascii="Book Antiqua" w:hAnsi="Book Antiqua" w:cs="Book Antiqua"/>
          <w:i/>
          <w:iCs/>
        </w:rPr>
        <w:t>Arthroplasty</w:t>
      </w:r>
      <w:r>
        <w:rPr>
          <w:rFonts w:ascii="Book Antiqua" w:hAnsi="Book Antiqua" w:cs="Book Antiqua"/>
        </w:rPr>
        <w:t xml:space="preserve"> 2021; </w:t>
      </w:r>
      <w:r>
        <w:rPr>
          <w:rFonts w:ascii="Book Antiqua" w:hAnsi="Book Antiqua" w:cs="Book Antiqua"/>
          <w:b/>
          <w:bCs/>
        </w:rPr>
        <w:t>3</w:t>
      </w:r>
      <w:r>
        <w:rPr>
          <w:rFonts w:ascii="Book Antiqua" w:hAnsi="Book Antiqua" w:cs="Book Antiqua"/>
        </w:rPr>
        <w:t>: 16 [PMID: 35236477 DOI: 10.1186/s42836-021-00073-9]</w:t>
      </w:r>
    </w:p>
    <w:p>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Foran JR</w:t>
      </w:r>
      <w:r>
        <w:rPr>
          <w:rFonts w:ascii="Book Antiqua" w:hAnsi="Book Antiqua" w:cs="Book Antiqua"/>
        </w:rPr>
        <w:t xml:space="preserve">, Brown NM, Della Valle CJ, Berger RA, Galante JO. Long-term survivorship and failure modes of unicompartmental knee arthroplasty. </w:t>
      </w:r>
      <w:r>
        <w:rPr>
          <w:rFonts w:ascii="Book Antiqua" w:hAnsi="Book Antiqua" w:cs="Book Antiqua"/>
          <w:i/>
          <w:iCs/>
        </w:rPr>
        <w:t>Clin Orthop Relat Res</w:t>
      </w:r>
      <w:r>
        <w:rPr>
          <w:rFonts w:ascii="Book Antiqua" w:hAnsi="Book Antiqua" w:cs="Book Antiqua"/>
        </w:rPr>
        <w:t xml:space="preserve"> 2013; </w:t>
      </w:r>
      <w:r>
        <w:rPr>
          <w:rFonts w:ascii="Book Antiqua" w:hAnsi="Book Antiqua" w:cs="Book Antiqua"/>
          <w:b/>
          <w:bCs/>
        </w:rPr>
        <w:t>471</w:t>
      </w:r>
      <w:r>
        <w:rPr>
          <w:rFonts w:ascii="Book Antiqua" w:hAnsi="Book Antiqua" w:cs="Book Antiqua"/>
        </w:rPr>
        <w:t>: 102-108 [PMID: 22895691 DOI: 10.1007/s11999-012-2517-y]</w:t>
      </w:r>
    </w:p>
    <w:p>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Vecchini E</w:t>
      </w:r>
      <w:r>
        <w:rPr>
          <w:rFonts w:ascii="Book Antiqua" w:hAnsi="Book Antiqua" w:cs="Book Antiqua"/>
        </w:rPr>
        <w:t xml:space="preserve">, Ditta A, Gelmini M, Maluta T, Valentini R, Ricci M, Magnan B. Rupture of the femoral component and severe metallosis of the knee 10 years after unicompartmental knee arthroplasty (UKA): a case report. </w:t>
      </w:r>
      <w:r>
        <w:rPr>
          <w:rFonts w:ascii="Book Antiqua" w:hAnsi="Book Antiqua" w:cs="Book Antiqua"/>
          <w:i/>
          <w:iCs/>
        </w:rPr>
        <w:t>Acta Biomed</w:t>
      </w:r>
      <w:r>
        <w:rPr>
          <w:rFonts w:ascii="Book Antiqua" w:hAnsi="Book Antiqua" w:cs="Book Antiqua"/>
        </w:rPr>
        <w:t xml:space="preserve"> 2019; </w:t>
      </w:r>
      <w:r>
        <w:rPr>
          <w:rFonts w:ascii="Book Antiqua" w:hAnsi="Book Antiqua" w:cs="Book Antiqua"/>
          <w:b/>
          <w:bCs/>
        </w:rPr>
        <w:t>90</w:t>
      </w:r>
      <w:r>
        <w:rPr>
          <w:rFonts w:ascii="Book Antiqua" w:hAnsi="Book Antiqua" w:cs="Book Antiqua"/>
        </w:rPr>
        <w:t>: 198-202 [PMID: 30715025 DOI: 10.23750/abm.v90i1-S.8082]</w:t>
      </w:r>
    </w:p>
    <w:p>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Greco N</w:t>
      </w:r>
      <w:r>
        <w:rPr>
          <w:rFonts w:ascii="Book Antiqua" w:hAnsi="Book Antiqua" w:cs="Book Antiqua"/>
        </w:rPr>
        <w:t xml:space="preserve">, Berend K. Polyethylene liner dislocation of fixed-bearing medial oxinium unicompartmental arthroplasty with severe metallosis. </w:t>
      </w:r>
      <w:r>
        <w:rPr>
          <w:rFonts w:ascii="Book Antiqua" w:hAnsi="Book Antiqua" w:cs="Book Antiqua"/>
          <w:i/>
          <w:iCs/>
        </w:rPr>
        <w:t>Knee</w:t>
      </w:r>
      <w:r>
        <w:rPr>
          <w:rFonts w:ascii="Book Antiqua" w:hAnsi="Book Antiqua" w:cs="Book Antiqua"/>
        </w:rPr>
        <w:t xml:space="preserve"> 2018; </w:t>
      </w:r>
      <w:r>
        <w:rPr>
          <w:rFonts w:ascii="Book Antiqua" w:hAnsi="Book Antiqua" w:cs="Book Antiqua"/>
          <w:b/>
          <w:bCs/>
        </w:rPr>
        <w:t>25</w:t>
      </w:r>
      <w:r>
        <w:rPr>
          <w:rFonts w:ascii="Book Antiqua" w:hAnsi="Book Antiqua" w:cs="Book Antiqua"/>
        </w:rPr>
        <w:t>: 341-345 [PMID: 29525546 DOI: 10.1016/j.knee.2018.01.004]</w:t>
      </w:r>
    </w:p>
    <w:p>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Luyet A</w:t>
      </w:r>
      <w:r>
        <w:rPr>
          <w:rFonts w:ascii="Book Antiqua" w:hAnsi="Book Antiqua" w:cs="Book Antiqua"/>
        </w:rPr>
        <w:t xml:space="preserve">, Fischer JF, Jolles BM, Lunebourg A. Unexpected wear of an unicompartimental knee arthroplasty in oxidized zirconium. </w:t>
      </w:r>
      <w:r>
        <w:rPr>
          <w:rFonts w:ascii="Book Antiqua" w:hAnsi="Book Antiqua" w:cs="Book Antiqua"/>
          <w:i/>
          <w:iCs/>
        </w:rPr>
        <w:t>Acta Orthop Belg</w:t>
      </w:r>
      <w:r>
        <w:rPr>
          <w:rFonts w:ascii="Book Antiqua" w:hAnsi="Book Antiqua" w:cs="Book Antiqua"/>
        </w:rPr>
        <w:t xml:space="preserve"> 2015; </w:t>
      </w:r>
      <w:r>
        <w:rPr>
          <w:rFonts w:ascii="Book Antiqua" w:hAnsi="Book Antiqua" w:cs="Book Antiqua"/>
          <w:b/>
          <w:bCs/>
        </w:rPr>
        <w:t>81</w:t>
      </w:r>
      <w:r>
        <w:rPr>
          <w:rFonts w:ascii="Book Antiqua" w:hAnsi="Book Antiqua" w:cs="Book Antiqua"/>
        </w:rPr>
        <w:t>: 790-795 [PMID: 26790806]</w:t>
      </w:r>
    </w:p>
    <w:p>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Rajgopal A</w:t>
      </w:r>
      <w:r>
        <w:rPr>
          <w:rFonts w:ascii="Book Antiqua" w:hAnsi="Book Antiqua" w:cs="Book Antiqua"/>
        </w:rPr>
        <w:t xml:space="preserve">, Panda I, Tyagi VC. Early failure with massive metallosis and posteromedial wear following atraumatic anterior cruciate ligament rupture after medial unicompartmental knee arthroplasty. </w:t>
      </w:r>
      <w:r>
        <w:rPr>
          <w:rFonts w:ascii="Book Antiqua" w:hAnsi="Book Antiqua" w:cs="Book Antiqua"/>
          <w:i/>
          <w:iCs/>
        </w:rPr>
        <w:t>Arthroplast Today</w:t>
      </w:r>
      <w:r>
        <w:rPr>
          <w:rFonts w:ascii="Book Antiqua" w:hAnsi="Book Antiqua" w:cs="Book Antiqua"/>
        </w:rPr>
        <w:t xml:space="preserve"> 2018; </w:t>
      </w:r>
      <w:r>
        <w:rPr>
          <w:rFonts w:ascii="Book Antiqua" w:hAnsi="Book Antiqua" w:cs="Book Antiqua"/>
          <w:b/>
          <w:bCs/>
        </w:rPr>
        <w:t>4</w:t>
      </w:r>
      <w:r>
        <w:rPr>
          <w:rFonts w:ascii="Book Antiqua" w:hAnsi="Book Antiqua" w:cs="Book Antiqua"/>
        </w:rPr>
        <w:t>: 15-19 [PMID: 29560389 DOI: 10.1016/j.artd.2017.09.007]</w:t>
      </w:r>
    </w:p>
    <w:p>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Kiran M</w:t>
      </w:r>
      <w:r>
        <w:rPr>
          <w:rFonts w:ascii="Book Antiqua" w:hAnsi="Book Antiqua" w:cs="Book Antiqua"/>
        </w:rPr>
        <w:t xml:space="preserve">, Kho J, Hepburn E, Chakraverty J, Davies H. Chronic Wear-Induced Bearing Dislocation in a Fixed-Bearing Unicompartmental Knee Arthroplasty: A Case Report. </w:t>
      </w:r>
      <w:r>
        <w:rPr>
          <w:rFonts w:ascii="Book Antiqua" w:hAnsi="Book Antiqua" w:cs="Book Antiqua"/>
          <w:i/>
          <w:iCs/>
        </w:rPr>
        <w:t>JBJS Case Connect</w:t>
      </w:r>
      <w:r>
        <w:rPr>
          <w:rFonts w:ascii="Book Antiqua" w:hAnsi="Book Antiqua" w:cs="Book Antiqua"/>
        </w:rPr>
        <w:t xml:space="preserve"> 2021; </w:t>
      </w:r>
      <w:r>
        <w:rPr>
          <w:rFonts w:ascii="Book Antiqua" w:hAnsi="Book Antiqua" w:cs="Book Antiqua"/>
          <w:b/>
          <w:bCs/>
        </w:rPr>
        <w:t>11</w:t>
      </w:r>
      <w:r>
        <w:rPr>
          <w:rFonts w:ascii="Book Antiqua" w:hAnsi="Book Antiqua" w:cs="Book Antiqua"/>
        </w:rPr>
        <w:t xml:space="preserve"> [PMID: 34491688 DOI: 10.2106/JBJS.CC.21.00364]</w:t>
      </w:r>
    </w:p>
    <w:p>
      <w:pPr>
        <w:spacing w:line="360" w:lineRule="auto"/>
        <w:jc w:val="both"/>
        <w:rPr>
          <w:rFonts w:ascii="Book Antiqua" w:hAnsi="Book Antiqua" w:cs="Book Antiqua"/>
          <w:lang w:val="it-IT"/>
        </w:rPr>
      </w:pPr>
      <w:r>
        <w:rPr>
          <w:rFonts w:ascii="Book Antiqua" w:hAnsi="Book Antiqua" w:cs="Book Antiqua"/>
        </w:rPr>
        <w:t xml:space="preserve">15 </w:t>
      </w:r>
      <w:r>
        <w:rPr>
          <w:rFonts w:ascii="Book Antiqua" w:hAnsi="Book Antiqua" w:cs="Book Antiqua"/>
          <w:b/>
          <w:bCs/>
        </w:rPr>
        <w:t>Pescador D</w:t>
      </w:r>
      <w:r>
        <w:rPr>
          <w:rFonts w:ascii="Book Antiqua" w:hAnsi="Book Antiqua" w:cs="Book Antiqua"/>
        </w:rPr>
        <w:t xml:space="preserve">, Calero-Paniagua I, Sánchez-González MD, Montilla C. Metallosis as a cause of pain and inflammation in a patient with a knee replacement: A case description. </w:t>
      </w:r>
      <w:r>
        <w:rPr>
          <w:rFonts w:ascii="Book Antiqua" w:hAnsi="Book Antiqua" w:cs="Book Antiqua"/>
          <w:i/>
          <w:iCs/>
          <w:lang w:val="it-IT"/>
        </w:rPr>
        <w:t>Reumatol Clin</w:t>
      </w:r>
      <w:r>
        <w:rPr>
          <w:rFonts w:ascii="Book Antiqua" w:hAnsi="Book Antiqua" w:cs="Book Antiqua"/>
          <w:lang w:val="it-IT"/>
        </w:rPr>
        <w:t xml:space="preserve"> 2016; </w:t>
      </w:r>
      <w:r>
        <w:rPr>
          <w:rFonts w:ascii="Book Antiqua" w:hAnsi="Book Antiqua" w:cs="Book Antiqua"/>
          <w:b/>
          <w:bCs/>
          <w:lang w:val="it-IT"/>
        </w:rPr>
        <w:t>12</w:t>
      </w:r>
      <w:r>
        <w:rPr>
          <w:rFonts w:ascii="Book Antiqua" w:hAnsi="Book Antiqua" w:cs="Book Antiqua"/>
          <w:lang w:val="it-IT"/>
        </w:rPr>
        <w:t>: 112-113 [PMID: 26099454 DOI: 10.1016/j.reuma.2015.04.005]</w:t>
      </w:r>
    </w:p>
    <w:p>
      <w:pPr>
        <w:spacing w:line="360" w:lineRule="auto"/>
        <w:jc w:val="both"/>
        <w:rPr>
          <w:rFonts w:ascii="Book Antiqua" w:hAnsi="Book Antiqua" w:cs="Book Antiqua"/>
        </w:rPr>
      </w:pPr>
      <w:r>
        <w:rPr>
          <w:rFonts w:ascii="Book Antiqua" w:hAnsi="Book Antiqua" w:cs="Book Antiqua"/>
          <w:lang w:val="it-IT"/>
        </w:rPr>
        <w:t xml:space="preserve">16 </w:t>
      </w:r>
      <w:r>
        <w:rPr>
          <w:rFonts w:ascii="Book Antiqua" w:hAnsi="Book Antiqua" w:cs="Book Antiqua"/>
          <w:b/>
          <w:bCs/>
          <w:lang w:val="it-IT"/>
        </w:rPr>
        <w:t>Toro G</w:t>
      </w:r>
      <w:r>
        <w:rPr>
          <w:rFonts w:ascii="Book Antiqua" w:hAnsi="Book Antiqua" w:cs="Book Antiqua"/>
          <w:bCs/>
          <w:lang w:val="it-IT"/>
        </w:rPr>
        <w:t>,</w:t>
      </w:r>
      <w:r>
        <w:rPr>
          <w:rFonts w:ascii="Book Antiqua" w:hAnsi="Book Antiqua" w:cs="Book Antiqua"/>
          <w:lang w:val="it-IT"/>
        </w:rPr>
        <w:t xml:space="preserve"> Braile A, Zappulo E, Panni AS, Indelli PF. </w:t>
      </w:r>
      <w:r>
        <w:rPr>
          <w:rFonts w:ascii="Book Antiqua" w:hAnsi="Book Antiqua" w:cs="Book Antiqua"/>
        </w:rPr>
        <w:t xml:space="preserve">Does D-Dimer really help in the diagnosis of chronic periprosthetic joint infections (PJI)? A case-control study. </w:t>
      </w:r>
      <w:r>
        <w:rPr>
          <w:rFonts w:ascii="Book Antiqua" w:hAnsi="Book Antiqua" w:cs="Book Antiqua"/>
          <w:i/>
          <w:iCs/>
        </w:rPr>
        <w:t>Journal of Arthroscopy and Joint Surgery</w:t>
      </w:r>
      <w:r>
        <w:rPr>
          <w:rFonts w:ascii="Book Antiqua" w:hAnsi="Book Antiqua" w:cs="Book Antiqua"/>
        </w:rPr>
        <w:t xml:space="preserve"> 2020; </w:t>
      </w:r>
      <w:r>
        <w:rPr>
          <w:rFonts w:ascii="Book Antiqua" w:hAnsi="Book Antiqua" w:cs="Book Antiqua"/>
          <w:b/>
          <w:bCs/>
        </w:rPr>
        <w:t>7</w:t>
      </w:r>
      <w:r>
        <w:rPr>
          <w:rFonts w:ascii="Book Antiqua" w:hAnsi="Book Antiqua" w:cs="Book Antiqua"/>
        </w:rPr>
        <w:t>: 189</w:t>
      </w:r>
      <w:r>
        <w:rPr>
          <w:rFonts w:hint="eastAsia" w:ascii="Book Antiqua" w:hAnsi="Book Antiqua" w:cs="Book Antiqua" w:eastAsiaTheme="minorEastAsia"/>
          <w:lang w:eastAsia="zh-CN"/>
        </w:rPr>
        <w:t>-</w:t>
      </w:r>
      <w:r>
        <w:rPr>
          <w:rFonts w:ascii="Book Antiqua" w:hAnsi="Book Antiqua" w:cs="Book Antiqua"/>
        </w:rPr>
        <w:t>193 [DOI: 10.1016/j.jajs.2020.08.006]</w:t>
      </w:r>
    </w:p>
    <w:p>
      <w:pPr>
        <w:spacing w:line="360" w:lineRule="auto"/>
        <w:jc w:val="both"/>
        <w:rPr>
          <w:rFonts w:ascii="Book Antiqua" w:hAnsi="Book Antiqua" w:cs="Book Antiqua"/>
        </w:rPr>
      </w:pPr>
      <w:r>
        <w:rPr>
          <w:rFonts w:ascii="Book Antiqua" w:hAnsi="Book Antiqua" w:cs="Book Antiqua"/>
          <w:lang w:val="it-IT"/>
        </w:rPr>
        <w:t xml:space="preserve">17 </w:t>
      </w:r>
      <w:r>
        <w:rPr>
          <w:rFonts w:ascii="Book Antiqua" w:hAnsi="Book Antiqua" w:cs="Book Antiqua"/>
          <w:b/>
          <w:bCs/>
          <w:lang w:val="it-IT"/>
        </w:rPr>
        <w:t>Panni AS</w:t>
      </w:r>
      <w:r>
        <w:rPr>
          <w:rFonts w:ascii="Book Antiqua" w:hAnsi="Book Antiqua" w:cs="Book Antiqua"/>
          <w:lang w:val="it-IT"/>
        </w:rPr>
        <w:t xml:space="preserve">, Ascione F, Rossini M, Braile A, Corona K, Vasso M, Hirschmann MT. </w:t>
      </w:r>
      <w:r>
        <w:rPr>
          <w:rFonts w:ascii="Book Antiqua" w:hAnsi="Book Antiqua" w:cs="Book Antiqua"/>
        </w:rPr>
        <w:t xml:space="preserve">Tibial internal rotation negatively affects clinical outcomes in total knee arthroplasty: a systematic review. </w:t>
      </w:r>
      <w:r>
        <w:rPr>
          <w:rFonts w:ascii="Book Antiqua" w:hAnsi="Book Antiqua" w:cs="Book Antiqua"/>
          <w:i/>
          <w:iCs/>
        </w:rPr>
        <w:t>Knee Surg Sports Traumatol Arthrosc</w:t>
      </w:r>
      <w:r>
        <w:rPr>
          <w:rFonts w:ascii="Book Antiqua" w:hAnsi="Book Antiqua" w:cs="Book Antiqua"/>
        </w:rPr>
        <w:t xml:space="preserve"> 2018; </w:t>
      </w:r>
      <w:r>
        <w:rPr>
          <w:rFonts w:ascii="Book Antiqua" w:hAnsi="Book Antiqua" w:cs="Book Antiqua"/>
          <w:b/>
          <w:bCs/>
        </w:rPr>
        <w:t>26</w:t>
      </w:r>
      <w:r>
        <w:rPr>
          <w:rFonts w:ascii="Book Antiqua" w:hAnsi="Book Antiqua" w:cs="Book Antiqua"/>
        </w:rPr>
        <w:t>: 1636-1644 [PMID: 29247357 DOI: 10.1007/s00167-017-4823-0]</w:t>
      </w:r>
    </w:p>
    <w:p>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Vasso M</w:t>
      </w:r>
      <w:r>
        <w:rPr>
          <w:rFonts w:ascii="Book Antiqua" w:hAnsi="Book Antiqua" w:cs="Book Antiqua"/>
        </w:rPr>
        <w:t xml:space="preserve">, Braile A, Ascione F, Toro G, De Cicco A, Lepore F, Schiavone Panni A. Two-stage reimplantation in periprosthetic knee infection. </w:t>
      </w:r>
      <w:r>
        <w:rPr>
          <w:rFonts w:ascii="Book Antiqua" w:hAnsi="Book Antiqua" w:cs="Book Antiqua"/>
          <w:i/>
          <w:iCs/>
        </w:rPr>
        <w:t>Eur Rev Med Pharmacol Sci</w:t>
      </w:r>
      <w:r>
        <w:rPr>
          <w:rFonts w:ascii="Book Antiqua" w:hAnsi="Book Antiqua" w:cs="Book Antiqua"/>
        </w:rPr>
        <w:t xml:space="preserve"> 2019; </w:t>
      </w:r>
      <w:r>
        <w:rPr>
          <w:rFonts w:ascii="Book Antiqua" w:hAnsi="Book Antiqua" w:cs="Book Antiqua"/>
          <w:b/>
          <w:bCs/>
        </w:rPr>
        <w:t>23</w:t>
      </w:r>
      <w:r>
        <w:rPr>
          <w:rFonts w:ascii="Book Antiqua" w:hAnsi="Book Antiqua" w:cs="Book Antiqua"/>
        </w:rPr>
        <w:t>: 51-58 [PMID: 30977871 DOI: 10.26355/eurrev_201904_17474]</w:t>
      </w:r>
    </w:p>
    <w:p>
      <w:pPr>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Rollin L</w:t>
      </w:r>
      <w:r>
        <w:rPr>
          <w:rFonts w:ascii="Book Antiqua" w:hAnsi="Book Antiqua" w:cs="Book Antiqua"/>
        </w:rPr>
        <w:t xml:space="preserve">, Darmoni S, Caillard JF, Gehanno JF. Searching for high-quality articles about intervention studies in occupational health--what is really missed when using only the Medline database? </w:t>
      </w:r>
      <w:r>
        <w:rPr>
          <w:rFonts w:ascii="Book Antiqua" w:hAnsi="Book Antiqua" w:cs="Book Antiqua"/>
          <w:i/>
          <w:iCs/>
        </w:rPr>
        <w:t>Scand J Work Environ Health</w:t>
      </w:r>
      <w:r>
        <w:rPr>
          <w:rFonts w:ascii="Book Antiqua" w:hAnsi="Book Antiqua" w:cs="Book Antiqua"/>
        </w:rPr>
        <w:t xml:space="preserve"> 2010; </w:t>
      </w:r>
      <w:r>
        <w:rPr>
          <w:rFonts w:ascii="Book Antiqua" w:hAnsi="Book Antiqua" w:cs="Book Antiqua"/>
          <w:b/>
          <w:bCs/>
        </w:rPr>
        <w:t>36</w:t>
      </w:r>
      <w:r>
        <w:rPr>
          <w:rFonts w:ascii="Book Antiqua" w:hAnsi="Book Antiqua" w:cs="Book Antiqua"/>
        </w:rPr>
        <w:t>: 484-487 [PMID: 20740265 DOI: 10.5271/sjweh.3082]</w:t>
      </w:r>
    </w:p>
    <w:p>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Pillastrini P</w:t>
      </w:r>
      <w:r>
        <w:rPr>
          <w:rFonts w:ascii="Book Antiqua" w:hAnsi="Book Antiqua" w:cs="Book Antiqua"/>
        </w:rPr>
        <w:t xml:space="preserve">, Vanti C, Curti S, Mattioli S, Ferrari S, Violante FS, Guccione A. Using PubMed search strings for efficient retrieval of manual therapy research literature. </w:t>
      </w:r>
      <w:r>
        <w:rPr>
          <w:rFonts w:ascii="Book Antiqua" w:hAnsi="Book Antiqua" w:cs="Book Antiqua"/>
          <w:i/>
          <w:iCs/>
        </w:rPr>
        <w:t>J Manipulative Physiol Ther</w:t>
      </w:r>
      <w:r>
        <w:rPr>
          <w:rFonts w:ascii="Book Antiqua" w:hAnsi="Book Antiqua" w:cs="Book Antiqua"/>
        </w:rPr>
        <w:t xml:space="preserve"> 2015; </w:t>
      </w:r>
      <w:r>
        <w:rPr>
          <w:rFonts w:ascii="Book Antiqua" w:hAnsi="Book Antiqua" w:cs="Book Antiqua"/>
          <w:b/>
          <w:bCs/>
        </w:rPr>
        <w:t>38</w:t>
      </w:r>
      <w:r>
        <w:rPr>
          <w:rFonts w:ascii="Book Antiqua" w:hAnsi="Book Antiqua" w:cs="Book Antiqua"/>
        </w:rPr>
        <w:t>: 159-166 [PMID: 25499192 DOI: 10.1016/j.jmpt.2014.11.005]</w:t>
      </w:r>
    </w:p>
    <w:p>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Swiatkowska I</w:t>
      </w:r>
      <w:r>
        <w:rPr>
          <w:rFonts w:ascii="Book Antiqua" w:hAnsi="Book Antiqua" w:cs="Book Antiqua"/>
        </w:rPr>
        <w:t xml:space="preserve">, Martin N, Hart AJ. Blood titanium level as a biomarker of orthopaedic implant wear. </w:t>
      </w:r>
      <w:r>
        <w:rPr>
          <w:rFonts w:ascii="Book Antiqua" w:hAnsi="Book Antiqua" w:cs="Book Antiqua"/>
          <w:i/>
          <w:iCs/>
        </w:rPr>
        <w:t>J Trace Elem Med Biol</w:t>
      </w:r>
      <w:r>
        <w:rPr>
          <w:rFonts w:ascii="Book Antiqua" w:hAnsi="Book Antiqua" w:cs="Book Antiqua"/>
        </w:rPr>
        <w:t xml:space="preserve"> 2019; </w:t>
      </w:r>
      <w:r>
        <w:rPr>
          <w:rFonts w:ascii="Book Antiqua" w:hAnsi="Book Antiqua" w:cs="Book Antiqua"/>
          <w:b/>
          <w:bCs/>
        </w:rPr>
        <w:t>53</w:t>
      </w:r>
      <w:r>
        <w:rPr>
          <w:rFonts w:ascii="Book Antiqua" w:hAnsi="Book Antiqua" w:cs="Book Antiqua"/>
        </w:rPr>
        <w:t>: 120-128 [PMID: 30910194 DOI: 10.1016/j.jtemb.2019.02.013]</w:t>
      </w:r>
    </w:p>
    <w:p>
      <w:pPr>
        <w:spacing w:line="360" w:lineRule="auto"/>
        <w:jc w:val="both"/>
        <w:rPr>
          <w:rFonts w:ascii="Book Antiqua" w:hAnsi="Book Antiqua" w:cs="Book Antiqua"/>
        </w:rPr>
      </w:pPr>
      <w:r>
        <w:rPr>
          <w:rFonts w:ascii="Book Antiqua" w:hAnsi="Book Antiqua" w:cs="Book Antiqua"/>
        </w:rPr>
        <w:t>22 Cobalt Blood Level</w:t>
      </w:r>
      <w:r>
        <w:rPr>
          <w:rFonts w:hint="eastAsia" w:ascii="Book Antiqua" w:hAnsi="Book Antiqua" w:eastAsia="宋体" w:cs="Book Antiqua"/>
          <w:lang w:eastAsia="zh-CN"/>
        </w:rPr>
        <w:t>.</w:t>
      </w:r>
      <w:r>
        <w:rPr>
          <w:rFonts w:ascii="Book Antiqua" w:hAnsi="Book Antiqua" w:cs="Book Antiqua"/>
        </w:rPr>
        <w:t xml:space="preserve"> </w:t>
      </w:r>
      <w:r>
        <w:rPr>
          <w:rFonts w:ascii="Book Antiqua" w:hAnsi="Book Antiqua" w:cs="Book Antiqua"/>
          <w:iCs/>
        </w:rPr>
        <w:t>Science</w:t>
      </w:r>
      <w:r>
        <w:rPr>
          <w:rFonts w:hint="eastAsia" w:ascii="Book Antiqua" w:hAnsi="Book Antiqua" w:cs="Book Antiqua" w:eastAsiaTheme="minorEastAsia"/>
          <w:iCs/>
          <w:lang w:eastAsia="zh-CN"/>
        </w:rPr>
        <w:t xml:space="preserve"> </w:t>
      </w:r>
      <w:r>
        <w:rPr>
          <w:rFonts w:ascii="Book Antiqua" w:hAnsi="Book Antiqua" w:cs="Book Antiqua"/>
          <w:iCs/>
        </w:rPr>
        <w:t>Direct Topics</w:t>
      </w:r>
      <w:r>
        <w:rPr>
          <w:rFonts w:hint="eastAsia" w:ascii="Book Antiqua" w:hAnsi="Book Antiqua" w:eastAsia="宋体" w:cs="Book Antiqua"/>
          <w:iCs/>
          <w:lang w:eastAsia="zh-CN"/>
        </w:rPr>
        <w:t>.</w:t>
      </w:r>
      <w:r>
        <w:rPr>
          <w:rFonts w:ascii="Book Antiqua" w:hAnsi="Book Antiqua" w:cs="Book Antiqua"/>
        </w:rPr>
        <w:t xml:space="preserve"> Available from: https://www.sciencedirect.com/topics/nursing-and-health-professions/cobalt-blood-level</w:t>
      </w:r>
    </w:p>
    <w:p>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Johal S</w:t>
      </w:r>
      <w:r>
        <w:rPr>
          <w:rFonts w:ascii="Book Antiqua" w:hAnsi="Book Antiqua" w:cs="Book Antiqua"/>
        </w:rPr>
        <w:t xml:space="preserve">, Nakano N, Baxter M, Hujazi I, Pandit H, Khanduja V. Unicompartmental Knee Arthroplasty: The Past, Current Controversies, and Future Perspectives. </w:t>
      </w:r>
      <w:r>
        <w:rPr>
          <w:rFonts w:ascii="Book Antiqua" w:hAnsi="Book Antiqua" w:cs="Book Antiqua"/>
          <w:i/>
          <w:iCs/>
        </w:rPr>
        <w:t>J Knee Surg</w:t>
      </w:r>
      <w:r>
        <w:rPr>
          <w:rFonts w:ascii="Book Antiqua" w:hAnsi="Book Antiqua" w:cs="Book Antiqua"/>
        </w:rPr>
        <w:t xml:space="preserve"> 2018; </w:t>
      </w:r>
      <w:r>
        <w:rPr>
          <w:rFonts w:ascii="Book Antiqua" w:hAnsi="Book Antiqua" w:cs="Book Antiqua"/>
          <w:b/>
          <w:bCs/>
        </w:rPr>
        <w:t>31</w:t>
      </w:r>
      <w:r>
        <w:rPr>
          <w:rFonts w:ascii="Book Antiqua" w:hAnsi="Book Antiqua" w:cs="Book Antiqua"/>
        </w:rPr>
        <w:t>: 992-998 [PMID: 29514367 DOI: 10.1055/s-0038-1625961]</w:t>
      </w:r>
    </w:p>
    <w:p>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Hernigou P</w:t>
      </w:r>
      <w:r>
        <w:rPr>
          <w:rFonts w:ascii="Book Antiqua" w:hAnsi="Book Antiqua" w:cs="Book Antiqua"/>
        </w:rPr>
        <w:t xml:space="preserve">, Deschamps G. Posterior slope of the tibial implant and the outcome of unicompartmental knee arthroplasty. </w:t>
      </w:r>
      <w:r>
        <w:rPr>
          <w:rFonts w:ascii="Book Antiqua" w:hAnsi="Book Antiqua" w:cs="Book Antiqua"/>
          <w:i/>
          <w:iCs/>
        </w:rPr>
        <w:t>J Bone Joint Surg Am</w:t>
      </w:r>
      <w:r>
        <w:rPr>
          <w:rFonts w:ascii="Book Antiqua" w:hAnsi="Book Antiqua" w:cs="Book Antiqua"/>
        </w:rPr>
        <w:t xml:space="preserve"> 2004; </w:t>
      </w:r>
      <w:r>
        <w:rPr>
          <w:rFonts w:ascii="Book Antiqua" w:hAnsi="Book Antiqua" w:cs="Book Antiqua"/>
          <w:b/>
          <w:bCs/>
        </w:rPr>
        <w:t>86</w:t>
      </w:r>
      <w:r>
        <w:rPr>
          <w:rFonts w:ascii="Book Antiqua" w:hAnsi="Book Antiqua" w:cs="Book Antiqua"/>
        </w:rPr>
        <w:t>: 506-511 [PMID: 14996875 DOI: 10.2106/00004623-200403000-00007]</w:t>
      </w:r>
    </w:p>
    <w:p>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Crawford DA</w:t>
      </w:r>
      <w:r>
        <w:rPr>
          <w:rFonts w:ascii="Book Antiqua" w:hAnsi="Book Antiqua" w:cs="Book Antiqua"/>
        </w:rPr>
        <w:t xml:space="preserve">, Berend KR, Lombardi AV. Management of the Failed Medial Unicompartmental Knee Arthroplasty. </w:t>
      </w:r>
      <w:r>
        <w:rPr>
          <w:rFonts w:ascii="Book Antiqua" w:hAnsi="Book Antiqua" w:cs="Book Antiqua"/>
          <w:i/>
          <w:iCs/>
        </w:rPr>
        <w:t>J Am Acad Orthop Surg</w:t>
      </w:r>
      <w:r>
        <w:rPr>
          <w:rFonts w:ascii="Book Antiqua" w:hAnsi="Book Antiqua" w:cs="Book Antiqua"/>
        </w:rPr>
        <w:t xml:space="preserve"> 2018; </w:t>
      </w:r>
      <w:r>
        <w:rPr>
          <w:rFonts w:ascii="Book Antiqua" w:hAnsi="Book Antiqua" w:cs="Book Antiqua"/>
          <w:b/>
          <w:bCs/>
        </w:rPr>
        <w:t>26</w:t>
      </w:r>
      <w:r>
        <w:rPr>
          <w:rFonts w:ascii="Book Antiqua" w:hAnsi="Book Antiqua" w:cs="Book Antiqua"/>
        </w:rPr>
        <w:t>: e426-e433 [PMID: 30113345 DOI: 10.5435/JAAOS-D-17-00107]</w:t>
      </w:r>
    </w:p>
    <w:p>
      <w:pPr>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Lombardi AV Jr</w:t>
      </w:r>
      <w:r>
        <w:rPr>
          <w:rFonts w:ascii="Book Antiqua" w:hAnsi="Book Antiqua" w:cs="Book Antiqua"/>
        </w:rPr>
        <w:t xml:space="preserve">, Kolich MT, Berend KR, Morris MJ, Crawford DA, Adams JB. Revision of Unicompartmental Knee Arthroplasty to Total Knee Arthroplasty: Is It as Good as a Primary Result? </w:t>
      </w:r>
      <w:r>
        <w:rPr>
          <w:rFonts w:ascii="Book Antiqua" w:hAnsi="Book Antiqua" w:cs="Book Antiqua"/>
          <w:i/>
          <w:iCs/>
        </w:rPr>
        <w:t>J Arthroplasty</w:t>
      </w:r>
      <w:r>
        <w:rPr>
          <w:rFonts w:ascii="Book Antiqua" w:hAnsi="Book Antiqua" w:cs="Book Antiqua"/>
        </w:rPr>
        <w:t xml:space="preserve"> 2018; </w:t>
      </w:r>
      <w:r>
        <w:rPr>
          <w:rFonts w:ascii="Book Antiqua" w:hAnsi="Book Antiqua" w:cs="Book Antiqua"/>
          <w:b/>
          <w:bCs/>
        </w:rPr>
        <w:t>33</w:t>
      </w:r>
      <w:r>
        <w:rPr>
          <w:rFonts w:ascii="Book Antiqua" w:hAnsi="Book Antiqua" w:cs="Book Antiqua"/>
        </w:rPr>
        <w:t>: S105-S108 [PMID: 29691172 DOI: 10.1016/j.arth.2018.03.023]</w:t>
      </w:r>
    </w:p>
    <w:p>
      <w:pPr>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Epinette JA</w:t>
      </w:r>
      <w:r>
        <w:rPr>
          <w:rFonts w:ascii="Book Antiqua" w:hAnsi="Book Antiqua" w:cs="Book Antiqua"/>
        </w:rPr>
        <w:t xml:space="preserve">, Leyder M, Saragaglia D, Pasquier G, Deschamps G; Société Française de la Hanche et du Genou. Is unicompartmental-to-unicompartmental revision knee arthroplasty a reliable option? Case-control study. </w:t>
      </w:r>
      <w:r>
        <w:rPr>
          <w:rFonts w:ascii="Book Antiqua" w:hAnsi="Book Antiqua" w:cs="Book Antiqua"/>
          <w:i/>
          <w:iCs/>
        </w:rPr>
        <w:t>Orthop Traumatol Surg Res</w:t>
      </w:r>
      <w:r>
        <w:rPr>
          <w:rFonts w:ascii="Book Antiqua" w:hAnsi="Book Antiqua" w:cs="Book Antiqua"/>
        </w:rPr>
        <w:t xml:space="preserve"> 2014; </w:t>
      </w:r>
      <w:r>
        <w:rPr>
          <w:rFonts w:ascii="Book Antiqua" w:hAnsi="Book Antiqua" w:cs="Book Antiqua"/>
          <w:b/>
          <w:bCs/>
        </w:rPr>
        <w:t>100</w:t>
      </w:r>
      <w:r>
        <w:rPr>
          <w:rFonts w:ascii="Book Antiqua" w:hAnsi="Book Antiqua" w:cs="Book Antiqua"/>
        </w:rPr>
        <w:t>: 141-145 [PMID: 24373806 DOI: 10.1016/j.otsr.2013.10.013]</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rPr>
          <w:rFonts w:ascii="Book Antiqua" w:hAnsi="Book Antiqua" w:cs="Book Antiqua"/>
          <w:b/>
          <w:bCs/>
        </w:rPr>
      </w:pPr>
      <w:r>
        <w:rPr>
          <w:rFonts w:ascii="Book Antiqua" w:hAnsi="Book Antiqua" w:cs="Book Antiqua"/>
          <w:b/>
          <w:bCs/>
        </w:rPr>
        <w:t xml:space="preserve">Informed consent statement: </w:t>
      </w:r>
      <w:r>
        <w:rPr>
          <w:rFonts w:ascii="Book Antiqua" w:hAnsi="Book Antiqua" w:cs="Book Antiqua"/>
        </w:rPr>
        <w:t>Informed written consent was obtained from the patient for publication of this report and any accompanying images.</w:t>
      </w:r>
    </w:p>
    <w:p>
      <w:pPr>
        <w:spacing w:line="360" w:lineRule="auto"/>
        <w:jc w:val="both"/>
        <w:rPr>
          <w:rFonts w:ascii="Book Antiqua" w:hAnsi="Book Antiqua" w:cs="Book Antiqua"/>
          <w:b/>
          <w:bCs/>
        </w:rPr>
      </w:pPr>
    </w:p>
    <w:p>
      <w:pPr>
        <w:spacing w:line="360" w:lineRule="auto"/>
        <w:jc w:val="both"/>
        <w:rPr>
          <w:rFonts w:ascii="Book Antiqua" w:hAnsi="Book Antiqua" w:cs="Book Antiqua"/>
        </w:rPr>
      </w:pPr>
      <w:r>
        <w:rPr>
          <w:rFonts w:ascii="Book Antiqua" w:hAnsi="Book Antiqua" w:cs="Book Antiqua"/>
          <w:b/>
          <w:bCs/>
        </w:rPr>
        <w:t xml:space="preserve">Conflict-of-interest statement: </w:t>
      </w:r>
      <w:r>
        <w:rPr>
          <w:rFonts w:ascii="Book Antiqua" w:hAnsi="Book Antiqua" w:cs="Book Antiqua"/>
        </w:rPr>
        <w:t>The authors declare that they have no conflict of interest.</w:t>
      </w:r>
    </w:p>
    <w:p>
      <w:pPr>
        <w:spacing w:line="360" w:lineRule="auto"/>
        <w:jc w:val="both"/>
        <w:rPr>
          <w:rFonts w:ascii="Book Antiqua" w:hAnsi="Book Antiqua" w:cs="Book Antiqua"/>
          <w:b/>
          <w:bCs/>
        </w:rPr>
      </w:pPr>
    </w:p>
    <w:p>
      <w:pPr>
        <w:spacing w:line="360" w:lineRule="auto"/>
        <w:jc w:val="both"/>
        <w:rPr>
          <w:rFonts w:ascii="Book Antiqua" w:hAnsi="Book Antiqua" w:cs="Book Antiqua"/>
        </w:rPr>
      </w:pPr>
      <w:r>
        <w:rPr>
          <w:rFonts w:ascii="Book Antiqua" w:hAnsi="Book Antiqua" w:cs="Book Antiqua"/>
          <w:b/>
          <w:bCs/>
        </w:rPr>
        <w:t xml:space="preserve">CARE Checklist (2016) statement: </w:t>
      </w:r>
      <w:r>
        <w:rPr>
          <w:rFonts w:ascii="Book Antiqua" w:hAnsi="Book Antiqua" w:cs="Book Antiqua"/>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eastAsia="Book Antiqua" w:cs="Book Antiqua"/>
        </w:rPr>
      </w:pP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August 29,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October 9,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rPr>
        <w:t>November 9, 2023</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微软雅黑" w:cs="Book Antiqua"/>
        </w:rPr>
        <w:t>Orthopedics</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Italy</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0</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ascii="Book Antiqua" w:hAnsi="Book Antiqua" w:cs="Book Antiqua" w:eastAsiaTheme="minorEastAsi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rPr>
        <w:t>OOMMEN AT, India</w:t>
      </w:r>
      <w:r>
        <w:rPr>
          <w:rFonts w:ascii="Book Antiqua" w:hAnsi="Book Antiqua" w:eastAsia="Book Antiqua" w:cs="Book Antiqua"/>
          <w:b/>
          <w:color w:val="000000"/>
        </w:rPr>
        <w:t xml:space="preserve"> S-Editor: </w:t>
      </w:r>
      <w:r>
        <w:rPr>
          <w:rFonts w:hint="eastAsia" w:ascii="Book Antiqua" w:hAnsi="Book Antiqua" w:eastAsia="宋体" w:cs="Book Antiqua"/>
          <w:bCs/>
          <w:color w:val="000000"/>
          <w:lang w:eastAsia="zh-CN"/>
        </w:rPr>
        <w:t>Qu XL</w:t>
      </w:r>
      <w:r>
        <w:rPr>
          <w:rFonts w:ascii="Book Antiqua" w:hAnsi="Book Antiqua" w:eastAsia="Book Antiqua" w:cs="Book Antiqua"/>
          <w:b/>
          <w:color w:val="000000"/>
        </w:rPr>
        <w:t xml:space="preserve"> L-Editor: </w:t>
      </w:r>
      <w:r>
        <w:rPr>
          <w:rFonts w:hint="eastAsia" w:ascii="Book Antiqua" w:hAnsi="Book Antiqua" w:cs="Book Antiqua" w:eastAsiaTheme="minorEastAsia"/>
          <w:color w:val="000000"/>
          <w:lang w:eastAsia="zh-CN"/>
        </w:rPr>
        <w:t>A</w:t>
      </w:r>
      <w:r>
        <w:rPr>
          <w:rFonts w:ascii="Book Antiqua" w:hAnsi="Book Antiqua" w:eastAsia="Book Antiqua" w:cs="Book Antiqua"/>
          <w:b/>
          <w:color w:val="000000"/>
        </w:rPr>
        <w:t xml:space="preserve"> P-Editor: </w:t>
      </w:r>
      <w:r>
        <w:rPr>
          <w:rFonts w:hint="eastAsia" w:ascii="Book Antiqua" w:hAnsi="Book Antiqua" w:cs="Book Antiqua" w:eastAsiaTheme="minorEastAsia"/>
          <w:color w:val="000000"/>
          <w:lang w:eastAsia="zh-CN"/>
        </w:rPr>
        <w:t>Yuan YY</w:t>
      </w:r>
    </w:p>
    <w:p>
      <w:pPr>
        <w:spacing w:line="360" w:lineRule="auto"/>
        <w:jc w:val="both"/>
        <w:rPr>
          <w:rFonts w:ascii="Book Antiqua" w:hAnsi="Book Antiqua" w:cs="Book Antiqua" w:eastAsiaTheme="minorEastAsia"/>
          <w:b/>
          <w:color w:val="000000"/>
          <w:lang w:eastAsia="zh-CN"/>
        </w:rPr>
      </w:pPr>
    </w:p>
    <w:p>
      <w:pPr>
        <w:spacing w:line="360" w:lineRule="auto"/>
        <w:jc w:val="both"/>
        <w:rPr>
          <w:rFonts w:eastAsiaTheme="minorEastAsi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color w:val="000000"/>
          <w:highlight w:val="yellow"/>
        </w:rPr>
      </w:pPr>
      <w:r>
        <w:rPr>
          <w:rFonts w:ascii="Book Antiqua" w:hAnsi="Book Antiqua" w:eastAsia="Book Antiqua" w:cs="Book Antiqua"/>
          <w:b/>
          <w:color w:val="000000"/>
          <w:highlight w:val="yellow"/>
        </w:rPr>
        <w:drawing>
          <wp:inline distT="0" distB="0" distL="114300" distR="114300">
            <wp:extent cx="5178425" cy="2514600"/>
            <wp:effectExtent l="0" t="0" r="3175" b="0"/>
            <wp:docPr id="7" name="图片 7" descr="WJO-14-88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O-14-889-g001"/>
                    <pic:cNvPicPr>
                      <a:picLocks noChangeAspect="1"/>
                    </pic:cNvPicPr>
                  </pic:nvPicPr>
                  <pic:blipFill>
                    <a:blip r:embed="rId5"/>
                    <a:stretch>
                      <a:fillRect/>
                    </a:stretch>
                  </pic:blipFill>
                  <pic:spPr>
                    <a:xfrm>
                      <a:off x="0" y="0"/>
                      <a:ext cx="5178425" cy="251460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1</w:t>
      </w:r>
      <w:r>
        <w:rPr>
          <w:rFonts w:ascii="Book Antiqua" w:hAnsi="Book Antiqua" w:eastAsia="Book Antiqua" w:cs="Book Antiqua"/>
        </w:rPr>
        <w:t xml:space="preserve"> </w:t>
      </w:r>
      <w:r>
        <w:rPr>
          <w:rFonts w:ascii="Book Antiqua" w:hAnsi="Book Antiqua" w:eastAsia="Book Antiqua" w:cs="Book Antiqua"/>
          <w:b/>
          <w:bCs/>
        </w:rPr>
        <w:t>Patient’s preoperative evaluation.</w:t>
      </w:r>
      <w:r>
        <w:rPr>
          <w:rFonts w:ascii="Book Antiqua" w:hAnsi="Book Antiqua" w:eastAsia="Book Antiqua" w:cs="Book Antiqua"/>
          <w:b/>
        </w:rPr>
        <w:t xml:space="preserve"> </w:t>
      </w:r>
      <w:r>
        <w:rPr>
          <w:rFonts w:ascii="Book Antiqua" w:hAnsi="Book Antiqua" w:eastAsia="Book Antiqua" w:cs="Book Antiqua"/>
        </w:rPr>
        <w:t>A</w:t>
      </w:r>
      <w:r>
        <w:rPr>
          <w:rFonts w:hint="eastAsia" w:ascii="Book Antiqua" w:hAnsi="Book Antiqua" w:eastAsia="宋体" w:cs="Book Antiqua"/>
          <w:lang w:eastAsia="zh-CN"/>
        </w:rPr>
        <w:t xml:space="preserve">: </w:t>
      </w:r>
      <w:r>
        <w:rPr>
          <w:rFonts w:ascii="Book Antiqua" w:hAnsi="Book Antiqua" w:eastAsia="Book Antiqua" w:cs="Book Antiqua"/>
        </w:rPr>
        <w:t>Clinics</w:t>
      </w:r>
      <w:r>
        <w:rPr>
          <w:rFonts w:hint="eastAsia" w:ascii="Book Antiqua" w:hAnsi="Book Antiqua" w:eastAsia="宋体" w:cs="Book Antiqua"/>
          <w:lang w:eastAsia="zh-CN"/>
        </w:rPr>
        <w:t>;</w:t>
      </w:r>
      <w:r>
        <w:rPr>
          <w:rFonts w:ascii="Book Antiqua" w:hAnsi="Book Antiqua" w:eastAsia="Book Antiqua" w:cs="Book Antiqua"/>
        </w:rPr>
        <w:t xml:space="preserve"> B</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R</w:t>
      </w:r>
      <w:r>
        <w:rPr>
          <w:rFonts w:ascii="Book Antiqua" w:hAnsi="Book Antiqua" w:eastAsia="Book Antiqua" w:cs="Book Antiqua"/>
        </w:rPr>
        <w:t>adiographs</w:t>
      </w:r>
      <w:r>
        <w:rPr>
          <w:rFonts w:hint="eastAsia" w:ascii="Book Antiqua" w:hAnsi="Book Antiqua" w:eastAsia="宋体" w:cs="Book Antiqua"/>
          <w:lang w:eastAsia="zh-CN"/>
        </w:rPr>
        <w:t>;</w:t>
      </w:r>
      <w:r>
        <w:rPr>
          <w:rFonts w:ascii="Book Antiqua" w:hAnsi="Book Antiqua" w:eastAsia="Book Antiqua" w:cs="Book Antiqua"/>
        </w:rPr>
        <w:t xml:space="preserve"> C</w:t>
      </w:r>
      <w:r>
        <w:rPr>
          <w:rFonts w:hint="eastAsia" w:ascii="Book Antiqua" w:hAnsi="Book Antiqua" w:eastAsia="宋体" w:cs="Book Antiqua"/>
          <w:lang w:eastAsia="zh-CN"/>
        </w:rPr>
        <w:t xml:space="preserve">: </w:t>
      </w:r>
      <w:r>
        <w:rPr>
          <w:rFonts w:ascii="Book Antiqua" w:hAnsi="Book Antiqua" w:eastAsia="Book Antiqua" w:cs="Book Antiqua"/>
        </w:rPr>
        <w:t>Liner dislocation is indicated with white arrow.</w:t>
      </w:r>
    </w:p>
    <w:p>
      <w:pPr>
        <w:spacing w:line="360" w:lineRule="auto"/>
        <w:jc w:val="both"/>
        <w:rPr>
          <w:rFonts w:ascii="Book Antiqua" w:hAnsi="Book Antiqua" w:eastAsia="Book Antiqua" w:cs="Book Antiqua"/>
        </w:rPr>
      </w:pPr>
      <w:r>
        <w:rPr>
          <w:rFonts w:ascii="Book Antiqua" w:hAnsi="Book Antiqua" w:eastAsia="Book Antiqua" w:cs="Book Antiqua"/>
        </w:rPr>
        <w:br w:type="page"/>
      </w:r>
      <w:r>
        <w:rPr>
          <w:rFonts w:ascii="Book Antiqua" w:hAnsi="Book Antiqua" w:eastAsia="Book Antiqua" w:cs="Book Antiqua"/>
        </w:rPr>
        <w:drawing>
          <wp:inline distT="0" distB="0" distL="114300" distR="114300">
            <wp:extent cx="3724910" cy="3163570"/>
            <wp:effectExtent l="0" t="0" r="8890" b="8255"/>
            <wp:docPr id="8" name="图片 8" descr="WJO-14-88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O-14-889-g002"/>
                    <pic:cNvPicPr>
                      <a:picLocks noChangeAspect="1"/>
                    </pic:cNvPicPr>
                  </pic:nvPicPr>
                  <pic:blipFill>
                    <a:blip r:embed="rId6"/>
                    <a:stretch>
                      <a:fillRect/>
                    </a:stretch>
                  </pic:blipFill>
                  <pic:spPr>
                    <a:xfrm>
                      <a:off x="0" y="0"/>
                      <a:ext cx="3724910" cy="3163570"/>
                    </a:xfrm>
                    <a:prstGeom prst="rect">
                      <a:avLst/>
                    </a:prstGeom>
                  </pic:spPr>
                </pic:pic>
              </a:graphicData>
            </a:graphic>
          </wp:inline>
        </w:drawing>
      </w:r>
    </w:p>
    <w:p>
      <w:pPr>
        <w:spacing w:line="360" w:lineRule="auto"/>
        <w:jc w:val="both"/>
        <w:rPr>
          <w:rFonts w:ascii="Book Antiqua" w:hAnsi="Book Antiqua" w:eastAsia="宋体" w:cs="Book Antiqua"/>
          <w:b/>
          <w:bCs/>
          <w:lang w:eastAsia="zh-CN"/>
        </w:rPr>
      </w:pPr>
      <w:r>
        <w:rPr>
          <w:rFonts w:ascii="Book Antiqua" w:hAnsi="Book Antiqua" w:eastAsia="Book Antiqua" w:cs="Book Antiqua"/>
          <w:b/>
          <w:bCs/>
        </w:rPr>
        <w:t>Figure 2 Summary of article inclusion process</w:t>
      </w:r>
      <w:r>
        <w:rPr>
          <w:rFonts w:hint="eastAsia" w:ascii="Book Antiqua" w:hAnsi="Book Antiqua" w:eastAsia="宋体" w:cs="Book Antiqua"/>
          <w:b/>
          <w:bCs/>
          <w:lang w:eastAsia="zh-CN"/>
        </w:rPr>
        <w:t>.</w:t>
      </w:r>
    </w:p>
    <w:p>
      <w:pPr>
        <w:spacing w:line="360" w:lineRule="auto"/>
        <w:jc w:val="both"/>
        <w:rPr>
          <w:rFonts w:ascii="Book Antiqua" w:hAnsi="Book Antiqua" w:eastAsia="Book Antiqua" w:cs="Book Antiqua"/>
        </w:rPr>
      </w:pPr>
      <w:r>
        <w:rPr>
          <w:rFonts w:ascii="Book Antiqua" w:hAnsi="Book Antiqua" w:eastAsia="宋体" w:cs="Book Antiqua"/>
          <w:bCs/>
          <w:lang w:eastAsia="zh-CN"/>
        </w:rPr>
        <w:br w:type="page"/>
      </w:r>
      <w:r>
        <w:rPr>
          <w:rFonts w:ascii="Book Antiqua" w:hAnsi="Book Antiqua" w:eastAsia="Book Antiqua" w:cs="Book Antiqua"/>
        </w:rPr>
        <w:drawing>
          <wp:inline distT="0" distB="0" distL="114300" distR="114300">
            <wp:extent cx="3557270" cy="2514600"/>
            <wp:effectExtent l="0" t="0" r="5080" b="0"/>
            <wp:docPr id="9" name="图片 9" descr="WJO-14-88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O-14-889-g003"/>
                    <pic:cNvPicPr>
                      <a:picLocks noChangeAspect="1"/>
                    </pic:cNvPicPr>
                  </pic:nvPicPr>
                  <pic:blipFill>
                    <a:blip r:embed="rId7"/>
                    <a:stretch>
                      <a:fillRect/>
                    </a:stretch>
                  </pic:blipFill>
                  <pic:spPr>
                    <a:xfrm>
                      <a:off x="0" y="0"/>
                      <a:ext cx="3557270" cy="251460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3 Intraoperative photographs documenting peri-prosthetic soft tissue metallosis.</w:t>
      </w:r>
      <w:r>
        <w:rPr>
          <w:rFonts w:ascii="Book Antiqua" w:hAnsi="Book Antiqua" w:eastAsia="Book Antiqua" w:cs="Book Antiqua"/>
          <w:b/>
        </w:rPr>
        <w:t xml:space="preserve"> </w:t>
      </w:r>
      <w:r>
        <w:rPr>
          <w:rFonts w:ascii="Book Antiqua" w:hAnsi="Book Antiqua" w:eastAsia="Book Antiqua" w:cs="Book Antiqua"/>
        </w:rPr>
        <w:t>A</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N</w:t>
      </w:r>
      <w:r>
        <w:rPr>
          <w:rFonts w:ascii="Book Antiqua" w:hAnsi="Book Antiqua" w:eastAsia="Book Antiqua" w:cs="Book Antiqua"/>
        </w:rPr>
        <w:t>ote the luxated bearing; B</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N</w:t>
      </w:r>
      <w:r>
        <w:rPr>
          <w:rFonts w:ascii="Book Antiqua" w:hAnsi="Book Antiqua" w:eastAsia="Book Antiqua" w:cs="Book Antiqua"/>
        </w:rPr>
        <w:t>ote the metal back debris.</w:t>
      </w:r>
    </w:p>
    <w:p>
      <w:pPr>
        <w:spacing w:line="360" w:lineRule="auto"/>
        <w:jc w:val="both"/>
        <w:rPr>
          <w:rFonts w:ascii="Book Antiqua" w:hAnsi="Book Antiqua" w:eastAsia="Book Antiqua" w:cs="Book Antiqua"/>
        </w:rPr>
      </w:pPr>
      <w:r>
        <w:rPr>
          <w:rFonts w:ascii="Book Antiqua" w:hAnsi="Book Antiqua" w:eastAsia="Book Antiqua" w:cs="Book Antiqua"/>
        </w:rPr>
        <w:br w:type="page"/>
      </w:r>
      <w:bookmarkStart w:id="0" w:name="_GoBack"/>
      <w:r>
        <w:rPr>
          <w:rFonts w:ascii="Book Antiqua" w:hAnsi="Book Antiqua" w:eastAsia="Book Antiqua" w:cs="Book Antiqua"/>
        </w:rPr>
        <w:drawing>
          <wp:inline distT="0" distB="0" distL="114300" distR="114300">
            <wp:extent cx="4876800" cy="5220970"/>
            <wp:effectExtent l="0" t="0" r="0" b="8255"/>
            <wp:docPr id="10" name="图片 10" descr="WJO-14-88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O-14-889-g004"/>
                    <pic:cNvPicPr>
                      <a:picLocks noChangeAspect="1"/>
                    </pic:cNvPicPr>
                  </pic:nvPicPr>
                  <pic:blipFill>
                    <a:blip r:embed="rId8"/>
                    <a:stretch>
                      <a:fillRect/>
                    </a:stretch>
                  </pic:blipFill>
                  <pic:spPr>
                    <a:xfrm>
                      <a:off x="0" y="0"/>
                      <a:ext cx="4876800" cy="5220970"/>
                    </a:xfrm>
                    <a:prstGeom prst="rect">
                      <a:avLst/>
                    </a:prstGeom>
                  </pic:spPr>
                </pic:pic>
              </a:graphicData>
            </a:graphic>
          </wp:inline>
        </w:drawing>
      </w:r>
      <w:bookmarkEnd w:id="0"/>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 xml:space="preserve">Figure 4 Postoperative history. </w:t>
      </w:r>
      <w:r>
        <w:rPr>
          <w:rFonts w:ascii="Book Antiqua" w:hAnsi="Book Antiqua" w:eastAsia="Book Antiqua" w:cs="Book Antiqua"/>
        </w:rPr>
        <w:t>A</w:t>
      </w:r>
      <w:r>
        <w:rPr>
          <w:rFonts w:hint="eastAsia" w:ascii="Book Antiqua" w:hAnsi="Book Antiqua" w:eastAsia="宋体" w:cs="Book Antiqua"/>
          <w:lang w:eastAsia="zh-CN"/>
        </w:rPr>
        <w:t xml:space="preserve"> and </w:t>
      </w:r>
      <w:r>
        <w:rPr>
          <w:rFonts w:ascii="Book Antiqua" w:hAnsi="Book Antiqua" w:eastAsia="Book Antiqua" w:cs="Book Antiqua"/>
        </w:rPr>
        <w:t xml:space="preserve">B: </w:t>
      </w:r>
      <w:r>
        <w:rPr>
          <w:rFonts w:hint="eastAsia" w:ascii="Book Antiqua" w:hAnsi="Book Antiqua" w:eastAsia="宋体" w:cs="Book Antiqua"/>
          <w:lang w:eastAsia="zh-CN"/>
        </w:rPr>
        <w:t>P</w:t>
      </w:r>
      <w:r>
        <w:rPr>
          <w:rFonts w:ascii="Book Antiqua" w:hAnsi="Book Antiqua" w:eastAsia="Book Antiqua" w:cs="Book Antiqua"/>
        </w:rPr>
        <w:t>ostoperative X-rays</w:t>
      </w:r>
      <w:r>
        <w:rPr>
          <w:rFonts w:hint="eastAsia" w:ascii="Book Antiqua" w:hAnsi="Book Antiqua" w:eastAsia="宋体" w:cs="Book Antiqua"/>
          <w:lang w:eastAsia="zh-CN"/>
        </w:rPr>
        <w:t>;</w:t>
      </w:r>
      <w:r>
        <w:rPr>
          <w:rFonts w:ascii="Book Antiqua" w:hAnsi="Book Antiqua" w:eastAsia="Book Antiqua" w:cs="Book Antiqua"/>
        </w:rPr>
        <w:t xml:space="preserve"> C-E: Clinical evaluation documenting range of motion at final follow-up</w:t>
      </w:r>
      <w:r>
        <w:rPr>
          <w:rFonts w:hint="eastAsia" w:ascii="Book Antiqua" w:hAnsi="Book Antiqua" w:eastAsia="宋体" w:cs="Book Antiqua"/>
          <w:lang w:eastAsia="zh-CN"/>
        </w:rPr>
        <w:t>;</w:t>
      </w:r>
      <w:r>
        <w:rPr>
          <w:rFonts w:ascii="Book Antiqua" w:hAnsi="Book Antiqua" w:eastAsia="Book Antiqua" w:cs="Book Antiqua"/>
        </w:rPr>
        <w:t xml:space="preserve"> F</w:t>
      </w:r>
      <w:r>
        <w:rPr>
          <w:rFonts w:hint="eastAsia" w:ascii="Book Antiqua" w:hAnsi="Book Antiqua" w:eastAsia="宋体" w:cs="Book Antiqua"/>
          <w:lang w:eastAsia="zh-CN"/>
        </w:rPr>
        <w:t xml:space="preserve"> and </w:t>
      </w:r>
      <w:r>
        <w:rPr>
          <w:rFonts w:ascii="Book Antiqua" w:hAnsi="Book Antiqua" w:eastAsia="Book Antiqua" w:cs="Book Antiqua"/>
        </w:rPr>
        <w:t>G: Radiographies documenting implant alignment at final follow-up.</w:t>
      </w:r>
    </w:p>
    <w:p>
      <w:pPr>
        <w:spacing w:line="360" w:lineRule="auto"/>
        <w:jc w:val="both"/>
        <w:rPr>
          <w:rFonts w:ascii="Book Antiqua" w:hAnsi="Book Antiqua" w:cs="Book Antiqua"/>
          <w:b/>
          <w:bCs/>
        </w:rPr>
      </w:pPr>
      <w:r>
        <w:rPr>
          <w:rFonts w:ascii="Book Antiqua" w:hAnsi="Book Antiqua" w:cs="Book Antiqua"/>
          <w:b/>
          <w:bCs/>
        </w:rPr>
        <w:t>Table 1 Litterature review</w:t>
      </w:r>
    </w:p>
    <w:tbl>
      <w:tblPr>
        <w:tblStyle w:val="8"/>
        <w:tblW w:w="18712" w:type="dxa"/>
        <w:tblInd w:w="-743"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7"/>
        <w:gridCol w:w="1135"/>
        <w:gridCol w:w="709"/>
        <w:gridCol w:w="1050"/>
        <w:gridCol w:w="787"/>
        <w:gridCol w:w="920"/>
        <w:gridCol w:w="666"/>
        <w:gridCol w:w="546"/>
        <w:gridCol w:w="708"/>
        <w:gridCol w:w="1843"/>
        <w:gridCol w:w="709"/>
        <w:gridCol w:w="1134"/>
        <w:gridCol w:w="850"/>
        <w:gridCol w:w="709"/>
        <w:gridCol w:w="1276"/>
        <w:gridCol w:w="992"/>
        <w:gridCol w:w="851"/>
        <w:gridCol w:w="708"/>
        <w:gridCol w:w="709"/>
        <w:gridCol w:w="685"/>
        <w:gridCol w:w="1158"/>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248" w:type="dxa"/>
            <w:gridSpan w:val="5"/>
            <w:tcBorders>
              <w:top w:val="single" w:color="auto" w:sz="4" w:space="0"/>
              <w:bottom w:val="single" w:color="auto" w:sz="4" w:space="0"/>
            </w:tcBorders>
          </w:tcPr>
          <w:p>
            <w:pPr>
              <w:spacing w:line="360" w:lineRule="auto"/>
              <w:jc w:val="both"/>
              <w:rPr>
                <w:rFonts w:ascii="Book Antiqua" w:hAnsi="Book Antiqua" w:cs="Book Antiqua"/>
                <w:b/>
                <w:bCs/>
              </w:rPr>
            </w:pPr>
            <w:r>
              <w:rPr>
                <w:rFonts w:hint="eastAsia" w:ascii="Book Antiqua" w:hAnsi="Book Antiqua" w:eastAsia="宋体" w:cs="Book Antiqua"/>
                <w:b/>
                <w:bCs/>
                <w:lang w:eastAsia="zh-CN"/>
              </w:rPr>
              <w:t>A</w:t>
            </w:r>
            <w:r>
              <w:rPr>
                <w:rFonts w:ascii="Book Antiqua" w:hAnsi="Book Antiqua" w:cs="Book Antiqua"/>
                <w:b/>
                <w:bCs/>
              </w:rPr>
              <w:t>rticle info</w:t>
            </w:r>
          </w:p>
        </w:tc>
        <w:tc>
          <w:tcPr>
            <w:tcW w:w="8085" w:type="dxa"/>
            <w:gridSpan w:val="9"/>
            <w:tcBorders>
              <w:top w:val="single" w:color="auto" w:sz="4" w:space="0"/>
              <w:bottom w:val="single" w:color="auto" w:sz="4" w:space="0"/>
            </w:tcBorders>
          </w:tcPr>
          <w:p>
            <w:pPr>
              <w:spacing w:line="360" w:lineRule="auto"/>
              <w:jc w:val="both"/>
              <w:rPr>
                <w:rFonts w:ascii="Book Antiqua" w:hAnsi="Book Antiqua" w:cs="Book Antiqua"/>
                <w:b/>
                <w:bCs/>
              </w:rPr>
            </w:pPr>
            <w:r>
              <w:rPr>
                <w:rFonts w:hint="eastAsia" w:ascii="Book Antiqua" w:hAnsi="Book Antiqua" w:eastAsia="宋体" w:cs="Book Antiqua"/>
                <w:b/>
                <w:bCs/>
                <w:lang w:eastAsia="zh-CN"/>
              </w:rPr>
              <w:t>S</w:t>
            </w:r>
            <w:r>
              <w:rPr>
                <w:rFonts w:ascii="Book Antiqua" w:hAnsi="Book Antiqua" w:cs="Book Antiqua"/>
                <w:b/>
                <w:bCs/>
              </w:rPr>
              <w:t>tudied population</w:t>
            </w:r>
          </w:p>
        </w:tc>
        <w:tc>
          <w:tcPr>
            <w:tcW w:w="6379" w:type="dxa"/>
            <w:gridSpan w:val="7"/>
            <w:tcBorders>
              <w:top w:val="single" w:color="auto" w:sz="4" w:space="0"/>
              <w:bottom w:val="single" w:color="auto" w:sz="4" w:space="0"/>
            </w:tcBorders>
            <w:noWrap/>
          </w:tcPr>
          <w:p>
            <w:pPr>
              <w:spacing w:line="360" w:lineRule="auto"/>
              <w:jc w:val="both"/>
              <w:rPr>
                <w:rFonts w:ascii="Book Antiqua" w:hAnsi="Book Antiqua" w:cs="Book Antiqua"/>
                <w:b/>
                <w:bCs/>
              </w:rPr>
            </w:pPr>
            <w:r>
              <w:rPr>
                <w:rFonts w:ascii="Book Antiqua" w:hAnsi="Book Antiqua" w:cs="Book Antiqua"/>
                <w:b/>
                <w:bCs/>
              </w:rPr>
              <w:t>Outcomes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6" w:hRule="atLeast"/>
        </w:trPr>
        <w:tc>
          <w:tcPr>
            <w:tcW w:w="567" w:type="dxa"/>
            <w:tcBorders>
              <w:top w:val="single" w:color="auto" w:sz="4" w:space="0"/>
              <w:bottom w:val="single" w:color="auto" w:sz="4" w:space="0"/>
            </w:tcBorders>
          </w:tcPr>
          <w:p>
            <w:pPr>
              <w:spacing w:line="360" w:lineRule="auto"/>
              <w:jc w:val="both"/>
              <w:rPr>
                <w:rFonts w:ascii="Book Antiqua" w:hAnsi="Book Antiqua" w:cs="Book Antiqua"/>
                <w:b/>
                <w:bCs/>
              </w:rPr>
            </w:pPr>
            <w:r>
              <w:rPr>
                <w:rFonts w:hint="eastAsia" w:ascii="Book Antiqua" w:hAnsi="Book Antiqua" w:eastAsia="宋体" w:cs="Book Antiqua"/>
                <w:b/>
                <w:bCs/>
                <w:lang w:eastAsia="zh-CN"/>
              </w:rPr>
              <w:t>N</w:t>
            </w:r>
            <w:r>
              <w:rPr>
                <w:rFonts w:ascii="Book Antiqua" w:hAnsi="Book Antiqua" w:cs="Book Antiqua"/>
                <w:b/>
                <w:bCs/>
              </w:rPr>
              <w:t>.</w:t>
            </w:r>
          </w:p>
        </w:tc>
        <w:tc>
          <w:tcPr>
            <w:tcW w:w="1135" w:type="dxa"/>
            <w:tcBorders>
              <w:top w:val="single" w:color="auto" w:sz="4" w:space="0"/>
              <w:bottom w:val="single" w:color="auto" w:sz="4" w:space="0"/>
            </w:tcBorders>
          </w:tcPr>
          <w:p>
            <w:pPr>
              <w:spacing w:line="360" w:lineRule="auto"/>
              <w:jc w:val="both"/>
              <w:rPr>
                <w:rFonts w:ascii="Book Antiqua" w:hAnsi="Book Antiqua" w:eastAsia="宋体" w:cs="Book Antiqua"/>
                <w:b/>
                <w:bCs/>
                <w:lang w:eastAsia="zh-CN"/>
              </w:rPr>
            </w:pPr>
            <w:r>
              <w:rPr>
                <w:rFonts w:hint="eastAsia" w:ascii="Book Antiqua" w:hAnsi="Book Antiqua" w:eastAsia="宋体" w:cs="Book Antiqua"/>
                <w:b/>
                <w:bCs/>
                <w:lang w:eastAsia="zh-CN"/>
              </w:rPr>
              <w:t>Ref.</w:t>
            </w:r>
          </w:p>
        </w:tc>
        <w:tc>
          <w:tcPr>
            <w:tcW w:w="709" w:type="dxa"/>
            <w:tcBorders>
              <w:top w:val="single" w:color="auto" w:sz="4" w:space="0"/>
              <w:bottom w:val="single" w:color="auto" w:sz="4" w:space="0"/>
            </w:tcBorders>
            <w:noWrap/>
          </w:tcPr>
          <w:p>
            <w:pPr>
              <w:spacing w:line="360" w:lineRule="auto"/>
              <w:jc w:val="both"/>
              <w:rPr>
                <w:rFonts w:ascii="Book Antiqua" w:hAnsi="Book Antiqua" w:cs="Book Antiqua"/>
                <w:b/>
                <w:bCs/>
              </w:rPr>
            </w:pPr>
            <w:r>
              <w:rPr>
                <w:rFonts w:hint="eastAsia" w:ascii="Book Antiqua" w:hAnsi="Book Antiqua" w:eastAsia="宋体" w:cs="Book Antiqua"/>
                <w:b/>
                <w:bCs/>
                <w:lang w:eastAsia="zh-CN"/>
              </w:rPr>
              <w:t>Y</w:t>
            </w:r>
            <w:r>
              <w:rPr>
                <w:rFonts w:ascii="Book Antiqua" w:hAnsi="Book Antiqua" w:cs="Book Antiqua"/>
                <w:b/>
                <w:bCs/>
              </w:rPr>
              <w:t>ear</w:t>
            </w:r>
          </w:p>
        </w:tc>
        <w:tc>
          <w:tcPr>
            <w:tcW w:w="1050" w:type="dxa"/>
            <w:tcBorders>
              <w:top w:val="single" w:color="auto" w:sz="4" w:space="0"/>
              <w:bottom w:val="single" w:color="auto" w:sz="4" w:space="0"/>
            </w:tcBorders>
          </w:tcPr>
          <w:p>
            <w:pPr>
              <w:spacing w:line="360" w:lineRule="auto"/>
              <w:jc w:val="both"/>
              <w:rPr>
                <w:rFonts w:ascii="Book Antiqua" w:hAnsi="Book Antiqua" w:cs="Book Antiqua"/>
                <w:b/>
                <w:bCs/>
              </w:rPr>
            </w:pPr>
            <w:r>
              <w:rPr>
                <w:rFonts w:hint="eastAsia" w:ascii="Book Antiqua" w:hAnsi="Book Antiqua" w:eastAsia="宋体" w:cs="Book Antiqua"/>
                <w:b/>
                <w:bCs/>
                <w:lang w:eastAsia="zh-CN"/>
              </w:rPr>
              <w:t>J</w:t>
            </w:r>
            <w:r>
              <w:rPr>
                <w:rFonts w:ascii="Book Antiqua" w:hAnsi="Book Antiqua" w:cs="Book Antiqua"/>
                <w:b/>
                <w:bCs/>
              </w:rPr>
              <w:t>ournal</w:t>
            </w:r>
          </w:p>
        </w:tc>
        <w:tc>
          <w:tcPr>
            <w:tcW w:w="787" w:type="dxa"/>
            <w:tcBorders>
              <w:top w:val="single" w:color="auto" w:sz="4" w:space="0"/>
              <w:bottom w:val="single" w:color="auto" w:sz="4" w:space="0"/>
            </w:tcBorders>
          </w:tcPr>
          <w:p>
            <w:pPr>
              <w:spacing w:line="360" w:lineRule="auto"/>
              <w:jc w:val="both"/>
              <w:rPr>
                <w:rFonts w:ascii="Book Antiqua" w:hAnsi="Book Antiqua" w:cs="Book Antiqua"/>
                <w:b/>
                <w:bCs/>
              </w:rPr>
            </w:pPr>
            <w:r>
              <w:rPr>
                <w:rFonts w:hint="eastAsia" w:ascii="Book Antiqua" w:hAnsi="Book Antiqua" w:eastAsia="宋体" w:cs="Book Antiqua"/>
                <w:b/>
                <w:bCs/>
                <w:lang w:eastAsia="zh-CN"/>
              </w:rPr>
              <w:t>T</w:t>
            </w:r>
            <w:r>
              <w:rPr>
                <w:rFonts w:ascii="Book Antiqua" w:hAnsi="Book Antiqua" w:cs="Book Antiqua"/>
                <w:b/>
                <w:bCs/>
              </w:rPr>
              <w:t>ype</w:t>
            </w:r>
          </w:p>
        </w:tc>
        <w:tc>
          <w:tcPr>
            <w:tcW w:w="920" w:type="dxa"/>
            <w:tcBorders>
              <w:top w:val="single" w:color="auto" w:sz="4" w:space="0"/>
              <w:bottom w:val="single" w:color="auto" w:sz="4" w:space="0"/>
            </w:tcBorders>
          </w:tcPr>
          <w:p>
            <w:pPr>
              <w:spacing w:line="360" w:lineRule="auto"/>
              <w:jc w:val="both"/>
              <w:rPr>
                <w:rFonts w:ascii="Book Antiqua" w:hAnsi="Book Antiqua" w:cs="Book Antiqua"/>
                <w:b/>
                <w:bCs/>
              </w:rPr>
            </w:pPr>
            <w:r>
              <w:rPr>
                <w:rFonts w:hint="eastAsia" w:ascii="Book Antiqua" w:hAnsi="Book Antiqua" w:eastAsia="宋体" w:cs="Book Antiqua"/>
                <w:b/>
                <w:bCs/>
                <w:lang w:eastAsia="zh-CN"/>
              </w:rPr>
              <w:t>P</w:t>
            </w:r>
            <w:r>
              <w:rPr>
                <w:rFonts w:ascii="Book Antiqua" w:hAnsi="Book Antiqua" w:cs="Book Antiqua"/>
                <w:b/>
                <w:bCs/>
              </w:rPr>
              <w:t>opulation (n.)</w:t>
            </w:r>
          </w:p>
        </w:tc>
        <w:tc>
          <w:tcPr>
            <w:tcW w:w="666" w:type="dxa"/>
            <w:tcBorders>
              <w:top w:val="single" w:color="auto" w:sz="4" w:space="0"/>
              <w:bottom w:val="single" w:color="auto" w:sz="4" w:space="0"/>
            </w:tcBorders>
          </w:tcPr>
          <w:p>
            <w:pPr>
              <w:spacing w:line="360" w:lineRule="auto"/>
              <w:jc w:val="both"/>
              <w:rPr>
                <w:rFonts w:ascii="Book Antiqua" w:hAnsi="Book Antiqua" w:cs="Book Antiqua"/>
                <w:b/>
                <w:bCs/>
              </w:rPr>
            </w:pPr>
            <w:r>
              <w:rPr>
                <w:rFonts w:hint="eastAsia" w:ascii="Book Antiqua" w:hAnsi="Book Antiqua" w:eastAsia="宋体" w:cs="Book Antiqua"/>
                <w:b/>
                <w:bCs/>
                <w:lang w:eastAsia="zh-CN"/>
              </w:rPr>
              <w:t>S</w:t>
            </w:r>
            <w:r>
              <w:rPr>
                <w:rFonts w:ascii="Book Antiqua" w:hAnsi="Book Antiqua" w:cs="Book Antiqua"/>
                <w:b/>
                <w:bCs/>
              </w:rPr>
              <w:t>ex</w:t>
            </w:r>
          </w:p>
        </w:tc>
        <w:tc>
          <w:tcPr>
            <w:tcW w:w="546" w:type="dxa"/>
            <w:tcBorders>
              <w:top w:val="single" w:color="auto" w:sz="4" w:space="0"/>
              <w:bottom w:val="single" w:color="auto" w:sz="4" w:space="0"/>
            </w:tcBorders>
          </w:tcPr>
          <w:p>
            <w:pPr>
              <w:spacing w:line="360" w:lineRule="auto"/>
              <w:jc w:val="both"/>
              <w:rPr>
                <w:rFonts w:ascii="Book Antiqua" w:hAnsi="Book Antiqua" w:eastAsia="宋体" w:cs="Book Antiqua"/>
                <w:b/>
                <w:bCs/>
                <w:lang w:eastAsia="zh-CN"/>
              </w:rPr>
            </w:pPr>
            <w:r>
              <w:rPr>
                <w:rFonts w:ascii="Book Antiqua" w:hAnsi="Book Antiqua" w:cs="Book Antiqua"/>
                <w:b/>
                <w:bCs/>
              </w:rPr>
              <w:t>Age</w:t>
            </w:r>
            <w:r>
              <w:rPr>
                <w:rFonts w:hint="eastAsia" w:ascii="Book Antiqua" w:hAnsi="Book Antiqua" w:eastAsia="宋体" w:cs="Book Antiqua"/>
                <w:b/>
                <w:bCs/>
                <w:lang w:eastAsia="zh-CN"/>
              </w:rPr>
              <w:t xml:space="preserve"> (yr)</w:t>
            </w:r>
          </w:p>
        </w:tc>
        <w:tc>
          <w:tcPr>
            <w:tcW w:w="708" w:type="dxa"/>
            <w:tcBorders>
              <w:top w:val="single" w:color="auto" w:sz="4" w:space="0"/>
              <w:bottom w:val="single" w:color="auto" w:sz="4" w:space="0"/>
            </w:tcBorders>
          </w:tcPr>
          <w:p>
            <w:pPr>
              <w:spacing w:line="360" w:lineRule="auto"/>
              <w:jc w:val="both"/>
              <w:rPr>
                <w:rFonts w:ascii="Book Antiqua" w:hAnsi="Book Antiqua" w:cs="Book Antiqua"/>
                <w:b/>
                <w:bCs/>
              </w:rPr>
            </w:pPr>
            <w:r>
              <w:rPr>
                <w:rFonts w:ascii="Book Antiqua" w:hAnsi="Book Antiqua" w:cs="Book Antiqua"/>
                <w:b/>
                <w:bCs/>
              </w:rPr>
              <w:t>Implant type</w:t>
            </w:r>
          </w:p>
        </w:tc>
        <w:tc>
          <w:tcPr>
            <w:tcW w:w="1843" w:type="dxa"/>
            <w:tcBorders>
              <w:top w:val="single" w:color="auto" w:sz="4" w:space="0"/>
              <w:bottom w:val="single" w:color="auto" w:sz="4" w:space="0"/>
            </w:tcBorders>
          </w:tcPr>
          <w:p>
            <w:pPr>
              <w:spacing w:line="360" w:lineRule="auto"/>
              <w:jc w:val="both"/>
              <w:rPr>
                <w:rFonts w:ascii="Book Antiqua" w:hAnsi="Book Antiqua" w:cs="Book Antiqua"/>
                <w:b/>
                <w:bCs/>
                <w:lang w:val="en-GB"/>
              </w:rPr>
            </w:pPr>
            <w:r>
              <w:rPr>
                <w:rFonts w:hint="eastAsia" w:ascii="Book Antiqua" w:hAnsi="Book Antiqua" w:eastAsia="宋体" w:cs="Book Antiqua"/>
                <w:b/>
                <w:bCs/>
                <w:lang w:eastAsia="zh-CN"/>
              </w:rPr>
              <w:t>M</w:t>
            </w:r>
            <w:r>
              <w:rPr>
                <w:rFonts w:ascii="Book Antiqua" w:hAnsi="Book Antiqua" w:cs="Book Antiqua"/>
                <w:b/>
                <w:bCs/>
                <w:lang w:val="en-GB"/>
              </w:rPr>
              <w:t>onths elapsed between implantation and bearing dislocation</w:t>
            </w:r>
          </w:p>
        </w:tc>
        <w:tc>
          <w:tcPr>
            <w:tcW w:w="709" w:type="dxa"/>
            <w:tcBorders>
              <w:top w:val="single" w:color="auto" w:sz="4" w:space="0"/>
              <w:bottom w:val="single" w:color="auto" w:sz="4" w:space="0"/>
            </w:tcBorders>
          </w:tcPr>
          <w:p>
            <w:pPr>
              <w:spacing w:line="360" w:lineRule="auto"/>
              <w:jc w:val="both"/>
              <w:rPr>
                <w:rFonts w:ascii="Book Antiqua" w:hAnsi="Book Antiqua" w:cs="Book Antiqua"/>
                <w:b/>
                <w:bCs/>
              </w:rPr>
            </w:pPr>
            <w:r>
              <w:rPr>
                <w:rFonts w:ascii="Book Antiqua" w:hAnsi="Book Antiqua" w:cs="Book Antiqua"/>
                <w:b/>
                <w:bCs/>
              </w:rPr>
              <w:t>Metal ions (Cr/Cb)</w:t>
            </w:r>
          </w:p>
        </w:tc>
        <w:tc>
          <w:tcPr>
            <w:tcW w:w="1134" w:type="dxa"/>
            <w:tcBorders>
              <w:top w:val="single" w:color="auto" w:sz="4" w:space="0"/>
              <w:bottom w:val="single" w:color="auto" w:sz="4" w:space="0"/>
            </w:tcBorders>
          </w:tcPr>
          <w:p>
            <w:pPr>
              <w:spacing w:line="360" w:lineRule="auto"/>
              <w:jc w:val="both"/>
              <w:rPr>
                <w:rFonts w:ascii="Book Antiqua" w:hAnsi="Book Antiqua" w:cs="Book Antiqua"/>
                <w:b/>
                <w:bCs/>
              </w:rPr>
            </w:pPr>
            <w:r>
              <w:rPr>
                <w:rFonts w:ascii="Book Antiqua" w:hAnsi="Book Antiqua" w:cs="Book Antiqua"/>
                <w:b/>
                <w:bCs/>
              </w:rPr>
              <w:t>Type of precedure</w:t>
            </w:r>
          </w:p>
        </w:tc>
        <w:tc>
          <w:tcPr>
            <w:tcW w:w="850" w:type="dxa"/>
            <w:tcBorders>
              <w:top w:val="single" w:color="auto" w:sz="4" w:space="0"/>
              <w:bottom w:val="single" w:color="auto" w:sz="4" w:space="0"/>
            </w:tcBorders>
          </w:tcPr>
          <w:p>
            <w:pPr>
              <w:spacing w:line="360" w:lineRule="auto"/>
              <w:jc w:val="both"/>
              <w:rPr>
                <w:rFonts w:ascii="Book Antiqua" w:hAnsi="Book Antiqua" w:cs="Book Antiqua"/>
                <w:b/>
                <w:bCs/>
              </w:rPr>
            </w:pPr>
            <w:r>
              <w:rPr>
                <w:rFonts w:ascii="Book Antiqua" w:hAnsi="Book Antiqua" w:cs="Book Antiqua"/>
                <w:b/>
                <w:bCs/>
              </w:rPr>
              <w:t>Function pre</w:t>
            </w:r>
            <w:r>
              <w:rPr>
                <w:rFonts w:hint="eastAsia" w:ascii="Book Antiqua" w:hAnsi="Book Antiqua" w:eastAsia="宋体" w:cs="Book Antiqua"/>
                <w:b/>
                <w:bCs/>
                <w:lang w:val="en-US" w:eastAsia="zh-CN"/>
              </w:rPr>
              <w:t>-</w:t>
            </w:r>
            <w:r>
              <w:rPr>
                <w:rFonts w:ascii="Book Antiqua" w:hAnsi="Book Antiqua" w:cs="Book Antiqua"/>
                <w:b/>
                <w:bCs/>
              </w:rPr>
              <w:t>op</w:t>
            </w:r>
          </w:p>
        </w:tc>
        <w:tc>
          <w:tcPr>
            <w:tcW w:w="709" w:type="dxa"/>
            <w:tcBorders>
              <w:top w:val="single" w:color="auto" w:sz="4" w:space="0"/>
              <w:bottom w:val="single" w:color="auto" w:sz="4" w:space="0"/>
            </w:tcBorders>
          </w:tcPr>
          <w:p>
            <w:pPr>
              <w:spacing w:line="360" w:lineRule="auto"/>
              <w:jc w:val="both"/>
              <w:rPr>
                <w:rFonts w:ascii="Book Antiqua" w:hAnsi="Book Antiqua" w:cs="Book Antiqua"/>
                <w:b/>
                <w:bCs/>
              </w:rPr>
            </w:pPr>
            <w:r>
              <w:rPr>
                <w:rFonts w:ascii="Book Antiqua" w:hAnsi="Book Antiqua" w:cs="Book Antiqua"/>
                <w:b/>
                <w:bCs/>
              </w:rPr>
              <w:t>Knee ROM pre</w:t>
            </w:r>
            <w:r>
              <w:rPr>
                <w:rFonts w:hint="eastAsia" w:ascii="Book Antiqua" w:hAnsi="Book Antiqua" w:eastAsia="宋体" w:cs="Book Antiqua"/>
                <w:b/>
                <w:bCs/>
                <w:lang w:val="en-US" w:eastAsia="zh-CN"/>
              </w:rPr>
              <w:t>-</w:t>
            </w:r>
            <w:r>
              <w:rPr>
                <w:rFonts w:ascii="Book Antiqua" w:hAnsi="Book Antiqua" w:cs="Book Antiqua"/>
                <w:b/>
                <w:bCs/>
              </w:rPr>
              <w:t>op</w:t>
            </w:r>
          </w:p>
        </w:tc>
        <w:tc>
          <w:tcPr>
            <w:tcW w:w="1276" w:type="dxa"/>
            <w:tcBorders>
              <w:top w:val="single" w:color="auto" w:sz="4" w:space="0"/>
              <w:bottom w:val="single" w:color="auto" w:sz="4" w:space="0"/>
            </w:tcBorders>
          </w:tcPr>
          <w:p>
            <w:pPr>
              <w:spacing w:line="360" w:lineRule="auto"/>
              <w:jc w:val="both"/>
              <w:rPr>
                <w:rFonts w:ascii="Book Antiqua" w:hAnsi="Book Antiqua" w:cs="Book Antiqua"/>
                <w:b/>
                <w:bCs/>
                <w:lang w:val="en-GB"/>
              </w:rPr>
            </w:pPr>
            <w:r>
              <w:rPr>
                <w:rFonts w:ascii="Book Antiqua" w:hAnsi="Book Antiqua" w:cs="Book Antiqua"/>
                <w:b/>
                <w:bCs/>
                <w:lang w:val="en-GB"/>
              </w:rPr>
              <w:t>Metal ions (Cr/Cb) last follow-up</w:t>
            </w:r>
          </w:p>
        </w:tc>
        <w:tc>
          <w:tcPr>
            <w:tcW w:w="992" w:type="dxa"/>
            <w:tcBorders>
              <w:top w:val="single" w:color="auto" w:sz="4" w:space="0"/>
              <w:bottom w:val="single" w:color="auto" w:sz="4" w:space="0"/>
            </w:tcBorders>
          </w:tcPr>
          <w:p>
            <w:pPr>
              <w:spacing w:line="360" w:lineRule="auto"/>
              <w:jc w:val="both"/>
              <w:rPr>
                <w:rFonts w:ascii="Book Antiqua" w:hAnsi="Book Antiqua" w:cs="Book Antiqua"/>
                <w:b/>
                <w:bCs/>
              </w:rPr>
            </w:pPr>
            <w:r>
              <w:rPr>
                <w:rFonts w:ascii="Book Antiqua" w:hAnsi="Book Antiqua" w:cs="Book Antiqua"/>
                <w:b/>
                <w:bCs/>
              </w:rPr>
              <w:t>Function last follow-up</w:t>
            </w:r>
          </w:p>
        </w:tc>
        <w:tc>
          <w:tcPr>
            <w:tcW w:w="851" w:type="dxa"/>
            <w:tcBorders>
              <w:top w:val="single" w:color="auto" w:sz="4" w:space="0"/>
              <w:bottom w:val="single" w:color="auto" w:sz="4" w:space="0"/>
            </w:tcBorders>
          </w:tcPr>
          <w:p>
            <w:pPr>
              <w:spacing w:line="360" w:lineRule="auto"/>
              <w:jc w:val="both"/>
              <w:rPr>
                <w:rFonts w:ascii="Book Antiqua" w:hAnsi="Book Antiqua" w:cs="Book Antiqua"/>
                <w:b/>
                <w:bCs/>
                <w:lang w:val="en-GB"/>
              </w:rPr>
            </w:pPr>
            <w:r>
              <w:rPr>
                <w:rFonts w:ascii="Book Antiqua" w:hAnsi="Book Antiqua" w:cs="Book Antiqua"/>
                <w:b/>
                <w:bCs/>
                <w:lang w:val="en-GB"/>
              </w:rPr>
              <w:t>Knee ROM last follow-up</w:t>
            </w:r>
          </w:p>
        </w:tc>
        <w:tc>
          <w:tcPr>
            <w:tcW w:w="708" w:type="dxa"/>
            <w:tcBorders>
              <w:top w:val="single" w:color="auto" w:sz="4" w:space="0"/>
              <w:bottom w:val="single" w:color="auto" w:sz="4" w:space="0"/>
            </w:tcBorders>
          </w:tcPr>
          <w:p>
            <w:pPr>
              <w:spacing w:line="360" w:lineRule="auto"/>
              <w:jc w:val="both"/>
              <w:rPr>
                <w:rFonts w:ascii="Book Antiqua" w:hAnsi="Book Antiqua" w:cs="Book Antiqua"/>
                <w:b/>
                <w:bCs/>
              </w:rPr>
            </w:pPr>
            <w:r>
              <w:rPr>
                <w:rFonts w:hint="eastAsia" w:ascii="Book Antiqua" w:hAnsi="Book Antiqua" w:eastAsia="宋体" w:cs="Book Antiqua"/>
                <w:b/>
                <w:bCs/>
                <w:lang w:eastAsia="zh-CN"/>
              </w:rPr>
              <w:t>G</w:t>
            </w:r>
            <w:r>
              <w:rPr>
                <w:rFonts w:ascii="Book Antiqua" w:hAnsi="Book Antiqua" w:cs="Book Antiqua"/>
                <w:b/>
                <w:bCs/>
              </w:rPr>
              <w:t>eneral complications</w:t>
            </w:r>
          </w:p>
        </w:tc>
        <w:tc>
          <w:tcPr>
            <w:tcW w:w="709" w:type="dxa"/>
            <w:tcBorders>
              <w:top w:val="single" w:color="auto" w:sz="4" w:space="0"/>
              <w:bottom w:val="single" w:color="auto" w:sz="4" w:space="0"/>
            </w:tcBorders>
          </w:tcPr>
          <w:p>
            <w:pPr>
              <w:spacing w:line="360" w:lineRule="auto"/>
              <w:jc w:val="both"/>
              <w:rPr>
                <w:rFonts w:ascii="Book Antiqua" w:hAnsi="Book Antiqua" w:cs="Book Antiqua"/>
                <w:b/>
                <w:bCs/>
              </w:rPr>
            </w:pPr>
            <w:r>
              <w:rPr>
                <w:rFonts w:ascii="Book Antiqua" w:hAnsi="Book Antiqua" w:cs="Book Antiqua"/>
                <w:b/>
                <w:bCs/>
              </w:rPr>
              <w:t>Infection</w:t>
            </w:r>
          </w:p>
        </w:tc>
        <w:tc>
          <w:tcPr>
            <w:tcW w:w="685" w:type="dxa"/>
            <w:tcBorders>
              <w:top w:val="single" w:color="auto" w:sz="4" w:space="0"/>
              <w:bottom w:val="single" w:color="auto" w:sz="4" w:space="0"/>
            </w:tcBorders>
          </w:tcPr>
          <w:p>
            <w:pPr>
              <w:spacing w:line="360" w:lineRule="auto"/>
              <w:jc w:val="both"/>
              <w:rPr>
                <w:rFonts w:ascii="Book Antiqua" w:hAnsi="Book Antiqua" w:cs="Book Antiqua"/>
                <w:b/>
                <w:bCs/>
              </w:rPr>
            </w:pPr>
            <w:r>
              <w:rPr>
                <w:rFonts w:hint="eastAsia" w:ascii="Book Antiqua" w:hAnsi="Book Antiqua" w:eastAsia="宋体" w:cs="Book Antiqua"/>
                <w:b/>
                <w:bCs/>
                <w:lang w:eastAsia="zh-CN"/>
              </w:rPr>
              <w:t>F</w:t>
            </w:r>
            <w:r>
              <w:rPr>
                <w:rFonts w:ascii="Book Antiqua" w:hAnsi="Book Antiqua" w:cs="Book Antiqua"/>
                <w:b/>
                <w:bCs/>
              </w:rPr>
              <w:t>racture</w:t>
            </w:r>
          </w:p>
        </w:tc>
        <w:tc>
          <w:tcPr>
            <w:tcW w:w="1158" w:type="dxa"/>
            <w:tcBorders>
              <w:top w:val="single" w:color="auto" w:sz="4" w:space="0"/>
              <w:bottom w:val="single" w:color="auto" w:sz="4" w:space="0"/>
            </w:tcBorders>
          </w:tcPr>
          <w:p>
            <w:pPr>
              <w:spacing w:line="360" w:lineRule="auto"/>
              <w:jc w:val="both"/>
              <w:rPr>
                <w:rFonts w:ascii="Book Antiqua" w:hAnsi="Book Antiqua" w:cs="Book Antiqua"/>
                <w:b/>
                <w:bCs/>
              </w:rPr>
            </w:pPr>
            <w:r>
              <w:rPr>
                <w:rFonts w:hint="eastAsia" w:ascii="Book Antiqua" w:hAnsi="Book Antiqua" w:eastAsia="宋体" w:cs="Book Antiqua"/>
                <w:b/>
                <w:bCs/>
                <w:lang w:eastAsia="zh-CN"/>
              </w:rPr>
              <w:t>I</w:t>
            </w:r>
            <w:r>
              <w:rPr>
                <w:rFonts w:ascii="Book Antiqua" w:hAnsi="Book Antiqua" w:cs="Book Antiqua"/>
                <w:b/>
                <w:bCs/>
              </w:rPr>
              <w:t>mplant loosening (yes /months)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4" w:hRule="atLeast"/>
        </w:trPr>
        <w:tc>
          <w:tcPr>
            <w:tcW w:w="567" w:type="dxa"/>
            <w:tcBorders>
              <w:top w:val="single" w:color="auto" w:sz="4" w:space="0"/>
              <w:tl2br w:val="nil"/>
              <w:tr2bl w:val="nil"/>
            </w:tcBorders>
            <w:noWrap/>
          </w:tcPr>
          <w:p>
            <w:pPr>
              <w:spacing w:line="360" w:lineRule="auto"/>
              <w:jc w:val="both"/>
              <w:rPr>
                <w:rFonts w:ascii="Book Antiqua" w:hAnsi="Book Antiqua" w:cs="Book Antiqua"/>
              </w:rPr>
            </w:pPr>
            <w:r>
              <w:rPr>
                <w:rFonts w:ascii="Book Antiqua" w:hAnsi="Book Antiqua" w:cs="Book Antiqua"/>
              </w:rPr>
              <w:t>1</w:t>
            </w:r>
          </w:p>
        </w:tc>
        <w:tc>
          <w:tcPr>
            <w:tcW w:w="1135" w:type="dxa"/>
            <w:tcBorders>
              <w:top w:val="single" w:color="auto" w:sz="4" w:space="0"/>
              <w:tl2br w:val="nil"/>
              <w:tr2bl w:val="nil"/>
            </w:tcBorders>
          </w:tcPr>
          <w:p>
            <w:pPr>
              <w:spacing w:line="360" w:lineRule="auto"/>
              <w:jc w:val="both"/>
              <w:rPr>
                <w:rFonts w:ascii="Book Antiqua" w:hAnsi="Book Antiqua" w:cs="Book Antiqua"/>
              </w:rPr>
            </w:pPr>
            <w:r>
              <w:rPr>
                <w:rFonts w:hint="eastAsia" w:ascii="Book Antiqua" w:hAnsi="Book Antiqua" w:cs="Book Antiqua"/>
              </w:rPr>
              <w:t>Sanchis-Alfonso</w:t>
            </w:r>
            <w:r>
              <w:rPr>
                <w:rFonts w:ascii="Book Antiqua" w:hAnsi="Book Antiqua" w:cs="Book Antiqua"/>
              </w:rPr>
              <w:t xml:space="preserve"> </w:t>
            </w:r>
            <w:r>
              <w:rPr>
                <w:rFonts w:ascii="Book Antiqua" w:hAnsi="Book Antiqua" w:cs="Book Antiqua"/>
                <w:i/>
                <w:iCs/>
              </w:rPr>
              <w:t>et al</w:t>
            </w:r>
            <w:r>
              <w:rPr>
                <w:rFonts w:ascii="Book Antiqua" w:hAnsi="Book Antiqua" w:cs="Book Antiqua"/>
                <w:vertAlign w:val="superscript"/>
              </w:rPr>
              <w:t>[</w:t>
            </w:r>
            <w:r>
              <w:rPr>
                <w:rFonts w:ascii="Book Antiqua" w:hAnsi="Book Antiqua" w:eastAsia="宋体" w:cs="Book Antiqua"/>
                <w:vertAlign w:val="superscript"/>
                <w:lang w:eastAsia="zh-CN"/>
              </w:rPr>
              <w:t>5</w:t>
            </w:r>
            <w:r>
              <w:rPr>
                <w:rFonts w:ascii="Book Antiqua" w:hAnsi="Book Antiqua" w:cs="Book Antiqua"/>
                <w:vertAlign w:val="superscript"/>
              </w:rPr>
              <w:t>]</w:t>
            </w:r>
          </w:p>
        </w:tc>
        <w:tc>
          <w:tcPr>
            <w:tcW w:w="709" w:type="dxa"/>
            <w:tcBorders>
              <w:top w:val="single" w:color="auto" w:sz="4" w:space="0"/>
              <w:tl2br w:val="nil"/>
              <w:tr2bl w:val="nil"/>
            </w:tcBorders>
            <w:noWrap/>
          </w:tcPr>
          <w:p>
            <w:pPr>
              <w:spacing w:line="360" w:lineRule="auto"/>
              <w:jc w:val="both"/>
              <w:rPr>
                <w:rFonts w:ascii="Book Antiqua" w:hAnsi="Book Antiqua" w:cs="Book Antiqua"/>
              </w:rPr>
            </w:pPr>
            <w:r>
              <w:rPr>
                <w:rFonts w:ascii="Book Antiqua" w:hAnsi="Book Antiqua" w:cs="Book Antiqua"/>
              </w:rPr>
              <w:t>2007</w:t>
            </w:r>
          </w:p>
        </w:tc>
        <w:tc>
          <w:tcPr>
            <w:tcW w:w="1050" w:type="dxa"/>
            <w:tcBorders>
              <w:top w:val="single" w:color="auto" w:sz="4" w:space="0"/>
              <w:tl2br w:val="nil"/>
              <w:tr2bl w:val="nil"/>
            </w:tcBorders>
          </w:tcPr>
          <w:p>
            <w:pPr>
              <w:spacing w:line="360" w:lineRule="auto"/>
              <w:jc w:val="both"/>
              <w:rPr>
                <w:rFonts w:ascii="Book Antiqua" w:hAnsi="Book Antiqua" w:cs="Book Antiqua"/>
                <w:i/>
                <w:lang w:val="en-GB"/>
              </w:rPr>
            </w:pPr>
            <w:r>
              <w:rPr>
                <w:rFonts w:ascii="Book Antiqua" w:hAnsi="Book Antiqua" w:cs="Book Antiqua"/>
                <w:i/>
                <w:lang w:val="en-GB"/>
              </w:rPr>
              <w:t>KSSTA</w:t>
            </w:r>
          </w:p>
        </w:tc>
        <w:tc>
          <w:tcPr>
            <w:tcW w:w="787" w:type="dxa"/>
            <w:tcBorders>
              <w:top w:val="single" w:color="auto" w:sz="4" w:space="0"/>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C</w:t>
            </w:r>
            <w:r>
              <w:rPr>
                <w:rFonts w:ascii="Book Antiqua" w:hAnsi="Book Antiqua" w:cs="Book Antiqua"/>
              </w:rPr>
              <w:t>ase report</w:t>
            </w:r>
          </w:p>
        </w:tc>
        <w:tc>
          <w:tcPr>
            <w:tcW w:w="920" w:type="dxa"/>
            <w:tcBorders>
              <w:top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1</w:t>
            </w:r>
          </w:p>
        </w:tc>
        <w:tc>
          <w:tcPr>
            <w:tcW w:w="666" w:type="dxa"/>
            <w:tcBorders>
              <w:top w:val="single" w:color="auto" w:sz="4" w:space="0"/>
              <w:tl2br w:val="nil"/>
              <w:tr2bl w:val="nil"/>
            </w:tcBorders>
            <w:noWrap/>
          </w:tcPr>
          <w:p>
            <w:pPr>
              <w:spacing w:line="360" w:lineRule="auto"/>
              <w:jc w:val="both"/>
              <w:rPr>
                <w:rFonts w:ascii="Book Antiqua" w:hAnsi="Book Antiqua" w:cs="Book Antiqua"/>
              </w:rPr>
            </w:pPr>
            <w:r>
              <w:rPr>
                <w:rFonts w:ascii="Book Antiqua" w:hAnsi="Book Antiqua" w:cs="Book Antiqua"/>
              </w:rPr>
              <w:t>M</w:t>
            </w:r>
          </w:p>
        </w:tc>
        <w:tc>
          <w:tcPr>
            <w:tcW w:w="546" w:type="dxa"/>
            <w:tcBorders>
              <w:top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54</w:t>
            </w:r>
          </w:p>
        </w:tc>
        <w:tc>
          <w:tcPr>
            <w:tcW w:w="708" w:type="dxa"/>
            <w:tcBorders>
              <w:top w:val="single" w:color="auto" w:sz="4" w:space="0"/>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F</w:t>
            </w:r>
            <w:r>
              <w:rPr>
                <w:rFonts w:ascii="Book Antiqua" w:hAnsi="Book Antiqua" w:cs="Book Antiqua"/>
              </w:rPr>
              <w:t xml:space="preserve">ixed bearing </w:t>
            </w:r>
          </w:p>
        </w:tc>
        <w:tc>
          <w:tcPr>
            <w:tcW w:w="1843" w:type="dxa"/>
            <w:tcBorders>
              <w:top w:val="single" w:color="auto" w:sz="4" w:space="0"/>
              <w:tl2br w:val="nil"/>
              <w:tr2bl w:val="nil"/>
            </w:tcBorders>
          </w:tcPr>
          <w:p>
            <w:pPr>
              <w:spacing w:line="360" w:lineRule="auto"/>
              <w:jc w:val="both"/>
              <w:rPr>
                <w:rFonts w:ascii="Book Antiqua" w:hAnsi="Book Antiqua" w:cs="Book Antiqua"/>
              </w:rPr>
            </w:pPr>
          </w:p>
        </w:tc>
        <w:tc>
          <w:tcPr>
            <w:tcW w:w="709" w:type="dxa"/>
            <w:tcBorders>
              <w:top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134" w:type="dxa"/>
            <w:tcBorders>
              <w:top w:val="single" w:color="auto" w:sz="4" w:space="0"/>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R</w:t>
            </w:r>
            <w:r>
              <w:rPr>
                <w:rFonts w:ascii="Book Antiqua" w:hAnsi="Book Antiqua" w:cs="Book Antiqua"/>
              </w:rPr>
              <w:t xml:space="preserve">evision with TKA </w:t>
            </w:r>
          </w:p>
        </w:tc>
        <w:tc>
          <w:tcPr>
            <w:tcW w:w="850" w:type="dxa"/>
            <w:tcBorders>
              <w:top w:val="single" w:color="auto" w:sz="4" w:space="0"/>
              <w:tl2br w:val="nil"/>
              <w:tr2bl w:val="nil"/>
            </w:tcBorders>
            <w:noWrap/>
          </w:tcPr>
          <w:p>
            <w:pPr>
              <w:spacing w:line="360" w:lineRule="auto"/>
              <w:jc w:val="both"/>
              <w:rPr>
                <w:rFonts w:ascii="Book Antiqua" w:hAnsi="Book Antiqua" w:cs="Book Antiqua"/>
              </w:rPr>
            </w:pPr>
          </w:p>
        </w:tc>
        <w:tc>
          <w:tcPr>
            <w:tcW w:w="709" w:type="dxa"/>
            <w:tcBorders>
              <w:top w:val="single" w:color="auto" w:sz="4" w:space="0"/>
              <w:tl2br w:val="nil"/>
              <w:tr2bl w:val="nil"/>
            </w:tcBorders>
            <w:noWrap/>
          </w:tcPr>
          <w:p>
            <w:pPr>
              <w:spacing w:line="360" w:lineRule="auto"/>
              <w:jc w:val="both"/>
              <w:rPr>
                <w:rFonts w:ascii="Book Antiqua" w:hAnsi="Book Antiqua" w:cs="Book Antiqua"/>
              </w:rPr>
            </w:pPr>
          </w:p>
        </w:tc>
        <w:tc>
          <w:tcPr>
            <w:tcW w:w="1276" w:type="dxa"/>
            <w:tcBorders>
              <w:top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992" w:type="dxa"/>
            <w:tcBorders>
              <w:top w:val="single" w:color="auto" w:sz="4" w:space="0"/>
              <w:tl2br w:val="nil"/>
              <w:tr2bl w:val="nil"/>
            </w:tcBorders>
            <w:noWrap/>
          </w:tcPr>
          <w:p>
            <w:pPr>
              <w:spacing w:line="360" w:lineRule="auto"/>
              <w:jc w:val="both"/>
              <w:rPr>
                <w:rFonts w:ascii="Book Antiqua" w:hAnsi="Book Antiqua" w:cs="Book Antiqua"/>
              </w:rPr>
            </w:pPr>
          </w:p>
        </w:tc>
        <w:tc>
          <w:tcPr>
            <w:tcW w:w="851" w:type="dxa"/>
            <w:tcBorders>
              <w:top w:val="single" w:color="auto" w:sz="4" w:space="0"/>
              <w:tl2br w:val="nil"/>
              <w:tr2bl w:val="nil"/>
            </w:tcBorders>
            <w:noWrap/>
          </w:tcPr>
          <w:p>
            <w:pPr>
              <w:spacing w:line="360" w:lineRule="auto"/>
              <w:jc w:val="both"/>
              <w:rPr>
                <w:rFonts w:ascii="Book Antiqua" w:hAnsi="Book Antiqua" w:cs="Book Antiqua"/>
              </w:rPr>
            </w:pPr>
          </w:p>
        </w:tc>
        <w:tc>
          <w:tcPr>
            <w:tcW w:w="708" w:type="dxa"/>
            <w:tcBorders>
              <w:top w:val="single" w:color="auto" w:sz="4" w:space="0"/>
              <w:tl2br w:val="nil"/>
              <w:tr2bl w:val="nil"/>
            </w:tcBorders>
            <w:noWrap/>
          </w:tcPr>
          <w:p>
            <w:pPr>
              <w:spacing w:line="360" w:lineRule="auto"/>
              <w:jc w:val="both"/>
              <w:rPr>
                <w:rFonts w:ascii="Book Antiqua" w:hAnsi="Book Antiqua" w:cs="Book Antiqua"/>
              </w:rPr>
            </w:pPr>
          </w:p>
        </w:tc>
        <w:tc>
          <w:tcPr>
            <w:tcW w:w="709" w:type="dxa"/>
            <w:tcBorders>
              <w:top w:val="single" w:color="auto" w:sz="4" w:space="0"/>
              <w:tl2br w:val="nil"/>
              <w:tr2bl w:val="nil"/>
            </w:tcBorders>
            <w:noWrap/>
          </w:tcPr>
          <w:p>
            <w:pPr>
              <w:spacing w:line="360" w:lineRule="auto"/>
              <w:jc w:val="both"/>
              <w:rPr>
                <w:rFonts w:ascii="Book Antiqua" w:hAnsi="Book Antiqua" w:cs="Book Antiqua"/>
              </w:rPr>
            </w:pPr>
          </w:p>
        </w:tc>
        <w:tc>
          <w:tcPr>
            <w:tcW w:w="685" w:type="dxa"/>
            <w:tcBorders>
              <w:top w:val="single" w:color="auto" w:sz="4" w:space="0"/>
              <w:tl2br w:val="nil"/>
              <w:tr2bl w:val="nil"/>
            </w:tcBorders>
            <w:noWrap/>
          </w:tcPr>
          <w:p>
            <w:pPr>
              <w:spacing w:line="360" w:lineRule="auto"/>
              <w:jc w:val="both"/>
              <w:rPr>
                <w:rFonts w:ascii="Book Antiqua" w:hAnsi="Book Antiqua" w:cs="Book Antiqua"/>
              </w:rPr>
            </w:pPr>
          </w:p>
        </w:tc>
        <w:tc>
          <w:tcPr>
            <w:tcW w:w="1158" w:type="dxa"/>
            <w:tcBorders>
              <w:top w:val="single" w:color="auto" w:sz="4" w:space="0"/>
              <w:tl2br w:val="nil"/>
              <w:tr2bl w:val="nil"/>
            </w:tcBorders>
            <w:noWrap/>
          </w:tcPr>
          <w:p>
            <w:pPr>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567" w:type="dxa"/>
            <w:tcBorders>
              <w:tl2br w:val="nil"/>
              <w:tr2bl w:val="nil"/>
            </w:tcBorders>
            <w:noWrap/>
          </w:tcPr>
          <w:p>
            <w:pPr>
              <w:spacing w:line="360" w:lineRule="auto"/>
              <w:jc w:val="both"/>
              <w:rPr>
                <w:rFonts w:ascii="Book Antiqua" w:hAnsi="Book Antiqua" w:cs="Book Antiqua"/>
              </w:rPr>
            </w:pPr>
            <w:r>
              <w:rPr>
                <w:rFonts w:ascii="Book Antiqua" w:hAnsi="Book Antiqua" w:cs="Book Antiqua"/>
              </w:rPr>
              <w:t>2</w:t>
            </w:r>
          </w:p>
        </w:tc>
        <w:tc>
          <w:tcPr>
            <w:tcW w:w="1135" w:type="dxa"/>
            <w:tcBorders>
              <w:tl2br w:val="nil"/>
              <w:tr2bl w:val="nil"/>
            </w:tcBorders>
          </w:tcPr>
          <w:p>
            <w:pPr>
              <w:spacing w:line="360" w:lineRule="auto"/>
              <w:jc w:val="both"/>
              <w:rPr>
                <w:rFonts w:ascii="Book Antiqua" w:hAnsi="Book Antiqua" w:cs="Book Antiqua"/>
              </w:rPr>
            </w:pPr>
            <w:r>
              <w:rPr>
                <w:rFonts w:ascii="Book Antiqua" w:hAnsi="Book Antiqua" w:cs="Book Antiqua"/>
              </w:rPr>
              <w:t xml:space="preserve">Apostolopoulos </w:t>
            </w:r>
            <w:r>
              <w:rPr>
                <w:rFonts w:ascii="Book Antiqua" w:hAnsi="Book Antiqua" w:cs="Book Antiqua"/>
                <w:i/>
                <w:iCs/>
              </w:rPr>
              <w:t>et al</w:t>
            </w:r>
            <w:r>
              <w:rPr>
                <w:rFonts w:ascii="Book Antiqua" w:hAnsi="Book Antiqua" w:cs="Book Antiqua"/>
                <w:vertAlign w:val="superscript"/>
              </w:rPr>
              <w:t>[</w:t>
            </w:r>
            <w:r>
              <w:rPr>
                <w:rFonts w:hint="eastAsia" w:ascii="Book Antiqua" w:hAnsi="Book Antiqua" w:eastAsia="宋体" w:cs="Book Antiqua"/>
                <w:vertAlign w:val="superscript"/>
                <w:lang w:eastAsia="zh-CN"/>
              </w:rPr>
              <w:t>6</w:t>
            </w:r>
            <w:r>
              <w:rPr>
                <w:rFonts w:ascii="Book Antiqua" w:hAnsi="Book Antiqua" w:cs="Book Antiqua"/>
                <w:vertAlign w:val="superscript"/>
              </w:rPr>
              <w:t>]</w:t>
            </w:r>
          </w:p>
        </w:tc>
        <w:tc>
          <w:tcPr>
            <w:tcW w:w="709" w:type="dxa"/>
            <w:tcBorders>
              <w:tl2br w:val="nil"/>
              <w:tr2bl w:val="nil"/>
            </w:tcBorders>
            <w:noWrap/>
          </w:tcPr>
          <w:p>
            <w:pPr>
              <w:spacing w:line="360" w:lineRule="auto"/>
              <w:jc w:val="both"/>
              <w:rPr>
                <w:rFonts w:ascii="Book Antiqua" w:hAnsi="Book Antiqua" w:cs="Book Antiqua"/>
              </w:rPr>
            </w:pPr>
            <w:r>
              <w:rPr>
                <w:rFonts w:ascii="Book Antiqua" w:hAnsi="Book Antiqua" w:cs="Book Antiqua"/>
              </w:rPr>
              <w:t>2014</w:t>
            </w:r>
          </w:p>
        </w:tc>
        <w:tc>
          <w:tcPr>
            <w:tcW w:w="1050" w:type="dxa"/>
            <w:tcBorders>
              <w:tl2br w:val="nil"/>
              <w:tr2bl w:val="nil"/>
            </w:tcBorders>
          </w:tcPr>
          <w:p>
            <w:pPr>
              <w:spacing w:line="360" w:lineRule="auto"/>
              <w:jc w:val="both"/>
              <w:rPr>
                <w:rFonts w:ascii="Book Antiqua" w:hAnsi="Book Antiqua" w:cs="Book Antiqua"/>
                <w:i/>
                <w:lang w:val="en-GB"/>
              </w:rPr>
            </w:pPr>
            <w:r>
              <w:rPr>
                <w:rFonts w:ascii="Book Antiqua" w:hAnsi="Book Antiqua" w:cs="Book Antiqua"/>
                <w:i/>
                <w:lang w:val="en-GB"/>
              </w:rPr>
              <w:t>J Long Term Eff Med Implants</w:t>
            </w:r>
          </w:p>
        </w:tc>
        <w:tc>
          <w:tcPr>
            <w:tcW w:w="787" w:type="dxa"/>
            <w:tcBorders>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C</w:t>
            </w:r>
            <w:r>
              <w:rPr>
                <w:rFonts w:ascii="Book Antiqua" w:hAnsi="Book Antiqua" w:cs="Book Antiqua"/>
              </w:rPr>
              <w:t>ase report</w:t>
            </w:r>
          </w:p>
        </w:tc>
        <w:tc>
          <w:tcPr>
            <w:tcW w:w="920" w:type="dxa"/>
            <w:tcBorders>
              <w:tl2br w:val="nil"/>
              <w:tr2bl w:val="nil"/>
            </w:tcBorders>
          </w:tcPr>
          <w:p>
            <w:pPr>
              <w:spacing w:line="360" w:lineRule="auto"/>
              <w:jc w:val="both"/>
              <w:rPr>
                <w:rFonts w:ascii="Book Antiqua" w:hAnsi="Book Antiqua" w:cs="Book Antiqua"/>
              </w:rPr>
            </w:pPr>
            <w:r>
              <w:rPr>
                <w:rFonts w:ascii="Book Antiqua" w:hAnsi="Book Antiqua" w:cs="Book Antiqua"/>
              </w:rPr>
              <w:t>1</w:t>
            </w:r>
          </w:p>
        </w:tc>
        <w:tc>
          <w:tcPr>
            <w:tcW w:w="666" w:type="dxa"/>
            <w:tcBorders>
              <w:tl2br w:val="nil"/>
              <w:tr2bl w:val="nil"/>
            </w:tcBorders>
            <w:noWrap/>
          </w:tcPr>
          <w:p>
            <w:pPr>
              <w:spacing w:line="360" w:lineRule="auto"/>
              <w:jc w:val="both"/>
              <w:rPr>
                <w:rFonts w:ascii="Book Antiqua" w:hAnsi="Book Antiqua" w:cs="Book Antiqua"/>
              </w:rPr>
            </w:pPr>
            <w:r>
              <w:rPr>
                <w:rFonts w:ascii="Book Antiqua" w:hAnsi="Book Antiqua" w:cs="Book Antiqua"/>
              </w:rPr>
              <w:t>M</w:t>
            </w:r>
          </w:p>
        </w:tc>
        <w:tc>
          <w:tcPr>
            <w:tcW w:w="546" w:type="dxa"/>
            <w:tcBorders>
              <w:tl2br w:val="nil"/>
              <w:tr2bl w:val="nil"/>
            </w:tcBorders>
          </w:tcPr>
          <w:p>
            <w:pPr>
              <w:spacing w:line="360" w:lineRule="auto"/>
              <w:jc w:val="both"/>
              <w:rPr>
                <w:rFonts w:ascii="Book Antiqua" w:hAnsi="Book Antiqua" w:cs="Book Antiqua"/>
              </w:rPr>
            </w:pPr>
            <w:r>
              <w:rPr>
                <w:rFonts w:ascii="Book Antiqua" w:hAnsi="Book Antiqua" w:cs="Book Antiqua"/>
              </w:rPr>
              <w:t>67</w:t>
            </w:r>
          </w:p>
        </w:tc>
        <w:tc>
          <w:tcPr>
            <w:tcW w:w="708" w:type="dxa"/>
            <w:tcBorders>
              <w:tl2br w:val="nil"/>
              <w:tr2bl w:val="nil"/>
            </w:tcBorders>
          </w:tcPr>
          <w:p>
            <w:pPr>
              <w:spacing w:line="360" w:lineRule="auto"/>
              <w:jc w:val="both"/>
              <w:rPr>
                <w:rFonts w:ascii="Book Antiqua" w:hAnsi="Book Antiqua" w:cs="Book Antiqua"/>
              </w:rPr>
            </w:pPr>
            <w:r>
              <w:rPr>
                <w:rFonts w:ascii="Book Antiqua" w:hAnsi="Book Antiqua" w:cs="Book Antiqua"/>
              </w:rPr>
              <w:t>Mobile bearing</w:t>
            </w:r>
          </w:p>
        </w:tc>
        <w:tc>
          <w:tcPr>
            <w:tcW w:w="1843" w:type="dxa"/>
            <w:tcBorders>
              <w:tl2br w:val="nil"/>
              <w:tr2bl w:val="nil"/>
            </w:tcBorders>
          </w:tcPr>
          <w:p>
            <w:pPr>
              <w:spacing w:line="360" w:lineRule="auto"/>
              <w:jc w:val="both"/>
              <w:rPr>
                <w:rFonts w:ascii="Book Antiqua" w:hAnsi="Book Antiqua" w:cs="Book Antiqua"/>
              </w:rPr>
            </w:pPr>
            <w:r>
              <w:rPr>
                <w:rFonts w:ascii="Book Antiqua" w:hAnsi="Book Antiqua" w:cs="Book Antiqua"/>
              </w:rPr>
              <w:t>54</w:t>
            </w:r>
          </w:p>
        </w:tc>
        <w:tc>
          <w:tcPr>
            <w:tcW w:w="709" w:type="dxa"/>
            <w:tcBorders>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134" w:type="dxa"/>
            <w:tcBorders>
              <w:tl2br w:val="nil"/>
              <w:tr2bl w:val="nil"/>
            </w:tcBorders>
          </w:tcPr>
          <w:p>
            <w:pPr>
              <w:spacing w:line="360" w:lineRule="auto"/>
              <w:jc w:val="both"/>
              <w:rPr>
                <w:rFonts w:ascii="Book Antiqua" w:hAnsi="Book Antiqua" w:cs="Book Antiqua"/>
              </w:rPr>
            </w:pPr>
          </w:p>
        </w:tc>
        <w:tc>
          <w:tcPr>
            <w:tcW w:w="850" w:type="dxa"/>
            <w:tcBorders>
              <w:tl2br w:val="nil"/>
              <w:tr2bl w:val="nil"/>
            </w:tcBorders>
            <w:noWrap/>
          </w:tcPr>
          <w:p>
            <w:pPr>
              <w:spacing w:line="360" w:lineRule="auto"/>
              <w:jc w:val="both"/>
              <w:rPr>
                <w:rFonts w:ascii="Book Antiqua" w:hAnsi="Book Antiqua" w:cs="Book Antiqua"/>
              </w:rPr>
            </w:pPr>
          </w:p>
        </w:tc>
        <w:tc>
          <w:tcPr>
            <w:tcW w:w="709" w:type="dxa"/>
            <w:tcBorders>
              <w:tl2br w:val="nil"/>
              <w:tr2bl w:val="nil"/>
            </w:tcBorders>
            <w:noWrap/>
          </w:tcPr>
          <w:p>
            <w:pPr>
              <w:spacing w:line="360" w:lineRule="auto"/>
              <w:jc w:val="both"/>
              <w:rPr>
                <w:rFonts w:ascii="Book Antiqua" w:hAnsi="Book Antiqua" w:cs="Book Antiqua"/>
              </w:rPr>
            </w:pPr>
          </w:p>
        </w:tc>
        <w:tc>
          <w:tcPr>
            <w:tcW w:w="1276" w:type="dxa"/>
            <w:tcBorders>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992" w:type="dxa"/>
            <w:tcBorders>
              <w:tl2br w:val="nil"/>
              <w:tr2bl w:val="nil"/>
            </w:tcBorders>
            <w:noWrap/>
          </w:tcPr>
          <w:p>
            <w:pPr>
              <w:spacing w:line="360" w:lineRule="auto"/>
              <w:jc w:val="both"/>
              <w:rPr>
                <w:rFonts w:ascii="Book Antiqua" w:hAnsi="Book Antiqua" w:cs="Book Antiqua"/>
              </w:rPr>
            </w:pPr>
          </w:p>
        </w:tc>
        <w:tc>
          <w:tcPr>
            <w:tcW w:w="851" w:type="dxa"/>
            <w:tcBorders>
              <w:tl2br w:val="nil"/>
              <w:tr2bl w:val="nil"/>
            </w:tcBorders>
            <w:noWrap/>
          </w:tcPr>
          <w:p>
            <w:pPr>
              <w:spacing w:line="360" w:lineRule="auto"/>
              <w:jc w:val="both"/>
              <w:rPr>
                <w:rFonts w:ascii="Book Antiqua" w:hAnsi="Book Antiqua" w:cs="Book Antiqua"/>
              </w:rPr>
            </w:pPr>
          </w:p>
        </w:tc>
        <w:tc>
          <w:tcPr>
            <w:tcW w:w="708" w:type="dxa"/>
            <w:tcBorders>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N</w:t>
            </w:r>
            <w:r>
              <w:rPr>
                <w:rFonts w:ascii="Book Antiqua" w:hAnsi="Book Antiqua" w:cs="Book Antiqua"/>
              </w:rPr>
              <w:t>one</w:t>
            </w:r>
          </w:p>
        </w:tc>
        <w:tc>
          <w:tcPr>
            <w:tcW w:w="709" w:type="dxa"/>
            <w:tcBorders>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685" w:type="dxa"/>
            <w:tcBorders>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1158" w:type="dxa"/>
            <w:tcBorders>
              <w:tl2br w:val="nil"/>
              <w:tr2bl w:val="nil"/>
            </w:tcBorders>
          </w:tcPr>
          <w:p>
            <w:pPr>
              <w:spacing w:line="360" w:lineRule="auto"/>
              <w:jc w:val="both"/>
              <w:rPr>
                <w:rFonts w:ascii="Book Antiqua" w:hAnsi="Book Antiqua" w:cs="Book Antiqua"/>
              </w:rPr>
            </w:pPr>
            <w:r>
              <w:rPr>
                <w:rFonts w:ascii="Book Antiqua" w:hAnsi="Book Antiqua" w:cs="Book Antiqua"/>
              </w:rPr>
              <w:t>Y</w:t>
            </w:r>
            <w:r>
              <w:rPr>
                <w:rFonts w:hint="eastAsia" w:ascii="Book Antiqua" w:hAnsi="Book Antiqua" w:eastAsia="宋体" w:cs="Book Antiqua"/>
                <w:lang w:eastAsia="zh-CN"/>
              </w:rPr>
              <w:t>es</w:t>
            </w:r>
            <w:r>
              <w:rPr>
                <w:rFonts w:ascii="Book Antiqua" w:hAnsi="Book Antiqua" w:cs="Book Antiqua"/>
              </w:rPr>
              <w:t xml:space="preserve"> /54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567"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3</w:t>
            </w:r>
          </w:p>
        </w:tc>
        <w:tc>
          <w:tcPr>
            <w:tcW w:w="1135"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Vecchini </w:t>
            </w:r>
            <w:r>
              <w:rPr>
                <w:rFonts w:ascii="Book Antiqua" w:hAnsi="Book Antiqua" w:cs="Book Antiqua"/>
                <w:i/>
                <w:iCs/>
              </w:rPr>
              <w:t>et al</w:t>
            </w:r>
            <w:r>
              <w:rPr>
                <w:rFonts w:ascii="Book Antiqua" w:hAnsi="Book Antiqua" w:cs="Book Antiqua"/>
                <w:vertAlign w:val="superscript"/>
              </w:rPr>
              <w:t>[</w:t>
            </w:r>
            <w:r>
              <w:rPr>
                <w:rFonts w:hint="eastAsia" w:ascii="Book Antiqua" w:hAnsi="Book Antiqua" w:eastAsia="宋体" w:cs="Book Antiqua"/>
                <w:vertAlign w:val="superscript"/>
                <w:lang w:eastAsia="zh-CN"/>
              </w:rPr>
              <w:t>10</w:t>
            </w:r>
            <w:r>
              <w:rPr>
                <w:rFonts w:ascii="Book Antiqua" w:hAnsi="Book Antiqua" w:cs="Book Antiqua"/>
                <w:vertAlign w:val="superscript"/>
              </w:rPr>
              <w:t>]</w:t>
            </w:r>
          </w:p>
        </w:tc>
        <w:tc>
          <w:tcPr>
            <w:tcW w:w="709"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2019</w:t>
            </w:r>
          </w:p>
        </w:tc>
        <w:tc>
          <w:tcPr>
            <w:tcW w:w="1050" w:type="dxa"/>
            <w:tcBorders>
              <w:bottom w:val="nil"/>
              <w:tl2br w:val="nil"/>
              <w:tr2bl w:val="nil"/>
            </w:tcBorders>
          </w:tcPr>
          <w:p>
            <w:pPr>
              <w:spacing w:line="360" w:lineRule="auto"/>
              <w:jc w:val="both"/>
              <w:rPr>
                <w:rFonts w:ascii="Book Antiqua" w:hAnsi="Book Antiqua" w:cs="Book Antiqua"/>
                <w:i/>
              </w:rPr>
            </w:pPr>
            <w:r>
              <w:rPr>
                <w:rFonts w:ascii="Book Antiqua" w:hAnsi="Book Antiqua" w:cs="Book Antiqua"/>
                <w:i/>
              </w:rPr>
              <w:t>Acta Biomed</w:t>
            </w:r>
          </w:p>
        </w:tc>
        <w:tc>
          <w:tcPr>
            <w:tcW w:w="787" w:type="dxa"/>
            <w:tcBorders>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C</w:t>
            </w:r>
            <w:r>
              <w:rPr>
                <w:rFonts w:ascii="Book Antiqua" w:hAnsi="Book Antiqua" w:cs="Book Antiqua"/>
              </w:rPr>
              <w:t>ase report</w:t>
            </w:r>
          </w:p>
        </w:tc>
        <w:tc>
          <w:tcPr>
            <w:tcW w:w="920"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1</w:t>
            </w:r>
          </w:p>
        </w:tc>
        <w:tc>
          <w:tcPr>
            <w:tcW w:w="666"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M</w:t>
            </w:r>
          </w:p>
        </w:tc>
        <w:tc>
          <w:tcPr>
            <w:tcW w:w="546"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71</w:t>
            </w:r>
          </w:p>
        </w:tc>
        <w:tc>
          <w:tcPr>
            <w:tcW w:w="708"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843" w:type="dxa"/>
            <w:tcBorders>
              <w:bottom w:val="nil"/>
              <w:tl2br w:val="nil"/>
              <w:tr2bl w:val="nil"/>
            </w:tcBorders>
          </w:tcPr>
          <w:p>
            <w:pPr>
              <w:spacing w:line="360" w:lineRule="auto"/>
              <w:jc w:val="both"/>
              <w:rPr>
                <w:rFonts w:ascii="Book Antiqua" w:hAnsi="Book Antiqua" w:cs="Book Antiqua"/>
              </w:rPr>
            </w:pPr>
          </w:p>
        </w:tc>
        <w:tc>
          <w:tcPr>
            <w:tcW w:w="709"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134" w:type="dxa"/>
            <w:tcBorders>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R</w:t>
            </w:r>
            <w:r>
              <w:rPr>
                <w:rFonts w:ascii="Book Antiqua" w:hAnsi="Book Antiqua" w:cs="Book Antiqua"/>
              </w:rPr>
              <w:t xml:space="preserve">evision with TKA </w:t>
            </w:r>
          </w:p>
        </w:tc>
        <w:tc>
          <w:tcPr>
            <w:tcW w:w="850" w:type="dxa"/>
            <w:tcBorders>
              <w:bottom w:val="nil"/>
              <w:tl2br w:val="nil"/>
              <w:tr2bl w:val="nil"/>
            </w:tcBorders>
          </w:tcPr>
          <w:p>
            <w:pPr>
              <w:spacing w:line="360" w:lineRule="auto"/>
              <w:jc w:val="both"/>
              <w:rPr>
                <w:rFonts w:ascii="Book Antiqua" w:hAnsi="Book Antiqua" w:cs="Book Antiqua"/>
              </w:rPr>
            </w:pPr>
          </w:p>
        </w:tc>
        <w:tc>
          <w:tcPr>
            <w:tcW w:w="709"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10-110</w:t>
            </w:r>
          </w:p>
        </w:tc>
        <w:tc>
          <w:tcPr>
            <w:tcW w:w="1276"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NA</w:t>
            </w:r>
          </w:p>
        </w:tc>
        <w:tc>
          <w:tcPr>
            <w:tcW w:w="992" w:type="dxa"/>
            <w:tcBorders>
              <w:bottom w:val="nil"/>
              <w:tl2br w:val="nil"/>
              <w:tr2bl w:val="nil"/>
            </w:tcBorders>
            <w:noWrap/>
          </w:tcPr>
          <w:p>
            <w:pPr>
              <w:spacing w:line="360" w:lineRule="auto"/>
              <w:jc w:val="both"/>
              <w:rPr>
                <w:rFonts w:ascii="Book Antiqua" w:hAnsi="Book Antiqua" w:cs="Book Antiqua"/>
              </w:rPr>
            </w:pPr>
          </w:p>
        </w:tc>
        <w:tc>
          <w:tcPr>
            <w:tcW w:w="851"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0-130</w:t>
            </w:r>
          </w:p>
        </w:tc>
        <w:tc>
          <w:tcPr>
            <w:tcW w:w="708" w:type="dxa"/>
            <w:tcBorders>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N</w:t>
            </w:r>
            <w:r>
              <w:rPr>
                <w:rFonts w:ascii="Book Antiqua" w:hAnsi="Book Antiqua" w:cs="Book Antiqua"/>
              </w:rPr>
              <w:t>one</w:t>
            </w:r>
          </w:p>
        </w:tc>
        <w:tc>
          <w:tcPr>
            <w:tcW w:w="709"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685"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1158" w:type="dxa"/>
            <w:tcBorders>
              <w:bottom w:val="nil"/>
              <w:tl2br w:val="nil"/>
              <w:tr2bl w:val="nil"/>
            </w:tcBorders>
            <w:noWrap/>
          </w:tcPr>
          <w:p>
            <w:pPr>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567" w:type="dxa"/>
            <w:tcBorders>
              <w:top w:val="nil"/>
              <w:bottom w:val="nil"/>
              <w:tl2br w:val="nil"/>
              <w:tr2bl w:val="nil"/>
            </w:tcBorders>
            <w:noWrap/>
          </w:tcPr>
          <w:p>
            <w:pPr>
              <w:spacing w:line="360" w:lineRule="auto"/>
              <w:jc w:val="both"/>
              <w:rPr>
                <w:rFonts w:ascii="Book Antiqua" w:hAnsi="Book Antiqua" w:cs="Book Antiqua"/>
              </w:rPr>
            </w:pPr>
            <w:r>
              <w:rPr>
                <w:rFonts w:ascii="Book Antiqua" w:hAnsi="Book Antiqua" w:cs="Book Antiqua"/>
              </w:rPr>
              <w:t>4</w:t>
            </w:r>
          </w:p>
        </w:tc>
        <w:tc>
          <w:tcPr>
            <w:tcW w:w="1135"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Greco</w:t>
            </w:r>
            <w:r>
              <w:rPr>
                <w:rFonts w:hint="eastAsia" w:ascii="Book Antiqua" w:hAnsi="Book Antiqua" w:cs="Book Antiqua" w:eastAsiaTheme="minorEastAsia"/>
                <w:lang w:eastAsia="zh-CN"/>
              </w:rPr>
              <w:t xml:space="preserve"> </w:t>
            </w:r>
            <w:r>
              <w:rPr>
                <w:rFonts w:ascii="Book Antiqua" w:hAnsi="Book Antiqua" w:cs="Book Antiqua"/>
                <w:i/>
                <w:iCs/>
              </w:rPr>
              <w:t>et al</w:t>
            </w:r>
            <w:r>
              <w:rPr>
                <w:rFonts w:ascii="Book Antiqua" w:hAnsi="Book Antiqua" w:cs="Book Antiqua"/>
                <w:vertAlign w:val="superscript"/>
              </w:rPr>
              <w:t>[</w:t>
            </w:r>
            <w:r>
              <w:rPr>
                <w:rFonts w:hint="eastAsia" w:ascii="Book Antiqua" w:hAnsi="Book Antiqua" w:eastAsia="宋体" w:cs="Book Antiqua"/>
                <w:vertAlign w:val="superscript"/>
                <w:lang w:eastAsia="zh-CN"/>
              </w:rPr>
              <w:t>11</w:t>
            </w:r>
            <w:r>
              <w:rPr>
                <w:rFonts w:ascii="Book Antiqua" w:hAnsi="Book Antiqua" w:cs="Book Antiqua"/>
                <w:vertAlign w:val="superscript"/>
              </w:rPr>
              <w:t>]</w:t>
            </w:r>
          </w:p>
        </w:tc>
        <w:tc>
          <w:tcPr>
            <w:tcW w:w="709" w:type="dxa"/>
            <w:tcBorders>
              <w:top w:val="nil"/>
              <w:bottom w:val="nil"/>
              <w:tl2br w:val="nil"/>
              <w:tr2bl w:val="nil"/>
            </w:tcBorders>
            <w:noWrap/>
          </w:tcPr>
          <w:p>
            <w:pPr>
              <w:spacing w:line="360" w:lineRule="auto"/>
              <w:jc w:val="both"/>
              <w:rPr>
                <w:rFonts w:ascii="Book Antiqua" w:hAnsi="Book Antiqua" w:cs="Book Antiqua"/>
              </w:rPr>
            </w:pPr>
            <w:r>
              <w:rPr>
                <w:rFonts w:ascii="Book Antiqua" w:hAnsi="Book Antiqua" w:cs="Book Antiqua"/>
              </w:rPr>
              <w:t>2018</w:t>
            </w:r>
          </w:p>
        </w:tc>
        <w:tc>
          <w:tcPr>
            <w:tcW w:w="1050" w:type="dxa"/>
            <w:tcBorders>
              <w:top w:val="nil"/>
              <w:bottom w:val="nil"/>
              <w:tl2br w:val="nil"/>
              <w:tr2bl w:val="nil"/>
            </w:tcBorders>
          </w:tcPr>
          <w:p>
            <w:pPr>
              <w:spacing w:line="360" w:lineRule="auto"/>
              <w:jc w:val="both"/>
              <w:rPr>
                <w:rFonts w:ascii="Book Antiqua" w:hAnsi="Book Antiqua" w:cs="Book Antiqua"/>
                <w:i/>
              </w:rPr>
            </w:pPr>
            <w:r>
              <w:rPr>
                <w:rFonts w:hint="eastAsia" w:ascii="Book Antiqua" w:hAnsi="Book Antiqua" w:eastAsia="宋体" w:cs="Book Antiqua"/>
                <w:i/>
                <w:lang w:eastAsia="zh-CN"/>
              </w:rPr>
              <w:t>T</w:t>
            </w:r>
            <w:r>
              <w:rPr>
                <w:rFonts w:ascii="Book Antiqua" w:hAnsi="Book Antiqua" w:cs="Book Antiqua"/>
                <w:i/>
              </w:rPr>
              <w:t>he knee</w:t>
            </w:r>
          </w:p>
        </w:tc>
        <w:tc>
          <w:tcPr>
            <w:tcW w:w="787" w:type="dxa"/>
            <w:tcBorders>
              <w:top w:val="nil"/>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C</w:t>
            </w:r>
            <w:r>
              <w:rPr>
                <w:rFonts w:ascii="Book Antiqua" w:hAnsi="Book Antiqua" w:cs="Book Antiqua"/>
              </w:rPr>
              <w:t>ase report</w:t>
            </w:r>
          </w:p>
        </w:tc>
        <w:tc>
          <w:tcPr>
            <w:tcW w:w="920"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1</w:t>
            </w:r>
          </w:p>
        </w:tc>
        <w:tc>
          <w:tcPr>
            <w:tcW w:w="666" w:type="dxa"/>
            <w:tcBorders>
              <w:top w:val="nil"/>
              <w:bottom w:val="nil"/>
              <w:tl2br w:val="nil"/>
              <w:tr2bl w:val="nil"/>
            </w:tcBorders>
            <w:noWrap/>
          </w:tcPr>
          <w:p>
            <w:pPr>
              <w:spacing w:line="360" w:lineRule="auto"/>
              <w:jc w:val="both"/>
              <w:rPr>
                <w:rFonts w:ascii="Book Antiqua" w:hAnsi="Book Antiqua" w:cs="Book Antiqua"/>
              </w:rPr>
            </w:pPr>
            <w:r>
              <w:rPr>
                <w:rFonts w:ascii="Book Antiqua" w:hAnsi="Book Antiqua" w:cs="Book Antiqua"/>
              </w:rPr>
              <w:t>M</w:t>
            </w:r>
          </w:p>
        </w:tc>
        <w:tc>
          <w:tcPr>
            <w:tcW w:w="546"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72</w:t>
            </w:r>
          </w:p>
        </w:tc>
        <w:tc>
          <w:tcPr>
            <w:tcW w:w="708" w:type="dxa"/>
            <w:tcBorders>
              <w:top w:val="nil"/>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F</w:t>
            </w:r>
            <w:r>
              <w:rPr>
                <w:rFonts w:ascii="Book Antiqua" w:hAnsi="Book Antiqua" w:cs="Book Antiqua"/>
              </w:rPr>
              <w:t xml:space="preserve">ixed bearing </w:t>
            </w:r>
          </w:p>
        </w:tc>
        <w:tc>
          <w:tcPr>
            <w:tcW w:w="1843" w:type="dxa"/>
            <w:tcBorders>
              <w:top w:val="nil"/>
              <w:bottom w:val="nil"/>
              <w:tl2br w:val="nil"/>
              <w:tr2bl w:val="nil"/>
            </w:tcBorders>
          </w:tcPr>
          <w:p>
            <w:pPr>
              <w:spacing w:line="360" w:lineRule="auto"/>
              <w:jc w:val="both"/>
              <w:rPr>
                <w:rFonts w:ascii="Book Antiqua" w:hAnsi="Book Antiqua" w:cs="Book Antiqua"/>
              </w:rPr>
            </w:pPr>
          </w:p>
        </w:tc>
        <w:tc>
          <w:tcPr>
            <w:tcW w:w="709"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134" w:type="dxa"/>
            <w:tcBorders>
              <w:top w:val="nil"/>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R</w:t>
            </w:r>
            <w:r>
              <w:rPr>
                <w:rFonts w:ascii="Book Antiqua" w:hAnsi="Book Antiqua" w:cs="Book Antiqua"/>
              </w:rPr>
              <w:t xml:space="preserve">evision with TKA </w:t>
            </w:r>
          </w:p>
        </w:tc>
        <w:tc>
          <w:tcPr>
            <w:tcW w:w="850" w:type="dxa"/>
            <w:tcBorders>
              <w:top w:val="nil"/>
              <w:bottom w:val="nil"/>
              <w:tl2br w:val="nil"/>
              <w:tr2bl w:val="nil"/>
            </w:tcBorders>
            <w:noWrap/>
          </w:tcPr>
          <w:p>
            <w:pPr>
              <w:spacing w:line="360" w:lineRule="auto"/>
              <w:jc w:val="both"/>
              <w:rPr>
                <w:rFonts w:ascii="Book Antiqua" w:hAnsi="Book Antiqua" w:cs="Book Antiqua"/>
              </w:rPr>
            </w:pPr>
          </w:p>
        </w:tc>
        <w:tc>
          <w:tcPr>
            <w:tcW w:w="709" w:type="dxa"/>
            <w:tcBorders>
              <w:top w:val="nil"/>
              <w:bottom w:val="nil"/>
              <w:tl2br w:val="nil"/>
              <w:tr2bl w:val="nil"/>
            </w:tcBorders>
            <w:noWrap/>
          </w:tcPr>
          <w:p>
            <w:pPr>
              <w:spacing w:line="360" w:lineRule="auto"/>
              <w:jc w:val="both"/>
              <w:rPr>
                <w:rFonts w:ascii="Book Antiqua" w:hAnsi="Book Antiqua" w:cs="Book Antiqua"/>
              </w:rPr>
            </w:pPr>
          </w:p>
        </w:tc>
        <w:tc>
          <w:tcPr>
            <w:tcW w:w="1276"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NA</w:t>
            </w:r>
          </w:p>
        </w:tc>
        <w:tc>
          <w:tcPr>
            <w:tcW w:w="992" w:type="dxa"/>
            <w:tcBorders>
              <w:top w:val="nil"/>
              <w:bottom w:val="nil"/>
              <w:tl2br w:val="nil"/>
              <w:tr2bl w:val="nil"/>
            </w:tcBorders>
            <w:noWrap/>
          </w:tcPr>
          <w:p>
            <w:pPr>
              <w:spacing w:line="360" w:lineRule="auto"/>
              <w:jc w:val="both"/>
              <w:rPr>
                <w:rFonts w:ascii="Book Antiqua" w:hAnsi="Book Antiqua" w:cs="Book Antiqua"/>
              </w:rPr>
            </w:pPr>
          </w:p>
        </w:tc>
        <w:tc>
          <w:tcPr>
            <w:tcW w:w="851" w:type="dxa"/>
            <w:tcBorders>
              <w:top w:val="nil"/>
              <w:bottom w:val="nil"/>
              <w:tl2br w:val="nil"/>
              <w:tr2bl w:val="nil"/>
            </w:tcBorders>
            <w:noWrap/>
          </w:tcPr>
          <w:p>
            <w:pPr>
              <w:spacing w:line="360" w:lineRule="auto"/>
              <w:jc w:val="both"/>
              <w:rPr>
                <w:rFonts w:ascii="Book Antiqua" w:hAnsi="Book Antiqua" w:cs="Book Antiqua"/>
              </w:rPr>
            </w:pPr>
          </w:p>
        </w:tc>
        <w:tc>
          <w:tcPr>
            <w:tcW w:w="708" w:type="dxa"/>
            <w:tcBorders>
              <w:top w:val="nil"/>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N</w:t>
            </w:r>
            <w:r>
              <w:rPr>
                <w:rFonts w:ascii="Book Antiqua" w:hAnsi="Book Antiqua" w:cs="Book Antiqua"/>
              </w:rPr>
              <w:t>one</w:t>
            </w:r>
          </w:p>
        </w:tc>
        <w:tc>
          <w:tcPr>
            <w:tcW w:w="709"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685"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1158" w:type="dxa"/>
            <w:tcBorders>
              <w:top w:val="nil"/>
              <w:bottom w:val="nil"/>
              <w:tl2br w:val="nil"/>
              <w:tr2bl w:val="nil"/>
            </w:tcBorders>
            <w:noWrap/>
          </w:tcPr>
          <w:p>
            <w:pPr>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567" w:type="dxa"/>
            <w:tcBorders>
              <w:top w:val="nil"/>
              <w:tl2br w:val="nil"/>
              <w:tr2bl w:val="nil"/>
            </w:tcBorders>
            <w:noWrap/>
          </w:tcPr>
          <w:p>
            <w:pPr>
              <w:spacing w:line="360" w:lineRule="auto"/>
              <w:jc w:val="both"/>
              <w:rPr>
                <w:rFonts w:ascii="Book Antiqua" w:hAnsi="Book Antiqua" w:cs="Book Antiqua"/>
              </w:rPr>
            </w:pPr>
            <w:r>
              <w:rPr>
                <w:rFonts w:ascii="Book Antiqua" w:hAnsi="Book Antiqua" w:cs="Book Antiqua"/>
              </w:rPr>
              <w:t>5</w:t>
            </w:r>
          </w:p>
        </w:tc>
        <w:tc>
          <w:tcPr>
            <w:tcW w:w="1135"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Rajgopal </w:t>
            </w:r>
            <w:r>
              <w:rPr>
                <w:rFonts w:ascii="Book Antiqua" w:hAnsi="Book Antiqua" w:cs="Book Antiqua"/>
                <w:i/>
                <w:iCs/>
              </w:rPr>
              <w:t>et al</w:t>
            </w:r>
            <w:r>
              <w:rPr>
                <w:rFonts w:ascii="Book Antiqua" w:hAnsi="Book Antiqua" w:cs="Book Antiqua"/>
                <w:vertAlign w:val="superscript"/>
              </w:rPr>
              <w:t>[</w:t>
            </w:r>
            <w:r>
              <w:rPr>
                <w:rFonts w:hint="eastAsia" w:ascii="Book Antiqua" w:hAnsi="Book Antiqua" w:eastAsia="宋体" w:cs="Book Antiqua"/>
                <w:vertAlign w:val="superscript"/>
                <w:lang w:eastAsia="zh-CN"/>
              </w:rPr>
              <w:t>13</w:t>
            </w:r>
            <w:r>
              <w:rPr>
                <w:rFonts w:ascii="Book Antiqua" w:hAnsi="Book Antiqua" w:cs="Book Antiqua"/>
                <w:vertAlign w:val="superscript"/>
              </w:rPr>
              <w:t>]</w:t>
            </w:r>
          </w:p>
        </w:tc>
        <w:tc>
          <w:tcPr>
            <w:tcW w:w="709" w:type="dxa"/>
            <w:tcBorders>
              <w:top w:val="nil"/>
              <w:tl2br w:val="nil"/>
              <w:tr2bl w:val="nil"/>
            </w:tcBorders>
            <w:noWrap/>
          </w:tcPr>
          <w:p>
            <w:pPr>
              <w:spacing w:line="360" w:lineRule="auto"/>
              <w:jc w:val="both"/>
              <w:rPr>
                <w:rFonts w:ascii="Book Antiqua" w:hAnsi="Book Antiqua" w:cs="Book Antiqua"/>
              </w:rPr>
            </w:pPr>
            <w:r>
              <w:rPr>
                <w:rFonts w:ascii="Book Antiqua" w:hAnsi="Book Antiqua" w:cs="Book Antiqua"/>
              </w:rPr>
              <w:t>2018</w:t>
            </w:r>
          </w:p>
        </w:tc>
        <w:tc>
          <w:tcPr>
            <w:tcW w:w="1050" w:type="dxa"/>
            <w:tcBorders>
              <w:top w:val="nil"/>
              <w:tl2br w:val="nil"/>
              <w:tr2bl w:val="nil"/>
            </w:tcBorders>
          </w:tcPr>
          <w:p>
            <w:pPr>
              <w:spacing w:line="360" w:lineRule="auto"/>
              <w:jc w:val="both"/>
              <w:rPr>
                <w:rFonts w:ascii="Book Antiqua" w:hAnsi="Book Antiqua" w:cs="Book Antiqua"/>
                <w:i/>
              </w:rPr>
            </w:pPr>
            <w:r>
              <w:rPr>
                <w:rFonts w:ascii="Book Antiqua" w:hAnsi="Book Antiqua" w:cs="Book Antiqua"/>
                <w:i/>
              </w:rPr>
              <w:t>Arthroplast today</w:t>
            </w:r>
          </w:p>
        </w:tc>
        <w:tc>
          <w:tcPr>
            <w:tcW w:w="787" w:type="dxa"/>
            <w:tcBorders>
              <w:top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C</w:t>
            </w:r>
            <w:r>
              <w:rPr>
                <w:rFonts w:ascii="Book Antiqua" w:hAnsi="Book Antiqua" w:cs="Book Antiqua"/>
              </w:rPr>
              <w:t>ase report</w:t>
            </w:r>
          </w:p>
        </w:tc>
        <w:tc>
          <w:tcPr>
            <w:tcW w:w="920"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1</w:t>
            </w:r>
          </w:p>
        </w:tc>
        <w:tc>
          <w:tcPr>
            <w:tcW w:w="666" w:type="dxa"/>
            <w:tcBorders>
              <w:top w:val="nil"/>
              <w:tl2br w:val="nil"/>
              <w:tr2bl w:val="nil"/>
            </w:tcBorders>
            <w:noWrap/>
          </w:tcPr>
          <w:p>
            <w:pPr>
              <w:spacing w:line="360" w:lineRule="auto"/>
              <w:jc w:val="both"/>
              <w:rPr>
                <w:rFonts w:ascii="Book Antiqua" w:hAnsi="Book Antiqua" w:cs="Book Antiqua"/>
              </w:rPr>
            </w:pPr>
            <w:r>
              <w:rPr>
                <w:rFonts w:ascii="Book Antiqua" w:hAnsi="Book Antiqua" w:cs="Book Antiqua"/>
              </w:rPr>
              <w:t>M</w:t>
            </w:r>
          </w:p>
        </w:tc>
        <w:tc>
          <w:tcPr>
            <w:tcW w:w="546"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58</w:t>
            </w:r>
          </w:p>
        </w:tc>
        <w:tc>
          <w:tcPr>
            <w:tcW w:w="708"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NA</w:t>
            </w:r>
          </w:p>
        </w:tc>
        <w:tc>
          <w:tcPr>
            <w:tcW w:w="1843"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24</w:t>
            </w:r>
          </w:p>
        </w:tc>
        <w:tc>
          <w:tcPr>
            <w:tcW w:w="709"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134" w:type="dxa"/>
            <w:tcBorders>
              <w:top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R</w:t>
            </w:r>
            <w:r>
              <w:rPr>
                <w:rFonts w:ascii="Book Antiqua" w:hAnsi="Book Antiqua" w:cs="Book Antiqua"/>
              </w:rPr>
              <w:t xml:space="preserve">evision with TKA </w:t>
            </w:r>
          </w:p>
        </w:tc>
        <w:tc>
          <w:tcPr>
            <w:tcW w:w="850"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KSS 48 OKS 19 UCLA 3</w:t>
            </w:r>
          </w:p>
        </w:tc>
        <w:tc>
          <w:tcPr>
            <w:tcW w:w="709"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0-100</w:t>
            </w:r>
          </w:p>
        </w:tc>
        <w:tc>
          <w:tcPr>
            <w:tcW w:w="1276"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NA</w:t>
            </w:r>
          </w:p>
        </w:tc>
        <w:tc>
          <w:tcPr>
            <w:tcW w:w="992"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KSS 82 OKS 40 UCLA 7</w:t>
            </w:r>
          </w:p>
        </w:tc>
        <w:tc>
          <w:tcPr>
            <w:tcW w:w="851" w:type="dxa"/>
            <w:tcBorders>
              <w:top w:val="nil"/>
              <w:tl2br w:val="nil"/>
              <w:tr2bl w:val="nil"/>
            </w:tcBorders>
            <w:noWrap/>
          </w:tcPr>
          <w:p>
            <w:pPr>
              <w:spacing w:line="360" w:lineRule="auto"/>
              <w:jc w:val="both"/>
              <w:rPr>
                <w:rFonts w:ascii="Book Antiqua" w:hAnsi="Book Antiqua" w:cs="Book Antiqua"/>
              </w:rPr>
            </w:pPr>
          </w:p>
        </w:tc>
        <w:tc>
          <w:tcPr>
            <w:tcW w:w="708" w:type="dxa"/>
            <w:tcBorders>
              <w:top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N</w:t>
            </w:r>
            <w:r>
              <w:rPr>
                <w:rFonts w:ascii="Book Antiqua" w:hAnsi="Book Antiqua" w:cs="Book Antiqua"/>
              </w:rPr>
              <w:t>one</w:t>
            </w:r>
          </w:p>
        </w:tc>
        <w:tc>
          <w:tcPr>
            <w:tcW w:w="709"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685"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1158"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Y</w:t>
            </w:r>
            <w:r>
              <w:rPr>
                <w:rFonts w:hint="eastAsia" w:ascii="Book Antiqua" w:hAnsi="Book Antiqua" w:eastAsia="宋体" w:cs="Book Antiqua"/>
                <w:lang w:eastAsia="zh-CN"/>
              </w:rPr>
              <w:t>es</w:t>
            </w:r>
            <w:r>
              <w:rPr>
                <w:rFonts w:ascii="Book Antiqua" w:hAnsi="Book Antiqua" w:cs="Book Antiqua"/>
              </w:rPr>
              <w:t xml:space="preserve"> /24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567" w:type="dxa"/>
            <w:tcBorders>
              <w:tl2br w:val="nil"/>
              <w:tr2bl w:val="nil"/>
            </w:tcBorders>
            <w:noWrap/>
          </w:tcPr>
          <w:p>
            <w:pPr>
              <w:spacing w:line="360" w:lineRule="auto"/>
              <w:jc w:val="both"/>
              <w:rPr>
                <w:rFonts w:ascii="Book Antiqua" w:hAnsi="Book Antiqua" w:cs="Book Antiqua"/>
              </w:rPr>
            </w:pPr>
            <w:r>
              <w:rPr>
                <w:rFonts w:ascii="Book Antiqua" w:hAnsi="Book Antiqua" w:cs="Book Antiqua"/>
              </w:rPr>
              <w:t>6</w:t>
            </w:r>
          </w:p>
        </w:tc>
        <w:tc>
          <w:tcPr>
            <w:tcW w:w="1135" w:type="dxa"/>
            <w:tcBorders>
              <w:tl2br w:val="nil"/>
              <w:tr2bl w:val="nil"/>
            </w:tcBorders>
          </w:tcPr>
          <w:p>
            <w:pPr>
              <w:spacing w:line="360" w:lineRule="auto"/>
              <w:jc w:val="both"/>
              <w:rPr>
                <w:rFonts w:ascii="Book Antiqua" w:hAnsi="Book Antiqua" w:cs="Book Antiqua"/>
              </w:rPr>
            </w:pPr>
            <w:r>
              <w:rPr>
                <w:rFonts w:ascii="Book Antiqua" w:hAnsi="Book Antiqua" w:cs="Book Antiqua"/>
              </w:rPr>
              <w:t xml:space="preserve">Vajapey </w:t>
            </w:r>
            <w:r>
              <w:rPr>
                <w:rFonts w:ascii="Book Antiqua" w:hAnsi="Book Antiqua" w:cs="Book Antiqua"/>
                <w:i/>
                <w:iCs/>
              </w:rPr>
              <w:t>et al</w:t>
            </w:r>
            <w:r>
              <w:rPr>
                <w:rFonts w:ascii="Book Antiqua" w:hAnsi="Book Antiqua" w:cs="Book Antiqua"/>
                <w:vertAlign w:val="superscript"/>
              </w:rPr>
              <w:t>[</w:t>
            </w:r>
            <w:r>
              <w:rPr>
                <w:rFonts w:hint="eastAsia" w:ascii="Book Antiqua" w:hAnsi="Book Antiqua" w:eastAsia="宋体" w:cs="Book Antiqua"/>
                <w:vertAlign w:val="superscript"/>
                <w:lang w:eastAsia="zh-CN"/>
              </w:rPr>
              <w:t>8</w:t>
            </w:r>
            <w:r>
              <w:rPr>
                <w:rFonts w:ascii="Book Antiqua" w:hAnsi="Book Antiqua" w:cs="Book Antiqua"/>
                <w:vertAlign w:val="superscript"/>
              </w:rPr>
              <w:t>]</w:t>
            </w:r>
          </w:p>
        </w:tc>
        <w:tc>
          <w:tcPr>
            <w:tcW w:w="709" w:type="dxa"/>
            <w:tcBorders>
              <w:tl2br w:val="nil"/>
              <w:tr2bl w:val="nil"/>
            </w:tcBorders>
            <w:noWrap/>
          </w:tcPr>
          <w:p>
            <w:pPr>
              <w:spacing w:line="360" w:lineRule="auto"/>
              <w:jc w:val="both"/>
              <w:rPr>
                <w:rFonts w:ascii="Book Antiqua" w:hAnsi="Book Antiqua" w:cs="Book Antiqua"/>
              </w:rPr>
            </w:pPr>
            <w:r>
              <w:rPr>
                <w:rFonts w:ascii="Book Antiqua" w:hAnsi="Book Antiqua" w:cs="Book Antiqua"/>
              </w:rPr>
              <w:t>2021</w:t>
            </w:r>
          </w:p>
        </w:tc>
        <w:tc>
          <w:tcPr>
            <w:tcW w:w="1050" w:type="dxa"/>
            <w:tcBorders>
              <w:tl2br w:val="nil"/>
              <w:tr2bl w:val="nil"/>
            </w:tcBorders>
            <w:noWrap/>
          </w:tcPr>
          <w:p>
            <w:pPr>
              <w:spacing w:line="360" w:lineRule="auto"/>
              <w:jc w:val="both"/>
              <w:rPr>
                <w:rFonts w:ascii="Book Antiqua" w:hAnsi="Book Antiqua" w:cs="Book Antiqua"/>
                <w:i/>
              </w:rPr>
            </w:pPr>
            <w:r>
              <w:rPr>
                <w:rFonts w:ascii="Book Antiqua" w:hAnsi="Book Antiqua" w:cs="Book Antiqua"/>
                <w:i/>
              </w:rPr>
              <w:t>Arthroplasty</w:t>
            </w:r>
          </w:p>
        </w:tc>
        <w:tc>
          <w:tcPr>
            <w:tcW w:w="787" w:type="dxa"/>
            <w:tcBorders>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C</w:t>
            </w:r>
            <w:r>
              <w:rPr>
                <w:rFonts w:ascii="Book Antiqua" w:hAnsi="Book Antiqua" w:cs="Book Antiqua"/>
              </w:rPr>
              <w:t>ase series</w:t>
            </w:r>
          </w:p>
        </w:tc>
        <w:tc>
          <w:tcPr>
            <w:tcW w:w="920" w:type="dxa"/>
            <w:tcBorders>
              <w:tl2br w:val="nil"/>
              <w:tr2bl w:val="nil"/>
            </w:tcBorders>
            <w:noWrap/>
          </w:tcPr>
          <w:p>
            <w:pPr>
              <w:spacing w:line="360" w:lineRule="auto"/>
              <w:jc w:val="both"/>
              <w:rPr>
                <w:rFonts w:ascii="Book Antiqua" w:hAnsi="Book Antiqua" w:cs="Book Antiqua"/>
              </w:rPr>
            </w:pPr>
            <w:r>
              <w:rPr>
                <w:rFonts w:ascii="Book Antiqua" w:hAnsi="Book Antiqua" w:cs="Book Antiqua"/>
              </w:rPr>
              <w:t>2</w:t>
            </w:r>
          </w:p>
        </w:tc>
        <w:tc>
          <w:tcPr>
            <w:tcW w:w="666" w:type="dxa"/>
            <w:tcBorders>
              <w:tl2br w:val="nil"/>
              <w:tr2bl w:val="nil"/>
            </w:tcBorders>
            <w:noWrap/>
          </w:tcPr>
          <w:p>
            <w:pPr>
              <w:spacing w:line="360" w:lineRule="auto"/>
              <w:jc w:val="both"/>
              <w:rPr>
                <w:rFonts w:ascii="Book Antiqua" w:hAnsi="Book Antiqua" w:cs="Book Antiqua"/>
              </w:rPr>
            </w:pPr>
            <w:r>
              <w:rPr>
                <w:rFonts w:ascii="Book Antiqua" w:hAnsi="Book Antiqua" w:cs="Book Antiqua"/>
              </w:rPr>
              <w:t>F</w:t>
            </w:r>
          </w:p>
        </w:tc>
        <w:tc>
          <w:tcPr>
            <w:tcW w:w="546" w:type="dxa"/>
            <w:tcBorders>
              <w:tl2br w:val="nil"/>
              <w:tr2bl w:val="nil"/>
            </w:tcBorders>
          </w:tcPr>
          <w:p>
            <w:pPr>
              <w:spacing w:line="360" w:lineRule="auto"/>
              <w:jc w:val="both"/>
              <w:rPr>
                <w:rFonts w:ascii="Book Antiqua" w:hAnsi="Book Antiqua" w:cs="Book Antiqua"/>
              </w:rPr>
            </w:pPr>
            <w:r>
              <w:rPr>
                <w:rFonts w:ascii="Book Antiqua" w:hAnsi="Book Antiqua" w:cs="Book Antiqua"/>
              </w:rPr>
              <w:t>76</w:t>
            </w:r>
          </w:p>
        </w:tc>
        <w:tc>
          <w:tcPr>
            <w:tcW w:w="708" w:type="dxa"/>
            <w:tcBorders>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843" w:type="dxa"/>
            <w:tcBorders>
              <w:tl2br w:val="nil"/>
              <w:tr2bl w:val="nil"/>
            </w:tcBorders>
          </w:tcPr>
          <w:p>
            <w:pPr>
              <w:spacing w:line="360" w:lineRule="auto"/>
              <w:jc w:val="both"/>
              <w:rPr>
                <w:rFonts w:ascii="Book Antiqua" w:hAnsi="Book Antiqua" w:cs="Book Antiqua"/>
              </w:rPr>
            </w:pPr>
            <w:r>
              <w:rPr>
                <w:rFonts w:ascii="Book Antiqua" w:hAnsi="Book Antiqua" w:cs="Book Antiqua"/>
              </w:rPr>
              <w:t>60</w:t>
            </w:r>
          </w:p>
        </w:tc>
        <w:tc>
          <w:tcPr>
            <w:tcW w:w="709" w:type="dxa"/>
            <w:tcBorders>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134" w:type="dxa"/>
            <w:tcBorders>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R</w:t>
            </w:r>
            <w:r>
              <w:rPr>
                <w:rFonts w:ascii="Book Antiqua" w:hAnsi="Book Antiqua" w:cs="Book Antiqua"/>
              </w:rPr>
              <w:t xml:space="preserve">evision with TKA </w:t>
            </w:r>
          </w:p>
        </w:tc>
        <w:tc>
          <w:tcPr>
            <w:tcW w:w="850" w:type="dxa"/>
            <w:tcBorders>
              <w:tl2br w:val="nil"/>
              <w:tr2bl w:val="nil"/>
            </w:tcBorders>
            <w:noWrap/>
          </w:tcPr>
          <w:p>
            <w:pPr>
              <w:spacing w:line="360" w:lineRule="auto"/>
              <w:jc w:val="both"/>
              <w:rPr>
                <w:rFonts w:ascii="Book Antiqua" w:hAnsi="Book Antiqua" w:cs="Book Antiqua"/>
              </w:rPr>
            </w:pPr>
          </w:p>
        </w:tc>
        <w:tc>
          <w:tcPr>
            <w:tcW w:w="709" w:type="dxa"/>
            <w:tcBorders>
              <w:tl2br w:val="nil"/>
              <w:tr2bl w:val="nil"/>
            </w:tcBorders>
          </w:tcPr>
          <w:p>
            <w:pPr>
              <w:spacing w:line="360" w:lineRule="auto"/>
              <w:jc w:val="both"/>
              <w:rPr>
                <w:rFonts w:ascii="Book Antiqua" w:hAnsi="Book Antiqua" w:cs="Book Antiqua"/>
              </w:rPr>
            </w:pPr>
            <w:r>
              <w:rPr>
                <w:rFonts w:ascii="Book Antiqua" w:hAnsi="Book Antiqua" w:cs="Book Antiqua"/>
              </w:rPr>
              <w:t>30-120</w:t>
            </w:r>
          </w:p>
        </w:tc>
        <w:tc>
          <w:tcPr>
            <w:tcW w:w="1276" w:type="dxa"/>
            <w:tcBorders>
              <w:tl2br w:val="nil"/>
              <w:tr2bl w:val="nil"/>
            </w:tcBorders>
          </w:tcPr>
          <w:p>
            <w:pPr>
              <w:spacing w:line="360" w:lineRule="auto"/>
              <w:jc w:val="both"/>
              <w:rPr>
                <w:rFonts w:ascii="Book Antiqua" w:hAnsi="Book Antiqua" w:cs="Book Antiqua"/>
              </w:rPr>
            </w:pPr>
            <w:r>
              <w:rPr>
                <w:rFonts w:ascii="Book Antiqua" w:hAnsi="Book Antiqua" w:cs="Book Antiqua"/>
              </w:rPr>
              <w:t>NA</w:t>
            </w:r>
          </w:p>
        </w:tc>
        <w:tc>
          <w:tcPr>
            <w:tcW w:w="992" w:type="dxa"/>
            <w:tcBorders>
              <w:tl2br w:val="nil"/>
              <w:tr2bl w:val="nil"/>
            </w:tcBorders>
            <w:noWrap/>
          </w:tcPr>
          <w:p>
            <w:pPr>
              <w:spacing w:line="360" w:lineRule="auto"/>
              <w:jc w:val="both"/>
              <w:rPr>
                <w:rFonts w:ascii="Book Antiqua" w:hAnsi="Book Antiqua" w:cs="Book Antiqua"/>
              </w:rPr>
            </w:pPr>
          </w:p>
        </w:tc>
        <w:tc>
          <w:tcPr>
            <w:tcW w:w="851" w:type="dxa"/>
            <w:tcBorders>
              <w:tl2br w:val="nil"/>
              <w:tr2bl w:val="nil"/>
            </w:tcBorders>
            <w:noWrap/>
          </w:tcPr>
          <w:p>
            <w:pPr>
              <w:spacing w:line="360" w:lineRule="auto"/>
              <w:jc w:val="both"/>
              <w:rPr>
                <w:rFonts w:ascii="Book Antiqua" w:hAnsi="Book Antiqua" w:cs="Book Antiqua"/>
              </w:rPr>
            </w:pPr>
          </w:p>
        </w:tc>
        <w:tc>
          <w:tcPr>
            <w:tcW w:w="708" w:type="dxa"/>
            <w:tcBorders>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N</w:t>
            </w:r>
            <w:r>
              <w:rPr>
                <w:rFonts w:ascii="Book Antiqua" w:hAnsi="Book Antiqua" w:cs="Book Antiqua"/>
              </w:rPr>
              <w:t>one</w:t>
            </w:r>
          </w:p>
        </w:tc>
        <w:tc>
          <w:tcPr>
            <w:tcW w:w="709" w:type="dxa"/>
            <w:tcBorders>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685" w:type="dxa"/>
            <w:tcBorders>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1158" w:type="dxa"/>
            <w:tcBorders>
              <w:tl2br w:val="nil"/>
              <w:tr2bl w:val="nil"/>
            </w:tcBorders>
          </w:tcPr>
          <w:p>
            <w:pPr>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567"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7</w:t>
            </w:r>
          </w:p>
        </w:tc>
        <w:tc>
          <w:tcPr>
            <w:tcW w:w="1135"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Kiran </w:t>
            </w:r>
            <w:r>
              <w:rPr>
                <w:rFonts w:ascii="Book Antiqua" w:hAnsi="Book Antiqua" w:cs="Book Antiqua"/>
                <w:i/>
                <w:iCs/>
              </w:rPr>
              <w:t>et al</w:t>
            </w:r>
            <w:r>
              <w:rPr>
                <w:rFonts w:ascii="Book Antiqua" w:hAnsi="Book Antiqua" w:cs="Book Antiqua"/>
                <w:vertAlign w:val="superscript"/>
              </w:rPr>
              <w:t>[</w:t>
            </w:r>
            <w:r>
              <w:rPr>
                <w:rFonts w:hint="eastAsia" w:ascii="Book Antiqua" w:hAnsi="Book Antiqua" w:eastAsia="宋体" w:cs="Book Antiqua"/>
                <w:vertAlign w:val="superscript"/>
                <w:lang w:eastAsia="zh-CN"/>
              </w:rPr>
              <w:t>14</w:t>
            </w:r>
            <w:r>
              <w:rPr>
                <w:rFonts w:ascii="Book Antiqua" w:hAnsi="Book Antiqua" w:cs="Book Antiqua"/>
                <w:vertAlign w:val="superscript"/>
              </w:rPr>
              <w:t>]</w:t>
            </w:r>
          </w:p>
        </w:tc>
        <w:tc>
          <w:tcPr>
            <w:tcW w:w="709"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2021</w:t>
            </w:r>
          </w:p>
        </w:tc>
        <w:tc>
          <w:tcPr>
            <w:tcW w:w="1050" w:type="dxa"/>
            <w:tcBorders>
              <w:bottom w:val="nil"/>
              <w:tl2br w:val="nil"/>
              <w:tr2bl w:val="nil"/>
            </w:tcBorders>
          </w:tcPr>
          <w:p>
            <w:pPr>
              <w:spacing w:line="360" w:lineRule="auto"/>
              <w:jc w:val="both"/>
              <w:rPr>
                <w:rFonts w:ascii="Book Antiqua" w:hAnsi="Book Antiqua" w:cs="Book Antiqua"/>
                <w:i/>
              </w:rPr>
            </w:pPr>
            <w:r>
              <w:rPr>
                <w:rFonts w:ascii="Book Antiqua" w:hAnsi="Book Antiqua" w:cs="Book Antiqua"/>
                <w:i/>
              </w:rPr>
              <w:t>JBJS Case connector</w:t>
            </w:r>
          </w:p>
        </w:tc>
        <w:tc>
          <w:tcPr>
            <w:tcW w:w="787" w:type="dxa"/>
            <w:tcBorders>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C</w:t>
            </w:r>
            <w:r>
              <w:rPr>
                <w:rFonts w:ascii="Book Antiqua" w:hAnsi="Book Antiqua" w:cs="Book Antiqua"/>
              </w:rPr>
              <w:t>ase report</w:t>
            </w:r>
          </w:p>
        </w:tc>
        <w:tc>
          <w:tcPr>
            <w:tcW w:w="920"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1</w:t>
            </w:r>
          </w:p>
        </w:tc>
        <w:tc>
          <w:tcPr>
            <w:tcW w:w="666"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M</w:t>
            </w:r>
          </w:p>
        </w:tc>
        <w:tc>
          <w:tcPr>
            <w:tcW w:w="546"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61</w:t>
            </w:r>
          </w:p>
        </w:tc>
        <w:tc>
          <w:tcPr>
            <w:tcW w:w="708" w:type="dxa"/>
            <w:tcBorders>
              <w:bottom w:val="nil"/>
              <w:tl2br w:val="nil"/>
              <w:tr2bl w:val="nil"/>
            </w:tcBorders>
            <w:noWrap/>
          </w:tcPr>
          <w:p>
            <w:pPr>
              <w:spacing w:line="360" w:lineRule="auto"/>
              <w:jc w:val="both"/>
              <w:rPr>
                <w:rFonts w:ascii="Book Antiqua" w:hAnsi="Book Antiqua" w:cs="Book Antiqua"/>
              </w:rPr>
            </w:pPr>
            <w:r>
              <w:rPr>
                <w:rFonts w:hint="eastAsia" w:ascii="Book Antiqua" w:hAnsi="Book Antiqua" w:eastAsia="宋体" w:cs="Book Antiqua"/>
                <w:lang w:eastAsia="zh-CN"/>
              </w:rPr>
              <w:t>F</w:t>
            </w:r>
            <w:r>
              <w:rPr>
                <w:rFonts w:ascii="Book Antiqua" w:hAnsi="Book Antiqua" w:cs="Book Antiqua"/>
              </w:rPr>
              <w:t>ixed bearing</w:t>
            </w:r>
          </w:p>
        </w:tc>
        <w:tc>
          <w:tcPr>
            <w:tcW w:w="1843"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60</w:t>
            </w:r>
          </w:p>
        </w:tc>
        <w:tc>
          <w:tcPr>
            <w:tcW w:w="709"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134" w:type="dxa"/>
            <w:tcBorders>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R</w:t>
            </w:r>
            <w:r>
              <w:rPr>
                <w:rFonts w:ascii="Book Antiqua" w:hAnsi="Book Antiqua" w:cs="Book Antiqua"/>
              </w:rPr>
              <w:t>evision with TKA</w:t>
            </w:r>
          </w:p>
        </w:tc>
        <w:tc>
          <w:tcPr>
            <w:tcW w:w="850" w:type="dxa"/>
            <w:tcBorders>
              <w:bottom w:val="nil"/>
              <w:tl2br w:val="nil"/>
              <w:tr2bl w:val="nil"/>
            </w:tcBorders>
            <w:noWrap/>
          </w:tcPr>
          <w:p>
            <w:pPr>
              <w:spacing w:line="360" w:lineRule="auto"/>
              <w:jc w:val="both"/>
              <w:rPr>
                <w:rFonts w:ascii="Book Antiqua" w:hAnsi="Book Antiqua" w:cs="Book Antiqua"/>
              </w:rPr>
            </w:pPr>
          </w:p>
        </w:tc>
        <w:tc>
          <w:tcPr>
            <w:tcW w:w="709"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NA</w:t>
            </w:r>
          </w:p>
        </w:tc>
        <w:tc>
          <w:tcPr>
            <w:tcW w:w="1276"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992"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OKS 39</w:t>
            </w:r>
          </w:p>
        </w:tc>
        <w:tc>
          <w:tcPr>
            <w:tcW w:w="851" w:type="dxa"/>
            <w:tcBorders>
              <w:bottom w:val="nil"/>
              <w:tl2br w:val="nil"/>
              <w:tr2bl w:val="nil"/>
            </w:tcBorders>
            <w:noWrap/>
          </w:tcPr>
          <w:p>
            <w:pPr>
              <w:spacing w:line="360" w:lineRule="auto"/>
              <w:jc w:val="both"/>
              <w:rPr>
                <w:rFonts w:ascii="Book Antiqua" w:hAnsi="Book Antiqua" w:cs="Book Antiqua"/>
              </w:rPr>
            </w:pPr>
          </w:p>
        </w:tc>
        <w:tc>
          <w:tcPr>
            <w:tcW w:w="708" w:type="dxa"/>
            <w:tcBorders>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N</w:t>
            </w:r>
            <w:r>
              <w:rPr>
                <w:rFonts w:ascii="Book Antiqua" w:hAnsi="Book Antiqua" w:cs="Book Antiqua"/>
              </w:rPr>
              <w:t>one</w:t>
            </w:r>
          </w:p>
        </w:tc>
        <w:tc>
          <w:tcPr>
            <w:tcW w:w="709" w:type="dxa"/>
            <w:tcBorders>
              <w:bottom w:val="nil"/>
              <w:tl2br w:val="nil"/>
              <w:tr2bl w:val="nil"/>
            </w:tcBorders>
            <w:noWrap/>
          </w:tcPr>
          <w:p>
            <w:pPr>
              <w:spacing w:line="360" w:lineRule="auto"/>
              <w:jc w:val="both"/>
              <w:rPr>
                <w:rFonts w:ascii="Book Antiqua" w:hAnsi="Book Antiqua" w:cs="Book Antiqua"/>
              </w:rPr>
            </w:pPr>
            <w:r>
              <w:rPr>
                <w:rFonts w:hint="eastAsia" w:ascii="Book Antiqua" w:hAnsi="Book Antiqua" w:eastAsia="宋体" w:cs="Book Antiqua"/>
                <w:lang w:eastAsia="zh-CN"/>
              </w:rPr>
              <w:t>N</w:t>
            </w:r>
            <w:r>
              <w:rPr>
                <w:rFonts w:ascii="Book Antiqua" w:hAnsi="Book Antiqua" w:cs="Book Antiqua"/>
              </w:rPr>
              <w:t>one</w:t>
            </w:r>
          </w:p>
        </w:tc>
        <w:tc>
          <w:tcPr>
            <w:tcW w:w="685" w:type="dxa"/>
            <w:tcBorders>
              <w:bottom w:val="nil"/>
              <w:tl2br w:val="nil"/>
              <w:tr2bl w:val="nil"/>
            </w:tcBorders>
            <w:noWrap/>
          </w:tcPr>
          <w:p>
            <w:pPr>
              <w:spacing w:line="360" w:lineRule="auto"/>
              <w:jc w:val="both"/>
              <w:rPr>
                <w:rFonts w:ascii="Book Antiqua" w:hAnsi="Book Antiqua" w:cs="Book Antiqua"/>
              </w:rPr>
            </w:pPr>
            <w:r>
              <w:rPr>
                <w:rFonts w:hint="eastAsia" w:ascii="Book Antiqua" w:hAnsi="Book Antiqua" w:eastAsia="宋体" w:cs="Book Antiqua"/>
                <w:lang w:eastAsia="zh-CN"/>
              </w:rPr>
              <w:t>N</w:t>
            </w:r>
            <w:r>
              <w:rPr>
                <w:rFonts w:ascii="Book Antiqua" w:hAnsi="Book Antiqua" w:cs="Book Antiqua"/>
              </w:rPr>
              <w:t>one</w:t>
            </w:r>
          </w:p>
        </w:tc>
        <w:tc>
          <w:tcPr>
            <w:tcW w:w="1158" w:type="dxa"/>
            <w:tcBorders>
              <w:bottom w:val="nil"/>
              <w:tl2br w:val="nil"/>
              <w:tr2bl w:val="nil"/>
            </w:tcBorders>
            <w:noWrap/>
          </w:tcPr>
          <w:p>
            <w:pPr>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 w:hRule="atLeast"/>
        </w:trPr>
        <w:tc>
          <w:tcPr>
            <w:tcW w:w="567" w:type="dxa"/>
            <w:tcBorders>
              <w:top w:val="nil"/>
              <w:bottom w:val="nil"/>
              <w:tl2br w:val="nil"/>
              <w:tr2bl w:val="nil"/>
            </w:tcBorders>
            <w:noWrap/>
          </w:tcPr>
          <w:p>
            <w:pPr>
              <w:spacing w:line="360" w:lineRule="auto"/>
              <w:jc w:val="both"/>
              <w:rPr>
                <w:rFonts w:ascii="Book Antiqua" w:hAnsi="Book Antiqua" w:cs="Book Antiqua"/>
              </w:rPr>
            </w:pPr>
            <w:r>
              <w:rPr>
                <w:rFonts w:ascii="Book Antiqua" w:hAnsi="Book Antiqua" w:cs="Book Antiqua"/>
              </w:rPr>
              <w:t>8</w:t>
            </w:r>
          </w:p>
        </w:tc>
        <w:tc>
          <w:tcPr>
            <w:tcW w:w="1135"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Foran </w:t>
            </w:r>
            <w:r>
              <w:rPr>
                <w:rFonts w:ascii="Book Antiqua" w:hAnsi="Book Antiqua" w:cs="Book Antiqua"/>
                <w:i/>
                <w:iCs/>
              </w:rPr>
              <w:t>et al</w:t>
            </w:r>
            <w:r>
              <w:rPr>
                <w:rFonts w:ascii="Book Antiqua" w:hAnsi="Book Antiqua" w:cs="Book Antiqua"/>
                <w:vertAlign w:val="superscript"/>
              </w:rPr>
              <w:t>[</w:t>
            </w:r>
            <w:r>
              <w:rPr>
                <w:rFonts w:hint="eastAsia" w:ascii="Book Antiqua" w:hAnsi="Book Antiqua" w:eastAsia="宋体" w:cs="Book Antiqua"/>
                <w:vertAlign w:val="superscript"/>
                <w:lang w:eastAsia="zh-CN"/>
              </w:rPr>
              <w:t>9</w:t>
            </w:r>
            <w:r>
              <w:rPr>
                <w:rFonts w:ascii="Book Antiqua" w:hAnsi="Book Antiqua" w:cs="Book Antiqua"/>
                <w:vertAlign w:val="superscript"/>
              </w:rPr>
              <w:t>]</w:t>
            </w:r>
          </w:p>
        </w:tc>
        <w:tc>
          <w:tcPr>
            <w:tcW w:w="709" w:type="dxa"/>
            <w:tcBorders>
              <w:top w:val="nil"/>
              <w:bottom w:val="nil"/>
              <w:tl2br w:val="nil"/>
              <w:tr2bl w:val="nil"/>
            </w:tcBorders>
            <w:noWrap/>
          </w:tcPr>
          <w:p>
            <w:pPr>
              <w:spacing w:line="360" w:lineRule="auto"/>
              <w:jc w:val="both"/>
              <w:rPr>
                <w:rFonts w:ascii="Book Antiqua" w:hAnsi="Book Antiqua" w:cs="Book Antiqua"/>
              </w:rPr>
            </w:pPr>
            <w:r>
              <w:rPr>
                <w:rFonts w:ascii="Book Antiqua" w:hAnsi="Book Antiqua" w:cs="Book Antiqua"/>
              </w:rPr>
              <w:t>2013</w:t>
            </w:r>
          </w:p>
        </w:tc>
        <w:tc>
          <w:tcPr>
            <w:tcW w:w="1050" w:type="dxa"/>
            <w:tcBorders>
              <w:top w:val="nil"/>
              <w:bottom w:val="nil"/>
              <w:tl2br w:val="nil"/>
              <w:tr2bl w:val="nil"/>
            </w:tcBorders>
          </w:tcPr>
          <w:p>
            <w:pPr>
              <w:spacing w:line="360" w:lineRule="auto"/>
              <w:jc w:val="both"/>
              <w:rPr>
                <w:rFonts w:ascii="Book Antiqua" w:hAnsi="Book Antiqua" w:cs="Book Antiqua"/>
                <w:i/>
              </w:rPr>
            </w:pPr>
            <w:r>
              <w:rPr>
                <w:rFonts w:ascii="Book Antiqua" w:hAnsi="Book Antiqua" w:cs="Book Antiqua"/>
                <w:i/>
              </w:rPr>
              <w:t>Clin Orthop Relat Res</w:t>
            </w:r>
          </w:p>
        </w:tc>
        <w:tc>
          <w:tcPr>
            <w:tcW w:w="787" w:type="dxa"/>
            <w:tcBorders>
              <w:top w:val="nil"/>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C</w:t>
            </w:r>
            <w:r>
              <w:rPr>
                <w:rFonts w:ascii="Book Antiqua" w:hAnsi="Book Antiqua" w:cs="Book Antiqua"/>
              </w:rPr>
              <w:t>ase series</w:t>
            </w:r>
          </w:p>
        </w:tc>
        <w:tc>
          <w:tcPr>
            <w:tcW w:w="920"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1</w:t>
            </w:r>
          </w:p>
        </w:tc>
        <w:tc>
          <w:tcPr>
            <w:tcW w:w="666"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546"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708"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NA</w:t>
            </w:r>
          </w:p>
        </w:tc>
        <w:tc>
          <w:tcPr>
            <w:tcW w:w="1843"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56</w:t>
            </w:r>
          </w:p>
        </w:tc>
        <w:tc>
          <w:tcPr>
            <w:tcW w:w="709"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134" w:type="dxa"/>
            <w:tcBorders>
              <w:top w:val="nil"/>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R</w:t>
            </w:r>
            <w:r>
              <w:rPr>
                <w:rFonts w:ascii="Book Antiqua" w:hAnsi="Book Antiqua" w:cs="Book Antiqua"/>
              </w:rPr>
              <w:t xml:space="preserve">evision with TKA </w:t>
            </w:r>
          </w:p>
        </w:tc>
        <w:tc>
          <w:tcPr>
            <w:tcW w:w="850" w:type="dxa"/>
            <w:tcBorders>
              <w:top w:val="nil"/>
              <w:bottom w:val="nil"/>
              <w:tl2br w:val="nil"/>
              <w:tr2bl w:val="nil"/>
            </w:tcBorders>
            <w:noWrap/>
          </w:tcPr>
          <w:p>
            <w:pPr>
              <w:spacing w:line="360" w:lineRule="auto"/>
              <w:jc w:val="both"/>
              <w:rPr>
                <w:rFonts w:ascii="Book Antiqua" w:hAnsi="Book Antiqua" w:cs="Book Antiqua"/>
              </w:rPr>
            </w:pPr>
          </w:p>
        </w:tc>
        <w:tc>
          <w:tcPr>
            <w:tcW w:w="709" w:type="dxa"/>
            <w:tcBorders>
              <w:top w:val="nil"/>
              <w:bottom w:val="nil"/>
              <w:tl2br w:val="nil"/>
              <w:tr2bl w:val="nil"/>
            </w:tcBorders>
            <w:noWrap/>
          </w:tcPr>
          <w:p>
            <w:pPr>
              <w:spacing w:line="360" w:lineRule="auto"/>
              <w:jc w:val="both"/>
              <w:rPr>
                <w:rFonts w:ascii="Book Antiqua" w:hAnsi="Book Antiqua" w:cs="Book Antiqua"/>
              </w:rPr>
            </w:pPr>
          </w:p>
        </w:tc>
        <w:tc>
          <w:tcPr>
            <w:tcW w:w="1276" w:type="dxa"/>
            <w:tcBorders>
              <w:top w:val="nil"/>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992" w:type="dxa"/>
            <w:tcBorders>
              <w:top w:val="nil"/>
              <w:bottom w:val="nil"/>
              <w:tl2br w:val="nil"/>
              <w:tr2bl w:val="nil"/>
            </w:tcBorders>
            <w:noWrap/>
          </w:tcPr>
          <w:p>
            <w:pPr>
              <w:spacing w:line="360" w:lineRule="auto"/>
              <w:jc w:val="both"/>
              <w:rPr>
                <w:rFonts w:ascii="Book Antiqua" w:hAnsi="Book Antiqua" w:cs="Book Antiqua"/>
              </w:rPr>
            </w:pPr>
          </w:p>
        </w:tc>
        <w:tc>
          <w:tcPr>
            <w:tcW w:w="851" w:type="dxa"/>
            <w:tcBorders>
              <w:top w:val="nil"/>
              <w:bottom w:val="nil"/>
              <w:tl2br w:val="nil"/>
              <w:tr2bl w:val="nil"/>
            </w:tcBorders>
            <w:noWrap/>
          </w:tcPr>
          <w:p>
            <w:pPr>
              <w:spacing w:line="360" w:lineRule="auto"/>
              <w:jc w:val="both"/>
              <w:rPr>
                <w:rFonts w:ascii="Book Antiqua" w:hAnsi="Book Antiqua" w:cs="Book Antiqua"/>
              </w:rPr>
            </w:pPr>
          </w:p>
        </w:tc>
        <w:tc>
          <w:tcPr>
            <w:tcW w:w="708" w:type="dxa"/>
            <w:tcBorders>
              <w:top w:val="nil"/>
              <w:bottom w:val="nil"/>
              <w:tl2br w:val="nil"/>
              <w:tr2bl w:val="nil"/>
            </w:tcBorders>
            <w:noWrap/>
          </w:tcPr>
          <w:p>
            <w:pPr>
              <w:spacing w:line="360" w:lineRule="auto"/>
              <w:jc w:val="both"/>
              <w:rPr>
                <w:rFonts w:ascii="Book Antiqua" w:hAnsi="Book Antiqua" w:cs="Book Antiqua"/>
              </w:rPr>
            </w:pPr>
          </w:p>
        </w:tc>
        <w:tc>
          <w:tcPr>
            <w:tcW w:w="709" w:type="dxa"/>
            <w:tcBorders>
              <w:top w:val="nil"/>
              <w:bottom w:val="nil"/>
              <w:tl2br w:val="nil"/>
              <w:tr2bl w:val="nil"/>
            </w:tcBorders>
            <w:noWrap/>
          </w:tcPr>
          <w:p>
            <w:pPr>
              <w:spacing w:line="360" w:lineRule="auto"/>
              <w:jc w:val="both"/>
              <w:rPr>
                <w:rFonts w:ascii="Book Antiqua" w:hAnsi="Book Antiqua" w:cs="Book Antiqua"/>
              </w:rPr>
            </w:pPr>
          </w:p>
        </w:tc>
        <w:tc>
          <w:tcPr>
            <w:tcW w:w="685" w:type="dxa"/>
            <w:tcBorders>
              <w:top w:val="nil"/>
              <w:bottom w:val="nil"/>
              <w:tl2br w:val="nil"/>
              <w:tr2bl w:val="nil"/>
            </w:tcBorders>
            <w:noWrap/>
          </w:tcPr>
          <w:p>
            <w:pPr>
              <w:spacing w:line="360" w:lineRule="auto"/>
              <w:jc w:val="both"/>
              <w:rPr>
                <w:rFonts w:ascii="Book Antiqua" w:hAnsi="Book Antiqua" w:cs="Book Antiqua"/>
              </w:rPr>
            </w:pPr>
          </w:p>
        </w:tc>
        <w:tc>
          <w:tcPr>
            <w:tcW w:w="1158" w:type="dxa"/>
            <w:tcBorders>
              <w:top w:val="nil"/>
              <w:bottom w:val="nil"/>
              <w:tl2br w:val="nil"/>
              <w:tr2bl w:val="nil"/>
            </w:tcBorders>
            <w:noWrap/>
          </w:tcPr>
          <w:p>
            <w:pPr>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567" w:type="dxa"/>
            <w:tcBorders>
              <w:top w:val="nil"/>
              <w:tl2br w:val="nil"/>
              <w:tr2bl w:val="nil"/>
            </w:tcBorders>
            <w:noWrap/>
          </w:tcPr>
          <w:p>
            <w:pPr>
              <w:spacing w:line="360" w:lineRule="auto"/>
              <w:jc w:val="both"/>
              <w:rPr>
                <w:rFonts w:ascii="Book Antiqua" w:hAnsi="Book Antiqua" w:cs="Book Antiqua"/>
              </w:rPr>
            </w:pPr>
            <w:r>
              <w:rPr>
                <w:rFonts w:ascii="Book Antiqua" w:hAnsi="Book Antiqua" w:cs="Book Antiqua"/>
              </w:rPr>
              <w:t>9</w:t>
            </w:r>
          </w:p>
        </w:tc>
        <w:tc>
          <w:tcPr>
            <w:tcW w:w="1135"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Luyet </w:t>
            </w:r>
            <w:r>
              <w:rPr>
                <w:rFonts w:ascii="Book Antiqua" w:hAnsi="Book Antiqua" w:cs="Book Antiqua"/>
                <w:i/>
                <w:iCs/>
              </w:rPr>
              <w:t>et al</w:t>
            </w:r>
            <w:r>
              <w:rPr>
                <w:rFonts w:ascii="Book Antiqua" w:hAnsi="Book Antiqua" w:cs="Book Antiqua"/>
                <w:vertAlign w:val="superscript"/>
              </w:rPr>
              <w:t>[</w:t>
            </w:r>
            <w:r>
              <w:rPr>
                <w:rFonts w:hint="eastAsia" w:ascii="Book Antiqua" w:hAnsi="Book Antiqua" w:eastAsia="宋体" w:cs="Book Antiqua"/>
                <w:vertAlign w:val="superscript"/>
                <w:lang w:eastAsia="zh-CN"/>
              </w:rPr>
              <w:t>12</w:t>
            </w:r>
            <w:r>
              <w:rPr>
                <w:rFonts w:ascii="Book Antiqua" w:hAnsi="Book Antiqua" w:cs="Book Antiqua"/>
                <w:vertAlign w:val="superscript"/>
              </w:rPr>
              <w:t>]</w:t>
            </w:r>
          </w:p>
        </w:tc>
        <w:tc>
          <w:tcPr>
            <w:tcW w:w="709" w:type="dxa"/>
            <w:tcBorders>
              <w:top w:val="nil"/>
              <w:tl2br w:val="nil"/>
              <w:tr2bl w:val="nil"/>
            </w:tcBorders>
            <w:noWrap/>
          </w:tcPr>
          <w:p>
            <w:pPr>
              <w:spacing w:line="360" w:lineRule="auto"/>
              <w:jc w:val="both"/>
              <w:rPr>
                <w:rFonts w:ascii="Book Antiqua" w:hAnsi="Book Antiqua" w:cs="Book Antiqua"/>
              </w:rPr>
            </w:pPr>
            <w:r>
              <w:rPr>
                <w:rFonts w:ascii="Book Antiqua" w:hAnsi="Book Antiqua" w:cs="Book Antiqua"/>
              </w:rPr>
              <w:t>2015</w:t>
            </w:r>
          </w:p>
        </w:tc>
        <w:tc>
          <w:tcPr>
            <w:tcW w:w="1050" w:type="dxa"/>
            <w:tcBorders>
              <w:top w:val="nil"/>
              <w:tl2br w:val="nil"/>
              <w:tr2bl w:val="nil"/>
            </w:tcBorders>
          </w:tcPr>
          <w:p>
            <w:pPr>
              <w:spacing w:line="360" w:lineRule="auto"/>
              <w:jc w:val="both"/>
              <w:rPr>
                <w:rFonts w:ascii="Book Antiqua" w:hAnsi="Book Antiqua" w:cs="Book Antiqua"/>
                <w:i/>
              </w:rPr>
            </w:pPr>
            <w:r>
              <w:rPr>
                <w:rFonts w:ascii="Book Antiqua" w:hAnsi="Book Antiqua" w:cs="Book Antiqua"/>
                <w:i/>
              </w:rPr>
              <w:t>Acta Ortop. Belg.</w:t>
            </w:r>
          </w:p>
        </w:tc>
        <w:tc>
          <w:tcPr>
            <w:tcW w:w="787" w:type="dxa"/>
            <w:tcBorders>
              <w:top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C</w:t>
            </w:r>
            <w:r>
              <w:rPr>
                <w:rFonts w:ascii="Book Antiqua" w:hAnsi="Book Antiqua" w:cs="Book Antiqua"/>
              </w:rPr>
              <w:t>ase report</w:t>
            </w:r>
          </w:p>
        </w:tc>
        <w:tc>
          <w:tcPr>
            <w:tcW w:w="920"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1</w:t>
            </w:r>
          </w:p>
        </w:tc>
        <w:tc>
          <w:tcPr>
            <w:tcW w:w="666" w:type="dxa"/>
            <w:tcBorders>
              <w:top w:val="nil"/>
              <w:tl2br w:val="nil"/>
              <w:tr2bl w:val="nil"/>
            </w:tcBorders>
            <w:noWrap/>
          </w:tcPr>
          <w:p>
            <w:pPr>
              <w:spacing w:line="360" w:lineRule="auto"/>
              <w:jc w:val="both"/>
              <w:rPr>
                <w:rFonts w:ascii="Book Antiqua" w:hAnsi="Book Antiqua" w:cs="Book Antiqua"/>
              </w:rPr>
            </w:pPr>
            <w:r>
              <w:rPr>
                <w:rFonts w:ascii="Book Antiqua" w:hAnsi="Book Antiqua" w:cs="Book Antiqua"/>
              </w:rPr>
              <w:t>F</w:t>
            </w:r>
          </w:p>
        </w:tc>
        <w:tc>
          <w:tcPr>
            <w:tcW w:w="546"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67</w:t>
            </w:r>
          </w:p>
        </w:tc>
        <w:tc>
          <w:tcPr>
            <w:tcW w:w="708"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843"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1,5</w:t>
            </w:r>
          </w:p>
        </w:tc>
        <w:tc>
          <w:tcPr>
            <w:tcW w:w="709"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134" w:type="dxa"/>
            <w:tcBorders>
              <w:top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R</w:t>
            </w:r>
            <w:r>
              <w:rPr>
                <w:rFonts w:ascii="Book Antiqua" w:hAnsi="Book Antiqua" w:cs="Book Antiqua"/>
              </w:rPr>
              <w:t xml:space="preserve">evision with UKA </w:t>
            </w:r>
          </w:p>
        </w:tc>
        <w:tc>
          <w:tcPr>
            <w:tcW w:w="850"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ksk 59 KSF 60</w:t>
            </w:r>
          </w:p>
        </w:tc>
        <w:tc>
          <w:tcPr>
            <w:tcW w:w="709"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0-90</w:t>
            </w:r>
          </w:p>
        </w:tc>
        <w:tc>
          <w:tcPr>
            <w:tcW w:w="1276"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992" w:type="dxa"/>
            <w:tcBorders>
              <w:top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K</w:t>
            </w:r>
            <w:r>
              <w:rPr>
                <w:rFonts w:ascii="Book Antiqua" w:hAnsi="Book Antiqua" w:cs="Book Antiqua"/>
              </w:rPr>
              <w:t>sk 87 KSF 90</w:t>
            </w:r>
          </w:p>
        </w:tc>
        <w:tc>
          <w:tcPr>
            <w:tcW w:w="851"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0-110</w:t>
            </w:r>
          </w:p>
        </w:tc>
        <w:tc>
          <w:tcPr>
            <w:tcW w:w="708" w:type="dxa"/>
            <w:tcBorders>
              <w:top w:val="nil"/>
              <w:tl2br w:val="nil"/>
              <w:tr2bl w:val="nil"/>
            </w:tcBorders>
            <w:noWrap/>
          </w:tcPr>
          <w:p>
            <w:pPr>
              <w:spacing w:line="360" w:lineRule="auto"/>
              <w:jc w:val="both"/>
              <w:rPr>
                <w:rFonts w:ascii="Book Antiqua" w:hAnsi="Book Antiqua" w:cs="Book Antiqua"/>
              </w:rPr>
            </w:pPr>
          </w:p>
        </w:tc>
        <w:tc>
          <w:tcPr>
            <w:tcW w:w="709"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685" w:type="dxa"/>
            <w:tcBorders>
              <w:top w:val="nil"/>
              <w:tl2br w:val="nil"/>
              <w:tr2bl w:val="nil"/>
            </w:tcBorders>
          </w:tcPr>
          <w:p>
            <w:pPr>
              <w:spacing w:line="360" w:lineRule="auto"/>
              <w:jc w:val="both"/>
              <w:rPr>
                <w:rFonts w:ascii="Book Antiqua" w:hAnsi="Book Antiqua" w:cs="Book Antiqua"/>
              </w:rPr>
            </w:pPr>
            <w:r>
              <w:rPr>
                <w:rFonts w:ascii="Book Antiqua" w:hAnsi="Book Antiqua" w:cs="Book Antiqua"/>
              </w:rPr>
              <w:t>No</w:t>
            </w:r>
          </w:p>
        </w:tc>
        <w:tc>
          <w:tcPr>
            <w:tcW w:w="1158" w:type="dxa"/>
            <w:tcBorders>
              <w:top w:val="nil"/>
              <w:tl2br w:val="nil"/>
              <w:tr2bl w:val="nil"/>
            </w:tcBorders>
            <w:noWrap/>
          </w:tcPr>
          <w:p>
            <w:pPr>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567"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10</w:t>
            </w:r>
          </w:p>
        </w:tc>
        <w:tc>
          <w:tcPr>
            <w:tcW w:w="1135"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Pescador </w:t>
            </w:r>
            <w:r>
              <w:rPr>
                <w:rFonts w:ascii="Book Antiqua" w:hAnsi="Book Antiqua" w:cs="Book Antiqua"/>
                <w:i/>
                <w:iCs/>
              </w:rPr>
              <w:t>et al</w:t>
            </w:r>
            <w:r>
              <w:rPr>
                <w:rFonts w:ascii="Book Antiqua" w:hAnsi="Book Antiqua" w:cs="Book Antiqua"/>
                <w:vertAlign w:val="superscript"/>
              </w:rPr>
              <w:t>[</w:t>
            </w:r>
            <w:r>
              <w:rPr>
                <w:rFonts w:hint="eastAsia" w:ascii="Book Antiqua" w:hAnsi="Book Antiqua" w:eastAsia="宋体" w:cs="Book Antiqua"/>
                <w:vertAlign w:val="superscript"/>
                <w:lang w:eastAsia="zh-CN"/>
              </w:rPr>
              <w:t>15</w:t>
            </w:r>
            <w:r>
              <w:rPr>
                <w:rFonts w:ascii="Book Antiqua" w:hAnsi="Book Antiqua" w:cs="Book Antiqua"/>
                <w:vertAlign w:val="superscript"/>
              </w:rPr>
              <w:t>]</w:t>
            </w:r>
          </w:p>
        </w:tc>
        <w:tc>
          <w:tcPr>
            <w:tcW w:w="709"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2016</w:t>
            </w:r>
          </w:p>
        </w:tc>
        <w:tc>
          <w:tcPr>
            <w:tcW w:w="1050" w:type="dxa"/>
            <w:tcBorders>
              <w:bottom w:val="nil"/>
              <w:tl2br w:val="nil"/>
              <w:tr2bl w:val="nil"/>
            </w:tcBorders>
          </w:tcPr>
          <w:p>
            <w:pPr>
              <w:spacing w:line="360" w:lineRule="auto"/>
              <w:jc w:val="both"/>
              <w:rPr>
                <w:rFonts w:ascii="Book Antiqua" w:hAnsi="Book Antiqua" w:cs="Book Antiqua"/>
                <w:i/>
              </w:rPr>
            </w:pPr>
            <w:r>
              <w:rPr>
                <w:rFonts w:ascii="Book Antiqua" w:hAnsi="Book Antiqua" w:cs="Book Antiqua"/>
                <w:i/>
              </w:rPr>
              <w:t xml:space="preserve">Reumatol Clin. </w:t>
            </w:r>
          </w:p>
        </w:tc>
        <w:tc>
          <w:tcPr>
            <w:tcW w:w="787" w:type="dxa"/>
            <w:tcBorders>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C</w:t>
            </w:r>
            <w:r>
              <w:rPr>
                <w:rFonts w:ascii="Book Antiqua" w:hAnsi="Book Antiqua" w:cs="Book Antiqua"/>
              </w:rPr>
              <w:t>ase report</w:t>
            </w:r>
          </w:p>
        </w:tc>
        <w:tc>
          <w:tcPr>
            <w:tcW w:w="920"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1</w:t>
            </w:r>
          </w:p>
        </w:tc>
        <w:tc>
          <w:tcPr>
            <w:tcW w:w="666" w:type="dxa"/>
            <w:tcBorders>
              <w:bottom w:val="nil"/>
              <w:tl2br w:val="nil"/>
              <w:tr2bl w:val="nil"/>
            </w:tcBorders>
            <w:noWrap/>
          </w:tcPr>
          <w:p>
            <w:pPr>
              <w:spacing w:line="360" w:lineRule="auto"/>
              <w:jc w:val="both"/>
              <w:rPr>
                <w:rFonts w:ascii="Book Antiqua" w:hAnsi="Book Antiqua" w:cs="Book Antiqua"/>
              </w:rPr>
            </w:pPr>
            <w:r>
              <w:rPr>
                <w:rFonts w:ascii="Book Antiqua" w:hAnsi="Book Antiqua" w:cs="Book Antiqua"/>
              </w:rPr>
              <w:t>F</w:t>
            </w:r>
          </w:p>
        </w:tc>
        <w:tc>
          <w:tcPr>
            <w:tcW w:w="546"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72</w:t>
            </w:r>
          </w:p>
        </w:tc>
        <w:tc>
          <w:tcPr>
            <w:tcW w:w="708"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843" w:type="dxa"/>
            <w:tcBorders>
              <w:bottom w:val="nil"/>
              <w:tl2br w:val="nil"/>
              <w:tr2bl w:val="nil"/>
            </w:tcBorders>
          </w:tcPr>
          <w:p>
            <w:pPr>
              <w:spacing w:line="360" w:lineRule="auto"/>
              <w:jc w:val="both"/>
              <w:rPr>
                <w:rFonts w:ascii="Book Antiqua" w:hAnsi="Book Antiqua" w:cs="Book Antiqua"/>
              </w:rPr>
            </w:pPr>
          </w:p>
        </w:tc>
        <w:tc>
          <w:tcPr>
            <w:tcW w:w="709"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1134" w:type="dxa"/>
            <w:tcBorders>
              <w:bottom w:val="nil"/>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R</w:t>
            </w:r>
            <w:r>
              <w:rPr>
                <w:rFonts w:ascii="Book Antiqua" w:hAnsi="Book Antiqua" w:cs="Book Antiqua"/>
              </w:rPr>
              <w:t xml:space="preserve">evision with TKA </w:t>
            </w:r>
          </w:p>
        </w:tc>
        <w:tc>
          <w:tcPr>
            <w:tcW w:w="850" w:type="dxa"/>
            <w:tcBorders>
              <w:bottom w:val="nil"/>
              <w:tl2br w:val="nil"/>
              <w:tr2bl w:val="nil"/>
            </w:tcBorders>
            <w:noWrap/>
          </w:tcPr>
          <w:p>
            <w:pPr>
              <w:spacing w:line="360" w:lineRule="auto"/>
              <w:jc w:val="both"/>
              <w:rPr>
                <w:rFonts w:ascii="Book Antiqua" w:hAnsi="Book Antiqua" w:cs="Book Antiqua"/>
              </w:rPr>
            </w:pPr>
          </w:p>
        </w:tc>
        <w:tc>
          <w:tcPr>
            <w:tcW w:w="709" w:type="dxa"/>
            <w:tcBorders>
              <w:bottom w:val="nil"/>
              <w:tl2br w:val="nil"/>
              <w:tr2bl w:val="nil"/>
            </w:tcBorders>
            <w:noWrap/>
          </w:tcPr>
          <w:p>
            <w:pPr>
              <w:spacing w:line="360" w:lineRule="auto"/>
              <w:jc w:val="both"/>
              <w:rPr>
                <w:rFonts w:ascii="Book Antiqua" w:hAnsi="Book Antiqua" w:cs="Book Antiqua"/>
              </w:rPr>
            </w:pPr>
          </w:p>
        </w:tc>
        <w:tc>
          <w:tcPr>
            <w:tcW w:w="1276"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 xml:space="preserve">NA </w:t>
            </w:r>
          </w:p>
        </w:tc>
        <w:tc>
          <w:tcPr>
            <w:tcW w:w="992" w:type="dxa"/>
            <w:tcBorders>
              <w:bottom w:val="nil"/>
              <w:tl2br w:val="nil"/>
              <w:tr2bl w:val="nil"/>
            </w:tcBorders>
            <w:noWrap/>
          </w:tcPr>
          <w:p>
            <w:pPr>
              <w:spacing w:line="360" w:lineRule="auto"/>
              <w:jc w:val="both"/>
              <w:rPr>
                <w:rFonts w:ascii="Book Antiqua" w:hAnsi="Book Antiqua" w:cs="Book Antiqua"/>
              </w:rPr>
            </w:pPr>
          </w:p>
        </w:tc>
        <w:tc>
          <w:tcPr>
            <w:tcW w:w="851" w:type="dxa"/>
            <w:tcBorders>
              <w:bottom w:val="nil"/>
              <w:tl2br w:val="nil"/>
              <w:tr2bl w:val="nil"/>
            </w:tcBorders>
            <w:noWrap/>
          </w:tcPr>
          <w:p>
            <w:pPr>
              <w:spacing w:line="360" w:lineRule="auto"/>
              <w:jc w:val="both"/>
              <w:rPr>
                <w:rFonts w:ascii="Book Antiqua" w:hAnsi="Book Antiqua" w:cs="Book Antiqua"/>
              </w:rPr>
            </w:pPr>
          </w:p>
        </w:tc>
        <w:tc>
          <w:tcPr>
            <w:tcW w:w="708" w:type="dxa"/>
            <w:tcBorders>
              <w:bottom w:val="nil"/>
              <w:tl2br w:val="nil"/>
              <w:tr2bl w:val="nil"/>
            </w:tcBorders>
            <w:noWrap/>
          </w:tcPr>
          <w:p>
            <w:pPr>
              <w:spacing w:line="360" w:lineRule="auto"/>
              <w:jc w:val="both"/>
              <w:rPr>
                <w:rFonts w:ascii="Book Antiqua" w:hAnsi="Book Antiqua" w:cs="Book Antiqua"/>
              </w:rPr>
            </w:pPr>
          </w:p>
        </w:tc>
        <w:tc>
          <w:tcPr>
            <w:tcW w:w="709" w:type="dxa"/>
            <w:tcBorders>
              <w:bottom w:val="nil"/>
              <w:tl2br w:val="nil"/>
              <w:tr2bl w:val="nil"/>
            </w:tcBorders>
            <w:noWrap/>
          </w:tcPr>
          <w:p>
            <w:pPr>
              <w:spacing w:line="360" w:lineRule="auto"/>
              <w:jc w:val="both"/>
              <w:rPr>
                <w:rFonts w:ascii="Book Antiqua" w:hAnsi="Book Antiqua" w:cs="Book Antiqua"/>
              </w:rPr>
            </w:pPr>
          </w:p>
        </w:tc>
        <w:tc>
          <w:tcPr>
            <w:tcW w:w="685" w:type="dxa"/>
            <w:tcBorders>
              <w:bottom w:val="nil"/>
              <w:tl2br w:val="nil"/>
              <w:tr2bl w:val="nil"/>
            </w:tcBorders>
            <w:noWrap/>
          </w:tcPr>
          <w:p>
            <w:pPr>
              <w:spacing w:line="360" w:lineRule="auto"/>
              <w:jc w:val="both"/>
              <w:rPr>
                <w:rFonts w:ascii="Book Antiqua" w:hAnsi="Book Antiqua" w:cs="Book Antiqua"/>
              </w:rPr>
            </w:pPr>
          </w:p>
        </w:tc>
        <w:tc>
          <w:tcPr>
            <w:tcW w:w="1158" w:type="dxa"/>
            <w:tcBorders>
              <w:bottom w:val="nil"/>
              <w:tl2br w:val="nil"/>
              <w:tr2bl w:val="nil"/>
            </w:tcBorders>
            <w:noWrap/>
          </w:tcPr>
          <w:p>
            <w:pPr>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567" w:type="dxa"/>
            <w:tcBorders>
              <w:top w:val="nil"/>
              <w:bottom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TOT.</w:t>
            </w:r>
          </w:p>
        </w:tc>
        <w:tc>
          <w:tcPr>
            <w:tcW w:w="1135" w:type="dxa"/>
            <w:tcBorders>
              <w:top w:val="nil"/>
              <w:bottom w:val="single" w:color="auto" w:sz="4" w:space="0"/>
              <w:tl2br w:val="nil"/>
              <w:tr2bl w:val="nil"/>
            </w:tcBorders>
          </w:tcPr>
          <w:p>
            <w:pPr>
              <w:spacing w:line="360" w:lineRule="auto"/>
              <w:jc w:val="both"/>
              <w:rPr>
                <w:rFonts w:ascii="Book Antiqua" w:hAnsi="Book Antiqua" w:cs="Book Antiqua"/>
              </w:rPr>
            </w:pPr>
          </w:p>
        </w:tc>
        <w:tc>
          <w:tcPr>
            <w:tcW w:w="709" w:type="dxa"/>
            <w:tcBorders>
              <w:top w:val="nil"/>
              <w:bottom w:val="single" w:color="auto" w:sz="4" w:space="0"/>
              <w:tl2br w:val="nil"/>
              <w:tr2bl w:val="nil"/>
            </w:tcBorders>
          </w:tcPr>
          <w:p>
            <w:pPr>
              <w:spacing w:line="360" w:lineRule="auto"/>
              <w:jc w:val="both"/>
              <w:rPr>
                <w:rFonts w:ascii="Book Antiqua" w:hAnsi="Book Antiqua" w:cs="Book Antiqua"/>
              </w:rPr>
            </w:pPr>
          </w:p>
        </w:tc>
        <w:tc>
          <w:tcPr>
            <w:tcW w:w="1050" w:type="dxa"/>
            <w:tcBorders>
              <w:top w:val="nil"/>
              <w:bottom w:val="single" w:color="auto" w:sz="4" w:space="0"/>
              <w:tl2br w:val="nil"/>
              <w:tr2bl w:val="nil"/>
            </w:tcBorders>
          </w:tcPr>
          <w:p>
            <w:pPr>
              <w:spacing w:line="360" w:lineRule="auto"/>
              <w:jc w:val="both"/>
              <w:rPr>
                <w:rFonts w:ascii="Book Antiqua" w:hAnsi="Book Antiqua" w:cs="Book Antiqua"/>
              </w:rPr>
            </w:pPr>
          </w:p>
        </w:tc>
        <w:tc>
          <w:tcPr>
            <w:tcW w:w="787" w:type="dxa"/>
            <w:tcBorders>
              <w:top w:val="nil"/>
              <w:bottom w:val="single" w:color="auto" w:sz="4" w:space="0"/>
              <w:tl2br w:val="nil"/>
              <w:tr2bl w:val="nil"/>
            </w:tcBorders>
          </w:tcPr>
          <w:p>
            <w:pPr>
              <w:spacing w:line="360" w:lineRule="auto"/>
              <w:jc w:val="both"/>
              <w:rPr>
                <w:rFonts w:ascii="Book Antiqua" w:hAnsi="Book Antiqua" w:cs="Book Antiqua"/>
              </w:rPr>
            </w:pPr>
          </w:p>
        </w:tc>
        <w:tc>
          <w:tcPr>
            <w:tcW w:w="920" w:type="dxa"/>
            <w:tcBorders>
              <w:top w:val="nil"/>
              <w:bottom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11</w:t>
            </w:r>
          </w:p>
        </w:tc>
        <w:tc>
          <w:tcPr>
            <w:tcW w:w="666" w:type="dxa"/>
            <w:tcBorders>
              <w:top w:val="nil"/>
              <w:bottom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6 M /4 F</w:t>
            </w:r>
          </w:p>
        </w:tc>
        <w:tc>
          <w:tcPr>
            <w:tcW w:w="546" w:type="dxa"/>
            <w:tcBorders>
              <w:top w:val="nil"/>
              <w:bottom w:val="single" w:color="auto" w:sz="4" w:space="0"/>
              <w:tl2br w:val="nil"/>
              <w:tr2bl w:val="nil"/>
            </w:tcBorders>
          </w:tcPr>
          <w:p>
            <w:pPr>
              <w:spacing w:line="360" w:lineRule="auto"/>
              <w:jc w:val="both"/>
              <w:rPr>
                <w:rFonts w:ascii="Book Antiqua" w:hAnsi="Book Antiqua" w:cs="Book Antiqua"/>
              </w:rPr>
            </w:pPr>
            <w:r>
              <w:rPr>
                <w:rFonts w:hint="eastAsia" w:ascii="Book Antiqua" w:hAnsi="Book Antiqua" w:eastAsia="宋体" w:cs="Book Antiqua"/>
                <w:lang w:eastAsia="zh-CN"/>
              </w:rPr>
              <w:t>M</w:t>
            </w:r>
            <w:r>
              <w:rPr>
                <w:rFonts w:ascii="Book Antiqua" w:hAnsi="Book Antiqua" w:cs="Book Antiqua"/>
              </w:rPr>
              <w:t>ean: 66,</w:t>
            </w:r>
            <w:r>
              <w:rPr>
                <w:rFonts w:hint="eastAsia" w:ascii="Book Antiqua" w:hAnsi="Book Antiqua" w:eastAsia="宋体" w:cs="Book Antiqua"/>
                <w:lang w:eastAsia="zh-CN"/>
              </w:rPr>
              <w:t xml:space="preserve"> </w:t>
            </w:r>
            <w:r>
              <w:rPr>
                <w:rFonts w:ascii="Book Antiqua" w:hAnsi="Book Antiqua" w:cs="Book Antiqua"/>
              </w:rPr>
              <w:t>4</w:t>
            </w:r>
          </w:p>
        </w:tc>
        <w:tc>
          <w:tcPr>
            <w:tcW w:w="708" w:type="dxa"/>
            <w:tcBorders>
              <w:top w:val="nil"/>
              <w:bottom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3 Fixed /1 Mobile</w:t>
            </w:r>
          </w:p>
        </w:tc>
        <w:tc>
          <w:tcPr>
            <w:tcW w:w="1843" w:type="dxa"/>
            <w:tcBorders>
              <w:top w:val="nil"/>
              <w:bottom w:val="single" w:color="auto" w:sz="4" w:space="0"/>
              <w:tl2br w:val="nil"/>
              <w:tr2bl w:val="nil"/>
            </w:tcBorders>
            <w:noWrap/>
          </w:tcPr>
          <w:p>
            <w:pPr>
              <w:spacing w:line="360" w:lineRule="auto"/>
              <w:jc w:val="both"/>
              <w:rPr>
                <w:rFonts w:ascii="Book Antiqua" w:hAnsi="Book Antiqua" w:cs="Book Antiqua"/>
              </w:rPr>
            </w:pPr>
            <w:r>
              <w:rPr>
                <w:rFonts w:hint="eastAsia" w:ascii="Book Antiqua" w:hAnsi="Book Antiqua" w:eastAsia="宋体" w:cs="Book Antiqua"/>
                <w:lang w:eastAsia="zh-CN"/>
              </w:rPr>
              <w:t>M</w:t>
            </w:r>
            <w:r>
              <w:rPr>
                <w:rFonts w:ascii="Book Antiqua" w:hAnsi="Book Antiqua" w:cs="Book Antiqua"/>
              </w:rPr>
              <w:t>ean: 42,</w:t>
            </w:r>
            <w:r>
              <w:rPr>
                <w:rFonts w:hint="eastAsia" w:ascii="Book Antiqua" w:hAnsi="Book Antiqua" w:eastAsia="宋体" w:cs="Book Antiqua"/>
                <w:lang w:eastAsia="zh-CN"/>
              </w:rPr>
              <w:t xml:space="preserve"> </w:t>
            </w:r>
            <w:r>
              <w:rPr>
                <w:rFonts w:ascii="Book Antiqua" w:hAnsi="Book Antiqua" w:cs="Book Antiqua"/>
              </w:rPr>
              <w:t>58</w:t>
            </w:r>
          </w:p>
        </w:tc>
        <w:tc>
          <w:tcPr>
            <w:tcW w:w="709" w:type="dxa"/>
            <w:tcBorders>
              <w:top w:val="nil"/>
              <w:bottom w:val="single" w:color="auto" w:sz="4" w:space="0"/>
              <w:tl2br w:val="nil"/>
              <w:tr2bl w:val="nil"/>
            </w:tcBorders>
            <w:noWrap/>
          </w:tcPr>
          <w:p>
            <w:pPr>
              <w:spacing w:line="360" w:lineRule="auto"/>
              <w:jc w:val="both"/>
              <w:rPr>
                <w:rFonts w:ascii="Book Antiqua" w:hAnsi="Book Antiqua" w:cs="Book Antiqua"/>
              </w:rPr>
            </w:pPr>
          </w:p>
        </w:tc>
        <w:tc>
          <w:tcPr>
            <w:tcW w:w="1134" w:type="dxa"/>
            <w:tcBorders>
              <w:top w:val="nil"/>
              <w:bottom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9 TKA /1 UKA</w:t>
            </w:r>
          </w:p>
        </w:tc>
        <w:tc>
          <w:tcPr>
            <w:tcW w:w="850" w:type="dxa"/>
            <w:tcBorders>
              <w:top w:val="nil"/>
              <w:bottom w:val="single" w:color="auto" w:sz="4" w:space="0"/>
              <w:tl2br w:val="nil"/>
              <w:tr2bl w:val="nil"/>
            </w:tcBorders>
            <w:noWrap/>
          </w:tcPr>
          <w:p>
            <w:pPr>
              <w:spacing w:line="360" w:lineRule="auto"/>
              <w:jc w:val="both"/>
              <w:rPr>
                <w:rFonts w:ascii="Book Antiqua" w:hAnsi="Book Antiqua" w:cs="Book Antiqua"/>
              </w:rPr>
            </w:pPr>
          </w:p>
        </w:tc>
        <w:tc>
          <w:tcPr>
            <w:tcW w:w="709" w:type="dxa"/>
            <w:tcBorders>
              <w:top w:val="nil"/>
              <w:bottom w:val="single" w:color="auto" w:sz="4" w:space="0"/>
              <w:tl2br w:val="nil"/>
              <w:tr2bl w:val="nil"/>
            </w:tcBorders>
            <w:noWrap/>
          </w:tcPr>
          <w:p>
            <w:pPr>
              <w:spacing w:line="360" w:lineRule="auto"/>
              <w:jc w:val="both"/>
              <w:rPr>
                <w:rFonts w:ascii="Book Antiqua" w:hAnsi="Book Antiqua" w:cs="Book Antiqua"/>
              </w:rPr>
            </w:pPr>
          </w:p>
        </w:tc>
        <w:tc>
          <w:tcPr>
            <w:tcW w:w="1276" w:type="dxa"/>
            <w:tcBorders>
              <w:top w:val="nil"/>
              <w:bottom w:val="single" w:color="auto" w:sz="4" w:space="0"/>
              <w:tl2br w:val="nil"/>
              <w:tr2bl w:val="nil"/>
            </w:tcBorders>
            <w:noWrap/>
          </w:tcPr>
          <w:p>
            <w:pPr>
              <w:spacing w:line="360" w:lineRule="auto"/>
              <w:jc w:val="both"/>
              <w:rPr>
                <w:rFonts w:ascii="Book Antiqua" w:hAnsi="Book Antiqua" w:cs="Book Antiqua"/>
              </w:rPr>
            </w:pPr>
          </w:p>
        </w:tc>
        <w:tc>
          <w:tcPr>
            <w:tcW w:w="992" w:type="dxa"/>
            <w:tcBorders>
              <w:top w:val="nil"/>
              <w:bottom w:val="single" w:color="auto" w:sz="4" w:space="0"/>
              <w:tl2br w:val="nil"/>
              <w:tr2bl w:val="nil"/>
            </w:tcBorders>
            <w:noWrap/>
          </w:tcPr>
          <w:p>
            <w:pPr>
              <w:spacing w:line="360" w:lineRule="auto"/>
              <w:jc w:val="both"/>
              <w:rPr>
                <w:rFonts w:ascii="Book Antiqua" w:hAnsi="Book Antiqua" w:cs="Book Antiqua"/>
              </w:rPr>
            </w:pPr>
          </w:p>
        </w:tc>
        <w:tc>
          <w:tcPr>
            <w:tcW w:w="851" w:type="dxa"/>
            <w:tcBorders>
              <w:top w:val="nil"/>
              <w:bottom w:val="single" w:color="auto" w:sz="4" w:space="0"/>
              <w:tl2br w:val="nil"/>
              <w:tr2bl w:val="nil"/>
            </w:tcBorders>
            <w:noWrap/>
          </w:tcPr>
          <w:p>
            <w:pPr>
              <w:spacing w:line="360" w:lineRule="auto"/>
              <w:jc w:val="both"/>
              <w:rPr>
                <w:rFonts w:ascii="Book Antiqua" w:hAnsi="Book Antiqua" w:cs="Book Antiqua"/>
              </w:rPr>
            </w:pPr>
          </w:p>
        </w:tc>
        <w:tc>
          <w:tcPr>
            <w:tcW w:w="708" w:type="dxa"/>
            <w:tcBorders>
              <w:top w:val="nil"/>
              <w:bottom w:val="single" w:color="auto" w:sz="4" w:space="0"/>
              <w:tl2br w:val="nil"/>
              <w:tr2bl w:val="nil"/>
            </w:tcBorders>
            <w:noWrap/>
          </w:tcPr>
          <w:p>
            <w:pPr>
              <w:spacing w:line="360" w:lineRule="auto"/>
              <w:jc w:val="both"/>
              <w:rPr>
                <w:rFonts w:ascii="Book Antiqua" w:hAnsi="Book Antiqua" w:cs="Book Antiqua"/>
              </w:rPr>
            </w:pPr>
          </w:p>
        </w:tc>
        <w:tc>
          <w:tcPr>
            <w:tcW w:w="709" w:type="dxa"/>
            <w:tcBorders>
              <w:top w:val="nil"/>
              <w:bottom w:val="single" w:color="auto" w:sz="4" w:space="0"/>
              <w:tl2br w:val="nil"/>
              <w:tr2bl w:val="nil"/>
            </w:tcBorders>
            <w:noWrap/>
          </w:tcPr>
          <w:p>
            <w:pPr>
              <w:spacing w:line="360" w:lineRule="auto"/>
              <w:jc w:val="both"/>
              <w:rPr>
                <w:rFonts w:ascii="Book Antiqua" w:hAnsi="Book Antiqua" w:cs="Book Antiqua"/>
              </w:rPr>
            </w:pPr>
          </w:p>
        </w:tc>
        <w:tc>
          <w:tcPr>
            <w:tcW w:w="685" w:type="dxa"/>
            <w:tcBorders>
              <w:top w:val="nil"/>
              <w:bottom w:val="single" w:color="auto" w:sz="4" w:space="0"/>
              <w:tl2br w:val="nil"/>
              <w:tr2bl w:val="nil"/>
            </w:tcBorders>
            <w:noWrap/>
          </w:tcPr>
          <w:p>
            <w:pPr>
              <w:spacing w:line="360" w:lineRule="auto"/>
              <w:jc w:val="both"/>
              <w:rPr>
                <w:rFonts w:ascii="Book Antiqua" w:hAnsi="Book Antiqua" w:cs="Book Antiqua"/>
              </w:rPr>
            </w:pPr>
          </w:p>
        </w:tc>
        <w:tc>
          <w:tcPr>
            <w:tcW w:w="1158" w:type="dxa"/>
            <w:tcBorders>
              <w:top w:val="nil"/>
              <w:bottom w:val="single" w:color="auto" w:sz="4" w:space="0"/>
              <w:tl2br w:val="nil"/>
              <w:tr2bl w:val="nil"/>
            </w:tcBorders>
            <w:noWrap/>
          </w:tcPr>
          <w:p>
            <w:pPr>
              <w:spacing w:line="360" w:lineRule="auto"/>
              <w:jc w:val="both"/>
              <w:rPr>
                <w:rFonts w:ascii="Book Antiqua" w:hAnsi="Book Antiqua" w:cs="Book Antiqua"/>
              </w:rPr>
            </w:pPr>
          </w:p>
        </w:tc>
      </w:tr>
    </w:tbl>
    <w:p>
      <w:pPr>
        <w:spacing w:line="360" w:lineRule="auto"/>
        <w:jc w:val="both"/>
        <w:rPr>
          <w:rFonts w:ascii="Book Antiqua" w:hAnsi="Book Antiqua" w:cs="Book Antiqua"/>
          <w:lang w:val="en-GB"/>
        </w:rPr>
      </w:pPr>
      <w:r>
        <w:rPr>
          <w:rFonts w:ascii="Book Antiqua" w:hAnsi="Book Antiqua" w:cs="Book Antiqua"/>
        </w:rPr>
        <w:t>NA: Not available</w:t>
      </w:r>
      <w:r>
        <w:rPr>
          <w:rFonts w:hint="eastAsia" w:ascii="Book Antiqua" w:hAnsi="Book Antiqua" w:cs="Book Antiqua" w:eastAsiaTheme="minorEastAsia"/>
          <w:lang w:eastAsia="zh-CN"/>
        </w:rPr>
        <w:t xml:space="preserve">; </w:t>
      </w:r>
      <w:r>
        <w:rPr>
          <w:rFonts w:ascii="Book Antiqua" w:hAnsi="Book Antiqua" w:cs="Book Antiqua"/>
        </w:rPr>
        <w:t xml:space="preserve">TKA: Total knee </w:t>
      </w:r>
      <w:r>
        <w:rPr>
          <w:rFonts w:hint="eastAsia" w:ascii="Book Antiqua" w:hAnsi="Book Antiqua" w:eastAsia="宋体" w:cs="Book Antiqua"/>
          <w:lang w:eastAsia="zh-CN"/>
        </w:rPr>
        <w:t>a</w:t>
      </w:r>
      <w:r>
        <w:rPr>
          <w:rFonts w:ascii="Book Antiqua" w:hAnsi="Book Antiqua" w:cs="Book Antiqua"/>
        </w:rPr>
        <w:t>rthroplasty</w:t>
      </w:r>
      <w:r>
        <w:rPr>
          <w:rFonts w:hint="eastAsia" w:ascii="Book Antiqua" w:hAnsi="Book Antiqua" w:eastAsia="宋体" w:cs="Book Antiqua"/>
          <w:lang w:eastAsia="zh-CN"/>
        </w:rPr>
        <w:t>;</w:t>
      </w:r>
      <w:r>
        <w:rPr>
          <w:rFonts w:ascii="Book Antiqua" w:hAnsi="Book Antiqua" w:cs="Book Antiqua"/>
        </w:rPr>
        <w:t xml:space="preserve"> UKA: Unicompartmental knee </w:t>
      </w:r>
      <w:r>
        <w:rPr>
          <w:rFonts w:hint="eastAsia" w:ascii="Book Antiqua" w:hAnsi="Book Antiqua" w:eastAsia="宋体" w:cs="Book Antiqua"/>
          <w:lang w:eastAsia="zh-CN"/>
        </w:rPr>
        <w:t>a</w:t>
      </w:r>
      <w:r>
        <w:rPr>
          <w:rFonts w:ascii="Book Antiqua" w:hAnsi="Book Antiqua" w:cs="Book Antiqua"/>
        </w:rPr>
        <w:t>rtrhoplasthy</w:t>
      </w:r>
      <w:r>
        <w:rPr>
          <w:rFonts w:hint="eastAsia" w:ascii="Book Antiqua" w:hAnsi="Book Antiqua" w:eastAsia="宋体" w:cs="Book Antiqua"/>
          <w:lang w:eastAsia="zh-CN"/>
        </w:rPr>
        <w:t>;</w:t>
      </w:r>
      <w:r>
        <w:rPr>
          <w:rFonts w:ascii="Book Antiqua" w:hAnsi="Book Antiqua" w:cs="Book Antiqua"/>
        </w:rPr>
        <w:t xml:space="preserve"> KSS: Knee society score</w:t>
      </w:r>
      <w:r>
        <w:rPr>
          <w:rFonts w:hint="eastAsia" w:ascii="Book Antiqua" w:hAnsi="Book Antiqua" w:eastAsia="宋体" w:cs="Book Antiqua"/>
          <w:lang w:eastAsia="zh-CN"/>
        </w:rPr>
        <w:t>;</w:t>
      </w:r>
      <w:r>
        <w:rPr>
          <w:rFonts w:ascii="Book Antiqua" w:hAnsi="Book Antiqua" w:cs="Book Antiqua"/>
        </w:rPr>
        <w:t xml:space="preserve"> UCLA: UCLA </w:t>
      </w:r>
      <w:r>
        <w:rPr>
          <w:rFonts w:hint="eastAsia" w:ascii="Book Antiqua" w:hAnsi="Book Antiqua" w:eastAsia="宋体" w:cs="Book Antiqua"/>
          <w:lang w:eastAsia="zh-CN"/>
        </w:rPr>
        <w:t>a</w:t>
      </w:r>
      <w:r>
        <w:rPr>
          <w:rFonts w:ascii="Book Antiqua" w:hAnsi="Book Antiqua" w:cs="Book Antiqua"/>
        </w:rPr>
        <w:t xml:space="preserve">ctivity </w:t>
      </w:r>
      <w:r>
        <w:rPr>
          <w:rFonts w:hint="eastAsia" w:ascii="Book Antiqua" w:hAnsi="Book Antiqua" w:eastAsia="宋体" w:cs="Book Antiqua"/>
          <w:lang w:eastAsia="zh-CN"/>
        </w:rPr>
        <w:t>s</w:t>
      </w:r>
      <w:r>
        <w:rPr>
          <w:rFonts w:ascii="Book Antiqua" w:hAnsi="Book Antiqua" w:cs="Book Antiqua"/>
        </w:rPr>
        <w:t>cale</w:t>
      </w:r>
      <w:r>
        <w:rPr>
          <w:rFonts w:hint="eastAsia" w:ascii="Book Antiqua" w:hAnsi="Book Antiqua" w:eastAsia="宋体" w:cs="Book Antiqua"/>
          <w:lang w:eastAsia="zh-CN"/>
        </w:rPr>
        <w:t>;</w:t>
      </w:r>
      <w:r>
        <w:rPr>
          <w:rFonts w:ascii="Book Antiqua" w:hAnsi="Book Antiqua" w:cs="Book Antiqua"/>
        </w:rPr>
        <w:t xml:space="preserve"> OKS: Oxford knee score</w:t>
      </w:r>
      <w:r>
        <w:rPr>
          <w:rFonts w:hint="eastAsia" w:ascii="Book Antiqua" w:hAnsi="Book Antiqua" w:eastAsia="宋体" w:cs="Book Antiqua"/>
          <w:lang w:eastAsia="zh-CN"/>
        </w:rPr>
        <w:t>;</w:t>
      </w:r>
      <w:r>
        <w:rPr>
          <w:rFonts w:ascii="Book Antiqua" w:hAnsi="Book Antiqua" w:cs="Book Antiqua"/>
        </w:rPr>
        <w:t xml:space="preserve"> KSF: Knee society function score.</w:t>
      </w:r>
    </w:p>
    <w:p>
      <w:pPr>
        <w:spacing w:line="360" w:lineRule="auto"/>
        <w:jc w:val="both"/>
        <w:sectPr>
          <w:pgSz w:w="20160" w:h="12240" w:orient="landscape"/>
          <w:pgMar w:top="1440" w:right="1440" w:bottom="1440" w:left="1440" w:header="720" w:footer="720" w:gutter="0"/>
          <w:cols w:space="720" w:num="1"/>
          <w:docGrid w:linePitch="360" w:charSpace="0"/>
        </w:sectPr>
      </w:pPr>
    </w:p>
    <w:p>
      <w:pPr>
        <w:spacing w:line="360" w:lineRule="auto"/>
        <w:jc w:val="both"/>
        <w:rPr>
          <w:rFonts w:ascii="Book Antiqua" w:hAnsi="Book Antiqua" w:cs="Book Antiqua"/>
          <w:b/>
          <w:bCs/>
        </w:rPr>
      </w:pPr>
      <w:r>
        <w:rPr>
          <w:rFonts w:ascii="Book Antiqua" w:hAnsi="Book Antiqua" w:cs="Book Antiqua"/>
          <w:b/>
          <w:bCs/>
        </w:rPr>
        <w:t>Table 2</w:t>
      </w:r>
      <w:r>
        <w:rPr>
          <w:rFonts w:ascii="Book Antiqua" w:hAnsi="Book Antiqua" w:eastAsia="宋体" w:cs="Book Antiqua"/>
          <w:b/>
          <w:bCs/>
          <w:lang w:eastAsia="zh-CN"/>
        </w:rPr>
        <w:t xml:space="preserve"> </w:t>
      </w:r>
      <w:r>
        <w:rPr>
          <w:rFonts w:hint="eastAsia" w:ascii="Book Antiqua" w:hAnsi="Book Antiqua" w:eastAsia="宋体" w:cs="Book Antiqua"/>
          <w:b/>
          <w:bCs/>
          <w:lang w:eastAsia="zh-CN"/>
        </w:rPr>
        <w:t>I</w:t>
      </w:r>
      <w:r>
        <w:rPr>
          <w:rFonts w:ascii="Book Antiqua" w:hAnsi="Book Antiqua" w:cs="Book Antiqua"/>
          <w:b/>
          <w:bCs/>
        </w:rPr>
        <w:t xml:space="preserve">llustrating </w:t>
      </w:r>
      <w:r>
        <w:rPr>
          <w:rFonts w:ascii="Book Antiqua" w:hAnsi="Book Antiqua" w:eastAsia="宋体" w:cs="Book Antiqua"/>
          <w:b/>
          <w:bCs/>
          <w:lang w:eastAsia="zh-CN"/>
        </w:rPr>
        <w:t>o</w:t>
      </w:r>
      <w:r>
        <w:rPr>
          <w:rFonts w:ascii="Book Antiqua" w:hAnsi="Book Antiqua" w:cs="Book Antiqua"/>
          <w:b/>
          <w:bCs/>
        </w:rPr>
        <w:t xml:space="preserve">xford </w:t>
      </w:r>
      <w:r>
        <w:rPr>
          <w:rFonts w:ascii="Book Antiqua" w:hAnsi="Book Antiqua" w:eastAsia="宋体" w:cs="Book Antiqua"/>
          <w:b/>
          <w:bCs/>
          <w:lang w:eastAsia="zh-CN"/>
        </w:rPr>
        <w:t>k</w:t>
      </w:r>
      <w:r>
        <w:rPr>
          <w:rFonts w:ascii="Book Antiqua" w:hAnsi="Book Antiqua" w:cs="Book Antiqua"/>
          <w:b/>
          <w:bCs/>
        </w:rPr>
        <w:t xml:space="preserve">nee </w:t>
      </w:r>
      <w:r>
        <w:rPr>
          <w:rFonts w:ascii="Book Antiqua" w:hAnsi="Book Antiqua" w:eastAsia="宋体" w:cs="Book Antiqua"/>
          <w:b/>
          <w:bCs/>
          <w:lang w:eastAsia="zh-CN"/>
        </w:rPr>
        <w:t>s</w:t>
      </w:r>
      <w:r>
        <w:rPr>
          <w:rFonts w:ascii="Book Antiqua" w:hAnsi="Book Antiqua" w:cs="Book Antiqua"/>
          <w:b/>
          <w:bCs/>
        </w:rPr>
        <w:t>core and blood ion levels before and after revision surgery</w:t>
      </w:r>
    </w:p>
    <w:tbl>
      <w:tblPr>
        <w:tblStyle w:val="8"/>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82"/>
        <w:gridCol w:w="2268"/>
        <w:gridCol w:w="3456"/>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2382" w:type="dxa"/>
            <w:tcBorders>
              <w:top w:val="single" w:color="auto" w:sz="4" w:space="0"/>
              <w:bottom w:val="single" w:color="auto" w:sz="4" w:space="0"/>
            </w:tcBorders>
          </w:tcPr>
          <w:p>
            <w:pPr>
              <w:spacing w:line="360" w:lineRule="auto"/>
              <w:jc w:val="both"/>
              <w:rPr>
                <w:rFonts w:ascii="Book Antiqua" w:hAnsi="Book Antiqua" w:cs="Book Antiqua"/>
                <w:b/>
                <w:bCs/>
              </w:rPr>
            </w:pPr>
          </w:p>
        </w:tc>
        <w:tc>
          <w:tcPr>
            <w:tcW w:w="2268" w:type="dxa"/>
            <w:tcBorders>
              <w:top w:val="single" w:color="auto" w:sz="4" w:space="0"/>
              <w:bottom w:val="single" w:color="auto" w:sz="4" w:space="0"/>
            </w:tcBorders>
          </w:tcPr>
          <w:p>
            <w:pPr>
              <w:spacing w:line="360" w:lineRule="auto"/>
              <w:jc w:val="both"/>
              <w:rPr>
                <w:rFonts w:ascii="Book Antiqua" w:hAnsi="Book Antiqua" w:cs="Book Antiqua"/>
                <w:b/>
                <w:bCs/>
              </w:rPr>
            </w:pPr>
            <w:r>
              <w:rPr>
                <w:rFonts w:ascii="Book Antiqua" w:hAnsi="Book Antiqua" w:cs="Book Antiqua"/>
                <w:b/>
                <w:bCs/>
              </w:rPr>
              <w:t>Pre-revision</w:t>
            </w:r>
          </w:p>
        </w:tc>
        <w:tc>
          <w:tcPr>
            <w:tcW w:w="3456" w:type="dxa"/>
            <w:tcBorders>
              <w:top w:val="single" w:color="auto" w:sz="4" w:space="0"/>
              <w:bottom w:val="single" w:color="auto" w:sz="4" w:space="0"/>
            </w:tcBorders>
          </w:tcPr>
          <w:p>
            <w:pPr>
              <w:spacing w:line="360" w:lineRule="auto"/>
              <w:jc w:val="both"/>
              <w:rPr>
                <w:rFonts w:ascii="Book Antiqua" w:hAnsi="Book Antiqua" w:cs="Book Antiqua" w:eastAsiaTheme="minorEastAsia"/>
                <w:b/>
                <w:bCs/>
                <w:lang w:eastAsia="zh-CN"/>
              </w:rPr>
            </w:pPr>
            <w:r>
              <w:rPr>
                <w:rFonts w:ascii="Book Antiqua" w:hAnsi="Book Antiqua" w:cs="Book Antiqua"/>
                <w:b/>
                <w:bCs/>
              </w:rPr>
              <w:t>Last follow-up</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2382" w:type="dxa"/>
            <w:tcBorders>
              <w:top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OKS</w:t>
            </w:r>
          </w:p>
        </w:tc>
        <w:tc>
          <w:tcPr>
            <w:tcW w:w="2268" w:type="dxa"/>
            <w:tcBorders>
              <w:top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27</w:t>
            </w:r>
          </w:p>
        </w:tc>
        <w:tc>
          <w:tcPr>
            <w:tcW w:w="3456" w:type="dxa"/>
            <w:tcBorders>
              <w:top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40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2382"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Chrome (µg/L)</w:t>
            </w:r>
          </w:p>
        </w:tc>
        <w:tc>
          <w:tcPr>
            <w:tcW w:w="2268"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126</w:t>
            </w:r>
          </w:p>
        </w:tc>
        <w:tc>
          <w:tcPr>
            <w:tcW w:w="3456" w:type="dxa"/>
            <w:tcBorders>
              <w:bottom w:val="nil"/>
              <w:tl2br w:val="nil"/>
              <w:tr2bl w:val="nil"/>
            </w:tcBorders>
          </w:tcPr>
          <w:p>
            <w:pPr>
              <w:spacing w:line="360" w:lineRule="auto"/>
              <w:jc w:val="both"/>
              <w:rPr>
                <w:rFonts w:ascii="Book Antiqua" w:hAnsi="Book Antiqua" w:cs="Book Antiqua"/>
              </w:rPr>
            </w:pPr>
            <w:r>
              <w:rPr>
                <w:rFonts w:ascii="Book Antiqua" w:hAnsi="Book Antiqua" w:cs="Book Antiqua"/>
              </w:rPr>
              <w:t>106</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 w:hRule="atLeast"/>
        </w:trPr>
        <w:tc>
          <w:tcPr>
            <w:tcW w:w="2382" w:type="dxa"/>
            <w:tcBorders>
              <w:top w:val="nil"/>
              <w:bottom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Cobalt (µg/L)</w:t>
            </w:r>
          </w:p>
        </w:tc>
        <w:tc>
          <w:tcPr>
            <w:tcW w:w="2268" w:type="dxa"/>
            <w:tcBorders>
              <w:top w:val="nil"/>
              <w:bottom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334</w:t>
            </w:r>
          </w:p>
        </w:tc>
        <w:tc>
          <w:tcPr>
            <w:tcW w:w="3456" w:type="dxa"/>
            <w:tcBorders>
              <w:top w:val="nil"/>
              <w:bottom w:val="single" w:color="auto" w:sz="4" w:space="0"/>
              <w:tl2br w:val="nil"/>
              <w:tr2bl w:val="nil"/>
            </w:tcBorders>
          </w:tcPr>
          <w:p>
            <w:pPr>
              <w:spacing w:line="360" w:lineRule="auto"/>
              <w:jc w:val="both"/>
              <w:rPr>
                <w:rFonts w:ascii="Book Antiqua" w:hAnsi="Book Antiqua" w:cs="Book Antiqua"/>
              </w:rPr>
            </w:pPr>
            <w:r>
              <w:rPr>
                <w:rFonts w:ascii="Book Antiqua" w:hAnsi="Book Antiqua" w:cs="Book Antiqua"/>
              </w:rPr>
              <w:t>95</w:t>
            </w:r>
          </w:p>
        </w:tc>
      </w:tr>
    </w:tbl>
    <w:p>
      <w:pPr>
        <w:spacing w:line="360" w:lineRule="auto"/>
        <w:jc w:val="both"/>
        <w:rPr>
          <w:rFonts w:ascii="Book Antiqua" w:hAnsi="Book Antiqua" w:eastAsia="宋体" w:cs="Book Antiqua"/>
          <w:lang w:eastAsia="zh-CN"/>
        </w:rPr>
        <w:sectPr>
          <w:pgSz w:w="12240" w:h="15840"/>
          <w:pgMar w:top="1440" w:right="1440" w:bottom="1440" w:left="1440" w:header="720" w:footer="720" w:gutter="0"/>
          <w:cols w:space="720" w:num="1"/>
          <w:docGrid w:linePitch="360" w:charSpace="0"/>
        </w:sectPr>
      </w:pPr>
      <w:r>
        <w:rPr>
          <w:rFonts w:ascii="Book Antiqua" w:hAnsi="Book Antiqua" w:cs="Book Antiqua"/>
        </w:rPr>
        <w:t>OKS</w:t>
      </w:r>
      <w:r>
        <w:rPr>
          <w:rFonts w:ascii="Book Antiqua" w:hAnsi="Book Antiqua" w:eastAsia="宋体" w:cs="Book Antiqua"/>
          <w:lang w:eastAsia="zh-CN"/>
        </w:rPr>
        <w:t xml:space="preserve">: </w:t>
      </w:r>
      <w:r>
        <w:rPr>
          <w:rFonts w:ascii="Book Antiqua" w:hAnsi="Book Antiqua" w:cs="Book Antiqua"/>
        </w:rPr>
        <w:t xml:space="preserve">Oxford </w:t>
      </w:r>
      <w:r>
        <w:rPr>
          <w:rFonts w:hint="eastAsia" w:ascii="Book Antiqua" w:hAnsi="Book Antiqua" w:eastAsia="宋体" w:cs="Book Antiqua"/>
          <w:lang w:eastAsia="zh-CN"/>
        </w:rPr>
        <w:t>k</w:t>
      </w:r>
      <w:r>
        <w:rPr>
          <w:rFonts w:ascii="Book Antiqua" w:hAnsi="Book Antiqua" w:cs="Book Antiqua"/>
        </w:rPr>
        <w:t xml:space="preserve">nee </w:t>
      </w:r>
      <w:r>
        <w:rPr>
          <w:rFonts w:hint="eastAsia" w:ascii="Book Antiqua" w:hAnsi="Book Antiqua" w:eastAsia="宋体" w:cs="Book Antiqua"/>
          <w:lang w:eastAsia="zh-CN"/>
        </w:rPr>
        <w:t>s</w:t>
      </w:r>
      <w:r>
        <w:rPr>
          <w:rFonts w:ascii="Book Antiqua" w:hAnsi="Book Antiqua" w:cs="Book Antiqua"/>
        </w:rPr>
        <w:t>core</w:t>
      </w:r>
      <w:r>
        <w:rPr>
          <w:rFonts w:ascii="Book Antiqua" w:hAnsi="Book Antiqua" w:eastAsia="宋体" w:cs="Book Antiqua"/>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宋体" w:cs="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3626128"/>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21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22</w:t>
            </w:r>
            <w:r>
              <w:rPr>
                <w:rFonts w:ascii="Book Antiqua" w:hAnsi="Book Antiqua"/>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283"/>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2286F"/>
    <w:rsid w:val="00094DA8"/>
    <w:rsid w:val="000C3C36"/>
    <w:rsid w:val="00177C1E"/>
    <w:rsid w:val="001F1D2C"/>
    <w:rsid w:val="002107AC"/>
    <w:rsid w:val="00212ED3"/>
    <w:rsid w:val="002708E0"/>
    <w:rsid w:val="002A5034"/>
    <w:rsid w:val="002F7F2F"/>
    <w:rsid w:val="00311A5F"/>
    <w:rsid w:val="004874D5"/>
    <w:rsid w:val="005531DD"/>
    <w:rsid w:val="005716D2"/>
    <w:rsid w:val="00586E1E"/>
    <w:rsid w:val="005E65DE"/>
    <w:rsid w:val="005F481F"/>
    <w:rsid w:val="006C072D"/>
    <w:rsid w:val="00761604"/>
    <w:rsid w:val="00764A4F"/>
    <w:rsid w:val="00770D7C"/>
    <w:rsid w:val="00793427"/>
    <w:rsid w:val="007B32A7"/>
    <w:rsid w:val="00816F26"/>
    <w:rsid w:val="009073E2"/>
    <w:rsid w:val="00934476"/>
    <w:rsid w:val="009C15CF"/>
    <w:rsid w:val="00A16C41"/>
    <w:rsid w:val="00A71B08"/>
    <w:rsid w:val="00A74008"/>
    <w:rsid w:val="00A77B3E"/>
    <w:rsid w:val="00A916CB"/>
    <w:rsid w:val="00B1043A"/>
    <w:rsid w:val="00BC5A41"/>
    <w:rsid w:val="00BF6ADA"/>
    <w:rsid w:val="00C1122A"/>
    <w:rsid w:val="00C13FC8"/>
    <w:rsid w:val="00C31B6F"/>
    <w:rsid w:val="00C6388E"/>
    <w:rsid w:val="00CA2A55"/>
    <w:rsid w:val="00CE5092"/>
    <w:rsid w:val="00CF3483"/>
    <w:rsid w:val="00D23551"/>
    <w:rsid w:val="00D460EA"/>
    <w:rsid w:val="00DF2526"/>
    <w:rsid w:val="00DF688A"/>
    <w:rsid w:val="00E641F9"/>
    <w:rsid w:val="00F1581E"/>
    <w:rsid w:val="00F60FDB"/>
    <w:rsid w:val="00F721B8"/>
    <w:rsid w:val="00FB7780"/>
    <w:rsid w:val="00FD76A8"/>
    <w:rsid w:val="011473B7"/>
    <w:rsid w:val="018067FB"/>
    <w:rsid w:val="01EC3E90"/>
    <w:rsid w:val="01F114A6"/>
    <w:rsid w:val="028440C8"/>
    <w:rsid w:val="02E903CF"/>
    <w:rsid w:val="02E96621"/>
    <w:rsid w:val="02EB4148"/>
    <w:rsid w:val="02EF1E8A"/>
    <w:rsid w:val="03157416"/>
    <w:rsid w:val="03404493"/>
    <w:rsid w:val="03435D32"/>
    <w:rsid w:val="035E779F"/>
    <w:rsid w:val="041871BE"/>
    <w:rsid w:val="04441D61"/>
    <w:rsid w:val="04695C6C"/>
    <w:rsid w:val="04700DA8"/>
    <w:rsid w:val="047A1C27"/>
    <w:rsid w:val="049031F8"/>
    <w:rsid w:val="04966335"/>
    <w:rsid w:val="04B81C16"/>
    <w:rsid w:val="04BC5D9C"/>
    <w:rsid w:val="052B2F21"/>
    <w:rsid w:val="053022E6"/>
    <w:rsid w:val="054E09BE"/>
    <w:rsid w:val="057228FE"/>
    <w:rsid w:val="05777F14"/>
    <w:rsid w:val="05924D4E"/>
    <w:rsid w:val="05CF5FA2"/>
    <w:rsid w:val="05D956BA"/>
    <w:rsid w:val="05E80E12"/>
    <w:rsid w:val="061340E1"/>
    <w:rsid w:val="06691F53"/>
    <w:rsid w:val="06823015"/>
    <w:rsid w:val="072F4F4B"/>
    <w:rsid w:val="07504EC1"/>
    <w:rsid w:val="0788465B"/>
    <w:rsid w:val="08253C58"/>
    <w:rsid w:val="0834033F"/>
    <w:rsid w:val="08387E2F"/>
    <w:rsid w:val="08470072"/>
    <w:rsid w:val="0858402D"/>
    <w:rsid w:val="0869448C"/>
    <w:rsid w:val="08BC0A60"/>
    <w:rsid w:val="08EC0C19"/>
    <w:rsid w:val="09446B26"/>
    <w:rsid w:val="095A5B83"/>
    <w:rsid w:val="09FB55B8"/>
    <w:rsid w:val="0A40121D"/>
    <w:rsid w:val="0A4F76B2"/>
    <w:rsid w:val="0A785749"/>
    <w:rsid w:val="0B093D05"/>
    <w:rsid w:val="0B1306DF"/>
    <w:rsid w:val="0B6158EF"/>
    <w:rsid w:val="0B6E1DBA"/>
    <w:rsid w:val="0C963376"/>
    <w:rsid w:val="0CBF0B1F"/>
    <w:rsid w:val="0CC5653B"/>
    <w:rsid w:val="0CEC568C"/>
    <w:rsid w:val="0D0227BA"/>
    <w:rsid w:val="0D1424ED"/>
    <w:rsid w:val="0D5154EF"/>
    <w:rsid w:val="0D613984"/>
    <w:rsid w:val="0D63594E"/>
    <w:rsid w:val="0D690A8B"/>
    <w:rsid w:val="0D7A4A46"/>
    <w:rsid w:val="0DA47D15"/>
    <w:rsid w:val="0DC9777B"/>
    <w:rsid w:val="0DD26844"/>
    <w:rsid w:val="0DDC125D"/>
    <w:rsid w:val="0E87741A"/>
    <w:rsid w:val="0E9D6C3E"/>
    <w:rsid w:val="0EE26D46"/>
    <w:rsid w:val="0EF6634E"/>
    <w:rsid w:val="0F0740B7"/>
    <w:rsid w:val="0F0767AD"/>
    <w:rsid w:val="0F4B48EC"/>
    <w:rsid w:val="0F7A6F7F"/>
    <w:rsid w:val="0FA1450C"/>
    <w:rsid w:val="0FB92E54"/>
    <w:rsid w:val="0FC95811"/>
    <w:rsid w:val="0FD22917"/>
    <w:rsid w:val="0FF02D9D"/>
    <w:rsid w:val="10093E5F"/>
    <w:rsid w:val="10CB4494"/>
    <w:rsid w:val="111725AC"/>
    <w:rsid w:val="11365128"/>
    <w:rsid w:val="116A4DD1"/>
    <w:rsid w:val="118916FB"/>
    <w:rsid w:val="118B5473"/>
    <w:rsid w:val="118F5951"/>
    <w:rsid w:val="11934328"/>
    <w:rsid w:val="11A16A45"/>
    <w:rsid w:val="11DC5CCF"/>
    <w:rsid w:val="12244F80"/>
    <w:rsid w:val="12303925"/>
    <w:rsid w:val="12C64289"/>
    <w:rsid w:val="135D699C"/>
    <w:rsid w:val="138A52B7"/>
    <w:rsid w:val="138F0B1F"/>
    <w:rsid w:val="139A7BF0"/>
    <w:rsid w:val="139B5716"/>
    <w:rsid w:val="13E175CD"/>
    <w:rsid w:val="13FA243C"/>
    <w:rsid w:val="14CF1B1B"/>
    <w:rsid w:val="14D507B4"/>
    <w:rsid w:val="14DE3B0C"/>
    <w:rsid w:val="15602773"/>
    <w:rsid w:val="156C1118"/>
    <w:rsid w:val="157474F1"/>
    <w:rsid w:val="16013F56"/>
    <w:rsid w:val="165C73DE"/>
    <w:rsid w:val="1662251B"/>
    <w:rsid w:val="167F30CD"/>
    <w:rsid w:val="16EF3DAF"/>
    <w:rsid w:val="17092996"/>
    <w:rsid w:val="17546308"/>
    <w:rsid w:val="178828EB"/>
    <w:rsid w:val="17966920"/>
    <w:rsid w:val="17D3547E"/>
    <w:rsid w:val="17F3167D"/>
    <w:rsid w:val="186C7681"/>
    <w:rsid w:val="1876405C"/>
    <w:rsid w:val="18C272A1"/>
    <w:rsid w:val="19277699"/>
    <w:rsid w:val="19377C8F"/>
    <w:rsid w:val="19832ED4"/>
    <w:rsid w:val="19CC03D7"/>
    <w:rsid w:val="19DD25E4"/>
    <w:rsid w:val="19EA4D01"/>
    <w:rsid w:val="19F636A6"/>
    <w:rsid w:val="1A136006"/>
    <w:rsid w:val="1A393593"/>
    <w:rsid w:val="1A442663"/>
    <w:rsid w:val="1A5B79AD"/>
    <w:rsid w:val="1A6E76E0"/>
    <w:rsid w:val="1A9A7B62"/>
    <w:rsid w:val="1AA50C28"/>
    <w:rsid w:val="1AE17EB2"/>
    <w:rsid w:val="1B4641B9"/>
    <w:rsid w:val="1B6F3710"/>
    <w:rsid w:val="1B762CF0"/>
    <w:rsid w:val="1BD6553D"/>
    <w:rsid w:val="1BEF4851"/>
    <w:rsid w:val="1BF34341"/>
    <w:rsid w:val="1C5A616E"/>
    <w:rsid w:val="1CE343B6"/>
    <w:rsid w:val="1CE974F2"/>
    <w:rsid w:val="1D085BCA"/>
    <w:rsid w:val="1D383FD6"/>
    <w:rsid w:val="1D752B34"/>
    <w:rsid w:val="1D9456B0"/>
    <w:rsid w:val="1D94745E"/>
    <w:rsid w:val="1DA47089"/>
    <w:rsid w:val="1DAB47A7"/>
    <w:rsid w:val="1DCF0496"/>
    <w:rsid w:val="1DE2466D"/>
    <w:rsid w:val="1E205195"/>
    <w:rsid w:val="1E3429EF"/>
    <w:rsid w:val="1E6432D4"/>
    <w:rsid w:val="1E6C3F37"/>
    <w:rsid w:val="1EA3650A"/>
    <w:rsid w:val="1EC45B21"/>
    <w:rsid w:val="1ED815CC"/>
    <w:rsid w:val="1EDA5344"/>
    <w:rsid w:val="1FDE70B6"/>
    <w:rsid w:val="1FFE32B4"/>
    <w:rsid w:val="20482782"/>
    <w:rsid w:val="20580C17"/>
    <w:rsid w:val="20684BD2"/>
    <w:rsid w:val="20915ED7"/>
    <w:rsid w:val="20C067BC"/>
    <w:rsid w:val="21050673"/>
    <w:rsid w:val="21115269"/>
    <w:rsid w:val="212925B3"/>
    <w:rsid w:val="21311468"/>
    <w:rsid w:val="214116AB"/>
    <w:rsid w:val="214F147B"/>
    <w:rsid w:val="218E0668"/>
    <w:rsid w:val="21C347B6"/>
    <w:rsid w:val="21CB71C6"/>
    <w:rsid w:val="21CE54A8"/>
    <w:rsid w:val="22160D89"/>
    <w:rsid w:val="2237485C"/>
    <w:rsid w:val="225278E7"/>
    <w:rsid w:val="225C2514"/>
    <w:rsid w:val="228F4698"/>
    <w:rsid w:val="22CF0F38"/>
    <w:rsid w:val="22F62969"/>
    <w:rsid w:val="234C2589"/>
    <w:rsid w:val="23694EE9"/>
    <w:rsid w:val="23AB5501"/>
    <w:rsid w:val="23B4085A"/>
    <w:rsid w:val="23FE1AD5"/>
    <w:rsid w:val="24134E54"/>
    <w:rsid w:val="245B6F27"/>
    <w:rsid w:val="247E2C16"/>
    <w:rsid w:val="24A87C93"/>
    <w:rsid w:val="24ED3F94"/>
    <w:rsid w:val="25257535"/>
    <w:rsid w:val="253F4153"/>
    <w:rsid w:val="2547125A"/>
    <w:rsid w:val="25641E0C"/>
    <w:rsid w:val="25AD37B3"/>
    <w:rsid w:val="25CB1E8B"/>
    <w:rsid w:val="25E371D4"/>
    <w:rsid w:val="25E92311"/>
    <w:rsid w:val="260B672B"/>
    <w:rsid w:val="270A69E3"/>
    <w:rsid w:val="27675BE3"/>
    <w:rsid w:val="27F136FF"/>
    <w:rsid w:val="28302479"/>
    <w:rsid w:val="285443B9"/>
    <w:rsid w:val="28904CC6"/>
    <w:rsid w:val="28B83071"/>
    <w:rsid w:val="28D15A0A"/>
    <w:rsid w:val="29310257"/>
    <w:rsid w:val="29341AF5"/>
    <w:rsid w:val="29626662"/>
    <w:rsid w:val="29B570DA"/>
    <w:rsid w:val="29BF3AB4"/>
    <w:rsid w:val="29DD218D"/>
    <w:rsid w:val="29EC6874"/>
    <w:rsid w:val="2A573CED"/>
    <w:rsid w:val="2AAA4765"/>
    <w:rsid w:val="2AC87451"/>
    <w:rsid w:val="2ACE1AD5"/>
    <w:rsid w:val="2AFE060C"/>
    <w:rsid w:val="2B084FE7"/>
    <w:rsid w:val="2BA72A52"/>
    <w:rsid w:val="2BB84C5F"/>
    <w:rsid w:val="2BE94E19"/>
    <w:rsid w:val="2BF043F9"/>
    <w:rsid w:val="2C3C763E"/>
    <w:rsid w:val="2C4464F3"/>
    <w:rsid w:val="2C4958B7"/>
    <w:rsid w:val="2D031F0A"/>
    <w:rsid w:val="2D0F6B01"/>
    <w:rsid w:val="2D12039F"/>
    <w:rsid w:val="2D9B2143"/>
    <w:rsid w:val="2DE51610"/>
    <w:rsid w:val="2DEC299E"/>
    <w:rsid w:val="2E1D524D"/>
    <w:rsid w:val="2E50117F"/>
    <w:rsid w:val="2E5A3DAC"/>
    <w:rsid w:val="2E5D1AEE"/>
    <w:rsid w:val="2E796D32"/>
    <w:rsid w:val="2E8E7EF9"/>
    <w:rsid w:val="2EA17C2D"/>
    <w:rsid w:val="2EB23BE8"/>
    <w:rsid w:val="2EDC2A13"/>
    <w:rsid w:val="2EE8585B"/>
    <w:rsid w:val="2F7E3ACA"/>
    <w:rsid w:val="2F996B56"/>
    <w:rsid w:val="2FAC6889"/>
    <w:rsid w:val="2FCE2CA3"/>
    <w:rsid w:val="2FF41FDE"/>
    <w:rsid w:val="2FF95846"/>
    <w:rsid w:val="30191A45"/>
    <w:rsid w:val="30240B15"/>
    <w:rsid w:val="302C1778"/>
    <w:rsid w:val="30CE0A81"/>
    <w:rsid w:val="31126BC0"/>
    <w:rsid w:val="31197F4E"/>
    <w:rsid w:val="314F1BC2"/>
    <w:rsid w:val="31656E9A"/>
    <w:rsid w:val="31A55C86"/>
    <w:rsid w:val="31AD68E8"/>
    <w:rsid w:val="31BE4652"/>
    <w:rsid w:val="31C003CA"/>
    <w:rsid w:val="31D200FD"/>
    <w:rsid w:val="322272D6"/>
    <w:rsid w:val="322F37A1"/>
    <w:rsid w:val="323963CE"/>
    <w:rsid w:val="324A05DB"/>
    <w:rsid w:val="325D20BC"/>
    <w:rsid w:val="32A7158A"/>
    <w:rsid w:val="330469DC"/>
    <w:rsid w:val="331C3D26"/>
    <w:rsid w:val="33923FE8"/>
    <w:rsid w:val="347B0F20"/>
    <w:rsid w:val="3491604D"/>
    <w:rsid w:val="34B166F0"/>
    <w:rsid w:val="34DB551B"/>
    <w:rsid w:val="34DF500B"/>
    <w:rsid w:val="35645510"/>
    <w:rsid w:val="360F36CE"/>
    <w:rsid w:val="36260A17"/>
    <w:rsid w:val="3660217B"/>
    <w:rsid w:val="366D4898"/>
    <w:rsid w:val="36745C27"/>
    <w:rsid w:val="36873BAC"/>
    <w:rsid w:val="36A04C6E"/>
    <w:rsid w:val="36E508D2"/>
    <w:rsid w:val="37135440"/>
    <w:rsid w:val="37500442"/>
    <w:rsid w:val="375A306E"/>
    <w:rsid w:val="37824373"/>
    <w:rsid w:val="37C64260"/>
    <w:rsid w:val="38415FDC"/>
    <w:rsid w:val="384A4E91"/>
    <w:rsid w:val="38726196"/>
    <w:rsid w:val="388365F5"/>
    <w:rsid w:val="38A65E3F"/>
    <w:rsid w:val="38D66725"/>
    <w:rsid w:val="38D97FC3"/>
    <w:rsid w:val="390F1C37"/>
    <w:rsid w:val="391D07F7"/>
    <w:rsid w:val="397D4DF2"/>
    <w:rsid w:val="39842625"/>
    <w:rsid w:val="39AD1B7B"/>
    <w:rsid w:val="39AE76A2"/>
    <w:rsid w:val="39BA1BA2"/>
    <w:rsid w:val="3A045513"/>
    <w:rsid w:val="3A1A0893"/>
    <w:rsid w:val="3A2160C5"/>
    <w:rsid w:val="3A241712"/>
    <w:rsid w:val="3A26548A"/>
    <w:rsid w:val="3A9E7716"/>
    <w:rsid w:val="3AEA4709"/>
    <w:rsid w:val="3B133C60"/>
    <w:rsid w:val="3B293484"/>
    <w:rsid w:val="3B4E2EEA"/>
    <w:rsid w:val="3B8561E0"/>
    <w:rsid w:val="3B911029"/>
    <w:rsid w:val="3BF35840"/>
    <w:rsid w:val="3C2459F9"/>
    <w:rsid w:val="3D073351"/>
    <w:rsid w:val="3D202664"/>
    <w:rsid w:val="3D673DEF"/>
    <w:rsid w:val="3DBC05DF"/>
    <w:rsid w:val="3DC94AAA"/>
    <w:rsid w:val="3E5527E2"/>
    <w:rsid w:val="3E5A3954"/>
    <w:rsid w:val="3E9C3F6D"/>
    <w:rsid w:val="3EA3354D"/>
    <w:rsid w:val="3EAD43CC"/>
    <w:rsid w:val="3EB07A18"/>
    <w:rsid w:val="3EB92D70"/>
    <w:rsid w:val="3EC84D62"/>
    <w:rsid w:val="3EF45B57"/>
    <w:rsid w:val="3F566811"/>
    <w:rsid w:val="3F823162"/>
    <w:rsid w:val="3FA4132B"/>
    <w:rsid w:val="3FAC6431"/>
    <w:rsid w:val="3FB35A36"/>
    <w:rsid w:val="3FE61943"/>
    <w:rsid w:val="400C0C7E"/>
    <w:rsid w:val="40776A3F"/>
    <w:rsid w:val="40B27A77"/>
    <w:rsid w:val="40C63523"/>
    <w:rsid w:val="40CA6112"/>
    <w:rsid w:val="40E57E4D"/>
    <w:rsid w:val="40F97454"/>
    <w:rsid w:val="41160006"/>
    <w:rsid w:val="414803DC"/>
    <w:rsid w:val="41546D80"/>
    <w:rsid w:val="415B3C6B"/>
    <w:rsid w:val="41801923"/>
    <w:rsid w:val="41A575DC"/>
    <w:rsid w:val="42246753"/>
    <w:rsid w:val="42B71375"/>
    <w:rsid w:val="435412BA"/>
    <w:rsid w:val="4355293C"/>
    <w:rsid w:val="43860D47"/>
    <w:rsid w:val="43911BC6"/>
    <w:rsid w:val="43C04259"/>
    <w:rsid w:val="43EE7018"/>
    <w:rsid w:val="44026275"/>
    <w:rsid w:val="44721634"/>
    <w:rsid w:val="44A27E03"/>
    <w:rsid w:val="44C43833"/>
    <w:rsid w:val="44C45FCB"/>
    <w:rsid w:val="44E73A68"/>
    <w:rsid w:val="453B3D19"/>
    <w:rsid w:val="45462E84"/>
    <w:rsid w:val="45594965"/>
    <w:rsid w:val="45A71B75"/>
    <w:rsid w:val="45BB73CE"/>
    <w:rsid w:val="45E306D3"/>
    <w:rsid w:val="460F14C8"/>
    <w:rsid w:val="46326F64"/>
    <w:rsid w:val="46641814"/>
    <w:rsid w:val="466C2476"/>
    <w:rsid w:val="468123C6"/>
    <w:rsid w:val="46BF2EEE"/>
    <w:rsid w:val="46C71DA3"/>
    <w:rsid w:val="46DC75FC"/>
    <w:rsid w:val="47743CD8"/>
    <w:rsid w:val="4799729B"/>
    <w:rsid w:val="47AF4D11"/>
    <w:rsid w:val="47C63E08"/>
    <w:rsid w:val="47CA1B4A"/>
    <w:rsid w:val="47D26C51"/>
    <w:rsid w:val="480F1C53"/>
    <w:rsid w:val="48623B31"/>
    <w:rsid w:val="48A24875"/>
    <w:rsid w:val="48D04F3E"/>
    <w:rsid w:val="49107A31"/>
    <w:rsid w:val="499441BE"/>
    <w:rsid w:val="49CF169A"/>
    <w:rsid w:val="49EA64D4"/>
    <w:rsid w:val="4A3239D7"/>
    <w:rsid w:val="4A633B90"/>
    <w:rsid w:val="4A8E6E5F"/>
    <w:rsid w:val="4AB07EAF"/>
    <w:rsid w:val="4B1F3F5B"/>
    <w:rsid w:val="4B386DCB"/>
    <w:rsid w:val="4B413ED2"/>
    <w:rsid w:val="4B49722A"/>
    <w:rsid w:val="4B7D0C82"/>
    <w:rsid w:val="4BC36FDC"/>
    <w:rsid w:val="4BC863A1"/>
    <w:rsid w:val="4C561BFF"/>
    <w:rsid w:val="4C806C7C"/>
    <w:rsid w:val="4CAF57B3"/>
    <w:rsid w:val="4CBF59F6"/>
    <w:rsid w:val="4CE216E4"/>
    <w:rsid w:val="4DAE7818"/>
    <w:rsid w:val="4DCB2178"/>
    <w:rsid w:val="4E37780E"/>
    <w:rsid w:val="4E616639"/>
    <w:rsid w:val="4E797E26"/>
    <w:rsid w:val="4E916F1E"/>
    <w:rsid w:val="4EA03605"/>
    <w:rsid w:val="4EEC23A6"/>
    <w:rsid w:val="4F02606E"/>
    <w:rsid w:val="4F075432"/>
    <w:rsid w:val="4F4C72E9"/>
    <w:rsid w:val="4F5B752C"/>
    <w:rsid w:val="4F9D7B44"/>
    <w:rsid w:val="4FF43C08"/>
    <w:rsid w:val="500E459E"/>
    <w:rsid w:val="50795EBC"/>
    <w:rsid w:val="508D7BB9"/>
    <w:rsid w:val="509727E6"/>
    <w:rsid w:val="510D4856"/>
    <w:rsid w:val="51452242"/>
    <w:rsid w:val="514E559A"/>
    <w:rsid w:val="518E5997"/>
    <w:rsid w:val="51B86EB8"/>
    <w:rsid w:val="51BD002A"/>
    <w:rsid w:val="52232583"/>
    <w:rsid w:val="531445C2"/>
    <w:rsid w:val="53177C0E"/>
    <w:rsid w:val="533E519B"/>
    <w:rsid w:val="536C7F5A"/>
    <w:rsid w:val="53BC2C8F"/>
    <w:rsid w:val="546724CF"/>
    <w:rsid w:val="54BE2A37"/>
    <w:rsid w:val="54DC2EBD"/>
    <w:rsid w:val="554C49B3"/>
    <w:rsid w:val="55794BB0"/>
    <w:rsid w:val="55886BA1"/>
    <w:rsid w:val="55DB13C7"/>
    <w:rsid w:val="560A5808"/>
    <w:rsid w:val="567315FF"/>
    <w:rsid w:val="56BE0ACC"/>
    <w:rsid w:val="5737262D"/>
    <w:rsid w:val="57811AFA"/>
    <w:rsid w:val="579D2DD8"/>
    <w:rsid w:val="57EE718F"/>
    <w:rsid w:val="57FF139C"/>
    <w:rsid w:val="58AE2DC2"/>
    <w:rsid w:val="59254E33"/>
    <w:rsid w:val="596C21DC"/>
    <w:rsid w:val="59722042"/>
    <w:rsid w:val="59A3044D"/>
    <w:rsid w:val="5A113609"/>
    <w:rsid w:val="5A201A9E"/>
    <w:rsid w:val="5A494B51"/>
    <w:rsid w:val="5AA12BDF"/>
    <w:rsid w:val="5AB50438"/>
    <w:rsid w:val="5ADF54B5"/>
    <w:rsid w:val="5AF820D3"/>
    <w:rsid w:val="5B242EC8"/>
    <w:rsid w:val="5BA858A7"/>
    <w:rsid w:val="5BC16969"/>
    <w:rsid w:val="5BC22E0D"/>
    <w:rsid w:val="5C0827EA"/>
    <w:rsid w:val="5C14118E"/>
    <w:rsid w:val="5C480E38"/>
    <w:rsid w:val="5C545A2F"/>
    <w:rsid w:val="5C8C341B"/>
    <w:rsid w:val="5CD34BA6"/>
    <w:rsid w:val="5D072AA1"/>
    <w:rsid w:val="5D1C479E"/>
    <w:rsid w:val="5DCC7F73"/>
    <w:rsid w:val="5DD961EC"/>
    <w:rsid w:val="5E7D301B"/>
    <w:rsid w:val="5EA54320"/>
    <w:rsid w:val="5EFB03E4"/>
    <w:rsid w:val="5F1F0576"/>
    <w:rsid w:val="5F441D8B"/>
    <w:rsid w:val="5F772160"/>
    <w:rsid w:val="5FE4471A"/>
    <w:rsid w:val="60343BAD"/>
    <w:rsid w:val="607466A0"/>
    <w:rsid w:val="60E05AE3"/>
    <w:rsid w:val="60F577E0"/>
    <w:rsid w:val="61F555BE"/>
    <w:rsid w:val="62612C54"/>
    <w:rsid w:val="6267026A"/>
    <w:rsid w:val="62B66AFB"/>
    <w:rsid w:val="631A352E"/>
    <w:rsid w:val="63730E90"/>
    <w:rsid w:val="63AD6150"/>
    <w:rsid w:val="63C35974"/>
    <w:rsid w:val="63CD05A1"/>
    <w:rsid w:val="63E31B72"/>
    <w:rsid w:val="64BE613B"/>
    <w:rsid w:val="65167D25"/>
    <w:rsid w:val="65901886"/>
    <w:rsid w:val="65BE6761"/>
    <w:rsid w:val="65E10333"/>
    <w:rsid w:val="66495ED8"/>
    <w:rsid w:val="666F593F"/>
    <w:rsid w:val="679F2254"/>
    <w:rsid w:val="67E10ABE"/>
    <w:rsid w:val="683D381B"/>
    <w:rsid w:val="6853303E"/>
    <w:rsid w:val="68572B2F"/>
    <w:rsid w:val="685F19E3"/>
    <w:rsid w:val="686F7E78"/>
    <w:rsid w:val="68E819D9"/>
    <w:rsid w:val="690E58E3"/>
    <w:rsid w:val="692073C4"/>
    <w:rsid w:val="69540E1C"/>
    <w:rsid w:val="69670B4F"/>
    <w:rsid w:val="69847953"/>
    <w:rsid w:val="69C064B2"/>
    <w:rsid w:val="69D63F27"/>
    <w:rsid w:val="69E2467A"/>
    <w:rsid w:val="69F36887"/>
    <w:rsid w:val="69FF347E"/>
    <w:rsid w:val="6A440E91"/>
    <w:rsid w:val="6A641533"/>
    <w:rsid w:val="6A721EA2"/>
    <w:rsid w:val="6AA3205B"/>
    <w:rsid w:val="6AA61B4B"/>
    <w:rsid w:val="6AE12B83"/>
    <w:rsid w:val="6B12629B"/>
    <w:rsid w:val="6B3233DF"/>
    <w:rsid w:val="6B361121"/>
    <w:rsid w:val="6BD6020E"/>
    <w:rsid w:val="6C8E0AE9"/>
    <w:rsid w:val="6C9B14F3"/>
    <w:rsid w:val="6CA125CA"/>
    <w:rsid w:val="6CCD1611"/>
    <w:rsid w:val="6CEB5F3B"/>
    <w:rsid w:val="6CF44DF0"/>
    <w:rsid w:val="6D0A4613"/>
    <w:rsid w:val="6D716441"/>
    <w:rsid w:val="6DA00AD4"/>
    <w:rsid w:val="6DA679C5"/>
    <w:rsid w:val="6DB1683D"/>
    <w:rsid w:val="6DF130DE"/>
    <w:rsid w:val="6E0D0088"/>
    <w:rsid w:val="6E2214E9"/>
    <w:rsid w:val="6E22773B"/>
    <w:rsid w:val="6E5A5127"/>
    <w:rsid w:val="6E5B2C4D"/>
    <w:rsid w:val="6E7D7067"/>
    <w:rsid w:val="6EA91C0A"/>
    <w:rsid w:val="6EBD7464"/>
    <w:rsid w:val="6EE669BA"/>
    <w:rsid w:val="6F1A6664"/>
    <w:rsid w:val="6F3C482C"/>
    <w:rsid w:val="6F40431D"/>
    <w:rsid w:val="6F667AFB"/>
    <w:rsid w:val="6F6D49E6"/>
    <w:rsid w:val="6F9208F0"/>
    <w:rsid w:val="6F9C52CB"/>
    <w:rsid w:val="6FAA79E8"/>
    <w:rsid w:val="6FD44A65"/>
    <w:rsid w:val="6FF869A5"/>
    <w:rsid w:val="6FFD045F"/>
    <w:rsid w:val="700E61C9"/>
    <w:rsid w:val="70447E3C"/>
    <w:rsid w:val="71265794"/>
    <w:rsid w:val="71CD3E62"/>
    <w:rsid w:val="72677E12"/>
    <w:rsid w:val="727B1B10"/>
    <w:rsid w:val="72AD68BE"/>
    <w:rsid w:val="72BB1F0C"/>
    <w:rsid w:val="72CC4119"/>
    <w:rsid w:val="73242B74"/>
    <w:rsid w:val="7386076C"/>
    <w:rsid w:val="73B54BAD"/>
    <w:rsid w:val="73C92407"/>
    <w:rsid w:val="73D70FC8"/>
    <w:rsid w:val="74B3733F"/>
    <w:rsid w:val="74C50E20"/>
    <w:rsid w:val="75385A96"/>
    <w:rsid w:val="754C32EF"/>
    <w:rsid w:val="75F93477"/>
    <w:rsid w:val="76684159"/>
    <w:rsid w:val="766A7ED1"/>
    <w:rsid w:val="770C2D36"/>
    <w:rsid w:val="770C71DA"/>
    <w:rsid w:val="77100A78"/>
    <w:rsid w:val="776112D4"/>
    <w:rsid w:val="778B45A3"/>
    <w:rsid w:val="7856695F"/>
    <w:rsid w:val="7879089F"/>
    <w:rsid w:val="78A57DDA"/>
    <w:rsid w:val="78AA2807"/>
    <w:rsid w:val="78BC253A"/>
    <w:rsid w:val="78C53AE4"/>
    <w:rsid w:val="78D635FC"/>
    <w:rsid w:val="791D122B"/>
    <w:rsid w:val="79CB512B"/>
    <w:rsid w:val="79F91C98"/>
    <w:rsid w:val="7A097A01"/>
    <w:rsid w:val="7A0B3779"/>
    <w:rsid w:val="7A287E87"/>
    <w:rsid w:val="7A5A200A"/>
    <w:rsid w:val="7A5E1AFB"/>
    <w:rsid w:val="7A6C2DED"/>
    <w:rsid w:val="7A807CC3"/>
    <w:rsid w:val="7A811C8D"/>
    <w:rsid w:val="7A9128DA"/>
    <w:rsid w:val="7AB83901"/>
    <w:rsid w:val="7AE446F6"/>
    <w:rsid w:val="7AEA7832"/>
    <w:rsid w:val="7AF20495"/>
    <w:rsid w:val="7BE349AD"/>
    <w:rsid w:val="7C2D3E7B"/>
    <w:rsid w:val="7C445DA6"/>
    <w:rsid w:val="7C6B6751"/>
    <w:rsid w:val="7CA51C63"/>
    <w:rsid w:val="7CAA1027"/>
    <w:rsid w:val="7CCF4F32"/>
    <w:rsid w:val="7CF14EA8"/>
    <w:rsid w:val="7CFE1373"/>
    <w:rsid w:val="7DC0487A"/>
    <w:rsid w:val="7E3037AE"/>
    <w:rsid w:val="7E437985"/>
    <w:rsid w:val="7EAA3560"/>
    <w:rsid w:val="7EB97C47"/>
    <w:rsid w:val="7EF96031"/>
    <w:rsid w:val="7EFE1AFE"/>
    <w:rsid w:val="7F0D3AEF"/>
    <w:rsid w:val="7F460DAF"/>
    <w:rsid w:val="7F78540D"/>
    <w:rsid w:val="7F945FB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8"/>
    <w:qFormat/>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qFormat/>
    <w:uiPriority w:val="0"/>
    <w:rPr>
      <w:b/>
      <w:bCs/>
      <w:sz w:val="20"/>
      <w:szCs w:val="20"/>
    </w:rPr>
  </w:style>
  <w:style w:type="table" w:styleId="8">
    <w:name w:val="Table Grid"/>
    <w:basedOn w:val="7"/>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qFormat/>
    <w:uiPriority w:val="0"/>
    <w:rPr>
      <w:sz w:val="16"/>
      <w:szCs w:val="16"/>
    </w:rPr>
  </w:style>
  <w:style w:type="paragraph" w:customStyle="1" w:styleId="11">
    <w:name w:val="修订1"/>
    <w:hidden/>
    <w:semiHidden/>
    <w:qFormat/>
    <w:uiPriority w:val="99"/>
    <w:rPr>
      <w:rFonts w:ascii="Times New Roman" w:hAnsi="Times New Roman" w:eastAsia="Times New Roman" w:cs="Times New Roman"/>
      <w:sz w:val="24"/>
      <w:szCs w:val="24"/>
      <w:lang w:val="en-US" w:eastAsia="en-US" w:bidi="ar-SA"/>
    </w:rPr>
  </w:style>
  <w:style w:type="character" w:customStyle="1" w:styleId="12">
    <w:name w:val="页眉 Char"/>
    <w:basedOn w:val="9"/>
    <w:link w:val="5"/>
    <w:qFormat/>
    <w:uiPriority w:val="0"/>
    <w:rPr>
      <w:rFonts w:eastAsia="Times New Roman"/>
      <w:sz w:val="18"/>
      <w:szCs w:val="18"/>
      <w:lang w:eastAsia="en-US"/>
    </w:rPr>
  </w:style>
  <w:style w:type="character" w:customStyle="1" w:styleId="13">
    <w:name w:val="页脚 Char"/>
    <w:basedOn w:val="9"/>
    <w:link w:val="4"/>
    <w:qFormat/>
    <w:uiPriority w:val="99"/>
    <w:rPr>
      <w:rFonts w:eastAsia="Times New Roman"/>
      <w:sz w:val="18"/>
      <w:szCs w:val="18"/>
      <w:lang w:eastAsia="en-US"/>
    </w:rPr>
  </w:style>
  <w:style w:type="paragraph" w:customStyle="1" w:styleId="14">
    <w:name w:val="修订2"/>
    <w:hidden/>
    <w:unhideWhenUsed/>
    <w:qFormat/>
    <w:uiPriority w:val="99"/>
    <w:rPr>
      <w:rFonts w:ascii="Times New Roman" w:hAnsi="Times New Roman" w:eastAsia="Times New Roman" w:cs="Times New Roman"/>
      <w:sz w:val="24"/>
      <w:szCs w:val="24"/>
      <w:lang w:val="en-US" w:eastAsia="en-US" w:bidi="ar-SA"/>
    </w:rPr>
  </w:style>
  <w:style w:type="character" w:customStyle="1" w:styleId="15">
    <w:name w:val="批注文字 Char"/>
    <w:basedOn w:val="9"/>
    <w:link w:val="2"/>
    <w:qFormat/>
    <w:uiPriority w:val="0"/>
    <w:rPr>
      <w:rFonts w:eastAsia="Times New Roman"/>
      <w:sz w:val="24"/>
      <w:szCs w:val="24"/>
      <w:lang w:val="en-US" w:eastAsia="en-US"/>
    </w:rPr>
  </w:style>
  <w:style w:type="character" w:customStyle="1" w:styleId="16">
    <w:name w:val="批注主题 Char"/>
    <w:basedOn w:val="15"/>
    <w:link w:val="6"/>
    <w:qFormat/>
    <w:uiPriority w:val="0"/>
    <w:rPr>
      <w:rFonts w:eastAsia="Times New Roman"/>
      <w:b/>
      <w:bCs/>
      <w:sz w:val="24"/>
      <w:szCs w:val="24"/>
      <w:lang w:val="en-US" w:eastAsia="en-US"/>
    </w:rPr>
  </w:style>
  <w:style w:type="paragraph" w:customStyle="1" w:styleId="17">
    <w:name w:val="Revision"/>
    <w:hidden/>
    <w:unhideWhenUsed/>
    <w:qFormat/>
    <w:uiPriority w:val="99"/>
    <w:rPr>
      <w:rFonts w:ascii="Times New Roman" w:hAnsi="Times New Roman" w:eastAsia="Times New Roman" w:cs="Times New Roman"/>
      <w:sz w:val="24"/>
      <w:szCs w:val="24"/>
      <w:lang w:val="en-US" w:eastAsia="en-US" w:bidi="ar-SA"/>
    </w:rPr>
  </w:style>
  <w:style w:type="character" w:customStyle="1" w:styleId="18">
    <w:name w:val="批注框文本 Char"/>
    <w:basedOn w:val="9"/>
    <w:link w:val="3"/>
    <w:qFormat/>
    <w:uiPriority w:val="0"/>
    <w:rPr>
      <w:rFonts w:eastAsia="Times New Roman"/>
      <w:sz w:val="18"/>
      <w:szCs w:val="18"/>
      <w:lang w:eastAsia="en-US"/>
    </w:rPr>
  </w:style>
  <w:style w:type="character" w:customStyle="1" w:styleId="19">
    <w:name w:val="font31"/>
    <w:basedOn w:val="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2891C-2B91-4EB9-BE98-4676EE698770}">
  <ds:schemaRefs/>
</ds:datastoreItem>
</file>

<file path=docProps/app.xml><?xml version="1.0" encoding="utf-8"?>
<Properties xmlns="http://schemas.openxmlformats.org/officeDocument/2006/extended-properties" xmlns:vt="http://schemas.openxmlformats.org/officeDocument/2006/docPropsVTypes">
  <Template>Normal</Template>
  <Company>BPG</Company>
  <Pages>1</Pages>
  <Words>3238</Words>
  <Characters>18458</Characters>
  <Lines>153</Lines>
  <Paragraphs>43</Paragraphs>
  <TotalTime>0</TotalTime>
  <ScaleCrop>false</ScaleCrop>
  <LinksUpToDate>false</LinksUpToDate>
  <CharactersWithSpaces>21653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2023-10-19T13:58:00Z</dcterms:created>
  <dc:creator>ASUS</dc:creator>
  <cp:lastModifiedBy>xzh</cp:lastModifiedBy>
  <dcterms:modified xsi:type="dcterms:W3CDTF">2023-12-15T05:18:55Z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EF6E0201203347D29BD5D50EFED11B6B_12</vt:lpwstr>
  </property>
</Properties>
</file>