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F4CE"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27C083DD"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88294</w:t>
      </w:r>
    </w:p>
    <w:p w14:paraId="1F8F86E2"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0365E85" w14:textId="77777777" w:rsidR="00D81529" w:rsidRDefault="00D81529">
      <w:pPr>
        <w:adjustRightInd w:val="0"/>
        <w:snapToGrid w:val="0"/>
        <w:spacing w:line="360" w:lineRule="auto"/>
        <w:jc w:val="both"/>
        <w:rPr>
          <w:rFonts w:ascii="Book Antiqua" w:hAnsi="Book Antiqua"/>
        </w:rPr>
      </w:pPr>
    </w:p>
    <w:p w14:paraId="20D50D07"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i/>
        </w:rPr>
        <w:t>Retrospective Study</w:t>
      </w:r>
    </w:p>
    <w:p w14:paraId="286190EC"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Combining prognostic value of serum carbohydrate antigen 19-9 and tumor size reduction ratio in pancreatic ductal adenocarcinoma</w:t>
      </w:r>
    </w:p>
    <w:p w14:paraId="42017D3C" w14:textId="77777777" w:rsidR="00D81529" w:rsidRDefault="00D81529">
      <w:pPr>
        <w:adjustRightInd w:val="0"/>
        <w:snapToGrid w:val="0"/>
        <w:spacing w:line="360" w:lineRule="auto"/>
        <w:jc w:val="both"/>
        <w:rPr>
          <w:rFonts w:ascii="Book Antiqua" w:hAnsi="Book Antiqua"/>
        </w:rPr>
      </w:pPr>
    </w:p>
    <w:p w14:paraId="4E2E35EC"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Xia DX </w:t>
      </w:r>
      <w:r>
        <w:rPr>
          <w:rFonts w:ascii="Book Antiqua" w:eastAsia="Book Antiqua" w:hAnsi="Book Antiqua" w:cs="Book Antiqua"/>
          <w:i/>
          <w:iCs/>
        </w:rPr>
        <w:t xml:space="preserve">et al. </w:t>
      </w:r>
      <w:r>
        <w:rPr>
          <w:rFonts w:ascii="Book Antiqua" w:eastAsia="Book Antiqua" w:hAnsi="Book Antiqua" w:cs="Book Antiqua"/>
        </w:rPr>
        <w:t>CA19-9 and tumor size in PDAC</w:t>
      </w:r>
    </w:p>
    <w:p w14:paraId="5DD77161" w14:textId="77777777" w:rsidR="00D81529" w:rsidRDefault="00D81529">
      <w:pPr>
        <w:adjustRightInd w:val="0"/>
        <w:snapToGrid w:val="0"/>
        <w:spacing w:line="360" w:lineRule="auto"/>
        <w:jc w:val="both"/>
        <w:rPr>
          <w:rFonts w:ascii="Book Antiqua" w:hAnsi="Book Antiqua"/>
        </w:rPr>
      </w:pPr>
    </w:p>
    <w:p w14:paraId="2D257D7E"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Dong-Qin Xia, Yong Zhou, Shuang Yang, Fang-Fei Li, Li-Ya Tian, Yan-Hua Li, Hai-Yan Xu, Cai-Zhi Xiao, Wei Wang</w:t>
      </w:r>
    </w:p>
    <w:p w14:paraId="124C09CB" w14:textId="77777777" w:rsidR="00D81529" w:rsidRDefault="00D81529">
      <w:pPr>
        <w:adjustRightInd w:val="0"/>
        <w:snapToGrid w:val="0"/>
        <w:spacing w:line="360" w:lineRule="auto"/>
        <w:jc w:val="both"/>
        <w:rPr>
          <w:rFonts w:ascii="Book Antiqua" w:hAnsi="Book Antiqua"/>
        </w:rPr>
      </w:pPr>
    </w:p>
    <w:p w14:paraId="0A205B02"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Dong-Qin Xia, Shuang Yang, Fang-Fei Li, Li-Ya Tian, Yan-Hua Li, Hai-Yan Xu, Cai-Zhi Xiao, Wei Wang, </w:t>
      </w:r>
      <w:r>
        <w:rPr>
          <w:rFonts w:ascii="Book Antiqua" w:eastAsia="Book Antiqua" w:hAnsi="Book Antiqua" w:cs="Book Antiqua"/>
        </w:rPr>
        <w:t>Oncology Treatment Center of Traditional Chinese Medicine, Chongqing University Cancer Hospital</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Book Antiqua" w:hAnsi="Book Antiqua" w:cs="Book Antiqua"/>
        </w:rPr>
        <w:t>Chongqing</w:t>
      </w:r>
      <w:r>
        <w:rPr>
          <w:rFonts w:ascii="Book Antiqua" w:eastAsia="宋体" w:hAnsi="Book Antiqua" w:cs="宋体"/>
          <w:lang w:eastAsia="zh-CN"/>
        </w:rPr>
        <w:t xml:space="preserve"> </w:t>
      </w:r>
      <w:r>
        <w:rPr>
          <w:rFonts w:ascii="Book Antiqua" w:eastAsia="Book Antiqua" w:hAnsi="Book Antiqua" w:cs="Book Antiqua"/>
        </w:rPr>
        <w:t>400030</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Book Antiqua" w:hAnsi="Book Antiqua" w:cs="Book Antiqua"/>
        </w:rPr>
        <w:t>China</w:t>
      </w:r>
    </w:p>
    <w:p w14:paraId="1650204A" w14:textId="77777777" w:rsidR="00D81529" w:rsidRDefault="00D81529">
      <w:pPr>
        <w:adjustRightInd w:val="0"/>
        <w:snapToGrid w:val="0"/>
        <w:spacing w:line="360" w:lineRule="auto"/>
        <w:jc w:val="both"/>
        <w:rPr>
          <w:rFonts w:ascii="Book Antiqua" w:hAnsi="Book Antiqua"/>
        </w:rPr>
      </w:pPr>
    </w:p>
    <w:p w14:paraId="1AF37214"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Yong Zhou, </w:t>
      </w:r>
      <w:r>
        <w:rPr>
          <w:rFonts w:ascii="Book Antiqua" w:eastAsia="Book Antiqua" w:hAnsi="Book Antiqua" w:cs="Book Antiqua"/>
        </w:rPr>
        <w:t>Department of Oncology, Chongqing Weisiteng Biotech Translational Research Institute, Chongqing 430039, China</w:t>
      </w:r>
    </w:p>
    <w:p w14:paraId="086C2FC7" w14:textId="77777777" w:rsidR="00D81529" w:rsidRDefault="00D81529">
      <w:pPr>
        <w:adjustRightInd w:val="0"/>
        <w:snapToGrid w:val="0"/>
        <w:spacing w:line="360" w:lineRule="auto"/>
        <w:jc w:val="both"/>
        <w:rPr>
          <w:rFonts w:ascii="Book Antiqua" w:eastAsia="Book Antiqua" w:hAnsi="Book Antiqua" w:cs="Book Antiqua"/>
        </w:rPr>
      </w:pPr>
    </w:p>
    <w:p w14:paraId="397195D9"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Yong Zhou, </w:t>
      </w:r>
      <w:r>
        <w:rPr>
          <w:rFonts w:ascii="Book Antiqua" w:eastAsia="Book Antiqua" w:hAnsi="Book Antiqua" w:cs="Book Antiqua"/>
        </w:rPr>
        <w:t>Chongqing Key Laboratory on Big Data for Bio Intelligence, Chongqing University of Posts and Telecommunications, Chongqing 430065, China</w:t>
      </w:r>
    </w:p>
    <w:p w14:paraId="558E7448" w14:textId="77777777" w:rsidR="00D81529" w:rsidRDefault="00D81529">
      <w:pPr>
        <w:adjustRightInd w:val="0"/>
        <w:snapToGrid w:val="0"/>
        <w:spacing w:line="360" w:lineRule="auto"/>
        <w:jc w:val="both"/>
        <w:rPr>
          <w:rFonts w:ascii="Book Antiqua" w:hAnsi="Book Antiqua"/>
        </w:rPr>
      </w:pPr>
    </w:p>
    <w:p w14:paraId="550FCED0" w14:textId="77777777" w:rsidR="00D81529"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Co-first authors: </w:t>
      </w:r>
      <w:r>
        <w:rPr>
          <w:rFonts w:ascii="Book Antiqua" w:eastAsia="Book Antiqua" w:hAnsi="Book Antiqua" w:cs="Book Antiqua"/>
        </w:rPr>
        <w:t>Dong-Qin Xia and Shuang Yang.</w:t>
      </w:r>
    </w:p>
    <w:p w14:paraId="5A7DE78A" w14:textId="77777777" w:rsidR="00D81529" w:rsidRDefault="00D81529">
      <w:pPr>
        <w:spacing w:line="360" w:lineRule="auto"/>
        <w:jc w:val="both"/>
        <w:rPr>
          <w:rFonts w:ascii="Book Antiqua" w:eastAsia="Book Antiqua" w:hAnsi="Book Antiqua" w:cs="Book Antiqua"/>
        </w:rPr>
      </w:pPr>
    </w:p>
    <w:p w14:paraId="2B287B24" w14:textId="77777777" w:rsidR="00D81529" w:rsidRDefault="00000000">
      <w:pPr>
        <w:spacing w:line="360" w:lineRule="auto"/>
        <w:jc w:val="both"/>
        <w:rPr>
          <w:rFonts w:ascii="Book Antiqua" w:hAnsi="Book Antiqua"/>
        </w:rPr>
      </w:pPr>
      <w:r>
        <w:rPr>
          <w:rFonts w:ascii="Book Antiqua" w:eastAsia="Book Antiqua" w:hAnsi="Book Antiqua" w:cs="Book Antiqua"/>
          <w:b/>
          <w:bCs/>
        </w:rPr>
        <w:t>Co-corresponding authors:</w:t>
      </w:r>
      <w:r>
        <w:rPr>
          <w:rFonts w:ascii="Book Antiqua" w:eastAsia="Book Antiqua" w:hAnsi="Book Antiqua" w:cs="Book Antiqua"/>
        </w:rPr>
        <w:t xml:space="preserve"> Cai-Zhi Xiao and Wei Wang.</w:t>
      </w:r>
    </w:p>
    <w:p w14:paraId="4B08DE08" w14:textId="77777777" w:rsidR="00D81529" w:rsidRDefault="00D81529">
      <w:pPr>
        <w:adjustRightInd w:val="0"/>
        <w:snapToGrid w:val="0"/>
        <w:spacing w:line="360" w:lineRule="auto"/>
        <w:jc w:val="both"/>
        <w:rPr>
          <w:rFonts w:ascii="Book Antiqua" w:hAnsi="Book Antiqua"/>
        </w:rPr>
      </w:pPr>
    </w:p>
    <w:p w14:paraId="2E3ABD76" w14:textId="77777777" w:rsidR="00D81529" w:rsidRDefault="00000000">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 xml:space="preserve">All authors contributed to the study’s conception and design; Yang S, Li FF, Tian LY, Li YH, Xu HY, Xiao CZ performed data collection and analysis; Xia DQ, Zhou Y, and Wang W wrote the manuscript; Xia DQ, Zhou Y polished and </w:t>
      </w:r>
      <w:r>
        <w:rPr>
          <w:rFonts w:ascii="Book Antiqua" w:eastAsia="Book Antiqua" w:hAnsi="Book Antiqua" w:cs="Book Antiqua"/>
        </w:rPr>
        <w:lastRenderedPageBreak/>
        <w:t>revised the manuscript; Xiao CZ, Wang W performed supervision; Xiao CZ, Wang W performed project administration; All authors commented on previous versions of the manuscript and read and approved the final manuscript. Xia DQ and Yang</w:t>
      </w:r>
      <w:r>
        <w:rPr>
          <w:rFonts w:ascii="Book Antiqua" w:eastAsia="Book Antiqua" w:hAnsi="Book Antiqua" w:cs="Book Antiqua"/>
          <w:color w:val="000000"/>
        </w:rPr>
        <w:t xml:space="preserve"> S contributed equally to this work as co-first authors</w:t>
      </w:r>
      <w:r>
        <w:rPr>
          <w:rFonts w:ascii="宋体" w:eastAsia="宋体" w:hAnsi="宋体" w:cs="宋体"/>
          <w:color w:val="000000"/>
          <w:lang w:eastAsia="zh-CN"/>
        </w:rPr>
        <w:t>.</w:t>
      </w:r>
      <w:r>
        <w:rPr>
          <w:rFonts w:ascii="Book Antiqua" w:eastAsia="Book Antiqua" w:hAnsi="Book Antiqua" w:cs="Book Antiqua"/>
        </w:rPr>
        <w:t xml:space="preserve"> Xiao CZ and Wang</w:t>
      </w:r>
      <w:r>
        <w:rPr>
          <w:rFonts w:ascii="Book Antiqua" w:eastAsia="Book Antiqua" w:hAnsi="Book Antiqua" w:cs="Book Antiqua"/>
          <w:color w:val="000000"/>
        </w:rPr>
        <w:t xml:space="preserve"> W contributed equally to this work as co-corresponding authors. </w:t>
      </w:r>
      <w:r>
        <w:rPr>
          <w:rFonts w:ascii="Book Antiqua" w:hAnsi="Book Antiqua" w:cs="Book Antiqua"/>
          <w:color w:val="000000"/>
          <w:lang w:eastAsia="zh-CN"/>
        </w:rPr>
        <w:t>The</w:t>
      </w:r>
      <w:r>
        <w:rPr>
          <w:rFonts w:ascii="Book Antiqua" w:eastAsia="Book Antiqua" w:hAnsi="Book Antiqua" w:cs="Book Antiqua"/>
          <w:color w:val="000000"/>
        </w:rPr>
        <w:t xml:space="preserve"> reasons for designating</w:t>
      </w:r>
      <w:r>
        <w:rPr>
          <w:rFonts w:ascii="Book Antiqua" w:eastAsia="Book Antiqua" w:hAnsi="Book Antiqua" w:cs="Book Antiqua"/>
        </w:rPr>
        <w:t xml:space="preserve"> Xia DQ and Yang</w:t>
      </w:r>
      <w:r>
        <w:rPr>
          <w:rFonts w:ascii="Book Antiqua" w:eastAsia="Book Antiqua" w:hAnsi="Book Antiqua" w:cs="Book Antiqua"/>
          <w:color w:val="000000"/>
        </w:rPr>
        <w:t xml:space="preserve"> S as co-first authors, </w:t>
      </w:r>
      <w:r>
        <w:rPr>
          <w:rFonts w:ascii="Book Antiqua" w:eastAsia="Book Antiqua" w:hAnsi="Book Antiqua" w:cs="Book Antiqua"/>
        </w:rPr>
        <w:t>Xiao CZ and Wang</w:t>
      </w:r>
      <w:r>
        <w:rPr>
          <w:rFonts w:ascii="Book Antiqua" w:eastAsia="Book Antiqua" w:hAnsi="Book Antiqua" w:cs="Book Antiqua"/>
          <w:color w:val="000000"/>
        </w:rPr>
        <w:t xml:space="preserve"> W as co-corresponding authors are threefold. First, the research was performed as a collaborative effort, and the designation of co-first authors and co-corresponding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co-first authors and co-corresponding authors best reflects this diversity. This also promotes the most comprehensive and in-depth examination of the research topic, ultimately enriching readers' understanding by offering various expert perspectives. Third, </w:t>
      </w:r>
      <w:r>
        <w:rPr>
          <w:rFonts w:ascii="Book Antiqua" w:eastAsia="Book Antiqua" w:hAnsi="Book Antiqua" w:cs="Book Antiqua"/>
        </w:rPr>
        <w:t>Xia DQ and Yang</w:t>
      </w:r>
      <w:r>
        <w:rPr>
          <w:rFonts w:ascii="Book Antiqua" w:eastAsia="Book Antiqua" w:hAnsi="Book Antiqua" w:cs="Book Antiqua"/>
          <w:color w:val="000000"/>
        </w:rPr>
        <w:t xml:space="preserve"> S</w:t>
      </w:r>
      <w:r>
        <w:rPr>
          <w:rFonts w:ascii="Book Antiqua" w:eastAsia="Book Antiqua" w:hAnsi="Book Antiqua" w:cs="Book Antiqua"/>
        </w:rPr>
        <w:t>, Xiao CZ and Wang</w:t>
      </w:r>
      <w:r>
        <w:rPr>
          <w:rFonts w:ascii="Book Antiqua" w:eastAsia="Book Antiqua" w:hAnsi="Book Antiqua" w:cs="Book Antiqua"/>
          <w:color w:val="000000"/>
        </w:rPr>
        <w:t xml:space="preserve"> W contributed efforts of equal substance throughout the research process. The choice of these researchers as co-first authors and co-corresponding authors acknowledges and respects this equal contribution, while recognizing the spirit of teamwork and collaboration of this study.</w:t>
      </w:r>
      <w:r>
        <w:t xml:space="preserve"> </w:t>
      </w:r>
      <w:r>
        <w:rPr>
          <w:rFonts w:ascii="Book Antiqua" w:eastAsia="Book Antiqua" w:hAnsi="Book Antiqua" w:cs="Book Antiqua"/>
          <w:color w:val="000000"/>
        </w:rPr>
        <w:t xml:space="preserve">In summary, we believe that designating </w:t>
      </w:r>
      <w:r>
        <w:rPr>
          <w:rFonts w:ascii="Book Antiqua" w:eastAsia="Book Antiqua" w:hAnsi="Book Antiqua" w:cs="Book Antiqua"/>
        </w:rPr>
        <w:t>Xia DQ and Yang</w:t>
      </w:r>
      <w:r>
        <w:rPr>
          <w:rFonts w:ascii="Book Antiqua" w:eastAsia="Book Antiqua" w:hAnsi="Book Antiqua" w:cs="Book Antiqua"/>
          <w:color w:val="000000"/>
        </w:rPr>
        <w:t xml:space="preserve"> S as co-first authors, </w:t>
      </w:r>
      <w:r>
        <w:rPr>
          <w:rFonts w:ascii="Book Antiqua" w:eastAsia="Book Antiqua" w:hAnsi="Book Antiqua" w:cs="Book Antiqua"/>
        </w:rPr>
        <w:t>Xiao CZ and Wang</w:t>
      </w:r>
      <w:r>
        <w:rPr>
          <w:rFonts w:ascii="Book Antiqua" w:eastAsia="Book Antiqua" w:hAnsi="Book Antiqua" w:cs="Book Antiqua"/>
          <w:color w:val="000000"/>
        </w:rPr>
        <w:t xml:space="preserve"> W as co-corresponding authors are fitting for our manuscript as it accurately reflects our team's collaborative spirit, equal contributions, and diversity.</w:t>
      </w:r>
    </w:p>
    <w:p w14:paraId="1E832891" w14:textId="77777777" w:rsidR="00D81529" w:rsidRDefault="00D81529">
      <w:pPr>
        <w:adjustRightInd w:val="0"/>
        <w:snapToGrid w:val="0"/>
        <w:spacing w:line="360" w:lineRule="auto"/>
        <w:jc w:val="both"/>
        <w:rPr>
          <w:rFonts w:ascii="Book Antiqua" w:hAnsi="Book Antiqua"/>
        </w:rPr>
      </w:pPr>
    </w:p>
    <w:p w14:paraId="28B80E35" w14:textId="77777777" w:rsidR="00D81529" w:rsidRDefault="00000000">
      <w:pPr>
        <w:adjustRightInd w:val="0"/>
        <w:snapToGrid w:val="0"/>
        <w:spacing w:line="360" w:lineRule="auto"/>
        <w:jc w:val="both"/>
        <w:rPr>
          <w:rFonts w:ascii="Book Antiqua" w:hAnsi="Book Antiqua"/>
          <w:lang w:eastAsia="zh-CN"/>
        </w:rPr>
      </w:pPr>
      <w:r>
        <w:rPr>
          <w:rFonts w:ascii="Book Antiqua" w:hAnsi="Book Antiqua"/>
          <w:b/>
          <w:bCs/>
          <w:lang w:eastAsia="zh-CN"/>
        </w:rPr>
        <w:t xml:space="preserve">Supported by </w:t>
      </w:r>
      <w:r>
        <w:rPr>
          <w:rFonts w:ascii="Book Antiqua" w:hAnsi="Book Antiqua"/>
          <w:lang w:eastAsia="zh-CN"/>
        </w:rPr>
        <w:t>Natural Science Foundation of Chongqing, China, No. cstc2021jcyj-msxmX0501; and Chongqing Medical Scientific Research Project (Joint Project of Chongqing Health Commission and Science and Technology Bureau), No. 2022QNXM074.</w:t>
      </w:r>
    </w:p>
    <w:p w14:paraId="3805BE54" w14:textId="77777777" w:rsidR="00D81529" w:rsidRDefault="00D81529">
      <w:pPr>
        <w:adjustRightInd w:val="0"/>
        <w:snapToGrid w:val="0"/>
        <w:spacing w:line="360" w:lineRule="auto"/>
        <w:jc w:val="both"/>
        <w:rPr>
          <w:rFonts w:ascii="Book Antiqua" w:hAnsi="Book Antiqua"/>
        </w:rPr>
      </w:pPr>
    </w:p>
    <w:p w14:paraId="4F636366"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lastRenderedPageBreak/>
        <w:t xml:space="preserve">Corresponding author: Wei Wang, MD, PhD, Professor, </w:t>
      </w:r>
      <w:r>
        <w:rPr>
          <w:rFonts w:ascii="Book Antiqua" w:eastAsia="Book Antiqua" w:hAnsi="Book Antiqua" w:cs="Book Antiqua"/>
        </w:rPr>
        <w:t>Oncology Treatment Center of Traditional Chinese Medicine, Chongqing University Cancer Hospital</w:t>
      </w:r>
      <w:r>
        <w:rPr>
          <w:rFonts w:ascii="Book Antiqua" w:eastAsia="宋体" w:hAnsi="Book Antiqua" w:cs="宋体"/>
          <w:lang w:eastAsia="zh-CN"/>
        </w:rPr>
        <w:t xml:space="preserve">, No. 181 Hanyu Road, </w:t>
      </w:r>
      <w:r>
        <w:rPr>
          <w:rFonts w:ascii="Book Antiqua" w:eastAsia="Book Antiqua" w:hAnsi="Book Antiqua" w:cs="Book Antiqua"/>
        </w:rPr>
        <w:t xml:space="preserve">Chongqing 400030, China. </w:t>
      </w:r>
      <w:hyperlink r:id="rId6" w:history="1">
        <w:r>
          <w:rPr>
            <w:rFonts w:ascii="Book Antiqua" w:hAnsi="Book Antiqua"/>
          </w:rPr>
          <w:t>zuiailicip@126.com</w:t>
        </w:r>
      </w:hyperlink>
    </w:p>
    <w:p w14:paraId="32E91373" w14:textId="77777777" w:rsidR="00D81529" w:rsidRDefault="00D81529">
      <w:pPr>
        <w:adjustRightInd w:val="0"/>
        <w:snapToGrid w:val="0"/>
        <w:spacing w:line="360" w:lineRule="auto"/>
        <w:jc w:val="both"/>
        <w:rPr>
          <w:rFonts w:ascii="Book Antiqua" w:hAnsi="Book Antiqua"/>
        </w:rPr>
      </w:pPr>
    </w:p>
    <w:p w14:paraId="329C02FD"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September 19, 2023</w:t>
      </w:r>
    </w:p>
    <w:p w14:paraId="262B6014"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15, 2023</w:t>
      </w:r>
    </w:p>
    <w:p w14:paraId="6911B3A2" w14:textId="77777777" w:rsidR="00D81529"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7722"/>
      <w:bookmarkStart w:id="1" w:name="OLE_LINK7652"/>
      <w:bookmarkStart w:id="2" w:name="OLE_LINK7684"/>
      <w:bookmarkStart w:id="3" w:name="OLE_LINK7610"/>
      <w:bookmarkStart w:id="4" w:name="OLE_LINK7620"/>
      <w:bookmarkStart w:id="5" w:name="OLE_LINK7665"/>
      <w:bookmarkStart w:id="6" w:name="OLE_LINK7710"/>
      <w:bookmarkStart w:id="7" w:name="OLE_LINK7606"/>
      <w:bookmarkStart w:id="8" w:name="OLE_LINK7649"/>
      <w:bookmarkStart w:id="9" w:name="OLE_LINK7721"/>
      <w:bookmarkStart w:id="10" w:name="OLE_LINK7587"/>
      <w:bookmarkStart w:id="11" w:name="OLE_LINK7617"/>
      <w:bookmarkStart w:id="12" w:name="OLE_LINK7730"/>
      <w:bookmarkStart w:id="13" w:name="OLE_LINK7839"/>
      <w:bookmarkStart w:id="14" w:name="OLE_LINK7843"/>
      <w:bookmarkStart w:id="15" w:name="OLE_LINK7846"/>
      <w:bookmarkStart w:id="16" w:name="OLE_LINK7690"/>
      <w:bookmarkStart w:id="17" w:name="OLE_LINK7799"/>
      <w:bookmarkStart w:id="18" w:name="OLE_LINK7711"/>
      <w:bookmarkStart w:id="19" w:name="OLE_LINK7718"/>
      <w:bookmarkStart w:id="20" w:name="OLE_LINK7699"/>
      <w:bookmarkStart w:id="21" w:name="OLE_LINK7809"/>
      <w:bookmarkStart w:id="22" w:name="OLE_LINK7820"/>
      <w:bookmarkStart w:id="23" w:name="OLE_LINK7635"/>
      <w:bookmarkStart w:id="24" w:name="OLE_LINK7597"/>
      <w:bookmarkStart w:id="25" w:name="OLE_LINK7712"/>
      <w:bookmarkStart w:id="26" w:name="OLE_LINK7709"/>
      <w:bookmarkStart w:id="27" w:name="OLE_LINK7695"/>
      <w:bookmarkStart w:id="28" w:name="OLE_LINK7602"/>
      <w:bookmarkStart w:id="29" w:name="OLE_LINK7703"/>
      <w:bookmarkStart w:id="30" w:name="OLE_LINK7691"/>
      <w:bookmarkStart w:id="31" w:name="OLE_LINK7706"/>
      <w:bookmarkStart w:id="32" w:name="OLE_LINK7836"/>
      <w:bookmarkStart w:id="33" w:name="OLE_LINK7734"/>
      <w:bookmarkStart w:id="34" w:name="OLE_LINK7605"/>
      <w:bookmarkStart w:id="35" w:name="OLE_LINK7687"/>
      <w:bookmarkStart w:id="36" w:name="OLE_LINK7738"/>
      <w:bookmarkStart w:id="37" w:name="OLE_LINK7655"/>
      <w:bookmarkStart w:id="38" w:name="OLE_LINK7735"/>
      <w:bookmarkStart w:id="39" w:name="OLE_LINK7736"/>
      <w:bookmarkStart w:id="40" w:name="OLE_LINK7837"/>
      <w:bookmarkStart w:id="41" w:name="OLE_LINK7813"/>
      <w:bookmarkStart w:id="42" w:name="OLE_LINK7737"/>
      <w:bookmarkStart w:id="43" w:name="OLE_LINK7796"/>
      <w:bookmarkStart w:id="44" w:name="OLE_LINK7838"/>
      <w:bookmarkStart w:id="45" w:name="OLE_LINK7"/>
      <w:bookmarkStart w:id="46" w:name="OLE_LINK40"/>
      <w:bookmarkStart w:id="47" w:name="OLE_LINK184"/>
      <w:bookmarkStart w:id="48" w:name="OLE_LINK7979"/>
      <w:bookmarkStart w:id="49" w:name="OLE_LINK7894"/>
      <w:bookmarkStart w:id="50" w:name="OLE_LINK187"/>
      <w:bookmarkStart w:id="51" w:name="OLE_LINK7882"/>
      <w:bookmarkStart w:id="52" w:name="OLE_LINK7895"/>
      <w:bookmarkStart w:id="53" w:name="OLE_LINK87"/>
      <w:bookmarkStart w:id="54" w:name="OLE_LINK49"/>
      <w:bookmarkStart w:id="55" w:name="OLE_LINK60"/>
      <w:bookmarkStart w:id="56" w:name="OLE_LINK7984"/>
      <w:bookmarkStart w:id="57" w:name="OLE_LINK4"/>
      <w:bookmarkStart w:id="58" w:name="OLE_LINK7876"/>
      <w:bookmarkStart w:id="59" w:name="OLE_LINK20"/>
      <w:bookmarkStart w:id="60" w:name="OLE_LINK1"/>
      <w:bookmarkStart w:id="61" w:name="OLE_LINK65"/>
      <w:bookmarkStart w:id="62" w:name="OLE_LINK100"/>
      <w:bookmarkStart w:id="63" w:name="OLE_LINK7879"/>
      <w:bookmarkStart w:id="64" w:name="OLE_LINK7903"/>
      <w:bookmarkStart w:id="65" w:name="OLE_LINK7896"/>
      <w:bookmarkStart w:id="66" w:name="OLE_LINK7873"/>
      <w:bookmarkStart w:id="67" w:name="OLE_LINK7910"/>
      <w:bookmarkStart w:id="68" w:name="OLE_LINK174"/>
      <w:bookmarkStart w:id="69" w:name="OLE_LINK7867"/>
      <w:bookmarkStart w:id="70" w:name="OLE_LINK46"/>
      <w:bookmarkStart w:id="71" w:name="OLE_LINK84"/>
      <w:bookmarkStart w:id="72" w:name="OLE_LINK7885"/>
      <w:bookmarkStart w:id="73" w:name="OLE_LINK7983"/>
      <w:bookmarkStart w:id="74" w:name="OLE_LINK7985"/>
      <w:bookmarkStart w:id="75" w:name="OLE_LINK7897"/>
      <w:bookmarkStart w:id="76" w:name="OLE_LINK7977"/>
      <w:bookmarkStart w:id="77" w:name="OLE_LINK34"/>
      <w:bookmarkStart w:id="78" w:name="OLE_LINK57"/>
      <w:bookmarkStart w:id="79" w:name="OLE_LINK229"/>
      <w:bookmarkStart w:id="80" w:name="OLE_LINK233"/>
      <w:bookmarkStart w:id="81" w:name="OLE_LINK10"/>
      <w:bookmarkStart w:id="82" w:name="OLE_LINK177"/>
      <w:bookmarkStart w:id="83" w:name="OLE_LINK103"/>
      <w:bookmarkStart w:id="84" w:name="OLE_LINK72"/>
      <w:bookmarkStart w:id="85" w:name="OLE_LINK61"/>
      <w:bookmarkStart w:id="86" w:name="OLE_LINK1232"/>
      <w:bookmarkStart w:id="87" w:name="OLE_LINK74"/>
      <w:bookmarkStart w:id="88" w:name="OLE_LINK82"/>
      <w:bookmarkStart w:id="89" w:name="OLE_LINK108"/>
      <w:bookmarkStart w:id="90" w:name="OLE_LINK41"/>
      <w:bookmarkStart w:id="91" w:name="OLE_LINK1233"/>
      <w:bookmarkStart w:id="92" w:name="OLE_LINK29"/>
      <w:bookmarkStart w:id="93" w:name="OLE_LINK37"/>
      <w:bookmarkStart w:id="94" w:name="OLE_LINK11"/>
      <w:bookmarkStart w:id="95" w:name="OLE_LINK30"/>
      <w:bookmarkStart w:id="96" w:name="OLE_LINK66"/>
      <w:bookmarkStart w:id="97" w:name="OLE_LINK192"/>
      <w:bookmarkStart w:id="98" w:name="OLE_LINK14"/>
      <w:bookmarkStart w:id="99" w:name="OLE_LINK220"/>
      <w:bookmarkStart w:id="100" w:name="OLE_LINK236"/>
      <w:bookmarkStart w:id="101" w:name="OLE_LINK200"/>
      <w:bookmarkStart w:id="102" w:name="OLE_LINK203"/>
      <w:bookmarkStart w:id="103" w:name="OLE_LINK54"/>
      <w:bookmarkStart w:id="104" w:name="OLE_LINK75"/>
      <w:bookmarkStart w:id="105" w:name="OLE_LINK219"/>
      <w:bookmarkStart w:id="106" w:name="OLE_LINK2"/>
      <w:bookmarkStart w:id="107" w:name="OLE_LINK197"/>
      <w:bookmarkStart w:id="108" w:name="OLE_LINK17"/>
      <w:bookmarkStart w:id="109" w:name="OLE_LINK12"/>
      <w:bookmarkStart w:id="110" w:name="OLE_LINK1219"/>
      <w:bookmarkStart w:id="111" w:name="OLE_LINK1327"/>
      <w:bookmarkStart w:id="112" w:name="OLE_LINK51"/>
      <w:bookmarkStart w:id="113" w:name="OLE_LINK1307"/>
      <w:bookmarkStart w:id="114" w:name="OLE_LINK1310"/>
      <w:bookmarkStart w:id="115" w:name="OLE_LINK1241"/>
      <w:bookmarkStart w:id="116" w:name="OLE_LINK1255"/>
      <w:bookmarkStart w:id="117" w:name="OLE_LINK1250"/>
      <w:bookmarkStart w:id="118" w:name="OLE_LINK1318"/>
      <w:bookmarkStart w:id="119" w:name="OLE_LINK6"/>
      <w:bookmarkStart w:id="120" w:name="OLE_LINK19"/>
      <w:bookmarkStart w:id="121" w:name="OLE_LINK208"/>
      <w:bookmarkStart w:id="122" w:name="OLE_LINK1326"/>
      <w:bookmarkStart w:id="123" w:name="OLE_LINK1324"/>
      <w:bookmarkStart w:id="124" w:name="OLE_LINK1325"/>
      <w:bookmarkStart w:id="125" w:name="OLE_LINK42"/>
      <w:bookmarkStart w:id="126" w:name="OLE_LINK78"/>
      <w:bookmarkStart w:id="127" w:name="OLE_LINK241"/>
      <w:bookmarkStart w:id="128" w:name="OLE_LINK26"/>
      <w:bookmarkStart w:id="129" w:name="OLE_LINK216"/>
      <w:bookmarkStart w:id="130" w:name="OLE_LINK1251"/>
      <w:bookmarkStart w:id="131" w:name="OLE_LINK1247"/>
      <w:bookmarkStart w:id="132" w:name="OLE_LINK21"/>
      <w:bookmarkStart w:id="133" w:name="OLE_LINK1299"/>
      <w:bookmarkStart w:id="134" w:name="OLE_LINK1220"/>
      <w:bookmarkStart w:id="135" w:name="OLE_LINK1267"/>
      <w:bookmarkStart w:id="136" w:name="OLE_LINK1272"/>
      <w:bookmarkStart w:id="137" w:name="OLE_LINK36"/>
      <w:bookmarkStart w:id="138" w:name="OLE_LINK226"/>
      <w:bookmarkStart w:id="139" w:name="OLE_LINK1334"/>
      <w:bookmarkStart w:id="140" w:name="OLE_LINK1236"/>
      <w:bookmarkStart w:id="141" w:name="OLE_LINK7264"/>
      <w:bookmarkStart w:id="142" w:name="OLE_LINK15"/>
      <w:bookmarkStart w:id="143" w:name="OLE_LINK1295"/>
      <w:bookmarkStart w:id="144" w:name="OLE_LINK1340"/>
      <w:bookmarkStart w:id="145" w:name="OLE_LINK23"/>
      <w:bookmarkStart w:id="146" w:name="OLE_LINK7301"/>
      <w:bookmarkStart w:id="147" w:name="OLE_LINK1291"/>
      <w:bookmarkStart w:id="148" w:name="OLE_LINK1352"/>
      <w:bookmarkStart w:id="149" w:name="OLE_LINK3"/>
      <w:bookmarkStart w:id="150" w:name="OLE_LINK1244"/>
      <w:bookmarkStart w:id="151" w:name="OLE_LINK1269"/>
      <w:bookmarkStart w:id="152" w:name="OLE_LINK1346"/>
      <w:bookmarkStart w:id="153" w:name="OLE_LINK7241"/>
      <w:bookmarkStart w:id="154" w:name="OLE_LINK1311"/>
      <w:bookmarkStart w:id="155" w:name="OLE_LINK7302"/>
      <w:bookmarkStart w:id="156" w:name="OLE_LINK1261"/>
      <w:bookmarkStart w:id="157" w:name="OLE_LINK1282"/>
      <w:bookmarkStart w:id="158" w:name="OLE_LINK1301"/>
      <w:bookmarkStart w:id="159" w:name="OLE_LINK1290"/>
      <w:bookmarkStart w:id="160" w:name="OLE_LINK1283"/>
      <w:bookmarkStart w:id="161" w:name="OLE_LINK1262"/>
      <w:bookmarkStart w:id="162" w:name="OLE_LINK1303"/>
      <w:bookmarkStart w:id="163" w:name="OLE_LINK1342"/>
      <w:bookmarkStart w:id="164" w:name="OLE_LINK1225"/>
      <w:bookmarkStart w:id="165" w:name="OLE_LINK1256"/>
      <w:bookmarkStart w:id="166" w:name="OLE_LINK1237"/>
      <w:bookmarkStart w:id="167" w:name="OLE_LINK7305"/>
      <w:bookmarkStart w:id="168" w:name="OLE_LINK1312"/>
      <w:bookmarkStart w:id="169" w:name="OLE_LINK7268"/>
      <w:bookmarkStart w:id="170" w:name="OLE_LINK1322"/>
      <w:bookmarkStart w:id="171" w:name="OLE_LINK7234"/>
      <w:bookmarkStart w:id="172" w:name="OLE_LINK1286"/>
      <w:bookmarkStart w:id="173" w:name="OLE_LINK7681"/>
      <w:bookmarkStart w:id="174" w:name="OLE_LINK7803"/>
      <w:bookmarkStart w:id="175" w:name="OLE_LINK7639"/>
      <w:bookmarkStart w:id="176" w:name="OLE_LINK1276"/>
      <w:bookmarkStart w:id="177" w:name="OLE_LINK1297"/>
      <w:bookmarkStart w:id="178" w:name="OLE_LINK7794"/>
      <w:bookmarkStart w:id="179" w:name="OLE_LINK7788"/>
      <w:bookmarkStart w:id="180" w:name="OLE_LINK1305"/>
      <w:bookmarkStart w:id="181" w:name="OLE_LINK7229"/>
      <w:bookmarkStart w:id="182" w:name="OLE_LINK7772"/>
      <w:bookmarkStart w:id="183" w:name="OLE_LINK7650"/>
      <w:bookmarkStart w:id="184" w:name="OLE_LINK7779"/>
      <w:bookmarkStart w:id="185" w:name="OLE_LINK7288"/>
      <w:bookmarkStart w:id="186" w:name="OLE_LINK7244"/>
      <w:bookmarkStart w:id="187" w:name="OLE_LINK7308"/>
      <w:bookmarkStart w:id="188" w:name="OLE_LINK7618"/>
      <w:bookmarkStart w:id="189" w:name="OLE_LINK7279"/>
      <w:bookmarkStart w:id="190" w:name="OLE_LINK7666"/>
      <w:bookmarkStart w:id="191" w:name="OLE_LINK1315"/>
      <w:bookmarkStart w:id="192" w:name="OLE_LINK7688"/>
      <w:bookmarkStart w:id="193" w:name="OLE_LINK7259"/>
      <w:bookmarkStart w:id="194" w:name="OLE_LINK7800"/>
      <w:bookmarkStart w:id="195" w:name="OLE_LINK7295"/>
      <w:bookmarkStart w:id="196" w:name="OLE_LINK7785"/>
      <w:bookmarkStart w:id="197" w:name="OLE_LINK1273"/>
      <w:bookmarkStart w:id="198" w:name="OLE_LINK7274"/>
      <w:bookmarkStart w:id="199" w:name="OLE_LINK7300"/>
      <w:bookmarkStart w:id="200" w:name="OLE_LINK7769"/>
      <w:bookmarkStart w:id="201" w:name="OLE_LINK7224"/>
      <w:bookmarkStart w:id="202" w:name="OLE_LINK1292"/>
      <w:bookmarkStart w:id="203" w:name="OLE_LINK7290"/>
      <w:bookmarkStart w:id="204" w:name="OLE_LINK1319"/>
      <w:bookmarkStart w:id="205" w:name="OLE_LINK7389"/>
      <w:bookmarkStart w:id="206" w:name="OLE_LINK7313"/>
      <w:bookmarkStart w:id="207" w:name="OLE_LINK7732"/>
      <w:bookmarkStart w:id="208" w:name="OLE_LINK7744"/>
      <w:bookmarkStart w:id="209" w:name="OLE_LINK7765"/>
      <w:bookmarkStart w:id="210" w:name="OLE_LINK7761"/>
      <w:bookmarkStart w:id="211" w:name="OLE_LINK7630"/>
      <w:bookmarkStart w:id="212" w:name="OLE_LINK7775"/>
      <w:bookmarkStart w:id="213" w:name="OLE_LINK7670"/>
      <w:bookmarkStart w:id="214" w:name="OLE_LINK7287"/>
      <w:bookmarkStart w:id="215" w:name="OLE_LINK7422"/>
      <w:bookmarkStart w:id="216" w:name="OLE_LINK7682"/>
      <w:bookmarkStart w:id="217" w:name="OLE_LINK7322"/>
      <w:bookmarkStart w:id="218" w:name="OLE_LINK7394"/>
      <w:bookmarkStart w:id="219" w:name="OLE_LINK7700"/>
      <w:bookmarkStart w:id="220" w:name="OLE_LINK7675"/>
      <w:bookmarkStart w:id="221" w:name="OLE_LINK7403"/>
      <w:bookmarkStart w:id="222" w:name="OLE_LINK7753"/>
      <w:bookmarkStart w:id="223" w:name="OLE_LINK7724"/>
      <w:bookmarkStart w:id="224" w:name="OLE_LINK7303"/>
      <w:bookmarkStart w:id="225" w:name="OLE_LINK7791"/>
      <w:bookmarkStart w:id="226" w:name="OLE_LINK7238"/>
      <w:bookmarkStart w:id="227" w:name="OLE_LINK7272"/>
      <w:bookmarkStart w:id="228" w:name="OLE_LINK7292"/>
      <w:bookmarkStart w:id="229" w:name="OLE_LINK7644"/>
      <w:bookmarkStart w:id="230" w:name="OLE_LINK7727"/>
      <w:bookmarkStart w:id="231" w:name="OLE_LINK7654"/>
      <w:bookmarkStart w:id="232" w:name="OLE_LINK7623"/>
      <w:bookmarkStart w:id="233" w:name="OLE_LINK7326"/>
      <w:bookmarkStart w:id="234" w:name="OLE_LINK7806"/>
      <w:bookmarkStart w:id="235" w:name="OLE_LINK7379"/>
      <w:bookmarkStart w:id="236" w:name="OLE_LINK7693"/>
      <w:bookmarkStart w:id="237" w:name="OLE_LINK7562"/>
      <w:bookmarkStart w:id="238" w:name="OLE_LINK7749"/>
      <w:bookmarkStart w:id="239" w:name="OLE_LINK7814"/>
      <w:bookmarkStart w:id="240" w:name="OLE_LINK7296"/>
      <w:bookmarkStart w:id="241" w:name="OLE_LINK7631"/>
      <w:bookmarkStart w:id="242" w:name="OLE_LINK7265"/>
      <w:bookmarkStart w:id="243" w:name="OLE_LINK7815"/>
      <w:bookmarkStart w:id="244" w:name="OLE_LINK7317"/>
      <w:bookmarkStart w:id="245" w:name="OLE_LINK7282"/>
      <w:bookmarkStart w:id="246" w:name="OLE_LINK7260"/>
      <w:bookmarkStart w:id="247" w:name="OLE_LINK7801"/>
      <w:bookmarkStart w:id="248" w:name="OLE_LINK7245"/>
      <w:bookmarkStart w:id="249" w:name="OLE_LINK7266"/>
      <w:bookmarkStart w:id="250" w:name="OLE_LINK7588"/>
      <w:bookmarkStart w:id="251" w:name="OLE_LINK7383"/>
      <w:bookmarkStart w:id="252" w:name="OLE_LINK7432"/>
      <w:bookmarkStart w:id="253" w:name="OLE_LINK7307"/>
      <w:bookmarkStart w:id="254" w:name="OLE_LINK7573"/>
      <w:bookmarkStart w:id="255" w:name="OLE_LINK7426"/>
      <w:bookmarkStart w:id="256" w:name="OLE_LINK7658"/>
      <w:bookmarkStart w:id="257" w:name="OLE_LINK7376"/>
      <w:bookmarkStart w:id="258" w:name="OLE_LINK7552"/>
      <w:bookmarkStart w:id="259" w:name="OLE_LINK7810"/>
      <w:bookmarkStart w:id="260" w:name="OLE_LINK7805"/>
      <w:bookmarkStart w:id="261" w:name="OLE_LINK7386"/>
      <w:bookmarkStart w:id="262" w:name="OLE_LINK7263"/>
      <w:bookmarkStart w:id="263" w:name="OLE_LINK7440"/>
      <w:bookmarkStart w:id="264" w:name="OLE_LINK7254"/>
      <w:bookmarkStart w:id="265" w:name="OLE_LINK7811"/>
      <w:bookmarkStart w:id="266" w:name="OLE_LINK7593"/>
      <w:bookmarkStart w:id="267" w:name="OLE_LINK7793"/>
      <w:bookmarkStart w:id="268" w:name="OLE_LINK7523"/>
      <w:bookmarkStart w:id="269" w:name="OLE_LINK7330"/>
      <w:bookmarkStart w:id="270" w:name="OLE_LINK7862"/>
      <w:bookmarkStart w:id="271" w:name="OLE_LINK7642"/>
      <w:bookmarkStart w:id="272" w:name="OLE_LINK7825"/>
      <w:bookmarkStart w:id="273" w:name="OLE_LINK7834"/>
      <w:bookmarkStart w:id="274" w:name="OLE_LINK7743"/>
      <w:bookmarkStart w:id="275" w:name="OLE_LINK7534"/>
      <w:bookmarkStart w:id="276" w:name="OLE_LINK7822"/>
      <w:bookmarkStart w:id="277" w:name="OLE_LINK7739"/>
      <w:bookmarkStart w:id="278" w:name="OLE_LINK7533"/>
      <w:bookmarkStart w:id="279" w:name="OLE_LINK7526"/>
      <w:bookmarkStart w:id="280" w:name="OLE_LINK7548"/>
      <w:bookmarkStart w:id="281" w:name="OLE_LINK7619"/>
      <w:bookmarkStart w:id="282" w:name="OLE_LINK7786"/>
      <w:bookmarkStart w:id="283" w:name="OLE_LINK7818"/>
      <w:bookmarkStart w:id="284" w:name="OLE_LINK7646"/>
      <w:bookmarkStart w:id="285" w:name="OLE_LINK7888"/>
      <w:bookmarkStart w:id="286" w:name="OLE_LINK7901"/>
      <w:bookmarkStart w:id="287" w:name="OLE_LINK7538"/>
      <w:bookmarkStart w:id="288" w:name="OLE_LINK7648"/>
      <w:bookmarkStart w:id="289" w:name="OLE_LINK7324"/>
      <w:bookmarkStart w:id="290" w:name="OLE_LINK7844"/>
      <w:bookmarkStart w:id="291" w:name="OLE_LINK7261"/>
      <w:bookmarkStart w:id="292" w:name="OLE_LINK7351"/>
      <w:bookmarkStart w:id="293" w:name="OLE_LINK7572"/>
      <w:bookmarkStart w:id="294" w:name="OLE_LINK7306"/>
      <w:bookmarkStart w:id="295" w:name="OLE_LINK7756"/>
      <w:bookmarkStart w:id="296" w:name="OLE_LINK7335"/>
      <w:bookmarkStart w:id="297" w:name="OLE_LINK7348"/>
      <w:bookmarkStart w:id="298" w:name="OLE_LINK7275"/>
      <w:bookmarkStart w:id="299" w:name="OLE_LINK7850"/>
      <w:bookmarkStart w:id="300" w:name="OLE_LINK7579"/>
      <w:bookmarkStart w:id="301" w:name="OLE_LINK7853"/>
      <w:bookmarkStart w:id="302" w:name="OLE_LINK7864"/>
      <w:bookmarkStart w:id="303" w:name="OLE_LINK7863"/>
      <w:bookmarkStart w:id="304" w:name="OLE_LINK7871"/>
      <w:bookmarkStart w:id="305" w:name="OLE_LINK7708"/>
      <w:bookmarkStart w:id="306" w:name="OLE_LINK7883"/>
      <w:bookmarkStart w:id="307" w:name="OLE_LINK7395"/>
      <w:bookmarkStart w:id="308" w:name="OLE_LINK7858"/>
      <w:bookmarkStart w:id="309" w:name="OLE_LINK7689"/>
      <w:bookmarkStart w:id="310" w:name="OLE_LINK7343"/>
      <w:bookmarkStart w:id="311" w:name="OLE_LINK7344"/>
      <w:bookmarkStart w:id="312" w:name="OLE_LINK7898"/>
      <w:bookmarkStart w:id="313" w:name="OLE_LINK7840"/>
      <w:bookmarkStart w:id="314" w:name="OLE_LINK7877"/>
      <w:bookmarkStart w:id="315" w:name="OLE_LINK7280"/>
      <w:bookmarkStart w:id="316" w:name="OLE_LINK7407"/>
      <w:bookmarkStart w:id="317" w:name="OLE_LINK7286"/>
      <w:bookmarkStart w:id="318" w:name="OLE_LINK7415"/>
      <w:bookmarkStart w:id="319" w:name="OLE_LINK7314"/>
      <w:bookmarkStart w:id="320" w:name="OLE_LINK7378"/>
      <w:bookmarkStart w:id="321" w:name="OLE_LINK7804"/>
      <w:bookmarkStart w:id="322" w:name="OLE_LINK7411"/>
      <w:bookmarkStart w:id="323" w:name="OLE_LINK7685"/>
      <w:bookmarkStart w:id="324" w:name="OLE_LINK7424"/>
      <w:bookmarkStart w:id="325" w:name="OLE_LINK7255"/>
      <w:bookmarkStart w:id="326" w:name="OLE_LINK7293"/>
      <w:bookmarkStart w:id="327" w:name="OLE_LINK7676"/>
      <w:bookmarkStart w:id="328" w:name="OLE_LINK7372"/>
      <w:bookmarkStart w:id="329" w:name="OLE_LINK7340"/>
      <w:bookmarkStart w:id="330" w:name="OLE_LINK7701"/>
      <w:bookmarkStart w:id="331" w:name="OLE_LINK7304"/>
      <w:bookmarkStart w:id="332" w:name="OLE_LINK7269"/>
      <w:bookmarkStart w:id="333" w:name="OLE_LINK7795"/>
      <w:bookmarkStart w:id="334" w:name="OLE_LINK1361"/>
      <w:bookmarkStart w:id="335" w:name="OLE_LINK7418"/>
      <w:bookmarkStart w:id="336" w:name="OLE_LINK7361"/>
      <w:bookmarkStart w:id="337" w:name="OLE_LINK7789"/>
      <w:bookmarkStart w:id="338" w:name="OLE_LINK7771"/>
      <w:bookmarkStart w:id="339" w:name="OLE_LINK7667"/>
      <w:bookmarkStart w:id="340" w:name="OLE_LINK7848"/>
      <w:bookmarkStart w:id="341" w:name="OLE_LINK1384"/>
      <w:bookmarkStart w:id="342" w:name="OLE_LINK7384"/>
      <w:bookmarkStart w:id="343" w:name="OLE_LINK7916"/>
      <w:bookmarkStart w:id="344" w:name="OLE_LINK7404"/>
      <w:bookmarkStart w:id="345" w:name="OLE_LINK7747"/>
      <w:bookmarkStart w:id="346" w:name="OLE_LINK7777"/>
      <w:bookmarkStart w:id="347" w:name="OLE_LINK7816"/>
      <w:bookmarkStart w:id="348" w:name="OLE_LINK7866"/>
      <w:bookmarkStart w:id="349" w:name="OLE_LINK1387"/>
      <w:bookmarkStart w:id="350" w:name="OLE_LINK7357"/>
      <w:bookmarkStart w:id="351" w:name="OLE_LINK1371"/>
      <w:bookmarkStart w:id="352" w:name="OLE_LINK7889"/>
      <w:bookmarkStart w:id="353" w:name="OLE_LINK1395"/>
      <w:bookmarkStart w:id="354" w:name="OLE_LINK7776"/>
      <w:bookmarkStart w:id="355" w:name="OLE_LINK1399"/>
      <w:bookmarkStart w:id="356" w:name="OLE_LINK7878"/>
      <w:bookmarkStart w:id="357" w:name="OLE_LINK7787"/>
      <w:bookmarkStart w:id="358" w:name="OLE_LINK7368"/>
      <w:bookmarkStart w:id="359" w:name="OLE_LINK7360"/>
      <w:bookmarkStart w:id="360" w:name="OLE_LINK7729"/>
      <w:bookmarkStart w:id="361" w:name="OLE_LINK1379"/>
      <w:bookmarkStart w:id="362" w:name="OLE_LINK7754"/>
      <w:bookmarkStart w:id="363" w:name="OLE_LINK7781"/>
      <w:bookmarkStart w:id="364" w:name="OLE_LINK7720"/>
      <w:bookmarkStart w:id="365" w:name="OLE_LINK1353"/>
      <w:bookmarkStart w:id="366" w:name="OLE_LINK1429"/>
      <w:bookmarkStart w:id="367" w:name="OLE_LINK1335"/>
      <w:bookmarkStart w:id="368" w:name="OLE_LINK7909"/>
      <w:bookmarkStart w:id="369" w:name="OLE_LINK7841"/>
      <w:bookmarkStart w:id="370" w:name="OLE_LINK1348"/>
      <w:bookmarkStart w:id="371" w:name="OLE_LINK7766"/>
      <w:bookmarkStart w:id="372" w:name="OLE_LINK1375"/>
      <w:bookmarkStart w:id="373" w:name="OLE_LINK7780"/>
      <w:bookmarkStart w:id="374" w:name="OLE_LINK7725"/>
      <w:bookmarkStart w:id="375" w:name="OLE_LINK7714"/>
      <w:bookmarkStart w:id="376" w:name="OLE_LINK7797"/>
      <w:bookmarkStart w:id="377" w:name="OLE_LINK1364"/>
      <w:bookmarkStart w:id="378" w:name="OLE_LINK7854"/>
      <w:bookmarkStart w:id="379" w:name="OLE_LINK7913"/>
      <w:bookmarkStart w:id="380" w:name="OLE_LINK7817"/>
      <w:bookmarkStart w:id="381" w:name="OLE_LINK1343"/>
      <w:bookmarkStart w:id="382" w:name="OLE_LINK7842"/>
      <w:bookmarkStart w:id="383" w:name="OLE_LINK7762"/>
      <w:bookmarkStart w:id="384" w:name="OLE_LINK1449"/>
      <w:bookmarkStart w:id="385" w:name="OLE_LINK1466"/>
      <w:bookmarkStart w:id="386" w:name="OLE_LINK1490"/>
      <w:bookmarkStart w:id="387" w:name="OLE_LINK7683"/>
      <w:bookmarkStart w:id="388" w:name="OLE_LINK1391"/>
      <w:bookmarkStart w:id="389" w:name="OLE_LINK1492"/>
      <w:bookmarkStart w:id="390" w:name="OLE_LINK1344"/>
      <w:bookmarkStart w:id="391" w:name="OLE_LINK1412"/>
      <w:bookmarkStart w:id="392" w:name="OLE_LINK1402"/>
      <w:bookmarkStart w:id="393" w:name="OLE_LINK7906"/>
      <w:bookmarkStart w:id="394" w:name="OLE_LINK1356"/>
      <w:bookmarkStart w:id="395" w:name="OLE_LINK1365"/>
      <w:bookmarkStart w:id="396" w:name="OLE_LINK7900"/>
      <w:bookmarkStart w:id="397" w:name="OLE_LINK1496"/>
      <w:bookmarkStart w:id="398" w:name="OLE_LINK1508"/>
      <w:bookmarkStart w:id="399" w:name="OLE_LINK1477"/>
      <w:bookmarkStart w:id="400" w:name="OLE_LINK1503"/>
      <w:bookmarkStart w:id="401" w:name="OLE_LINK1478"/>
      <w:bookmarkStart w:id="402" w:name="OLE_LINK7704"/>
      <w:bookmarkStart w:id="403" w:name="OLE_LINK7745"/>
      <w:bookmarkStart w:id="404" w:name="OLE_LINK7755"/>
      <w:bookmarkStart w:id="405" w:name="OLE_LINK8064"/>
      <w:bookmarkStart w:id="406" w:name="OLE_LINK8012"/>
      <w:bookmarkStart w:id="407" w:name="OLE_LINK8072"/>
      <w:bookmarkStart w:id="408" w:name="OLE_LINK7807"/>
      <w:bookmarkStart w:id="409" w:name="OLE_LINK7917"/>
      <w:bookmarkStart w:id="410" w:name="OLE_LINK1452"/>
      <w:bookmarkStart w:id="411" w:name="OLE_LINK1474"/>
      <w:bookmarkStart w:id="412" w:name="OLE_LINK1457"/>
      <w:bookmarkStart w:id="413" w:name="OLE_LINK7868"/>
      <w:bookmarkStart w:id="414" w:name="OLE_LINK1433"/>
      <w:bookmarkStart w:id="415" w:name="OLE_LINK7960"/>
      <w:bookmarkStart w:id="416" w:name="OLE_LINK7927"/>
      <w:bookmarkStart w:id="417" w:name="OLE_LINK1499"/>
      <w:bookmarkStart w:id="418" w:name="OLE_LINK7884"/>
      <w:bookmarkStart w:id="419" w:name="OLE_LINK7936"/>
      <w:bookmarkStart w:id="420" w:name="OLE_LINK8023"/>
      <w:bookmarkStart w:id="421" w:name="OLE_LINK7859"/>
      <w:bookmarkStart w:id="422" w:name="OLE_LINK7947"/>
      <w:bookmarkStart w:id="423" w:name="OLE_LINK7740"/>
      <w:bookmarkStart w:id="424" w:name="OLE_LINK1436"/>
      <w:bookmarkStart w:id="425" w:name="OLE_LINK8010"/>
      <w:bookmarkStart w:id="426" w:name="OLE_LINK1484"/>
      <w:bookmarkStart w:id="427" w:name="OLE_LINK7731"/>
      <w:bookmarkStart w:id="428" w:name="OLE_LINK7674"/>
      <w:bookmarkStart w:id="429" w:name="OLE_LINK7907"/>
      <w:bookmarkStart w:id="430" w:name="OLE_LINK8138"/>
      <w:bookmarkStart w:id="431" w:name="OLE_LINK8148"/>
      <w:bookmarkStart w:id="432" w:name="OLE_LINK7923"/>
      <w:bookmarkStart w:id="433" w:name="OLE_LINK8203"/>
      <w:bookmarkStart w:id="434" w:name="OLE_LINK8160"/>
      <w:bookmarkStart w:id="435" w:name="OLE_LINK8209"/>
      <w:bookmarkStart w:id="436" w:name="OLE_LINK8222"/>
      <w:bookmarkStart w:id="437" w:name="OLE_LINK8066"/>
      <w:bookmarkStart w:id="438" w:name="OLE_LINK8027"/>
      <w:bookmarkStart w:id="439" w:name="OLE_LINK7952"/>
      <w:bookmarkStart w:id="440" w:name="OLE_LINK7851"/>
      <w:bookmarkStart w:id="441" w:name="OLE_LINK8011"/>
      <w:bookmarkStart w:id="442" w:name="OLE_LINK8034"/>
      <w:bookmarkStart w:id="443" w:name="OLE_LINK8059"/>
      <w:bookmarkStart w:id="444" w:name="OLE_LINK8037"/>
      <w:bookmarkStart w:id="445" w:name="OLE_LINK7920"/>
      <w:bookmarkStart w:id="446" w:name="OLE_LINK7902"/>
      <w:bookmarkStart w:id="447" w:name="OLE_LINK8026"/>
      <w:bookmarkStart w:id="448" w:name="OLE_LINK7933"/>
      <w:bookmarkStart w:id="449" w:name="OLE_LINK8055"/>
      <w:bookmarkStart w:id="450" w:name="OLE_LINK8046"/>
      <w:bookmarkStart w:id="451" w:name="OLE_LINK8179"/>
      <w:bookmarkStart w:id="452" w:name="OLE_LINK8049"/>
      <w:bookmarkStart w:id="453" w:name="OLE_LINK8089"/>
      <w:bookmarkStart w:id="454" w:name="OLE_LINK8185"/>
      <w:bookmarkStart w:id="455" w:name="OLE_LINK8015"/>
      <w:bookmarkStart w:id="456" w:name="OLE_LINK8134"/>
      <w:bookmarkStart w:id="457" w:name="OLE_LINK7938"/>
      <w:bookmarkStart w:id="458" w:name="OLE_LINK8078"/>
      <w:bookmarkStart w:id="459" w:name="OLE_LINK8192"/>
      <w:bookmarkStart w:id="460" w:name="OLE_LINK8188"/>
      <w:bookmarkStart w:id="461" w:name="OLE_LINK8230"/>
      <w:bookmarkStart w:id="462" w:name="OLE_LINK8171"/>
      <w:bookmarkStart w:id="463" w:name="OLE_LINK1381"/>
      <w:bookmarkStart w:id="464" w:name="OLE_LINK1407"/>
      <w:bookmarkStart w:id="465" w:name="OLE_LINK1372"/>
      <w:bookmarkStart w:id="466" w:name="OLE_LINK1414"/>
      <w:bookmarkStart w:id="467" w:name="OLE_LINK7845"/>
      <w:bookmarkStart w:id="468" w:name="OLE_LINK8137"/>
      <w:bookmarkStart w:id="469" w:name="OLE_LINK8175"/>
      <w:bookmarkStart w:id="470" w:name="OLE_LINK7914"/>
      <w:bookmarkStart w:id="471" w:name="OLE_LINK8217"/>
      <w:bookmarkStart w:id="472" w:name="OLE_LINK7860"/>
      <w:bookmarkStart w:id="473" w:name="OLE_LINK1382"/>
      <w:bookmarkStart w:id="474" w:name="OLE_LINK1419"/>
      <w:bookmarkStart w:id="475" w:name="OLE_LINK8239"/>
      <w:bookmarkStart w:id="476" w:name="OLE_LINK8232"/>
      <w:bookmarkStart w:id="477" w:name="OLE_LINK8157"/>
      <w:bookmarkStart w:id="478" w:name="OLE_LINK8226"/>
      <w:bookmarkStart w:id="479" w:name="OLE_LINK8141"/>
      <w:bookmarkStart w:id="480" w:name="OLE_LINK1357"/>
      <w:bookmarkStart w:id="481" w:name="OLE_LINK1434"/>
      <w:bookmarkStart w:id="482" w:name="OLE_LINK8199"/>
      <w:bookmarkStart w:id="483" w:name="OLE_LINK7890"/>
      <w:bookmarkStart w:id="484" w:name="OLE_LINK8153"/>
      <w:bookmarkStart w:id="485" w:name="OLE_LINK8229"/>
      <w:bookmarkStart w:id="486" w:name="OLE_LINK8166"/>
      <w:bookmarkStart w:id="487" w:name="OLE_LINK8144"/>
      <w:bookmarkStart w:id="488" w:name="OLE_LINK1397"/>
      <w:bookmarkStart w:id="489" w:name="OLE_LINK8139"/>
      <w:bookmarkStart w:id="490" w:name="OLE_LINK1424"/>
      <w:bookmarkStart w:id="491" w:name="OLE_LINK1441"/>
      <w:bookmarkStart w:id="492" w:name="OLE_LINK8081"/>
      <w:bookmarkStart w:id="493" w:name="OLE_LINK6834"/>
      <w:bookmarkStart w:id="494" w:name="OLE_LINK1227"/>
      <w:bookmarkStart w:id="495" w:name="OLE_LINK7153"/>
      <w:bookmarkStart w:id="496" w:name="OLE_LINK6798"/>
      <w:bookmarkStart w:id="497" w:name="OLE_LINK7228"/>
      <w:bookmarkStart w:id="498" w:name="OLE_LINK7145"/>
      <w:bookmarkStart w:id="499" w:name="OLE_LINK7215"/>
      <w:bookmarkStart w:id="500" w:name="OLE_LINK1218"/>
      <w:bookmarkStart w:id="501" w:name="OLE_LINK6827"/>
      <w:bookmarkStart w:id="502" w:name="OLE_LINK1231"/>
      <w:bookmarkStart w:id="503" w:name="OLE_LINK7214"/>
      <w:bookmarkStart w:id="504" w:name="OLE_LINK1246"/>
      <w:bookmarkStart w:id="505" w:name="OLE_LINK7122"/>
      <w:bookmarkStart w:id="506" w:name="OLE_LINK1223"/>
      <w:bookmarkStart w:id="507" w:name="OLE_LINK7116"/>
      <w:bookmarkStart w:id="508" w:name="OLE_LINK1242"/>
      <w:bookmarkStart w:id="509" w:name="OLE_LINK6803"/>
      <w:bookmarkStart w:id="510" w:name="OLE_LINK7125"/>
      <w:bookmarkStart w:id="511" w:name="OLE_LINK7158"/>
      <w:bookmarkStart w:id="512" w:name="OLE_LINK1224"/>
      <w:bookmarkStart w:id="513" w:name="OLE_LINK7140"/>
      <w:bookmarkStart w:id="514" w:name="OLE_LINK7126"/>
      <w:bookmarkStart w:id="515" w:name="OLE_LINK7223"/>
      <w:bookmarkStart w:id="516" w:name="OLE_LINK7212"/>
      <w:bookmarkStart w:id="517" w:name="OLE_LINK7127"/>
      <w:bookmarkStart w:id="518" w:name="OLE_LINK1199"/>
      <w:bookmarkStart w:id="519" w:name="OLE_LINK6812"/>
      <w:bookmarkStart w:id="520" w:name="OLE_LINK7173"/>
      <w:bookmarkStart w:id="521" w:name="OLE_LINK1222"/>
      <w:bookmarkStart w:id="522" w:name="OLE_LINK7150"/>
      <w:bookmarkStart w:id="523" w:name="OLE_LINK1198"/>
      <w:bookmarkStart w:id="524" w:name="OLE_LINK7119"/>
      <w:bookmarkStart w:id="525" w:name="OLE_LINK7569"/>
      <w:bookmarkStart w:id="526" w:name="OLE_LINK7633"/>
      <w:bookmarkStart w:id="527" w:name="OLE_LINK7243"/>
      <w:bookmarkStart w:id="528" w:name="OLE_LINK7559"/>
      <w:bookmarkStart w:id="529" w:name="OLE_LINK7236"/>
      <w:bookmarkStart w:id="530" w:name="OLE_LINK7240"/>
      <w:bookmarkStart w:id="531" w:name="OLE_LINK6830"/>
      <w:bookmarkStart w:id="532" w:name="OLE_LINK7130"/>
      <w:bookmarkStart w:id="533" w:name="OLE_LINK7530"/>
      <w:bookmarkStart w:id="534" w:name="OLE_LINK7571"/>
      <w:bookmarkStart w:id="535" w:name="OLE_LINK7550"/>
      <w:bookmarkStart w:id="536" w:name="OLE_LINK7167"/>
      <w:bookmarkStart w:id="537" w:name="OLE_LINK7625"/>
      <w:bookmarkStart w:id="538" w:name="OLE_LINK7253"/>
      <w:bookmarkStart w:id="539" w:name="OLE_LINK7616"/>
      <w:bookmarkStart w:id="540" w:name="OLE_LINK7515"/>
      <w:bookmarkStart w:id="541" w:name="OLE_LINK7628"/>
      <w:bookmarkStart w:id="542" w:name="OLE_LINK7629"/>
      <w:bookmarkStart w:id="543" w:name="OLE_LINK7213"/>
      <w:bookmarkStart w:id="544" w:name="OLE_LINK6816"/>
      <w:bookmarkStart w:id="545" w:name="OLE_LINK7561"/>
      <w:bookmarkStart w:id="546" w:name="OLE_LINK7141"/>
      <w:bookmarkStart w:id="547" w:name="OLE_LINK7608"/>
      <w:bookmarkStart w:id="548" w:name="OLE_LINK7527"/>
      <w:bookmarkStart w:id="549" w:name="OLE_LINK7522"/>
      <w:bookmarkStart w:id="550" w:name="OLE_LINK7237"/>
      <w:bookmarkStart w:id="551" w:name="OLE_LINK7641"/>
      <w:bookmarkStart w:id="552" w:name="OLE_LINK7133"/>
      <w:bookmarkStart w:id="553" w:name="OLE_LINK7513"/>
      <w:bookmarkStart w:id="554" w:name="OLE_LINK7568"/>
      <w:bookmarkStart w:id="555" w:name="OLE_LINK7555"/>
      <w:bookmarkStart w:id="556" w:name="OLE_LINK7547"/>
      <w:bookmarkStart w:id="557" w:name="OLE_LINK7578"/>
      <w:bookmarkStart w:id="558" w:name="OLE_LINK7235"/>
      <w:bookmarkStart w:id="559" w:name="OLE_LINK7583"/>
      <w:bookmarkStart w:id="560" w:name="OLE_LINK7611"/>
      <w:bookmarkStart w:id="561" w:name="OLE_LINK7250"/>
      <w:bookmarkStart w:id="562" w:name="OLE_LINK7577"/>
      <w:bookmarkStart w:id="563" w:name="OLE_LINK7574"/>
      <w:r>
        <w:rPr>
          <w:rFonts w:ascii="Book Antiqua" w:hAnsi="Book Antiqua"/>
        </w:rPr>
        <w:t>January 27,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67253BEB"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March 15, 2024</w:t>
      </w:r>
    </w:p>
    <w:p w14:paraId="1A78A00F" w14:textId="77777777" w:rsidR="00D81529" w:rsidRDefault="00D81529">
      <w:pPr>
        <w:adjustRightInd w:val="0"/>
        <w:snapToGrid w:val="0"/>
        <w:spacing w:line="360" w:lineRule="auto"/>
        <w:jc w:val="both"/>
        <w:rPr>
          <w:rFonts w:ascii="Book Antiqua" w:hAnsi="Book Antiqua"/>
        </w:rPr>
        <w:sectPr w:rsidR="00D81529" w:rsidSect="00935A61">
          <w:footerReference w:type="default" r:id="rId7"/>
          <w:pgSz w:w="12240" w:h="15840"/>
          <w:pgMar w:top="1440" w:right="1440" w:bottom="1440" w:left="1440" w:header="720" w:footer="720" w:gutter="0"/>
          <w:cols w:space="720"/>
          <w:docGrid w:linePitch="360"/>
        </w:sectPr>
      </w:pPr>
    </w:p>
    <w:p w14:paraId="20A11254"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rPr>
        <w:lastRenderedPageBreak/>
        <w:t>Abstract</w:t>
      </w:r>
    </w:p>
    <w:p w14:paraId="5E48E0CD"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BACKGROUND</w:t>
      </w:r>
    </w:p>
    <w:p w14:paraId="2CE512D5"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Pancreatic ductal adenocarcinoma (PDAC) is a common cancer with increasing morbidity and mortality due to changes of social environment.</w:t>
      </w:r>
    </w:p>
    <w:p w14:paraId="6B10409B" w14:textId="77777777" w:rsidR="00D81529" w:rsidRDefault="00D81529">
      <w:pPr>
        <w:adjustRightInd w:val="0"/>
        <w:snapToGrid w:val="0"/>
        <w:spacing w:line="360" w:lineRule="auto"/>
        <w:jc w:val="both"/>
        <w:rPr>
          <w:rFonts w:ascii="Book Antiqua" w:hAnsi="Book Antiqua"/>
        </w:rPr>
      </w:pPr>
    </w:p>
    <w:p w14:paraId="698B623B"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AIM</w:t>
      </w:r>
    </w:p>
    <w:p w14:paraId="23446F3E"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To evaluate the significance of serum carbohydrate antigen 19-9 (CA19-9) and tumor size changes pre- and post-neoadjuvant therapy (NAT).</w:t>
      </w:r>
    </w:p>
    <w:p w14:paraId="136C5007" w14:textId="77777777" w:rsidR="00D81529" w:rsidRDefault="00D81529">
      <w:pPr>
        <w:adjustRightInd w:val="0"/>
        <w:snapToGrid w:val="0"/>
        <w:spacing w:line="360" w:lineRule="auto"/>
        <w:jc w:val="both"/>
        <w:rPr>
          <w:rFonts w:ascii="Book Antiqua" w:hAnsi="Book Antiqua"/>
        </w:rPr>
      </w:pPr>
    </w:p>
    <w:p w14:paraId="3D46E05B"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METHODS</w:t>
      </w:r>
    </w:p>
    <w:p w14:paraId="6319C54B"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This retrospective study was conducted at the Chongqing Key Laboratory of Translational Research for Cancer Metastasis and Individualized Treatment, Chongqing University Cancer Hospital. This study specifically assessed CA19-9 levels and tumor size before and after NAT.</w:t>
      </w:r>
    </w:p>
    <w:p w14:paraId="6EB2BDF6" w14:textId="77777777" w:rsidR="00D81529" w:rsidRDefault="00D81529">
      <w:pPr>
        <w:adjustRightInd w:val="0"/>
        <w:snapToGrid w:val="0"/>
        <w:spacing w:line="360" w:lineRule="auto"/>
        <w:jc w:val="both"/>
        <w:rPr>
          <w:rFonts w:ascii="Book Antiqua" w:hAnsi="Book Antiqua"/>
        </w:rPr>
      </w:pPr>
    </w:p>
    <w:p w14:paraId="5A2E7FE6"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RESULTS</w:t>
      </w:r>
    </w:p>
    <w:p w14:paraId="44ED8C39"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A total of 156 patients who completed NAT and subsequently underwent tumor resection were included in this study. The average age was 65.4 ± 10.6 years and 72 (46.2%) patients were female. Before survival analysis, we defined the post-NAT serum CA19-9 level/pre-NAT serum CA19-9 level as the CA19-9 ratio (CR). The patients were divided into three groups: CR &lt; 0.5, CR &gt; 0.5 and &lt; 1 and CR &gt; 1. With regard to tumor size measured by both computed tomography and magnetic resonance imaging, we defined the post-NAT tumor size/pre-NAT tumor size as the tumor size ratio (TR). The patients were then divided into three groups: TR &lt; 0.5, TR &gt; 0.5 and &lt; 1 and TR &gt; 1. Based on these groups divided according to CR and TR, we performed both overall survival (OS) and disease-free survival (DFS) analyses. Log-rank tests showed that both OS and DFS were significantly different among the groups according to CR and TR (</w:t>
      </w:r>
      <w:r>
        <w:rPr>
          <w:rFonts w:ascii="Book Antiqua" w:eastAsia="Book Antiqua" w:hAnsi="Book Antiqua" w:cs="Book Antiqua"/>
          <w:i/>
          <w:iCs/>
        </w:rPr>
        <w:t xml:space="preserve">P </w:t>
      </w:r>
      <w:r>
        <w:rPr>
          <w:rFonts w:ascii="Book Antiqua" w:eastAsia="Book Antiqua" w:hAnsi="Book Antiqua" w:cs="Book Antiqua"/>
        </w:rPr>
        <w:t xml:space="preserve">&lt; 0.05). CR and TR after NAT were associated with increased odds of achieving a complete or near-complete pathologic response. Moreover, CR (hazard ratio: 1.721, 95%CI: 1.373-3.762; </w:t>
      </w:r>
      <w:r>
        <w:rPr>
          <w:rFonts w:ascii="Book Antiqua" w:eastAsia="Book Antiqua" w:hAnsi="Book Antiqua" w:cs="Book Antiqua"/>
          <w:i/>
          <w:iCs/>
        </w:rPr>
        <w:t xml:space="preserve">P </w:t>
      </w:r>
      <w:r>
        <w:rPr>
          <w:rFonts w:ascii="Book Antiqua" w:eastAsia="Book Antiqua" w:hAnsi="Book Antiqua" w:cs="Book Antiqua"/>
        </w:rPr>
        <w:t xml:space="preserve">= 0.006), </w:t>
      </w:r>
      <w:r>
        <w:rPr>
          <w:rFonts w:ascii="Book Antiqua" w:eastAsia="Book Antiqua" w:hAnsi="Book Antiqua" w:cs="Book Antiqua"/>
        </w:rPr>
        <w:lastRenderedPageBreak/>
        <w:t xml:space="preserve">and TR (hazard ratio: 1.435, 95%CI: 1.275-4.363; </w:t>
      </w:r>
      <w:r>
        <w:rPr>
          <w:rFonts w:ascii="Book Antiqua" w:eastAsia="Book Antiqua" w:hAnsi="Book Antiqua" w:cs="Book Antiqua"/>
          <w:i/>
          <w:iCs/>
          <w:u w:color="000000"/>
        </w:rPr>
        <w:t xml:space="preserve">P </w:t>
      </w:r>
      <w:r>
        <w:rPr>
          <w:rFonts w:ascii="Book Antiqua" w:eastAsia="Book Antiqua" w:hAnsi="Book Antiqua" w:cs="Book Antiqua"/>
        </w:rPr>
        <w:t>= 0.014) were identified as independent factors associated with OS.</w:t>
      </w:r>
    </w:p>
    <w:p w14:paraId="68292F3C" w14:textId="77777777" w:rsidR="00D81529" w:rsidRDefault="00D81529">
      <w:pPr>
        <w:adjustRightInd w:val="0"/>
        <w:snapToGrid w:val="0"/>
        <w:spacing w:line="360" w:lineRule="auto"/>
        <w:jc w:val="both"/>
        <w:rPr>
          <w:rFonts w:ascii="Book Antiqua" w:hAnsi="Book Antiqua"/>
        </w:rPr>
      </w:pPr>
    </w:p>
    <w:p w14:paraId="0F060A69"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CONCLUSION</w:t>
      </w:r>
    </w:p>
    <w:p w14:paraId="75CA0A0D"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This study demonstrated that post-NAT serum CA19-9 level/pre-NAT serum CA19-9 level and post-NAT tumor size/pre-NAT tumor size were independent factors associated with OS in patients with PDAC who received NAT and subsequent surgical resection.</w:t>
      </w:r>
    </w:p>
    <w:p w14:paraId="62F07F7E" w14:textId="77777777" w:rsidR="00D81529" w:rsidRDefault="00D81529">
      <w:pPr>
        <w:adjustRightInd w:val="0"/>
        <w:snapToGrid w:val="0"/>
        <w:spacing w:line="360" w:lineRule="auto"/>
        <w:jc w:val="both"/>
        <w:rPr>
          <w:rFonts w:ascii="Book Antiqua" w:hAnsi="Book Antiqua"/>
        </w:rPr>
      </w:pPr>
    </w:p>
    <w:p w14:paraId="3F57FED5"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Pancreatic ductal adenocarcinoma; Carbohydrate antigen 19-9; Tumor size; Pathologic response; Biomarkers</w:t>
      </w:r>
    </w:p>
    <w:p w14:paraId="2DD80719" w14:textId="77777777" w:rsidR="00D81529" w:rsidRDefault="00D81529">
      <w:pPr>
        <w:adjustRightInd w:val="0"/>
        <w:snapToGrid w:val="0"/>
        <w:spacing w:line="360" w:lineRule="auto"/>
        <w:jc w:val="both"/>
        <w:rPr>
          <w:rFonts w:ascii="Book Antiqua" w:hAnsi="Book Antiqua"/>
        </w:rPr>
      </w:pPr>
    </w:p>
    <w:p w14:paraId="2941F51E" w14:textId="77777777" w:rsidR="00E53BAB" w:rsidRDefault="00E53BAB" w:rsidP="00E53BA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7022B3F" w14:textId="77777777" w:rsidR="00E53BAB" w:rsidRDefault="00E53BAB">
      <w:pPr>
        <w:adjustRightInd w:val="0"/>
        <w:snapToGrid w:val="0"/>
        <w:spacing w:line="360" w:lineRule="auto"/>
        <w:jc w:val="both"/>
        <w:rPr>
          <w:rFonts w:ascii="Book Antiqua" w:hAnsi="Book Antiqua"/>
        </w:rPr>
      </w:pPr>
    </w:p>
    <w:p w14:paraId="7D89C2C6" w14:textId="092507C6" w:rsidR="00E53BA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Xia DQ, Zhou Y, Yang S, Li FF, Tian LY, Li YH, Xu HY, Xiao CZ, Wang W. Combining prognostic value of serum carbohydrate antigen 19-9 and tumor size reduction ratio in pancreatic ductal adenocarcinoma. </w:t>
      </w:r>
      <w:r>
        <w:rPr>
          <w:rFonts w:ascii="Book Antiqua" w:eastAsia="Book Antiqua" w:hAnsi="Book Antiqua" w:cs="Book Antiqua"/>
          <w:i/>
          <w:iCs/>
        </w:rPr>
        <w:t>World J Gastrointest Oncol</w:t>
      </w:r>
      <w:r>
        <w:rPr>
          <w:rFonts w:ascii="Book Antiqua" w:eastAsia="Book Antiqua" w:hAnsi="Book Antiqua" w:cs="Book Antiqua"/>
        </w:rPr>
        <w:t xml:space="preserve"> 2024; </w:t>
      </w:r>
      <w:r>
        <w:rPr>
          <w:rFonts w:ascii="Book Antiqua" w:eastAsia="Book Antiqua" w:hAnsi="Book Antiqua" w:cs="Book Antiqua" w:hint="eastAsia"/>
        </w:rPr>
        <w:t xml:space="preserve">16(3): </w:t>
      </w:r>
      <w:r w:rsidR="00E53BAB" w:rsidRPr="00426153">
        <w:rPr>
          <w:rFonts w:ascii="Book Antiqua" w:eastAsia="Book Antiqua" w:hAnsi="Book Antiqua" w:cs="Book Antiqua"/>
        </w:rPr>
        <w:t>798-809</w:t>
      </w:r>
    </w:p>
    <w:p w14:paraId="46DC2C21" w14:textId="184CD0C7" w:rsidR="00E53BAB" w:rsidRDefault="00000000">
      <w:pPr>
        <w:spacing w:line="360" w:lineRule="auto"/>
        <w:jc w:val="both"/>
        <w:rPr>
          <w:rFonts w:ascii="Book Antiqua" w:eastAsia="Book Antiqua" w:hAnsi="Book Antiqua" w:cs="Book Antiqua"/>
        </w:rPr>
      </w:pPr>
      <w:r w:rsidRPr="00E53BAB">
        <w:rPr>
          <w:rFonts w:ascii="Book Antiqua" w:eastAsia="Book Antiqua" w:hAnsi="Book Antiqua" w:cs="Book Antiqua" w:hint="eastAsia"/>
          <w:b/>
          <w:bCs/>
        </w:rPr>
        <w:t>URL</w:t>
      </w:r>
      <w:r>
        <w:rPr>
          <w:rFonts w:ascii="Book Antiqua" w:eastAsia="Book Antiqua" w:hAnsi="Book Antiqua" w:cs="Book Antiqua" w:hint="eastAsia"/>
        </w:rPr>
        <w:t>: https://www.wjgnet.com/1948-5204/full/v16/i3/</w:t>
      </w:r>
      <w:r w:rsidR="00E53BAB" w:rsidRPr="00426153">
        <w:rPr>
          <w:rFonts w:ascii="Book Antiqua" w:eastAsia="Book Antiqua" w:hAnsi="Book Antiqua" w:cs="Book Antiqua"/>
        </w:rPr>
        <w:t>798</w:t>
      </w:r>
      <w:r>
        <w:rPr>
          <w:rFonts w:ascii="Book Antiqua" w:eastAsia="Book Antiqua" w:hAnsi="Book Antiqua" w:cs="Book Antiqua" w:hint="eastAsia"/>
        </w:rPr>
        <w:t>.htm</w:t>
      </w:r>
    </w:p>
    <w:p w14:paraId="53951C21" w14:textId="2AB4CE04" w:rsidR="00D81529" w:rsidRDefault="00000000">
      <w:pPr>
        <w:spacing w:line="360" w:lineRule="auto"/>
        <w:jc w:val="both"/>
        <w:rPr>
          <w:rFonts w:ascii="Book Antiqua" w:eastAsia="Book Antiqua" w:hAnsi="Book Antiqua" w:cs="Book Antiqua"/>
        </w:rPr>
      </w:pPr>
      <w:r w:rsidRPr="00E53BAB">
        <w:rPr>
          <w:rFonts w:ascii="Book Antiqua" w:eastAsia="Book Antiqua" w:hAnsi="Book Antiqua" w:cs="Book Antiqua" w:hint="eastAsia"/>
          <w:b/>
          <w:bCs/>
        </w:rPr>
        <w:t>DOI</w:t>
      </w:r>
      <w:r>
        <w:rPr>
          <w:rFonts w:ascii="Book Antiqua" w:eastAsia="Book Antiqua" w:hAnsi="Book Antiqua" w:cs="Book Antiqua" w:hint="eastAsia"/>
        </w:rPr>
        <w:t>: https://dx.doi.org/10.4251/wjgo.v16.i3.</w:t>
      </w:r>
      <w:r w:rsidR="00E53BAB" w:rsidRPr="00426153">
        <w:rPr>
          <w:rFonts w:ascii="Book Antiqua" w:eastAsia="Book Antiqua" w:hAnsi="Book Antiqua" w:cs="Book Antiqua"/>
        </w:rPr>
        <w:t>798</w:t>
      </w:r>
    </w:p>
    <w:p w14:paraId="2DEBF88B" w14:textId="77777777" w:rsidR="00D81529" w:rsidRDefault="00D81529">
      <w:pPr>
        <w:adjustRightInd w:val="0"/>
        <w:snapToGrid w:val="0"/>
        <w:spacing w:line="360" w:lineRule="auto"/>
        <w:jc w:val="both"/>
        <w:rPr>
          <w:rFonts w:ascii="Book Antiqua" w:hAnsi="Book Antiqua"/>
        </w:rPr>
      </w:pPr>
    </w:p>
    <w:p w14:paraId="50AABA1F"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Our study demonstrated that post-neoadjuvant therapy (NAT) serum carbohydrate antigen 19-9 (CA19-9) level/pre-NAT serum CA19-9 level and post-NAT tumor size/pre-NAT tumor size were independent factors associated with overall survival for patients receiving NAT and subsequently surgical resection for pancreatic ductal adenocarcinoma.</w:t>
      </w:r>
    </w:p>
    <w:p w14:paraId="40B317FF" w14:textId="77777777" w:rsidR="00D81529" w:rsidRDefault="00D81529">
      <w:pPr>
        <w:adjustRightInd w:val="0"/>
        <w:snapToGrid w:val="0"/>
        <w:spacing w:line="360" w:lineRule="auto"/>
        <w:jc w:val="both"/>
        <w:rPr>
          <w:rFonts w:ascii="Book Antiqua" w:hAnsi="Book Antiqua"/>
        </w:rPr>
      </w:pPr>
    </w:p>
    <w:p w14:paraId="31AC5838"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caps/>
          <w:u w:val="single"/>
        </w:rPr>
        <w:t>INTRODUCTION</w:t>
      </w:r>
    </w:p>
    <w:p w14:paraId="3BC13A3B"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Pancreatic ductal adenocarcinoma (PDAC) is a relatively common cancer with increasing morbidity and mortality due to changes of social environment. Cancer-related death was the second leading cause of death in 2019, with PDAC the third most common cause of </w:t>
      </w:r>
      <w:r>
        <w:rPr>
          <w:rFonts w:ascii="Book Antiqua" w:eastAsia="Book Antiqua" w:hAnsi="Book Antiqua" w:cs="Book Antiqua"/>
        </w:rPr>
        <w:lastRenderedPageBreak/>
        <w:t>cancer death</w:t>
      </w:r>
      <w:r>
        <w:rPr>
          <w:rFonts w:ascii="Book Antiqua" w:eastAsia="Book Antiqua" w:hAnsi="Book Antiqua" w:cs="Book Antiqua"/>
          <w:vertAlign w:val="superscript"/>
        </w:rPr>
        <w:t>[1,2]</w:t>
      </w:r>
      <w:r>
        <w:rPr>
          <w:rFonts w:ascii="Book Antiqua" w:eastAsia="Book Antiqua" w:hAnsi="Book Antiqua" w:cs="Book Antiqua"/>
        </w:rPr>
        <w:t>. At the time of diagnosis, less than 20% of patients are eligible for curative surgery. For patients with advanced pancreatic cancer (either locally advanced or metastatic disease), the mainstay of treatment is systemic chemotherapy</w:t>
      </w:r>
      <w:r>
        <w:rPr>
          <w:rFonts w:ascii="Book Antiqua" w:eastAsia="Book Antiqua" w:hAnsi="Book Antiqua" w:cs="Book Antiqua"/>
          <w:vertAlign w:val="superscript"/>
        </w:rPr>
        <w:t>[3]</w:t>
      </w:r>
      <w:r>
        <w:rPr>
          <w:rFonts w:ascii="Book Antiqua" w:eastAsia="Book Antiqua" w:hAnsi="Book Antiqua" w:cs="Book Antiqua"/>
        </w:rPr>
        <w:t xml:space="preserve">. Gemcitabine-based regimens and 5-FU-based regimens display survival benefit and have been recommended as first-line therapies. </w:t>
      </w:r>
      <w:r>
        <w:rPr>
          <w:rFonts w:ascii="Book Antiqua" w:eastAsia="Book Antiqua" w:hAnsi="Book Antiqua" w:cs="Book Antiqua"/>
          <w:lang w:eastAsia="zh-CN"/>
        </w:rPr>
        <w:t xml:space="preserve">Recently researchers have demonstrated that </w:t>
      </w:r>
      <w:r>
        <w:rPr>
          <w:rFonts w:ascii="Book Antiqua" w:eastAsia="Book Antiqua" w:hAnsi="Book Antiqua" w:cs="Book Antiqua"/>
        </w:rPr>
        <w:t>neoadjuvant therapy (NAT), including chemotherapy and radiotherapy, is related with increased R0 surgical resection and the overall survival (OS), especially those with distant and locally advanced PDAC</w:t>
      </w:r>
      <w:r>
        <w:rPr>
          <w:rFonts w:ascii="Book Antiqua" w:eastAsia="Book Antiqua" w:hAnsi="Book Antiqua" w:cs="Book Antiqua"/>
          <w:vertAlign w:val="superscript"/>
        </w:rPr>
        <w:t>[4-6]</w:t>
      </w:r>
      <w:r>
        <w:rPr>
          <w:rFonts w:ascii="Book Antiqua" w:eastAsia="Book Antiqua" w:hAnsi="Book Antiqua" w:cs="Book Antiqua"/>
        </w:rPr>
        <w:t>.</w:t>
      </w:r>
    </w:p>
    <w:p w14:paraId="7EE3B3C2" w14:textId="77777777" w:rsidR="00D81529" w:rsidRDefault="00000000">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Carbohydrate antigen 19-9 (CA19-9) is a dialkylated</w:t>
      </w:r>
      <w:r>
        <w:rPr>
          <w:rStyle w:val="ac"/>
        </w:rPr>
        <w:t xml:space="preserve"> L</w:t>
      </w:r>
      <w:r>
        <w:rPr>
          <w:rFonts w:ascii="Book Antiqua" w:eastAsia="Book Antiqua" w:hAnsi="Book Antiqua" w:cs="Book Antiqua"/>
        </w:rPr>
        <w:t>ewis blood group antigen and is the most widely investigated tumor marker in patients with PDAC. CA19-9 has proven useful for the diagnosis of PDAC in symptomatic patients with a sensitivity and specificity of 79%-81% and 82%-90%, respectively</w:t>
      </w:r>
      <w:r>
        <w:rPr>
          <w:rFonts w:ascii="Book Antiqua" w:eastAsia="Book Antiqua" w:hAnsi="Book Antiqua" w:cs="Book Antiqua"/>
          <w:vertAlign w:val="superscript"/>
        </w:rPr>
        <w:t>[7,8]</w:t>
      </w:r>
      <w:r>
        <w:rPr>
          <w:rFonts w:ascii="Book Antiqua" w:eastAsia="Book Antiqua" w:hAnsi="Book Antiqua" w:cs="Book Antiqua"/>
        </w:rPr>
        <w:t>. Previous studies concluded that CA19-9 was an ineffective screening tool in asymptomatic patients. Nearly 7% of patients lack this tumor antigen and may be non-secretors</w:t>
      </w:r>
      <w:r>
        <w:rPr>
          <w:rFonts w:ascii="Book Antiqua" w:eastAsia="Book Antiqua" w:hAnsi="Book Antiqua" w:cs="Book Antiqua"/>
          <w:vertAlign w:val="superscript"/>
        </w:rPr>
        <w:t>[9,10]</w:t>
      </w:r>
      <w:r>
        <w:rPr>
          <w:rFonts w:ascii="Book Antiqua" w:eastAsia="Book Antiqua" w:hAnsi="Book Antiqua" w:cs="Book Antiqua"/>
        </w:rPr>
        <w:t xml:space="preserve">. Kane </w:t>
      </w:r>
      <w:r>
        <w:rPr>
          <w:rFonts w:ascii="Book Antiqua" w:eastAsia="Book Antiqua" w:hAnsi="Book Antiqua" w:cs="Book Antiqua"/>
          <w:i/>
          <w:iCs/>
        </w:rPr>
        <w:t>et al</w:t>
      </w:r>
      <w:r>
        <w:rPr>
          <w:rFonts w:ascii="Book Antiqua" w:eastAsia="Book Antiqua" w:hAnsi="Book Antiqua" w:cs="Book Antiqua"/>
          <w:vertAlign w:val="superscript"/>
        </w:rPr>
        <w:t>[11]</w:t>
      </w:r>
      <w:r>
        <w:rPr>
          <w:rFonts w:ascii="Book Antiqua" w:eastAsia="Book Antiqua" w:hAnsi="Book Antiqua" w:cs="Book Antiqua"/>
        </w:rPr>
        <w:t xml:space="preserve">, in a retrospective analysis, showed that serum CA19-9 is significantly upregulated compared with the normal </w:t>
      </w:r>
      <w:r>
        <w:rPr>
          <w:rFonts w:ascii="Book Antiqua" w:eastAsia="Book Antiqua" w:hAnsi="Book Antiqua" w:cs="Book Antiqua"/>
          <w:lang w:eastAsia="zh-CN"/>
        </w:rPr>
        <w:t xml:space="preserve">range </w:t>
      </w:r>
      <w:r>
        <w:rPr>
          <w:rFonts w:ascii="Book Antiqua" w:eastAsia="Book Antiqua" w:hAnsi="Book Antiqua" w:cs="Book Antiqua"/>
        </w:rPr>
        <w:t>to 2 years prior to the first diagnosis of PDAC. Pre-and post-operative CA19-9 levels and the changing of CA19-9 levels after operation might even predict prognosis of patients after resection. Furthermore, studies have showed that CA19-9 levels were related with tumor size and the stage</w:t>
      </w:r>
      <w:r>
        <w:rPr>
          <w:rFonts w:ascii="Book Antiqua" w:eastAsia="Book Antiqua" w:hAnsi="Book Antiqua" w:cs="Book Antiqua"/>
          <w:vertAlign w:val="superscript"/>
        </w:rPr>
        <w:t>[12,13]</w:t>
      </w:r>
      <w:r>
        <w:rPr>
          <w:rFonts w:ascii="Book Antiqua" w:eastAsia="Book Antiqua" w:hAnsi="Book Antiqua" w:cs="Book Antiqua"/>
        </w:rPr>
        <w:t>. However, there were several limitations when CA19-9 was identified as a biomarker: The routine use of CA19-9 as a PDAC screening tool in the general population is invalid, and because the incidence rate of PDAC in the general population is relatively low, the positive predictive value is low. This is also reflected in two large-scale population studies. In addition, false positive results were observed in benign pancreatic and biliary diseases such as cholangitis, pancreatitis, and obstructive jaundice. In addition, liver cysts and pancreatic cysts may interfere with CA19-9 levels. Despite these challenges, the use of CA19-9 has shifted from screening biomarkers to prognostic biomarkers</w:t>
      </w:r>
      <w:r>
        <w:rPr>
          <w:rFonts w:ascii="Book Antiqua" w:eastAsia="Book Antiqua" w:hAnsi="Book Antiqua" w:cs="Book Antiqua"/>
          <w:vertAlign w:val="superscript"/>
        </w:rPr>
        <w:t>[14-17]</w:t>
      </w:r>
      <w:r>
        <w:rPr>
          <w:rFonts w:ascii="Book Antiqua" w:eastAsia="Book Antiqua" w:hAnsi="Book Antiqua" w:cs="Book Antiqua"/>
        </w:rPr>
        <w:t>.</w:t>
      </w:r>
    </w:p>
    <w:p w14:paraId="007420E0" w14:textId="77777777" w:rsidR="00D81529"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To address this issue, and due to the increasing utilization and importance of NAT in PDAC treatment, it is necessary to identify biomarkers of the response to guide the management of these patients. In particular, the role of serum CA19-9 and tumor size in </w:t>
      </w:r>
      <w:r>
        <w:rPr>
          <w:rFonts w:ascii="Book Antiqua" w:eastAsia="Book Antiqua" w:hAnsi="Book Antiqua" w:cs="Book Antiqua"/>
        </w:rPr>
        <w:lastRenderedPageBreak/>
        <w:t xml:space="preserve">predicting resectability, pathological response, disease recurrence, and OS has been examined. Research has shown that changes in tumor size and serum CA19-9 during NAT can capture individual differences that cannot be recognized by individual measurements at a single time point. </w:t>
      </w:r>
    </w:p>
    <w:p w14:paraId="021DED8C" w14:textId="77777777" w:rsidR="00D81529" w:rsidRDefault="00000000">
      <w:pPr>
        <w:adjustRightInd w:val="0"/>
        <w:snapToGrid w:val="0"/>
        <w:spacing w:line="360" w:lineRule="auto"/>
        <w:ind w:firstLine="480"/>
        <w:jc w:val="both"/>
        <w:rPr>
          <w:rFonts w:ascii="Book Antiqua" w:hAnsi="Book Antiqua"/>
        </w:rPr>
      </w:pPr>
      <w:r>
        <w:rPr>
          <w:rFonts w:ascii="Book Antiqua" w:eastAsia="Book Antiqua" w:hAnsi="Book Antiqua" w:cs="Book Antiqua"/>
        </w:rPr>
        <w:t>This study aimed to evaluate the significance of serum CA19-9 and tumor size changes pre-and post-NAT. The ratio of post-NAT serum CA19-9 level/pre-NAT serum CA19-9 level and the ratio of post-NAT tumor size/pre-NAT tumor size were used to identify the prognostic value of these factors in patients with PDAC. Moreover, we evaluated the combined prognostic value of these factors in predicting OS in patients with PDAC.</w:t>
      </w:r>
    </w:p>
    <w:p w14:paraId="512EC1DE" w14:textId="77777777" w:rsidR="00D81529" w:rsidRDefault="00D81529">
      <w:pPr>
        <w:adjustRightInd w:val="0"/>
        <w:snapToGrid w:val="0"/>
        <w:spacing w:line="360" w:lineRule="auto"/>
        <w:jc w:val="both"/>
        <w:rPr>
          <w:rFonts w:ascii="Book Antiqua" w:hAnsi="Book Antiqua"/>
        </w:rPr>
      </w:pPr>
    </w:p>
    <w:p w14:paraId="09D034DC"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caps/>
          <w:u w:val="single"/>
        </w:rPr>
        <w:t>MATERIALS AND METHODS</w:t>
      </w:r>
    </w:p>
    <w:p w14:paraId="13888091"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rPr>
        <w:t>Participants</w:t>
      </w:r>
    </w:p>
    <w:p w14:paraId="76B8E754"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This retrospective study was conducted at the Chongqing Key Laboratory of Translational Research for Cancer Metastasis and Individualized Treatment, Chongqing University Cancer Hospital.</w:t>
      </w:r>
    </w:p>
    <w:p w14:paraId="2E8F8B9C" w14:textId="77777777" w:rsidR="00D81529" w:rsidRDefault="00000000">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Inclusion criteria: Patients aged 18- 70 years; have a histopathological confirmed diagnosis of PDAC at stage IA to IIB (the 8</w:t>
      </w:r>
      <w:r>
        <w:rPr>
          <w:rFonts w:ascii="Book Antiqua" w:eastAsia="Book Antiqua" w:hAnsi="Book Antiqua" w:cs="Book Antiqua"/>
          <w:vertAlign w:val="superscript"/>
        </w:rPr>
        <w:t>th</w:t>
      </w:r>
      <w:r>
        <w:rPr>
          <w:rFonts w:ascii="Book Antiqua" w:eastAsia="Book Antiqua" w:hAnsi="Book Antiqua" w:cs="Book Antiqua"/>
        </w:rPr>
        <w:t xml:space="preserve"> edition of the American Joint Committee on Cancer staging system); be deemed suitable for potentially R0 surgical resection; have an Eastern Cooperative Oncology Group performance status score of 0 or 1; and have measurable disease and adequate pulmonary and organ function.</w:t>
      </w:r>
    </w:p>
    <w:p w14:paraId="53EBB085" w14:textId="77777777" w:rsidR="00D81529" w:rsidRDefault="00000000">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Exclusion criteria: Multiple primary malignancies, active or history of autoimmune disease, active or suspected interstitial lung disease or moderate-to-severe pneumonia, human immunodeficiency virus or active hepatitis B or C virus infection, previous systemic antitumor therapy and chest radiation, and previous use of immunostimulants, immunosuppressants, and live vaccine within 4 wk before the first dose of study treatment.</w:t>
      </w:r>
    </w:p>
    <w:p w14:paraId="13DFB7C9" w14:textId="77777777" w:rsidR="00D81529" w:rsidRDefault="00D81529">
      <w:pPr>
        <w:adjustRightInd w:val="0"/>
        <w:snapToGrid w:val="0"/>
        <w:spacing w:line="360" w:lineRule="auto"/>
        <w:jc w:val="both"/>
        <w:rPr>
          <w:rFonts w:ascii="Book Antiqua" w:hAnsi="Book Antiqua"/>
        </w:rPr>
      </w:pPr>
    </w:p>
    <w:p w14:paraId="089A48DA"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rPr>
        <w:t>Variables and definitions</w:t>
      </w:r>
    </w:p>
    <w:p w14:paraId="21E99AD4"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lastRenderedPageBreak/>
        <w:t>Collected variables included age, sex, comorbidities, body mass index, National Comprehensive Cancer Network (NCCN) resectability definitions and criteria, tumor size, serum levels of CA19-9, resection status, margin status, and pathologic response to NAT following resection. Comorbidities were evaluated using the Charlson Comorbidity Index. Patients were classified as upfront resectable, borderline resec</w:t>
      </w:r>
      <w:bookmarkStart w:id="564" w:name="OLE_LINK7922"/>
      <w:bookmarkStart w:id="565" w:name="OLE_LINK7924"/>
      <w:r>
        <w:rPr>
          <w:rFonts w:ascii="Book Antiqua" w:eastAsia="Book Antiqua" w:hAnsi="Book Antiqua" w:cs="Book Antiqua"/>
        </w:rPr>
        <w:t>table</w:t>
      </w:r>
      <w:bookmarkEnd w:id="564"/>
      <w:bookmarkEnd w:id="565"/>
      <w:r>
        <w:rPr>
          <w:rFonts w:ascii="Book Antiqua" w:eastAsia="Book Antiqua" w:hAnsi="Book Antiqua" w:cs="Book Antiqua"/>
        </w:rPr>
        <w:t>, and locally advanced according to the NCCN resectability criteria and were evaluated by a multidisciplinary panel of experts, including hepatopancreatobiliary surgeons, medical oncologists, radiation oncologists, and radiologists using pancreatic protocol computed tomography (CT).</w:t>
      </w:r>
    </w:p>
    <w:p w14:paraId="19E5835F" w14:textId="77777777" w:rsidR="00D81529"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The study included CA19-9 levels after resolution of biliary obstruction, with total bilirubin less than 2 mg/dL. Levels of CA19-9 were compared against laboratory references. The CA19-9 response throughout surveillance was stratified on the basis of normalization. Levels of CA19-9 were assessed at diagnosis, preoperatively, after resection, and at 6-mo follow-up intervals. Patients were included in the study if they had all baseline data and a minimum of one postoperative data point. This study specifically assessed CA19-9 levels and tumor size before and after NAT. Pre-operative levels closest to the operative date but within 4 wk were recorded. Pancreatic protocol multidetector CT scans (MDCT) were obtained at these 6-mo intervals to assess recurrence. All charts with discordance between CA19-9 and MDCT scan results were re-reviewed. Recurrence was defined as radiographic evidence of disease based on radiologist, multidisciplinary tumor board review of scans, or both. Levels of CA19-9 at baseline and at follow-up assessment were correlated with disease-free survival (DFS) and OS. </w:t>
      </w:r>
    </w:p>
    <w:p w14:paraId="14ED8A83" w14:textId="77777777" w:rsidR="00D81529" w:rsidRDefault="00000000">
      <w:pPr>
        <w:adjustRightInd w:val="0"/>
        <w:snapToGrid w:val="0"/>
        <w:spacing w:line="360" w:lineRule="auto"/>
        <w:ind w:firstLine="480"/>
        <w:jc w:val="both"/>
        <w:rPr>
          <w:rFonts w:ascii="Book Antiqua" w:eastAsia="Book Antiqua" w:hAnsi="Book Antiqua" w:cs="Book Antiqua"/>
        </w:rPr>
      </w:pPr>
      <w:r>
        <w:rPr>
          <w:rFonts w:ascii="Book Antiqua" w:eastAsia="Book Antiqua" w:hAnsi="Book Antiqua" w:cs="Book Antiqua"/>
        </w:rPr>
        <w:t xml:space="preserve">The primary endpoints of this study were OS and DFS. Pathologic complete response was evaluated and defined as the absence of viable tumor cells in the resected specimen. Pathologic response to treatment was defined according to the College of American Pathologists as complete, near-complete, partial, or poor response. Overall response rate (ORR) was determined by the investigator, with ORR defined as the proportion of patients with complete response or partial response (PR) according to Response Evaluation Criteria in Solid Tumors version 1.1 (RECIST version 1.1). DFS was defined as the time from the first dose of the study drug to disease progression, local recurrence, </w:t>
      </w:r>
      <w:r>
        <w:rPr>
          <w:rFonts w:ascii="Book Antiqua" w:eastAsia="Book Antiqua" w:hAnsi="Book Antiqua" w:cs="Book Antiqua"/>
        </w:rPr>
        <w:lastRenderedPageBreak/>
        <w:t>distant metastasis, or death, whichever occurred first. Treatment-related adverse events were monitored and recorded.</w:t>
      </w:r>
    </w:p>
    <w:p w14:paraId="77E78380" w14:textId="77777777" w:rsidR="00D81529" w:rsidRDefault="00D81529">
      <w:pPr>
        <w:adjustRightInd w:val="0"/>
        <w:snapToGrid w:val="0"/>
        <w:spacing w:line="360" w:lineRule="auto"/>
        <w:jc w:val="both"/>
        <w:rPr>
          <w:rFonts w:ascii="Book Antiqua" w:hAnsi="Book Antiqua"/>
        </w:rPr>
      </w:pPr>
    </w:p>
    <w:p w14:paraId="07ACC362"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rPr>
        <w:t>Statistical analysis</w:t>
      </w:r>
    </w:p>
    <w:p w14:paraId="09D04013"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The </w:t>
      </w:r>
      <w:r>
        <w:rPr>
          <w:rFonts w:ascii="Book Antiqua" w:eastAsia="Book Antiqua" w:hAnsi="Book Antiqua" w:cs="Book Antiqua"/>
          <w:i/>
          <w:iCs/>
        </w:rPr>
        <w:t>t</w:t>
      </w:r>
      <w:r>
        <w:rPr>
          <w:rFonts w:ascii="Book Antiqua" w:eastAsia="Book Antiqua" w:hAnsi="Book Antiqua" w:cs="Book Antiqua"/>
        </w:rPr>
        <w:t xml:space="preserve">-test was employed to evaluate the differences in microbiome species abundance between the groups. Two-sided </w:t>
      </w:r>
      <w:r>
        <w:rPr>
          <w:rFonts w:ascii="Book Antiqua" w:eastAsia="Book Antiqua" w:hAnsi="Book Antiqua" w:cs="Book Antiqua"/>
          <w:i/>
          <w:iCs/>
        </w:rPr>
        <w:t xml:space="preserve">P </w:t>
      </w:r>
      <w:r>
        <w:rPr>
          <w:rFonts w:ascii="Book Antiqua" w:eastAsia="Book Antiqua" w:hAnsi="Book Antiqua" w:cs="Book Antiqua"/>
        </w:rPr>
        <w:t>values were used, and the significance level was set at 0.05 for all analyses unless otherwise stated. SPSS software (version 26; IBM Corp., Armonk, NY, United States) and R software (version 4.1.2) were used for statistical analyses.</w:t>
      </w:r>
    </w:p>
    <w:p w14:paraId="1536D898" w14:textId="77777777" w:rsidR="00D81529" w:rsidRDefault="00D81529">
      <w:pPr>
        <w:adjustRightInd w:val="0"/>
        <w:snapToGrid w:val="0"/>
        <w:spacing w:line="360" w:lineRule="auto"/>
        <w:jc w:val="both"/>
        <w:rPr>
          <w:rFonts w:ascii="Book Antiqua" w:hAnsi="Book Antiqua"/>
        </w:rPr>
      </w:pPr>
    </w:p>
    <w:p w14:paraId="742001D4"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caps/>
          <w:u w:val="single"/>
        </w:rPr>
        <w:t>RESULTS</w:t>
      </w:r>
    </w:p>
    <w:p w14:paraId="0AF30E37"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rPr>
        <w:t>Patients and treatment</w:t>
      </w:r>
    </w:p>
    <w:p w14:paraId="2975128C"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Between July 2, 2021 and May 17, 2022, a total of 156 patients with histopathologically confirmed PDAC were screened for eligibility. These patients met the inclusion criteria and were enrolled in the study. All 156 patients completed NAT and subsequently underwent tumor resection. According to the scheduled NAT protocol, 87.2% (136/156) completed NAT. The average age of the patients was 65.4 ± 10.6 years and 72 (46.2%) were female. The median follow-up period was 34.3 mo</w:t>
      </w:r>
      <w:r>
        <w:rPr>
          <w:rFonts w:ascii="Book Antiqua" w:eastAsia="宋体" w:hAnsi="Book Antiqua" w:cs="Book Antiqua" w:hint="eastAsia"/>
          <w:lang w:eastAsia="zh-CN"/>
        </w:rPr>
        <w:t>nths</w:t>
      </w:r>
      <w:r>
        <w:rPr>
          <w:rFonts w:ascii="Book Antiqua" w:eastAsia="Book Antiqua" w:hAnsi="Book Antiqua" w:cs="Book Antiqua"/>
        </w:rPr>
        <w:t xml:space="preserve"> (95%CI: 26.5</w:t>
      </w:r>
      <w:r>
        <w:rPr>
          <w:rFonts w:ascii="Book Antiqua" w:eastAsia="宋体" w:hAnsi="Book Antiqua" w:cs="Book Antiqua" w:hint="eastAsia"/>
          <w:lang w:eastAsia="zh-CN"/>
        </w:rPr>
        <w:t>-</w:t>
      </w:r>
      <w:r>
        <w:rPr>
          <w:rFonts w:ascii="Book Antiqua" w:eastAsia="Book Antiqua" w:hAnsi="Book Antiqua" w:cs="Book Antiqua"/>
        </w:rPr>
        <w:t>56.3). Most of the patients underwent pancreaticoduodenectomy (</w:t>
      </w:r>
      <w:r>
        <w:rPr>
          <w:rFonts w:ascii="Book Antiqua" w:eastAsia="Book Antiqua" w:hAnsi="Book Antiqua" w:cs="Book Antiqua"/>
          <w:i/>
          <w:iCs/>
        </w:rPr>
        <w:t>n</w:t>
      </w:r>
      <w:r>
        <w:rPr>
          <w:rFonts w:ascii="Book Antiqua" w:eastAsia="Book Antiqua" w:hAnsi="Book Antiqua" w:cs="Book Antiqua"/>
        </w:rPr>
        <w:t xml:space="preserve"> = 117, 75%), followed by distal pancreatectomy (</w:t>
      </w:r>
      <w:r>
        <w:rPr>
          <w:rFonts w:ascii="Book Antiqua" w:eastAsia="Book Antiqua" w:hAnsi="Book Antiqua" w:cs="Book Antiqua"/>
          <w:i/>
          <w:iCs/>
        </w:rPr>
        <w:t>n</w:t>
      </w:r>
      <w:r>
        <w:rPr>
          <w:rFonts w:ascii="Book Antiqua" w:eastAsia="Book Antiqua" w:hAnsi="Book Antiqua" w:cs="Book Antiqua"/>
        </w:rPr>
        <w:t xml:space="preserve"> = 30, 19.2%) and distal pancreatectomy with celiac axis resection (</w:t>
      </w:r>
      <w:r>
        <w:rPr>
          <w:rFonts w:ascii="Book Antiqua" w:eastAsia="Book Antiqua" w:hAnsi="Book Antiqua" w:cs="Book Antiqua"/>
          <w:i/>
          <w:iCs/>
        </w:rPr>
        <w:t>n</w:t>
      </w:r>
      <w:r>
        <w:rPr>
          <w:rFonts w:ascii="Book Antiqua" w:eastAsia="Book Antiqua" w:hAnsi="Book Antiqua" w:cs="Book Antiqua"/>
        </w:rPr>
        <w:t xml:space="preserve"> = 9, 4.8%). The majority (</w:t>
      </w:r>
      <w:r>
        <w:rPr>
          <w:rFonts w:ascii="Book Antiqua" w:eastAsia="Book Antiqua" w:hAnsi="Book Antiqua" w:cs="Book Antiqua"/>
          <w:i/>
          <w:iCs/>
        </w:rPr>
        <w:t>n</w:t>
      </w:r>
      <w:r>
        <w:rPr>
          <w:rFonts w:ascii="Book Antiqua" w:eastAsia="Book Antiqua" w:hAnsi="Book Antiqua" w:cs="Book Antiqua"/>
        </w:rPr>
        <w:t xml:space="preserve"> = 88, 56.4%) had open procedures, but 50 patients (32.1%) underwent laparoscopic resection and 18 (11.5%) had robotic resection. Patients were classified as resectable PDAC (</w:t>
      </w:r>
      <w:r>
        <w:rPr>
          <w:rFonts w:ascii="Book Antiqua" w:eastAsia="Book Antiqua" w:hAnsi="Book Antiqua" w:cs="Book Antiqua"/>
          <w:i/>
          <w:iCs/>
        </w:rPr>
        <w:t>n</w:t>
      </w:r>
      <w:r>
        <w:rPr>
          <w:rFonts w:ascii="Book Antiqua" w:eastAsia="Book Antiqua" w:hAnsi="Book Antiqua" w:cs="Book Antiqua"/>
        </w:rPr>
        <w:t xml:space="preserve"> = 30, 19.2%), 76 (48.7%) as borderline resectable PDAC, and 50 (32.1%) as locally advanced PDAC, according to the NCCN resectability criteria. Detailed results of the patient cohort are presented in Table 1.</w:t>
      </w:r>
    </w:p>
    <w:p w14:paraId="0B55520A" w14:textId="77777777" w:rsidR="00D81529" w:rsidRDefault="00D81529">
      <w:pPr>
        <w:adjustRightInd w:val="0"/>
        <w:snapToGrid w:val="0"/>
        <w:spacing w:line="360" w:lineRule="auto"/>
        <w:jc w:val="both"/>
        <w:rPr>
          <w:rFonts w:ascii="Book Antiqua" w:hAnsi="Book Antiqua"/>
        </w:rPr>
      </w:pPr>
    </w:p>
    <w:p w14:paraId="6339008E"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rPr>
        <w:t>OS and DFS</w:t>
      </w:r>
    </w:p>
    <w:p w14:paraId="1CD726E6"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Prior to survival analysis, we defined the post-NAT serum CA19-9 level/pre-NAT serum CA19-9 level as the CA19-9 ratio (CR). The patients were then divided into the following three groups: CR &lt; 0.5, CR &gt; 0.5 and &lt; 1 and CR &gt; 1. With respect to tumor size measured </w:t>
      </w:r>
      <w:r>
        <w:rPr>
          <w:rFonts w:ascii="Book Antiqua" w:eastAsia="Book Antiqua" w:hAnsi="Book Antiqua" w:cs="Book Antiqua"/>
        </w:rPr>
        <w:lastRenderedPageBreak/>
        <w:t>by both CT and magnetic resonance imaging, we defined the post-NAT tumor size/pre-NAT tumor size as the tumor size ratio (TR). We then divided the patients into the following three groups: TR &lt; 0.5, TR &gt; 0.5 and &lt; 1 and TR &gt; 1. Based on these groups divided according to CR and TR, we determined both OS and DFS. Log-rank tests showed that both OS and DFS were significantly different among the groups divided according to CR and TR (</w:t>
      </w:r>
      <w:r>
        <w:rPr>
          <w:rFonts w:ascii="Book Antiqua" w:eastAsia="Book Antiqua" w:hAnsi="Book Antiqua" w:cs="Book Antiqua"/>
          <w:i/>
          <w:iCs/>
        </w:rPr>
        <w:t xml:space="preserve">P </w:t>
      </w:r>
      <w:r>
        <w:rPr>
          <w:rFonts w:ascii="Book Antiqua" w:eastAsia="Book Antiqua" w:hAnsi="Book Antiqua" w:cs="Book Antiqua"/>
        </w:rPr>
        <w:t>&lt; 0.05). Kaplan-Meier curves for OS and DFS are presented for CR in Figure 1 and TR in Figure 2, respectively.</w:t>
      </w:r>
    </w:p>
    <w:p w14:paraId="04FBFAD5" w14:textId="77777777" w:rsidR="00D81529" w:rsidRDefault="00D81529">
      <w:pPr>
        <w:adjustRightInd w:val="0"/>
        <w:snapToGrid w:val="0"/>
        <w:spacing w:line="360" w:lineRule="auto"/>
        <w:jc w:val="both"/>
        <w:rPr>
          <w:rFonts w:ascii="Book Antiqua" w:hAnsi="Book Antiqua"/>
        </w:rPr>
      </w:pPr>
    </w:p>
    <w:p w14:paraId="51D27679"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rPr>
        <w:t>Efficacy and pathologic response</w:t>
      </w:r>
    </w:p>
    <w:p w14:paraId="1217E989"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After 4-6 cycles of preoperative treatment with FOLFIRINOX or gemcitabine combined with nab-paclitaxel, 138 of 156 patients (88.6%, 95%CI: 77.5%-99.7%) had an objective response, with 10 patients (28.6%) achieving complete response, 21 patients (60%) achieving PR, and 60 patients (11.4%) achieving stable disease. Eighteen patients had progressive disease during NAT. After dividing the patients into different groups according to CR and TR, the efficacy of NAT is shown in Figure 3A and B. Furthermore, univariable analyses revealed that female sex, TNM stage, neoadjuvant chemotherapy, CR and TR were associated with complete or near-complete pathologic responses. Multivariable analyses identified that neoadjuvant chemotherapy, CR and TR were associated with increased odds of achieving a complete or near-complete pathologic response. Detailed results of the model are presented in Figure 3C.</w:t>
      </w:r>
    </w:p>
    <w:p w14:paraId="3A66DDA0" w14:textId="77777777" w:rsidR="00D81529" w:rsidRDefault="00D81529">
      <w:pPr>
        <w:adjustRightInd w:val="0"/>
        <w:snapToGrid w:val="0"/>
        <w:spacing w:line="360" w:lineRule="auto"/>
        <w:jc w:val="both"/>
        <w:rPr>
          <w:rFonts w:ascii="Book Antiqua" w:hAnsi="Book Antiqua"/>
        </w:rPr>
      </w:pPr>
    </w:p>
    <w:p w14:paraId="17510716"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rPr>
        <w:t>Multivariable analysis to identify prognostic factors associated with OS</w:t>
      </w:r>
    </w:p>
    <w:p w14:paraId="1A89A72B"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Cox proportional hazards models were used to quantify the prognostic factors associated with OS in patients with PDAC. The results of both univariable and multivariable analysis are shown in Table 2. Following univariable analysis, a multivariable analysis was performed to evaluate the factors that showed statistical significance in univariable analysis. After adjusting for competing risk factors, TNM stage [hazard ratio (HR): 1.526, 95%CI: 1.226-4.165; </w:t>
      </w:r>
      <w:r>
        <w:rPr>
          <w:rFonts w:ascii="Book Antiqua" w:eastAsia="Book Antiqua" w:hAnsi="Book Antiqua" w:cs="Book Antiqua"/>
          <w:i/>
          <w:iCs/>
        </w:rPr>
        <w:t>P</w:t>
      </w:r>
      <w:r>
        <w:rPr>
          <w:rFonts w:ascii="Book Antiqua" w:eastAsia="Book Antiqua" w:hAnsi="Book Antiqua" w:cs="Book Antiqua"/>
        </w:rPr>
        <w:t xml:space="preserve"> = 0.007], vascular invasion (HR: 1.653, 95%CI: 1.253-3.651; </w:t>
      </w:r>
      <w:r>
        <w:rPr>
          <w:rFonts w:ascii="Book Antiqua" w:eastAsia="Book Antiqua" w:hAnsi="Book Antiqua" w:cs="Book Antiqua"/>
          <w:i/>
          <w:iCs/>
        </w:rPr>
        <w:t>P</w:t>
      </w:r>
      <w:r>
        <w:rPr>
          <w:rFonts w:ascii="Book Antiqua" w:eastAsia="Book Antiqua" w:hAnsi="Book Antiqua" w:cs="Book Antiqua"/>
        </w:rPr>
        <w:t xml:space="preserve"> = 0.021), CR (HR: 1.721, 95%CI: 1.373-3.762; </w:t>
      </w:r>
      <w:r>
        <w:rPr>
          <w:rFonts w:ascii="Book Antiqua" w:eastAsia="Book Antiqua" w:hAnsi="Book Antiqua" w:cs="Book Antiqua"/>
          <w:i/>
          <w:iCs/>
        </w:rPr>
        <w:t xml:space="preserve">P </w:t>
      </w:r>
      <w:r>
        <w:rPr>
          <w:rFonts w:ascii="Book Antiqua" w:eastAsia="Book Antiqua" w:hAnsi="Book Antiqua" w:cs="Book Antiqua"/>
        </w:rPr>
        <w:t xml:space="preserve">= 0.006), and TR (HR: 1.435, 95%CI: 1.275-4.363; </w:t>
      </w:r>
      <w:r>
        <w:rPr>
          <w:rFonts w:ascii="Book Antiqua" w:eastAsia="Book Antiqua" w:hAnsi="Book Antiqua" w:cs="Book Antiqua"/>
          <w:i/>
          <w:iCs/>
        </w:rPr>
        <w:t xml:space="preserve">P </w:t>
      </w:r>
      <w:r>
        <w:rPr>
          <w:rFonts w:ascii="Book Antiqua" w:eastAsia="Book Antiqua" w:hAnsi="Book Antiqua" w:cs="Book Antiqua"/>
        </w:rPr>
        <w:t xml:space="preserve">= 0.014) were identified as independent factors associated with OS. Interestingly, we found </w:t>
      </w:r>
      <w:r>
        <w:rPr>
          <w:rFonts w:ascii="Book Antiqua" w:eastAsia="Book Antiqua" w:hAnsi="Book Antiqua" w:cs="Book Antiqua"/>
        </w:rPr>
        <w:lastRenderedPageBreak/>
        <w:t>that both CR and TR were independent risk factors for OS in PDAC patients. Furthermore, as shown in Figure 4A, we found that in patients with a TR &lt; 0.5, 24 patients had CR &lt; 0.5, 10 patients had CR ≥ 0.5 and &lt; 1, and 1 patient had CR ≥ 1. In patients with a TR ≥ 0.5 and &lt; 1, 21 patients had CR &lt; 0.5, 65 patients had CR ≥ 0.5 and &lt; 1 and 14 patients had CR ≥ 1. In patients with a TR ≥ 1, 0 patients had CR &lt; 0.5, 15 patients had CR ≥ 0.5 and &lt;1 and 6 patients had CR ≥ 1. Furthermore, the area under the receiver operating characteristic curves (AUROCs) were determined to compare the predictive values of CR, TR and the combined predictive value of CR and TR. The CR showed a significantly improved predictive value (AUROC: 0.674, 95%CI: 0.558</w:t>
      </w:r>
      <w:r>
        <w:rPr>
          <w:rFonts w:ascii="Book Antiqua" w:eastAsia="宋体" w:hAnsi="Book Antiqua" w:cs="Book Antiqua" w:hint="eastAsia"/>
          <w:lang w:eastAsia="zh-CN"/>
        </w:rPr>
        <w:t>-</w:t>
      </w:r>
      <w:r>
        <w:rPr>
          <w:rFonts w:ascii="Book Antiqua" w:eastAsia="Book Antiqua" w:hAnsi="Book Antiqua" w:cs="Book Antiqua"/>
        </w:rPr>
        <w:t>0.734) than the TR (AUROC: 0.681, 95%CI: 0.547-0.728, shown in Figure 4B and C). After combining both CR and TR, the model showed significantly improved predictive value compared with the single variables (AUROC: 0.758, 95%CI: 0.684</w:t>
      </w:r>
      <w:r>
        <w:rPr>
          <w:rFonts w:ascii="Book Antiqua" w:eastAsia="宋体" w:hAnsi="Book Antiqua" w:cs="Book Antiqua" w:hint="eastAsia"/>
          <w:lang w:eastAsia="zh-CN"/>
        </w:rPr>
        <w:t>-</w:t>
      </w:r>
      <w:r>
        <w:rPr>
          <w:rFonts w:ascii="Book Antiqua" w:eastAsia="Book Antiqua" w:hAnsi="Book Antiqua" w:cs="Book Antiqua"/>
        </w:rPr>
        <w:t>0.815) as shown in Figure 4D.</w:t>
      </w:r>
    </w:p>
    <w:p w14:paraId="2DDEDDBC" w14:textId="77777777" w:rsidR="00D81529" w:rsidRDefault="00D81529">
      <w:pPr>
        <w:adjustRightInd w:val="0"/>
        <w:snapToGrid w:val="0"/>
        <w:spacing w:line="360" w:lineRule="auto"/>
        <w:jc w:val="both"/>
        <w:rPr>
          <w:rFonts w:ascii="Book Antiqua" w:hAnsi="Book Antiqua"/>
        </w:rPr>
      </w:pPr>
    </w:p>
    <w:p w14:paraId="59ED4937"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caps/>
          <w:u w:val="single"/>
        </w:rPr>
        <w:t>DISCUSSION</w:t>
      </w:r>
    </w:p>
    <w:p w14:paraId="7F1EAD9A"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There have been several studies on the prognostic value of serum CA19-9 and tumor size changes in patients with PDAC undergoing NAT</w:t>
      </w:r>
      <w:r>
        <w:rPr>
          <w:rFonts w:ascii="Book Antiqua" w:eastAsia="Book Antiqua" w:hAnsi="Book Antiqua" w:cs="Book Antiqua"/>
          <w:vertAlign w:val="superscript"/>
        </w:rPr>
        <w:t>[14,18,19]</w:t>
      </w:r>
      <w:r>
        <w:rPr>
          <w:rFonts w:ascii="Book Antiqua" w:eastAsia="Book Antiqua" w:hAnsi="Book Antiqua" w:cs="Book Antiqua"/>
        </w:rPr>
        <w:t>. However, to our knowledge, this is the first study to evaluate the combined value of CA19-9 reduction and tumor size reduction following NAT with chemotherapy plus radiotherapy in patients with potentially resectable PDAC. NAT did not increase surgical complexity, with 43.6% of patients undergoing minimally invasive surgery</w:t>
      </w:r>
      <w:r>
        <w:rPr>
          <w:rFonts w:ascii="Book Antiqua" w:eastAsia="Book Antiqua" w:hAnsi="Book Antiqua" w:cs="Book Antiqua"/>
          <w:vertAlign w:val="superscript"/>
        </w:rPr>
        <w:t>[20-22]</w:t>
      </w:r>
      <w:r>
        <w:rPr>
          <w:rFonts w:ascii="Book Antiqua" w:eastAsia="Book Antiqua" w:hAnsi="Book Antiqua" w:cs="Book Antiqua"/>
        </w:rPr>
        <w:t>.</w:t>
      </w:r>
    </w:p>
    <w:p w14:paraId="56F6D8FE" w14:textId="77777777" w:rsidR="00D81529" w:rsidRDefault="00000000">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PDAC is frequently considered as one of the worst cancers in terms of survival, with most patients dying &lt; 2 years after diagnosis. In locally advanced pancreatic cancer, the 5-year survival rate is &lt; 10%, making initial surgical treatment challenging</w:t>
      </w:r>
      <w:r>
        <w:rPr>
          <w:rFonts w:ascii="Book Antiqua" w:eastAsia="Book Antiqua" w:hAnsi="Book Antiqua" w:cs="Book Antiqua"/>
          <w:vertAlign w:val="superscript"/>
        </w:rPr>
        <w:t>[23-27]</w:t>
      </w:r>
      <w:r>
        <w:rPr>
          <w:rFonts w:ascii="Book Antiqua" w:eastAsia="Book Antiqua" w:hAnsi="Book Antiqua" w:cs="Book Antiqua"/>
        </w:rPr>
        <w:t>. CA19-9 has become a standard parameter in the diagnosis and monitoring of PDAC. High rates of recurrence represent significant hurdles to improving the outcome of patients with resectable disease. Elevations in CA19-9 have prognostic significance in early- and late-stage PDAC</w:t>
      </w:r>
      <w:r>
        <w:rPr>
          <w:rFonts w:ascii="Book Antiqua" w:eastAsia="Book Antiqua" w:hAnsi="Book Antiqua" w:cs="Book Antiqua"/>
          <w:vertAlign w:val="superscript"/>
        </w:rPr>
        <w:t>[28-30]</w:t>
      </w:r>
      <w:r>
        <w:rPr>
          <w:rFonts w:ascii="Book Antiqua" w:eastAsia="Book Antiqua" w:hAnsi="Book Antiqua" w:cs="Book Antiqua"/>
        </w:rPr>
        <w:t>. Studies in patients presenting with metastatic/unresectable disease showed that CA19-9 elevation is associated with worse survival, whereas CA19-9 response correlates with improved survival</w:t>
      </w:r>
      <w:r>
        <w:rPr>
          <w:rFonts w:ascii="Book Antiqua" w:eastAsia="Book Antiqua" w:hAnsi="Book Antiqua" w:cs="Book Antiqua"/>
          <w:vertAlign w:val="superscript"/>
        </w:rPr>
        <w:t>[31,32]</w:t>
      </w:r>
      <w:r>
        <w:rPr>
          <w:rFonts w:ascii="Book Antiqua" w:eastAsia="Book Antiqua" w:hAnsi="Book Antiqua" w:cs="Book Antiqua"/>
        </w:rPr>
        <w:t xml:space="preserve">. A CA19-9 decline in response to NAT can predict survival, margins, and pathologic outcome even in the absence of </w:t>
      </w:r>
      <w:r>
        <w:rPr>
          <w:rFonts w:ascii="Book Antiqua" w:eastAsia="Book Antiqua" w:hAnsi="Book Antiqua" w:cs="Book Antiqua"/>
        </w:rPr>
        <w:lastRenderedPageBreak/>
        <w:t>radiographic response</w:t>
      </w:r>
      <w:r>
        <w:rPr>
          <w:rFonts w:ascii="Book Antiqua" w:eastAsia="Book Antiqua" w:hAnsi="Book Antiqua" w:cs="Book Antiqua"/>
          <w:vertAlign w:val="superscript"/>
        </w:rPr>
        <w:t>[33-35]</w:t>
      </w:r>
      <w:r>
        <w:rPr>
          <w:rFonts w:ascii="Book Antiqua" w:eastAsia="Book Antiqua" w:hAnsi="Book Antiqua" w:cs="Book Antiqua"/>
        </w:rPr>
        <w:t>. Radiologic assessment remains a cornerstone in the decision-making process during the different stages of PDAC treatment. Currently, deep learning-based CT imaging-derived biomarkers enabled the objective and unbiased OS prediction for patients with resectable PDAC</w:t>
      </w:r>
      <w:r>
        <w:rPr>
          <w:rFonts w:ascii="Book Antiqua" w:eastAsia="Book Antiqua" w:hAnsi="Book Antiqua" w:cs="Book Antiqua"/>
          <w:vertAlign w:val="superscript"/>
        </w:rPr>
        <w:t>[36]</w:t>
      </w:r>
      <w:r>
        <w:rPr>
          <w:rFonts w:ascii="Book Antiqua" w:eastAsia="Book Antiqua" w:hAnsi="Book Antiqua" w:cs="Book Antiqua"/>
        </w:rPr>
        <w:t>. Although traditional NCCN resectability criteria have been shown to be unreliable in patients receiving NAT treatment, patients are followed up through imaging examinations during NAT to monitor disease progression</w:t>
      </w:r>
      <w:r>
        <w:rPr>
          <w:rFonts w:ascii="Book Antiqua" w:eastAsia="Book Antiqua" w:hAnsi="Book Antiqua" w:cs="Book Antiqua"/>
          <w:vertAlign w:val="superscript"/>
        </w:rPr>
        <w:t>[37-39]</w:t>
      </w:r>
      <w:r>
        <w:rPr>
          <w:rFonts w:ascii="Book Antiqua" w:eastAsia="Book Antiqua" w:hAnsi="Book Antiqua" w:cs="Book Antiqua"/>
        </w:rPr>
        <w:t>. On the other hand, since the tumor size at a single time point cannot reflect the changes observed during treatment, predicting resectability solely based on tumor size is inconsistent. Therefore, for patients undergoing NAT, the demand for new predictive strategies has not been met to improve prognostic assessment of these patients through radiological assessment using the combined effects of CA19-9 and tumor size.</w:t>
      </w:r>
    </w:p>
    <w:p w14:paraId="56EF5F44" w14:textId="77777777" w:rsidR="00D81529" w:rsidRDefault="00000000">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In this study, based on the groups divided according to the CR and TR, we analyzed OS and DFS. Log-rank tests showed that both OS and DFS were significantly different among the groups divided according to the CR and TR (</w:t>
      </w:r>
      <w:r>
        <w:rPr>
          <w:rFonts w:ascii="Book Antiqua" w:eastAsia="Book Antiqua" w:hAnsi="Book Antiqua" w:cs="Book Antiqua"/>
          <w:i/>
          <w:iCs/>
        </w:rPr>
        <w:t xml:space="preserve">P </w:t>
      </w:r>
      <w:r>
        <w:rPr>
          <w:rFonts w:ascii="Book Antiqua" w:eastAsia="Book Antiqua" w:hAnsi="Book Antiqua" w:cs="Book Antiqua"/>
        </w:rPr>
        <w:t xml:space="preserve">&lt; 0.05). In our study, the CR and TR were associated with increased odds of achieving a complete or near-complete pathologic response. More recently, serum CA19-9 has also been proposed as a marker of chemo-responsiveness. Moreover, multivariable analysis was performed to evaluate factors that demonstrated statistical significance during univariable analysis. The CR (HR: 1.721, 95%CI: 1.373-3.762; </w:t>
      </w:r>
      <w:r>
        <w:rPr>
          <w:rFonts w:ascii="Book Antiqua" w:eastAsia="Book Antiqua" w:hAnsi="Book Antiqua" w:cs="Book Antiqua"/>
          <w:i/>
          <w:iCs/>
        </w:rPr>
        <w:t xml:space="preserve">P </w:t>
      </w:r>
      <w:r>
        <w:rPr>
          <w:rFonts w:ascii="Book Antiqua" w:eastAsia="Book Antiqua" w:hAnsi="Book Antiqua" w:cs="Book Antiqua"/>
        </w:rPr>
        <w:t xml:space="preserve">= 0.006), and TR (HR: 1.435, 95%CI: 1.275-4.363; </w:t>
      </w:r>
      <w:r>
        <w:rPr>
          <w:rFonts w:ascii="Book Antiqua" w:eastAsia="Book Antiqua" w:hAnsi="Book Antiqua" w:cs="Book Antiqua"/>
          <w:i/>
          <w:iCs/>
        </w:rPr>
        <w:t xml:space="preserve">P </w:t>
      </w:r>
      <w:r>
        <w:rPr>
          <w:rFonts w:ascii="Book Antiqua" w:eastAsia="Book Antiqua" w:hAnsi="Book Antiqua" w:cs="Book Antiqua"/>
        </w:rPr>
        <w:t>= 0.014) were identified as independent factors associated with OS.</w:t>
      </w:r>
    </w:p>
    <w:p w14:paraId="3826891F" w14:textId="77777777" w:rsidR="00D81529"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Several limitations exist in our study. Firstly, this study was retrospective, the sample size was relatively small, and it lacked a randomized control group, which could have introduced bias into the baseline histologic distribution. Secondly, the follow-up period in terms of survival data was limited at the time of data cutoff and longer-term follow-up is necessary to fully evaluate the impact of NAT on survival outcomes. Finally, while our biomarker analysis was exploratory, our study had a limited number of pre- and post-treatment samples, and a larger number of samples is needed to confirm our findings. These limitations underscore the need for future studies with larger patient cohorts and randomized control groups to validate our results and further evaluate the role of biomarkers in predicting response to NAT.</w:t>
      </w:r>
    </w:p>
    <w:p w14:paraId="396746CD" w14:textId="77777777" w:rsidR="00D81529" w:rsidRDefault="00D81529">
      <w:pPr>
        <w:adjustRightInd w:val="0"/>
        <w:snapToGrid w:val="0"/>
        <w:spacing w:line="360" w:lineRule="auto"/>
        <w:jc w:val="both"/>
        <w:rPr>
          <w:rFonts w:ascii="Book Antiqua" w:hAnsi="Book Antiqua"/>
        </w:rPr>
      </w:pPr>
    </w:p>
    <w:p w14:paraId="4A13E676"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caps/>
          <w:u w:val="single"/>
        </w:rPr>
        <w:t>CONCLUSION</w:t>
      </w:r>
    </w:p>
    <w:p w14:paraId="787D1B59"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Our study demonstrated that post-NAT serum CA19-9 level/pre-NAT serum CA19-9 level and post-NAT tumor size/pre-NAT tumor size were independent factors associated with OS in patients with PDAC who received NAT and subsequent surgical resection.</w:t>
      </w:r>
    </w:p>
    <w:p w14:paraId="728F2768" w14:textId="77777777" w:rsidR="00D81529" w:rsidRDefault="00D81529">
      <w:pPr>
        <w:adjustRightInd w:val="0"/>
        <w:snapToGrid w:val="0"/>
        <w:spacing w:line="360" w:lineRule="auto"/>
        <w:jc w:val="both"/>
        <w:rPr>
          <w:rFonts w:ascii="Book Antiqua" w:hAnsi="Book Antiqua"/>
        </w:rPr>
      </w:pPr>
    </w:p>
    <w:p w14:paraId="78E7A735"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caps/>
          <w:u w:val="single"/>
        </w:rPr>
        <w:t>ARTICLE HIGHLIGHTS</w:t>
      </w:r>
    </w:p>
    <w:p w14:paraId="6A0681C8"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i/>
        </w:rPr>
        <w:t>Research background</w:t>
      </w:r>
    </w:p>
    <w:p w14:paraId="16ADB44B"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Pancreatic ductal adenocarcinoma (PDAC) is a relatively common cancer with increasing morbidity and mortality due to changes of social environment. Studies have demonstrated that neoadjuvant therapy (NAT) is associated with increased resectability, negative surgical margins, and increased survival among patients with more locally advanced disease. Carbohydrate antigen 19-9 (CA19-9) is a dialkylated Lewis blood group antigen and is the most widely investigated tumor marker in patients with PDAC. However, CA19-9 as a biomarker has known limitations: Routine usage of CA19-9 as a screening tool for PDAC in the general public is ineffective and results in a low positive predictive value due to the relatively low incidence of PDAC in the general population. It has been shown that changes in tumor size and serum CA19-9 during NAT can capture differences that are not identified by individual measurements at a single point in time.</w:t>
      </w:r>
    </w:p>
    <w:p w14:paraId="20EA6489" w14:textId="77777777" w:rsidR="00D81529" w:rsidRDefault="00D81529">
      <w:pPr>
        <w:adjustRightInd w:val="0"/>
        <w:snapToGrid w:val="0"/>
        <w:spacing w:line="360" w:lineRule="auto"/>
        <w:jc w:val="both"/>
        <w:rPr>
          <w:rFonts w:ascii="Book Antiqua" w:hAnsi="Book Antiqua"/>
        </w:rPr>
      </w:pPr>
    </w:p>
    <w:p w14:paraId="5B1F9397"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i/>
        </w:rPr>
        <w:t>Research motivation</w:t>
      </w:r>
    </w:p>
    <w:p w14:paraId="656DEE0E"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Our study demonstrated that post-NAT serum CA19-9 level/pre-NAT serum CA19-9 level and post-NAT tumor size/pre-NAT tumor size were independent factors associated with overall survival (OS) in patients with PDAC who received NAT and subsequent surgical resection.</w:t>
      </w:r>
    </w:p>
    <w:p w14:paraId="455285FF" w14:textId="77777777" w:rsidR="00D81529" w:rsidRDefault="00D81529">
      <w:pPr>
        <w:adjustRightInd w:val="0"/>
        <w:snapToGrid w:val="0"/>
        <w:spacing w:line="360" w:lineRule="auto"/>
        <w:jc w:val="both"/>
        <w:rPr>
          <w:rFonts w:ascii="Book Antiqua" w:hAnsi="Book Antiqua"/>
        </w:rPr>
      </w:pPr>
    </w:p>
    <w:p w14:paraId="09EB6B98"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i/>
        </w:rPr>
        <w:t>Research objectives</w:t>
      </w:r>
    </w:p>
    <w:p w14:paraId="278B6589"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This study aimed to evaluate the significance of serum CA19-9 and tumor size changes pre-and post-NAT. The ratio of post-NAT serum CA19-9 level/pre-NAT serum CA19-9 level and the ratio of post-NAT tumor size/pre-NAT tumor size were used to identify </w:t>
      </w:r>
      <w:r>
        <w:rPr>
          <w:rFonts w:ascii="Book Antiqua" w:eastAsia="Book Antiqua" w:hAnsi="Book Antiqua" w:cs="Book Antiqua"/>
        </w:rPr>
        <w:lastRenderedPageBreak/>
        <w:t>the prognostic value of these factors in patients with PDAC. Moreover, we evaluated the combined prognostic value of these factors in predicting OS in patients with PDAC.</w:t>
      </w:r>
    </w:p>
    <w:p w14:paraId="29C2FEE7" w14:textId="77777777" w:rsidR="00D81529" w:rsidRDefault="00D81529">
      <w:pPr>
        <w:adjustRightInd w:val="0"/>
        <w:snapToGrid w:val="0"/>
        <w:spacing w:line="360" w:lineRule="auto"/>
        <w:jc w:val="both"/>
        <w:rPr>
          <w:rFonts w:ascii="Book Antiqua" w:hAnsi="Book Antiqua"/>
        </w:rPr>
      </w:pPr>
    </w:p>
    <w:p w14:paraId="38B9BE5B"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i/>
        </w:rPr>
        <w:t>Research methods</w:t>
      </w:r>
    </w:p>
    <w:p w14:paraId="48C88C1D"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The </w:t>
      </w:r>
      <w:r>
        <w:rPr>
          <w:rFonts w:ascii="Book Antiqua" w:eastAsia="Book Antiqua" w:hAnsi="Book Antiqua" w:cs="Book Antiqua"/>
          <w:i/>
          <w:iCs/>
        </w:rPr>
        <w:t>t</w:t>
      </w:r>
      <w:r>
        <w:rPr>
          <w:rFonts w:ascii="Book Antiqua" w:eastAsia="Book Antiqua" w:hAnsi="Book Antiqua" w:cs="Book Antiqua"/>
        </w:rPr>
        <w:t xml:space="preserve">-test was employed to evaluate the differences in microbiome species abundance between the groups. Two-sided </w:t>
      </w:r>
      <w:r>
        <w:rPr>
          <w:rFonts w:ascii="Book Antiqua" w:eastAsia="Book Antiqua" w:hAnsi="Book Antiqua" w:cs="Book Antiqua"/>
          <w:i/>
          <w:iCs/>
        </w:rPr>
        <w:t xml:space="preserve">P </w:t>
      </w:r>
      <w:r>
        <w:rPr>
          <w:rFonts w:ascii="Book Antiqua" w:eastAsia="Book Antiqua" w:hAnsi="Book Antiqua" w:cs="Book Antiqua"/>
        </w:rPr>
        <w:t>values were used, and the significance level was set at 0.05 for all analyses unless otherwise stated. SPSS software (version 26) and R software (version 4.1.2) were used for statistical analyses.</w:t>
      </w:r>
    </w:p>
    <w:p w14:paraId="50B41352" w14:textId="77777777" w:rsidR="00D81529" w:rsidRDefault="00D81529">
      <w:pPr>
        <w:adjustRightInd w:val="0"/>
        <w:snapToGrid w:val="0"/>
        <w:spacing w:line="360" w:lineRule="auto"/>
        <w:jc w:val="both"/>
        <w:rPr>
          <w:rFonts w:ascii="Book Antiqua" w:hAnsi="Book Antiqua"/>
        </w:rPr>
      </w:pPr>
    </w:p>
    <w:p w14:paraId="27560203"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i/>
        </w:rPr>
        <w:t>Research results</w:t>
      </w:r>
    </w:p>
    <w:p w14:paraId="29980309"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A total of 156 patients who completed NAT and subsequently underwent tumor resection were included in this study. The average age was 65.4 ± 10.6 years and 72 (46.2%) patients were female. Before survival analysis, we defined the post-NAT serum CA19-9 level/ pre-NAT serum CA19-9 level as the CA19-9 ratio (CR). The patients were divided into three groups: CR &lt; 0.5, CR &gt; 0.5 and &lt; 1 and CR &gt; 1. With regard to tumor size measured by both computed tomography and magnetic resonance imaging, we defined the post-NAT tumor size/pre-NAT tumor size as the tumor size ratio (TR). The patients were then divided into three groups: TR &lt; 0.5, TR &gt; 0.5 and &lt; 1 and TR &gt; 1. Based on these groups divided according to CR and TR, we performed both OS and disease-free survival (DFS) analyses. Log-rank tests showed that both OS and DFS were significantly different among the groups according to CR and TR (</w:t>
      </w:r>
      <w:r>
        <w:rPr>
          <w:rFonts w:ascii="Book Antiqua" w:eastAsia="Book Antiqua" w:hAnsi="Book Antiqua" w:cs="Book Antiqua"/>
          <w:i/>
          <w:iCs/>
        </w:rPr>
        <w:t xml:space="preserve">P </w:t>
      </w:r>
      <w:r>
        <w:rPr>
          <w:rFonts w:ascii="Book Antiqua" w:eastAsia="Book Antiqua" w:hAnsi="Book Antiqua" w:cs="Book Antiqua"/>
        </w:rPr>
        <w:t xml:space="preserve">&lt; 0.05). CR and TR after NAT were associated with increased odds of achieving a complete or near-complete pathologic response. Moreover, CR (HR: 1.721, 95%CI: 1.373-3.762; </w:t>
      </w:r>
      <w:r>
        <w:rPr>
          <w:rFonts w:ascii="Book Antiqua" w:eastAsia="Book Antiqua" w:hAnsi="Book Antiqua" w:cs="Book Antiqua"/>
          <w:i/>
          <w:iCs/>
        </w:rPr>
        <w:t xml:space="preserve">P </w:t>
      </w:r>
      <w:r>
        <w:rPr>
          <w:rFonts w:ascii="Book Antiqua" w:eastAsia="Book Antiqua" w:hAnsi="Book Antiqua" w:cs="Book Antiqua"/>
        </w:rPr>
        <w:t xml:space="preserve">= 0.006), and TR (HR: 1.435, 95%CI: 1.275-4.363; </w:t>
      </w:r>
      <w:r>
        <w:rPr>
          <w:rFonts w:ascii="Book Antiqua" w:eastAsia="Book Antiqua" w:hAnsi="Book Antiqua" w:cs="Book Antiqua"/>
          <w:i/>
          <w:iCs/>
        </w:rPr>
        <w:t xml:space="preserve">P </w:t>
      </w:r>
      <w:r>
        <w:rPr>
          <w:rFonts w:ascii="Book Antiqua" w:eastAsia="Book Antiqua" w:hAnsi="Book Antiqua" w:cs="Book Antiqua"/>
        </w:rPr>
        <w:t>= 0.014) were identified as independent factors associated with OS.</w:t>
      </w:r>
    </w:p>
    <w:p w14:paraId="47B930DC" w14:textId="77777777" w:rsidR="00D81529" w:rsidRDefault="00D81529">
      <w:pPr>
        <w:adjustRightInd w:val="0"/>
        <w:snapToGrid w:val="0"/>
        <w:spacing w:line="360" w:lineRule="auto"/>
        <w:jc w:val="both"/>
        <w:rPr>
          <w:rFonts w:ascii="Book Antiqua" w:hAnsi="Book Antiqua"/>
        </w:rPr>
      </w:pPr>
    </w:p>
    <w:p w14:paraId="2694316E"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i/>
        </w:rPr>
        <w:t>Research conclusions</w:t>
      </w:r>
    </w:p>
    <w:p w14:paraId="1E3903B5"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Our study demonstrated that post-NAT serum CA19-9 level/pre-NAT serum CA19-9 level and post-NAT tumor size/pre-NAT tumor size were independent factors associated with OS in patients with PDAC who received NAT and subsequent surgical resection.</w:t>
      </w:r>
    </w:p>
    <w:p w14:paraId="0C4FF9D1" w14:textId="77777777" w:rsidR="00D81529" w:rsidRDefault="00D81529">
      <w:pPr>
        <w:adjustRightInd w:val="0"/>
        <w:snapToGrid w:val="0"/>
        <w:spacing w:line="360" w:lineRule="auto"/>
        <w:jc w:val="both"/>
        <w:rPr>
          <w:rFonts w:ascii="Book Antiqua" w:hAnsi="Book Antiqua"/>
        </w:rPr>
      </w:pPr>
    </w:p>
    <w:p w14:paraId="732F9034"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i/>
        </w:rPr>
        <w:lastRenderedPageBreak/>
        <w:t>Research perspectives</w:t>
      </w:r>
    </w:p>
    <w:p w14:paraId="02BC0D76"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Serum CA19-9 level and post-NAT tumor size/pre-NAT tumor size were independent factors associated with OS in patients with PDAC who received NAT and subsequent surgical resection. </w:t>
      </w:r>
    </w:p>
    <w:p w14:paraId="035D1102" w14:textId="77777777" w:rsidR="00D81529" w:rsidRDefault="00D81529">
      <w:pPr>
        <w:adjustRightInd w:val="0"/>
        <w:snapToGrid w:val="0"/>
        <w:spacing w:line="360" w:lineRule="auto"/>
        <w:jc w:val="both"/>
        <w:rPr>
          <w:rFonts w:ascii="Book Antiqua" w:hAnsi="Book Antiqua"/>
        </w:rPr>
      </w:pPr>
    </w:p>
    <w:p w14:paraId="2462227E"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rPr>
        <w:t>REFERENCES</w:t>
      </w:r>
    </w:p>
    <w:p w14:paraId="63D1FF0D" w14:textId="77777777" w:rsidR="00D81529" w:rsidRDefault="00000000">
      <w:pPr>
        <w:spacing w:line="360" w:lineRule="auto"/>
        <w:jc w:val="both"/>
        <w:rPr>
          <w:rFonts w:ascii="Book Antiqua" w:hAnsi="Book Antiqua"/>
        </w:rPr>
      </w:pPr>
      <w:bookmarkStart w:id="566" w:name="OLE_LINK7921"/>
      <w:bookmarkStart w:id="567" w:name="OLE_LINK7919"/>
      <w:r>
        <w:rPr>
          <w:rFonts w:ascii="Book Antiqua" w:eastAsia="Book Antiqua" w:hAnsi="Book Antiqua" w:cs="Book Antiqua"/>
        </w:rPr>
        <w:t xml:space="preserve">1 </w:t>
      </w:r>
      <w:r>
        <w:rPr>
          <w:rFonts w:ascii="Book Antiqua" w:eastAsia="Book Antiqua" w:hAnsi="Book Antiqua" w:cs="Book Antiqua"/>
          <w:b/>
          <w:bCs/>
        </w:rPr>
        <w:t>McGuigan A</w:t>
      </w:r>
      <w:r>
        <w:rPr>
          <w:rFonts w:ascii="Book Antiqua" w:eastAsia="Book Antiqua" w:hAnsi="Book Antiqua" w:cs="Book Antiqua"/>
        </w:rPr>
        <w:t xml:space="preserve">, Kelly P, Turkington RC, Jones C, Coleman HG, McCain RS. Pancreatic cancer: A review of clinical diagnosis, epidemiology, treatment and outcomes.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4846-4861 [PMID: 30487695 DOI: 10.3748/wjg.v24.i43.4846]</w:t>
      </w:r>
    </w:p>
    <w:p w14:paraId="0A3292A2"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Mashayekhi V</w:t>
      </w:r>
      <w:r>
        <w:rPr>
          <w:rFonts w:ascii="Book Antiqua" w:eastAsia="Book Antiqua" w:hAnsi="Book Antiqua" w:cs="Book Antiqua"/>
        </w:rPr>
        <w:t xml:space="preserve">, Mocellin O, Fens MHAM, Krijger GC, Brosens LAA, Oliveira S. Targeting of promising transmembrane proteins for diagnosis and treatment of pancreatic ductal adenocarcinoma. </w:t>
      </w:r>
      <w:r>
        <w:rPr>
          <w:rFonts w:ascii="Book Antiqua" w:eastAsia="Book Antiqua" w:hAnsi="Book Antiqua" w:cs="Book Antiqua"/>
          <w:i/>
          <w:iCs/>
        </w:rPr>
        <w:t>Theranostics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9022-9037 [PMID: 34522225 DOI: 10.7150/thno.60350]</w:t>
      </w:r>
    </w:p>
    <w:p w14:paraId="512FFC76"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Versteijne E</w:t>
      </w:r>
      <w:r>
        <w:rPr>
          <w:rFonts w:ascii="Book Antiqua" w:eastAsia="Book Antiqua" w:hAnsi="Book Antiqua" w:cs="Book Antiqua"/>
        </w:rPr>
        <w:t xml:space="preserve">, Suker M, Groothuis K, Akkermans-Vogelaar JM, Besselink MG, Bonsing BA, Buijsen J, Busch OR, Creemers GM, van Dam RM, Eskens FALM, Festen S, de Groot JWB, Groot Koerkamp B, de Hingh IH, Homs MYV, van Hooft JE, Kerver ED, Luelmo SAC, Neelis KJ, Nuyttens J, Paardekooper GMRM, Patijn GA, van der Sangen MJC, de Vos-Geelen J, Wilmink JW, Zwinderman AH, Punt CJ, van Eijck CH, van Tienhoven G; Dutch Pancreatic Cancer Group. Preoperative Chemoradiotherapy Versus Immediate Surgery for Resectable and Borderline Resectable Pancreatic Cancer: Results of the Dutch Randomized Phase III PREOPANC Trial.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1763-1773 [PMID: 32105518 DOI: 10.1200/JCO.19.02274]</w:t>
      </w:r>
    </w:p>
    <w:p w14:paraId="38F509C4"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Loveday BPT</w:t>
      </w:r>
      <w:r>
        <w:rPr>
          <w:rFonts w:ascii="Book Antiqua" w:eastAsia="Book Antiqua" w:hAnsi="Book Antiqua" w:cs="Book Antiqua"/>
        </w:rPr>
        <w:t xml:space="preserve">, Lipton L, Thomson BN. Pancreatic cancer: An update on diagnosis and management. </w:t>
      </w:r>
      <w:r>
        <w:rPr>
          <w:rFonts w:ascii="Book Antiqua" w:eastAsia="Book Antiqua" w:hAnsi="Book Antiqua" w:cs="Book Antiqua"/>
          <w:i/>
          <w:iCs/>
        </w:rPr>
        <w:t>Aust J Gen Pract</w:t>
      </w:r>
      <w:r>
        <w:rPr>
          <w:rFonts w:ascii="Book Antiqua" w:eastAsia="Book Antiqua" w:hAnsi="Book Antiqua" w:cs="Book Antiqua"/>
        </w:rPr>
        <w:t xml:space="preserve"> 2019; </w:t>
      </w:r>
      <w:r>
        <w:rPr>
          <w:rFonts w:ascii="Book Antiqua" w:eastAsia="Book Antiqua" w:hAnsi="Book Antiqua" w:cs="Book Antiqua"/>
          <w:b/>
          <w:bCs/>
        </w:rPr>
        <w:t>48</w:t>
      </w:r>
      <w:r>
        <w:rPr>
          <w:rFonts w:ascii="Book Antiqua" w:eastAsia="Book Antiqua" w:hAnsi="Book Antiqua" w:cs="Book Antiqua"/>
        </w:rPr>
        <w:t>: 826-831 [PMID: 31774983 DOI: 10.31128/AJGP-06-19-4957]</w:t>
      </w:r>
    </w:p>
    <w:p w14:paraId="2B84884F"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Cloyd JM</w:t>
      </w:r>
      <w:r>
        <w:rPr>
          <w:rFonts w:ascii="Book Antiqua" w:eastAsia="Book Antiqua" w:hAnsi="Book Antiqua" w:cs="Book Antiqua"/>
        </w:rPr>
        <w:t xml:space="preserve">, Tsung A, Hays J, Wills CE, Bridges JF. Neoadjuvant therapy for resectable pancreatic ductal adenocarcinoma: The need for patient-centered research. </w:t>
      </w:r>
      <w:r>
        <w:rPr>
          <w:rFonts w:ascii="Book Antiqua" w:eastAsia="Book Antiqua" w:hAnsi="Book Antiqua" w:cs="Book Antiqua"/>
          <w:i/>
          <w:iCs/>
        </w:rPr>
        <w:t>World J Gastroenterol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375-382 [PMID: 32063686 DOI: 10.3748/wjg.v26.i4.375]</w:t>
      </w:r>
    </w:p>
    <w:p w14:paraId="166E0BF4" w14:textId="77777777" w:rsidR="00D81529" w:rsidRDefault="00000000">
      <w:pPr>
        <w:spacing w:line="360" w:lineRule="auto"/>
        <w:jc w:val="both"/>
        <w:rPr>
          <w:rFonts w:ascii="Book Antiqua" w:hAnsi="Book Antiqua"/>
        </w:rPr>
      </w:pPr>
      <w:r>
        <w:rPr>
          <w:rFonts w:ascii="Book Antiqua" w:eastAsia="Book Antiqua" w:hAnsi="Book Antiqua" w:cs="Book Antiqua"/>
        </w:rPr>
        <w:lastRenderedPageBreak/>
        <w:t xml:space="preserve">6 </w:t>
      </w:r>
      <w:r>
        <w:rPr>
          <w:rFonts w:ascii="Book Antiqua" w:eastAsia="Book Antiqua" w:hAnsi="Book Antiqua" w:cs="Book Antiqua"/>
          <w:b/>
          <w:bCs/>
        </w:rPr>
        <w:t>Springfeld C</w:t>
      </w:r>
      <w:r>
        <w:rPr>
          <w:rFonts w:ascii="Book Antiqua" w:eastAsia="Book Antiqua" w:hAnsi="Book Antiqua" w:cs="Book Antiqua"/>
        </w:rPr>
        <w:t xml:space="preserve">, Ferrone CR, Katz MHG, Philip PA, Hong TS, Hackert T, Büchler MW, Neoptolemos J. Neoadjuvant therapy for pancreatic cancer. </w:t>
      </w:r>
      <w:r>
        <w:rPr>
          <w:rFonts w:ascii="Book Antiqua" w:eastAsia="Book Antiqua" w:hAnsi="Book Antiqua" w:cs="Book Antiqua"/>
          <w:i/>
          <w:iCs/>
        </w:rPr>
        <w:t>Nat Rev Clin Oncol</w:t>
      </w:r>
      <w:r>
        <w:rPr>
          <w:rFonts w:ascii="Book Antiqua" w:eastAsia="Book Antiqua" w:hAnsi="Book Antiqua" w:cs="Book Antiqua"/>
        </w:rPr>
        <w:t xml:space="preserve"> 2023; </w:t>
      </w:r>
      <w:r>
        <w:rPr>
          <w:rFonts w:ascii="Book Antiqua" w:eastAsia="Book Antiqua" w:hAnsi="Book Antiqua" w:cs="Book Antiqua"/>
          <w:b/>
          <w:bCs/>
        </w:rPr>
        <w:t>20</w:t>
      </w:r>
      <w:r>
        <w:rPr>
          <w:rFonts w:ascii="Book Antiqua" w:eastAsia="Book Antiqua" w:hAnsi="Book Antiqua" w:cs="Book Antiqua"/>
        </w:rPr>
        <w:t>: 318-337 [PMID: 36932224 DOI: 10.1038/s41571-023-00746-1]</w:t>
      </w:r>
    </w:p>
    <w:p w14:paraId="16CD4D89"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Pezzilli R</w:t>
      </w:r>
      <w:r>
        <w:rPr>
          <w:rFonts w:ascii="Book Antiqua" w:eastAsia="Book Antiqua" w:hAnsi="Book Antiqua" w:cs="Book Antiqua"/>
        </w:rPr>
        <w:t xml:space="preserve">, Fabbri D, Imbrogno A. Pancreatic ductal adenocarcinoma screening: new perspectives.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4973-4977 [PMID: 23049204 DOI: 10.3748/wjg.v18.i36.4973]</w:t>
      </w:r>
    </w:p>
    <w:p w14:paraId="5D243598"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Scarà S</w:t>
      </w:r>
      <w:r>
        <w:rPr>
          <w:rFonts w:ascii="Book Antiqua" w:eastAsia="Book Antiqua" w:hAnsi="Book Antiqua" w:cs="Book Antiqua"/>
        </w:rPr>
        <w:t xml:space="preserve">, Bottoni P, Scatena R. CA 19-9: Biochemical and Clinical Aspects. </w:t>
      </w:r>
      <w:r>
        <w:rPr>
          <w:rFonts w:ascii="Book Antiqua" w:eastAsia="Book Antiqua" w:hAnsi="Book Antiqua" w:cs="Book Antiqua"/>
          <w:i/>
          <w:iCs/>
        </w:rPr>
        <w:t>Adv Exp Med Biol</w:t>
      </w:r>
      <w:r>
        <w:rPr>
          <w:rFonts w:ascii="Book Antiqua" w:eastAsia="Book Antiqua" w:hAnsi="Book Antiqua" w:cs="Book Antiqua"/>
        </w:rPr>
        <w:t xml:space="preserve"> 2015; </w:t>
      </w:r>
      <w:r>
        <w:rPr>
          <w:rFonts w:ascii="Book Antiqua" w:eastAsia="Book Antiqua" w:hAnsi="Book Antiqua" w:cs="Book Antiqua"/>
          <w:b/>
          <w:bCs/>
        </w:rPr>
        <w:t>867</w:t>
      </w:r>
      <w:r>
        <w:rPr>
          <w:rFonts w:ascii="Book Antiqua" w:eastAsia="Book Antiqua" w:hAnsi="Book Antiqua" w:cs="Book Antiqua"/>
        </w:rPr>
        <w:t>: 247-260 [PMID: 26530370 DOI: 10.1007/978-94-017-7215-0_15]</w:t>
      </w:r>
    </w:p>
    <w:p w14:paraId="5128E43B"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Rieser CJ</w:t>
      </w:r>
      <w:r>
        <w:rPr>
          <w:rFonts w:ascii="Book Antiqua" w:eastAsia="Book Antiqua" w:hAnsi="Book Antiqua" w:cs="Book Antiqua"/>
        </w:rPr>
        <w:t xml:space="preserve">, Zenati M, Hamad A, Al Abbas AI, Bahary N, Zureikat AH, Zeh HJ 3rd, Hogg ME. CA19-9 on Postoperative Surveillance in Pancreatic Ductal Adenocarcinoma: Predicting Recurrence and Changing Prognosis over Time. </w:t>
      </w:r>
      <w:r>
        <w:rPr>
          <w:rFonts w:ascii="Book Antiqua" w:eastAsia="Book Antiqua" w:hAnsi="Book Antiqua" w:cs="Book Antiqua"/>
          <w:i/>
          <w:iCs/>
        </w:rPr>
        <w:t>Ann Surg Oncol</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3483-3491 [PMID: 29786131 DOI: 10.1245/s10434-018-6521-7]</w:t>
      </w:r>
    </w:p>
    <w:p w14:paraId="28C8875F"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Xu P</w:t>
      </w:r>
      <w:r>
        <w:rPr>
          <w:rFonts w:ascii="Book Antiqua" w:eastAsia="Book Antiqua" w:hAnsi="Book Antiqua" w:cs="Book Antiqua"/>
        </w:rPr>
        <w:t xml:space="preserve">, Wang X, Qian J, Li Z, Yao J, Xu A. The prognostic evaluation of CA19-9, D-dimer and TNFAIP3/A20 in patients with pancreatic ductal adenocarcinoma. </w:t>
      </w:r>
      <w:r>
        <w:rPr>
          <w:rFonts w:ascii="Book Antiqua" w:eastAsia="Book Antiqua" w:hAnsi="Book Antiqua" w:cs="Book Antiqua"/>
          <w:i/>
          <w:iCs/>
        </w:rPr>
        <w:t>Medicine (Baltimore)</w:t>
      </w:r>
      <w:r>
        <w:rPr>
          <w:rFonts w:ascii="Book Antiqua" w:eastAsia="Book Antiqua" w:hAnsi="Book Antiqua" w:cs="Book Antiqua"/>
        </w:rPr>
        <w:t xml:space="preserve"> 2021; </w:t>
      </w:r>
      <w:r>
        <w:rPr>
          <w:rFonts w:ascii="Book Antiqua" w:eastAsia="Book Antiqua" w:hAnsi="Book Antiqua" w:cs="Book Antiqua"/>
          <w:b/>
          <w:bCs/>
        </w:rPr>
        <w:t>100</w:t>
      </w:r>
      <w:r>
        <w:rPr>
          <w:rFonts w:ascii="Book Antiqua" w:eastAsia="Book Antiqua" w:hAnsi="Book Antiqua" w:cs="Book Antiqua"/>
        </w:rPr>
        <w:t>: e24651 [PMID: 33578593 DOI: 10.1097/MD.0000000000024651]</w:t>
      </w:r>
    </w:p>
    <w:p w14:paraId="2FFE1C7B"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Kane LE</w:t>
      </w:r>
      <w:r>
        <w:rPr>
          <w:rFonts w:ascii="Book Antiqua" w:eastAsia="Book Antiqua" w:hAnsi="Book Antiqua" w:cs="Book Antiqua"/>
        </w:rPr>
        <w:t xml:space="preserve">, Mellotte GS, Mylod E, O'Brien RM, O'Connell F, Buckley CE, Arlow J, Nguyen K, Mockler D, Meade AD, Ryan BM, Maher SG. Diagnostic Accuracy of Blood-based Biomarkers for Pancreatic Cancer: A Systematic Review and Meta-analysis. </w:t>
      </w:r>
      <w:r>
        <w:rPr>
          <w:rFonts w:ascii="Book Antiqua" w:eastAsia="Book Antiqua" w:hAnsi="Book Antiqua" w:cs="Book Antiqua"/>
          <w:i/>
          <w:iCs/>
        </w:rPr>
        <w:t>Cancer Res Commun</w:t>
      </w:r>
      <w:r>
        <w:rPr>
          <w:rFonts w:ascii="Book Antiqua" w:eastAsia="Book Antiqua" w:hAnsi="Book Antiqua" w:cs="Book Antiqua"/>
        </w:rPr>
        <w:t xml:space="preserve"> 2022; </w:t>
      </w:r>
      <w:r>
        <w:rPr>
          <w:rFonts w:ascii="Book Antiqua" w:eastAsia="Book Antiqua" w:hAnsi="Book Antiqua" w:cs="Book Antiqua"/>
          <w:b/>
          <w:bCs/>
        </w:rPr>
        <w:t>2</w:t>
      </w:r>
      <w:r>
        <w:rPr>
          <w:rFonts w:ascii="Book Antiqua" w:eastAsia="Book Antiqua" w:hAnsi="Book Antiqua" w:cs="Book Antiqua"/>
        </w:rPr>
        <w:t>: 1229-1243 [PMID: 36969742 DOI: 10.1158/2767-9764.CRC-22-0190]</w:t>
      </w:r>
    </w:p>
    <w:p w14:paraId="429773C6"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Azizian A</w:t>
      </w:r>
      <w:r>
        <w:rPr>
          <w:rFonts w:ascii="Book Antiqua" w:eastAsia="Book Antiqua" w:hAnsi="Book Antiqua" w:cs="Book Antiqua"/>
        </w:rPr>
        <w:t xml:space="preserve">, Rühlmann F, Krause T, Bernhardt M, Jo P, König A, Kleiß M, Leha A, Ghadimi M, Gaedcke J. CA19-9 for detecting recurrence of pancreatic cancer. </w:t>
      </w:r>
      <w:r>
        <w:rPr>
          <w:rFonts w:ascii="Book Antiqua" w:eastAsia="Book Antiqua" w:hAnsi="Book Antiqua" w:cs="Book Antiqua"/>
          <w:i/>
          <w:iCs/>
        </w:rPr>
        <w:t>Sci Rep</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1332 [PMID: 31992753 DOI: 10.1038/s41598-020-57930-x]</w:t>
      </w:r>
    </w:p>
    <w:p w14:paraId="47414BA5"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Itoh S</w:t>
      </w:r>
      <w:r>
        <w:rPr>
          <w:rFonts w:ascii="Book Antiqua" w:eastAsia="Book Antiqua" w:hAnsi="Book Antiqua" w:cs="Book Antiqua"/>
        </w:rPr>
        <w:t xml:space="preserve">, Tsujita E, Fukuzawa K, Sugimachi K, Iguchi T, Ninomiya M, Maeda T, Kajiyama K, Adachi E, Uchiyama H, Utsunomiya T, Ikeda Y, Maekawa S, Toshima T, Harada N, Yoshizumi T, Mori M. Prognostic significance of preoperative PNI and CA19-9 for pancreatic ductal adenocarcinoma: A multi-institutional retrospective study. </w:t>
      </w:r>
      <w:r>
        <w:rPr>
          <w:rFonts w:ascii="Book Antiqua" w:eastAsia="Book Antiqua" w:hAnsi="Book Antiqua" w:cs="Book Antiqua"/>
          <w:i/>
          <w:iCs/>
        </w:rPr>
        <w:t>Pancreatology</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1356-1363 [PMID: 34426076 DOI: 10.1016/j.pan.2021.08.003]</w:t>
      </w:r>
    </w:p>
    <w:p w14:paraId="2EFFD52E"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Imaoka H</w:t>
      </w:r>
      <w:r>
        <w:rPr>
          <w:rFonts w:ascii="Book Antiqua" w:eastAsia="Book Antiqua" w:hAnsi="Book Antiqua" w:cs="Book Antiqua"/>
        </w:rPr>
        <w:t xml:space="preserve">, Shimizu Y, Senda Y, Natsume S, Mizuno N, Hara K, Hijioka S, Hieda N, Tajika M, Tanaka T, Ishihara M, Niwa Y, Yamao K. Post-adjuvant chemotherapy CA19-9 levels predict prognosis in patients with pancreatic ductal adenocarcinoma: A </w:t>
      </w:r>
      <w:r>
        <w:rPr>
          <w:rFonts w:ascii="Book Antiqua" w:eastAsia="Book Antiqua" w:hAnsi="Book Antiqua" w:cs="Book Antiqua"/>
        </w:rPr>
        <w:lastRenderedPageBreak/>
        <w:t xml:space="preserve">retrospective cohort study. </w:t>
      </w:r>
      <w:r>
        <w:rPr>
          <w:rFonts w:ascii="Book Antiqua" w:eastAsia="Book Antiqua" w:hAnsi="Book Antiqua" w:cs="Book Antiqua"/>
          <w:i/>
          <w:iCs/>
        </w:rPr>
        <w:t>Pancreatology</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658-664 [PMID: 27178104 DOI: 10.1016/j.pan.2016.04.007]</w:t>
      </w:r>
    </w:p>
    <w:p w14:paraId="27A21031"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Capello M</w:t>
      </w:r>
      <w:r>
        <w:rPr>
          <w:rFonts w:ascii="Book Antiqua" w:eastAsia="Book Antiqua" w:hAnsi="Book Antiqua" w:cs="Book Antiqua"/>
        </w:rPr>
        <w:t xml:space="preserve">, Bantis LE, Scelo G, Zhao Y, Li P, Dhillon DS, Patel NJ, Kundnani DL, Wang H, Abbruzzese JL, Maitra A, Tempero MA, Brand R, Firpo MA, Mulvihill SJ, Katz MH, Brennan P, Feng Z, Taguchi A, Hanash SM. Sequential Validation of Blood-Based Protein Biomarker Candidates for Early-Stage Pancreatic Cancer. </w:t>
      </w:r>
      <w:r>
        <w:rPr>
          <w:rFonts w:ascii="Book Antiqua" w:eastAsia="Book Antiqua" w:hAnsi="Book Antiqua" w:cs="Book Antiqua"/>
          <w:i/>
          <w:iCs/>
        </w:rPr>
        <w:t>J Natl Cancer Inst</w:t>
      </w:r>
      <w:r>
        <w:rPr>
          <w:rFonts w:ascii="Book Antiqua" w:eastAsia="Book Antiqua" w:hAnsi="Book Antiqua" w:cs="Book Antiqua"/>
        </w:rPr>
        <w:t xml:space="preserve"> 2017; </w:t>
      </w:r>
      <w:r>
        <w:rPr>
          <w:rFonts w:ascii="Book Antiqua" w:eastAsia="Book Antiqua" w:hAnsi="Book Antiqua" w:cs="Book Antiqua"/>
          <w:b/>
          <w:bCs/>
        </w:rPr>
        <w:t>109</w:t>
      </w:r>
      <w:r>
        <w:rPr>
          <w:rFonts w:ascii="Book Antiqua" w:eastAsia="Book Antiqua" w:hAnsi="Book Antiqua" w:cs="Book Antiqua"/>
        </w:rPr>
        <w:t xml:space="preserve"> [PMID: 28376157 DOI: 10.1093/jnci/djw266]</w:t>
      </w:r>
    </w:p>
    <w:p w14:paraId="0F53F069"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Dittmar RL</w:t>
      </w:r>
      <w:r>
        <w:rPr>
          <w:rFonts w:ascii="Book Antiqua" w:eastAsia="Book Antiqua" w:hAnsi="Book Antiqua" w:cs="Book Antiqua"/>
        </w:rPr>
        <w:t xml:space="preserve">, Liu S, Tai MC, Rajapakshe K, Huang Y, Longton G, DeCapite C, Hurd MW, Paris PL, Kirkwood KS, Coarfa C, Maitra A, Brand RE, Killary AM, Sen S. Plasma miRNA Biomarkers in Limited Volume Samples for Detection of Early-stage Pancreatic Cancer. </w:t>
      </w:r>
      <w:r>
        <w:rPr>
          <w:rFonts w:ascii="Book Antiqua" w:eastAsia="Book Antiqua" w:hAnsi="Book Antiqua" w:cs="Book Antiqua"/>
          <w:i/>
          <w:iCs/>
        </w:rPr>
        <w:t>Cancer Prev Res (Phila)</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729-740 [PMID: 33893071 DOI: 10.1158/1940-6207.CAPR-20-0303]</w:t>
      </w:r>
    </w:p>
    <w:p w14:paraId="223A9FFF"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Kinny-Köster B</w:t>
      </w:r>
      <w:r>
        <w:rPr>
          <w:rFonts w:ascii="Book Antiqua" w:eastAsia="Book Antiqua" w:hAnsi="Book Antiqua" w:cs="Book Antiqua"/>
        </w:rPr>
        <w:t xml:space="preserve">, Habib JR, Wolfgang CL, He J, Javed AA. Favorable tumor biology in locally advanced pancreatic cancer-beyond CA19-9. </w:t>
      </w:r>
      <w:r>
        <w:rPr>
          <w:rFonts w:ascii="Book Antiqua" w:eastAsia="Book Antiqua" w:hAnsi="Book Antiqua" w:cs="Book Antiqua"/>
          <w:i/>
          <w:iCs/>
        </w:rPr>
        <w:t>J Gastrointest Oncol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2484-2494 [PMID: 34790409 DOI: 10.21037/jgo-20-426]</w:t>
      </w:r>
    </w:p>
    <w:p w14:paraId="3E18C7CA"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Aoki S</w:t>
      </w:r>
      <w:r>
        <w:rPr>
          <w:rFonts w:ascii="Book Antiqua" w:eastAsia="Book Antiqua" w:hAnsi="Book Antiqua" w:cs="Book Antiqua"/>
        </w:rPr>
        <w:t xml:space="preserve">, Motoi F, Murakami Y, Sho M, Satoi S, Honda G, Uemura K, Okada KI, Matsumoto I, Nagai M, Yanagimoto H, Kurata M, Fukumoto T, Mizuma M, Yamaue H, Unno M; Multicenter Study Group of Pancreatobiliary Surgery (MSG-PBS). Decreased serum carbohydrate antigen 19-9 levels after neoadjuvant therapy predict a better prognosis for patients with pancreatic adenocarcinoma: a multicenter case-control study of 240 patients.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252 [PMID: 30898101 DOI: 10.1186/s12885-019-5460-4]</w:t>
      </w:r>
    </w:p>
    <w:p w14:paraId="57B5552A"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Al Abbas AI</w:t>
      </w:r>
      <w:r>
        <w:rPr>
          <w:rFonts w:ascii="Book Antiqua" w:eastAsia="Book Antiqua" w:hAnsi="Book Antiqua" w:cs="Book Antiqua"/>
        </w:rPr>
        <w:t xml:space="preserve">, Zenati M, Reiser CJ, Hamad A, Jung JP, Zureikat AH, Zeh HJ 3rd, Hogg ME. Serum CA19-9 Response to Neoadjuvant Therapy Predicts Tumor Size Reduction and Survival in Pancreatic Adenocarcinoma. </w:t>
      </w:r>
      <w:r>
        <w:rPr>
          <w:rFonts w:ascii="Book Antiqua" w:eastAsia="Book Antiqua" w:hAnsi="Book Antiqua" w:cs="Book Antiqua"/>
          <w:i/>
          <w:iCs/>
        </w:rPr>
        <w:t>Ann Surg Oncol</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2007-2014 [PMID: 31898105 DOI: 10.1245/s10434-019-08156-3]</w:t>
      </w:r>
    </w:p>
    <w:p w14:paraId="629122B8"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Torres C</w:t>
      </w:r>
      <w:r>
        <w:rPr>
          <w:rFonts w:ascii="Book Antiqua" w:eastAsia="Book Antiqua" w:hAnsi="Book Antiqua" w:cs="Book Antiqua"/>
        </w:rPr>
        <w:t xml:space="preserve">, Grippo PJ. Pancreatic cancer subtypes: a roadmap for precision medicine. </w:t>
      </w:r>
      <w:r>
        <w:rPr>
          <w:rFonts w:ascii="Book Antiqua" w:eastAsia="Book Antiqua" w:hAnsi="Book Antiqua" w:cs="Book Antiqua"/>
          <w:i/>
          <w:iCs/>
        </w:rPr>
        <w:t>Ann Med</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277-287 [PMID: 29537309 DOI: 10.1080/07853890.2018.1453168]</w:t>
      </w:r>
    </w:p>
    <w:p w14:paraId="74EDCD59"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Wang L</w:t>
      </w:r>
      <w:r>
        <w:rPr>
          <w:rFonts w:ascii="Book Antiqua" w:eastAsia="Book Antiqua" w:hAnsi="Book Antiqua" w:cs="Book Antiqua"/>
        </w:rPr>
        <w:t xml:space="preserve">, Xie D, Wei D. Pancreatic Acinar-to-Ductal Metaplasia and Pancreatic Cancer. </w:t>
      </w:r>
      <w:r>
        <w:rPr>
          <w:rFonts w:ascii="Book Antiqua" w:eastAsia="Book Antiqua" w:hAnsi="Book Antiqua" w:cs="Book Antiqua"/>
          <w:i/>
          <w:iCs/>
        </w:rPr>
        <w:t>Methods Mol Biol</w:t>
      </w:r>
      <w:r>
        <w:rPr>
          <w:rFonts w:ascii="Book Antiqua" w:eastAsia="Book Antiqua" w:hAnsi="Book Antiqua" w:cs="Book Antiqua"/>
        </w:rPr>
        <w:t xml:space="preserve"> 2019; </w:t>
      </w:r>
      <w:r>
        <w:rPr>
          <w:rFonts w:ascii="Book Antiqua" w:eastAsia="Book Antiqua" w:hAnsi="Book Antiqua" w:cs="Book Antiqua"/>
          <w:b/>
          <w:bCs/>
        </w:rPr>
        <w:t>1882</w:t>
      </w:r>
      <w:r>
        <w:rPr>
          <w:rFonts w:ascii="Book Antiqua" w:eastAsia="Book Antiqua" w:hAnsi="Book Antiqua" w:cs="Book Antiqua"/>
        </w:rPr>
        <w:t>: 299-308 [PMID: 30378064 DOI: 10.1007/978-1-4939-8879-2_26]</w:t>
      </w:r>
    </w:p>
    <w:p w14:paraId="61EBCDBC" w14:textId="77777777" w:rsidR="00D81529" w:rsidRDefault="00000000">
      <w:pPr>
        <w:spacing w:line="360" w:lineRule="auto"/>
        <w:jc w:val="both"/>
        <w:rPr>
          <w:rFonts w:ascii="Book Antiqua" w:hAnsi="Book Antiqua"/>
        </w:rPr>
      </w:pPr>
      <w:r>
        <w:rPr>
          <w:rFonts w:ascii="Book Antiqua" w:eastAsia="Book Antiqua" w:hAnsi="Book Antiqua" w:cs="Book Antiqua"/>
        </w:rPr>
        <w:lastRenderedPageBreak/>
        <w:t xml:space="preserve">22 </w:t>
      </w:r>
      <w:r>
        <w:rPr>
          <w:rFonts w:ascii="Book Antiqua" w:eastAsia="Book Antiqua" w:hAnsi="Book Antiqua" w:cs="Book Antiqua"/>
          <w:b/>
          <w:bCs/>
        </w:rPr>
        <w:t>Grossberg AJ</w:t>
      </w:r>
      <w:r>
        <w:rPr>
          <w:rFonts w:ascii="Book Antiqua" w:eastAsia="Book Antiqua" w:hAnsi="Book Antiqua" w:cs="Book Antiqua"/>
        </w:rPr>
        <w:t xml:space="preserve">, Chu LC, Deig CR, Fishman EK, Hwang WL, Maitra A, Marks DL, Mehta A, Nabavizadeh N, Simeone DM, Weekes CD, Thomas CR Jr. Multidisciplinary standards of care and recent progress in pancreatic ductal adenocarcinoma. </w:t>
      </w:r>
      <w:r>
        <w:rPr>
          <w:rFonts w:ascii="Book Antiqua" w:eastAsia="Book Antiqua" w:hAnsi="Book Antiqua" w:cs="Book Antiqua"/>
          <w:i/>
          <w:iCs/>
        </w:rPr>
        <w:t>CA Cancer J Clin</w:t>
      </w:r>
      <w:r>
        <w:rPr>
          <w:rFonts w:ascii="Book Antiqua" w:eastAsia="Book Antiqua" w:hAnsi="Book Antiqua" w:cs="Book Antiqua"/>
        </w:rPr>
        <w:t xml:space="preserve"> 2020; </w:t>
      </w:r>
      <w:r>
        <w:rPr>
          <w:rFonts w:ascii="Book Antiqua" w:eastAsia="Book Antiqua" w:hAnsi="Book Antiqua" w:cs="Book Antiqua"/>
          <w:b/>
          <w:bCs/>
        </w:rPr>
        <w:t>70</w:t>
      </w:r>
      <w:r>
        <w:rPr>
          <w:rFonts w:ascii="Book Antiqua" w:eastAsia="Book Antiqua" w:hAnsi="Book Antiqua" w:cs="Book Antiqua"/>
        </w:rPr>
        <w:t>: 375-403 [PMID: 32683683 DOI: 10.3322/caac.21626]</w:t>
      </w:r>
    </w:p>
    <w:p w14:paraId="2E408F9F"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Hamad A</w:t>
      </w:r>
      <w:r>
        <w:rPr>
          <w:rFonts w:ascii="Book Antiqua" w:eastAsia="Book Antiqua" w:hAnsi="Book Antiqua" w:cs="Book Antiqua"/>
        </w:rPr>
        <w:t xml:space="preserve">, Brown ZJ, Ejaz AM, Dillhoff M, Cloyd JM. Neoadjuvant therapy for pancreatic ductal adenocarcinoma: Opportunities for personalized cancer care.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4383-4394 [PMID: 34366611 DOI: 10.3748/wjg.v27.i27.4383]</w:t>
      </w:r>
    </w:p>
    <w:p w14:paraId="7DD296EE"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Truty MJ</w:t>
      </w:r>
      <w:r>
        <w:rPr>
          <w:rFonts w:ascii="Book Antiqua" w:eastAsia="Book Antiqua" w:hAnsi="Book Antiqua" w:cs="Book Antiqua"/>
        </w:rPr>
        <w:t xml:space="preserve">, Kendrick ML, Nagorney DM, Smoot RL, Cleary SP, Graham RP, Goenka AH, Hallemeier CL, Haddock MG, Harmsen WS, Mahipal A, McWilliams RR, Halfdanarson TR, Grothey AF. Factors Predicting Response, Perioperative Outcomes, and Survival Following Total Neoadjuvant Therapy for Borderline/Locally Advanced Pancreatic Cancer. </w:t>
      </w:r>
      <w:r>
        <w:rPr>
          <w:rFonts w:ascii="Book Antiqua" w:eastAsia="Book Antiqua" w:hAnsi="Book Antiqua" w:cs="Book Antiqua"/>
          <w:i/>
          <w:iCs/>
        </w:rPr>
        <w:t>Ann Surg</w:t>
      </w:r>
      <w:r>
        <w:rPr>
          <w:rFonts w:ascii="Book Antiqua" w:eastAsia="Book Antiqua" w:hAnsi="Book Antiqua" w:cs="Book Antiqua"/>
        </w:rPr>
        <w:t xml:space="preserve"> 2021; </w:t>
      </w:r>
      <w:r>
        <w:rPr>
          <w:rFonts w:ascii="Book Antiqua" w:eastAsia="Book Antiqua" w:hAnsi="Book Antiqua" w:cs="Book Antiqua"/>
          <w:b/>
          <w:bCs/>
        </w:rPr>
        <w:t>273</w:t>
      </w:r>
      <w:r>
        <w:rPr>
          <w:rFonts w:ascii="Book Antiqua" w:eastAsia="Book Antiqua" w:hAnsi="Book Antiqua" w:cs="Book Antiqua"/>
        </w:rPr>
        <w:t>: 341-349 [PMID: 30946090 DOI: 10.1097/SLA.0000000000003284]</w:t>
      </w:r>
    </w:p>
    <w:p w14:paraId="12F5364E"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Zhou Y</w:t>
      </w:r>
      <w:r>
        <w:rPr>
          <w:rFonts w:ascii="Book Antiqua" w:eastAsia="Book Antiqua" w:hAnsi="Book Antiqua" w:cs="Book Antiqua"/>
        </w:rPr>
        <w:t xml:space="preserve">, Liao S, You J, Wu H. Conversion surgery for initially unresectable pancreatic ductal adenocarcinoma following induction therapy: a systematic review of the published literature. </w:t>
      </w:r>
      <w:r>
        <w:rPr>
          <w:rFonts w:ascii="Book Antiqua" w:eastAsia="Book Antiqua" w:hAnsi="Book Antiqua" w:cs="Book Antiqua"/>
          <w:i/>
          <w:iCs/>
        </w:rPr>
        <w:t>Updates Surg</w:t>
      </w:r>
      <w:r>
        <w:rPr>
          <w:rFonts w:ascii="Book Antiqua" w:eastAsia="Book Antiqua" w:hAnsi="Book Antiqua" w:cs="Book Antiqua"/>
        </w:rPr>
        <w:t xml:space="preserve"> 2022; </w:t>
      </w:r>
      <w:r>
        <w:rPr>
          <w:rFonts w:ascii="Book Antiqua" w:eastAsia="Book Antiqua" w:hAnsi="Book Antiqua" w:cs="Book Antiqua"/>
          <w:b/>
          <w:bCs/>
        </w:rPr>
        <w:t>74</w:t>
      </w:r>
      <w:r>
        <w:rPr>
          <w:rFonts w:ascii="Book Antiqua" w:eastAsia="Book Antiqua" w:hAnsi="Book Antiqua" w:cs="Book Antiqua"/>
        </w:rPr>
        <w:t>: 43-53 [PMID: 34021484 DOI: 10.1007/s13304-021-01089-1]</w:t>
      </w:r>
    </w:p>
    <w:p w14:paraId="6430FBF7"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Brown ZJ</w:t>
      </w:r>
      <w:r>
        <w:rPr>
          <w:rFonts w:ascii="Book Antiqua" w:eastAsia="Book Antiqua" w:hAnsi="Book Antiqua" w:cs="Book Antiqua"/>
        </w:rPr>
        <w:t xml:space="preserve">, Heh V, Labiner HE, Brock GN, Ejaz A, Dillhoff M, Tsung A, Pawlik TM, Cloyd JM. Surgical resection rates after neoadjuvant therapy for localized pancreatic ductal adenocarcinoma: meta-analysis. </w:t>
      </w:r>
      <w:r>
        <w:rPr>
          <w:rFonts w:ascii="Book Antiqua" w:eastAsia="Book Antiqua" w:hAnsi="Book Antiqua" w:cs="Book Antiqua"/>
          <w:i/>
          <w:iCs/>
        </w:rPr>
        <w:t>Br J Surg</w:t>
      </w:r>
      <w:r>
        <w:rPr>
          <w:rFonts w:ascii="Book Antiqua" w:eastAsia="Book Antiqua" w:hAnsi="Book Antiqua" w:cs="Book Antiqua"/>
        </w:rPr>
        <w:t xml:space="preserve"> 2022; </w:t>
      </w:r>
      <w:r>
        <w:rPr>
          <w:rFonts w:ascii="Book Antiqua" w:eastAsia="Book Antiqua" w:hAnsi="Book Antiqua" w:cs="Book Antiqua"/>
          <w:b/>
          <w:bCs/>
        </w:rPr>
        <w:t>110</w:t>
      </w:r>
      <w:r>
        <w:rPr>
          <w:rFonts w:ascii="Book Antiqua" w:eastAsia="Book Antiqua" w:hAnsi="Book Antiqua" w:cs="Book Antiqua"/>
        </w:rPr>
        <w:t>: 34-42 [PMID: 36346716 DOI: 10.1093/bjs/znac354]</w:t>
      </w:r>
    </w:p>
    <w:p w14:paraId="463F2452"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Hamad A</w:t>
      </w:r>
      <w:r>
        <w:rPr>
          <w:rFonts w:ascii="Book Antiqua" w:eastAsia="Book Antiqua" w:hAnsi="Book Antiqua" w:cs="Book Antiqua"/>
        </w:rPr>
        <w:t xml:space="preserve">, Crossnohere N, Ejaz A, Tsung A, Pawlik TM, Sarna A, Santry H, Wills C, Cloyd JM. Patient Preferences for Neoadjuvant Therapy in Pancreatic Ductal Adenocarcinoma. </w:t>
      </w:r>
      <w:r>
        <w:rPr>
          <w:rFonts w:ascii="Book Antiqua" w:eastAsia="Book Antiqua" w:hAnsi="Book Antiqua" w:cs="Book Antiqua"/>
          <w:i/>
          <w:iCs/>
        </w:rPr>
        <w:t>Pancreas</w:t>
      </w:r>
      <w:r>
        <w:rPr>
          <w:rFonts w:ascii="Book Antiqua" w:eastAsia="Book Antiqua" w:hAnsi="Book Antiqua" w:cs="Book Antiqua"/>
        </w:rPr>
        <w:t xml:space="preserve"> 2022; </w:t>
      </w:r>
      <w:r>
        <w:rPr>
          <w:rFonts w:ascii="Book Antiqua" w:eastAsia="Book Antiqua" w:hAnsi="Book Antiqua" w:cs="Book Antiqua"/>
          <w:b/>
          <w:bCs/>
        </w:rPr>
        <w:t>51</w:t>
      </w:r>
      <w:r>
        <w:rPr>
          <w:rFonts w:ascii="Book Antiqua" w:eastAsia="Book Antiqua" w:hAnsi="Book Antiqua" w:cs="Book Antiqua"/>
        </w:rPr>
        <w:t>: 657-662 [PMID: 36099500 DOI: 10.1097/MPA.0000000000002083]</w:t>
      </w:r>
    </w:p>
    <w:p w14:paraId="7F6145B6"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Balaban DV</w:t>
      </w:r>
      <w:r>
        <w:rPr>
          <w:rFonts w:ascii="Book Antiqua" w:eastAsia="Book Antiqua" w:hAnsi="Book Antiqua" w:cs="Book Antiqua"/>
        </w:rPr>
        <w:t xml:space="preserve">, Marin FS, Manucu G, Zoican A, Ciochina M, Mina V, Patoni C, Vladut C, Bucurica S, Costache RS, Ionita-Radu F, Jinga M. Clinical characteristics and outcomes in carbohydrate antigen 19-9 negative pancreatic cancer. </w:t>
      </w:r>
      <w:r>
        <w:rPr>
          <w:rFonts w:ascii="Book Antiqua" w:eastAsia="Book Antiqua" w:hAnsi="Book Antiqua" w:cs="Book Antiqua"/>
          <w:i/>
          <w:iCs/>
        </w:rPr>
        <w:t>World J Clin Oncol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630-640 [PMID: 36157158 DOI: 10.5306/wjco.v13.i7.630]</w:t>
      </w:r>
    </w:p>
    <w:p w14:paraId="51BC54D9" w14:textId="77777777" w:rsidR="00D81529" w:rsidRDefault="00000000">
      <w:pPr>
        <w:spacing w:line="360" w:lineRule="auto"/>
        <w:jc w:val="both"/>
        <w:rPr>
          <w:rFonts w:ascii="Book Antiqua" w:hAnsi="Book Antiqua"/>
        </w:rPr>
      </w:pPr>
      <w:r>
        <w:rPr>
          <w:rFonts w:ascii="Book Antiqua" w:eastAsia="Book Antiqua" w:hAnsi="Book Antiqua" w:cs="Book Antiqua"/>
        </w:rPr>
        <w:lastRenderedPageBreak/>
        <w:t xml:space="preserve">29 </w:t>
      </w:r>
      <w:r>
        <w:rPr>
          <w:rFonts w:ascii="Book Antiqua" w:eastAsia="Book Antiqua" w:hAnsi="Book Antiqua" w:cs="Book Antiqua"/>
          <w:b/>
          <w:bCs/>
        </w:rPr>
        <w:t>Moon D</w:t>
      </w:r>
      <w:r>
        <w:rPr>
          <w:rFonts w:ascii="Book Antiqua" w:eastAsia="Book Antiqua" w:hAnsi="Book Antiqua" w:cs="Book Antiqua"/>
        </w:rPr>
        <w:t xml:space="preserve">, Kim H, Han Y, Byun Y, Choi Y, Kang J, Kwon W, Jang JY. Preoperative carbohydrate antigen 19-9 and standard uptake value of positron emission tomography-computed tomography as prognostic markers in patients with pancreatic ductal adenocarcinoma. </w:t>
      </w:r>
      <w:r>
        <w:rPr>
          <w:rFonts w:ascii="Book Antiqua" w:eastAsia="Book Antiqua" w:hAnsi="Book Antiqua" w:cs="Book Antiqua"/>
          <w:i/>
          <w:iCs/>
        </w:rPr>
        <w:t>J Hepatobiliary Pancreat Sci</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1133-1141 [PMID: 33063453 DOI: 10.1002/jhbp.845]</w:t>
      </w:r>
    </w:p>
    <w:p w14:paraId="410FDABB"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Chiu YF</w:t>
      </w:r>
      <w:r>
        <w:rPr>
          <w:rFonts w:ascii="Book Antiqua" w:eastAsia="Book Antiqua" w:hAnsi="Book Antiqua" w:cs="Book Antiqua"/>
        </w:rPr>
        <w:t xml:space="preserve">, Liu TW, Shan YS, Chen JS, Li CP, Ho CL, Hsieh RK, Hwang TL, Chen LT, Ch'ang HJ; Taiwan Cooperative Oncology Group pancreatic cancer study group. Carbohydrate Antigen 19-9 Response to Initial Adjuvant Chemotherapy Predicts Survival and Failure Pattern of Resected Pancreatic Adenocarcinoma but Not Which Patients Are Suited for Additional Adjuvant Chemoradiation Therapy: From a Prospective Randomized Study. </w:t>
      </w:r>
      <w:r>
        <w:rPr>
          <w:rFonts w:ascii="Book Antiqua" w:eastAsia="Book Antiqua" w:hAnsi="Book Antiqua" w:cs="Book Antiqua"/>
          <w:i/>
          <w:iCs/>
        </w:rPr>
        <w:t>Int J Radiat Oncol Biol Phys</w:t>
      </w:r>
      <w:r>
        <w:rPr>
          <w:rFonts w:ascii="Book Antiqua" w:eastAsia="Book Antiqua" w:hAnsi="Book Antiqua" w:cs="Book Antiqua"/>
        </w:rPr>
        <w:t xml:space="preserve"> 2023; </w:t>
      </w:r>
      <w:r>
        <w:rPr>
          <w:rFonts w:ascii="Book Antiqua" w:eastAsia="Book Antiqua" w:hAnsi="Book Antiqua" w:cs="Book Antiqua"/>
          <w:b/>
          <w:bCs/>
        </w:rPr>
        <w:t>117</w:t>
      </w:r>
      <w:r>
        <w:rPr>
          <w:rFonts w:ascii="Book Antiqua" w:eastAsia="Book Antiqua" w:hAnsi="Book Antiqua" w:cs="Book Antiqua"/>
        </w:rPr>
        <w:t>: 74-86 [PMID: 37055279 DOI: 10.1016/j.ijrobp.2023.02.061]</w:t>
      </w:r>
    </w:p>
    <w:p w14:paraId="1846FFDE"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Bergquist JR</w:t>
      </w:r>
      <w:r>
        <w:rPr>
          <w:rFonts w:ascii="Book Antiqua" w:eastAsia="Book Antiqua" w:hAnsi="Book Antiqua" w:cs="Book Antiqua"/>
        </w:rPr>
        <w:t xml:space="preserve">, Puig CA, Shubert CR, Groeschl RT, Habermann EB, Kendrick ML, Nagorney DM, Smoot RL, Farnell MB, Truty MJ. Carbohydrate Antigen 19-9 Elevation in Anatomically Resectable, Early Stage Pancreatic Cancer Is Independently Associated with Decreased Overall Survival and an Indication for Neoadjuvant Therapy: A National Cancer Database Study. </w:t>
      </w:r>
      <w:r>
        <w:rPr>
          <w:rFonts w:ascii="Book Antiqua" w:eastAsia="Book Antiqua" w:hAnsi="Book Antiqua" w:cs="Book Antiqua"/>
          <w:i/>
          <w:iCs/>
        </w:rPr>
        <w:t>J Am Coll Surg</w:t>
      </w:r>
      <w:r>
        <w:rPr>
          <w:rFonts w:ascii="Book Antiqua" w:eastAsia="Book Antiqua" w:hAnsi="Book Antiqua" w:cs="Book Antiqua"/>
        </w:rPr>
        <w:t xml:space="preserve"> 2016; </w:t>
      </w:r>
      <w:r>
        <w:rPr>
          <w:rFonts w:ascii="Book Antiqua" w:eastAsia="Book Antiqua" w:hAnsi="Book Antiqua" w:cs="Book Antiqua"/>
          <w:b/>
          <w:bCs/>
        </w:rPr>
        <w:t>223</w:t>
      </w:r>
      <w:r>
        <w:rPr>
          <w:rFonts w:ascii="Book Antiqua" w:eastAsia="Book Antiqua" w:hAnsi="Book Antiqua" w:cs="Book Antiqua"/>
        </w:rPr>
        <w:t>: 52-65 [PMID: 27049786 DOI: 10.1016/j.jamcollsurg.2016.02.009]</w:t>
      </w:r>
    </w:p>
    <w:p w14:paraId="76D2A982"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van Manen L</w:t>
      </w:r>
      <w:r>
        <w:rPr>
          <w:rFonts w:ascii="Book Antiqua" w:eastAsia="Book Antiqua" w:hAnsi="Book Antiqua" w:cs="Book Antiqua"/>
        </w:rPr>
        <w:t xml:space="preserve">, Groen JV, Putter H, Pichler M, Vahrmeijer AL, Bonsing BA, Mieog JSD. Stage-Specific Value of Carbohydrate Antigen 19-9 and Carcinoembryonic Antigen Serum Levels on Survival and Recurrence in Pancreatic Cancer: A Single Center Study and Meta-Analysis. </w:t>
      </w:r>
      <w:r>
        <w:rPr>
          <w:rFonts w:ascii="Book Antiqua" w:eastAsia="Book Antiqua" w:hAnsi="Book Antiqua" w:cs="Book Antiqua"/>
          <w:i/>
          <w:iCs/>
        </w:rPr>
        <w:t>Cancers (Basel)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33066393 DOI: 10.3390/cancers12102970]</w:t>
      </w:r>
    </w:p>
    <w:p w14:paraId="0ABDD378"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Chung KH</w:t>
      </w:r>
      <w:r>
        <w:rPr>
          <w:rFonts w:ascii="Book Antiqua" w:eastAsia="Book Antiqua" w:hAnsi="Book Antiqua" w:cs="Book Antiqua"/>
        </w:rPr>
        <w:t xml:space="preserve">, Ryu JK, Lee BS, Jang DK, Lee SH, Kim YT. Early decrement of serum carbohydrate antigen 19-9 predicts favorable outcome in advanced pancreatic cancer. </w:t>
      </w:r>
      <w:r>
        <w:rPr>
          <w:rFonts w:ascii="Book Antiqua" w:eastAsia="Book Antiqua" w:hAnsi="Book Antiqua" w:cs="Book Antiqua"/>
          <w:i/>
          <w:iCs/>
        </w:rPr>
        <w:t>J Gastroenterol Hepatol</w:t>
      </w:r>
      <w:r>
        <w:rPr>
          <w:rFonts w:ascii="Book Antiqua" w:eastAsia="Book Antiqua" w:hAnsi="Book Antiqua" w:cs="Book Antiqua"/>
        </w:rPr>
        <w:t xml:space="preserve"> 2016; </w:t>
      </w:r>
      <w:r>
        <w:rPr>
          <w:rFonts w:ascii="Book Antiqua" w:eastAsia="Book Antiqua" w:hAnsi="Book Antiqua" w:cs="Book Antiqua"/>
          <w:b/>
          <w:bCs/>
        </w:rPr>
        <w:t>31</w:t>
      </w:r>
      <w:r>
        <w:rPr>
          <w:rFonts w:ascii="Book Antiqua" w:eastAsia="Book Antiqua" w:hAnsi="Book Antiqua" w:cs="Book Antiqua"/>
        </w:rPr>
        <w:t>: 506-512 [PMID: 26250642 DOI: 10.1111/jgh.13075]</w:t>
      </w:r>
    </w:p>
    <w:p w14:paraId="2F666402"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Gu X</w:t>
      </w:r>
      <w:r>
        <w:rPr>
          <w:rFonts w:ascii="Book Antiqua" w:eastAsia="Book Antiqua" w:hAnsi="Book Antiqua" w:cs="Book Antiqua"/>
        </w:rPr>
        <w:t xml:space="preserve">, Zhou R, Li C, Liu R, Zhao Z, Gao Y, Xu Y. Preoperative maximum standardized uptake value and carbohydrate antigen 19-9 were independent predictors of pathological stages and overall survival in Chinese patients with pancreatic duct adenocarcinoma.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456 [PMID: 31092213 DOI: 10.1186/s12885-019-5691-4]</w:t>
      </w:r>
    </w:p>
    <w:p w14:paraId="06176A29" w14:textId="77777777" w:rsidR="00D81529" w:rsidRDefault="00000000">
      <w:pPr>
        <w:spacing w:line="360" w:lineRule="auto"/>
        <w:jc w:val="both"/>
        <w:rPr>
          <w:rFonts w:ascii="Book Antiqua" w:hAnsi="Book Antiqua"/>
        </w:rPr>
      </w:pPr>
      <w:r>
        <w:rPr>
          <w:rFonts w:ascii="Book Antiqua" w:eastAsia="Book Antiqua" w:hAnsi="Book Antiqua" w:cs="Book Antiqua"/>
        </w:rPr>
        <w:lastRenderedPageBreak/>
        <w:t xml:space="preserve">35 </w:t>
      </w:r>
      <w:r>
        <w:rPr>
          <w:rFonts w:ascii="Book Antiqua" w:eastAsia="Book Antiqua" w:hAnsi="Book Antiqua" w:cs="Book Antiqua"/>
          <w:b/>
          <w:bCs/>
        </w:rPr>
        <w:t>Heger U</w:t>
      </w:r>
      <w:r>
        <w:rPr>
          <w:rFonts w:ascii="Book Antiqua" w:eastAsia="Book Antiqua" w:hAnsi="Book Antiqua" w:cs="Book Antiqua"/>
        </w:rPr>
        <w:t xml:space="preserve">, Sun H, Hinz U, Klaiber U, Tanaka M, Liu B, Sachsenmaier M, Springfeld C, Michalski CW, Büchler MW, Hackert T. Induction chemotherapy in pancreatic cancer: CA 19-9 may predict resectability and survival. </w:t>
      </w:r>
      <w:r>
        <w:rPr>
          <w:rFonts w:ascii="Book Antiqua" w:eastAsia="Book Antiqua" w:hAnsi="Book Antiqua" w:cs="Book Antiqua"/>
          <w:i/>
          <w:iCs/>
        </w:rPr>
        <w:t>HPB (Oxford)</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224-232 [PMID: 31375338 DOI: 10.1016/j.hpb.2019.06.012]</w:t>
      </w:r>
    </w:p>
    <w:p w14:paraId="4B505AAB"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Yao J</w:t>
      </w:r>
      <w:r>
        <w:rPr>
          <w:rFonts w:ascii="Book Antiqua" w:eastAsia="Book Antiqua" w:hAnsi="Book Antiqua" w:cs="Book Antiqua"/>
        </w:rPr>
        <w:t xml:space="preserve">, Cao K, Hou Y, Zhou J, Xia Y, Nogues I, Song Q, Jiang H, Ye X, Lu J, Jin G, Lu H, Xie C, Zhang R, Xiao J, Liu Z, Gao F, Qi Y, Li X, Zheng Y, Lu L, Shi Y, Zhang L. Deep Learning for Fully Automated Prediction of Overall Survival in Patients Undergoing Resection for Pancreatic Cancer: A Retrospective Multicenter Study. </w:t>
      </w:r>
      <w:r>
        <w:rPr>
          <w:rFonts w:ascii="Book Antiqua" w:eastAsia="Book Antiqua" w:hAnsi="Book Antiqua" w:cs="Book Antiqua"/>
          <w:i/>
          <w:iCs/>
        </w:rPr>
        <w:t>Ann Surg</w:t>
      </w:r>
      <w:r>
        <w:rPr>
          <w:rFonts w:ascii="Book Antiqua" w:eastAsia="Book Antiqua" w:hAnsi="Book Antiqua" w:cs="Book Antiqua"/>
        </w:rPr>
        <w:t xml:space="preserve"> 2023; </w:t>
      </w:r>
      <w:r>
        <w:rPr>
          <w:rFonts w:ascii="Book Antiqua" w:eastAsia="Book Antiqua" w:hAnsi="Book Antiqua" w:cs="Book Antiqua"/>
          <w:b/>
          <w:bCs/>
        </w:rPr>
        <w:t>278</w:t>
      </w:r>
      <w:r>
        <w:rPr>
          <w:rFonts w:ascii="Book Antiqua" w:eastAsia="Book Antiqua" w:hAnsi="Book Antiqua" w:cs="Book Antiqua"/>
        </w:rPr>
        <w:t>: e68-e79 [PMID: 35781511 DOI: 10.1097/SLA.0000000000005465]</w:t>
      </w:r>
    </w:p>
    <w:p w14:paraId="64B33FAA"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Groot VP</w:t>
      </w:r>
      <w:r>
        <w:rPr>
          <w:rFonts w:ascii="Book Antiqua" w:eastAsia="Book Antiqua" w:hAnsi="Book Antiqua" w:cs="Book Antiqua"/>
        </w:rPr>
        <w:t xml:space="preserve">, Rezaee N, Wu W, Cameron JL, Fishman EK, Hruban RH, Weiss MJ, Zheng L, Wolfgang CL, He J. Patterns, Timing, and Predictors of Recurrence Following Pancreatectomy for Pancreatic Ductal Adenocarcinoma. </w:t>
      </w:r>
      <w:r>
        <w:rPr>
          <w:rFonts w:ascii="Book Antiqua" w:eastAsia="Book Antiqua" w:hAnsi="Book Antiqua" w:cs="Book Antiqua"/>
          <w:i/>
          <w:iCs/>
        </w:rPr>
        <w:t>Ann Surg</w:t>
      </w:r>
      <w:r>
        <w:rPr>
          <w:rFonts w:ascii="Book Antiqua" w:eastAsia="Book Antiqua" w:hAnsi="Book Antiqua" w:cs="Book Antiqua"/>
        </w:rPr>
        <w:t xml:space="preserve"> 2018; </w:t>
      </w:r>
      <w:r>
        <w:rPr>
          <w:rFonts w:ascii="Book Antiqua" w:eastAsia="Book Antiqua" w:hAnsi="Book Antiqua" w:cs="Book Antiqua"/>
          <w:b/>
          <w:bCs/>
        </w:rPr>
        <w:t>267</w:t>
      </w:r>
      <w:r>
        <w:rPr>
          <w:rFonts w:ascii="Book Antiqua" w:eastAsia="Book Antiqua" w:hAnsi="Book Antiqua" w:cs="Book Antiqua"/>
        </w:rPr>
        <w:t>: 936-945 [PMID: 28338509 DOI: 10.1097/SLA.0000000000002234]</w:t>
      </w:r>
    </w:p>
    <w:p w14:paraId="4B9E4C07"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Abdelrahman AM</w:t>
      </w:r>
      <w:r>
        <w:rPr>
          <w:rFonts w:ascii="Book Antiqua" w:eastAsia="Book Antiqua" w:hAnsi="Book Antiqua" w:cs="Book Antiqua"/>
        </w:rPr>
        <w:t xml:space="preserve">, Goenka AH, Alva-Ruiz R, Yonkus JA, Leiting JL, Graham RP, Merrell KW, Thiels CA, Hallemeier CL, Warner SG, Haddock MG, Grotz TE, Tran NH, Smoot RL, Ma WW, Cleary SP, McWilliams RR, Nagorney DM, Halfdanarson TR, Kendrick ML, Truty MJ. FDG-PET Predicts Neoadjuvant Therapy Response and Survival in Borderline Resectable/Locally Advanced Pancreatic Adenocarcinoma. </w:t>
      </w:r>
      <w:r>
        <w:rPr>
          <w:rFonts w:ascii="Book Antiqua" w:eastAsia="Book Antiqua" w:hAnsi="Book Antiqua" w:cs="Book Antiqua"/>
          <w:i/>
          <w:iCs/>
        </w:rPr>
        <w:t>J Natl Compr Canc Netw</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1023-1032.e3 [PMID: 36075389 DOI: 10.6004/jnccn.2022.7041]</w:t>
      </w:r>
    </w:p>
    <w:p w14:paraId="12D77845" w14:textId="77777777" w:rsidR="00D81529" w:rsidRDefault="00000000">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Soloff EV</w:t>
      </w:r>
      <w:r>
        <w:rPr>
          <w:rFonts w:ascii="Book Antiqua" w:eastAsia="Book Antiqua" w:hAnsi="Book Antiqua" w:cs="Book Antiqua"/>
        </w:rPr>
        <w:t xml:space="preserve">, Al-Hawary MM, Desser TS, Fishman EK, Minter RM, Zins M. Imaging Assessment of Pancreatic Cancer Resectability After Neoadjuvant Therapy: AJR Expert Panel Narrative Review. </w:t>
      </w:r>
      <w:r>
        <w:rPr>
          <w:rFonts w:ascii="Book Antiqua" w:eastAsia="Book Antiqua" w:hAnsi="Book Antiqua" w:cs="Book Antiqua"/>
          <w:i/>
          <w:iCs/>
        </w:rPr>
        <w:t>AJR Am J Roentgenol</w:t>
      </w:r>
      <w:r>
        <w:rPr>
          <w:rFonts w:ascii="Book Antiqua" w:eastAsia="Book Antiqua" w:hAnsi="Book Antiqua" w:cs="Book Antiqua"/>
        </w:rPr>
        <w:t xml:space="preserve"> 2022; </w:t>
      </w:r>
      <w:r>
        <w:rPr>
          <w:rFonts w:ascii="Book Antiqua" w:eastAsia="Book Antiqua" w:hAnsi="Book Antiqua" w:cs="Book Antiqua"/>
          <w:b/>
          <w:bCs/>
        </w:rPr>
        <w:t>218</w:t>
      </w:r>
      <w:r>
        <w:rPr>
          <w:rFonts w:ascii="Book Antiqua" w:eastAsia="Book Antiqua" w:hAnsi="Book Antiqua" w:cs="Book Antiqua"/>
        </w:rPr>
        <w:t>: 570-581 [PMID: 34851713 DOI: 10.2214/AJR.21.26931]</w:t>
      </w:r>
    </w:p>
    <w:bookmarkEnd w:id="566"/>
    <w:bookmarkEnd w:id="567"/>
    <w:p w14:paraId="6F2DACBB" w14:textId="77777777" w:rsidR="00D81529" w:rsidRDefault="00D81529">
      <w:pPr>
        <w:adjustRightInd w:val="0"/>
        <w:snapToGrid w:val="0"/>
        <w:spacing w:line="360" w:lineRule="auto"/>
        <w:jc w:val="both"/>
        <w:rPr>
          <w:rFonts w:ascii="Book Antiqua" w:hAnsi="Book Antiqua"/>
        </w:rPr>
        <w:sectPr w:rsidR="00D81529" w:rsidSect="00935A61">
          <w:pgSz w:w="12240" w:h="15840"/>
          <w:pgMar w:top="1440" w:right="1440" w:bottom="1440" w:left="1440" w:header="720" w:footer="720" w:gutter="0"/>
          <w:cols w:space="720"/>
          <w:docGrid w:linePitch="360"/>
        </w:sectPr>
      </w:pPr>
    </w:p>
    <w:p w14:paraId="46486E94"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rPr>
        <w:lastRenderedPageBreak/>
        <w:t>Footnotes</w:t>
      </w:r>
    </w:p>
    <w:p w14:paraId="63C70C24"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approved by the Ethics Committee of the Institutional Review Board of the Chongqing University Cancer Hospital. Written informed consent was waived owing to the retrospective and deidentified nature of the study.</w:t>
      </w:r>
    </w:p>
    <w:p w14:paraId="66299BE4" w14:textId="77777777" w:rsidR="00D81529" w:rsidRDefault="00D81529">
      <w:pPr>
        <w:adjustRightInd w:val="0"/>
        <w:snapToGrid w:val="0"/>
        <w:spacing w:line="360" w:lineRule="auto"/>
        <w:jc w:val="both"/>
        <w:rPr>
          <w:rFonts w:ascii="Book Antiqua" w:hAnsi="Book Antiqua"/>
        </w:rPr>
      </w:pPr>
    </w:p>
    <w:p w14:paraId="654E595C"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The written informed consent was waived owing to the retrospective and deidentified nature of this study.</w:t>
      </w:r>
    </w:p>
    <w:p w14:paraId="09C70EF8" w14:textId="77777777" w:rsidR="00D81529" w:rsidRDefault="00D81529">
      <w:pPr>
        <w:adjustRightInd w:val="0"/>
        <w:snapToGrid w:val="0"/>
        <w:spacing w:line="360" w:lineRule="auto"/>
        <w:jc w:val="both"/>
        <w:rPr>
          <w:rFonts w:ascii="Book Antiqua" w:hAnsi="Book Antiqua"/>
        </w:rPr>
      </w:pPr>
    </w:p>
    <w:p w14:paraId="3495ECD4"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who have taken part in this study have nothing to disclose.</w:t>
      </w:r>
    </w:p>
    <w:p w14:paraId="76AB4559" w14:textId="77777777" w:rsidR="00D81529" w:rsidRDefault="00D81529">
      <w:pPr>
        <w:adjustRightInd w:val="0"/>
        <w:snapToGrid w:val="0"/>
        <w:spacing w:line="360" w:lineRule="auto"/>
        <w:jc w:val="both"/>
        <w:rPr>
          <w:rFonts w:ascii="Book Antiqua" w:hAnsi="Book Antiqua"/>
        </w:rPr>
      </w:pPr>
    </w:p>
    <w:p w14:paraId="23905A59"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73E6DB46" w14:textId="77777777" w:rsidR="00D81529" w:rsidRDefault="00D81529">
      <w:pPr>
        <w:adjustRightInd w:val="0"/>
        <w:snapToGrid w:val="0"/>
        <w:spacing w:line="360" w:lineRule="auto"/>
        <w:jc w:val="both"/>
        <w:rPr>
          <w:rFonts w:ascii="Book Antiqua" w:hAnsi="Book Antiqua"/>
        </w:rPr>
      </w:pPr>
    </w:p>
    <w:p w14:paraId="7A770F8D"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9C8F7B" w14:textId="77777777" w:rsidR="00D81529" w:rsidRDefault="00D81529">
      <w:pPr>
        <w:adjustRightInd w:val="0"/>
        <w:snapToGrid w:val="0"/>
        <w:spacing w:line="360" w:lineRule="auto"/>
        <w:jc w:val="both"/>
        <w:rPr>
          <w:rFonts w:ascii="Book Antiqua" w:hAnsi="Book Antiqua"/>
        </w:rPr>
      </w:pPr>
    </w:p>
    <w:p w14:paraId="453933E1"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3E88228B" w14:textId="77777777" w:rsidR="00D81529" w:rsidRDefault="00D81529">
      <w:pPr>
        <w:adjustRightInd w:val="0"/>
        <w:snapToGrid w:val="0"/>
        <w:spacing w:line="360" w:lineRule="auto"/>
        <w:jc w:val="both"/>
        <w:rPr>
          <w:rFonts w:ascii="Book Antiqua" w:hAnsi="Book Antiqua"/>
        </w:rPr>
      </w:pPr>
    </w:p>
    <w:p w14:paraId="07A2063E"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6DD62088" w14:textId="77777777" w:rsidR="00D81529" w:rsidRDefault="00D81529">
      <w:pPr>
        <w:adjustRightInd w:val="0"/>
        <w:snapToGrid w:val="0"/>
        <w:spacing w:line="360" w:lineRule="auto"/>
        <w:jc w:val="both"/>
        <w:rPr>
          <w:rFonts w:ascii="Book Antiqua" w:hAnsi="Book Antiqua"/>
        </w:rPr>
      </w:pPr>
    </w:p>
    <w:p w14:paraId="4AAB0175"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September 19, 2023</w:t>
      </w:r>
    </w:p>
    <w:p w14:paraId="1D63CFAE"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December 5, 2023</w:t>
      </w:r>
    </w:p>
    <w:p w14:paraId="19230873"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Article in press: </w:t>
      </w:r>
      <w:r>
        <w:rPr>
          <w:rFonts w:ascii="Book Antiqua" w:hAnsi="Book Antiqua"/>
        </w:rPr>
        <w:t>January 27, 2024</w:t>
      </w:r>
    </w:p>
    <w:p w14:paraId="7007ED21" w14:textId="77777777" w:rsidR="00D81529" w:rsidRDefault="00D81529">
      <w:pPr>
        <w:adjustRightInd w:val="0"/>
        <w:snapToGrid w:val="0"/>
        <w:spacing w:line="360" w:lineRule="auto"/>
        <w:jc w:val="both"/>
        <w:rPr>
          <w:rFonts w:ascii="Book Antiqua" w:hAnsi="Book Antiqua"/>
        </w:rPr>
      </w:pPr>
    </w:p>
    <w:p w14:paraId="7B210485"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Oncology</w:t>
      </w:r>
    </w:p>
    <w:p w14:paraId="3CB753FC"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rPr>
        <w:lastRenderedPageBreak/>
        <w:t xml:space="preserve">Country/Territory of origin: </w:t>
      </w:r>
      <w:r>
        <w:rPr>
          <w:rFonts w:ascii="Book Antiqua" w:eastAsia="Book Antiqua" w:hAnsi="Book Antiqua" w:cs="Book Antiqua"/>
        </w:rPr>
        <w:t>China</w:t>
      </w:r>
    </w:p>
    <w:p w14:paraId="601DB327"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6E6EB961"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Grade A (Excellent): 0</w:t>
      </w:r>
    </w:p>
    <w:p w14:paraId="28CAB2C1"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Grade B (Very good): B</w:t>
      </w:r>
    </w:p>
    <w:p w14:paraId="03385AFA"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Grade C (Good): C</w:t>
      </w:r>
    </w:p>
    <w:p w14:paraId="2406D987"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Grade D (Fair): D</w:t>
      </w:r>
    </w:p>
    <w:p w14:paraId="35D3C612"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rPr>
        <w:t>Grade E (Poor): 0</w:t>
      </w:r>
    </w:p>
    <w:p w14:paraId="18626999" w14:textId="77777777" w:rsidR="00D81529" w:rsidRDefault="00D81529">
      <w:pPr>
        <w:adjustRightInd w:val="0"/>
        <w:snapToGrid w:val="0"/>
        <w:spacing w:line="360" w:lineRule="auto"/>
        <w:jc w:val="both"/>
        <w:rPr>
          <w:rFonts w:ascii="Book Antiqua" w:hAnsi="Book Antiqua"/>
        </w:rPr>
      </w:pPr>
    </w:p>
    <w:p w14:paraId="1279C9E2" w14:textId="77777777" w:rsidR="00D81529" w:rsidRDefault="00000000">
      <w:pPr>
        <w:adjustRightInd w:val="0"/>
        <w:snapToGrid w:val="0"/>
        <w:spacing w:line="360" w:lineRule="auto"/>
        <w:jc w:val="both"/>
        <w:rPr>
          <w:rFonts w:ascii="Book Antiqua" w:hAnsi="Book Antiqua"/>
        </w:rPr>
        <w:sectPr w:rsidR="00D81529" w:rsidSect="00935A61">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Christodoulidis G, Greece; Kobayashi S, Japan</w:t>
      </w:r>
      <w:r>
        <w:rPr>
          <w:rFonts w:ascii="Book Antiqua" w:eastAsia="Book Antiqua" w:hAnsi="Book Antiqua" w:cs="Book Antiqua"/>
          <w:b/>
        </w:rPr>
        <w:t xml:space="preserve"> S-Editor: </w:t>
      </w:r>
      <w:r>
        <w:rPr>
          <w:rFonts w:ascii="Book Antiqua" w:eastAsia="Book Antiqua" w:hAnsi="Book Antiqua" w:cs="Book Antiqua"/>
          <w:bCs/>
        </w:rPr>
        <w:t>Lin C</w:t>
      </w:r>
      <w:r>
        <w:rPr>
          <w:rFonts w:ascii="Book Antiqua" w:eastAsia="Book Antiqua" w:hAnsi="Book Antiqua" w:cs="Book Antiqua"/>
          <w:b/>
        </w:rPr>
        <w:t xml:space="preserve"> L-Editor: </w:t>
      </w:r>
      <w:r>
        <w:rPr>
          <w:rFonts w:ascii="Book Antiqua" w:eastAsia="Book Antiqua" w:hAnsi="Book Antiqua" w:cs="Book Antiqua"/>
          <w:bCs/>
        </w:rPr>
        <w:t>Filipodia</w:t>
      </w:r>
      <w:r>
        <w:rPr>
          <w:rFonts w:ascii="Book Antiqua" w:eastAsia="Book Antiqua" w:hAnsi="Book Antiqua" w:cs="Book Antiqua"/>
          <w:b/>
        </w:rPr>
        <w:t xml:space="preserve"> P-Editor: </w:t>
      </w:r>
      <w:r>
        <w:rPr>
          <w:rFonts w:ascii="Book Antiqua" w:eastAsia="宋体" w:hAnsi="Book Antiqua" w:cs="Book Antiqua" w:hint="eastAsia"/>
          <w:bCs/>
          <w:color w:val="000000"/>
          <w:lang w:eastAsia="zh-CN"/>
        </w:rPr>
        <w:t>Zheng XM</w:t>
      </w:r>
    </w:p>
    <w:p w14:paraId="65429886" w14:textId="77777777" w:rsidR="00D81529"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46E23A13" w14:textId="77777777" w:rsidR="00D81529" w:rsidRDefault="00000000">
      <w:pPr>
        <w:adjustRightInd w:val="0"/>
        <w:snapToGrid w:val="0"/>
        <w:spacing w:line="360" w:lineRule="auto"/>
        <w:jc w:val="both"/>
        <w:rPr>
          <w:rFonts w:ascii="Book Antiqua" w:hAnsi="Book Antiqua"/>
        </w:rPr>
      </w:pPr>
      <w:r>
        <w:rPr>
          <w:rFonts w:ascii="Book Antiqua" w:hAnsi="Book Antiqua"/>
          <w:noProof/>
        </w:rPr>
        <w:drawing>
          <wp:inline distT="0" distB="0" distL="0" distR="0" wp14:anchorId="6595C964" wp14:editId="3E5BEEF3">
            <wp:extent cx="8013065" cy="3164205"/>
            <wp:effectExtent l="0" t="0" r="0" b="0"/>
            <wp:docPr id="14620555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05554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53837" cy="3180652"/>
                    </a:xfrm>
                    <a:prstGeom prst="rect">
                      <a:avLst/>
                    </a:prstGeom>
                    <a:noFill/>
                  </pic:spPr>
                </pic:pic>
              </a:graphicData>
            </a:graphic>
          </wp:inline>
        </w:drawing>
      </w:r>
    </w:p>
    <w:p w14:paraId="6FDACC3B"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1 Kaplan-Meier curves for patients according to carbohydrate antigen 19-9.</w:t>
      </w:r>
      <w:r>
        <w:rPr>
          <w:rFonts w:ascii="Book Antiqua" w:eastAsia="Book Antiqua" w:hAnsi="Book Antiqua" w:cs="Book Antiqua"/>
        </w:rPr>
        <w:t xml:space="preserve"> A and B: Kaplan-Meier curves for overall survival (A) and disease-free survival (B) are presented for post-neoadjuvant therapy (NAT) serum carbohydrate antigen 19-9 (CA19-9) level/pre-NAT serum CA19-9 level, which was defined as the carbohydrate antigen 19-9 ratio (CR).</w:t>
      </w:r>
    </w:p>
    <w:p w14:paraId="37D9F1C3" w14:textId="77777777" w:rsidR="00D81529" w:rsidRDefault="00D81529">
      <w:pPr>
        <w:adjustRightInd w:val="0"/>
        <w:snapToGrid w:val="0"/>
        <w:spacing w:line="360" w:lineRule="auto"/>
        <w:jc w:val="both"/>
        <w:rPr>
          <w:rFonts w:ascii="Book Antiqua" w:hAnsi="Book Antiqua"/>
        </w:rPr>
      </w:pPr>
    </w:p>
    <w:p w14:paraId="3F1CA91F" w14:textId="77777777" w:rsidR="00D81529" w:rsidRDefault="00000000">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67EAB026" wp14:editId="317493C6">
            <wp:extent cx="8053705" cy="3037205"/>
            <wp:effectExtent l="0" t="0" r="0" b="0"/>
            <wp:docPr id="168924815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248156"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078310" cy="3046442"/>
                    </a:xfrm>
                    <a:prstGeom prst="rect">
                      <a:avLst/>
                    </a:prstGeom>
                    <a:noFill/>
                  </pic:spPr>
                </pic:pic>
              </a:graphicData>
            </a:graphic>
          </wp:inline>
        </w:drawing>
      </w:r>
    </w:p>
    <w:p w14:paraId="4990D796"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Figure 2 Kaplan-Meier curves for patients according to tumor size.</w:t>
      </w:r>
      <w:r>
        <w:rPr>
          <w:rStyle w:val="ac"/>
          <w:rFonts w:ascii="Book Antiqua" w:hAnsi="Book Antiqua"/>
          <w:sz w:val="24"/>
          <w:szCs w:val="24"/>
        </w:rPr>
        <w:t xml:space="preserve"> </w:t>
      </w:r>
      <w:r>
        <w:rPr>
          <w:rFonts w:ascii="Book Antiqua" w:eastAsia="Book Antiqua" w:hAnsi="Book Antiqua" w:cs="Book Antiqua"/>
        </w:rPr>
        <w:t>A and B: Kaplan-Meier curves for overall survival (A) and disease-free survival (B) are presented for post-neoadjuvant therapy (NAT) tumor size/pre-NAT tumor size, which was defined as tumor size ratio (TR).</w:t>
      </w:r>
    </w:p>
    <w:p w14:paraId="54AB80B7" w14:textId="77777777" w:rsidR="00D81529" w:rsidRDefault="00D81529">
      <w:pPr>
        <w:adjustRightInd w:val="0"/>
        <w:snapToGrid w:val="0"/>
        <w:spacing w:line="360" w:lineRule="auto"/>
        <w:jc w:val="both"/>
        <w:rPr>
          <w:rFonts w:ascii="Book Antiqua" w:hAnsi="Book Antiqua"/>
        </w:rPr>
      </w:pPr>
    </w:p>
    <w:p w14:paraId="5275C38C" w14:textId="77777777" w:rsidR="00D81529" w:rsidRDefault="00D81529">
      <w:pPr>
        <w:adjustRightInd w:val="0"/>
        <w:snapToGrid w:val="0"/>
        <w:spacing w:line="360" w:lineRule="auto"/>
        <w:jc w:val="both"/>
        <w:rPr>
          <w:rFonts w:ascii="Book Antiqua" w:hAnsi="Book Antiqua"/>
        </w:rPr>
        <w:sectPr w:rsidR="00D81529" w:rsidSect="00935A61">
          <w:pgSz w:w="15840" w:h="12240" w:orient="landscape"/>
          <w:pgMar w:top="1440" w:right="1440" w:bottom="1440" w:left="1440" w:header="720" w:footer="720" w:gutter="0"/>
          <w:cols w:space="720"/>
          <w:docGrid w:linePitch="360"/>
        </w:sectPr>
      </w:pPr>
    </w:p>
    <w:p w14:paraId="0ADBAE40" w14:textId="77777777" w:rsidR="00D81529" w:rsidRDefault="00000000">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6055D0F8" wp14:editId="573EA338">
            <wp:extent cx="5871845" cy="4619625"/>
            <wp:effectExtent l="0" t="0" r="0" b="0"/>
            <wp:docPr id="115156504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565048"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882535" cy="4627792"/>
                    </a:xfrm>
                    <a:prstGeom prst="rect">
                      <a:avLst/>
                    </a:prstGeom>
                    <a:noFill/>
                  </pic:spPr>
                </pic:pic>
              </a:graphicData>
            </a:graphic>
          </wp:inline>
        </w:drawing>
      </w:r>
    </w:p>
    <w:p w14:paraId="28B87F4E"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3 Treatment efficacy of all patients based on the groups divided by carbohydrate antigen 19-9 ratio and tumor size ratio.</w:t>
      </w:r>
      <w:r>
        <w:rPr>
          <w:rFonts w:ascii="Book Antiqua" w:eastAsia="Book Antiqua" w:hAnsi="Book Antiqua" w:cs="Book Antiqua"/>
        </w:rPr>
        <w:t xml:space="preserve"> A: Treatment efficacy based on the groups divided by carbohydrate antigen 19-9 ratio (CR); B: Treatment efficacy based on the groups divided by tumor size ratio (TR); C: Multivariable analysis showed that CR and TR of neoadjuvant therapy were associated with increased odds of achieving a complete or near-complete pathologic response. AJCC: American Joint Committee on Cancer; BMI: Body mass index; PD: Progressive disease; SD: Stable disease.</w:t>
      </w:r>
    </w:p>
    <w:p w14:paraId="48F893B3" w14:textId="77777777" w:rsidR="00D81529" w:rsidRDefault="00000000">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19086F1E" wp14:editId="739B8838">
            <wp:extent cx="5257800" cy="5339080"/>
            <wp:effectExtent l="0" t="0" r="0" b="0"/>
            <wp:docPr id="12679310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93107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59191" cy="5341020"/>
                    </a:xfrm>
                    <a:prstGeom prst="rect">
                      <a:avLst/>
                    </a:prstGeom>
                    <a:noFill/>
                  </pic:spPr>
                </pic:pic>
              </a:graphicData>
            </a:graphic>
          </wp:inline>
        </w:drawing>
      </w:r>
    </w:p>
    <w:p w14:paraId="034714FF" w14:textId="77777777" w:rsidR="00D815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Figure 4 P</w:t>
      </w:r>
      <w:r>
        <w:rPr>
          <w:rFonts w:ascii="Book Antiqua" w:eastAsia="Book Antiqua" w:hAnsi="Book Antiqua" w:cs="Book Antiqua"/>
          <w:b/>
          <w:bCs/>
          <w:lang w:eastAsia="zh-CN"/>
        </w:rPr>
        <w:t>rognostic values for both carbohydrate antigen 19-9 ratio and tumor size ratio</w:t>
      </w:r>
      <w:r>
        <w:rPr>
          <w:rFonts w:ascii="Book Antiqua" w:eastAsia="Book Antiqua" w:hAnsi="Book Antiqua" w:cs="Book Antiqua"/>
          <w:b/>
          <w:bCs/>
        </w:rPr>
        <w:t xml:space="preserve">. </w:t>
      </w:r>
      <w:r>
        <w:rPr>
          <w:rFonts w:ascii="Book Antiqua" w:eastAsia="Book Antiqua" w:hAnsi="Book Antiqua" w:cs="Book Antiqua"/>
        </w:rPr>
        <w:t>A-D: Interaction between carbohydrate antigen 19-9 ratio (CR) and tumor size ratio (TR; A) and area under the receiver operating characteristic curves performed to compare the predictive overall survival values of the variable of CR (B), TR (C) and the combined predictive value of CR and TR (D).</w:t>
      </w:r>
    </w:p>
    <w:p w14:paraId="58FD1B61" w14:textId="77777777" w:rsidR="00D81529" w:rsidRDefault="00D81529">
      <w:pPr>
        <w:adjustRightInd w:val="0"/>
        <w:snapToGrid w:val="0"/>
        <w:spacing w:line="360" w:lineRule="auto"/>
        <w:jc w:val="both"/>
        <w:rPr>
          <w:rFonts w:ascii="Book Antiqua" w:hAnsi="Book Antiqua"/>
        </w:rPr>
      </w:pPr>
    </w:p>
    <w:p w14:paraId="0110408C" w14:textId="77777777" w:rsidR="00D81529" w:rsidRDefault="00D81529">
      <w:pPr>
        <w:adjustRightInd w:val="0"/>
        <w:snapToGrid w:val="0"/>
        <w:spacing w:line="360" w:lineRule="auto"/>
        <w:jc w:val="both"/>
        <w:rPr>
          <w:rFonts w:ascii="Book Antiqua" w:eastAsia="宋体" w:hAnsi="Book Antiqua" w:cstheme="minorHAnsi"/>
          <w:b/>
        </w:rPr>
        <w:sectPr w:rsidR="00D81529" w:rsidSect="00935A61">
          <w:pgSz w:w="12240" w:h="15840"/>
          <w:pgMar w:top="1440" w:right="1440" w:bottom="1440" w:left="1440" w:header="720" w:footer="720" w:gutter="0"/>
          <w:cols w:space="720"/>
          <w:docGrid w:linePitch="360"/>
        </w:sectPr>
      </w:pPr>
    </w:p>
    <w:p w14:paraId="6788D8FA" w14:textId="77777777" w:rsidR="00D81529" w:rsidRDefault="00000000">
      <w:pPr>
        <w:adjustRightInd w:val="0"/>
        <w:snapToGrid w:val="0"/>
        <w:spacing w:line="360" w:lineRule="auto"/>
        <w:jc w:val="both"/>
        <w:rPr>
          <w:rFonts w:ascii="Book Antiqua" w:eastAsia="宋体" w:hAnsi="Book Antiqua" w:cstheme="minorHAnsi"/>
          <w:b/>
        </w:rPr>
      </w:pPr>
      <w:r>
        <w:rPr>
          <w:rFonts w:ascii="Book Antiqua" w:eastAsia="宋体" w:hAnsi="Book Antiqua" w:cstheme="minorHAnsi"/>
          <w:b/>
        </w:rPr>
        <w:lastRenderedPageBreak/>
        <w:t xml:space="preserve">Table 1 Characteristics of all pancreatic ductal adenocarcinoma patients </w:t>
      </w:r>
    </w:p>
    <w:tbl>
      <w:tblPr>
        <w:tblW w:w="5000" w:type="pct"/>
        <w:tblLook w:val="04A0" w:firstRow="1" w:lastRow="0" w:firstColumn="1" w:lastColumn="0" w:noHBand="0" w:noVBand="1"/>
      </w:tblPr>
      <w:tblGrid>
        <w:gridCol w:w="3066"/>
        <w:gridCol w:w="3860"/>
        <w:gridCol w:w="2434"/>
      </w:tblGrid>
      <w:tr w:rsidR="00D81529" w14:paraId="4BC90204" w14:textId="77777777">
        <w:trPr>
          <w:trHeight w:val="300"/>
        </w:trPr>
        <w:tc>
          <w:tcPr>
            <w:tcW w:w="1638" w:type="pct"/>
            <w:tcBorders>
              <w:top w:val="single" w:sz="8" w:space="0" w:color="auto"/>
              <w:left w:val="nil"/>
              <w:bottom w:val="single" w:sz="8" w:space="0" w:color="auto"/>
              <w:right w:val="nil"/>
            </w:tcBorders>
            <w:shd w:val="clear" w:color="000000" w:fill="FFFFFF"/>
            <w:vAlign w:val="center"/>
          </w:tcPr>
          <w:p w14:paraId="07F8EFC7" w14:textId="77777777" w:rsidR="00D81529" w:rsidRDefault="00000000">
            <w:pPr>
              <w:adjustRightInd w:val="0"/>
              <w:snapToGrid w:val="0"/>
              <w:spacing w:line="360" w:lineRule="auto"/>
              <w:jc w:val="both"/>
              <w:rPr>
                <w:rFonts w:ascii="Book Antiqua" w:eastAsia="宋体" w:hAnsi="Book Antiqua" w:cs="宋体"/>
                <w:b/>
                <w:bCs/>
              </w:rPr>
            </w:pPr>
            <w:r>
              <w:rPr>
                <w:rFonts w:ascii="Book Antiqua" w:eastAsia="宋体" w:hAnsi="Book Antiqua" w:cs="宋体"/>
                <w:b/>
                <w:bCs/>
              </w:rPr>
              <w:t>Variables</w:t>
            </w:r>
          </w:p>
        </w:tc>
        <w:tc>
          <w:tcPr>
            <w:tcW w:w="2062" w:type="pct"/>
            <w:tcBorders>
              <w:top w:val="single" w:sz="8" w:space="0" w:color="auto"/>
              <w:left w:val="nil"/>
              <w:bottom w:val="single" w:sz="8" w:space="0" w:color="auto"/>
              <w:right w:val="nil"/>
            </w:tcBorders>
            <w:shd w:val="clear" w:color="000000" w:fill="FFFFFF"/>
            <w:vAlign w:val="center"/>
          </w:tcPr>
          <w:p w14:paraId="74135505" w14:textId="77777777" w:rsidR="00D81529" w:rsidRDefault="00000000">
            <w:pPr>
              <w:adjustRightInd w:val="0"/>
              <w:snapToGrid w:val="0"/>
              <w:spacing w:line="360" w:lineRule="auto"/>
              <w:jc w:val="both"/>
              <w:rPr>
                <w:rFonts w:ascii="Book Antiqua" w:eastAsia="宋体" w:hAnsi="Book Antiqua" w:cs="宋体"/>
                <w:b/>
                <w:bCs/>
              </w:rPr>
            </w:pPr>
            <w:r>
              <w:rPr>
                <w:rFonts w:ascii="Book Antiqua" w:eastAsia="宋体" w:hAnsi="Book Antiqua" w:cs="宋体"/>
                <w:b/>
                <w:bCs/>
              </w:rPr>
              <w:t xml:space="preserve">Total patients, </w:t>
            </w:r>
            <w:r>
              <w:rPr>
                <w:rFonts w:ascii="Book Antiqua" w:eastAsia="宋体" w:hAnsi="Book Antiqua" w:cs="宋体"/>
                <w:b/>
                <w:bCs/>
                <w:i/>
                <w:iCs/>
              </w:rPr>
              <w:t>n</w:t>
            </w:r>
            <w:r>
              <w:rPr>
                <w:rFonts w:ascii="Book Antiqua" w:eastAsia="宋体" w:hAnsi="Book Antiqua" w:cs="宋体"/>
                <w:b/>
                <w:bCs/>
              </w:rPr>
              <w:t xml:space="preserve"> = 156</w:t>
            </w:r>
          </w:p>
        </w:tc>
        <w:tc>
          <w:tcPr>
            <w:tcW w:w="1301" w:type="pct"/>
            <w:tcBorders>
              <w:top w:val="single" w:sz="8" w:space="0" w:color="auto"/>
              <w:left w:val="nil"/>
              <w:bottom w:val="single" w:sz="8" w:space="0" w:color="auto"/>
              <w:right w:val="nil"/>
            </w:tcBorders>
            <w:shd w:val="clear" w:color="000000" w:fill="FFFFFF"/>
            <w:vAlign w:val="center"/>
          </w:tcPr>
          <w:p w14:paraId="24B195B5" w14:textId="77777777" w:rsidR="00D81529" w:rsidRDefault="00000000">
            <w:pPr>
              <w:adjustRightInd w:val="0"/>
              <w:snapToGrid w:val="0"/>
              <w:spacing w:line="360" w:lineRule="auto"/>
              <w:jc w:val="both"/>
              <w:rPr>
                <w:rFonts w:ascii="Book Antiqua" w:eastAsia="宋体" w:hAnsi="Book Antiqua" w:cs="宋体"/>
                <w:b/>
                <w:bCs/>
              </w:rPr>
            </w:pPr>
            <w:r>
              <w:rPr>
                <w:rFonts w:ascii="Book Antiqua" w:eastAsia="宋体" w:hAnsi="Book Antiqua" w:cs="宋体"/>
                <w:b/>
                <w:bCs/>
              </w:rPr>
              <w:t>%</w:t>
            </w:r>
          </w:p>
        </w:tc>
      </w:tr>
      <w:tr w:rsidR="00D81529" w14:paraId="4A251BA2" w14:textId="77777777">
        <w:trPr>
          <w:trHeight w:val="280"/>
        </w:trPr>
        <w:tc>
          <w:tcPr>
            <w:tcW w:w="1638" w:type="pct"/>
            <w:tcBorders>
              <w:top w:val="nil"/>
              <w:left w:val="nil"/>
              <w:bottom w:val="nil"/>
              <w:right w:val="nil"/>
            </w:tcBorders>
            <w:shd w:val="clear" w:color="000000" w:fill="FFFFFF"/>
            <w:vAlign w:val="center"/>
          </w:tcPr>
          <w:p w14:paraId="795F354E"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Age in yr</w:t>
            </w:r>
          </w:p>
        </w:tc>
        <w:tc>
          <w:tcPr>
            <w:tcW w:w="2062" w:type="pct"/>
            <w:tcBorders>
              <w:top w:val="nil"/>
              <w:left w:val="nil"/>
              <w:bottom w:val="nil"/>
              <w:right w:val="nil"/>
            </w:tcBorders>
            <w:shd w:val="clear" w:color="000000" w:fill="FFFFFF"/>
            <w:vAlign w:val="center"/>
          </w:tcPr>
          <w:p w14:paraId="548CFA14"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65.4 ± 10.6</w:t>
            </w:r>
          </w:p>
        </w:tc>
        <w:tc>
          <w:tcPr>
            <w:tcW w:w="1301" w:type="pct"/>
            <w:tcBorders>
              <w:top w:val="nil"/>
              <w:left w:val="nil"/>
              <w:bottom w:val="nil"/>
              <w:right w:val="nil"/>
            </w:tcBorders>
            <w:shd w:val="clear" w:color="auto" w:fill="auto"/>
            <w:noWrap/>
            <w:vAlign w:val="bottom"/>
          </w:tcPr>
          <w:p w14:paraId="3F62BE23" w14:textId="77777777" w:rsidR="00D81529" w:rsidRDefault="00D81529">
            <w:pPr>
              <w:adjustRightInd w:val="0"/>
              <w:snapToGrid w:val="0"/>
              <w:spacing w:line="360" w:lineRule="auto"/>
              <w:jc w:val="both"/>
              <w:rPr>
                <w:rFonts w:ascii="Book Antiqua" w:eastAsia="宋体" w:hAnsi="Book Antiqua" w:cs="宋体"/>
              </w:rPr>
            </w:pPr>
          </w:p>
        </w:tc>
      </w:tr>
      <w:tr w:rsidR="00D81529" w14:paraId="7E2C933C" w14:textId="77777777">
        <w:trPr>
          <w:trHeight w:val="280"/>
        </w:trPr>
        <w:tc>
          <w:tcPr>
            <w:tcW w:w="1638" w:type="pct"/>
            <w:tcBorders>
              <w:top w:val="nil"/>
              <w:left w:val="nil"/>
              <w:bottom w:val="nil"/>
              <w:right w:val="nil"/>
            </w:tcBorders>
            <w:shd w:val="clear" w:color="000000" w:fill="FFFFFF"/>
            <w:vAlign w:val="center"/>
          </w:tcPr>
          <w:p w14:paraId="0CA1E44E"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Sex</w:t>
            </w:r>
          </w:p>
        </w:tc>
        <w:tc>
          <w:tcPr>
            <w:tcW w:w="2062" w:type="pct"/>
            <w:tcBorders>
              <w:top w:val="nil"/>
              <w:left w:val="nil"/>
              <w:bottom w:val="nil"/>
              <w:right w:val="nil"/>
            </w:tcBorders>
            <w:shd w:val="clear" w:color="000000" w:fill="FFFFFF"/>
            <w:vAlign w:val="center"/>
          </w:tcPr>
          <w:p w14:paraId="39C03EA1"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auto" w:fill="auto"/>
            <w:noWrap/>
            <w:vAlign w:val="bottom"/>
          </w:tcPr>
          <w:p w14:paraId="1F2F8C78" w14:textId="77777777" w:rsidR="00D81529" w:rsidRDefault="00D81529">
            <w:pPr>
              <w:adjustRightInd w:val="0"/>
              <w:snapToGrid w:val="0"/>
              <w:spacing w:line="360" w:lineRule="auto"/>
              <w:jc w:val="both"/>
              <w:rPr>
                <w:rFonts w:ascii="Book Antiqua" w:eastAsia="宋体" w:hAnsi="Book Antiqua" w:cs="宋体"/>
              </w:rPr>
            </w:pPr>
          </w:p>
        </w:tc>
      </w:tr>
      <w:tr w:rsidR="00D81529" w14:paraId="6AA83381" w14:textId="77777777">
        <w:trPr>
          <w:trHeight w:val="280"/>
        </w:trPr>
        <w:tc>
          <w:tcPr>
            <w:tcW w:w="1638" w:type="pct"/>
            <w:tcBorders>
              <w:top w:val="nil"/>
              <w:left w:val="nil"/>
              <w:bottom w:val="nil"/>
              <w:right w:val="nil"/>
            </w:tcBorders>
            <w:shd w:val="clear" w:color="000000" w:fill="FFFFFF"/>
            <w:vAlign w:val="center"/>
          </w:tcPr>
          <w:p w14:paraId="0F19551E"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Female</w:t>
            </w:r>
          </w:p>
        </w:tc>
        <w:tc>
          <w:tcPr>
            <w:tcW w:w="2062" w:type="pct"/>
            <w:tcBorders>
              <w:top w:val="nil"/>
              <w:left w:val="nil"/>
              <w:bottom w:val="nil"/>
              <w:right w:val="nil"/>
            </w:tcBorders>
            <w:shd w:val="clear" w:color="000000" w:fill="FFFFFF"/>
            <w:vAlign w:val="center"/>
          </w:tcPr>
          <w:p w14:paraId="59E31E2A"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72</w:t>
            </w:r>
          </w:p>
        </w:tc>
        <w:tc>
          <w:tcPr>
            <w:tcW w:w="1301" w:type="pct"/>
            <w:tcBorders>
              <w:top w:val="nil"/>
              <w:left w:val="nil"/>
              <w:bottom w:val="nil"/>
              <w:right w:val="nil"/>
            </w:tcBorders>
            <w:shd w:val="clear" w:color="000000" w:fill="FFFFFF"/>
            <w:vAlign w:val="center"/>
          </w:tcPr>
          <w:p w14:paraId="790908EC"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46.2</w:t>
            </w:r>
          </w:p>
        </w:tc>
      </w:tr>
      <w:tr w:rsidR="00D81529" w14:paraId="42965311" w14:textId="77777777">
        <w:trPr>
          <w:trHeight w:val="280"/>
        </w:trPr>
        <w:tc>
          <w:tcPr>
            <w:tcW w:w="1638" w:type="pct"/>
            <w:tcBorders>
              <w:top w:val="nil"/>
              <w:left w:val="nil"/>
              <w:bottom w:val="nil"/>
              <w:right w:val="nil"/>
            </w:tcBorders>
            <w:shd w:val="clear" w:color="000000" w:fill="FFFFFF"/>
            <w:vAlign w:val="center"/>
          </w:tcPr>
          <w:p w14:paraId="51CCB9BF"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Male</w:t>
            </w:r>
          </w:p>
        </w:tc>
        <w:tc>
          <w:tcPr>
            <w:tcW w:w="2062" w:type="pct"/>
            <w:tcBorders>
              <w:top w:val="nil"/>
              <w:left w:val="nil"/>
              <w:bottom w:val="nil"/>
              <w:right w:val="nil"/>
            </w:tcBorders>
            <w:shd w:val="clear" w:color="000000" w:fill="FFFFFF"/>
            <w:vAlign w:val="center"/>
          </w:tcPr>
          <w:p w14:paraId="35FEC514"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84</w:t>
            </w:r>
          </w:p>
        </w:tc>
        <w:tc>
          <w:tcPr>
            <w:tcW w:w="1301" w:type="pct"/>
            <w:tcBorders>
              <w:top w:val="nil"/>
              <w:left w:val="nil"/>
              <w:bottom w:val="nil"/>
              <w:right w:val="nil"/>
            </w:tcBorders>
            <w:shd w:val="clear" w:color="000000" w:fill="FFFFFF"/>
            <w:vAlign w:val="center"/>
          </w:tcPr>
          <w:p w14:paraId="09DB714D"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53.8</w:t>
            </w:r>
          </w:p>
        </w:tc>
      </w:tr>
      <w:tr w:rsidR="00D81529" w14:paraId="3F1C1B05" w14:textId="77777777">
        <w:trPr>
          <w:trHeight w:val="840"/>
        </w:trPr>
        <w:tc>
          <w:tcPr>
            <w:tcW w:w="1638" w:type="pct"/>
            <w:tcBorders>
              <w:top w:val="nil"/>
              <w:left w:val="nil"/>
              <w:bottom w:val="nil"/>
              <w:right w:val="nil"/>
            </w:tcBorders>
            <w:shd w:val="clear" w:color="000000" w:fill="FFFFFF"/>
            <w:vAlign w:val="center"/>
          </w:tcPr>
          <w:p w14:paraId="1BFD8094"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ASA-score classification</w:t>
            </w:r>
          </w:p>
        </w:tc>
        <w:tc>
          <w:tcPr>
            <w:tcW w:w="2062" w:type="pct"/>
            <w:tcBorders>
              <w:top w:val="nil"/>
              <w:left w:val="nil"/>
              <w:bottom w:val="nil"/>
              <w:right w:val="nil"/>
            </w:tcBorders>
            <w:shd w:val="clear" w:color="000000" w:fill="FFFFFF"/>
            <w:vAlign w:val="center"/>
          </w:tcPr>
          <w:p w14:paraId="673A7997"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49578F2A" w14:textId="77777777" w:rsidR="00D81529" w:rsidRDefault="00D81529">
            <w:pPr>
              <w:adjustRightInd w:val="0"/>
              <w:snapToGrid w:val="0"/>
              <w:spacing w:line="360" w:lineRule="auto"/>
              <w:jc w:val="both"/>
              <w:rPr>
                <w:rFonts w:ascii="Book Antiqua" w:eastAsia="宋体" w:hAnsi="Book Antiqua" w:cs="宋体"/>
              </w:rPr>
            </w:pPr>
          </w:p>
        </w:tc>
      </w:tr>
      <w:tr w:rsidR="00D81529" w14:paraId="5E16D97F" w14:textId="77777777">
        <w:trPr>
          <w:trHeight w:val="280"/>
        </w:trPr>
        <w:tc>
          <w:tcPr>
            <w:tcW w:w="1638" w:type="pct"/>
            <w:tcBorders>
              <w:top w:val="nil"/>
              <w:left w:val="nil"/>
              <w:bottom w:val="nil"/>
              <w:right w:val="nil"/>
            </w:tcBorders>
            <w:shd w:val="clear" w:color="000000" w:fill="FFFFFF"/>
            <w:vAlign w:val="center"/>
          </w:tcPr>
          <w:p w14:paraId="344563B6"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2</w:t>
            </w:r>
          </w:p>
        </w:tc>
        <w:tc>
          <w:tcPr>
            <w:tcW w:w="2062" w:type="pct"/>
            <w:tcBorders>
              <w:top w:val="nil"/>
              <w:left w:val="nil"/>
              <w:bottom w:val="nil"/>
              <w:right w:val="nil"/>
            </w:tcBorders>
            <w:shd w:val="clear" w:color="000000" w:fill="FFFFFF"/>
            <w:vAlign w:val="center"/>
          </w:tcPr>
          <w:p w14:paraId="650F0F3D"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58</w:t>
            </w:r>
          </w:p>
        </w:tc>
        <w:tc>
          <w:tcPr>
            <w:tcW w:w="1301" w:type="pct"/>
            <w:tcBorders>
              <w:top w:val="nil"/>
              <w:left w:val="nil"/>
              <w:bottom w:val="nil"/>
              <w:right w:val="nil"/>
            </w:tcBorders>
            <w:shd w:val="clear" w:color="000000" w:fill="FFFFFF"/>
            <w:vAlign w:val="center"/>
          </w:tcPr>
          <w:p w14:paraId="0DC87400"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37.2</w:t>
            </w:r>
          </w:p>
        </w:tc>
      </w:tr>
      <w:tr w:rsidR="00D81529" w14:paraId="70E30642" w14:textId="77777777">
        <w:trPr>
          <w:trHeight w:val="280"/>
        </w:trPr>
        <w:tc>
          <w:tcPr>
            <w:tcW w:w="1638" w:type="pct"/>
            <w:tcBorders>
              <w:top w:val="nil"/>
              <w:left w:val="nil"/>
              <w:bottom w:val="nil"/>
              <w:right w:val="nil"/>
            </w:tcBorders>
            <w:shd w:val="clear" w:color="000000" w:fill="FFFFFF"/>
            <w:vAlign w:val="center"/>
          </w:tcPr>
          <w:p w14:paraId="2DA2D180"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3</w:t>
            </w:r>
          </w:p>
        </w:tc>
        <w:tc>
          <w:tcPr>
            <w:tcW w:w="2062" w:type="pct"/>
            <w:tcBorders>
              <w:top w:val="nil"/>
              <w:left w:val="nil"/>
              <w:bottom w:val="nil"/>
              <w:right w:val="nil"/>
            </w:tcBorders>
            <w:shd w:val="clear" w:color="000000" w:fill="FFFFFF"/>
            <w:vAlign w:val="center"/>
          </w:tcPr>
          <w:p w14:paraId="5A4BF8B6"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60</w:t>
            </w:r>
          </w:p>
        </w:tc>
        <w:tc>
          <w:tcPr>
            <w:tcW w:w="1301" w:type="pct"/>
            <w:tcBorders>
              <w:top w:val="nil"/>
              <w:left w:val="nil"/>
              <w:bottom w:val="nil"/>
              <w:right w:val="nil"/>
            </w:tcBorders>
            <w:shd w:val="clear" w:color="000000" w:fill="FFFFFF"/>
            <w:vAlign w:val="center"/>
          </w:tcPr>
          <w:p w14:paraId="2F913675"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62.8</w:t>
            </w:r>
          </w:p>
        </w:tc>
      </w:tr>
      <w:tr w:rsidR="00D81529" w14:paraId="0FB3DE96" w14:textId="77777777">
        <w:trPr>
          <w:trHeight w:val="280"/>
        </w:trPr>
        <w:tc>
          <w:tcPr>
            <w:tcW w:w="1638" w:type="pct"/>
            <w:tcBorders>
              <w:top w:val="nil"/>
              <w:left w:val="nil"/>
              <w:bottom w:val="nil"/>
              <w:right w:val="nil"/>
            </w:tcBorders>
            <w:shd w:val="clear" w:color="000000" w:fill="FFFFFF"/>
            <w:vAlign w:val="center"/>
          </w:tcPr>
          <w:p w14:paraId="5074176C"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BMI</w:t>
            </w:r>
          </w:p>
        </w:tc>
        <w:tc>
          <w:tcPr>
            <w:tcW w:w="2062" w:type="pct"/>
            <w:tcBorders>
              <w:top w:val="nil"/>
              <w:left w:val="nil"/>
              <w:bottom w:val="nil"/>
              <w:right w:val="nil"/>
            </w:tcBorders>
            <w:shd w:val="clear" w:color="000000" w:fill="FFFFFF"/>
            <w:vAlign w:val="center"/>
          </w:tcPr>
          <w:p w14:paraId="10B37768"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23.3 ± 6.5</w:t>
            </w:r>
          </w:p>
        </w:tc>
        <w:tc>
          <w:tcPr>
            <w:tcW w:w="1301" w:type="pct"/>
            <w:tcBorders>
              <w:top w:val="nil"/>
              <w:left w:val="nil"/>
              <w:bottom w:val="nil"/>
              <w:right w:val="nil"/>
            </w:tcBorders>
            <w:shd w:val="clear" w:color="000000" w:fill="FFFFFF"/>
            <w:vAlign w:val="center"/>
          </w:tcPr>
          <w:p w14:paraId="4FF89D35" w14:textId="77777777" w:rsidR="00D81529" w:rsidRDefault="00D81529">
            <w:pPr>
              <w:adjustRightInd w:val="0"/>
              <w:snapToGrid w:val="0"/>
              <w:spacing w:line="360" w:lineRule="auto"/>
              <w:jc w:val="both"/>
              <w:rPr>
                <w:rFonts w:ascii="Book Antiqua" w:eastAsia="宋体" w:hAnsi="Book Antiqua" w:cs="宋体"/>
              </w:rPr>
            </w:pPr>
          </w:p>
        </w:tc>
      </w:tr>
      <w:tr w:rsidR="00D81529" w14:paraId="3B6FFCE1" w14:textId="77777777">
        <w:trPr>
          <w:trHeight w:val="280"/>
        </w:trPr>
        <w:tc>
          <w:tcPr>
            <w:tcW w:w="1638" w:type="pct"/>
            <w:tcBorders>
              <w:top w:val="nil"/>
              <w:left w:val="nil"/>
              <w:bottom w:val="nil"/>
              <w:right w:val="nil"/>
            </w:tcBorders>
            <w:shd w:val="clear" w:color="000000" w:fill="FFFFFF"/>
            <w:vAlign w:val="center"/>
          </w:tcPr>
          <w:p w14:paraId="026EDC4A"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CR</w:t>
            </w:r>
          </w:p>
        </w:tc>
        <w:tc>
          <w:tcPr>
            <w:tcW w:w="2062" w:type="pct"/>
            <w:tcBorders>
              <w:top w:val="nil"/>
              <w:left w:val="nil"/>
              <w:bottom w:val="nil"/>
              <w:right w:val="nil"/>
            </w:tcBorders>
            <w:shd w:val="clear" w:color="000000" w:fill="FFFFFF"/>
            <w:vAlign w:val="center"/>
          </w:tcPr>
          <w:p w14:paraId="7205B468"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5FE6FC75" w14:textId="77777777" w:rsidR="00D81529" w:rsidRDefault="00D81529">
            <w:pPr>
              <w:adjustRightInd w:val="0"/>
              <w:snapToGrid w:val="0"/>
              <w:spacing w:line="360" w:lineRule="auto"/>
              <w:jc w:val="both"/>
              <w:rPr>
                <w:rFonts w:ascii="Book Antiqua" w:eastAsia="宋体" w:hAnsi="Book Antiqua" w:cs="宋体"/>
              </w:rPr>
            </w:pPr>
          </w:p>
        </w:tc>
      </w:tr>
      <w:tr w:rsidR="00D81529" w14:paraId="6C7E8220" w14:textId="77777777">
        <w:trPr>
          <w:trHeight w:val="280"/>
        </w:trPr>
        <w:tc>
          <w:tcPr>
            <w:tcW w:w="1638" w:type="pct"/>
            <w:tcBorders>
              <w:top w:val="nil"/>
              <w:left w:val="nil"/>
              <w:bottom w:val="nil"/>
              <w:right w:val="nil"/>
            </w:tcBorders>
            <w:shd w:val="clear" w:color="000000" w:fill="FFFFFF"/>
            <w:vAlign w:val="center"/>
          </w:tcPr>
          <w:p w14:paraId="52451E8D"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&lt; 0.5</w:t>
            </w:r>
          </w:p>
        </w:tc>
        <w:tc>
          <w:tcPr>
            <w:tcW w:w="2062" w:type="pct"/>
            <w:tcBorders>
              <w:top w:val="nil"/>
              <w:left w:val="nil"/>
              <w:bottom w:val="nil"/>
              <w:right w:val="nil"/>
            </w:tcBorders>
            <w:shd w:val="clear" w:color="000000" w:fill="FFFFFF"/>
            <w:vAlign w:val="center"/>
          </w:tcPr>
          <w:p w14:paraId="40B1E6C2"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45</w:t>
            </w:r>
          </w:p>
        </w:tc>
        <w:tc>
          <w:tcPr>
            <w:tcW w:w="1301" w:type="pct"/>
            <w:tcBorders>
              <w:top w:val="nil"/>
              <w:left w:val="nil"/>
              <w:bottom w:val="nil"/>
              <w:right w:val="nil"/>
            </w:tcBorders>
            <w:shd w:val="clear" w:color="000000" w:fill="FFFFFF"/>
            <w:vAlign w:val="center"/>
          </w:tcPr>
          <w:p w14:paraId="03EE6AA9"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28.8</w:t>
            </w:r>
          </w:p>
        </w:tc>
      </w:tr>
      <w:tr w:rsidR="00D81529" w14:paraId="3B880E8C" w14:textId="77777777">
        <w:trPr>
          <w:trHeight w:val="280"/>
        </w:trPr>
        <w:tc>
          <w:tcPr>
            <w:tcW w:w="1638" w:type="pct"/>
            <w:tcBorders>
              <w:top w:val="nil"/>
              <w:left w:val="nil"/>
              <w:bottom w:val="nil"/>
              <w:right w:val="nil"/>
            </w:tcBorders>
            <w:shd w:val="clear" w:color="000000" w:fill="FFFFFF"/>
            <w:vAlign w:val="center"/>
          </w:tcPr>
          <w:p w14:paraId="4C52F053"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 0.5 or &lt; 1</w:t>
            </w:r>
          </w:p>
        </w:tc>
        <w:tc>
          <w:tcPr>
            <w:tcW w:w="2062" w:type="pct"/>
            <w:tcBorders>
              <w:top w:val="nil"/>
              <w:left w:val="nil"/>
              <w:bottom w:val="nil"/>
              <w:right w:val="nil"/>
            </w:tcBorders>
            <w:shd w:val="clear" w:color="000000" w:fill="FFFFFF"/>
            <w:vAlign w:val="center"/>
          </w:tcPr>
          <w:p w14:paraId="24DA6CCE"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90</w:t>
            </w:r>
          </w:p>
        </w:tc>
        <w:tc>
          <w:tcPr>
            <w:tcW w:w="1301" w:type="pct"/>
            <w:tcBorders>
              <w:top w:val="nil"/>
              <w:left w:val="nil"/>
              <w:bottom w:val="nil"/>
              <w:right w:val="nil"/>
            </w:tcBorders>
            <w:shd w:val="clear" w:color="000000" w:fill="FFFFFF"/>
            <w:vAlign w:val="center"/>
          </w:tcPr>
          <w:p w14:paraId="6A8CEDB4"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57.7</w:t>
            </w:r>
          </w:p>
        </w:tc>
      </w:tr>
      <w:tr w:rsidR="00D81529" w14:paraId="72FC16BC" w14:textId="77777777">
        <w:trPr>
          <w:trHeight w:val="280"/>
        </w:trPr>
        <w:tc>
          <w:tcPr>
            <w:tcW w:w="1638" w:type="pct"/>
            <w:tcBorders>
              <w:top w:val="nil"/>
              <w:left w:val="nil"/>
              <w:bottom w:val="nil"/>
              <w:right w:val="nil"/>
            </w:tcBorders>
            <w:shd w:val="clear" w:color="000000" w:fill="FFFFFF"/>
            <w:vAlign w:val="center"/>
          </w:tcPr>
          <w:p w14:paraId="6DA2E9DF"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 1</w:t>
            </w:r>
          </w:p>
        </w:tc>
        <w:tc>
          <w:tcPr>
            <w:tcW w:w="2062" w:type="pct"/>
            <w:tcBorders>
              <w:top w:val="nil"/>
              <w:left w:val="nil"/>
              <w:bottom w:val="nil"/>
              <w:right w:val="nil"/>
            </w:tcBorders>
            <w:shd w:val="clear" w:color="000000" w:fill="FFFFFF"/>
            <w:vAlign w:val="center"/>
          </w:tcPr>
          <w:p w14:paraId="1DF30820"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21</w:t>
            </w:r>
          </w:p>
        </w:tc>
        <w:tc>
          <w:tcPr>
            <w:tcW w:w="1301" w:type="pct"/>
            <w:tcBorders>
              <w:top w:val="nil"/>
              <w:left w:val="nil"/>
              <w:bottom w:val="nil"/>
              <w:right w:val="nil"/>
            </w:tcBorders>
            <w:shd w:val="clear" w:color="000000" w:fill="FFFFFF"/>
            <w:vAlign w:val="center"/>
          </w:tcPr>
          <w:p w14:paraId="0F8B6DB3"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13.5</w:t>
            </w:r>
          </w:p>
        </w:tc>
      </w:tr>
      <w:tr w:rsidR="00D81529" w14:paraId="203AE9BC" w14:textId="77777777">
        <w:trPr>
          <w:trHeight w:val="840"/>
        </w:trPr>
        <w:tc>
          <w:tcPr>
            <w:tcW w:w="1638" w:type="pct"/>
            <w:tcBorders>
              <w:top w:val="nil"/>
              <w:left w:val="nil"/>
              <w:bottom w:val="nil"/>
              <w:right w:val="nil"/>
            </w:tcBorders>
            <w:shd w:val="clear" w:color="000000" w:fill="FFFFFF"/>
            <w:vAlign w:val="center"/>
          </w:tcPr>
          <w:p w14:paraId="4C0118AA"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Charlson comorbidity Index</w:t>
            </w:r>
          </w:p>
        </w:tc>
        <w:tc>
          <w:tcPr>
            <w:tcW w:w="2062" w:type="pct"/>
            <w:tcBorders>
              <w:top w:val="nil"/>
              <w:left w:val="nil"/>
              <w:bottom w:val="nil"/>
              <w:right w:val="nil"/>
            </w:tcBorders>
            <w:shd w:val="clear" w:color="000000" w:fill="FFFFFF"/>
            <w:vAlign w:val="center"/>
          </w:tcPr>
          <w:p w14:paraId="611C2106"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0F2BD945" w14:textId="77777777" w:rsidR="00D81529" w:rsidRDefault="00D81529">
            <w:pPr>
              <w:adjustRightInd w:val="0"/>
              <w:snapToGrid w:val="0"/>
              <w:spacing w:line="360" w:lineRule="auto"/>
              <w:jc w:val="both"/>
              <w:rPr>
                <w:rFonts w:ascii="Book Antiqua" w:eastAsia="宋体" w:hAnsi="Book Antiqua" w:cs="宋体"/>
              </w:rPr>
            </w:pPr>
          </w:p>
        </w:tc>
      </w:tr>
      <w:tr w:rsidR="00D81529" w14:paraId="64A8265C" w14:textId="77777777">
        <w:trPr>
          <w:trHeight w:val="280"/>
        </w:trPr>
        <w:tc>
          <w:tcPr>
            <w:tcW w:w="1638" w:type="pct"/>
            <w:tcBorders>
              <w:top w:val="nil"/>
              <w:left w:val="nil"/>
              <w:bottom w:val="nil"/>
              <w:right w:val="nil"/>
            </w:tcBorders>
            <w:shd w:val="clear" w:color="000000" w:fill="FFFFFF"/>
            <w:vAlign w:val="center"/>
          </w:tcPr>
          <w:p w14:paraId="0F259795"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0</w:t>
            </w:r>
          </w:p>
        </w:tc>
        <w:tc>
          <w:tcPr>
            <w:tcW w:w="2062" w:type="pct"/>
            <w:tcBorders>
              <w:top w:val="nil"/>
              <w:left w:val="nil"/>
              <w:bottom w:val="nil"/>
              <w:right w:val="nil"/>
            </w:tcBorders>
            <w:shd w:val="clear" w:color="000000" w:fill="FFFFFF"/>
            <w:vAlign w:val="center"/>
          </w:tcPr>
          <w:p w14:paraId="3034F124"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117</w:t>
            </w:r>
          </w:p>
        </w:tc>
        <w:tc>
          <w:tcPr>
            <w:tcW w:w="1301" w:type="pct"/>
            <w:tcBorders>
              <w:top w:val="nil"/>
              <w:left w:val="nil"/>
              <w:bottom w:val="nil"/>
              <w:right w:val="nil"/>
            </w:tcBorders>
            <w:shd w:val="clear" w:color="000000" w:fill="FFFFFF"/>
            <w:vAlign w:val="center"/>
          </w:tcPr>
          <w:p w14:paraId="7A13CCE3"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75</w:t>
            </w:r>
          </w:p>
        </w:tc>
      </w:tr>
      <w:tr w:rsidR="00D81529" w14:paraId="60A8079F" w14:textId="77777777">
        <w:trPr>
          <w:trHeight w:val="280"/>
        </w:trPr>
        <w:tc>
          <w:tcPr>
            <w:tcW w:w="1638" w:type="pct"/>
            <w:tcBorders>
              <w:top w:val="nil"/>
              <w:left w:val="nil"/>
              <w:bottom w:val="nil"/>
              <w:right w:val="nil"/>
            </w:tcBorders>
            <w:shd w:val="clear" w:color="000000" w:fill="FFFFFF"/>
            <w:vAlign w:val="center"/>
          </w:tcPr>
          <w:p w14:paraId="21D4880B"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1</w:t>
            </w:r>
          </w:p>
        </w:tc>
        <w:tc>
          <w:tcPr>
            <w:tcW w:w="2062" w:type="pct"/>
            <w:tcBorders>
              <w:top w:val="nil"/>
              <w:left w:val="nil"/>
              <w:bottom w:val="nil"/>
              <w:right w:val="nil"/>
            </w:tcBorders>
            <w:shd w:val="clear" w:color="000000" w:fill="FFFFFF"/>
            <w:vAlign w:val="center"/>
          </w:tcPr>
          <w:p w14:paraId="7173C1B2"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29</w:t>
            </w:r>
          </w:p>
        </w:tc>
        <w:tc>
          <w:tcPr>
            <w:tcW w:w="1301" w:type="pct"/>
            <w:tcBorders>
              <w:top w:val="nil"/>
              <w:left w:val="nil"/>
              <w:bottom w:val="nil"/>
              <w:right w:val="nil"/>
            </w:tcBorders>
            <w:shd w:val="clear" w:color="000000" w:fill="FFFFFF"/>
            <w:vAlign w:val="center"/>
          </w:tcPr>
          <w:p w14:paraId="00DAB03F"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18.6</w:t>
            </w:r>
          </w:p>
        </w:tc>
      </w:tr>
      <w:tr w:rsidR="00D81529" w14:paraId="1D249E2B" w14:textId="77777777">
        <w:trPr>
          <w:trHeight w:val="280"/>
        </w:trPr>
        <w:tc>
          <w:tcPr>
            <w:tcW w:w="1638" w:type="pct"/>
            <w:tcBorders>
              <w:top w:val="nil"/>
              <w:left w:val="nil"/>
              <w:bottom w:val="nil"/>
              <w:right w:val="nil"/>
            </w:tcBorders>
            <w:shd w:val="clear" w:color="000000" w:fill="FFFFFF"/>
            <w:vAlign w:val="center"/>
          </w:tcPr>
          <w:p w14:paraId="29395B72"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2</w:t>
            </w:r>
          </w:p>
        </w:tc>
        <w:tc>
          <w:tcPr>
            <w:tcW w:w="2062" w:type="pct"/>
            <w:tcBorders>
              <w:top w:val="nil"/>
              <w:left w:val="nil"/>
              <w:bottom w:val="nil"/>
              <w:right w:val="nil"/>
            </w:tcBorders>
            <w:shd w:val="clear" w:color="000000" w:fill="FFFFFF"/>
            <w:vAlign w:val="center"/>
          </w:tcPr>
          <w:p w14:paraId="1875ECF3"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10</w:t>
            </w:r>
          </w:p>
        </w:tc>
        <w:tc>
          <w:tcPr>
            <w:tcW w:w="1301" w:type="pct"/>
            <w:tcBorders>
              <w:top w:val="nil"/>
              <w:left w:val="nil"/>
              <w:bottom w:val="nil"/>
              <w:right w:val="nil"/>
            </w:tcBorders>
            <w:shd w:val="clear" w:color="000000" w:fill="FFFFFF"/>
            <w:vAlign w:val="center"/>
          </w:tcPr>
          <w:p w14:paraId="7F0FD328"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6.4</w:t>
            </w:r>
          </w:p>
        </w:tc>
      </w:tr>
      <w:tr w:rsidR="00D81529" w14:paraId="41F948EA" w14:textId="77777777">
        <w:trPr>
          <w:trHeight w:val="1120"/>
        </w:trPr>
        <w:tc>
          <w:tcPr>
            <w:tcW w:w="1638" w:type="pct"/>
            <w:tcBorders>
              <w:top w:val="nil"/>
              <w:left w:val="nil"/>
              <w:bottom w:val="nil"/>
              <w:right w:val="nil"/>
            </w:tcBorders>
            <w:shd w:val="clear" w:color="000000" w:fill="FFFFFF"/>
            <w:vAlign w:val="center"/>
          </w:tcPr>
          <w:p w14:paraId="20D49C08"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Tumor and pathologic characteristics</w:t>
            </w:r>
          </w:p>
        </w:tc>
        <w:tc>
          <w:tcPr>
            <w:tcW w:w="2062" w:type="pct"/>
            <w:tcBorders>
              <w:top w:val="nil"/>
              <w:left w:val="nil"/>
              <w:bottom w:val="nil"/>
              <w:right w:val="nil"/>
            </w:tcBorders>
            <w:shd w:val="clear" w:color="000000" w:fill="FFFFFF"/>
            <w:vAlign w:val="center"/>
          </w:tcPr>
          <w:p w14:paraId="1772B287"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2637B3CB" w14:textId="77777777" w:rsidR="00D81529" w:rsidRDefault="00D81529">
            <w:pPr>
              <w:adjustRightInd w:val="0"/>
              <w:snapToGrid w:val="0"/>
              <w:spacing w:line="360" w:lineRule="auto"/>
              <w:jc w:val="both"/>
              <w:rPr>
                <w:rFonts w:ascii="Book Antiqua" w:eastAsia="宋体" w:hAnsi="Book Antiqua" w:cs="宋体"/>
              </w:rPr>
            </w:pPr>
          </w:p>
        </w:tc>
      </w:tr>
      <w:tr w:rsidR="00D81529" w14:paraId="73A2F613" w14:textId="77777777">
        <w:trPr>
          <w:trHeight w:val="560"/>
        </w:trPr>
        <w:tc>
          <w:tcPr>
            <w:tcW w:w="1638" w:type="pct"/>
            <w:tcBorders>
              <w:top w:val="nil"/>
              <w:left w:val="nil"/>
              <w:bottom w:val="nil"/>
              <w:right w:val="nil"/>
            </w:tcBorders>
            <w:shd w:val="clear" w:color="000000" w:fill="FFFFFF"/>
            <w:vAlign w:val="center"/>
          </w:tcPr>
          <w:p w14:paraId="136F0E81"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AJCC TNM stage</w:t>
            </w:r>
          </w:p>
        </w:tc>
        <w:tc>
          <w:tcPr>
            <w:tcW w:w="2062" w:type="pct"/>
            <w:tcBorders>
              <w:top w:val="nil"/>
              <w:left w:val="nil"/>
              <w:bottom w:val="nil"/>
              <w:right w:val="nil"/>
            </w:tcBorders>
            <w:shd w:val="clear" w:color="000000" w:fill="FFFFFF"/>
            <w:vAlign w:val="center"/>
          </w:tcPr>
          <w:p w14:paraId="268C2802"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69E79098" w14:textId="77777777" w:rsidR="00D81529" w:rsidRDefault="00D81529">
            <w:pPr>
              <w:adjustRightInd w:val="0"/>
              <w:snapToGrid w:val="0"/>
              <w:spacing w:line="360" w:lineRule="auto"/>
              <w:jc w:val="both"/>
              <w:rPr>
                <w:rFonts w:ascii="Book Antiqua" w:eastAsia="宋体" w:hAnsi="Book Antiqua" w:cs="宋体"/>
              </w:rPr>
            </w:pPr>
          </w:p>
        </w:tc>
      </w:tr>
      <w:tr w:rsidR="00D81529" w14:paraId="5316EC8E" w14:textId="77777777">
        <w:trPr>
          <w:trHeight w:val="280"/>
        </w:trPr>
        <w:tc>
          <w:tcPr>
            <w:tcW w:w="1638" w:type="pct"/>
            <w:tcBorders>
              <w:top w:val="nil"/>
              <w:left w:val="nil"/>
              <w:bottom w:val="nil"/>
              <w:right w:val="nil"/>
            </w:tcBorders>
            <w:shd w:val="clear" w:color="000000" w:fill="FFFFFF"/>
            <w:vAlign w:val="center"/>
          </w:tcPr>
          <w:p w14:paraId="4DC73575"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Ia</w:t>
            </w:r>
          </w:p>
        </w:tc>
        <w:tc>
          <w:tcPr>
            <w:tcW w:w="2062" w:type="pct"/>
            <w:tcBorders>
              <w:top w:val="nil"/>
              <w:left w:val="nil"/>
              <w:bottom w:val="nil"/>
              <w:right w:val="nil"/>
            </w:tcBorders>
            <w:shd w:val="clear" w:color="000000" w:fill="FFFFFF"/>
            <w:vAlign w:val="center"/>
          </w:tcPr>
          <w:p w14:paraId="6E5A9B66"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12</w:t>
            </w:r>
          </w:p>
        </w:tc>
        <w:tc>
          <w:tcPr>
            <w:tcW w:w="1301" w:type="pct"/>
            <w:tcBorders>
              <w:top w:val="nil"/>
              <w:left w:val="nil"/>
              <w:bottom w:val="nil"/>
              <w:right w:val="nil"/>
            </w:tcBorders>
            <w:shd w:val="clear" w:color="000000" w:fill="FFFFFF"/>
            <w:vAlign w:val="center"/>
          </w:tcPr>
          <w:p w14:paraId="2508865A"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7.7</w:t>
            </w:r>
          </w:p>
        </w:tc>
      </w:tr>
      <w:tr w:rsidR="00D81529" w14:paraId="1D84EB78" w14:textId="77777777">
        <w:trPr>
          <w:trHeight w:val="280"/>
        </w:trPr>
        <w:tc>
          <w:tcPr>
            <w:tcW w:w="1638" w:type="pct"/>
            <w:tcBorders>
              <w:top w:val="nil"/>
              <w:left w:val="nil"/>
              <w:bottom w:val="nil"/>
              <w:right w:val="nil"/>
            </w:tcBorders>
            <w:shd w:val="clear" w:color="000000" w:fill="FFFFFF"/>
            <w:vAlign w:val="center"/>
          </w:tcPr>
          <w:p w14:paraId="317DF6D4"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Ib</w:t>
            </w:r>
          </w:p>
        </w:tc>
        <w:tc>
          <w:tcPr>
            <w:tcW w:w="2062" w:type="pct"/>
            <w:tcBorders>
              <w:top w:val="nil"/>
              <w:left w:val="nil"/>
              <w:bottom w:val="nil"/>
              <w:right w:val="nil"/>
            </w:tcBorders>
            <w:shd w:val="clear" w:color="000000" w:fill="FFFFFF"/>
            <w:vAlign w:val="center"/>
          </w:tcPr>
          <w:p w14:paraId="4872E46E"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41</w:t>
            </w:r>
          </w:p>
        </w:tc>
        <w:tc>
          <w:tcPr>
            <w:tcW w:w="1301" w:type="pct"/>
            <w:tcBorders>
              <w:top w:val="nil"/>
              <w:left w:val="nil"/>
              <w:bottom w:val="nil"/>
              <w:right w:val="nil"/>
            </w:tcBorders>
            <w:shd w:val="clear" w:color="000000" w:fill="FFFFFF"/>
            <w:vAlign w:val="center"/>
          </w:tcPr>
          <w:p w14:paraId="7AB21963"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26.3</w:t>
            </w:r>
          </w:p>
        </w:tc>
      </w:tr>
      <w:tr w:rsidR="00D81529" w14:paraId="5526477B" w14:textId="77777777">
        <w:trPr>
          <w:trHeight w:val="280"/>
        </w:trPr>
        <w:tc>
          <w:tcPr>
            <w:tcW w:w="1638" w:type="pct"/>
            <w:tcBorders>
              <w:top w:val="nil"/>
              <w:left w:val="nil"/>
              <w:bottom w:val="nil"/>
              <w:right w:val="nil"/>
            </w:tcBorders>
            <w:shd w:val="clear" w:color="000000" w:fill="FFFFFF"/>
            <w:vAlign w:val="center"/>
          </w:tcPr>
          <w:p w14:paraId="0F4A21DB"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Iia</w:t>
            </w:r>
          </w:p>
        </w:tc>
        <w:tc>
          <w:tcPr>
            <w:tcW w:w="2062" w:type="pct"/>
            <w:tcBorders>
              <w:top w:val="nil"/>
              <w:left w:val="nil"/>
              <w:bottom w:val="nil"/>
              <w:right w:val="nil"/>
            </w:tcBorders>
            <w:shd w:val="clear" w:color="000000" w:fill="FFFFFF"/>
            <w:vAlign w:val="center"/>
          </w:tcPr>
          <w:p w14:paraId="2A017812"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58</w:t>
            </w:r>
          </w:p>
        </w:tc>
        <w:tc>
          <w:tcPr>
            <w:tcW w:w="1301" w:type="pct"/>
            <w:tcBorders>
              <w:top w:val="nil"/>
              <w:left w:val="nil"/>
              <w:bottom w:val="nil"/>
              <w:right w:val="nil"/>
            </w:tcBorders>
            <w:shd w:val="clear" w:color="000000" w:fill="FFFFFF"/>
            <w:vAlign w:val="center"/>
          </w:tcPr>
          <w:p w14:paraId="15681625"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37.2</w:t>
            </w:r>
          </w:p>
        </w:tc>
      </w:tr>
      <w:tr w:rsidR="00D81529" w14:paraId="48853695" w14:textId="77777777">
        <w:trPr>
          <w:trHeight w:val="280"/>
        </w:trPr>
        <w:tc>
          <w:tcPr>
            <w:tcW w:w="1638" w:type="pct"/>
            <w:tcBorders>
              <w:top w:val="nil"/>
              <w:left w:val="nil"/>
              <w:bottom w:val="nil"/>
              <w:right w:val="nil"/>
            </w:tcBorders>
            <w:shd w:val="clear" w:color="000000" w:fill="FFFFFF"/>
            <w:vAlign w:val="center"/>
          </w:tcPr>
          <w:p w14:paraId="389122CF"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Iib</w:t>
            </w:r>
          </w:p>
        </w:tc>
        <w:tc>
          <w:tcPr>
            <w:tcW w:w="2062" w:type="pct"/>
            <w:tcBorders>
              <w:top w:val="nil"/>
              <w:left w:val="nil"/>
              <w:bottom w:val="nil"/>
              <w:right w:val="nil"/>
            </w:tcBorders>
            <w:shd w:val="clear" w:color="000000" w:fill="FFFFFF"/>
            <w:vAlign w:val="center"/>
          </w:tcPr>
          <w:p w14:paraId="32F132F8"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45</w:t>
            </w:r>
          </w:p>
        </w:tc>
        <w:tc>
          <w:tcPr>
            <w:tcW w:w="1301" w:type="pct"/>
            <w:tcBorders>
              <w:top w:val="nil"/>
              <w:left w:val="nil"/>
              <w:bottom w:val="nil"/>
              <w:right w:val="nil"/>
            </w:tcBorders>
            <w:shd w:val="clear" w:color="000000" w:fill="FFFFFF"/>
            <w:vAlign w:val="center"/>
          </w:tcPr>
          <w:p w14:paraId="6A3D30C7"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28.8</w:t>
            </w:r>
          </w:p>
        </w:tc>
      </w:tr>
      <w:tr w:rsidR="00D81529" w14:paraId="4C5AEDB6" w14:textId="77777777">
        <w:trPr>
          <w:trHeight w:val="280"/>
        </w:trPr>
        <w:tc>
          <w:tcPr>
            <w:tcW w:w="1638" w:type="pct"/>
            <w:tcBorders>
              <w:top w:val="nil"/>
              <w:left w:val="nil"/>
              <w:bottom w:val="nil"/>
              <w:right w:val="nil"/>
            </w:tcBorders>
            <w:shd w:val="clear" w:color="000000" w:fill="FFFFFF"/>
            <w:vAlign w:val="center"/>
          </w:tcPr>
          <w:p w14:paraId="398BC85F"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Grade</w:t>
            </w:r>
          </w:p>
        </w:tc>
        <w:tc>
          <w:tcPr>
            <w:tcW w:w="2062" w:type="pct"/>
            <w:tcBorders>
              <w:top w:val="nil"/>
              <w:left w:val="nil"/>
              <w:bottom w:val="nil"/>
              <w:right w:val="nil"/>
            </w:tcBorders>
            <w:shd w:val="clear" w:color="000000" w:fill="FFFFFF"/>
            <w:vAlign w:val="center"/>
          </w:tcPr>
          <w:p w14:paraId="4292C0F9"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1301EFD8" w14:textId="77777777" w:rsidR="00D81529" w:rsidRDefault="00D81529">
            <w:pPr>
              <w:adjustRightInd w:val="0"/>
              <w:snapToGrid w:val="0"/>
              <w:spacing w:line="360" w:lineRule="auto"/>
              <w:jc w:val="both"/>
              <w:rPr>
                <w:rFonts w:ascii="Book Antiqua" w:eastAsia="宋体" w:hAnsi="Book Antiqua" w:cs="宋体"/>
              </w:rPr>
            </w:pPr>
          </w:p>
        </w:tc>
      </w:tr>
      <w:tr w:rsidR="00D81529" w14:paraId="57690471" w14:textId="77777777">
        <w:trPr>
          <w:trHeight w:val="280"/>
        </w:trPr>
        <w:tc>
          <w:tcPr>
            <w:tcW w:w="1638" w:type="pct"/>
            <w:tcBorders>
              <w:top w:val="nil"/>
              <w:left w:val="nil"/>
              <w:bottom w:val="nil"/>
              <w:right w:val="nil"/>
            </w:tcBorders>
            <w:shd w:val="clear" w:color="000000" w:fill="FFFFFF"/>
            <w:vAlign w:val="center"/>
          </w:tcPr>
          <w:p w14:paraId="575E3A74"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lastRenderedPageBreak/>
              <w:t>0</w:t>
            </w:r>
          </w:p>
        </w:tc>
        <w:tc>
          <w:tcPr>
            <w:tcW w:w="2062" w:type="pct"/>
            <w:tcBorders>
              <w:top w:val="nil"/>
              <w:left w:val="nil"/>
              <w:bottom w:val="nil"/>
              <w:right w:val="nil"/>
            </w:tcBorders>
            <w:shd w:val="clear" w:color="000000" w:fill="FFFFFF"/>
            <w:vAlign w:val="center"/>
          </w:tcPr>
          <w:p w14:paraId="54F55E17"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10</w:t>
            </w:r>
          </w:p>
        </w:tc>
        <w:tc>
          <w:tcPr>
            <w:tcW w:w="1301" w:type="pct"/>
            <w:tcBorders>
              <w:top w:val="nil"/>
              <w:left w:val="nil"/>
              <w:bottom w:val="nil"/>
              <w:right w:val="nil"/>
            </w:tcBorders>
            <w:shd w:val="clear" w:color="000000" w:fill="FFFFFF"/>
            <w:vAlign w:val="center"/>
          </w:tcPr>
          <w:p w14:paraId="64276C0C"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6.4</w:t>
            </w:r>
          </w:p>
        </w:tc>
      </w:tr>
      <w:tr w:rsidR="00D81529" w14:paraId="2CF7F6F8" w14:textId="77777777">
        <w:trPr>
          <w:trHeight w:val="280"/>
        </w:trPr>
        <w:tc>
          <w:tcPr>
            <w:tcW w:w="1638" w:type="pct"/>
            <w:tcBorders>
              <w:top w:val="nil"/>
              <w:left w:val="nil"/>
              <w:bottom w:val="nil"/>
              <w:right w:val="nil"/>
            </w:tcBorders>
            <w:shd w:val="clear" w:color="000000" w:fill="FFFFFF"/>
            <w:vAlign w:val="center"/>
          </w:tcPr>
          <w:p w14:paraId="72DC3518"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G1</w:t>
            </w:r>
          </w:p>
        </w:tc>
        <w:tc>
          <w:tcPr>
            <w:tcW w:w="2062" w:type="pct"/>
            <w:tcBorders>
              <w:top w:val="nil"/>
              <w:left w:val="nil"/>
              <w:bottom w:val="nil"/>
              <w:right w:val="nil"/>
            </w:tcBorders>
            <w:shd w:val="clear" w:color="000000" w:fill="FFFFFF"/>
            <w:vAlign w:val="center"/>
          </w:tcPr>
          <w:p w14:paraId="04EDD5F4"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35</w:t>
            </w:r>
          </w:p>
        </w:tc>
        <w:tc>
          <w:tcPr>
            <w:tcW w:w="1301" w:type="pct"/>
            <w:tcBorders>
              <w:top w:val="nil"/>
              <w:left w:val="nil"/>
              <w:bottom w:val="nil"/>
              <w:right w:val="nil"/>
            </w:tcBorders>
            <w:shd w:val="clear" w:color="000000" w:fill="FFFFFF"/>
            <w:vAlign w:val="center"/>
          </w:tcPr>
          <w:p w14:paraId="3335AB43"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22.4</w:t>
            </w:r>
          </w:p>
        </w:tc>
      </w:tr>
      <w:tr w:rsidR="00D81529" w14:paraId="346D481B" w14:textId="77777777">
        <w:trPr>
          <w:trHeight w:val="280"/>
        </w:trPr>
        <w:tc>
          <w:tcPr>
            <w:tcW w:w="1638" w:type="pct"/>
            <w:tcBorders>
              <w:top w:val="nil"/>
              <w:left w:val="nil"/>
              <w:bottom w:val="nil"/>
              <w:right w:val="nil"/>
            </w:tcBorders>
            <w:shd w:val="clear" w:color="000000" w:fill="FFFFFF"/>
            <w:vAlign w:val="center"/>
          </w:tcPr>
          <w:p w14:paraId="3FCA4277"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G2</w:t>
            </w:r>
          </w:p>
        </w:tc>
        <w:tc>
          <w:tcPr>
            <w:tcW w:w="2062" w:type="pct"/>
            <w:tcBorders>
              <w:top w:val="nil"/>
              <w:left w:val="nil"/>
              <w:bottom w:val="nil"/>
              <w:right w:val="nil"/>
            </w:tcBorders>
            <w:shd w:val="clear" w:color="000000" w:fill="FFFFFF"/>
            <w:vAlign w:val="center"/>
          </w:tcPr>
          <w:p w14:paraId="4D6495D0"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75</w:t>
            </w:r>
          </w:p>
        </w:tc>
        <w:tc>
          <w:tcPr>
            <w:tcW w:w="1301" w:type="pct"/>
            <w:tcBorders>
              <w:top w:val="nil"/>
              <w:left w:val="nil"/>
              <w:bottom w:val="nil"/>
              <w:right w:val="nil"/>
            </w:tcBorders>
            <w:shd w:val="clear" w:color="000000" w:fill="FFFFFF"/>
            <w:vAlign w:val="center"/>
          </w:tcPr>
          <w:p w14:paraId="26D42A73"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48.1</w:t>
            </w:r>
          </w:p>
        </w:tc>
      </w:tr>
      <w:tr w:rsidR="00D81529" w14:paraId="228B4350" w14:textId="77777777">
        <w:trPr>
          <w:trHeight w:val="280"/>
        </w:trPr>
        <w:tc>
          <w:tcPr>
            <w:tcW w:w="1638" w:type="pct"/>
            <w:tcBorders>
              <w:top w:val="nil"/>
              <w:left w:val="nil"/>
              <w:bottom w:val="nil"/>
              <w:right w:val="nil"/>
            </w:tcBorders>
            <w:shd w:val="clear" w:color="000000" w:fill="FFFFFF"/>
            <w:vAlign w:val="center"/>
          </w:tcPr>
          <w:p w14:paraId="5F7414D7"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G3</w:t>
            </w:r>
          </w:p>
        </w:tc>
        <w:tc>
          <w:tcPr>
            <w:tcW w:w="2062" w:type="pct"/>
            <w:tcBorders>
              <w:top w:val="nil"/>
              <w:left w:val="nil"/>
              <w:bottom w:val="nil"/>
              <w:right w:val="nil"/>
            </w:tcBorders>
            <w:shd w:val="clear" w:color="000000" w:fill="FFFFFF"/>
            <w:vAlign w:val="center"/>
          </w:tcPr>
          <w:p w14:paraId="03505E91"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36</w:t>
            </w:r>
          </w:p>
        </w:tc>
        <w:tc>
          <w:tcPr>
            <w:tcW w:w="1301" w:type="pct"/>
            <w:tcBorders>
              <w:top w:val="nil"/>
              <w:left w:val="nil"/>
              <w:bottom w:val="nil"/>
              <w:right w:val="nil"/>
            </w:tcBorders>
            <w:shd w:val="clear" w:color="000000" w:fill="FFFFFF"/>
            <w:vAlign w:val="center"/>
          </w:tcPr>
          <w:p w14:paraId="3D4887B7"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23.1</w:t>
            </w:r>
          </w:p>
        </w:tc>
      </w:tr>
      <w:tr w:rsidR="00D81529" w14:paraId="02108CE5" w14:textId="77777777">
        <w:trPr>
          <w:trHeight w:val="560"/>
        </w:trPr>
        <w:tc>
          <w:tcPr>
            <w:tcW w:w="1638" w:type="pct"/>
            <w:tcBorders>
              <w:top w:val="nil"/>
              <w:left w:val="nil"/>
              <w:bottom w:val="nil"/>
              <w:right w:val="nil"/>
            </w:tcBorders>
            <w:shd w:val="clear" w:color="000000" w:fill="FFFFFF"/>
            <w:vAlign w:val="center"/>
          </w:tcPr>
          <w:p w14:paraId="53A217A6"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Neoadjuvant Chx</w:t>
            </w:r>
          </w:p>
        </w:tc>
        <w:tc>
          <w:tcPr>
            <w:tcW w:w="2062" w:type="pct"/>
            <w:tcBorders>
              <w:top w:val="nil"/>
              <w:left w:val="nil"/>
              <w:bottom w:val="nil"/>
              <w:right w:val="nil"/>
            </w:tcBorders>
            <w:shd w:val="clear" w:color="000000" w:fill="FFFFFF"/>
            <w:vAlign w:val="center"/>
          </w:tcPr>
          <w:p w14:paraId="0C720F01"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0EB648B9" w14:textId="77777777" w:rsidR="00D81529" w:rsidRDefault="00D81529">
            <w:pPr>
              <w:adjustRightInd w:val="0"/>
              <w:snapToGrid w:val="0"/>
              <w:spacing w:line="360" w:lineRule="auto"/>
              <w:jc w:val="both"/>
              <w:rPr>
                <w:rFonts w:ascii="Book Antiqua" w:eastAsia="宋体" w:hAnsi="Book Antiqua" w:cs="宋体"/>
              </w:rPr>
            </w:pPr>
          </w:p>
        </w:tc>
      </w:tr>
      <w:tr w:rsidR="00D81529" w14:paraId="232B147E" w14:textId="77777777">
        <w:trPr>
          <w:trHeight w:val="280"/>
        </w:trPr>
        <w:tc>
          <w:tcPr>
            <w:tcW w:w="1638" w:type="pct"/>
            <w:tcBorders>
              <w:top w:val="nil"/>
              <w:left w:val="nil"/>
              <w:bottom w:val="nil"/>
              <w:right w:val="nil"/>
            </w:tcBorders>
            <w:shd w:val="clear" w:color="000000" w:fill="FFFFFF"/>
            <w:vAlign w:val="center"/>
          </w:tcPr>
          <w:p w14:paraId="4FF9DCB2"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Yes</w:t>
            </w:r>
          </w:p>
        </w:tc>
        <w:tc>
          <w:tcPr>
            <w:tcW w:w="2062" w:type="pct"/>
            <w:tcBorders>
              <w:top w:val="nil"/>
              <w:left w:val="nil"/>
              <w:bottom w:val="nil"/>
              <w:right w:val="nil"/>
            </w:tcBorders>
            <w:shd w:val="clear" w:color="000000" w:fill="FFFFFF"/>
            <w:vAlign w:val="center"/>
          </w:tcPr>
          <w:p w14:paraId="3F9478A6"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128</w:t>
            </w:r>
          </w:p>
        </w:tc>
        <w:tc>
          <w:tcPr>
            <w:tcW w:w="1301" w:type="pct"/>
            <w:tcBorders>
              <w:top w:val="nil"/>
              <w:left w:val="nil"/>
              <w:bottom w:val="nil"/>
              <w:right w:val="nil"/>
            </w:tcBorders>
            <w:shd w:val="clear" w:color="000000" w:fill="FFFFFF"/>
            <w:vAlign w:val="center"/>
          </w:tcPr>
          <w:p w14:paraId="3DE55CEF"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82.1</w:t>
            </w:r>
          </w:p>
        </w:tc>
      </w:tr>
      <w:tr w:rsidR="00D81529" w14:paraId="06A7CFDD" w14:textId="77777777">
        <w:trPr>
          <w:trHeight w:val="280"/>
        </w:trPr>
        <w:tc>
          <w:tcPr>
            <w:tcW w:w="1638" w:type="pct"/>
            <w:tcBorders>
              <w:top w:val="nil"/>
              <w:left w:val="nil"/>
              <w:bottom w:val="nil"/>
              <w:right w:val="nil"/>
            </w:tcBorders>
            <w:shd w:val="clear" w:color="000000" w:fill="FFFFFF"/>
            <w:vAlign w:val="center"/>
          </w:tcPr>
          <w:p w14:paraId="46BDED2E"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No</w:t>
            </w:r>
          </w:p>
        </w:tc>
        <w:tc>
          <w:tcPr>
            <w:tcW w:w="2062" w:type="pct"/>
            <w:tcBorders>
              <w:top w:val="nil"/>
              <w:left w:val="nil"/>
              <w:bottom w:val="nil"/>
              <w:right w:val="nil"/>
            </w:tcBorders>
            <w:shd w:val="clear" w:color="000000" w:fill="FFFFFF"/>
            <w:vAlign w:val="center"/>
          </w:tcPr>
          <w:p w14:paraId="7F40DB85"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28</w:t>
            </w:r>
          </w:p>
        </w:tc>
        <w:tc>
          <w:tcPr>
            <w:tcW w:w="1301" w:type="pct"/>
            <w:tcBorders>
              <w:top w:val="nil"/>
              <w:left w:val="nil"/>
              <w:bottom w:val="nil"/>
              <w:right w:val="nil"/>
            </w:tcBorders>
            <w:shd w:val="clear" w:color="000000" w:fill="FFFFFF"/>
            <w:vAlign w:val="center"/>
          </w:tcPr>
          <w:p w14:paraId="7632670A"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17.9</w:t>
            </w:r>
          </w:p>
        </w:tc>
      </w:tr>
      <w:tr w:rsidR="00D81529" w14:paraId="25C494C6" w14:textId="77777777">
        <w:trPr>
          <w:trHeight w:val="560"/>
        </w:trPr>
        <w:tc>
          <w:tcPr>
            <w:tcW w:w="1638" w:type="pct"/>
            <w:tcBorders>
              <w:top w:val="nil"/>
              <w:left w:val="nil"/>
              <w:bottom w:val="nil"/>
              <w:right w:val="nil"/>
            </w:tcBorders>
            <w:shd w:val="clear" w:color="000000" w:fill="FFFFFF"/>
            <w:vAlign w:val="center"/>
          </w:tcPr>
          <w:p w14:paraId="6EDE140B"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Neoadjuvant Rtx</w:t>
            </w:r>
          </w:p>
        </w:tc>
        <w:tc>
          <w:tcPr>
            <w:tcW w:w="2062" w:type="pct"/>
            <w:tcBorders>
              <w:top w:val="nil"/>
              <w:left w:val="nil"/>
              <w:bottom w:val="nil"/>
              <w:right w:val="nil"/>
            </w:tcBorders>
            <w:shd w:val="clear" w:color="000000" w:fill="FFFFFF"/>
            <w:vAlign w:val="center"/>
          </w:tcPr>
          <w:p w14:paraId="58B3E421"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0843A2AE" w14:textId="77777777" w:rsidR="00D81529" w:rsidRDefault="00D81529">
            <w:pPr>
              <w:adjustRightInd w:val="0"/>
              <w:snapToGrid w:val="0"/>
              <w:spacing w:line="360" w:lineRule="auto"/>
              <w:jc w:val="both"/>
              <w:rPr>
                <w:rFonts w:ascii="Book Antiqua" w:eastAsia="宋体" w:hAnsi="Book Antiqua" w:cs="宋体"/>
              </w:rPr>
            </w:pPr>
          </w:p>
        </w:tc>
      </w:tr>
      <w:tr w:rsidR="00D81529" w14:paraId="629C962D" w14:textId="77777777">
        <w:trPr>
          <w:trHeight w:val="280"/>
        </w:trPr>
        <w:tc>
          <w:tcPr>
            <w:tcW w:w="1638" w:type="pct"/>
            <w:tcBorders>
              <w:top w:val="nil"/>
              <w:left w:val="nil"/>
              <w:bottom w:val="nil"/>
              <w:right w:val="nil"/>
            </w:tcBorders>
            <w:shd w:val="clear" w:color="000000" w:fill="FFFFFF"/>
            <w:vAlign w:val="center"/>
          </w:tcPr>
          <w:p w14:paraId="018C462D"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Yes</w:t>
            </w:r>
          </w:p>
        </w:tc>
        <w:tc>
          <w:tcPr>
            <w:tcW w:w="2062" w:type="pct"/>
            <w:tcBorders>
              <w:top w:val="nil"/>
              <w:left w:val="nil"/>
              <w:bottom w:val="nil"/>
              <w:right w:val="nil"/>
            </w:tcBorders>
            <w:shd w:val="clear" w:color="000000" w:fill="FFFFFF"/>
            <w:vAlign w:val="center"/>
          </w:tcPr>
          <w:p w14:paraId="7D6CE271"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37</w:t>
            </w:r>
          </w:p>
        </w:tc>
        <w:tc>
          <w:tcPr>
            <w:tcW w:w="1301" w:type="pct"/>
            <w:tcBorders>
              <w:top w:val="nil"/>
              <w:left w:val="nil"/>
              <w:bottom w:val="nil"/>
              <w:right w:val="nil"/>
            </w:tcBorders>
            <w:shd w:val="clear" w:color="000000" w:fill="FFFFFF"/>
            <w:vAlign w:val="center"/>
          </w:tcPr>
          <w:p w14:paraId="55380ECC"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33.7</w:t>
            </w:r>
          </w:p>
        </w:tc>
      </w:tr>
      <w:tr w:rsidR="00D81529" w14:paraId="17E650B7" w14:textId="77777777">
        <w:trPr>
          <w:trHeight w:val="280"/>
        </w:trPr>
        <w:tc>
          <w:tcPr>
            <w:tcW w:w="1638" w:type="pct"/>
            <w:tcBorders>
              <w:top w:val="nil"/>
              <w:left w:val="nil"/>
              <w:bottom w:val="nil"/>
              <w:right w:val="nil"/>
            </w:tcBorders>
            <w:shd w:val="clear" w:color="000000" w:fill="FFFFFF"/>
            <w:vAlign w:val="center"/>
          </w:tcPr>
          <w:p w14:paraId="2C3A3608"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No</w:t>
            </w:r>
          </w:p>
        </w:tc>
        <w:tc>
          <w:tcPr>
            <w:tcW w:w="2062" w:type="pct"/>
            <w:tcBorders>
              <w:top w:val="nil"/>
              <w:left w:val="nil"/>
              <w:bottom w:val="nil"/>
              <w:right w:val="nil"/>
            </w:tcBorders>
            <w:shd w:val="clear" w:color="000000" w:fill="FFFFFF"/>
            <w:vAlign w:val="center"/>
          </w:tcPr>
          <w:p w14:paraId="5037AA25"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119</w:t>
            </w:r>
          </w:p>
        </w:tc>
        <w:tc>
          <w:tcPr>
            <w:tcW w:w="1301" w:type="pct"/>
            <w:tcBorders>
              <w:top w:val="nil"/>
              <w:left w:val="nil"/>
              <w:bottom w:val="nil"/>
              <w:right w:val="nil"/>
            </w:tcBorders>
            <w:shd w:val="clear" w:color="000000" w:fill="FFFFFF"/>
            <w:vAlign w:val="center"/>
          </w:tcPr>
          <w:p w14:paraId="02873419"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76.3</w:t>
            </w:r>
          </w:p>
        </w:tc>
      </w:tr>
      <w:tr w:rsidR="00D81529" w14:paraId="0B03E02D" w14:textId="77777777">
        <w:trPr>
          <w:trHeight w:val="280"/>
        </w:trPr>
        <w:tc>
          <w:tcPr>
            <w:tcW w:w="1638" w:type="pct"/>
            <w:tcBorders>
              <w:top w:val="nil"/>
              <w:left w:val="nil"/>
              <w:bottom w:val="nil"/>
              <w:right w:val="nil"/>
            </w:tcBorders>
            <w:shd w:val="clear" w:color="000000" w:fill="FFFFFF"/>
            <w:vAlign w:val="center"/>
          </w:tcPr>
          <w:p w14:paraId="79B347B5"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TR</w:t>
            </w:r>
          </w:p>
        </w:tc>
        <w:tc>
          <w:tcPr>
            <w:tcW w:w="2062" w:type="pct"/>
            <w:tcBorders>
              <w:top w:val="nil"/>
              <w:left w:val="nil"/>
              <w:bottom w:val="nil"/>
              <w:right w:val="nil"/>
            </w:tcBorders>
            <w:shd w:val="clear" w:color="000000" w:fill="FFFFFF"/>
            <w:vAlign w:val="center"/>
          </w:tcPr>
          <w:p w14:paraId="6DD2E9AE"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4F5BACE0" w14:textId="77777777" w:rsidR="00D81529" w:rsidRDefault="00D81529">
            <w:pPr>
              <w:adjustRightInd w:val="0"/>
              <w:snapToGrid w:val="0"/>
              <w:spacing w:line="360" w:lineRule="auto"/>
              <w:jc w:val="both"/>
              <w:rPr>
                <w:rFonts w:ascii="Book Antiqua" w:eastAsia="宋体" w:hAnsi="Book Antiqua" w:cs="宋体"/>
              </w:rPr>
            </w:pPr>
          </w:p>
        </w:tc>
      </w:tr>
      <w:tr w:rsidR="00D81529" w14:paraId="6BDC1EEA" w14:textId="77777777">
        <w:trPr>
          <w:trHeight w:val="280"/>
        </w:trPr>
        <w:tc>
          <w:tcPr>
            <w:tcW w:w="1638" w:type="pct"/>
            <w:tcBorders>
              <w:top w:val="nil"/>
              <w:left w:val="nil"/>
              <w:bottom w:val="nil"/>
              <w:right w:val="nil"/>
            </w:tcBorders>
            <w:shd w:val="clear" w:color="000000" w:fill="FFFFFF"/>
            <w:vAlign w:val="center"/>
          </w:tcPr>
          <w:p w14:paraId="2EBBC6CF"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&lt; 0.5</w:t>
            </w:r>
          </w:p>
        </w:tc>
        <w:tc>
          <w:tcPr>
            <w:tcW w:w="2062" w:type="pct"/>
            <w:tcBorders>
              <w:top w:val="nil"/>
              <w:left w:val="nil"/>
              <w:bottom w:val="nil"/>
              <w:right w:val="nil"/>
            </w:tcBorders>
            <w:shd w:val="clear" w:color="000000" w:fill="FFFFFF"/>
            <w:vAlign w:val="center"/>
          </w:tcPr>
          <w:p w14:paraId="74C6D055"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4</w:t>
            </w:r>
          </w:p>
        </w:tc>
        <w:tc>
          <w:tcPr>
            <w:tcW w:w="1301" w:type="pct"/>
            <w:tcBorders>
              <w:top w:val="nil"/>
              <w:left w:val="nil"/>
              <w:bottom w:val="nil"/>
              <w:right w:val="nil"/>
            </w:tcBorders>
            <w:shd w:val="clear" w:color="000000" w:fill="FFFFFF"/>
            <w:vAlign w:val="center"/>
          </w:tcPr>
          <w:p w14:paraId="0A33449E"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2.6</w:t>
            </w:r>
          </w:p>
        </w:tc>
      </w:tr>
      <w:tr w:rsidR="00D81529" w14:paraId="3F9B14E4" w14:textId="77777777">
        <w:trPr>
          <w:trHeight w:val="280"/>
        </w:trPr>
        <w:tc>
          <w:tcPr>
            <w:tcW w:w="1638" w:type="pct"/>
            <w:tcBorders>
              <w:top w:val="nil"/>
              <w:left w:val="nil"/>
              <w:bottom w:val="nil"/>
              <w:right w:val="nil"/>
            </w:tcBorders>
            <w:shd w:val="clear" w:color="000000" w:fill="FFFFFF"/>
            <w:vAlign w:val="center"/>
          </w:tcPr>
          <w:p w14:paraId="769AD5B7"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 0.5 or &lt; 1</w:t>
            </w:r>
          </w:p>
        </w:tc>
        <w:tc>
          <w:tcPr>
            <w:tcW w:w="2062" w:type="pct"/>
            <w:tcBorders>
              <w:top w:val="nil"/>
              <w:left w:val="nil"/>
              <w:bottom w:val="nil"/>
              <w:right w:val="nil"/>
            </w:tcBorders>
            <w:shd w:val="clear" w:color="000000" w:fill="FFFFFF"/>
            <w:vAlign w:val="center"/>
          </w:tcPr>
          <w:p w14:paraId="2D05BE19"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123</w:t>
            </w:r>
          </w:p>
        </w:tc>
        <w:tc>
          <w:tcPr>
            <w:tcW w:w="1301" w:type="pct"/>
            <w:tcBorders>
              <w:top w:val="nil"/>
              <w:left w:val="nil"/>
              <w:bottom w:val="nil"/>
              <w:right w:val="nil"/>
            </w:tcBorders>
            <w:shd w:val="clear" w:color="000000" w:fill="FFFFFF"/>
            <w:vAlign w:val="center"/>
          </w:tcPr>
          <w:p w14:paraId="505A9F38"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78.8</w:t>
            </w:r>
          </w:p>
        </w:tc>
      </w:tr>
      <w:tr w:rsidR="00D81529" w14:paraId="5FF7711D" w14:textId="77777777">
        <w:trPr>
          <w:trHeight w:val="280"/>
        </w:trPr>
        <w:tc>
          <w:tcPr>
            <w:tcW w:w="1638" w:type="pct"/>
            <w:tcBorders>
              <w:top w:val="nil"/>
              <w:left w:val="nil"/>
              <w:bottom w:val="nil"/>
              <w:right w:val="nil"/>
            </w:tcBorders>
            <w:shd w:val="clear" w:color="000000" w:fill="FFFFFF"/>
            <w:vAlign w:val="center"/>
          </w:tcPr>
          <w:p w14:paraId="3B7D37BC"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 1</w:t>
            </w:r>
          </w:p>
        </w:tc>
        <w:tc>
          <w:tcPr>
            <w:tcW w:w="2062" w:type="pct"/>
            <w:tcBorders>
              <w:top w:val="nil"/>
              <w:left w:val="nil"/>
              <w:bottom w:val="nil"/>
              <w:right w:val="nil"/>
            </w:tcBorders>
            <w:shd w:val="clear" w:color="000000" w:fill="FFFFFF"/>
            <w:vAlign w:val="center"/>
          </w:tcPr>
          <w:p w14:paraId="4DCFF705"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29</w:t>
            </w:r>
          </w:p>
        </w:tc>
        <w:tc>
          <w:tcPr>
            <w:tcW w:w="1301" w:type="pct"/>
            <w:tcBorders>
              <w:top w:val="nil"/>
              <w:left w:val="nil"/>
              <w:bottom w:val="nil"/>
              <w:right w:val="nil"/>
            </w:tcBorders>
            <w:shd w:val="clear" w:color="000000" w:fill="FFFFFF"/>
            <w:vAlign w:val="center"/>
          </w:tcPr>
          <w:p w14:paraId="3E445ED9"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18.6</w:t>
            </w:r>
          </w:p>
        </w:tc>
      </w:tr>
      <w:tr w:rsidR="00D81529" w14:paraId="594D3FD0" w14:textId="77777777">
        <w:trPr>
          <w:trHeight w:val="560"/>
        </w:trPr>
        <w:tc>
          <w:tcPr>
            <w:tcW w:w="1638" w:type="pct"/>
            <w:tcBorders>
              <w:top w:val="nil"/>
              <w:left w:val="nil"/>
              <w:bottom w:val="nil"/>
              <w:right w:val="nil"/>
            </w:tcBorders>
            <w:shd w:val="clear" w:color="000000" w:fill="FFFFFF"/>
            <w:vAlign w:val="center"/>
          </w:tcPr>
          <w:p w14:paraId="32BB4DE9"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Neural invasion</w:t>
            </w:r>
          </w:p>
        </w:tc>
        <w:tc>
          <w:tcPr>
            <w:tcW w:w="2062" w:type="pct"/>
            <w:tcBorders>
              <w:top w:val="nil"/>
              <w:left w:val="nil"/>
              <w:bottom w:val="nil"/>
              <w:right w:val="nil"/>
            </w:tcBorders>
            <w:shd w:val="clear" w:color="000000" w:fill="FFFFFF"/>
            <w:vAlign w:val="center"/>
          </w:tcPr>
          <w:p w14:paraId="56A8BE75"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229F6E0A" w14:textId="77777777" w:rsidR="00D81529" w:rsidRDefault="00D81529">
            <w:pPr>
              <w:adjustRightInd w:val="0"/>
              <w:snapToGrid w:val="0"/>
              <w:spacing w:line="360" w:lineRule="auto"/>
              <w:jc w:val="both"/>
              <w:rPr>
                <w:rFonts w:ascii="Book Antiqua" w:eastAsia="宋体" w:hAnsi="Book Antiqua" w:cs="宋体"/>
              </w:rPr>
            </w:pPr>
          </w:p>
        </w:tc>
      </w:tr>
      <w:tr w:rsidR="00D81529" w14:paraId="3DBC0B5D" w14:textId="77777777">
        <w:trPr>
          <w:trHeight w:val="280"/>
        </w:trPr>
        <w:tc>
          <w:tcPr>
            <w:tcW w:w="1638" w:type="pct"/>
            <w:tcBorders>
              <w:top w:val="nil"/>
              <w:left w:val="nil"/>
              <w:bottom w:val="nil"/>
              <w:right w:val="nil"/>
            </w:tcBorders>
            <w:shd w:val="clear" w:color="000000" w:fill="FFFFFF"/>
            <w:vAlign w:val="center"/>
          </w:tcPr>
          <w:p w14:paraId="0395E1A9"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Yes</w:t>
            </w:r>
          </w:p>
        </w:tc>
        <w:tc>
          <w:tcPr>
            <w:tcW w:w="2062" w:type="pct"/>
            <w:tcBorders>
              <w:top w:val="nil"/>
              <w:left w:val="nil"/>
              <w:bottom w:val="nil"/>
              <w:right w:val="nil"/>
            </w:tcBorders>
            <w:shd w:val="clear" w:color="000000" w:fill="FFFFFF"/>
            <w:vAlign w:val="center"/>
          </w:tcPr>
          <w:p w14:paraId="27FED4BB"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65</w:t>
            </w:r>
          </w:p>
        </w:tc>
        <w:tc>
          <w:tcPr>
            <w:tcW w:w="1301" w:type="pct"/>
            <w:tcBorders>
              <w:top w:val="nil"/>
              <w:left w:val="nil"/>
              <w:bottom w:val="nil"/>
              <w:right w:val="nil"/>
            </w:tcBorders>
            <w:shd w:val="clear" w:color="000000" w:fill="FFFFFF"/>
            <w:vAlign w:val="center"/>
          </w:tcPr>
          <w:p w14:paraId="7633D695"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41.7</w:t>
            </w:r>
          </w:p>
        </w:tc>
      </w:tr>
      <w:tr w:rsidR="00D81529" w14:paraId="36F13BDA" w14:textId="77777777">
        <w:trPr>
          <w:trHeight w:val="280"/>
        </w:trPr>
        <w:tc>
          <w:tcPr>
            <w:tcW w:w="1638" w:type="pct"/>
            <w:tcBorders>
              <w:top w:val="nil"/>
              <w:left w:val="nil"/>
              <w:bottom w:val="nil"/>
              <w:right w:val="nil"/>
            </w:tcBorders>
            <w:shd w:val="clear" w:color="000000" w:fill="FFFFFF"/>
            <w:vAlign w:val="center"/>
          </w:tcPr>
          <w:p w14:paraId="720CC493"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No</w:t>
            </w:r>
          </w:p>
        </w:tc>
        <w:tc>
          <w:tcPr>
            <w:tcW w:w="2062" w:type="pct"/>
            <w:tcBorders>
              <w:top w:val="nil"/>
              <w:left w:val="nil"/>
              <w:bottom w:val="nil"/>
              <w:right w:val="nil"/>
            </w:tcBorders>
            <w:shd w:val="clear" w:color="000000" w:fill="FFFFFF"/>
            <w:vAlign w:val="center"/>
          </w:tcPr>
          <w:p w14:paraId="6EDE3AC7"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91</w:t>
            </w:r>
          </w:p>
        </w:tc>
        <w:tc>
          <w:tcPr>
            <w:tcW w:w="1301" w:type="pct"/>
            <w:tcBorders>
              <w:top w:val="nil"/>
              <w:left w:val="nil"/>
              <w:bottom w:val="nil"/>
              <w:right w:val="nil"/>
            </w:tcBorders>
            <w:shd w:val="clear" w:color="000000" w:fill="FFFFFF"/>
            <w:vAlign w:val="center"/>
          </w:tcPr>
          <w:p w14:paraId="5E81DC67"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58.3</w:t>
            </w:r>
          </w:p>
        </w:tc>
      </w:tr>
      <w:tr w:rsidR="00D81529" w14:paraId="4838600D" w14:textId="77777777">
        <w:trPr>
          <w:trHeight w:val="560"/>
        </w:trPr>
        <w:tc>
          <w:tcPr>
            <w:tcW w:w="1638" w:type="pct"/>
            <w:tcBorders>
              <w:top w:val="nil"/>
              <w:left w:val="nil"/>
              <w:bottom w:val="nil"/>
              <w:right w:val="nil"/>
            </w:tcBorders>
            <w:shd w:val="clear" w:color="000000" w:fill="FFFFFF"/>
            <w:vAlign w:val="center"/>
          </w:tcPr>
          <w:p w14:paraId="5F91EB44"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Vascular invasion</w:t>
            </w:r>
          </w:p>
        </w:tc>
        <w:tc>
          <w:tcPr>
            <w:tcW w:w="2062" w:type="pct"/>
            <w:tcBorders>
              <w:top w:val="nil"/>
              <w:left w:val="nil"/>
              <w:bottom w:val="nil"/>
              <w:right w:val="nil"/>
            </w:tcBorders>
            <w:shd w:val="clear" w:color="000000" w:fill="FFFFFF"/>
            <w:vAlign w:val="center"/>
          </w:tcPr>
          <w:p w14:paraId="7BFB7E12"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7A2067BB" w14:textId="77777777" w:rsidR="00D81529" w:rsidRDefault="00D81529">
            <w:pPr>
              <w:adjustRightInd w:val="0"/>
              <w:snapToGrid w:val="0"/>
              <w:spacing w:line="360" w:lineRule="auto"/>
              <w:jc w:val="both"/>
              <w:rPr>
                <w:rFonts w:ascii="Book Antiqua" w:eastAsia="宋体" w:hAnsi="Book Antiqua" w:cs="宋体"/>
              </w:rPr>
            </w:pPr>
          </w:p>
        </w:tc>
      </w:tr>
      <w:tr w:rsidR="00D81529" w14:paraId="65DA4158" w14:textId="77777777">
        <w:trPr>
          <w:trHeight w:val="280"/>
        </w:trPr>
        <w:tc>
          <w:tcPr>
            <w:tcW w:w="1638" w:type="pct"/>
            <w:tcBorders>
              <w:top w:val="nil"/>
              <w:left w:val="nil"/>
              <w:bottom w:val="nil"/>
              <w:right w:val="nil"/>
            </w:tcBorders>
            <w:shd w:val="clear" w:color="000000" w:fill="FFFFFF"/>
            <w:vAlign w:val="center"/>
          </w:tcPr>
          <w:p w14:paraId="35C9BAF3"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Yes</w:t>
            </w:r>
          </w:p>
        </w:tc>
        <w:tc>
          <w:tcPr>
            <w:tcW w:w="2062" w:type="pct"/>
            <w:tcBorders>
              <w:top w:val="nil"/>
              <w:left w:val="nil"/>
              <w:bottom w:val="nil"/>
              <w:right w:val="nil"/>
            </w:tcBorders>
            <w:shd w:val="clear" w:color="000000" w:fill="FFFFFF"/>
            <w:vAlign w:val="center"/>
          </w:tcPr>
          <w:p w14:paraId="1715C928"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76</w:t>
            </w:r>
          </w:p>
        </w:tc>
        <w:tc>
          <w:tcPr>
            <w:tcW w:w="1301" w:type="pct"/>
            <w:tcBorders>
              <w:top w:val="nil"/>
              <w:left w:val="nil"/>
              <w:bottom w:val="nil"/>
              <w:right w:val="nil"/>
            </w:tcBorders>
            <w:shd w:val="clear" w:color="000000" w:fill="FFFFFF"/>
            <w:vAlign w:val="center"/>
          </w:tcPr>
          <w:p w14:paraId="39D2C4F2"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48.7</w:t>
            </w:r>
          </w:p>
        </w:tc>
      </w:tr>
      <w:tr w:rsidR="00D81529" w14:paraId="237D81EC" w14:textId="77777777">
        <w:trPr>
          <w:trHeight w:val="280"/>
        </w:trPr>
        <w:tc>
          <w:tcPr>
            <w:tcW w:w="1638" w:type="pct"/>
            <w:tcBorders>
              <w:top w:val="nil"/>
              <w:left w:val="nil"/>
              <w:bottom w:val="nil"/>
              <w:right w:val="nil"/>
            </w:tcBorders>
            <w:shd w:val="clear" w:color="000000" w:fill="FFFFFF"/>
            <w:vAlign w:val="center"/>
          </w:tcPr>
          <w:p w14:paraId="0109A71D"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No</w:t>
            </w:r>
          </w:p>
        </w:tc>
        <w:tc>
          <w:tcPr>
            <w:tcW w:w="2062" w:type="pct"/>
            <w:tcBorders>
              <w:top w:val="nil"/>
              <w:left w:val="nil"/>
              <w:bottom w:val="nil"/>
              <w:right w:val="nil"/>
            </w:tcBorders>
            <w:shd w:val="clear" w:color="000000" w:fill="FFFFFF"/>
            <w:vAlign w:val="center"/>
          </w:tcPr>
          <w:p w14:paraId="6A5CA45A"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80</w:t>
            </w:r>
          </w:p>
        </w:tc>
        <w:tc>
          <w:tcPr>
            <w:tcW w:w="1301" w:type="pct"/>
            <w:tcBorders>
              <w:top w:val="nil"/>
              <w:left w:val="nil"/>
              <w:bottom w:val="nil"/>
              <w:right w:val="nil"/>
            </w:tcBorders>
            <w:shd w:val="clear" w:color="000000" w:fill="FFFFFF"/>
            <w:vAlign w:val="center"/>
          </w:tcPr>
          <w:p w14:paraId="7F19FFF6"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51.3</w:t>
            </w:r>
          </w:p>
        </w:tc>
      </w:tr>
      <w:tr w:rsidR="00D81529" w14:paraId="1E6078BD" w14:textId="77777777">
        <w:trPr>
          <w:trHeight w:val="560"/>
        </w:trPr>
        <w:tc>
          <w:tcPr>
            <w:tcW w:w="1638" w:type="pct"/>
            <w:tcBorders>
              <w:top w:val="nil"/>
              <w:left w:val="nil"/>
              <w:bottom w:val="nil"/>
              <w:right w:val="nil"/>
            </w:tcBorders>
            <w:shd w:val="clear" w:color="000000" w:fill="FFFFFF"/>
            <w:vAlign w:val="center"/>
          </w:tcPr>
          <w:p w14:paraId="20EDF076"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Positive lymph nodes</w:t>
            </w:r>
          </w:p>
        </w:tc>
        <w:tc>
          <w:tcPr>
            <w:tcW w:w="2062" w:type="pct"/>
            <w:tcBorders>
              <w:top w:val="nil"/>
              <w:left w:val="nil"/>
              <w:bottom w:val="nil"/>
              <w:right w:val="nil"/>
            </w:tcBorders>
            <w:shd w:val="clear" w:color="000000" w:fill="FFFFFF"/>
            <w:vAlign w:val="center"/>
          </w:tcPr>
          <w:p w14:paraId="632E9B68"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0E0CDBFF" w14:textId="77777777" w:rsidR="00D81529" w:rsidRDefault="00D81529">
            <w:pPr>
              <w:adjustRightInd w:val="0"/>
              <w:snapToGrid w:val="0"/>
              <w:spacing w:line="360" w:lineRule="auto"/>
              <w:jc w:val="both"/>
              <w:rPr>
                <w:rFonts w:ascii="Book Antiqua" w:eastAsia="宋体" w:hAnsi="Book Antiqua" w:cs="宋体"/>
              </w:rPr>
            </w:pPr>
          </w:p>
        </w:tc>
      </w:tr>
      <w:tr w:rsidR="00D81529" w14:paraId="06CDA588" w14:textId="77777777">
        <w:trPr>
          <w:trHeight w:val="280"/>
        </w:trPr>
        <w:tc>
          <w:tcPr>
            <w:tcW w:w="1638" w:type="pct"/>
            <w:tcBorders>
              <w:top w:val="nil"/>
              <w:left w:val="nil"/>
              <w:bottom w:val="nil"/>
              <w:right w:val="nil"/>
            </w:tcBorders>
            <w:shd w:val="clear" w:color="000000" w:fill="FFFFFF"/>
            <w:vAlign w:val="center"/>
          </w:tcPr>
          <w:p w14:paraId="7604BFDA"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0</w:t>
            </w:r>
          </w:p>
        </w:tc>
        <w:tc>
          <w:tcPr>
            <w:tcW w:w="2062" w:type="pct"/>
            <w:tcBorders>
              <w:top w:val="nil"/>
              <w:left w:val="nil"/>
              <w:bottom w:val="nil"/>
              <w:right w:val="nil"/>
            </w:tcBorders>
            <w:shd w:val="clear" w:color="000000" w:fill="FFFFFF"/>
            <w:vAlign w:val="center"/>
          </w:tcPr>
          <w:p w14:paraId="2F40FC31"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50</w:t>
            </w:r>
          </w:p>
        </w:tc>
        <w:tc>
          <w:tcPr>
            <w:tcW w:w="1301" w:type="pct"/>
            <w:tcBorders>
              <w:top w:val="nil"/>
              <w:left w:val="nil"/>
              <w:bottom w:val="nil"/>
              <w:right w:val="nil"/>
            </w:tcBorders>
            <w:shd w:val="clear" w:color="000000" w:fill="FFFFFF"/>
            <w:vAlign w:val="center"/>
          </w:tcPr>
          <w:p w14:paraId="6B17B027"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32.1</w:t>
            </w:r>
          </w:p>
        </w:tc>
      </w:tr>
      <w:tr w:rsidR="00D81529" w14:paraId="132BEAAD" w14:textId="77777777">
        <w:trPr>
          <w:trHeight w:val="280"/>
        </w:trPr>
        <w:tc>
          <w:tcPr>
            <w:tcW w:w="1638" w:type="pct"/>
            <w:tcBorders>
              <w:top w:val="nil"/>
              <w:left w:val="nil"/>
              <w:bottom w:val="nil"/>
              <w:right w:val="nil"/>
            </w:tcBorders>
            <w:shd w:val="clear" w:color="000000" w:fill="FFFFFF"/>
            <w:vAlign w:val="center"/>
          </w:tcPr>
          <w:p w14:paraId="1A541253"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1-2</w:t>
            </w:r>
          </w:p>
        </w:tc>
        <w:tc>
          <w:tcPr>
            <w:tcW w:w="2062" w:type="pct"/>
            <w:tcBorders>
              <w:top w:val="nil"/>
              <w:left w:val="nil"/>
              <w:bottom w:val="nil"/>
              <w:right w:val="nil"/>
            </w:tcBorders>
            <w:shd w:val="clear" w:color="000000" w:fill="FFFFFF"/>
            <w:vAlign w:val="center"/>
          </w:tcPr>
          <w:p w14:paraId="264FAB4F"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37</w:t>
            </w:r>
          </w:p>
        </w:tc>
        <w:tc>
          <w:tcPr>
            <w:tcW w:w="1301" w:type="pct"/>
            <w:tcBorders>
              <w:top w:val="nil"/>
              <w:left w:val="nil"/>
              <w:bottom w:val="nil"/>
              <w:right w:val="nil"/>
            </w:tcBorders>
            <w:shd w:val="clear" w:color="000000" w:fill="FFFFFF"/>
            <w:vAlign w:val="center"/>
          </w:tcPr>
          <w:p w14:paraId="596BAF2B"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33.7</w:t>
            </w:r>
          </w:p>
        </w:tc>
      </w:tr>
      <w:tr w:rsidR="00D81529" w14:paraId="3FCF882E" w14:textId="77777777">
        <w:trPr>
          <w:trHeight w:val="280"/>
        </w:trPr>
        <w:tc>
          <w:tcPr>
            <w:tcW w:w="1638" w:type="pct"/>
            <w:tcBorders>
              <w:top w:val="nil"/>
              <w:left w:val="nil"/>
              <w:bottom w:val="nil"/>
              <w:right w:val="nil"/>
            </w:tcBorders>
            <w:shd w:val="clear" w:color="000000" w:fill="FFFFFF"/>
            <w:vAlign w:val="center"/>
          </w:tcPr>
          <w:p w14:paraId="16D6B176"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&gt; 2</w:t>
            </w:r>
          </w:p>
        </w:tc>
        <w:tc>
          <w:tcPr>
            <w:tcW w:w="2062" w:type="pct"/>
            <w:tcBorders>
              <w:top w:val="nil"/>
              <w:left w:val="nil"/>
              <w:bottom w:val="nil"/>
              <w:right w:val="nil"/>
            </w:tcBorders>
            <w:shd w:val="clear" w:color="000000" w:fill="FFFFFF"/>
            <w:vAlign w:val="center"/>
          </w:tcPr>
          <w:p w14:paraId="4562C1B3"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69</w:t>
            </w:r>
          </w:p>
        </w:tc>
        <w:tc>
          <w:tcPr>
            <w:tcW w:w="1301" w:type="pct"/>
            <w:tcBorders>
              <w:top w:val="nil"/>
              <w:left w:val="nil"/>
              <w:bottom w:val="nil"/>
              <w:right w:val="nil"/>
            </w:tcBorders>
            <w:shd w:val="clear" w:color="000000" w:fill="FFFFFF"/>
            <w:vAlign w:val="center"/>
          </w:tcPr>
          <w:p w14:paraId="78ADD4F4"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44.2</w:t>
            </w:r>
          </w:p>
        </w:tc>
      </w:tr>
      <w:tr w:rsidR="00D81529" w14:paraId="24818DAF" w14:textId="77777777">
        <w:trPr>
          <w:trHeight w:val="560"/>
        </w:trPr>
        <w:tc>
          <w:tcPr>
            <w:tcW w:w="1638" w:type="pct"/>
            <w:tcBorders>
              <w:top w:val="nil"/>
              <w:left w:val="nil"/>
              <w:bottom w:val="nil"/>
              <w:right w:val="nil"/>
            </w:tcBorders>
            <w:shd w:val="clear" w:color="000000" w:fill="FFFFFF"/>
            <w:vAlign w:val="center"/>
          </w:tcPr>
          <w:p w14:paraId="17A82A00"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Tumor resection</w:t>
            </w:r>
          </w:p>
        </w:tc>
        <w:tc>
          <w:tcPr>
            <w:tcW w:w="2062" w:type="pct"/>
            <w:tcBorders>
              <w:top w:val="nil"/>
              <w:left w:val="nil"/>
              <w:bottom w:val="nil"/>
              <w:right w:val="nil"/>
            </w:tcBorders>
            <w:shd w:val="clear" w:color="000000" w:fill="FFFFFF"/>
            <w:vAlign w:val="center"/>
          </w:tcPr>
          <w:p w14:paraId="295FFAF2"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622AF18D" w14:textId="77777777" w:rsidR="00D81529" w:rsidRDefault="00D81529">
            <w:pPr>
              <w:adjustRightInd w:val="0"/>
              <w:snapToGrid w:val="0"/>
              <w:spacing w:line="360" w:lineRule="auto"/>
              <w:jc w:val="both"/>
              <w:rPr>
                <w:rFonts w:ascii="Book Antiqua" w:eastAsia="宋体" w:hAnsi="Book Antiqua" w:cs="宋体"/>
              </w:rPr>
            </w:pPr>
          </w:p>
        </w:tc>
      </w:tr>
      <w:tr w:rsidR="00D81529" w14:paraId="06F1EC70" w14:textId="77777777">
        <w:trPr>
          <w:trHeight w:val="280"/>
        </w:trPr>
        <w:tc>
          <w:tcPr>
            <w:tcW w:w="1638" w:type="pct"/>
            <w:tcBorders>
              <w:top w:val="nil"/>
              <w:left w:val="nil"/>
              <w:bottom w:val="nil"/>
              <w:right w:val="nil"/>
            </w:tcBorders>
            <w:shd w:val="clear" w:color="000000" w:fill="FFFFFF"/>
            <w:vAlign w:val="center"/>
          </w:tcPr>
          <w:p w14:paraId="192535CA"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R0</w:t>
            </w:r>
          </w:p>
        </w:tc>
        <w:tc>
          <w:tcPr>
            <w:tcW w:w="2062" w:type="pct"/>
            <w:tcBorders>
              <w:top w:val="nil"/>
              <w:left w:val="nil"/>
              <w:bottom w:val="nil"/>
              <w:right w:val="nil"/>
            </w:tcBorders>
            <w:shd w:val="clear" w:color="000000" w:fill="FFFFFF"/>
            <w:vAlign w:val="center"/>
          </w:tcPr>
          <w:p w14:paraId="438D373C"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65</w:t>
            </w:r>
          </w:p>
        </w:tc>
        <w:tc>
          <w:tcPr>
            <w:tcW w:w="1301" w:type="pct"/>
            <w:tcBorders>
              <w:top w:val="nil"/>
              <w:left w:val="nil"/>
              <w:bottom w:val="nil"/>
              <w:right w:val="nil"/>
            </w:tcBorders>
            <w:shd w:val="clear" w:color="000000" w:fill="FFFFFF"/>
            <w:vAlign w:val="center"/>
          </w:tcPr>
          <w:p w14:paraId="1B8CE31F"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41.7</w:t>
            </w:r>
          </w:p>
        </w:tc>
      </w:tr>
      <w:tr w:rsidR="00D81529" w14:paraId="0F162967" w14:textId="77777777">
        <w:trPr>
          <w:trHeight w:val="280"/>
        </w:trPr>
        <w:tc>
          <w:tcPr>
            <w:tcW w:w="1638" w:type="pct"/>
            <w:tcBorders>
              <w:top w:val="nil"/>
              <w:left w:val="nil"/>
              <w:bottom w:val="nil"/>
              <w:right w:val="nil"/>
            </w:tcBorders>
            <w:shd w:val="clear" w:color="000000" w:fill="FFFFFF"/>
            <w:vAlign w:val="center"/>
          </w:tcPr>
          <w:p w14:paraId="0A0845CE"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R1</w:t>
            </w:r>
          </w:p>
        </w:tc>
        <w:tc>
          <w:tcPr>
            <w:tcW w:w="2062" w:type="pct"/>
            <w:tcBorders>
              <w:top w:val="nil"/>
              <w:left w:val="nil"/>
              <w:bottom w:val="nil"/>
              <w:right w:val="nil"/>
            </w:tcBorders>
            <w:shd w:val="clear" w:color="000000" w:fill="FFFFFF"/>
            <w:vAlign w:val="center"/>
          </w:tcPr>
          <w:p w14:paraId="7A6A9D64"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91</w:t>
            </w:r>
          </w:p>
        </w:tc>
        <w:tc>
          <w:tcPr>
            <w:tcW w:w="1301" w:type="pct"/>
            <w:tcBorders>
              <w:top w:val="nil"/>
              <w:left w:val="nil"/>
              <w:bottom w:val="nil"/>
              <w:right w:val="nil"/>
            </w:tcBorders>
            <w:shd w:val="clear" w:color="000000" w:fill="FFFFFF"/>
            <w:vAlign w:val="center"/>
          </w:tcPr>
          <w:p w14:paraId="6724EFF3"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58.3</w:t>
            </w:r>
          </w:p>
        </w:tc>
      </w:tr>
      <w:tr w:rsidR="00D81529" w14:paraId="68B78639" w14:textId="77777777">
        <w:trPr>
          <w:trHeight w:val="560"/>
        </w:trPr>
        <w:tc>
          <w:tcPr>
            <w:tcW w:w="1638" w:type="pct"/>
            <w:tcBorders>
              <w:top w:val="nil"/>
              <w:left w:val="nil"/>
              <w:bottom w:val="nil"/>
              <w:right w:val="nil"/>
            </w:tcBorders>
            <w:shd w:val="clear" w:color="000000" w:fill="FFFFFF"/>
            <w:vAlign w:val="center"/>
          </w:tcPr>
          <w:p w14:paraId="603F0C03"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lastRenderedPageBreak/>
              <w:t>Operation type</w:t>
            </w:r>
          </w:p>
        </w:tc>
        <w:tc>
          <w:tcPr>
            <w:tcW w:w="2062" w:type="pct"/>
            <w:tcBorders>
              <w:top w:val="nil"/>
              <w:left w:val="nil"/>
              <w:bottom w:val="nil"/>
              <w:right w:val="nil"/>
            </w:tcBorders>
            <w:shd w:val="clear" w:color="000000" w:fill="FFFFFF"/>
            <w:vAlign w:val="center"/>
          </w:tcPr>
          <w:p w14:paraId="6DBCC6BF" w14:textId="77777777" w:rsidR="00D81529" w:rsidRDefault="00D8152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tcPr>
          <w:p w14:paraId="7E2190A8" w14:textId="77777777" w:rsidR="00D81529" w:rsidRDefault="00D81529">
            <w:pPr>
              <w:adjustRightInd w:val="0"/>
              <w:snapToGrid w:val="0"/>
              <w:spacing w:line="360" w:lineRule="auto"/>
              <w:jc w:val="both"/>
              <w:rPr>
                <w:rFonts w:ascii="Book Antiqua" w:eastAsia="宋体" w:hAnsi="Book Antiqua" w:cs="宋体"/>
              </w:rPr>
            </w:pPr>
          </w:p>
        </w:tc>
      </w:tr>
      <w:tr w:rsidR="00D81529" w14:paraId="75B5F529" w14:textId="77777777">
        <w:trPr>
          <w:trHeight w:val="280"/>
        </w:trPr>
        <w:tc>
          <w:tcPr>
            <w:tcW w:w="1638" w:type="pct"/>
            <w:tcBorders>
              <w:top w:val="nil"/>
              <w:left w:val="nil"/>
              <w:bottom w:val="nil"/>
              <w:right w:val="nil"/>
            </w:tcBorders>
            <w:shd w:val="clear" w:color="000000" w:fill="FFFFFF"/>
            <w:vAlign w:val="center"/>
          </w:tcPr>
          <w:p w14:paraId="63A52906"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Whipple</w:t>
            </w:r>
          </w:p>
        </w:tc>
        <w:tc>
          <w:tcPr>
            <w:tcW w:w="2062" w:type="pct"/>
            <w:tcBorders>
              <w:top w:val="nil"/>
              <w:left w:val="nil"/>
              <w:bottom w:val="nil"/>
              <w:right w:val="nil"/>
            </w:tcBorders>
            <w:shd w:val="clear" w:color="000000" w:fill="FFFFFF"/>
            <w:vAlign w:val="center"/>
          </w:tcPr>
          <w:p w14:paraId="5223AFBC"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117</w:t>
            </w:r>
          </w:p>
        </w:tc>
        <w:tc>
          <w:tcPr>
            <w:tcW w:w="1301" w:type="pct"/>
            <w:tcBorders>
              <w:top w:val="nil"/>
              <w:left w:val="nil"/>
              <w:bottom w:val="nil"/>
              <w:right w:val="nil"/>
            </w:tcBorders>
            <w:shd w:val="clear" w:color="000000" w:fill="FFFFFF"/>
            <w:vAlign w:val="center"/>
          </w:tcPr>
          <w:p w14:paraId="3E198FFF"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75.0</w:t>
            </w:r>
          </w:p>
        </w:tc>
      </w:tr>
      <w:tr w:rsidR="00D81529" w14:paraId="0DD8F5B7" w14:textId="77777777">
        <w:trPr>
          <w:trHeight w:val="860"/>
        </w:trPr>
        <w:tc>
          <w:tcPr>
            <w:tcW w:w="1638" w:type="pct"/>
            <w:tcBorders>
              <w:top w:val="nil"/>
              <w:left w:val="nil"/>
              <w:bottom w:val="nil"/>
              <w:right w:val="nil"/>
            </w:tcBorders>
            <w:shd w:val="clear" w:color="000000" w:fill="FFFFFF"/>
            <w:vAlign w:val="center"/>
          </w:tcPr>
          <w:p w14:paraId="608B29B1"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Distal pancreatectomy</w:t>
            </w:r>
          </w:p>
        </w:tc>
        <w:tc>
          <w:tcPr>
            <w:tcW w:w="2062" w:type="pct"/>
            <w:tcBorders>
              <w:top w:val="nil"/>
              <w:left w:val="nil"/>
              <w:bottom w:val="nil"/>
              <w:right w:val="nil"/>
            </w:tcBorders>
            <w:shd w:val="clear" w:color="000000" w:fill="FFFFFF"/>
            <w:vAlign w:val="center"/>
          </w:tcPr>
          <w:p w14:paraId="55CB589F"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30</w:t>
            </w:r>
          </w:p>
        </w:tc>
        <w:tc>
          <w:tcPr>
            <w:tcW w:w="1301" w:type="pct"/>
            <w:tcBorders>
              <w:top w:val="nil"/>
              <w:left w:val="nil"/>
              <w:bottom w:val="nil"/>
              <w:right w:val="nil"/>
            </w:tcBorders>
            <w:shd w:val="clear" w:color="000000" w:fill="FFFFFF"/>
            <w:vAlign w:val="center"/>
          </w:tcPr>
          <w:p w14:paraId="7513A61F"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19.2</w:t>
            </w:r>
          </w:p>
        </w:tc>
      </w:tr>
      <w:tr w:rsidR="00D81529" w14:paraId="54ED811F" w14:textId="77777777">
        <w:trPr>
          <w:trHeight w:val="860"/>
        </w:trPr>
        <w:tc>
          <w:tcPr>
            <w:tcW w:w="1638" w:type="pct"/>
            <w:tcBorders>
              <w:top w:val="nil"/>
              <w:left w:val="nil"/>
              <w:bottom w:val="single" w:sz="8" w:space="0" w:color="auto"/>
              <w:right w:val="nil"/>
            </w:tcBorders>
            <w:shd w:val="clear" w:color="000000" w:fill="FFFFFF"/>
            <w:vAlign w:val="center"/>
          </w:tcPr>
          <w:p w14:paraId="57572A19" w14:textId="77777777" w:rsidR="00D81529" w:rsidRDefault="00000000">
            <w:pPr>
              <w:adjustRightInd w:val="0"/>
              <w:snapToGrid w:val="0"/>
              <w:spacing w:line="360" w:lineRule="auto"/>
              <w:ind w:firstLineChars="100" w:firstLine="240"/>
              <w:jc w:val="both"/>
              <w:rPr>
                <w:rFonts w:ascii="Book Antiqua" w:eastAsia="宋体" w:hAnsi="Book Antiqua" w:cs="宋体"/>
              </w:rPr>
            </w:pPr>
            <w:r>
              <w:rPr>
                <w:rFonts w:ascii="Book Antiqua" w:eastAsia="宋体" w:hAnsi="Book Antiqua" w:cs="宋体"/>
              </w:rPr>
              <w:t>Distal pancreatectomy with celiac axis resection</w:t>
            </w:r>
          </w:p>
        </w:tc>
        <w:tc>
          <w:tcPr>
            <w:tcW w:w="2062" w:type="pct"/>
            <w:tcBorders>
              <w:top w:val="nil"/>
              <w:left w:val="nil"/>
              <w:bottom w:val="single" w:sz="8" w:space="0" w:color="auto"/>
              <w:right w:val="nil"/>
            </w:tcBorders>
            <w:shd w:val="clear" w:color="000000" w:fill="FFFFFF"/>
            <w:vAlign w:val="center"/>
          </w:tcPr>
          <w:p w14:paraId="45F6D8E6"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9</w:t>
            </w:r>
          </w:p>
        </w:tc>
        <w:tc>
          <w:tcPr>
            <w:tcW w:w="1301" w:type="pct"/>
            <w:tcBorders>
              <w:top w:val="nil"/>
              <w:left w:val="nil"/>
              <w:bottom w:val="single" w:sz="8" w:space="0" w:color="auto"/>
              <w:right w:val="nil"/>
            </w:tcBorders>
            <w:shd w:val="clear" w:color="000000" w:fill="FFFFFF"/>
            <w:vAlign w:val="center"/>
          </w:tcPr>
          <w:p w14:paraId="29EBC4E6"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4.8</w:t>
            </w:r>
          </w:p>
        </w:tc>
      </w:tr>
    </w:tbl>
    <w:p w14:paraId="367F6CBC" w14:textId="77777777" w:rsidR="00D8152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AJCC: American Joint Committee on Cancer; ASA: American Society of Anesthesiologists; BMI: Body mass index; Chx: Chemotherapy; CR: Carbohydrate antigen 19-9 ratio; Rtx: Radiotherapy; TR: Tumor size ratio.</w:t>
      </w:r>
    </w:p>
    <w:p w14:paraId="517B4668" w14:textId="77777777" w:rsidR="00D81529" w:rsidRDefault="00D81529">
      <w:pPr>
        <w:adjustRightInd w:val="0"/>
        <w:snapToGrid w:val="0"/>
        <w:spacing w:line="360" w:lineRule="auto"/>
        <w:jc w:val="both"/>
        <w:rPr>
          <w:rFonts w:ascii="Book Antiqua" w:hAnsi="Book Antiqua" w:cstheme="minorHAnsi"/>
        </w:rPr>
      </w:pPr>
    </w:p>
    <w:p w14:paraId="0148E305" w14:textId="77777777" w:rsidR="00D81529" w:rsidRDefault="00000000">
      <w:pPr>
        <w:adjustRightInd w:val="0"/>
        <w:snapToGrid w:val="0"/>
        <w:spacing w:line="360" w:lineRule="auto"/>
        <w:jc w:val="both"/>
        <w:rPr>
          <w:rFonts w:ascii="Book Antiqua" w:hAnsi="Book Antiqua"/>
          <w:b/>
        </w:rPr>
      </w:pPr>
      <w:r>
        <w:rPr>
          <w:rFonts w:ascii="Book Antiqua" w:hAnsi="Book Antiqua"/>
          <w:b/>
        </w:rPr>
        <w:t xml:space="preserve">Table 2 </w:t>
      </w:r>
      <w:r>
        <w:rPr>
          <w:rFonts w:ascii="Book Antiqua" w:hAnsi="Book Antiqua"/>
          <w:b/>
          <w:bCs/>
        </w:rPr>
        <w:t>Cox proportional hazard regression</w:t>
      </w:r>
      <w:r>
        <w:rPr>
          <w:rFonts w:ascii="Book Antiqua" w:hAnsi="Book Antiqua"/>
          <w:b/>
        </w:rPr>
        <w:t xml:space="preserve"> analysis of patients' demographic and clinical characteristics related with overall survival</w:t>
      </w:r>
    </w:p>
    <w:tbl>
      <w:tblPr>
        <w:tblW w:w="0" w:type="auto"/>
        <w:tblLayout w:type="fixed"/>
        <w:tblLook w:val="04A0" w:firstRow="1" w:lastRow="0" w:firstColumn="1" w:lastColumn="0" w:noHBand="0" w:noVBand="1"/>
      </w:tblPr>
      <w:tblGrid>
        <w:gridCol w:w="3071"/>
        <w:gridCol w:w="651"/>
        <w:gridCol w:w="1153"/>
        <w:gridCol w:w="879"/>
        <w:gridCol w:w="694"/>
        <w:gridCol w:w="1173"/>
        <w:gridCol w:w="901"/>
      </w:tblGrid>
      <w:tr w:rsidR="00D81529" w14:paraId="48509549" w14:textId="77777777">
        <w:trPr>
          <w:trHeight w:val="300"/>
        </w:trPr>
        <w:tc>
          <w:tcPr>
            <w:tcW w:w="3071" w:type="dxa"/>
            <w:vMerge w:val="restart"/>
            <w:tcBorders>
              <w:top w:val="single" w:sz="8" w:space="0" w:color="000000"/>
              <w:left w:val="nil"/>
              <w:bottom w:val="single" w:sz="8" w:space="0" w:color="000000"/>
              <w:right w:val="nil"/>
            </w:tcBorders>
            <w:shd w:val="clear" w:color="auto" w:fill="auto"/>
            <w:noWrap/>
            <w:vAlign w:val="center"/>
          </w:tcPr>
          <w:p w14:paraId="6439E51F" w14:textId="77777777" w:rsidR="00D81529" w:rsidRDefault="00000000">
            <w:pPr>
              <w:adjustRightInd w:val="0"/>
              <w:snapToGrid w:val="0"/>
              <w:spacing w:line="360" w:lineRule="auto"/>
              <w:jc w:val="both"/>
              <w:rPr>
                <w:rFonts w:ascii="Book Antiqua" w:eastAsia="宋体" w:hAnsi="Book Antiqua"/>
                <w:b/>
                <w:bCs/>
              </w:rPr>
            </w:pPr>
            <w:r>
              <w:rPr>
                <w:rFonts w:ascii="Book Antiqua" w:eastAsia="宋体" w:hAnsi="Book Antiqua"/>
                <w:b/>
                <w:bCs/>
              </w:rPr>
              <w:t>Variable</w:t>
            </w:r>
          </w:p>
        </w:tc>
        <w:tc>
          <w:tcPr>
            <w:tcW w:w="2683" w:type="dxa"/>
            <w:gridSpan w:val="3"/>
            <w:tcBorders>
              <w:top w:val="single" w:sz="8" w:space="0" w:color="000000"/>
              <w:left w:val="nil"/>
              <w:bottom w:val="single" w:sz="8" w:space="0" w:color="000000"/>
              <w:right w:val="nil"/>
            </w:tcBorders>
            <w:shd w:val="clear" w:color="auto" w:fill="auto"/>
            <w:noWrap/>
            <w:vAlign w:val="center"/>
          </w:tcPr>
          <w:p w14:paraId="1C17B9D8" w14:textId="77777777" w:rsidR="00D81529" w:rsidRDefault="00000000">
            <w:pPr>
              <w:adjustRightInd w:val="0"/>
              <w:snapToGrid w:val="0"/>
              <w:spacing w:line="360" w:lineRule="auto"/>
              <w:jc w:val="both"/>
              <w:rPr>
                <w:rFonts w:ascii="Book Antiqua" w:eastAsia="宋体" w:hAnsi="Book Antiqua"/>
                <w:b/>
                <w:bCs/>
              </w:rPr>
            </w:pPr>
            <w:r>
              <w:rPr>
                <w:rFonts w:ascii="Book Antiqua" w:eastAsia="宋体" w:hAnsi="Book Antiqua"/>
                <w:b/>
                <w:bCs/>
              </w:rPr>
              <w:t>Univariate</w:t>
            </w:r>
          </w:p>
        </w:tc>
        <w:tc>
          <w:tcPr>
            <w:tcW w:w="2768" w:type="dxa"/>
            <w:gridSpan w:val="3"/>
            <w:tcBorders>
              <w:top w:val="single" w:sz="8" w:space="0" w:color="000000"/>
              <w:left w:val="nil"/>
              <w:bottom w:val="single" w:sz="8" w:space="0" w:color="000000"/>
              <w:right w:val="nil"/>
            </w:tcBorders>
            <w:shd w:val="clear" w:color="auto" w:fill="auto"/>
            <w:noWrap/>
            <w:vAlign w:val="center"/>
          </w:tcPr>
          <w:p w14:paraId="554161C5" w14:textId="77777777" w:rsidR="00D81529" w:rsidRDefault="00000000">
            <w:pPr>
              <w:adjustRightInd w:val="0"/>
              <w:snapToGrid w:val="0"/>
              <w:spacing w:line="360" w:lineRule="auto"/>
              <w:jc w:val="both"/>
              <w:rPr>
                <w:rFonts w:ascii="Book Antiqua" w:eastAsia="宋体" w:hAnsi="Book Antiqua"/>
                <w:b/>
                <w:bCs/>
              </w:rPr>
            </w:pPr>
            <w:r>
              <w:rPr>
                <w:rFonts w:ascii="Book Antiqua" w:eastAsia="宋体" w:hAnsi="Book Antiqua"/>
                <w:b/>
                <w:bCs/>
              </w:rPr>
              <w:t>Multivariate</w:t>
            </w:r>
          </w:p>
        </w:tc>
      </w:tr>
      <w:tr w:rsidR="00D81529" w14:paraId="61047267" w14:textId="77777777">
        <w:trPr>
          <w:trHeight w:val="300"/>
        </w:trPr>
        <w:tc>
          <w:tcPr>
            <w:tcW w:w="3071" w:type="dxa"/>
            <w:vMerge/>
            <w:tcBorders>
              <w:top w:val="single" w:sz="8" w:space="0" w:color="000000"/>
              <w:left w:val="nil"/>
              <w:bottom w:val="single" w:sz="8" w:space="0" w:color="000000"/>
              <w:right w:val="nil"/>
            </w:tcBorders>
            <w:vAlign w:val="center"/>
          </w:tcPr>
          <w:p w14:paraId="567BFFBD" w14:textId="77777777" w:rsidR="00D81529" w:rsidRDefault="00D81529">
            <w:pPr>
              <w:adjustRightInd w:val="0"/>
              <w:snapToGrid w:val="0"/>
              <w:spacing w:line="360" w:lineRule="auto"/>
              <w:jc w:val="both"/>
              <w:rPr>
                <w:rFonts w:ascii="Book Antiqua" w:eastAsia="宋体" w:hAnsi="Book Antiqua"/>
              </w:rPr>
            </w:pPr>
          </w:p>
        </w:tc>
        <w:tc>
          <w:tcPr>
            <w:tcW w:w="651" w:type="dxa"/>
            <w:tcBorders>
              <w:top w:val="nil"/>
              <w:left w:val="nil"/>
              <w:bottom w:val="single" w:sz="8" w:space="0" w:color="000000"/>
              <w:right w:val="nil"/>
            </w:tcBorders>
            <w:shd w:val="clear" w:color="auto" w:fill="auto"/>
            <w:noWrap/>
            <w:vAlign w:val="center"/>
          </w:tcPr>
          <w:p w14:paraId="6E0ED6EA" w14:textId="77777777" w:rsidR="00D81529" w:rsidRDefault="00000000">
            <w:pPr>
              <w:adjustRightInd w:val="0"/>
              <w:snapToGrid w:val="0"/>
              <w:spacing w:line="360" w:lineRule="auto"/>
              <w:jc w:val="both"/>
              <w:rPr>
                <w:rFonts w:ascii="Book Antiqua" w:eastAsia="宋体" w:hAnsi="Book Antiqua"/>
                <w:b/>
                <w:bCs/>
              </w:rPr>
            </w:pPr>
            <w:r>
              <w:rPr>
                <w:rFonts w:ascii="Book Antiqua" w:eastAsia="宋体" w:hAnsi="Book Antiqua"/>
                <w:b/>
                <w:bCs/>
              </w:rPr>
              <w:t>HR</w:t>
            </w:r>
          </w:p>
        </w:tc>
        <w:tc>
          <w:tcPr>
            <w:tcW w:w="1153" w:type="dxa"/>
            <w:tcBorders>
              <w:top w:val="nil"/>
              <w:left w:val="nil"/>
              <w:bottom w:val="single" w:sz="8" w:space="0" w:color="000000"/>
              <w:right w:val="nil"/>
            </w:tcBorders>
            <w:shd w:val="clear" w:color="auto" w:fill="auto"/>
            <w:noWrap/>
            <w:vAlign w:val="center"/>
          </w:tcPr>
          <w:p w14:paraId="4A57C65E" w14:textId="77777777" w:rsidR="00D81529" w:rsidRDefault="00000000">
            <w:pPr>
              <w:adjustRightInd w:val="0"/>
              <w:snapToGrid w:val="0"/>
              <w:spacing w:line="360" w:lineRule="auto"/>
              <w:jc w:val="both"/>
              <w:rPr>
                <w:rFonts w:ascii="Book Antiqua" w:eastAsia="宋体" w:hAnsi="Book Antiqua"/>
                <w:b/>
                <w:bCs/>
              </w:rPr>
            </w:pPr>
            <w:r>
              <w:rPr>
                <w:rFonts w:ascii="Book Antiqua" w:eastAsia="宋体" w:hAnsi="Book Antiqua"/>
                <w:b/>
                <w:bCs/>
              </w:rPr>
              <w:t>95%CI</w:t>
            </w:r>
          </w:p>
        </w:tc>
        <w:tc>
          <w:tcPr>
            <w:tcW w:w="879" w:type="dxa"/>
            <w:tcBorders>
              <w:top w:val="nil"/>
              <w:left w:val="nil"/>
              <w:bottom w:val="single" w:sz="8" w:space="0" w:color="000000"/>
              <w:right w:val="nil"/>
            </w:tcBorders>
            <w:shd w:val="clear" w:color="auto" w:fill="auto"/>
            <w:noWrap/>
            <w:vAlign w:val="center"/>
          </w:tcPr>
          <w:p w14:paraId="2461EBA0" w14:textId="77777777" w:rsidR="00D81529" w:rsidRDefault="00000000">
            <w:pPr>
              <w:adjustRightInd w:val="0"/>
              <w:snapToGrid w:val="0"/>
              <w:spacing w:line="360" w:lineRule="auto"/>
              <w:jc w:val="both"/>
              <w:rPr>
                <w:rFonts w:ascii="Book Antiqua" w:eastAsia="宋体" w:hAnsi="Book Antiqua"/>
                <w:b/>
                <w:bCs/>
              </w:rPr>
            </w:pPr>
            <w:r>
              <w:rPr>
                <w:rFonts w:ascii="Book Antiqua" w:eastAsia="宋体" w:hAnsi="Book Antiqua"/>
                <w:b/>
                <w:bCs/>
                <w:i/>
                <w:iCs/>
              </w:rPr>
              <w:t>P</w:t>
            </w:r>
            <w:r>
              <w:rPr>
                <w:rFonts w:ascii="Book Antiqua" w:eastAsia="宋体" w:hAnsi="Book Antiqua"/>
                <w:b/>
                <w:bCs/>
              </w:rPr>
              <w:t xml:space="preserve"> value</w:t>
            </w:r>
          </w:p>
        </w:tc>
        <w:tc>
          <w:tcPr>
            <w:tcW w:w="694" w:type="dxa"/>
            <w:tcBorders>
              <w:top w:val="nil"/>
              <w:left w:val="nil"/>
              <w:bottom w:val="single" w:sz="8" w:space="0" w:color="000000"/>
              <w:right w:val="nil"/>
            </w:tcBorders>
            <w:shd w:val="clear" w:color="auto" w:fill="auto"/>
            <w:noWrap/>
            <w:vAlign w:val="center"/>
          </w:tcPr>
          <w:p w14:paraId="5B992D0B" w14:textId="77777777" w:rsidR="00D81529" w:rsidRDefault="00000000">
            <w:pPr>
              <w:adjustRightInd w:val="0"/>
              <w:snapToGrid w:val="0"/>
              <w:spacing w:line="360" w:lineRule="auto"/>
              <w:jc w:val="both"/>
              <w:rPr>
                <w:rFonts w:ascii="Book Antiqua" w:eastAsia="宋体" w:hAnsi="Book Antiqua"/>
                <w:b/>
                <w:bCs/>
              </w:rPr>
            </w:pPr>
            <w:r>
              <w:rPr>
                <w:rFonts w:ascii="Book Antiqua" w:eastAsia="宋体" w:hAnsi="Book Antiqua"/>
                <w:b/>
                <w:bCs/>
              </w:rPr>
              <w:t>HR</w:t>
            </w:r>
          </w:p>
        </w:tc>
        <w:tc>
          <w:tcPr>
            <w:tcW w:w="1173" w:type="dxa"/>
            <w:tcBorders>
              <w:top w:val="nil"/>
              <w:left w:val="nil"/>
              <w:bottom w:val="single" w:sz="8" w:space="0" w:color="000000"/>
              <w:right w:val="nil"/>
            </w:tcBorders>
            <w:shd w:val="clear" w:color="auto" w:fill="auto"/>
            <w:noWrap/>
            <w:vAlign w:val="center"/>
          </w:tcPr>
          <w:p w14:paraId="1E61E99F" w14:textId="77777777" w:rsidR="00D81529" w:rsidRDefault="00000000">
            <w:pPr>
              <w:adjustRightInd w:val="0"/>
              <w:snapToGrid w:val="0"/>
              <w:spacing w:line="360" w:lineRule="auto"/>
              <w:jc w:val="both"/>
              <w:rPr>
                <w:rFonts w:ascii="Book Antiqua" w:eastAsia="宋体" w:hAnsi="Book Antiqua"/>
                <w:b/>
                <w:bCs/>
              </w:rPr>
            </w:pPr>
            <w:r>
              <w:rPr>
                <w:rFonts w:ascii="Book Antiqua" w:eastAsia="宋体" w:hAnsi="Book Antiqua"/>
                <w:b/>
                <w:bCs/>
              </w:rPr>
              <w:t>95%CI</w:t>
            </w:r>
          </w:p>
        </w:tc>
        <w:tc>
          <w:tcPr>
            <w:tcW w:w="901" w:type="dxa"/>
            <w:tcBorders>
              <w:top w:val="nil"/>
              <w:left w:val="nil"/>
              <w:bottom w:val="single" w:sz="8" w:space="0" w:color="000000"/>
              <w:right w:val="nil"/>
            </w:tcBorders>
            <w:shd w:val="clear" w:color="auto" w:fill="auto"/>
            <w:noWrap/>
            <w:vAlign w:val="center"/>
          </w:tcPr>
          <w:p w14:paraId="2D4C3E72" w14:textId="77777777" w:rsidR="00D81529" w:rsidRDefault="00000000">
            <w:pPr>
              <w:adjustRightInd w:val="0"/>
              <w:snapToGrid w:val="0"/>
              <w:spacing w:line="360" w:lineRule="auto"/>
              <w:jc w:val="both"/>
              <w:rPr>
                <w:rFonts w:ascii="Book Antiqua" w:eastAsia="宋体" w:hAnsi="Book Antiqua"/>
                <w:b/>
                <w:bCs/>
              </w:rPr>
            </w:pPr>
            <w:r>
              <w:rPr>
                <w:rFonts w:ascii="Book Antiqua" w:eastAsia="宋体" w:hAnsi="Book Antiqua"/>
                <w:b/>
                <w:bCs/>
                <w:i/>
                <w:iCs/>
              </w:rPr>
              <w:t xml:space="preserve">P </w:t>
            </w:r>
            <w:r>
              <w:rPr>
                <w:rFonts w:ascii="Book Antiqua" w:eastAsia="宋体" w:hAnsi="Book Antiqua"/>
                <w:b/>
                <w:bCs/>
              </w:rPr>
              <w:t>value</w:t>
            </w:r>
          </w:p>
        </w:tc>
      </w:tr>
      <w:tr w:rsidR="00D81529" w14:paraId="2C788458" w14:textId="77777777">
        <w:trPr>
          <w:trHeight w:val="300"/>
        </w:trPr>
        <w:tc>
          <w:tcPr>
            <w:tcW w:w="3071" w:type="dxa"/>
            <w:tcBorders>
              <w:top w:val="nil"/>
              <w:left w:val="nil"/>
              <w:bottom w:val="nil"/>
              <w:right w:val="nil"/>
            </w:tcBorders>
            <w:shd w:val="clear" w:color="auto" w:fill="auto"/>
            <w:noWrap/>
            <w:vAlign w:val="center"/>
          </w:tcPr>
          <w:p w14:paraId="02A5D534"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Age in yr, median range</w:t>
            </w:r>
          </w:p>
        </w:tc>
        <w:tc>
          <w:tcPr>
            <w:tcW w:w="651" w:type="dxa"/>
            <w:tcBorders>
              <w:top w:val="nil"/>
              <w:left w:val="nil"/>
              <w:bottom w:val="nil"/>
              <w:right w:val="nil"/>
            </w:tcBorders>
            <w:shd w:val="clear" w:color="auto" w:fill="auto"/>
            <w:noWrap/>
            <w:vAlign w:val="center"/>
          </w:tcPr>
          <w:p w14:paraId="2EF0E211"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1.043</w:t>
            </w:r>
          </w:p>
        </w:tc>
        <w:tc>
          <w:tcPr>
            <w:tcW w:w="1153" w:type="dxa"/>
            <w:tcBorders>
              <w:top w:val="nil"/>
              <w:left w:val="nil"/>
              <w:bottom w:val="nil"/>
              <w:right w:val="nil"/>
            </w:tcBorders>
            <w:shd w:val="clear" w:color="auto" w:fill="auto"/>
            <w:noWrap/>
            <w:vAlign w:val="center"/>
          </w:tcPr>
          <w:p w14:paraId="6A1D662A"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0.795-1.149</w:t>
            </w:r>
          </w:p>
        </w:tc>
        <w:tc>
          <w:tcPr>
            <w:tcW w:w="879" w:type="dxa"/>
            <w:tcBorders>
              <w:top w:val="nil"/>
              <w:left w:val="nil"/>
              <w:bottom w:val="nil"/>
              <w:right w:val="nil"/>
            </w:tcBorders>
            <w:shd w:val="clear" w:color="auto" w:fill="auto"/>
            <w:noWrap/>
            <w:vAlign w:val="center"/>
          </w:tcPr>
          <w:p w14:paraId="04E54EC0"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0.857</w:t>
            </w:r>
          </w:p>
        </w:tc>
        <w:tc>
          <w:tcPr>
            <w:tcW w:w="694" w:type="dxa"/>
            <w:tcBorders>
              <w:top w:val="nil"/>
              <w:left w:val="nil"/>
              <w:bottom w:val="nil"/>
              <w:right w:val="nil"/>
            </w:tcBorders>
            <w:shd w:val="clear" w:color="auto" w:fill="auto"/>
            <w:noWrap/>
          </w:tcPr>
          <w:p w14:paraId="6C0AC808" w14:textId="77777777" w:rsidR="00D81529" w:rsidRDefault="00D8152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tcPr>
          <w:p w14:paraId="74A8C228" w14:textId="77777777" w:rsidR="00D81529" w:rsidRDefault="00D8152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tcPr>
          <w:p w14:paraId="092D5DEA" w14:textId="77777777" w:rsidR="00D81529" w:rsidRDefault="00D81529">
            <w:pPr>
              <w:adjustRightInd w:val="0"/>
              <w:snapToGrid w:val="0"/>
              <w:spacing w:line="360" w:lineRule="auto"/>
              <w:jc w:val="both"/>
              <w:rPr>
                <w:rFonts w:ascii="Book Antiqua" w:eastAsia="Times New Roman" w:hAnsi="Book Antiqua"/>
              </w:rPr>
            </w:pPr>
          </w:p>
        </w:tc>
      </w:tr>
      <w:tr w:rsidR="00D81529" w14:paraId="3512DC13" w14:textId="77777777">
        <w:trPr>
          <w:trHeight w:val="300"/>
        </w:trPr>
        <w:tc>
          <w:tcPr>
            <w:tcW w:w="3071" w:type="dxa"/>
            <w:tcBorders>
              <w:top w:val="nil"/>
              <w:left w:val="nil"/>
              <w:bottom w:val="nil"/>
              <w:right w:val="nil"/>
            </w:tcBorders>
            <w:shd w:val="clear" w:color="auto" w:fill="auto"/>
            <w:noWrap/>
            <w:vAlign w:val="center"/>
          </w:tcPr>
          <w:p w14:paraId="2679EF80"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Sex, male/female</w:t>
            </w:r>
          </w:p>
        </w:tc>
        <w:tc>
          <w:tcPr>
            <w:tcW w:w="651" w:type="dxa"/>
            <w:tcBorders>
              <w:top w:val="nil"/>
              <w:left w:val="nil"/>
              <w:bottom w:val="nil"/>
              <w:right w:val="nil"/>
            </w:tcBorders>
            <w:shd w:val="clear" w:color="auto" w:fill="auto"/>
            <w:noWrap/>
            <w:vAlign w:val="center"/>
          </w:tcPr>
          <w:p w14:paraId="2EE5B893"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0.948</w:t>
            </w:r>
          </w:p>
        </w:tc>
        <w:tc>
          <w:tcPr>
            <w:tcW w:w="1153" w:type="dxa"/>
            <w:tcBorders>
              <w:top w:val="nil"/>
              <w:left w:val="nil"/>
              <w:bottom w:val="nil"/>
              <w:right w:val="nil"/>
            </w:tcBorders>
            <w:shd w:val="clear" w:color="auto" w:fill="auto"/>
            <w:noWrap/>
            <w:vAlign w:val="center"/>
          </w:tcPr>
          <w:p w14:paraId="3DE6A649"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0.743-1.219</w:t>
            </w:r>
          </w:p>
        </w:tc>
        <w:tc>
          <w:tcPr>
            <w:tcW w:w="879" w:type="dxa"/>
            <w:tcBorders>
              <w:top w:val="nil"/>
              <w:left w:val="nil"/>
              <w:bottom w:val="nil"/>
              <w:right w:val="nil"/>
            </w:tcBorders>
            <w:shd w:val="clear" w:color="auto" w:fill="auto"/>
            <w:noWrap/>
            <w:vAlign w:val="center"/>
          </w:tcPr>
          <w:p w14:paraId="548611EA"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0.395</w:t>
            </w:r>
          </w:p>
        </w:tc>
        <w:tc>
          <w:tcPr>
            <w:tcW w:w="694" w:type="dxa"/>
            <w:tcBorders>
              <w:top w:val="nil"/>
              <w:left w:val="nil"/>
              <w:bottom w:val="nil"/>
              <w:right w:val="nil"/>
            </w:tcBorders>
            <w:shd w:val="clear" w:color="auto" w:fill="auto"/>
            <w:noWrap/>
          </w:tcPr>
          <w:p w14:paraId="366A1E37" w14:textId="77777777" w:rsidR="00D81529" w:rsidRDefault="00D8152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tcPr>
          <w:p w14:paraId="20160683" w14:textId="77777777" w:rsidR="00D81529" w:rsidRDefault="00D8152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tcPr>
          <w:p w14:paraId="0804A3F6" w14:textId="77777777" w:rsidR="00D81529" w:rsidRDefault="00D81529">
            <w:pPr>
              <w:adjustRightInd w:val="0"/>
              <w:snapToGrid w:val="0"/>
              <w:spacing w:line="360" w:lineRule="auto"/>
              <w:jc w:val="both"/>
              <w:rPr>
                <w:rFonts w:ascii="Book Antiqua" w:eastAsia="Times New Roman" w:hAnsi="Book Antiqua"/>
              </w:rPr>
            </w:pPr>
          </w:p>
        </w:tc>
      </w:tr>
      <w:tr w:rsidR="00D81529" w14:paraId="7B8B10AE" w14:textId="77777777">
        <w:trPr>
          <w:trHeight w:val="280"/>
        </w:trPr>
        <w:tc>
          <w:tcPr>
            <w:tcW w:w="3071" w:type="dxa"/>
            <w:tcBorders>
              <w:top w:val="nil"/>
              <w:left w:val="nil"/>
              <w:bottom w:val="nil"/>
              <w:right w:val="nil"/>
            </w:tcBorders>
            <w:shd w:val="clear" w:color="auto" w:fill="auto"/>
            <w:noWrap/>
            <w:vAlign w:val="center"/>
          </w:tcPr>
          <w:p w14:paraId="2F919839"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ASA score classification, 0/1 or 2</w:t>
            </w:r>
          </w:p>
        </w:tc>
        <w:tc>
          <w:tcPr>
            <w:tcW w:w="651" w:type="dxa"/>
            <w:tcBorders>
              <w:top w:val="nil"/>
              <w:left w:val="nil"/>
              <w:bottom w:val="nil"/>
              <w:right w:val="nil"/>
            </w:tcBorders>
            <w:shd w:val="clear" w:color="auto" w:fill="auto"/>
            <w:noWrap/>
            <w:vAlign w:val="center"/>
          </w:tcPr>
          <w:p w14:paraId="7F899BF1"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1.103</w:t>
            </w:r>
          </w:p>
        </w:tc>
        <w:tc>
          <w:tcPr>
            <w:tcW w:w="1153" w:type="dxa"/>
            <w:tcBorders>
              <w:top w:val="nil"/>
              <w:left w:val="nil"/>
              <w:bottom w:val="nil"/>
              <w:right w:val="nil"/>
            </w:tcBorders>
            <w:shd w:val="clear" w:color="auto" w:fill="auto"/>
            <w:noWrap/>
            <w:vAlign w:val="center"/>
          </w:tcPr>
          <w:p w14:paraId="5D307990"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0.854-1.754</w:t>
            </w:r>
          </w:p>
        </w:tc>
        <w:tc>
          <w:tcPr>
            <w:tcW w:w="879" w:type="dxa"/>
            <w:tcBorders>
              <w:top w:val="nil"/>
              <w:left w:val="nil"/>
              <w:bottom w:val="nil"/>
              <w:right w:val="nil"/>
            </w:tcBorders>
            <w:shd w:val="clear" w:color="auto" w:fill="auto"/>
            <w:noWrap/>
            <w:vAlign w:val="center"/>
          </w:tcPr>
          <w:p w14:paraId="27B483AC"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0.194</w:t>
            </w:r>
          </w:p>
        </w:tc>
        <w:tc>
          <w:tcPr>
            <w:tcW w:w="694" w:type="dxa"/>
            <w:tcBorders>
              <w:top w:val="nil"/>
              <w:left w:val="nil"/>
              <w:bottom w:val="nil"/>
              <w:right w:val="nil"/>
            </w:tcBorders>
            <w:shd w:val="clear" w:color="auto" w:fill="auto"/>
            <w:noWrap/>
            <w:vAlign w:val="center"/>
          </w:tcPr>
          <w:p w14:paraId="532C28B6" w14:textId="77777777" w:rsidR="00D81529" w:rsidRDefault="00D8152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vAlign w:val="center"/>
          </w:tcPr>
          <w:p w14:paraId="6022B60B" w14:textId="77777777" w:rsidR="00D81529" w:rsidRDefault="00D8152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vAlign w:val="center"/>
          </w:tcPr>
          <w:p w14:paraId="2EAE9B5D" w14:textId="77777777" w:rsidR="00D81529" w:rsidRDefault="00D81529">
            <w:pPr>
              <w:adjustRightInd w:val="0"/>
              <w:snapToGrid w:val="0"/>
              <w:spacing w:line="360" w:lineRule="auto"/>
              <w:jc w:val="both"/>
              <w:rPr>
                <w:rFonts w:ascii="Book Antiqua" w:eastAsia="Times New Roman" w:hAnsi="Book Antiqua"/>
              </w:rPr>
            </w:pPr>
          </w:p>
        </w:tc>
      </w:tr>
      <w:tr w:rsidR="00D81529" w14:paraId="56751A7A" w14:textId="77777777">
        <w:trPr>
          <w:trHeight w:val="300"/>
        </w:trPr>
        <w:tc>
          <w:tcPr>
            <w:tcW w:w="3071" w:type="dxa"/>
            <w:tcBorders>
              <w:top w:val="nil"/>
              <w:left w:val="nil"/>
              <w:bottom w:val="nil"/>
              <w:right w:val="nil"/>
            </w:tcBorders>
            <w:shd w:val="clear" w:color="auto" w:fill="auto"/>
            <w:noWrap/>
            <w:vAlign w:val="center"/>
          </w:tcPr>
          <w:p w14:paraId="210BD182"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BMI</w:t>
            </w:r>
          </w:p>
        </w:tc>
        <w:tc>
          <w:tcPr>
            <w:tcW w:w="651" w:type="dxa"/>
            <w:tcBorders>
              <w:top w:val="nil"/>
              <w:left w:val="nil"/>
              <w:bottom w:val="nil"/>
              <w:right w:val="nil"/>
            </w:tcBorders>
            <w:shd w:val="clear" w:color="auto" w:fill="auto"/>
            <w:noWrap/>
            <w:vAlign w:val="center"/>
          </w:tcPr>
          <w:p w14:paraId="5D712A16"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0.931</w:t>
            </w:r>
          </w:p>
        </w:tc>
        <w:tc>
          <w:tcPr>
            <w:tcW w:w="1153" w:type="dxa"/>
            <w:tcBorders>
              <w:top w:val="nil"/>
              <w:left w:val="nil"/>
              <w:bottom w:val="nil"/>
              <w:right w:val="nil"/>
            </w:tcBorders>
            <w:shd w:val="clear" w:color="auto" w:fill="auto"/>
            <w:noWrap/>
            <w:vAlign w:val="center"/>
          </w:tcPr>
          <w:p w14:paraId="5968813B"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0.803-1.140</w:t>
            </w:r>
          </w:p>
        </w:tc>
        <w:tc>
          <w:tcPr>
            <w:tcW w:w="879" w:type="dxa"/>
            <w:tcBorders>
              <w:top w:val="nil"/>
              <w:left w:val="nil"/>
              <w:bottom w:val="nil"/>
              <w:right w:val="nil"/>
            </w:tcBorders>
            <w:shd w:val="clear" w:color="auto" w:fill="auto"/>
            <w:noWrap/>
            <w:vAlign w:val="center"/>
          </w:tcPr>
          <w:p w14:paraId="19329C36"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0.454</w:t>
            </w:r>
          </w:p>
        </w:tc>
        <w:tc>
          <w:tcPr>
            <w:tcW w:w="694" w:type="dxa"/>
            <w:tcBorders>
              <w:top w:val="nil"/>
              <w:left w:val="nil"/>
              <w:bottom w:val="nil"/>
              <w:right w:val="nil"/>
            </w:tcBorders>
            <w:shd w:val="clear" w:color="auto" w:fill="auto"/>
            <w:noWrap/>
          </w:tcPr>
          <w:p w14:paraId="459F8D0C" w14:textId="77777777" w:rsidR="00D81529" w:rsidRDefault="00D8152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tcPr>
          <w:p w14:paraId="14F2DF80" w14:textId="77777777" w:rsidR="00D81529" w:rsidRDefault="00D8152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tcPr>
          <w:p w14:paraId="4474F8AF" w14:textId="77777777" w:rsidR="00D81529" w:rsidRDefault="00D81529">
            <w:pPr>
              <w:adjustRightInd w:val="0"/>
              <w:snapToGrid w:val="0"/>
              <w:spacing w:line="360" w:lineRule="auto"/>
              <w:jc w:val="both"/>
              <w:rPr>
                <w:rFonts w:ascii="Book Antiqua" w:eastAsia="Times New Roman" w:hAnsi="Book Antiqua"/>
              </w:rPr>
            </w:pPr>
          </w:p>
        </w:tc>
      </w:tr>
      <w:tr w:rsidR="00D81529" w14:paraId="163683A7" w14:textId="77777777">
        <w:trPr>
          <w:trHeight w:val="280"/>
        </w:trPr>
        <w:tc>
          <w:tcPr>
            <w:tcW w:w="3071" w:type="dxa"/>
            <w:tcBorders>
              <w:top w:val="nil"/>
              <w:left w:val="nil"/>
              <w:bottom w:val="nil"/>
              <w:right w:val="nil"/>
            </w:tcBorders>
            <w:shd w:val="clear" w:color="auto" w:fill="auto"/>
            <w:noWrap/>
            <w:vAlign w:val="center"/>
          </w:tcPr>
          <w:p w14:paraId="6585B068"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TNM stage, I or II/III</w:t>
            </w:r>
          </w:p>
        </w:tc>
        <w:tc>
          <w:tcPr>
            <w:tcW w:w="651" w:type="dxa"/>
            <w:tcBorders>
              <w:top w:val="nil"/>
              <w:left w:val="nil"/>
              <w:bottom w:val="nil"/>
              <w:right w:val="nil"/>
            </w:tcBorders>
            <w:shd w:val="clear" w:color="auto" w:fill="auto"/>
            <w:noWrap/>
            <w:vAlign w:val="center"/>
          </w:tcPr>
          <w:p w14:paraId="54CD69CF"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1.436</w:t>
            </w:r>
          </w:p>
        </w:tc>
        <w:tc>
          <w:tcPr>
            <w:tcW w:w="1153" w:type="dxa"/>
            <w:tcBorders>
              <w:top w:val="nil"/>
              <w:left w:val="nil"/>
              <w:bottom w:val="nil"/>
              <w:right w:val="nil"/>
            </w:tcBorders>
            <w:shd w:val="clear" w:color="auto" w:fill="auto"/>
            <w:noWrap/>
            <w:vAlign w:val="center"/>
          </w:tcPr>
          <w:p w14:paraId="676116D8"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1.217-2.695</w:t>
            </w:r>
          </w:p>
        </w:tc>
        <w:tc>
          <w:tcPr>
            <w:tcW w:w="879" w:type="dxa"/>
            <w:tcBorders>
              <w:top w:val="nil"/>
              <w:left w:val="nil"/>
              <w:bottom w:val="nil"/>
              <w:right w:val="nil"/>
            </w:tcBorders>
            <w:shd w:val="clear" w:color="auto" w:fill="auto"/>
            <w:noWrap/>
            <w:vAlign w:val="center"/>
          </w:tcPr>
          <w:p w14:paraId="12B644D9"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0.015</w:t>
            </w:r>
          </w:p>
        </w:tc>
        <w:tc>
          <w:tcPr>
            <w:tcW w:w="694" w:type="dxa"/>
            <w:tcBorders>
              <w:top w:val="nil"/>
              <w:left w:val="nil"/>
              <w:bottom w:val="nil"/>
              <w:right w:val="nil"/>
            </w:tcBorders>
            <w:shd w:val="clear" w:color="auto" w:fill="auto"/>
            <w:noWrap/>
            <w:vAlign w:val="center"/>
          </w:tcPr>
          <w:p w14:paraId="757BED47"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1.526</w:t>
            </w:r>
          </w:p>
        </w:tc>
        <w:tc>
          <w:tcPr>
            <w:tcW w:w="1173" w:type="dxa"/>
            <w:tcBorders>
              <w:top w:val="nil"/>
              <w:left w:val="nil"/>
              <w:bottom w:val="nil"/>
              <w:right w:val="nil"/>
            </w:tcBorders>
            <w:shd w:val="clear" w:color="auto" w:fill="auto"/>
            <w:noWrap/>
            <w:vAlign w:val="center"/>
          </w:tcPr>
          <w:p w14:paraId="2E4AC2B1"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1.226-4.165</w:t>
            </w:r>
          </w:p>
        </w:tc>
        <w:tc>
          <w:tcPr>
            <w:tcW w:w="901" w:type="dxa"/>
            <w:tcBorders>
              <w:top w:val="nil"/>
              <w:left w:val="nil"/>
              <w:bottom w:val="nil"/>
              <w:right w:val="nil"/>
            </w:tcBorders>
            <w:shd w:val="clear" w:color="auto" w:fill="auto"/>
            <w:noWrap/>
            <w:vAlign w:val="center"/>
          </w:tcPr>
          <w:p w14:paraId="051BCA8F"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0.007</w:t>
            </w:r>
          </w:p>
        </w:tc>
      </w:tr>
      <w:tr w:rsidR="00D81529" w14:paraId="18D3ECBE" w14:textId="77777777">
        <w:trPr>
          <w:trHeight w:val="300"/>
        </w:trPr>
        <w:tc>
          <w:tcPr>
            <w:tcW w:w="3071" w:type="dxa"/>
            <w:tcBorders>
              <w:top w:val="nil"/>
              <w:left w:val="nil"/>
              <w:bottom w:val="nil"/>
              <w:right w:val="nil"/>
            </w:tcBorders>
            <w:shd w:val="clear" w:color="000000" w:fill="FFFFFF"/>
            <w:vAlign w:val="center"/>
          </w:tcPr>
          <w:p w14:paraId="44655DE2"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Neoadjuvant Chx, yes/no</w:t>
            </w:r>
          </w:p>
        </w:tc>
        <w:tc>
          <w:tcPr>
            <w:tcW w:w="651" w:type="dxa"/>
            <w:tcBorders>
              <w:top w:val="nil"/>
              <w:left w:val="nil"/>
              <w:bottom w:val="nil"/>
              <w:right w:val="nil"/>
            </w:tcBorders>
            <w:shd w:val="clear" w:color="auto" w:fill="auto"/>
            <w:noWrap/>
            <w:vAlign w:val="center"/>
          </w:tcPr>
          <w:p w14:paraId="7FCF7420"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1.201</w:t>
            </w:r>
          </w:p>
        </w:tc>
        <w:tc>
          <w:tcPr>
            <w:tcW w:w="1153" w:type="dxa"/>
            <w:tcBorders>
              <w:top w:val="nil"/>
              <w:left w:val="nil"/>
              <w:bottom w:val="nil"/>
              <w:right w:val="nil"/>
            </w:tcBorders>
            <w:shd w:val="clear" w:color="auto" w:fill="auto"/>
            <w:noWrap/>
            <w:vAlign w:val="center"/>
          </w:tcPr>
          <w:p w14:paraId="54A6E556"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1.114-2.742</w:t>
            </w:r>
          </w:p>
        </w:tc>
        <w:tc>
          <w:tcPr>
            <w:tcW w:w="879" w:type="dxa"/>
            <w:tcBorders>
              <w:top w:val="nil"/>
              <w:left w:val="nil"/>
              <w:bottom w:val="nil"/>
              <w:right w:val="nil"/>
            </w:tcBorders>
            <w:shd w:val="clear" w:color="auto" w:fill="auto"/>
            <w:noWrap/>
            <w:vAlign w:val="center"/>
          </w:tcPr>
          <w:p w14:paraId="21B8FBDF"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0.024</w:t>
            </w:r>
          </w:p>
        </w:tc>
        <w:tc>
          <w:tcPr>
            <w:tcW w:w="694" w:type="dxa"/>
            <w:tcBorders>
              <w:top w:val="nil"/>
              <w:left w:val="nil"/>
              <w:bottom w:val="nil"/>
              <w:right w:val="nil"/>
            </w:tcBorders>
            <w:shd w:val="clear" w:color="auto" w:fill="auto"/>
            <w:vAlign w:val="center"/>
          </w:tcPr>
          <w:p w14:paraId="50A35581" w14:textId="77777777" w:rsidR="00D81529" w:rsidRDefault="00D8152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vAlign w:val="center"/>
          </w:tcPr>
          <w:p w14:paraId="2514183F" w14:textId="77777777" w:rsidR="00D81529" w:rsidRDefault="00D81529">
            <w:pPr>
              <w:adjustRightInd w:val="0"/>
              <w:snapToGrid w:val="0"/>
              <w:spacing w:line="360" w:lineRule="auto"/>
              <w:jc w:val="both"/>
              <w:rPr>
                <w:rFonts w:ascii="Book Antiqua" w:eastAsia="宋体" w:hAnsi="Book Antiqua"/>
              </w:rPr>
            </w:pPr>
          </w:p>
        </w:tc>
        <w:tc>
          <w:tcPr>
            <w:tcW w:w="901" w:type="dxa"/>
            <w:tcBorders>
              <w:top w:val="nil"/>
              <w:left w:val="nil"/>
              <w:bottom w:val="nil"/>
              <w:right w:val="nil"/>
            </w:tcBorders>
            <w:shd w:val="clear" w:color="auto" w:fill="auto"/>
            <w:vAlign w:val="center"/>
          </w:tcPr>
          <w:p w14:paraId="0EF2EF53" w14:textId="77777777" w:rsidR="00D81529" w:rsidRDefault="00D81529">
            <w:pPr>
              <w:adjustRightInd w:val="0"/>
              <w:snapToGrid w:val="0"/>
              <w:spacing w:line="360" w:lineRule="auto"/>
              <w:jc w:val="both"/>
              <w:rPr>
                <w:rFonts w:ascii="Book Antiqua" w:eastAsia="宋体" w:hAnsi="Book Antiqua"/>
              </w:rPr>
            </w:pPr>
          </w:p>
        </w:tc>
      </w:tr>
      <w:tr w:rsidR="00D81529" w14:paraId="10833A5E" w14:textId="77777777">
        <w:trPr>
          <w:trHeight w:val="300"/>
        </w:trPr>
        <w:tc>
          <w:tcPr>
            <w:tcW w:w="3071" w:type="dxa"/>
            <w:tcBorders>
              <w:top w:val="nil"/>
              <w:left w:val="nil"/>
              <w:bottom w:val="nil"/>
              <w:right w:val="nil"/>
            </w:tcBorders>
            <w:shd w:val="clear" w:color="auto" w:fill="auto"/>
            <w:noWrap/>
            <w:vAlign w:val="center"/>
          </w:tcPr>
          <w:p w14:paraId="152DE13C"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Neoadjuvant Rtx, yes/no</w:t>
            </w:r>
          </w:p>
        </w:tc>
        <w:tc>
          <w:tcPr>
            <w:tcW w:w="651" w:type="dxa"/>
            <w:tcBorders>
              <w:top w:val="nil"/>
              <w:left w:val="nil"/>
              <w:bottom w:val="nil"/>
              <w:right w:val="nil"/>
            </w:tcBorders>
            <w:shd w:val="clear" w:color="auto" w:fill="auto"/>
            <w:noWrap/>
            <w:vAlign w:val="center"/>
          </w:tcPr>
          <w:p w14:paraId="1C2674B8"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1.121</w:t>
            </w:r>
          </w:p>
        </w:tc>
        <w:tc>
          <w:tcPr>
            <w:tcW w:w="1153" w:type="dxa"/>
            <w:tcBorders>
              <w:top w:val="nil"/>
              <w:left w:val="nil"/>
              <w:bottom w:val="nil"/>
              <w:right w:val="nil"/>
            </w:tcBorders>
            <w:shd w:val="clear" w:color="auto" w:fill="auto"/>
            <w:noWrap/>
            <w:vAlign w:val="center"/>
          </w:tcPr>
          <w:p w14:paraId="0A5879FC"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0.901-1.537</w:t>
            </w:r>
          </w:p>
        </w:tc>
        <w:tc>
          <w:tcPr>
            <w:tcW w:w="879" w:type="dxa"/>
            <w:tcBorders>
              <w:top w:val="nil"/>
              <w:left w:val="nil"/>
              <w:bottom w:val="nil"/>
              <w:right w:val="nil"/>
            </w:tcBorders>
            <w:shd w:val="clear" w:color="auto" w:fill="auto"/>
            <w:noWrap/>
            <w:vAlign w:val="center"/>
          </w:tcPr>
          <w:p w14:paraId="7F4C626E"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0.142</w:t>
            </w:r>
          </w:p>
        </w:tc>
        <w:tc>
          <w:tcPr>
            <w:tcW w:w="694" w:type="dxa"/>
            <w:tcBorders>
              <w:top w:val="nil"/>
              <w:left w:val="nil"/>
              <w:bottom w:val="nil"/>
              <w:right w:val="nil"/>
            </w:tcBorders>
            <w:shd w:val="clear" w:color="auto" w:fill="auto"/>
            <w:noWrap/>
          </w:tcPr>
          <w:p w14:paraId="30690468" w14:textId="77777777" w:rsidR="00D81529" w:rsidRDefault="00D8152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tcPr>
          <w:p w14:paraId="47DAD994" w14:textId="77777777" w:rsidR="00D81529" w:rsidRDefault="00D8152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tcPr>
          <w:p w14:paraId="31D9EDC4" w14:textId="77777777" w:rsidR="00D81529" w:rsidRDefault="00D81529">
            <w:pPr>
              <w:adjustRightInd w:val="0"/>
              <w:snapToGrid w:val="0"/>
              <w:spacing w:line="360" w:lineRule="auto"/>
              <w:jc w:val="both"/>
              <w:rPr>
                <w:rFonts w:ascii="Book Antiqua" w:eastAsia="Times New Roman" w:hAnsi="Book Antiqua"/>
              </w:rPr>
            </w:pPr>
          </w:p>
        </w:tc>
      </w:tr>
      <w:tr w:rsidR="00D81529" w14:paraId="6601FD3A" w14:textId="77777777">
        <w:trPr>
          <w:trHeight w:val="280"/>
        </w:trPr>
        <w:tc>
          <w:tcPr>
            <w:tcW w:w="3071" w:type="dxa"/>
            <w:tcBorders>
              <w:top w:val="nil"/>
              <w:left w:val="nil"/>
              <w:bottom w:val="nil"/>
              <w:right w:val="nil"/>
            </w:tcBorders>
            <w:shd w:val="clear" w:color="000000" w:fill="FFFFFF"/>
            <w:noWrap/>
            <w:vAlign w:val="center"/>
          </w:tcPr>
          <w:p w14:paraId="1562EA8A"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lastRenderedPageBreak/>
              <w:t>Neural invasion, yes/no</w:t>
            </w:r>
          </w:p>
        </w:tc>
        <w:tc>
          <w:tcPr>
            <w:tcW w:w="651" w:type="dxa"/>
            <w:tcBorders>
              <w:top w:val="nil"/>
              <w:left w:val="nil"/>
              <w:bottom w:val="nil"/>
              <w:right w:val="nil"/>
            </w:tcBorders>
            <w:shd w:val="clear" w:color="auto" w:fill="auto"/>
            <w:noWrap/>
            <w:vAlign w:val="center"/>
          </w:tcPr>
          <w:p w14:paraId="0ECC6110"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1.103</w:t>
            </w:r>
          </w:p>
        </w:tc>
        <w:tc>
          <w:tcPr>
            <w:tcW w:w="1153" w:type="dxa"/>
            <w:tcBorders>
              <w:top w:val="nil"/>
              <w:left w:val="nil"/>
              <w:bottom w:val="nil"/>
              <w:right w:val="nil"/>
            </w:tcBorders>
            <w:shd w:val="clear" w:color="auto" w:fill="auto"/>
            <w:noWrap/>
            <w:vAlign w:val="center"/>
          </w:tcPr>
          <w:p w14:paraId="51B46DBD"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0.965-2.542</w:t>
            </w:r>
          </w:p>
        </w:tc>
        <w:tc>
          <w:tcPr>
            <w:tcW w:w="879" w:type="dxa"/>
            <w:tcBorders>
              <w:top w:val="nil"/>
              <w:left w:val="nil"/>
              <w:bottom w:val="nil"/>
              <w:right w:val="nil"/>
            </w:tcBorders>
            <w:shd w:val="clear" w:color="auto" w:fill="auto"/>
            <w:noWrap/>
            <w:vAlign w:val="center"/>
          </w:tcPr>
          <w:p w14:paraId="11E2DE14"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0.104</w:t>
            </w:r>
          </w:p>
        </w:tc>
        <w:tc>
          <w:tcPr>
            <w:tcW w:w="694" w:type="dxa"/>
            <w:tcBorders>
              <w:top w:val="nil"/>
              <w:left w:val="nil"/>
              <w:bottom w:val="nil"/>
              <w:right w:val="nil"/>
            </w:tcBorders>
            <w:shd w:val="clear" w:color="auto" w:fill="auto"/>
            <w:noWrap/>
            <w:vAlign w:val="center"/>
          </w:tcPr>
          <w:p w14:paraId="476E66C1" w14:textId="77777777" w:rsidR="00D81529" w:rsidRDefault="00D8152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vAlign w:val="center"/>
          </w:tcPr>
          <w:p w14:paraId="7168CA82" w14:textId="77777777" w:rsidR="00D81529" w:rsidRDefault="00D8152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vAlign w:val="center"/>
          </w:tcPr>
          <w:p w14:paraId="5C2DD99B" w14:textId="77777777" w:rsidR="00D81529" w:rsidRDefault="00D81529">
            <w:pPr>
              <w:adjustRightInd w:val="0"/>
              <w:snapToGrid w:val="0"/>
              <w:spacing w:line="360" w:lineRule="auto"/>
              <w:jc w:val="both"/>
              <w:rPr>
                <w:rFonts w:ascii="Book Antiqua" w:eastAsia="Times New Roman" w:hAnsi="Book Antiqua"/>
              </w:rPr>
            </w:pPr>
          </w:p>
        </w:tc>
      </w:tr>
      <w:tr w:rsidR="00D81529" w14:paraId="2A74216B" w14:textId="77777777">
        <w:trPr>
          <w:trHeight w:val="280"/>
        </w:trPr>
        <w:tc>
          <w:tcPr>
            <w:tcW w:w="3071" w:type="dxa"/>
            <w:tcBorders>
              <w:top w:val="nil"/>
              <w:left w:val="nil"/>
              <w:bottom w:val="nil"/>
              <w:right w:val="nil"/>
            </w:tcBorders>
            <w:shd w:val="clear" w:color="000000" w:fill="FFFFFF"/>
            <w:noWrap/>
            <w:vAlign w:val="center"/>
          </w:tcPr>
          <w:p w14:paraId="755C85D0"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Vascular invasion, yes/no</w:t>
            </w:r>
          </w:p>
        </w:tc>
        <w:tc>
          <w:tcPr>
            <w:tcW w:w="651" w:type="dxa"/>
            <w:tcBorders>
              <w:top w:val="nil"/>
              <w:left w:val="nil"/>
              <w:bottom w:val="nil"/>
              <w:right w:val="nil"/>
            </w:tcBorders>
            <w:shd w:val="clear" w:color="auto" w:fill="auto"/>
            <w:noWrap/>
            <w:vAlign w:val="center"/>
          </w:tcPr>
          <w:p w14:paraId="79868468"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1.439</w:t>
            </w:r>
          </w:p>
        </w:tc>
        <w:tc>
          <w:tcPr>
            <w:tcW w:w="1153" w:type="dxa"/>
            <w:tcBorders>
              <w:top w:val="nil"/>
              <w:left w:val="nil"/>
              <w:bottom w:val="nil"/>
              <w:right w:val="nil"/>
            </w:tcBorders>
            <w:shd w:val="clear" w:color="auto" w:fill="auto"/>
            <w:noWrap/>
            <w:vAlign w:val="center"/>
          </w:tcPr>
          <w:p w14:paraId="38926FC2"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1.294-3.594</w:t>
            </w:r>
          </w:p>
        </w:tc>
        <w:tc>
          <w:tcPr>
            <w:tcW w:w="879" w:type="dxa"/>
            <w:tcBorders>
              <w:top w:val="nil"/>
              <w:left w:val="nil"/>
              <w:bottom w:val="nil"/>
              <w:right w:val="nil"/>
            </w:tcBorders>
            <w:shd w:val="clear" w:color="auto" w:fill="auto"/>
            <w:noWrap/>
            <w:vAlign w:val="center"/>
          </w:tcPr>
          <w:p w14:paraId="64D6478E"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0.003</w:t>
            </w:r>
          </w:p>
        </w:tc>
        <w:tc>
          <w:tcPr>
            <w:tcW w:w="694" w:type="dxa"/>
            <w:tcBorders>
              <w:top w:val="nil"/>
              <w:left w:val="nil"/>
              <w:bottom w:val="nil"/>
              <w:right w:val="nil"/>
            </w:tcBorders>
            <w:shd w:val="clear" w:color="auto" w:fill="auto"/>
            <w:noWrap/>
            <w:vAlign w:val="center"/>
          </w:tcPr>
          <w:p w14:paraId="0B8409E0"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1.653</w:t>
            </w:r>
          </w:p>
        </w:tc>
        <w:tc>
          <w:tcPr>
            <w:tcW w:w="1173" w:type="dxa"/>
            <w:tcBorders>
              <w:top w:val="nil"/>
              <w:left w:val="nil"/>
              <w:bottom w:val="nil"/>
              <w:right w:val="nil"/>
            </w:tcBorders>
            <w:shd w:val="clear" w:color="auto" w:fill="auto"/>
            <w:noWrap/>
            <w:vAlign w:val="center"/>
          </w:tcPr>
          <w:p w14:paraId="637B9071"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1.253-3.651</w:t>
            </w:r>
          </w:p>
        </w:tc>
        <w:tc>
          <w:tcPr>
            <w:tcW w:w="901" w:type="dxa"/>
            <w:tcBorders>
              <w:top w:val="nil"/>
              <w:left w:val="nil"/>
              <w:bottom w:val="nil"/>
              <w:right w:val="nil"/>
            </w:tcBorders>
            <w:shd w:val="clear" w:color="auto" w:fill="auto"/>
            <w:noWrap/>
            <w:vAlign w:val="center"/>
          </w:tcPr>
          <w:p w14:paraId="1661367D"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0.021</w:t>
            </w:r>
          </w:p>
        </w:tc>
      </w:tr>
      <w:tr w:rsidR="00D81529" w14:paraId="173F5BCB" w14:textId="77777777">
        <w:trPr>
          <w:trHeight w:val="280"/>
        </w:trPr>
        <w:tc>
          <w:tcPr>
            <w:tcW w:w="3071" w:type="dxa"/>
            <w:tcBorders>
              <w:top w:val="nil"/>
              <w:left w:val="nil"/>
              <w:bottom w:val="nil"/>
              <w:right w:val="nil"/>
            </w:tcBorders>
            <w:shd w:val="clear" w:color="000000" w:fill="FFFFFF"/>
            <w:vAlign w:val="center"/>
          </w:tcPr>
          <w:p w14:paraId="4432CEB4"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Positive lymph nodes, yes/no</w:t>
            </w:r>
          </w:p>
        </w:tc>
        <w:tc>
          <w:tcPr>
            <w:tcW w:w="651" w:type="dxa"/>
            <w:tcBorders>
              <w:top w:val="nil"/>
              <w:left w:val="nil"/>
              <w:bottom w:val="nil"/>
              <w:right w:val="nil"/>
            </w:tcBorders>
            <w:shd w:val="clear" w:color="auto" w:fill="auto"/>
            <w:noWrap/>
            <w:vAlign w:val="center"/>
          </w:tcPr>
          <w:p w14:paraId="6C309825"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1.729</w:t>
            </w:r>
          </w:p>
        </w:tc>
        <w:tc>
          <w:tcPr>
            <w:tcW w:w="1153" w:type="dxa"/>
            <w:tcBorders>
              <w:top w:val="nil"/>
              <w:left w:val="nil"/>
              <w:bottom w:val="nil"/>
              <w:right w:val="nil"/>
            </w:tcBorders>
            <w:shd w:val="clear" w:color="auto" w:fill="auto"/>
            <w:noWrap/>
            <w:vAlign w:val="center"/>
          </w:tcPr>
          <w:p w14:paraId="1F49AB98"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1.487-4.325</w:t>
            </w:r>
          </w:p>
        </w:tc>
        <w:tc>
          <w:tcPr>
            <w:tcW w:w="879" w:type="dxa"/>
            <w:tcBorders>
              <w:top w:val="nil"/>
              <w:left w:val="nil"/>
              <w:bottom w:val="nil"/>
              <w:right w:val="nil"/>
            </w:tcBorders>
            <w:shd w:val="clear" w:color="auto" w:fill="auto"/>
            <w:noWrap/>
            <w:vAlign w:val="center"/>
          </w:tcPr>
          <w:p w14:paraId="6848AC20"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0.001</w:t>
            </w:r>
          </w:p>
        </w:tc>
        <w:tc>
          <w:tcPr>
            <w:tcW w:w="694" w:type="dxa"/>
            <w:tcBorders>
              <w:top w:val="nil"/>
              <w:left w:val="nil"/>
              <w:bottom w:val="nil"/>
              <w:right w:val="nil"/>
            </w:tcBorders>
            <w:shd w:val="clear" w:color="auto" w:fill="auto"/>
            <w:noWrap/>
            <w:vAlign w:val="center"/>
          </w:tcPr>
          <w:p w14:paraId="47003386" w14:textId="77777777" w:rsidR="00D81529" w:rsidRDefault="00D8152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vAlign w:val="center"/>
          </w:tcPr>
          <w:p w14:paraId="6DC564BB" w14:textId="77777777" w:rsidR="00D81529" w:rsidRDefault="00D8152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vAlign w:val="center"/>
          </w:tcPr>
          <w:p w14:paraId="48B65DF5" w14:textId="77777777" w:rsidR="00D81529" w:rsidRDefault="00D81529">
            <w:pPr>
              <w:adjustRightInd w:val="0"/>
              <w:snapToGrid w:val="0"/>
              <w:spacing w:line="360" w:lineRule="auto"/>
              <w:jc w:val="both"/>
              <w:rPr>
                <w:rFonts w:ascii="Book Antiqua" w:eastAsia="Times New Roman" w:hAnsi="Book Antiqua"/>
              </w:rPr>
            </w:pPr>
          </w:p>
        </w:tc>
      </w:tr>
      <w:tr w:rsidR="00D81529" w14:paraId="269E1EEB" w14:textId="77777777">
        <w:trPr>
          <w:trHeight w:val="280"/>
        </w:trPr>
        <w:tc>
          <w:tcPr>
            <w:tcW w:w="3071" w:type="dxa"/>
            <w:tcBorders>
              <w:top w:val="nil"/>
              <w:left w:val="nil"/>
              <w:bottom w:val="nil"/>
              <w:right w:val="nil"/>
            </w:tcBorders>
            <w:shd w:val="clear" w:color="000000" w:fill="FFFFFF"/>
            <w:vAlign w:val="center"/>
          </w:tcPr>
          <w:p w14:paraId="74B141C6"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Tumor resection, R0/R1</w:t>
            </w:r>
          </w:p>
        </w:tc>
        <w:tc>
          <w:tcPr>
            <w:tcW w:w="651" w:type="dxa"/>
            <w:tcBorders>
              <w:top w:val="nil"/>
              <w:left w:val="nil"/>
              <w:bottom w:val="nil"/>
              <w:right w:val="nil"/>
            </w:tcBorders>
            <w:shd w:val="clear" w:color="auto" w:fill="auto"/>
            <w:noWrap/>
            <w:vAlign w:val="center"/>
          </w:tcPr>
          <w:p w14:paraId="4F3550A0"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0.568</w:t>
            </w:r>
          </w:p>
        </w:tc>
        <w:tc>
          <w:tcPr>
            <w:tcW w:w="1153" w:type="dxa"/>
            <w:tcBorders>
              <w:top w:val="nil"/>
              <w:left w:val="nil"/>
              <w:bottom w:val="nil"/>
              <w:right w:val="nil"/>
            </w:tcBorders>
            <w:shd w:val="clear" w:color="auto" w:fill="auto"/>
            <w:noWrap/>
            <w:vAlign w:val="center"/>
          </w:tcPr>
          <w:p w14:paraId="4B62E22A"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0.321-0.843</w:t>
            </w:r>
          </w:p>
        </w:tc>
        <w:tc>
          <w:tcPr>
            <w:tcW w:w="879" w:type="dxa"/>
            <w:tcBorders>
              <w:top w:val="nil"/>
              <w:left w:val="nil"/>
              <w:bottom w:val="nil"/>
              <w:right w:val="nil"/>
            </w:tcBorders>
            <w:shd w:val="clear" w:color="auto" w:fill="auto"/>
            <w:noWrap/>
            <w:vAlign w:val="center"/>
          </w:tcPr>
          <w:p w14:paraId="2B8B4F82"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0.005</w:t>
            </w:r>
          </w:p>
        </w:tc>
        <w:tc>
          <w:tcPr>
            <w:tcW w:w="694" w:type="dxa"/>
            <w:tcBorders>
              <w:top w:val="nil"/>
              <w:left w:val="nil"/>
              <w:bottom w:val="nil"/>
              <w:right w:val="nil"/>
            </w:tcBorders>
            <w:shd w:val="clear" w:color="auto" w:fill="auto"/>
            <w:noWrap/>
            <w:vAlign w:val="bottom"/>
          </w:tcPr>
          <w:p w14:paraId="1A75F76F" w14:textId="77777777" w:rsidR="00D81529" w:rsidRDefault="00D8152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vAlign w:val="bottom"/>
          </w:tcPr>
          <w:p w14:paraId="3AA2228F" w14:textId="77777777" w:rsidR="00D81529" w:rsidRDefault="00D8152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vAlign w:val="bottom"/>
          </w:tcPr>
          <w:p w14:paraId="79149B7E" w14:textId="77777777" w:rsidR="00D81529" w:rsidRDefault="00D81529">
            <w:pPr>
              <w:adjustRightInd w:val="0"/>
              <w:snapToGrid w:val="0"/>
              <w:spacing w:line="360" w:lineRule="auto"/>
              <w:jc w:val="both"/>
              <w:rPr>
                <w:rFonts w:ascii="Book Antiqua" w:eastAsia="Times New Roman" w:hAnsi="Book Antiqua"/>
              </w:rPr>
            </w:pPr>
          </w:p>
        </w:tc>
      </w:tr>
      <w:tr w:rsidR="00D81529" w14:paraId="0E502C61" w14:textId="77777777">
        <w:trPr>
          <w:trHeight w:val="280"/>
        </w:trPr>
        <w:tc>
          <w:tcPr>
            <w:tcW w:w="3071" w:type="dxa"/>
            <w:tcBorders>
              <w:top w:val="nil"/>
              <w:left w:val="nil"/>
              <w:bottom w:val="nil"/>
              <w:right w:val="nil"/>
            </w:tcBorders>
            <w:shd w:val="clear" w:color="000000" w:fill="FFFFFF"/>
            <w:vAlign w:val="center"/>
          </w:tcPr>
          <w:p w14:paraId="1B14F7AA"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Operation type, Whipple</w:t>
            </w:r>
          </w:p>
        </w:tc>
        <w:tc>
          <w:tcPr>
            <w:tcW w:w="651" w:type="dxa"/>
            <w:tcBorders>
              <w:top w:val="nil"/>
              <w:left w:val="nil"/>
              <w:bottom w:val="nil"/>
              <w:right w:val="nil"/>
            </w:tcBorders>
            <w:shd w:val="clear" w:color="auto" w:fill="auto"/>
            <w:noWrap/>
            <w:vAlign w:val="center"/>
          </w:tcPr>
          <w:p w14:paraId="0E6DE384"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1.104</w:t>
            </w:r>
          </w:p>
        </w:tc>
        <w:tc>
          <w:tcPr>
            <w:tcW w:w="1153" w:type="dxa"/>
            <w:tcBorders>
              <w:top w:val="nil"/>
              <w:left w:val="nil"/>
              <w:bottom w:val="nil"/>
              <w:right w:val="nil"/>
            </w:tcBorders>
            <w:shd w:val="clear" w:color="auto" w:fill="auto"/>
            <w:noWrap/>
            <w:vAlign w:val="center"/>
          </w:tcPr>
          <w:p w14:paraId="28BDFF9E"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0.549-2.130</w:t>
            </w:r>
          </w:p>
        </w:tc>
        <w:tc>
          <w:tcPr>
            <w:tcW w:w="879" w:type="dxa"/>
            <w:tcBorders>
              <w:top w:val="nil"/>
              <w:left w:val="nil"/>
              <w:bottom w:val="nil"/>
              <w:right w:val="nil"/>
            </w:tcBorders>
            <w:shd w:val="clear" w:color="auto" w:fill="auto"/>
            <w:noWrap/>
            <w:vAlign w:val="center"/>
          </w:tcPr>
          <w:p w14:paraId="1C0420E0"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0.392</w:t>
            </w:r>
          </w:p>
        </w:tc>
        <w:tc>
          <w:tcPr>
            <w:tcW w:w="694" w:type="dxa"/>
            <w:tcBorders>
              <w:top w:val="nil"/>
              <w:left w:val="nil"/>
              <w:bottom w:val="nil"/>
              <w:right w:val="nil"/>
            </w:tcBorders>
            <w:shd w:val="clear" w:color="auto" w:fill="auto"/>
            <w:noWrap/>
            <w:vAlign w:val="bottom"/>
          </w:tcPr>
          <w:p w14:paraId="656DE7FF" w14:textId="77777777" w:rsidR="00D81529" w:rsidRDefault="00D8152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vAlign w:val="bottom"/>
          </w:tcPr>
          <w:p w14:paraId="446A0B6F" w14:textId="77777777" w:rsidR="00D81529" w:rsidRDefault="00D8152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vAlign w:val="bottom"/>
          </w:tcPr>
          <w:p w14:paraId="33458D72" w14:textId="77777777" w:rsidR="00D81529" w:rsidRDefault="00D81529">
            <w:pPr>
              <w:adjustRightInd w:val="0"/>
              <w:snapToGrid w:val="0"/>
              <w:spacing w:line="360" w:lineRule="auto"/>
              <w:jc w:val="both"/>
              <w:rPr>
                <w:rFonts w:ascii="Book Antiqua" w:eastAsia="Times New Roman" w:hAnsi="Book Antiqua"/>
              </w:rPr>
            </w:pPr>
          </w:p>
        </w:tc>
      </w:tr>
      <w:tr w:rsidR="00D81529" w14:paraId="29F94C2F" w14:textId="77777777">
        <w:trPr>
          <w:trHeight w:val="280"/>
        </w:trPr>
        <w:tc>
          <w:tcPr>
            <w:tcW w:w="3071" w:type="dxa"/>
            <w:tcBorders>
              <w:top w:val="nil"/>
              <w:left w:val="nil"/>
              <w:bottom w:val="nil"/>
              <w:right w:val="nil"/>
            </w:tcBorders>
            <w:shd w:val="clear" w:color="000000" w:fill="FFFFFF"/>
            <w:vAlign w:val="center"/>
          </w:tcPr>
          <w:p w14:paraId="34C3302C" w14:textId="77777777" w:rsidR="00D81529" w:rsidRDefault="00000000">
            <w:pPr>
              <w:adjustRightInd w:val="0"/>
              <w:snapToGrid w:val="0"/>
              <w:spacing w:line="360" w:lineRule="auto"/>
              <w:jc w:val="both"/>
              <w:rPr>
                <w:rFonts w:ascii="Book Antiqua" w:eastAsia="宋体" w:hAnsi="Book Antiqua" w:cs="宋体"/>
              </w:rPr>
            </w:pPr>
            <w:r>
              <w:rPr>
                <w:rFonts w:ascii="Book Antiqua" w:eastAsia="宋体" w:hAnsi="Book Antiqua" w:cs="宋体"/>
              </w:rPr>
              <w:t>CR, ≥ 1/&lt; 1</w:t>
            </w:r>
          </w:p>
        </w:tc>
        <w:tc>
          <w:tcPr>
            <w:tcW w:w="651" w:type="dxa"/>
            <w:tcBorders>
              <w:top w:val="nil"/>
              <w:left w:val="nil"/>
              <w:bottom w:val="nil"/>
              <w:right w:val="nil"/>
            </w:tcBorders>
            <w:shd w:val="clear" w:color="auto" w:fill="auto"/>
            <w:noWrap/>
            <w:vAlign w:val="center"/>
          </w:tcPr>
          <w:p w14:paraId="3F1BE4E5"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1.796</w:t>
            </w:r>
          </w:p>
        </w:tc>
        <w:tc>
          <w:tcPr>
            <w:tcW w:w="1153" w:type="dxa"/>
            <w:tcBorders>
              <w:top w:val="nil"/>
              <w:left w:val="nil"/>
              <w:bottom w:val="nil"/>
              <w:right w:val="nil"/>
            </w:tcBorders>
            <w:shd w:val="clear" w:color="auto" w:fill="auto"/>
            <w:noWrap/>
            <w:vAlign w:val="center"/>
          </w:tcPr>
          <w:p w14:paraId="2C290806"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1.429-4.104</w:t>
            </w:r>
          </w:p>
        </w:tc>
        <w:tc>
          <w:tcPr>
            <w:tcW w:w="879" w:type="dxa"/>
            <w:tcBorders>
              <w:top w:val="nil"/>
              <w:left w:val="nil"/>
              <w:bottom w:val="nil"/>
              <w:right w:val="nil"/>
            </w:tcBorders>
            <w:shd w:val="clear" w:color="auto" w:fill="auto"/>
            <w:noWrap/>
            <w:vAlign w:val="center"/>
          </w:tcPr>
          <w:p w14:paraId="3D25980F"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0.001</w:t>
            </w:r>
          </w:p>
        </w:tc>
        <w:tc>
          <w:tcPr>
            <w:tcW w:w="694" w:type="dxa"/>
            <w:tcBorders>
              <w:top w:val="nil"/>
              <w:left w:val="nil"/>
              <w:bottom w:val="nil"/>
              <w:right w:val="nil"/>
            </w:tcBorders>
            <w:shd w:val="clear" w:color="auto" w:fill="auto"/>
            <w:noWrap/>
            <w:vAlign w:val="center"/>
          </w:tcPr>
          <w:p w14:paraId="66475508"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1.721</w:t>
            </w:r>
          </w:p>
        </w:tc>
        <w:tc>
          <w:tcPr>
            <w:tcW w:w="1173" w:type="dxa"/>
            <w:tcBorders>
              <w:top w:val="nil"/>
              <w:left w:val="nil"/>
              <w:bottom w:val="nil"/>
              <w:right w:val="nil"/>
            </w:tcBorders>
            <w:shd w:val="clear" w:color="auto" w:fill="auto"/>
            <w:noWrap/>
            <w:vAlign w:val="center"/>
          </w:tcPr>
          <w:p w14:paraId="59960F16"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1.373-3.762</w:t>
            </w:r>
          </w:p>
        </w:tc>
        <w:tc>
          <w:tcPr>
            <w:tcW w:w="901" w:type="dxa"/>
            <w:tcBorders>
              <w:top w:val="nil"/>
              <w:left w:val="nil"/>
              <w:bottom w:val="nil"/>
              <w:right w:val="nil"/>
            </w:tcBorders>
            <w:shd w:val="clear" w:color="auto" w:fill="auto"/>
            <w:noWrap/>
            <w:vAlign w:val="center"/>
          </w:tcPr>
          <w:p w14:paraId="6CCDB082"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0.006</w:t>
            </w:r>
          </w:p>
        </w:tc>
      </w:tr>
      <w:tr w:rsidR="00D81529" w14:paraId="4277D2E9" w14:textId="77777777">
        <w:trPr>
          <w:trHeight w:val="300"/>
        </w:trPr>
        <w:tc>
          <w:tcPr>
            <w:tcW w:w="3071" w:type="dxa"/>
            <w:tcBorders>
              <w:top w:val="nil"/>
              <w:left w:val="nil"/>
              <w:bottom w:val="single" w:sz="8" w:space="0" w:color="auto"/>
              <w:right w:val="nil"/>
            </w:tcBorders>
            <w:shd w:val="clear" w:color="auto" w:fill="auto"/>
            <w:noWrap/>
            <w:vAlign w:val="center"/>
          </w:tcPr>
          <w:p w14:paraId="5BEC828F"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TR, ≥ 1/&lt; 1</w:t>
            </w:r>
          </w:p>
        </w:tc>
        <w:tc>
          <w:tcPr>
            <w:tcW w:w="651" w:type="dxa"/>
            <w:tcBorders>
              <w:top w:val="nil"/>
              <w:left w:val="nil"/>
              <w:bottom w:val="single" w:sz="8" w:space="0" w:color="auto"/>
              <w:right w:val="nil"/>
            </w:tcBorders>
            <w:shd w:val="clear" w:color="auto" w:fill="auto"/>
            <w:noWrap/>
            <w:vAlign w:val="center"/>
          </w:tcPr>
          <w:p w14:paraId="1B599FD6"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1.573</w:t>
            </w:r>
          </w:p>
        </w:tc>
        <w:tc>
          <w:tcPr>
            <w:tcW w:w="1153" w:type="dxa"/>
            <w:tcBorders>
              <w:top w:val="nil"/>
              <w:left w:val="nil"/>
              <w:bottom w:val="single" w:sz="8" w:space="0" w:color="auto"/>
              <w:right w:val="nil"/>
            </w:tcBorders>
            <w:shd w:val="clear" w:color="auto" w:fill="auto"/>
            <w:noWrap/>
            <w:vAlign w:val="center"/>
          </w:tcPr>
          <w:p w14:paraId="5855A032"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1.282-2.752</w:t>
            </w:r>
          </w:p>
        </w:tc>
        <w:tc>
          <w:tcPr>
            <w:tcW w:w="879" w:type="dxa"/>
            <w:tcBorders>
              <w:top w:val="nil"/>
              <w:left w:val="nil"/>
              <w:bottom w:val="single" w:sz="8" w:space="0" w:color="auto"/>
              <w:right w:val="nil"/>
            </w:tcBorders>
            <w:shd w:val="clear" w:color="auto" w:fill="auto"/>
            <w:noWrap/>
            <w:vAlign w:val="center"/>
          </w:tcPr>
          <w:p w14:paraId="67EF74A1"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0.012</w:t>
            </w:r>
          </w:p>
        </w:tc>
        <w:tc>
          <w:tcPr>
            <w:tcW w:w="694" w:type="dxa"/>
            <w:tcBorders>
              <w:top w:val="nil"/>
              <w:left w:val="nil"/>
              <w:bottom w:val="single" w:sz="8" w:space="0" w:color="auto"/>
              <w:right w:val="nil"/>
            </w:tcBorders>
            <w:shd w:val="clear" w:color="auto" w:fill="auto"/>
            <w:noWrap/>
            <w:vAlign w:val="center"/>
          </w:tcPr>
          <w:p w14:paraId="685A35DA"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1.435</w:t>
            </w:r>
          </w:p>
        </w:tc>
        <w:tc>
          <w:tcPr>
            <w:tcW w:w="1173" w:type="dxa"/>
            <w:tcBorders>
              <w:top w:val="nil"/>
              <w:left w:val="nil"/>
              <w:bottom w:val="single" w:sz="8" w:space="0" w:color="auto"/>
              <w:right w:val="nil"/>
            </w:tcBorders>
            <w:shd w:val="clear" w:color="auto" w:fill="auto"/>
            <w:noWrap/>
            <w:vAlign w:val="center"/>
          </w:tcPr>
          <w:p w14:paraId="67D0E594"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1.275-4.363</w:t>
            </w:r>
          </w:p>
        </w:tc>
        <w:tc>
          <w:tcPr>
            <w:tcW w:w="901" w:type="dxa"/>
            <w:tcBorders>
              <w:top w:val="nil"/>
              <w:left w:val="nil"/>
              <w:bottom w:val="single" w:sz="8" w:space="0" w:color="auto"/>
              <w:right w:val="nil"/>
            </w:tcBorders>
            <w:shd w:val="clear" w:color="auto" w:fill="auto"/>
            <w:noWrap/>
            <w:vAlign w:val="center"/>
          </w:tcPr>
          <w:p w14:paraId="5404427F" w14:textId="77777777" w:rsidR="00D81529" w:rsidRDefault="00000000">
            <w:pPr>
              <w:adjustRightInd w:val="0"/>
              <w:snapToGrid w:val="0"/>
              <w:spacing w:line="360" w:lineRule="auto"/>
              <w:jc w:val="both"/>
              <w:rPr>
                <w:rFonts w:ascii="Book Antiqua" w:eastAsia="宋体" w:hAnsi="Book Antiqua"/>
              </w:rPr>
            </w:pPr>
            <w:r>
              <w:rPr>
                <w:rFonts w:ascii="Book Antiqua" w:eastAsia="宋体" w:hAnsi="Book Antiqua"/>
              </w:rPr>
              <w:t>0.014</w:t>
            </w:r>
          </w:p>
        </w:tc>
      </w:tr>
    </w:tbl>
    <w:p w14:paraId="09E30725" w14:textId="09EB48B3" w:rsidR="00E53BA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BMI: Body mass index;</w:t>
      </w:r>
      <w:r>
        <w:t xml:space="preserve"> </w:t>
      </w:r>
      <w:r>
        <w:rPr>
          <w:rFonts w:ascii="Book Antiqua" w:eastAsia="Book Antiqua" w:hAnsi="Book Antiqua" w:cs="Book Antiqua"/>
        </w:rPr>
        <w:t>Chx: Chemotherapy; CR: Carbohydrate antigen 19-9 ratio; Rtx: Radiotherapy; TR: Tumor size ratio.</w:t>
      </w:r>
    </w:p>
    <w:p w14:paraId="2250C2E3" w14:textId="77777777" w:rsidR="00E53BAB" w:rsidRDefault="00E53BAB">
      <w:pPr>
        <w:rPr>
          <w:rFonts w:ascii="Book Antiqua" w:eastAsia="Book Antiqua" w:hAnsi="Book Antiqua" w:cs="Book Antiqua"/>
        </w:rPr>
      </w:pPr>
      <w:r>
        <w:rPr>
          <w:rFonts w:ascii="Book Antiqua" w:eastAsia="Book Antiqua" w:hAnsi="Book Antiqua" w:cs="Book Antiqua"/>
        </w:rPr>
        <w:br w:type="page"/>
      </w:r>
    </w:p>
    <w:p w14:paraId="0F51395D" w14:textId="77777777" w:rsidR="00E53BAB" w:rsidRPr="006D4EDA" w:rsidRDefault="00E53BAB" w:rsidP="00E53BAB">
      <w:pPr>
        <w:snapToGrid w:val="0"/>
        <w:ind w:leftChars="100" w:left="240"/>
        <w:jc w:val="center"/>
        <w:rPr>
          <w:rFonts w:ascii="Book Antiqua" w:hAnsi="Book Antiqua"/>
        </w:rPr>
      </w:pPr>
    </w:p>
    <w:p w14:paraId="3A124F6C" w14:textId="77777777" w:rsidR="00E53BAB" w:rsidRPr="006D4EDA" w:rsidRDefault="00E53BAB" w:rsidP="00E53BAB">
      <w:pPr>
        <w:snapToGrid w:val="0"/>
        <w:ind w:leftChars="100" w:left="240"/>
        <w:jc w:val="center"/>
        <w:rPr>
          <w:rFonts w:ascii="Book Antiqua" w:hAnsi="Book Antiqua"/>
        </w:rPr>
      </w:pPr>
    </w:p>
    <w:p w14:paraId="6B7DA345" w14:textId="77777777" w:rsidR="00E53BAB" w:rsidRPr="006D4EDA" w:rsidRDefault="00E53BAB" w:rsidP="00E53BAB">
      <w:pPr>
        <w:snapToGrid w:val="0"/>
        <w:ind w:leftChars="100" w:left="240"/>
        <w:jc w:val="center"/>
        <w:rPr>
          <w:rFonts w:ascii="Book Antiqua" w:hAnsi="Book Antiqua"/>
        </w:rPr>
      </w:pPr>
    </w:p>
    <w:p w14:paraId="4DED8161" w14:textId="77777777" w:rsidR="00E53BAB" w:rsidRPr="006D4EDA" w:rsidRDefault="00E53BAB" w:rsidP="00E53BAB">
      <w:pPr>
        <w:snapToGrid w:val="0"/>
        <w:ind w:leftChars="100" w:left="240"/>
        <w:jc w:val="center"/>
        <w:rPr>
          <w:rFonts w:ascii="Book Antiqua" w:hAnsi="Book Antiqua"/>
        </w:rPr>
      </w:pPr>
    </w:p>
    <w:p w14:paraId="2B89550F" w14:textId="77777777" w:rsidR="00E53BAB" w:rsidRPr="006D4EDA" w:rsidRDefault="00E53BAB" w:rsidP="00E53BAB">
      <w:pPr>
        <w:snapToGrid w:val="0"/>
        <w:ind w:leftChars="100" w:left="240"/>
        <w:jc w:val="center"/>
        <w:rPr>
          <w:rFonts w:ascii="Book Antiqua" w:hAnsi="Book Antiqua"/>
        </w:rPr>
      </w:pPr>
      <w:r w:rsidRPr="006D4EDA">
        <w:rPr>
          <w:rFonts w:ascii="Book Antiqua" w:hAnsi="Book Antiqua"/>
          <w:noProof/>
        </w:rPr>
        <w:drawing>
          <wp:inline distT="0" distB="0" distL="0" distR="0" wp14:anchorId="64C43C62" wp14:editId="574D597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E90ECBA" w14:textId="77777777" w:rsidR="00E53BAB" w:rsidRPr="006D4EDA" w:rsidRDefault="00E53BAB" w:rsidP="00E53BAB">
      <w:pPr>
        <w:snapToGrid w:val="0"/>
        <w:ind w:leftChars="100" w:left="240"/>
        <w:jc w:val="center"/>
        <w:rPr>
          <w:rFonts w:ascii="Book Antiqua" w:hAnsi="Book Antiqua"/>
        </w:rPr>
      </w:pPr>
    </w:p>
    <w:p w14:paraId="28D671F7" w14:textId="77777777" w:rsidR="00E53BAB" w:rsidRPr="006D4EDA" w:rsidRDefault="00E53BAB" w:rsidP="00E53BA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5DED4C4" w14:textId="77777777" w:rsidR="00E53BAB" w:rsidRPr="006D4EDA" w:rsidRDefault="00E53BAB" w:rsidP="00E53BA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0953A59" w14:textId="77777777" w:rsidR="00E53BAB" w:rsidRPr="006D4EDA" w:rsidRDefault="00E53BAB" w:rsidP="00E53BA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7EC2553" w14:textId="77777777" w:rsidR="00E53BAB" w:rsidRPr="006D4EDA" w:rsidRDefault="00E53BAB" w:rsidP="00E53BA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960B572" w14:textId="77777777" w:rsidR="00E53BAB" w:rsidRPr="006D4EDA" w:rsidRDefault="00E53BAB" w:rsidP="00E53BA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E1DBD85" w14:textId="77777777" w:rsidR="00E53BAB" w:rsidRPr="006D4EDA" w:rsidRDefault="00E53BAB" w:rsidP="00E53BA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5FC4864" w14:textId="77777777" w:rsidR="00E53BAB" w:rsidRPr="006D4EDA" w:rsidRDefault="00E53BAB" w:rsidP="00E53BAB">
      <w:pPr>
        <w:snapToGrid w:val="0"/>
        <w:ind w:leftChars="100" w:left="240"/>
        <w:jc w:val="center"/>
        <w:rPr>
          <w:rFonts w:ascii="Book Antiqua" w:hAnsi="Book Antiqua"/>
        </w:rPr>
      </w:pPr>
    </w:p>
    <w:p w14:paraId="6A72238E" w14:textId="77777777" w:rsidR="00E53BAB" w:rsidRPr="006D4EDA" w:rsidRDefault="00E53BAB" w:rsidP="00E53BAB">
      <w:pPr>
        <w:snapToGrid w:val="0"/>
        <w:ind w:leftChars="100" w:left="240"/>
        <w:jc w:val="center"/>
        <w:rPr>
          <w:rFonts w:ascii="Book Antiqua" w:hAnsi="Book Antiqua"/>
        </w:rPr>
      </w:pPr>
    </w:p>
    <w:p w14:paraId="37CAE8C3" w14:textId="77777777" w:rsidR="00E53BAB" w:rsidRPr="006D4EDA" w:rsidRDefault="00E53BAB" w:rsidP="00E53BAB">
      <w:pPr>
        <w:snapToGrid w:val="0"/>
        <w:ind w:leftChars="100" w:left="240"/>
        <w:jc w:val="center"/>
        <w:rPr>
          <w:rFonts w:ascii="Book Antiqua" w:hAnsi="Book Antiqua"/>
        </w:rPr>
      </w:pPr>
    </w:p>
    <w:p w14:paraId="7E504313" w14:textId="77777777" w:rsidR="00E53BAB" w:rsidRPr="006D4EDA" w:rsidRDefault="00E53BAB" w:rsidP="00E53BAB">
      <w:pPr>
        <w:snapToGrid w:val="0"/>
        <w:ind w:leftChars="100" w:left="240"/>
        <w:jc w:val="center"/>
        <w:rPr>
          <w:rFonts w:ascii="Book Antiqua" w:hAnsi="Book Antiqua"/>
        </w:rPr>
      </w:pPr>
      <w:r w:rsidRPr="006D4EDA">
        <w:rPr>
          <w:rFonts w:ascii="Book Antiqua" w:hAnsi="Book Antiqua"/>
          <w:noProof/>
        </w:rPr>
        <w:drawing>
          <wp:inline distT="0" distB="0" distL="0" distR="0" wp14:anchorId="4D6EDABD" wp14:editId="30CA65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82A1F9E" w14:textId="77777777" w:rsidR="00E53BAB" w:rsidRPr="006D4EDA" w:rsidRDefault="00E53BAB" w:rsidP="00E53BAB">
      <w:pPr>
        <w:snapToGrid w:val="0"/>
        <w:ind w:leftChars="100" w:left="240"/>
        <w:jc w:val="center"/>
        <w:rPr>
          <w:rFonts w:ascii="Book Antiqua" w:hAnsi="Book Antiqua"/>
        </w:rPr>
      </w:pPr>
    </w:p>
    <w:p w14:paraId="330BEA02" w14:textId="77777777" w:rsidR="00E53BAB" w:rsidRPr="006D4EDA" w:rsidRDefault="00E53BAB" w:rsidP="00E53BAB">
      <w:pPr>
        <w:snapToGrid w:val="0"/>
        <w:ind w:leftChars="100" w:left="240"/>
        <w:jc w:val="center"/>
        <w:rPr>
          <w:rFonts w:ascii="Book Antiqua" w:hAnsi="Book Antiqua"/>
        </w:rPr>
      </w:pPr>
    </w:p>
    <w:p w14:paraId="6B1D20FF" w14:textId="77777777" w:rsidR="00E53BAB" w:rsidRPr="006D4EDA" w:rsidRDefault="00E53BAB" w:rsidP="00E53BAB">
      <w:pPr>
        <w:snapToGrid w:val="0"/>
        <w:ind w:leftChars="100" w:left="240"/>
        <w:jc w:val="center"/>
        <w:rPr>
          <w:rFonts w:ascii="Book Antiqua" w:hAnsi="Book Antiqua"/>
        </w:rPr>
      </w:pPr>
    </w:p>
    <w:p w14:paraId="5787C169" w14:textId="77777777" w:rsidR="00E53BAB" w:rsidRPr="006D4EDA" w:rsidRDefault="00E53BAB" w:rsidP="00E53BAB">
      <w:pPr>
        <w:snapToGrid w:val="0"/>
        <w:ind w:leftChars="100" w:left="240"/>
        <w:jc w:val="center"/>
        <w:rPr>
          <w:rFonts w:ascii="Book Antiqua" w:hAnsi="Book Antiqua"/>
        </w:rPr>
      </w:pPr>
    </w:p>
    <w:p w14:paraId="0E13ACD8" w14:textId="77777777" w:rsidR="00E53BAB" w:rsidRPr="006D4EDA" w:rsidRDefault="00E53BAB" w:rsidP="00E53BAB">
      <w:pPr>
        <w:snapToGrid w:val="0"/>
        <w:ind w:leftChars="100" w:left="240"/>
        <w:jc w:val="center"/>
        <w:rPr>
          <w:rFonts w:ascii="Book Antiqua" w:hAnsi="Book Antiqua"/>
        </w:rPr>
      </w:pPr>
    </w:p>
    <w:p w14:paraId="23DA89D3" w14:textId="77777777" w:rsidR="00E53BAB" w:rsidRPr="006D4EDA" w:rsidRDefault="00E53BAB" w:rsidP="00E53BAB">
      <w:pPr>
        <w:snapToGrid w:val="0"/>
        <w:ind w:leftChars="100" w:left="240"/>
        <w:jc w:val="center"/>
        <w:rPr>
          <w:rFonts w:ascii="Book Antiqua" w:hAnsi="Book Antiqua"/>
        </w:rPr>
      </w:pPr>
    </w:p>
    <w:p w14:paraId="11E635B4" w14:textId="77777777" w:rsidR="00E53BAB" w:rsidRPr="006D4EDA" w:rsidRDefault="00E53BAB" w:rsidP="00E53BAB">
      <w:pPr>
        <w:snapToGrid w:val="0"/>
        <w:ind w:leftChars="100" w:left="240"/>
        <w:jc w:val="center"/>
        <w:rPr>
          <w:rFonts w:ascii="Book Antiqua" w:hAnsi="Book Antiqua"/>
        </w:rPr>
      </w:pPr>
    </w:p>
    <w:p w14:paraId="47A6E9E5" w14:textId="77777777" w:rsidR="00E53BAB" w:rsidRPr="006D4EDA" w:rsidRDefault="00E53BAB" w:rsidP="00E53BAB">
      <w:pPr>
        <w:snapToGrid w:val="0"/>
        <w:ind w:leftChars="100" w:left="240"/>
        <w:jc w:val="center"/>
        <w:rPr>
          <w:rFonts w:ascii="Book Antiqua" w:hAnsi="Book Antiqua"/>
        </w:rPr>
      </w:pPr>
    </w:p>
    <w:p w14:paraId="6967D62C" w14:textId="77777777" w:rsidR="00E53BAB" w:rsidRPr="006D4EDA" w:rsidRDefault="00E53BAB" w:rsidP="00E53BAB">
      <w:pPr>
        <w:snapToGrid w:val="0"/>
        <w:ind w:leftChars="100" w:left="240"/>
        <w:jc w:val="center"/>
        <w:rPr>
          <w:rFonts w:ascii="Book Antiqua" w:hAnsi="Book Antiqua"/>
        </w:rPr>
      </w:pPr>
    </w:p>
    <w:p w14:paraId="4F9049F9" w14:textId="77777777" w:rsidR="00E53BAB" w:rsidRPr="006D4EDA" w:rsidRDefault="00E53BAB" w:rsidP="00E53BAB">
      <w:pPr>
        <w:snapToGrid w:val="0"/>
        <w:ind w:leftChars="100" w:left="240"/>
        <w:jc w:val="right"/>
        <w:rPr>
          <w:rFonts w:ascii="Book Antiqua" w:hAnsi="Book Antiqua"/>
          <w:color w:val="000000" w:themeColor="text1"/>
        </w:rPr>
      </w:pPr>
    </w:p>
    <w:p w14:paraId="6D72B630" w14:textId="77777777" w:rsidR="00E53BAB" w:rsidRPr="00A2530C" w:rsidRDefault="00E53BAB" w:rsidP="00E53BA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6579BA41" w14:textId="77777777" w:rsidR="00D81529" w:rsidRDefault="00D81529">
      <w:pPr>
        <w:adjustRightInd w:val="0"/>
        <w:snapToGrid w:val="0"/>
        <w:spacing w:line="360" w:lineRule="auto"/>
        <w:jc w:val="both"/>
        <w:rPr>
          <w:rFonts w:ascii="Book Antiqua" w:hAnsi="Book Antiqua"/>
        </w:rPr>
      </w:pPr>
    </w:p>
    <w:sectPr w:rsidR="00D815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BC77" w14:textId="77777777" w:rsidR="00935A61" w:rsidRDefault="00935A61">
      <w:r>
        <w:separator/>
      </w:r>
    </w:p>
  </w:endnote>
  <w:endnote w:type="continuationSeparator" w:id="0">
    <w:p w14:paraId="56C83E21" w14:textId="77777777" w:rsidR="00935A61" w:rsidRDefault="0093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062251"/>
    </w:sdtPr>
    <w:sdtContent>
      <w:sdt>
        <w:sdtPr>
          <w:id w:val="-1769616900"/>
        </w:sdtPr>
        <w:sdtContent>
          <w:p w14:paraId="09A65573" w14:textId="77777777" w:rsidR="00D81529" w:rsidRDefault="00000000">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D28CC5B" w14:textId="77777777" w:rsidR="00D81529" w:rsidRDefault="00D815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26D2" w14:textId="77777777" w:rsidR="00935A61" w:rsidRDefault="00935A61">
      <w:r>
        <w:separator/>
      </w:r>
    </w:p>
  </w:footnote>
  <w:footnote w:type="continuationSeparator" w:id="0">
    <w:p w14:paraId="73EC7A4E" w14:textId="77777777" w:rsidR="00935A61" w:rsidRDefault="00935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YwNzg4MzdkYTU2NWNlYWI4NWQxNzZhNmYyMmVjMjMifQ=="/>
  </w:docVars>
  <w:rsids>
    <w:rsidRoot w:val="00A77B3E"/>
    <w:rsid w:val="00025DB3"/>
    <w:rsid w:val="00033C40"/>
    <w:rsid w:val="00034756"/>
    <w:rsid w:val="000615AC"/>
    <w:rsid w:val="000B12AC"/>
    <w:rsid w:val="000E45AE"/>
    <w:rsid w:val="000E7B88"/>
    <w:rsid w:val="000F7945"/>
    <w:rsid w:val="00124148"/>
    <w:rsid w:val="00142944"/>
    <w:rsid w:val="00166557"/>
    <w:rsid w:val="00167922"/>
    <w:rsid w:val="00170A54"/>
    <w:rsid w:val="001A30F6"/>
    <w:rsid w:val="001A789E"/>
    <w:rsid w:val="001C0AD9"/>
    <w:rsid w:val="001C31AE"/>
    <w:rsid w:val="00206DA7"/>
    <w:rsid w:val="002240D4"/>
    <w:rsid w:val="00243411"/>
    <w:rsid w:val="00266E7E"/>
    <w:rsid w:val="00282C69"/>
    <w:rsid w:val="00293E7C"/>
    <w:rsid w:val="002B2EFE"/>
    <w:rsid w:val="003016BA"/>
    <w:rsid w:val="00304825"/>
    <w:rsid w:val="003111B4"/>
    <w:rsid w:val="00312B55"/>
    <w:rsid w:val="003365AD"/>
    <w:rsid w:val="0035102D"/>
    <w:rsid w:val="00364555"/>
    <w:rsid w:val="00374C6D"/>
    <w:rsid w:val="00385DD2"/>
    <w:rsid w:val="003B31B0"/>
    <w:rsid w:val="003C3E5C"/>
    <w:rsid w:val="004345CF"/>
    <w:rsid w:val="00445AD7"/>
    <w:rsid w:val="004863B0"/>
    <w:rsid w:val="004B1749"/>
    <w:rsid w:val="004E0C99"/>
    <w:rsid w:val="004F1D32"/>
    <w:rsid w:val="004F39BC"/>
    <w:rsid w:val="005164BF"/>
    <w:rsid w:val="005267A3"/>
    <w:rsid w:val="00527410"/>
    <w:rsid w:val="005301A1"/>
    <w:rsid w:val="00531AA6"/>
    <w:rsid w:val="00541AE7"/>
    <w:rsid w:val="005437F6"/>
    <w:rsid w:val="00584F36"/>
    <w:rsid w:val="0058686C"/>
    <w:rsid w:val="00594F9D"/>
    <w:rsid w:val="005B11D8"/>
    <w:rsid w:val="005B345C"/>
    <w:rsid w:val="005D17EA"/>
    <w:rsid w:val="005D6692"/>
    <w:rsid w:val="005E479C"/>
    <w:rsid w:val="005F1907"/>
    <w:rsid w:val="006147DE"/>
    <w:rsid w:val="00616F83"/>
    <w:rsid w:val="006400AD"/>
    <w:rsid w:val="006424E0"/>
    <w:rsid w:val="00643974"/>
    <w:rsid w:val="00690499"/>
    <w:rsid w:val="006B7B5A"/>
    <w:rsid w:val="006C4EF0"/>
    <w:rsid w:val="006F5608"/>
    <w:rsid w:val="00722FAB"/>
    <w:rsid w:val="0074529D"/>
    <w:rsid w:val="007543E8"/>
    <w:rsid w:val="00776F0F"/>
    <w:rsid w:val="00783013"/>
    <w:rsid w:val="007D3B20"/>
    <w:rsid w:val="007D46EE"/>
    <w:rsid w:val="007E32A9"/>
    <w:rsid w:val="007F4905"/>
    <w:rsid w:val="008058FA"/>
    <w:rsid w:val="00814D19"/>
    <w:rsid w:val="00836980"/>
    <w:rsid w:val="0085588F"/>
    <w:rsid w:val="008579E8"/>
    <w:rsid w:val="008612C4"/>
    <w:rsid w:val="008765CC"/>
    <w:rsid w:val="008B3F99"/>
    <w:rsid w:val="008C3F19"/>
    <w:rsid w:val="008C7BFE"/>
    <w:rsid w:val="008D58A7"/>
    <w:rsid w:val="008D6D6B"/>
    <w:rsid w:val="009028B3"/>
    <w:rsid w:val="0092444D"/>
    <w:rsid w:val="009319AB"/>
    <w:rsid w:val="00935A61"/>
    <w:rsid w:val="00980F89"/>
    <w:rsid w:val="0098619E"/>
    <w:rsid w:val="009C74B1"/>
    <w:rsid w:val="009E65F6"/>
    <w:rsid w:val="009F1677"/>
    <w:rsid w:val="009F5A5A"/>
    <w:rsid w:val="00A057C3"/>
    <w:rsid w:val="00A07C19"/>
    <w:rsid w:val="00A20801"/>
    <w:rsid w:val="00A246D8"/>
    <w:rsid w:val="00A6234E"/>
    <w:rsid w:val="00A645B9"/>
    <w:rsid w:val="00A77B3E"/>
    <w:rsid w:val="00A86428"/>
    <w:rsid w:val="00AA074C"/>
    <w:rsid w:val="00AA1033"/>
    <w:rsid w:val="00AB4E33"/>
    <w:rsid w:val="00AB4FC6"/>
    <w:rsid w:val="00AD0726"/>
    <w:rsid w:val="00AF2744"/>
    <w:rsid w:val="00B0135B"/>
    <w:rsid w:val="00B07803"/>
    <w:rsid w:val="00B228EA"/>
    <w:rsid w:val="00B96F4D"/>
    <w:rsid w:val="00BE6420"/>
    <w:rsid w:val="00BF75C9"/>
    <w:rsid w:val="00C248E4"/>
    <w:rsid w:val="00C253B9"/>
    <w:rsid w:val="00C94471"/>
    <w:rsid w:val="00CA1E5B"/>
    <w:rsid w:val="00CA2A55"/>
    <w:rsid w:val="00D0448A"/>
    <w:rsid w:val="00D81529"/>
    <w:rsid w:val="00D95378"/>
    <w:rsid w:val="00DB4BC5"/>
    <w:rsid w:val="00DC190D"/>
    <w:rsid w:val="00DD342F"/>
    <w:rsid w:val="00E127FA"/>
    <w:rsid w:val="00E13CD6"/>
    <w:rsid w:val="00E15BD6"/>
    <w:rsid w:val="00E21791"/>
    <w:rsid w:val="00E2429C"/>
    <w:rsid w:val="00E4294B"/>
    <w:rsid w:val="00E5057C"/>
    <w:rsid w:val="00E53A25"/>
    <w:rsid w:val="00E53BAB"/>
    <w:rsid w:val="00E70103"/>
    <w:rsid w:val="00EA691E"/>
    <w:rsid w:val="00EF2C7C"/>
    <w:rsid w:val="00F11873"/>
    <w:rsid w:val="00F33D39"/>
    <w:rsid w:val="00F3571C"/>
    <w:rsid w:val="00F6411F"/>
    <w:rsid w:val="00F653EC"/>
    <w:rsid w:val="00F74025"/>
    <w:rsid w:val="00F7593F"/>
    <w:rsid w:val="00F80AB4"/>
    <w:rsid w:val="00F92106"/>
    <w:rsid w:val="00FE2774"/>
    <w:rsid w:val="00FE30A4"/>
    <w:rsid w:val="00FE610F"/>
    <w:rsid w:val="00FE754B"/>
    <w:rsid w:val="00FF4325"/>
    <w:rsid w:val="00FF485F"/>
    <w:rsid w:val="1ECB5EF9"/>
    <w:rsid w:val="64E4458F"/>
    <w:rsid w:val="764C72F3"/>
    <w:rsid w:val="7EFA4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264BB93"/>
  <w15:docId w15:val="{93DA186D-9EB8-2E45-8B6A-E7C71C91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Hyperlink"/>
    <w:basedOn w:val="a0"/>
    <w:qFormat/>
    <w:rPr>
      <w:color w:val="0000FF" w:themeColor="hyperlink"/>
      <w:u w:val="single"/>
    </w:rPr>
  </w:style>
  <w:style w:type="character" w:styleId="ac">
    <w:name w:val="annotation reference"/>
    <w:basedOn w:val="a0"/>
    <w:rPr>
      <w:sz w:val="21"/>
      <w:szCs w:val="21"/>
    </w:rPr>
  </w:style>
  <w:style w:type="character" w:customStyle="1" w:styleId="a4">
    <w:name w:val="批注文字 字符"/>
    <w:basedOn w:val="a0"/>
    <w:link w:val="a3"/>
    <w:autoRedefine/>
    <w:qFormat/>
    <w:rPr>
      <w:sz w:val="24"/>
      <w:szCs w:val="24"/>
    </w:rPr>
  </w:style>
  <w:style w:type="character" w:customStyle="1" w:styleId="aa">
    <w:name w:val="批注主题 字符"/>
    <w:basedOn w:val="a4"/>
    <w:link w:val="a9"/>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rPr>
      <w:sz w:val="24"/>
      <w:szCs w:val="24"/>
      <w:lang w:eastAsia="en-US"/>
    </w:rPr>
  </w:style>
  <w:style w:type="character" w:customStyle="1" w:styleId="10">
    <w:name w:val="未处理的提及1"/>
    <w:basedOn w:val="a0"/>
    <w:autoRedefine/>
    <w:uiPriority w:val="99"/>
    <w:semiHidden/>
    <w:unhideWhenUsed/>
    <w:qFormat/>
    <w:rPr>
      <w:color w:val="605E5C"/>
      <w:shd w:val="clear" w:color="auto" w:fill="E1DFDD"/>
    </w:rPr>
  </w:style>
  <w:style w:type="character" w:styleId="ad">
    <w:name w:val="Unresolved Mention"/>
    <w:basedOn w:val="a0"/>
    <w:uiPriority w:val="99"/>
    <w:semiHidden/>
    <w:unhideWhenUsed/>
    <w:rsid w:val="00E53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iailicip@126.co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6689</Words>
  <Characters>38130</Characters>
  <Application>Microsoft Office Word</Application>
  <DocSecurity>0</DocSecurity>
  <Lines>317</Lines>
  <Paragraphs>89</Paragraphs>
  <ScaleCrop>false</ScaleCrop>
  <Company/>
  <LinksUpToDate>false</LinksUpToDate>
  <CharactersWithSpaces>44730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you12</dc:creator>
  <cp:lastModifiedBy>M18955</cp:lastModifiedBy>
  <cp:revision>6</cp:revision>
  <dcterms:created xsi:type="dcterms:W3CDTF">2024-01-24T20:46:00Z</dcterms:created>
  <dcterms:modified xsi:type="dcterms:W3CDTF">2024-03-05T04:46:00Z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D301A7FAAEA747EC9B19120126806858_12</vt:lpwstr>
  </property>
</Properties>
</file>