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8F063" w14:textId="77777777" w:rsidR="00FA4012"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66EAC9EC" w14:textId="77777777" w:rsidR="00FA4012"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88429</w:t>
      </w:r>
    </w:p>
    <w:p w14:paraId="58515945" w14:textId="77777777" w:rsidR="00FA4012"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3DA938B" w14:textId="77777777" w:rsidR="00FA4012" w:rsidRDefault="00FA4012">
      <w:pPr>
        <w:spacing w:line="360" w:lineRule="auto"/>
        <w:jc w:val="both"/>
        <w:rPr>
          <w:rFonts w:ascii="Book Antiqua" w:hAnsi="Book Antiqua"/>
        </w:rPr>
      </w:pPr>
    </w:p>
    <w:p w14:paraId="335B0F6B" w14:textId="77777777" w:rsidR="00FA4012" w:rsidRDefault="00000000">
      <w:pPr>
        <w:spacing w:line="360" w:lineRule="auto"/>
        <w:jc w:val="both"/>
        <w:rPr>
          <w:rFonts w:ascii="Book Antiqua" w:hAnsi="Book Antiqua"/>
        </w:rPr>
      </w:pPr>
      <w:r>
        <w:rPr>
          <w:rFonts w:ascii="Book Antiqua" w:eastAsia="Book Antiqua" w:hAnsi="Book Antiqua" w:cs="Book Antiqua"/>
          <w:b/>
          <w:i/>
        </w:rPr>
        <w:t>Basic Study</w:t>
      </w:r>
    </w:p>
    <w:p w14:paraId="476B4021" w14:textId="77777777" w:rsidR="00FA4012" w:rsidRDefault="00000000">
      <w:pPr>
        <w:spacing w:line="360" w:lineRule="auto"/>
        <w:jc w:val="both"/>
        <w:rPr>
          <w:rFonts w:ascii="Book Antiqua" w:hAnsi="Book Antiqua"/>
        </w:rPr>
      </w:pPr>
      <w:bookmarkStart w:id="0" w:name="_Hlk155532465"/>
      <w:r>
        <w:rPr>
          <w:rFonts w:ascii="Book Antiqua" w:eastAsia="Book Antiqua" w:hAnsi="Book Antiqua" w:cs="Book Antiqua"/>
          <w:b/>
          <w:bCs/>
          <w:color w:val="000000"/>
        </w:rPr>
        <w:t>Long noncoding RNA protein-disulfide isomerase-associated 3 regulated high glucose-induced podocyte apoptosis in diabetic nephropathy through targeting miR-139-3p</w:t>
      </w:r>
    </w:p>
    <w:bookmarkEnd w:id="0"/>
    <w:p w14:paraId="78881E08" w14:textId="77777777" w:rsidR="00FA4012" w:rsidRDefault="00FA4012">
      <w:pPr>
        <w:spacing w:line="360" w:lineRule="auto"/>
        <w:jc w:val="both"/>
        <w:rPr>
          <w:rFonts w:ascii="Book Antiqua" w:hAnsi="Book Antiqua"/>
        </w:rPr>
      </w:pPr>
    </w:p>
    <w:p w14:paraId="18F51644" w14:textId="77777777" w:rsidR="00FA4012" w:rsidRDefault="00000000">
      <w:pPr>
        <w:spacing w:line="360" w:lineRule="auto"/>
        <w:jc w:val="both"/>
        <w:rPr>
          <w:rFonts w:ascii="Book Antiqua" w:hAnsi="Book Antiqua"/>
        </w:rPr>
      </w:pPr>
      <w:r>
        <w:rPr>
          <w:rFonts w:ascii="Book Antiqua" w:eastAsia="Book Antiqua" w:hAnsi="Book Antiqua" w:cs="Book Antiqua"/>
        </w:rPr>
        <w:t>He YX</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LncRNA Pdia3 regulate podocyte apoptosis</w:t>
      </w:r>
    </w:p>
    <w:p w14:paraId="0D63DDD6" w14:textId="77777777" w:rsidR="00FA4012" w:rsidRDefault="00FA4012">
      <w:pPr>
        <w:spacing w:line="360" w:lineRule="auto"/>
        <w:jc w:val="both"/>
        <w:rPr>
          <w:rFonts w:ascii="Book Antiqua" w:hAnsi="Book Antiqua"/>
        </w:rPr>
      </w:pPr>
    </w:p>
    <w:p w14:paraId="4B4217E2"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Yin-Xi He, Ting Wang, Wen-Xian Li, Yan-Xia Chen</w:t>
      </w:r>
    </w:p>
    <w:p w14:paraId="419B1B55" w14:textId="77777777" w:rsidR="00FA4012" w:rsidRDefault="00FA4012">
      <w:pPr>
        <w:spacing w:line="360" w:lineRule="auto"/>
        <w:jc w:val="both"/>
        <w:rPr>
          <w:rFonts w:ascii="Book Antiqua" w:hAnsi="Book Antiqua"/>
        </w:rPr>
      </w:pPr>
    </w:p>
    <w:p w14:paraId="76746ABC" w14:textId="77777777" w:rsidR="00FA4012" w:rsidRDefault="00000000">
      <w:pPr>
        <w:spacing w:line="360" w:lineRule="auto"/>
        <w:jc w:val="both"/>
        <w:rPr>
          <w:rFonts w:ascii="Book Antiqua" w:hAnsi="Book Antiqua"/>
        </w:rPr>
      </w:pPr>
      <w:r>
        <w:rPr>
          <w:rFonts w:ascii="Book Antiqua" w:eastAsia="Book Antiqua" w:hAnsi="Book Antiqua" w:cs="Book Antiqua"/>
          <w:b/>
          <w:bCs/>
          <w:color w:val="000000"/>
        </w:rPr>
        <w:t xml:space="preserve">Yin-Xi He,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Trauma, The Third Hospital of Shijiazhuang, Shijiazhuang 050000, Hebei Province, China</w:t>
      </w:r>
    </w:p>
    <w:p w14:paraId="6B2FACD9" w14:textId="77777777" w:rsidR="00FA4012" w:rsidRDefault="00FA4012">
      <w:pPr>
        <w:spacing w:line="360" w:lineRule="auto"/>
        <w:jc w:val="both"/>
        <w:rPr>
          <w:rFonts w:ascii="Book Antiqua" w:hAnsi="Book Antiqua"/>
        </w:rPr>
      </w:pPr>
    </w:p>
    <w:p w14:paraId="1F06F918" w14:textId="77777777" w:rsidR="00FA4012" w:rsidRDefault="00000000">
      <w:pPr>
        <w:spacing w:line="360" w:lineRule="auto"/>
        <w:jc w:val="both"/>
        <w:rPr>
          <w:rFonts w:ascii="Book Antiqua" w:hAnsi="Book Antiqua"/>
        </w:rPr>
      </w:pPr>
      <w:r>
        <w:rPr>
          <w:rFonts w:ascii="Book Antiqua" w:eastAsia="Book Antiqua" w:hAnsi="Book Antiqua" w:cs="Book Antiqua"/>
          <w:b/>
          <w:bCs/>
          <w:color w:val="000000"/>
        </w:rPr>
        <w:t xml:space="preserve">Ting Wang, Yan-Xia Chen, </w:t>
      </w:r>
      <w:r>
        <w:rPr>
          <w:rFonts w:ascii="Book Antiqua" w:eastAsia="Book Antiqua" w:hAnsi="Book Antiqua" w:cs="Book Antiqua"/>
          <w:color w:val="000000"/>
        </w:rPr>
        <w:t>Department of Endocrinology, The Second Hospital of Hebei Medical University, Shijiazhuang 050000, Hebei Province, China</w:t>
      </w:r>
    </w:p>
    <w:p w14:paraId="698ED5B9" w14:textId="77777777" w:rsidR="00FA4012" w:rsidRDefault="00FA4012">
      <w:pPr>
        <w:spacing w:line="360" w:lineRule="auto"/>
        <w:jc w:val="both"/>
        <w:rPr>
          <w:rFonts w:ascii="Book Antiqua" w:hAnsi="Book Antiqua"/>
        </w:rPr>
      </w:pPr>
    </w:p>
    <w:p w14:paraId="27AA0967" w14:textId="77777777" w:rsidR="00FA4012" w:rsidRDefault="00000000">
      <w:pPr>
        <w:spacing w:line="360" w:lineRule="auto"/>
        <w:jc w:val="both"/>
        <w:rPr>
          <w:rFonts w:ascii="Book Antiqua" w:hAnsi="Book Antiqua"/>
        </w:rPr>
      </w:pPr>
      <w:r>
        <w:rPr>
          <w:rFonts w:ascii="Book Antiqua" w:eastAsia="Book Antiqua" w:hAnsi="Book Antiqua" w:cs="Book Antiqua"/>
          <w:b/>
          <w:bCs/>
          <w:color w:val="000000"/>
        </w:rPr>
        <w:t xml:space="preserve">Wen-Xian Li, </w:t>
      </w:r>
      <w:r>
        <w:rPr>
          <w:rFonts w:ascii="Book Antiqua" w:eastAsia="Book Antiqua" w:hAnsi="Book Antiqua" w:cs="Book Antiqua"/>
          <w:color w:val="000000"/>
        </w:rPr>
        <w:t>Department of Endocrinology, The First Hospital of Zhangjiakou, Zhangjiakou 075000, Hebei Province, China</w:t>
      </w:r>
    </w:p>
    <w:p w14:paraId="41377D2C" w14:textId="77777777" w:rsidR="00FA4012" w:rsidRDefault="00FA4012">
      <w:pPr>
        <w:spacing w:line="360" w:lineRule="auto"/>
        <w:jc w:val="both"/>
        <w:rPr>
          <w:rFonts w:ascii="Book Antiqua" w:eastAsia="Book Antiqua" w:hAnsi="Book Antiqua" w:cs="Book Antiqua"/>
          <w:color w:val="000000"/>
        </w:rPr>
      </w:pPr>
    </w:p>
    <w:p w14:paraId="08C9E923" w14:textId="77777777" w:rsidR="00FA4012"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YX conceived or supervised the study; He YX designed experiments; He YX and Wang T performed experiments; Li WX analyzed data; He YX and Chen YX wrote the manuscript; Chen YX made manuscript revisions; and all authors have read and approve the final manuscript.</w:t>
      </w:r>
    </w:p>
    <w:p w14:paraId="4501A99F" w14:textId="77777777" w:rsidR="00FA4012" w:rsidRDefault="00FA4012">
      <w:pPr>
        <w:spacing w:line="360" w:lineRule="auto"/>
        <w:jc w:val="both"/>
        <w:rPr>
          <w:rFonts w:ascii="Book Antiqua" w:hAnsi="Book Antiqua"/>
        </w:rPr>
      </w:pPr>
    </w:p>
    <w:p w14:paraId="6BD524A8" w14:textId="77777777" w:rsidR="00FA4012"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Natural Science Funds for Young Scholar of Hebei, China, No. H2020206108; and the Subject of Health Commission of Hebei, China, No. 20210151.</w:t>
      </w:r>
    </w:p>
    <w:p w14:paraId="6AEC3073" w14:textId="77777777" w:rsidR="00FA4012" w:rsidRDefault="00FA4012">
      <w:pPr>
        <w:spacing w:line="360" w:lineRule="auto"/>
        <w:jc w:val="both"/>
        <w:rPr>
          <w:rFonts w:ascii="Book Antiqua" w:hAnsi="Book Antiqua"/>
        </w:rPr>
      </w:pPr>
    </w:p>
    <w:p w14:paraId="020B8984" w14:textId="77777777" w:rsidR="00FA4012"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Yan-Xia Chen, Doctor, </w:t>
      </w:r>
      <w:r>
        <w:rPr>
          <w:rFonts w:ascii="Book Antiqua" w:eastAsia="Book Antiqua" w:hAnsi="Book Antiqua" w:cs="Book Antiqua"/>
          <w:color w:val="000000"/>
        </w:rPr>
        <w:t xml:space="preserve">Department of Endocrinology, The Second Hospital of Hebei Medical University, No. 215 </w:t>
      </w:r>
      <w:proofErr w:type="spellStart"/>
      <w:r>
        <w:rPr>
          <w:rFonts w:ascii="Book Antiqua" w:eastAsia="Book Antiqua" w:hAnsi="Book Antiqua" w:cs="Book Antiqua"/>
          <w:color w:val="000000"/>
        </w:rPr>
        <w:t>Hepingxi</w:t>
      </w:r>
      <w:proofErr w:type="spellEnd"/>
      <w:r>
        <w:rPr>
          <w:rFonts w:ascii="Book Antiqua" w:eastAsia="Book Antiqua" w:hAnsi="Book Antiqua" w:cs="Book Antiqua"/>
          <w:color w:val="000000"/>
        </w:rPr>
        <w:t xml:space="preserve"> Road, Shijiazhuang 050000, Hebei Province, China. </w:t>
      </w:r>
      <w:r>
        <w:rPr>
          <w:rFonts w:ascii="Book Antiqua" w:eastAsia="Book Antiqua" w:hAnsi="Book Antiqua" w:cs="Book Antiqua" w:hint="eastAsia"/>
          <w:color w:val="000000"/>
        </w:rPr>
        <w:t>chenyx@hebmu.edu.cn</w:t>
      </w:r>
    </w:p>
    <w:p w14:paraId="0FA7496C" w14:textId="77777777" w:rsidR="00FA4012" w:rsidRDefault="00FA4012">
      <w:pPr>
        <w:spacing w:line="360" w:lineRule="auto"/>
        <w:jc w:val="both"/>
        <w:rPr>
          <w:rFonts w:ascii="Book Antiqua" w:hAnsi="Book Antiqua"/>
        </w:rPr>
      </w:pPr>
    </w:p>
    <w:p w14:paraId="1FB87E1E"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September 24, 2023</w:t>
      </w:r>
    </w:p>
    <w:p w14:paraId="03CB1321"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13, 2023</w:t>
      </w:r>
    </w:p>
    <w:p w14:paraId="20A97E61" w14:textId="77777777" w:rsidR="00FA4012" w:rsidRDefault="00000000">
      <w:pPr>
        <w:spacing w:line="360" w:lineRule="auto"/>
        <w:rPr>
          <w:rFonts w:ascii="Book Antiqua" w:hAnsi="Book Antiqua"/>
        </w:rPr>
      </w:pPr>
      <w:r>
        <w:rPr>
          <w:rFonts w:ascii="Book Antiqua" w:eastAsia="Book Antiqua" w:hAnsi="Book Antiqua" w:cs="Book Antiqua"/>
          <w:b/>
          <w:bCs/>
        </w:rPr>
        <w:t xml:space="preserve">Accepted: </w:t>
      </w:r>
      <w:bookmarkStart w:id="1" w:name="OLE_LINK7552"/>
      <w:bookmarkStart w:id="2" w:name="OLE_LINK7422"/>
      <w:bookmarkStart w:id="3" w:name="OLE_LINK7654"/>
      <w:bookmarkStart w:id="4" w:name="OLE_LINK7753"/>
      <w:bookmarkStart w:id="5" w:name="OLE_LINK7761"/>
      <w:bookmarkStart w:id="6" w:name="OLE_LINK7666"/>
      <w:bookmarkStart w:id="7" w:name="OLE_LINK7244"/>
      <w:bookmarkStart w:id="8" w:name="OLE_LINK7259"/>
      <w:bookmarkStart w:id="9" w:name="OLE_LINK7732"/>
      <w:bookmarkStart w:id="10" w:name="OLE_LINK7811"/>
      <w:bookmarkStart w:id="11" w:name="OLE_LINK7644"/>
      <w:bookmarkStart w:id="12" w:name="OLE_LINK7670"/>
      <w:bookmarkStart w:id="13" w:name="OLE_LINK1292"/>
      <w:bookmarkStart w:id="14" w:name="OLE_LINK7675"/>
      <w:bookmarkStart w:id="15" w:name="OLE_LINK7282"/>
      <w:bookmarkStart w:id="16" w:name="OLE_LINK7791"/>
      <w:bookmarkStart w:id="17" w:name="OLE_LINK7810"/>
      <w:bookmarkStart w:id="18" w:name="OLE_LINK7803"/>
      <w:bookmarkStart w:id="19" w:name="OLE_LINK7562"/>
      <w:bookmarkStart w:id="20" w:name="OLE_LINK7794"/>
      <w:bookmarkStart w:id="21" w:name="OLE_LINK7303"/>
      <w:bookmarkStart w:id="22" w:name="OLE_LINK7800"/>
      <w:bookmarkStart w:id="23" w:name="OLE_LINK7775"/>
      <w:bookmarkStart w:id="24" w:name="OLE_LINK7693"/>
      <w:bookmarkStart w:id="25" w:name="OLE_LINK7788"/>
      <w:bookmarkStart w:id="26" w:name="OLE_LINK1276"/>
      <w:bookmarkStart w:id="27" w:name="OLE_LINK7308"/>
      <w:bookmarkStart w:id="28" w:name="OLE_LINK1261"/>
      <w:bookmarkStart w:id="29" w:name="OLE_LINK7815"/>
      <w:bookmarkStart w:id="30" w:name="OLE_LINK7260"/>
      <w:bookmarkStart w:id="31" w:name="OLE_LINK7245"/>
      <w:bookmarkStart w:id="32" w:name="OLE_LINK7779"/>
      <w:bookmarkStart w:id="33" w:name="OLE_LINK7272"/>
      <w:bookmarkStart w:id="34" w:name="OLE_LINK7538"/>
      <w:bookmarkStart w:id="35" w:name="OLE_LINK7238"/>
      <w:bookmarkStart w:id="36" w:name="OLE_LINK7293"/>
      <w:bookmarkStart w:id="37" w:name="OLE_LINK7840"/>
      <w:bookmarkStart w:id="38" w:name="OLE_LINK7326"/>
      <w:bookmarkStart w:id="39" w:name="OLE_LINK7313"/>
      <w:bookmarkStart w:id="40" w:name="OLE_LINK7426"/>
      <w:bookmarkStart w:id="41" w:name="OLE_LINK7825"/>
      <w:bookmarkStart w:id="42" w:name="OLE_LINK7255"/>
      <w:bookmarkStart w:id="43" w:name="OLE_LINK7389"/>
      <w:bookmarkStart w:id="44" w:name="OLE_LINK7376"/>
      <w:bookmarkStart w:id="45" w:name="OLE_LINK7806"/>
      <w:bookmarkStart w:id="46" w:name="OLE_LINK7432"/>
      <w:bookmarkStart w:id="47" w:name="OLE_LINK7682"/>
      <w:bookmarkStart w:id="48" w:name="OLE_LINK7403"/>
      <w:bookmarkStart w:id="49" w:name="OLE_LINK7772"/>
      <w:bookmarkStart w:id="50" w:name="OLE_LINK7579"/>
      <w:bookmarkStart w:id="51" w:name="OLE_LINK7292"/>
      <w:bookmarkStart w:id="52" w:name="OLE_LINK7296"/>
      <w:bookmarkStart w:id="53" w:name="OLE_LINK7394"/>
      <w:bookmarkStart w:id="54" w:name="OLE_LINK7786"/>
      <w:bookmarkStart w:id="55" w:name="OLE_LINK7749"/>
      <w:bookmarkStart w:id="56" w:name="OLE_LINK7386"/>
      <w:bookmarkStart w:id="57" w:name="OLE_LINK7639"/>
      <w:bookmarkStart w:id="58" w:name="OLE_LINK7805"/>
      <w:bookmarkStart w:id="59" w:name="OLE_LINK7785"/>
      <w:bookmarkStart w:id="60" w:name="OLE_LINK7307"/>
      <w:bookmarkStart w:id="61" w:name="OLE_LINK7266"/>
      <w:bookmarkStart w:id="62" w:name="OLE_LINK7727"/>
      <w:bookmarkStart w:id="63" w:name="OLE_LINK7648"/>
      <w:bookmarkStart w:id="64" w:name="OLE_LINK7688"/>
      <w:bookmarkStart w:id="65" w:name="OLE_LINK7619"/>
      <w:bookmarkStart w:id="66" w:name="OLE_LINK7254"/>
      <w:bookmarkStart w:id="67" w:name="OLE_LINK7756"/>
      <w:bookmarkStart w:id="68" w:name="OLE_LINK7862"/>
      <w:bookmarkStart w:id="69" w:name="OLE_LINK7322"/>
      <w:bookmarkStart w:id="70" w:name="OLE_LINK7265"/>
      <w:bookmarkStart w:id="71" w:name="OLE_LINK7379"/>
      <w:bookmarkStart w:id="72" w:name="OLE_LINK7275"/>
      <w:bookmarkStart w:id="73" w:name="OLE_LINK7572"/>
      <w:bookmarkStart w:id="74" w:name="OLE_LINK7263"/>
      <w:bookmarkStart w:id="75" w:name="OLE_LINK7526"/>
      <w:bookmarkStart w:id="76" w:name="OLE_LINK7280"/>
      <w:bookmarkStart w:id="77" w:name="OLE_LINK7287"/>
      <w:bookmarkStart w:id="78" w:name="OLE_LINK108"/>
      <w:bookmarkStart w:id="79" w:name="OLE_LINK7813"/>
      <w:bookmarkStart w:id="80" w:name="OLE_LINK1"/>
      <w:bookmarkStart w:id="81" w:name="OLE_LINK37"/>
      <w:bookmarkStart w:id="82" w:name="OLE_LINK187"/>
      <w:bookmarkStart w:id="83" w:name="OLE_LINK7882"/>
      <w:bookmarkStart w:id="84" w:name="OLE_LINK7250"/>
      <w:bookmarkStart w:id="85" w:name="OLE_LINK7235"/>
      <w:bookmarkStart w:id="86" w:name="OLE_LINK229"/>
      <w:bookmarkStart w:id="87" w:name="OLE_LINK7979"/>
      <w:bookmarkStart w:id="88" w:name="OLE_LINK10"/>
      <w:bookmarkStart w:id="89" w:name="OLE_LINK7608"/>
      <w:bookmarkStart w:id="90" w:name="OLE_LINK7809"/>
      <w:bookmarkStart w:id="91" w:name="OLE_LINK7983"/>
      <w:bookmarkStart w:id="92" w:name="OLE_LINK7799"/>
      <w:bookmarkStart w:id="93" w:name="OLE_LINK75"/>
      <w:bookmarkStart w:id="94" w:name="OLE_LINK57"/>
      <w:bookmarkStart w:id="95" w:name="OLE_LINK7237"/>
      <w:bookmarkStart w:id="96" w:name="OLE_LINK7896"/>
      <w:bookmarkStart w:id="97" w:name="OLE_LINK11"/>
      <w:bookmarkStart w:id="98" w:name="OLE_LINK7846"/>
      <w:bookmarkStart w:id="99" w:name="OLE_LINK29"/>
      <w:bookmarkStart w:id="100" w:name="OLE_LINK49"/>
      <w:bookmarkStart w:id="101" w:name="OLE_LINK7897"/>
      <w:bookmarkStart w:id="102" w:name="OLE_LINK17"/>
      <w:bookmarkStart w:id="103" w:name="OLE_LINK7837"/>
      <w:bookmarkStart w:id="104" w:name="OLE_LINK14"/>
      <w:bookmarkStart w:id="105" w:name="OLE_LINK34"/>
      <w:bookmarkStart w:id="106" w:name="OLE_LINK7879"/>
      <w:bookmarkStart w:id="107" w:name="OLE_LINK20"/>
      <w:bookmarkStart w:id="108" w:name="OLE_LINK7895"/>
      <w:bookmarkStart w:id="109" w:name="OLE_LINK184"/>
      <w:bookmarkStart w:id="110" w:name="OLE_LINK46"/>
      <w:bookmarkStart w:id="111" w:name="OLE_LINK6"/>
      <w:bookmarkStart w:id="112" w:name="OLE_LINK1273"/>
      <w:bookmarkStart w:id="113" w:name="OLE_LINK200"/>
      <w:bookmarkStart w:id="114" w:name="OLE_LINK1233"/>
      <w:bookmarkStart w:id="115" w:name="OLE_LINK36"/>
      <w:bookmarkStart w:id="116" w:name="OLE_LINK192"/>
      <w:bookmarkStart w:id="117" w:name="OLE_LINK241"/>
      <w:bookmarkStart w:id="118" w:name="OLE_LINK216"/>
      <w:bookmarkStart w:id="119" w:name="OLE_LINK7885"/>
      <w:bookmarkStart w:id="120" w:name="OLE_LINK87"/>
      <w:bookmarkStart w:id="121" w:name="OLE_LINK1303"/>
      <w:bookmarkStart w:id="122" w:name="OLE_LINK7876"/>
      <w:bookmarkStart w:id="123" w:name="OLE_LINK1232"/>
      <w:bookmarkStart w:id="124" w:name="OLE_LINK7820"/>
      <w:bookmarkStart w:id="125" w:name="OLE_LINK84"/>
      <w:bookmarkStart w:id="126" w:name="OLE_LINK15"/>
      <w:bookmarkStart w:id="127" w:name="OLE_LINK82"/>
      <w:bookmarkStart w:id="128" w:name="OLE_LINK177"/>
      <w:bookmarkStart w:id="129" w:name="OLE_LINK197"/>
      <w:bookmarkStart w:id="130" w:name="OLE_LINK65"/>
      <w:bookmarkStart w:id="131" w:name="OLE_LINK66"/>
      <w:bookmarkStart w:id="132" w:name="OLE_LINK7838"/>
      <w:bookmarkStart w:id="133" w:name="OLE_LINK208"/>
      <w:bookmarkStart w:id="134" w:name="OLE_LINK1326"/>
      <w:bookmarkStart w:id="135" w:name="OLE_LINK41"/>
      <w:bookmarkStart w:id="136" w:name="OLE_LINK1269"/>
      <w:bookmarkStart w:id="137" w:name="OLE_LINK60"/>
      <w:bookmarkStart w:id="138" w:name="OLE_LINK203"/>
      <w:bookmarkStart w:id="139" w:name="OLE_LINK1237"/>
      <w:bookmarkStart w:id="140" w:name="OLE_LINK40"/>
      <w:bookmarkStart w:id="141" w:name="OLE_LINK103"/>
      <w:bookmarkStart w:id="142" w:name="OLE_LINK72"/>
      <w:bookmarkStart w:id="143" w:name="OLE_LINK1325"/>
      <w:bookmarkStart w:id="144" w:name="OLE_LINK26"/>
      <w:bookmarkStart w:id="145" w:name="OLE_LINK1219"/>
      <w:bookmarkStart w:id="146" w:name="OLE_LINK100"/>
      <w:bookmarkStart w:id="147" w:name="OLE_LINK1255"/>
      <w:bookmarkStart w:id="148" w:name="OLE_LINK4"/>
      <w:bookmarkStart w:id="149" w:name="OLE_LINK7224"/>
      <w:bookmarkStart w:id="150" w:name="OLE_LINK1352"/>
      <w:bookmarkStart w:id="151" w:name="OLE_LINK1340"/>
      <w:bookmarkStart w:id="152" w:name="OLE_LINK30"/>
      <w:bookmarkStart w:id="153" w:name="OLE_LINK1247"/>
      <w:bookmarkStart w:id="154" w:name="OLE_LINK51"/>
      <w:bookmarkStart w:id="155" w:name="OLE_LINK2"/>
      <w:bookmarkStart w:id="156" w:name="OLE_LINK1286"/>
      <w:bookmarkStart w:id="157" w:name="OLE_LINK54"/>
      <w:bookmarkStart w:id="158" w:name="OLE_LINK1282"/>
      <w:bookmarkStart w:id="159" w:name="OLE_LINK1220"/>
      <w:bookmarkStart w:id="160" w:name="OLE_LINK219"/>
      <w:bookmarkStart w:id="161" w:name="OLE_LINK236"/>
      <w:bookmarkStart w:id="162" w:name="OLE_LINK1256"/>
      <w:bookmarkStart w:id="163" w:name="OLE_LINK1327"/>
      <w:bookmarkStart w:id="164" w:name="OLE_LINK1241"/>
      <w:bookmarkStart w:id="165" w:name="OLE_LINK61"/>
      <w:bookmarkStart w:id="166" w:name="OLE_LINK1318"/>
      <w:bookmarkStart w:id="167" w:name="OLE_LINK233"/>
      <w:bookmarkStart w:id="168" w:name="OLE_LINK3"/>
      <w:bookmarkStart w:id="169" w:name="OLE_LINK1244"/>
      <w:bookmarkStart w:id="170" w:name="OLE_LINK1319"/>
      <w:bookmarkStart w:id="171" w:name="OLE_LINK1236"/>
      <w:bookmarkStart w:id="172" w:name="OLE_LINK1310"/>
      <w:bookmarkStart w:id="173" w:name="OLE_LINK174"/>
      <w:bookmarkStart w:id="174" w:name="OLE_LINK7241"/>
      <w:bookmarkStart w:id="175" w:name="OLE_LINK42"/>
      <w:bookmarkStart w:id="176" w:name="OLE_LINK1272"/>
      <w:bookmarkStart w:id="177" w:name="OLE_LINK7264"/>
      <w:bookmarkStart w:id="178" w:name="OLE_LINK7623"/>
      <w:bookmarkStart w:id="179" w:name="OLE_LINK1334"/>
      <w:bookmarkStart w:id="180" w:name="OLE_LINK1250"/>
      <w:bookmarkStart w:id="181" w:name="OLE_LINK7317"/>
      <w:bookmarkStart w:id="182" w:name="OLE_LINK7290"/>
      <w:bookmarkStart w:id="183" w:name="OLE_LINK1324"/>
      <w:bookmarkStart w:id="184" w:name="OLE_LINK1311"/>
      <w:bookmarkStart w:id="185" w:name="OLE_LINK226"/>
      <w:bookmarkStart w:id="186" w:name="OLE_LINK1307"/>
      <w:bookmarkStart w:id="187" w:name="OLE_LINK7305"/>
      <w:bookmarkStart w:id="188" w:name="OLE_LINK1225"/>
      <w:bookmarkStart w:id="189" w:name="OLE_LINK7618"/>
      <w:bookmarkStart w:id="190" w:name="OLE_LINK7295"/>
      <w:bookmarkStart w:id="191" w:name="OLE_LINK7229"/>
      <w:bookmarkStart w:id="192" w:name="OLE_LINK1262"/>
      <w:bookmarkStart w:id="193" w:name="OLE_LINK74"/>
      <w:bookmarkStart w:id="194" w:name="OLE_LINK23"/>
      <w:bookmarkStart w:id="195" w:name="OLE_LINK12"/>
      <w:bookmarkStart w:id="196" w:name="OLE_LINK1267"/>
      <w:bookmarkStart w:id="197" w:name="OLE_LINK78"/>
      <w:bookmarkStart w:id="198" w:name="OLE_LINK220"/>
      <w:bookmarkStart w:id="199" w:name="OLE_LINK1305"/>
      <w:bookmarkStart w:id="200" w:name="OLE_LINK1291"/>
      <w:bookmarkStart w:id="201" w:name="OLE_LINK1290"/>
      <w:bookmarkStart w:id="202" w:name="OLE_LINK19"/>
      <w:bookmarkStart w:id="203" w:name="OLE_LINK1251"/>
      <w:bookmarkStart w:id="204" w:name="OLE_LINK1346"/>
      <w:bookmarkStart w:id="205" w:name="OLE_LINK7300"/>
      <w:bookmarkStart w:id="206" w:name="OLE_LINK1322"/>
      <w:bookmarkStart w:id="207" w:name="OLE_LINK7533"/>
      <w:bookmarkStart w:id="208" w:name="OLE_LINK1283"/>
      <w:bookmarkStart w:id="209" w:name="OLE_LINK7288"/>
      <w:bookmarkStart w:id="210" w:name="OLE_LINK1299"/>
      <w:bookmarkStart w:id="211" w:name="OLE_LINK7440"/>
      <w:bookmarkStart w:id="212" w:name="OLE_LINK7301"/>
      <w:bookmarkStart w:id="213" w:name="OLE_LINK21"/>
      <w:bookmarkStart w:id="214" w:name="OLE_LINK7383"/>
      <w:bookmarkStart w:id="215" w:name="OLE_LINK7650"/>
      <w:bookmarkStart w:id="216" w:name="OLE_LINK1297"/>
      <w:bookmarkStart w:id="217" w:name="OLE_LINK7700"/>
      <w:bookmarkStart w:id="218" w:name="OLE_LINK1342"/>
      <w:bookmarkStart w:id="219" w:name="OLE_LINK1295"/>
      <w:bookmarkStart w:id="220" w:name="OLE_LINK7523"/>
      <w:bookmarkStart w:id="221" w:name="OLE_LINK7234"/>
      <w:bookmarkStart w:id="222" w:name="OLE_LINK7630"/>
      <w:bookmarkStart w:id="223" w:name="OLE_LINK7724"/>
      <w:bookmarkStart w:id="224" w:name="OLE_LINK7279"/>
      <w:bookmarkStart w:id="225" w:name="OLE_LINK7274"/>
      <w:bookmarkStart w:id="226" w:name="OLE_LINK7268"/>
      <w:bookmarkStart w:id="227" w:name="OLE_LINK7765"/>
      <w:bookmarkStart w:id="228" w:name="OLE_LINK7302"/>
      <w:bookmarkStart w:id="229" w:name="OLE_LINK7744"/>
      <w:bookmarkStart w:id="230" w:name="OLE_LINK1301"/>
      <w:bookmarkStart w:id="231" w:name="OLE_LINK7681"/>
      <w:bookmarkStart w:id="232" w:name="OLE_LINK1312"/>
      <w:bookmarkStart w:id="233" w:name="OLE_LINK7769"/>
      <w:bookmarkStart w:id="234" w:name="OLE_LINK1315"/>
      <w:bookmarkStart w:id="235" w:name="OLE_LINK7658"/>
      <w:bookmarkStart w:id="236" w:name="OLE_LINK7629"/>
      <w:bookmarkStart w:id="237" w:name="OLE_LINK7173"/>
      <w:bookmarkStart w:id="238" w:name="OLE_LINK7223"/>
      <w:bookmarkStart w:id="239" w:name="OLE_LINK6812"/>
      <w:bookmarkStart w:id="240" w:name="OLE_LINK1231"/>
      <w:bookmarkStart w:id="241" w:name="OLE_LINK7625"/>
      <w:bookmarkStart w:id="242" w:name="OLE_LINK7141"/>
      <w:bookmarkStart w:id="243" w:name="OLE_LINK7583"/>
      <w:bookmarkStart w:id="244" w:name="OLE_LINK7335"/>
      <w:bookmarkStart w:id="245" w:name="OLE_LINK7212"/>
      <w:bookmarkStart w:id="246" w:name="OLE_LINK7559"/>
      <w:bookmarkStart w:id="247" w:name="OLE_LINK7527"/>
      <w:bookmarkStart w:id="248" w:name="OLE_LINK7550"/>
      <w:bookmarkStart w:id="249" w:name="OLE_LINK7213"/>
      <w:bookmarkStart w:id="250" w:name="OLE_LINK7561"/>
      <w:bookmarkStart w:id="251" w:name="OLE_LINK7578"/>
      <w:bookmarkStart w:id="252" w:name="OLE_LINK7602"/>
      <w:bookmarkStart w:id="253" w:name="OLE_LINK7641"/>
      <w:bookmarkStart w:id="254" w:name="OLE_LINK7145"/>
      <w:bookmarkStart w:id="255" w:name="OLE_LINK7513"/>
      <w:bookmarkStart w:id="256" w:name="OLE_LINK7984"/>
      <w:bookmarkStart w:id="257" w:name="OLE_LINK7734"/>
      <w:bookmarkStart w:id="258" w:name="OLE_LINK7548"/>
      <w:bookmarkStart w:id="259" w:name="OLE_LINK1242"/>
      <w:bookmarkStart w:id="260" w:name="OLE_LINK7569"/>
      <w:bookmarkStart w:id="261" w:name="OLE_LINK7515"/>
      <w:bookmarkStart w:id="262" w:name="OLE_LINK7665"/>
      <w:bookmarkStart w:id="263" w:name="OLE_LINK1198"/>
      <w:bookmarkStart w:id="264" w:name="OLE_LINK7243"/>
      <w:bookmarkStart w:id="265" w:name="OLE_LINK7547"/>
      <w:bookmarkStart w:id="266" w:name="OLE_LINK7126"/>
      <w:bookmarkStart w:id="267" w:name="OLE_LINK7153"/>
      <w:bookmarkStart w:id="268" w:name="OLE_LINK7"/>
      <w:bookmarkStart w:id="269" w:name="OLE_LINK7611"/>
      <w:bookmarkStart w:id="270" w:name="OLE_LINK7910"/>
      <w:bookmarkStart w:id="271" w:name="OLE_LINK7616"/>
      <w:bookmarkStart w:id="272" w:name="OLE_LINK7873"/>
      <w:bookmarkStart w:id="273" w:name="OLE_LINK7843"/>
      <w:bookmarkStart w:id="274" w:name="OLE_LINK7587"/>
      <w:bookmarkStart w:id="275" w:name="OLE_LINK7522"/>
      <w:bookmarkStart w:id="276" w:name="OLE_LINK7167"/>
      <w:bookmarkStart w:id="277" w:name="OLE_LINK1218"/>
      <w:bookmarkStart w:id="278" w:name="OLE_LINK6827"/>
      <w:bookmarkStart w:id="279" w:name="OLE_LINK7253"/>
      <w:bookmarkStart w:id="280" w:name="OLE_LINK7555"/>
      <w:bookmarkStart w:id="281" w:name="OLE_LINK6834"/>
      <w:bookmarkStart w:id="282" w:name="OLE_LINK7574"/>
      <w:bookmarkStart w:id="283" w:name="OLE_LINK7240"/>
      <w:bookmarkStart w:id="284" w:name="OLE_LINK7903"/>
      <w:bookmarkStart w:id="285" w:name="OLE_LINK7977"/>
      <w:bookmarkStart w:id="286" w:name="OLE_LINK7867"/>
      <w:bookmarkStart w:id="287" w:name="OLE_LINK7530"/>
      <w:bookmarkStart w:id="288" w:name="OLE_LINK7214"/>
      <w:bookmarkStart w:id="289" w:name="OLE_LINK7633"/>
      <w:bookmarkStart w:id="290" w:name="OLE_LINK7985"/>
      <w:bookmarkStart w:id="291" w:name="OLE_LINK7839"/>
      <w:bookmarkStart w:id="292" w:name="OLE_LINK7836"/>
      <w:bookmarkStart w:id="293" w:name="OLE_LINK7119"/>
      <w:bookmarkStart w:id="294" w:name="OLE_LINK7571"/>
      <w:bookmarkStart w:id="295" w:name="OLE_LINK7597"/>
      <w:bookmarkStart w:id="296" w:name="OLE_LINK7628"/>
      <w:bookmarkStart w:id="297" w:name="OLE_LINK7894"/>
      <w:bookmarkStart w:id="298" w:name="OLE_LINK7577"/>
      <w:bookmarkStart w:id="299" w:name="OLE_LINK7568"/>
      <w:bookmarkStart w:id="300" w:name="OLE_LINK7344"/>
      <w:bookmarkStart w:id="301" w:name="OLE_LINK7814"/>
      <w:bookmarkStart w:id="302" w:name="OLE_LINK7649"/>
      <w:bookmarkStart w:id="303" w:name="OLE_LINK1223"/>
      <w:bookmarkStart w:id="304" w:name="OLE_LINK6830"/>
      <w:bookmarkStart w:id="305" w:name="OLE_LINK1227"/>
      <w:bookmarkStart w:id="306" w:name="OLE_LINK7286"/>
      <w:bookmarkStart w:id="307" w:name="OLE_LINK7330"/>
      <w:bookmarkStart w:id="308" w:name="OLE_LINK7796"/>
      <w:bookmarkStart w:id="309" w:name="OLE_LINK7858"/>
      <w:bookmarkStart w:id="310" w:name="OLE_LINK7888"/>
      <w:bookmarkStart w:id="311" w:name="OLE_LINK7718"/>
      <w:bookmarkStart w:id="312" w:name="OLE_LINK7304"/>
      <w:bookmarkStart w:id="313" w:name="OLE_LINK1199"/>
      <w:bookmarkStart w:id="314" w:name="OLE_LINK7635"/>
      <w:bookmarkStart w:id="315" w:name="OLE_LINK7844"/>
      <w:bookmarkStart w:id="316" w:name="OLE_LINK7343"/>
      <w:bookmarkStart w:id="317" w:name="OLE_LINK7631"/>
      <w:bookmarkStart w:id="318" w:name="OLE_LINK7133"/>
      <w:bookmarkStart w:id="319" w:name="OLE_LINK7818"/>
      <w:bookmarkStart w:id="320" w:name="OLE_LINK7691"/>
      <w:bookmarkStart w:id="321" w:name="OLE_LINK7695"/>
      <w:bookmarkStart w:id="322" w:name="OLE_LINK7822"/>
      <w:bookmarkStart w:id="323" w:name="OLE_LINK7306"/>
      <w:bookmarkStart w:id="324" w:name="OLE_LINK1224"/>
      <w:bookmarkStart w:id="325" w:name="OLE_LINK7863"/>
      <w:bookmarkStart w:id="326" w:name="OLE_LINK7712"/>
      <w:bookmarkStart w:id="327" w:name="OLE_LINK7150"/>
      <w:bookmarkStart w:id="328" w:name="OLE_LINK7620"/>
      <w:bookmarkStart w:id="329" w:name="OLE_LINK7127"/>
      <w:bookmarkStart w:id="330" w:name="OLE_LINK7122"/>
      <w:bookmarkStart w:id="331" w:name="OLE_LINK7883"/>
      <w:bookmarkStart w:id="332" w:name="OLE_LINK7655"/>
      <w:bookmarkStart w:id="333" w:name="OLE_LINK7593"/>
      <w:bookmarkStart w:id="334" w:name="OLE_LINK6803"/>
      <w:bookmarkStart w:id="335" w:name="OLE_LINK7722"/>
      <w:bookmarkStart w:id="336" w:name="OLE_LINK7706"/>
      <w:bookmarkStart w:id="337" w:name="OLE_LINK7864"/>
      <w:bookmarkStart w:id="338" w:name="OLE_LINK7158"/>
      <w:bookmarkStart w:id="339" w:name="OLE_LINK7269"/>
      <w:bookmarkStart w:id="340" w:name="OLE_LINK7228"/>
      <w:bookmarkStart w:id="341" w:name="OLE_LINK1246"/>
      <w:bookmarkStart w:id="342" w:name="OLE_LINK7606"/>
      <w:bookmarkStart w:id="343" w:name="OLE_LINK7738"/>
      <w:bookmarkStart w:id="344" w:name="OLE_LINK7215"/>
      <w:bookmarkStart w:id="345" w:name="OLE_LINK7573"/>
      <w:bookmarkStart w:id="346" w:name="OLE_LINK6798"/>
      <w:bookmarkStart w:id="347" w:name="OLE_LINK7652"/>
      <w:bookmarkStart w:id="348" w:name="OLE_LINK7710"/>
      <w:bookmarkStart w:id="349" w:name="OLE_LINK7261"/>
      <w:bookmarkStart w:id="350" w:name="OLE_LINK7730"/>
      <w:bookmarkStart w:id="351" w:name="OLE_LINK6816"/>
      <w:bookmarkStart w:id="352" w:name="OLE_LINK7684"/>
      <w:bookmarkStart w:id="353" w:name="OLE_LINK7125"/>
      <w:bookmarkStart w:id="354" w:name="OLE_LINK7646"/>
      <w:bookmarkStart w:id="355" w:name="OLE_LINK7642"/>
      <w:bookmarkStart w:id="356" w:name="OLE_LINK7314"/>
      <w:bookmarkStart w:id="357" w:name="OLE_LINK7901"/>
      <w:bookmarkStart w:id="358" w:name="OLE_LINK7130"/>
      <w:bookmarkStart w:id="359" w:name="OLE_LINK7687"/>
      <w:bookmarkStart w:id="360" w:name="OLE_LINK7735"/>
      <w:bookmarkStart w:id="361" w:name="OLE_LINK7721"/>
      <w:bookmarkStart w:id="362" w:name="OLE_LINK7834"/>
      <w:bookmarkStart w:id="363" w:name="OLE_LINK7736"/>
      <w:bookmarkStart w:id="364" w:name="OLE_LINK7703"/>
      <w:bookmarkStart w:id="365" w:name="OLE_LINK7793"/>
      <w:bookmarkStart w:id="366" w:name="OLE_LINK7739"/>
      <w:bookmarkStart w:id="367" w:name="OLE_LINK7711"/>
      <w:bookmarkStart w:id="368" w:name="OLE_LINK7588"/>
      <w:bookmarkStart w:id="369" w:name="OLE_LINK7140"/>
      <w:bookmarkStart w:id="370" w:name="OLE_LINK7236"/>
      <w:bookmarkStart w:id="371" w:name="OLE_LINK7709"/>
      <w:bookmarkStart w:id="372" w:name="OLE_LINK7877"/>
      <w:bookmarkStart w:id="373" w:name="OLE_LINK7340"/>
      <w:bookmarkStart w:id="374" w:name="OLE_LINK7699"/>
      <w:bookmarkStart w:id="375" w:name="OLE_LINK7116"/>
      <w:bookmarkStart w:id="376" w:name="OLE_LINK7853"/>
      <w:bookmarkStart w:id="377" w:name="OLE_LINK7348"/>
      <w:bookmarkStart w:id="378" w:name="OLE_LINK7737"/>
      <w:bookmarkStart w:id="379" w:name="OLE_LINK7605"/>
      <w:bookmarkStart w:id="380" w:name="OLE_LINK7850"/>
      <w:bookmarkStart w:id="381" w:name="OLE_LINK7871"/>
      <w:bookmarkStart w:id="382" w:name="OLE_LINK7610"/>
      <w:bookmarkStart w:id="383" w:name="OLE_LINK7743"/>
      <w:bookmarkStart w:id="384" w:name="OLE_LINK7690"/>
      <w:bookmarkStart w:id="385" w:name="OLE_LINK7898"/>
      <w:bookmarkStart w:id="386" w:name="OLE_LINK7534"/>
      <w:bookmarkStart w:id="387" w:name="OLE_LINK1222"/>
      <w:bookmarkStart w:id="388" w:name="OLE_LINK7617"/>
      <w:bookmarkStart w:id="389" w:name="OLE_LINK7801"/>
      <w:bookmarkStart w:id="390" w:name="OLE_LINK7324"/>
      <w:r>
        <w:rPr>
          <w:rFonts w:ascii="Book Antiqua" w:hAnsi="Book Antiqua"/>
        </w:rPr>
        <w:t>January 15,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1621B38"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February 15, 2024</w:t>
      </w:r>
    </w:p>
    <w:p w14:paraId="4BBAEDDD" w14:textId="77777777" w:rsidR="00FA4012" w:rsidRDefault="00FA4012">
      <w:pPr>
        <w:spacing w:line="360" w:lineRule="auto"/>
        <w:jc w:val="both"/>
        <w:rPr>
          <w:rFonts w:ascii="Book Antiqua" w:hAnsi="Book Antiqua"/>
        </w:rPr>
        <w:sectPr w:rsidR="00FA4012">
          <w:footerReference w:type="default" r:id="rId7"/>
          <w:pgSz w:w="12240" w:h="15840"/>
          <w:pgMar w:top="1440" w:right="1440" w:bottom="1440" w:left="1440" w:header="720" w:footer="720" w:gutter="0"/>
          <w:cols w:space="720"/>
          <w:docGrid w:linePitch="360"/>
        </w:sectPr>
      </w:pPr>
    </w:p>
    <w:p w14:paraId="5D440BCE"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685B37B"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24340C4" w14:textId="77777777" w:rsidR="00FA4012" w:rsidRDefault="00000000">
      <w:pPr>
        <w:spacing w:line="360" w:lineRule="auto"/>
        <w:jc w:val="both"/>
        <w:rPr>
          <w:rFonts w:ascii="Book Antiqua" w:hAnsi="Book Antiqua"/>
        </w:rPr>
      </w:pPr>
      <w:r>
        <w:rPr>
          <w:rFonts w:ascii="Book Antiqua" w:eastAsia="Book Antiqua" w:hAnsi="Book Antiqua" w:cs="Book Antiqua"/>
        </w:rPr>
        <w:t xml:space="preserve">Podocyte apoptosis plays a vital role in proteinuria pathogenesis in </w:t>
      </w:r>
      <w:bookmarkStart w:id="391" w:name="_Hlk155533435"/>
      <w:r>
        <w:rPr>
          <w:rFonts w:ascii="Book Antiqua" w:eastAsia="Book Antiqua" w:hAnsi="Book Antiqua" w:cs="Book Antiqua"/>
        </w:rPr>
        <w:t>diabetic nephropathy</w:t>
      </w:r>
      <w:bookmarkEnd w:id="391"/>
      <w:r>
        <w:rPr>
          <w:rFonts w:ascii="Book Antiqua" w:eastAsia="Book Antiqua" w:hAnsi="Book Antiqua" w:cs="Book Antiqua"/>
        </w:rPr>
        <w:t xml:space="preserve"> (DN). The regulatory relationship between </w:t>
      </w:r>
      <w:bookmarkStart w:id="392" w:name="_Hlk155532939"/>
      <w:r>
        <w:rPr>
          <w:rFonts w:ascii="Book Antiqua" w:eastAsia="Book Antiqua" w:hAnsi="Book Antiqua" w:cs="Book Antiqua"/>
        </w:rPr>
        <w:t>long noncoding RNAs</w:t>
      </w:r>
      <w:bookmarkEnd w:id="392"/>
      <w:r>
        <w:rPr>
          <w:rFonts w:ascii="Book Antiqua" w:eastAsia="Book Antiqua" w:hAnsi="Book Antiqua" w:cs="Book Antiqua"/>
        </w:rPr>
        <w:t xml:space="preserve"> (</w:t>
      </w:r>
      <w:proofErr w:type="spellStart"/>
      <w:r>
        <w:rPr>
          <w:rFonts w:ascii="Book Antiqua" w:eastAsia="Book Antiqua" w:hAnsi="Book Antiqua" w:cs="Book Antiqua"/>
        </w:rPr>
        <w:t>lncRNAs</w:t>
      </w:r>
      <w:proofErr w:type="spellEnd"/>
      <w:r>
        <w:rPr>
          <w:rFonts w:ascii="Book Antiqua" w:eastAsia="Book Antiqua" w:hAnsi="Book Antiqua" w:cs="Book Antiqua"/>
        </w:rPr>
        <w:t>) and podocyte apoptosis has recently become another research hot spot in the DN field.</w:t>
      </w:r>
    </w:p>
    <w:p w14:paraId="091852D5" w14:textId="77777777" w:rsidR="00FA4012" w:rsidRDefault="00FA4012">
      <w:pPr>
        <w:spacing w:line="360" w:lineRule="auto"/>
        <w:jc w:val="both"/>
        <w:rPr>
          <w:rFonts w:ascii="Book Antiqua" w:hAnsi="Book Antiqua"/>
        </w:rPr>
      </w:pPr>
    </w:p>
    <w:p w14:paraId="052E6EA1"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AIM</w:t>
      </w:r>
    </w:p>
    <w:p w14:paraId="6156C145" w14:textId="77777777" w:rsidR="00FA4012" w:rsidRDefault="00000000">
      <w:pPr>
        <w:spacing w:line="360" w:lineRule="auto"/>
        <w:jc w:val="both"/>
        <w:rPr>
          <w:rFonts w:ascii="Book Antiqua" w:hAnsi="Book Antiqua"/>
        </w:rPr>
      </w:pPr>
      <w:r>
        <w:rPr>
          <w:rFonts w:ascii="Book Antiqua" w:eastAsia="Book Antiqua" w:hAnsi="Book Antiqua" w:cs="Book Antiqua"/>
        </w:rPr>
        <w:t xml:space="preserve">To investigate whether lncRNA </w:t>
      </w:r>
      <w:bookmarkStart w:id="393" w:name="_Hlk155534524"/>
      <w:r>
        <w:rPr>
          <w:rFonts w:ascii="Book Antiqua" w:eastAsia="Book Antiqua" w:hAnsi="Book Antiqua" w:cs="Book Antiqua"/>
        </w:rPr>
        <w:t>protein-disulfide isomerase-associated 3</w:t>
      </w:r>
      <w:bookmarkEnd w:id="393"/>
      <w:r>
        <w:rPr>
          <w:rFonts w:ascii="Book Antiqua" w:eastAsia="Book Antiqua" w:hAnsi="Book Antiqua" w:cs="Book Antiqua"/>
        </w:rPr>
        <w:t xml:space="preserve"> (Pdia3) could regulate podocyte apoptosis through miR-139-3p and revealed the underlying mechanism.</w:t>
      </w:r>
    </w:p>
    <w:p w14:paraId="58416967" w14:textId="77777777" w:rsidR="00FA4012" w:rsidRDefault="00FA4012">
      <w:pPr>
        <w:spacing w:line="360" w:lineRule="auto"/>
        <w:jc w:val="both"/>
        <w:rPr>
          <w:rFonts w:ascii="Book Antiqua" w:hAnsi="Book Antiqua"/>
        </w:rPr>
      </w:pPr>
    </w:p>
    <w:p w14:paraId="60757F7D"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METHODS</w:t>
      </w:r>
    </w:p>
    <w:p w14:paraId="16A8CDE8" w14:textId="77777777" w:rsidR="00FA4012" w:rsidRDefault="00000000">
      <w:pPr>
        <w:spacing w:line="360" w:lineRule="auto"/>
        <w:jc w:val="both"/>
        <w:rPr>
          <w:rFonts w:ascii="Book Antiqua" w:hAnsi="Book Antiqua"/>
        </w:rPr>
      </w:pPr>
      <w:r>
        <w:rPr>
          <w:rFonts w:ascii="Book Antiqua" w:eastAsia="Book Antiqua" w:hAnsi="Book Antiqua" w:cs="Book Antiqua"/>
        </w:rPr>
        <w:t xml:space="preserve">Using normal glucose or high glucose (HG)-cultured podocytes, the cellular functions and exact mechanisms underlying the regulatory effects of lncRNA Pdia3 on podocyte apoptosis and </w:t>
      </w:r>
      <w:bookmarkStart w:id="394" w:name="_Hlk155533031"/>
      <w:r>
        <w:rPr>
          <w:rFonts w:ascii="Book Antiqua" w:eastAsia="Book Antiqua" w:hAnsi="Book Antiqua" w:cs="Book Antiqua"/>
        </w:rPr>
        <w:t>endoplasmic reticulum stress</w:t>
      </w:r>
      <w:bookmarkEnd w:id="394"/>
      <w:r>
        <w:rPr>
          <w:rFonts w:ascii="Book Antiqua" w:eastAsia="Book Antiqua" w:hAnsi="Book Antiqua" w:cs="Book Antiqua"/>
        </w:rPr>
        <w:t xml:space="preserve"> (ERS) were explored. LncRNA Pdia3 and miR-139-3p expression were measured through quantitative real-time polymerase chain reaction. Relative cell viability was detected through the cell counting kit-8 colorimetric assay. The podocyte apoptosis rate in each group was measured through flow cytometry. The interaction between lncRNA Pdia3 and miR-139-3p was examined through the dual luciferase reporter assay. Finally, western blotting was performed to detect the effect of lncRNA Pdia3 on podocyte apoptosis and ERS </w:t>
      </w:r>
      <w:r>
        <w:rPr>
          <w:rFonts w:ascii="Book Antiqua" w:eastAsia="Book Antiqua" w:hAnsi="Book Antiqua" w:cs="Book Antiqua"/>
          <w:i/>
          <w:iCs/>
        </w:rPr>
        <w:t>via</w:t>
      </w:r>
      <w:r>
        <w:rPr>
          <w:rFonts w:ascii="Book Antiqua" w:eastAsia="Book Antiqua" w:hAnsi="Book Antiqua" w:cs="Book Antiqua"/>
        </w:rPr>
        <w:t xml:space="preserve"> miR-139-3p.</w:t>
      </w:r>
    </w:p>
    <w:p w14:paraId="64EFFB8B" w14:textId="77777777" w:rsidR="00FA4012" w:rsidRDefault="00FA4012">
      <w:pPr>
        <w:spacing w:line="360" w:lineRule="auto"/>
        <w:jc w:val="both"/>
        <w:rPr>
          <w:rFonts w:ascii="Book Antiqua" w:hAnsi="Book Antiqua"/>
        </w:rPr>
      </w:pPr>
    </w:p>
    <w:p w14:paraId="65920186"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RESULTS</w:t>
      </w:r>
    </w:p>
    <w:p w14:paraId="2D515F73" w14:textId="77777777" w:rsidR="00FA4012" w:rsidRDefault="00000000">
      <w:pPr>
        <w:spacing w:line="360" w:lineRule="auto"/>
        <w:jc w:val="both"/>
        <w:rPr>
          <w:rFonts w:ascii="Book Antiqua" w:hAnsi="Book Antiqua"/>
        </w:rPr>
      </w:pPr>
      <w:r>
        <w:rPr>
          <w:rFonts w:ascii="Book Antiqua" w:eastAsia="Book Antiqua" w:hAnsi="Book Antiqua" w:cs="Book Antiqua"/>
        </w:rPr>
        <w:t>The expression of lncRNA Pdia3 was significantly downregulated in HG-cultured podocytes. Next, lncRNA Pdia3 was involved in HG-induced podocyte apoptosis. Furthermore, the dual luciferase reporter assay confirmed the direct interaction between lncRNA Pdia3 and miR-139-3p. LncRNA Pdia3 overexpression attenuated podocyte apoptosis and ERS through miR-139-3p in HG-cultured podocytes.</w:t>
      </w:r>
    </w:p>
    <w:p w14:paraId="25C79C97" w14:textId="77777777" w:rsidR="00FA4012" w:rsidRDefault="00FA4012">
      <w:pPr>
        <w:spacing w:line="360" w:lineRule="auto"/>
        <w:jc w:val="both"/>
        <w:rPr>
          <w:rFonts w:ascii="Book Antiqua" w:hAnsi="Book Antiqua"/>
        </w:rPr>
      </w:pPr>
    </w:p>
    <w:p w14:paraId="75CF1037"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23ADF323" w14:textId="77777777" w:rsidR="00FA4012" w:rsidRDefault="00000000">
      <w:pPr>
        <w:spacing w:line="360" w:lineRule="auto"/>
        <w:jc w:val="both"/>
        <w:rPr>
          <w:rFonts w:ascii="Book Antiqua" w:hAnsi="Book Antiqua"/>
        </w:rPr>
      </w:pPr>
      <w:r>
        <w:rPr>
          <w:rFonts w:ascii="Book Antiqua" w:eastAsia="Book Antiqua" w:hAnsi="Book Antiqua" w:cs="Book Antiqua"/>
        </w:rPr>
        <w:t xml:space="preserve">Taken together, this study demonstrated that lncRNA Pdia3 overexpression could attenuate HG-induced podocyte apoptosis and ERS by acting as a </w:t>
      </w:r>
      <w:bookmarkStart w:id="395" w:name="_Hlk155533420"/>
      <w:r>
        <w:rPr>
          <w:rFonts w:ascii="Book Antiqua" w:eastAsia="Book Antiqua" w:hAnsi="Book Antiqua" w:cs="Book Antiqua"/>
        </w:rPr>
        <w:t>competing endogenous RNA</w:t>
      </w:r>
      <w:bookmarkEnd w:id="395"/>
      <w:r>
        <w:rPr>
          <w:rFonts w:ascii="Book Antiqua" w:eastAsia="Book Antiqua" w:hAnsi="Book Antiqua" w:cs="Book Antiqua"/>
        </w:rPr>
        <w:t xml:space="preserve"> of miR-139-3p, which might provide a potential therapeutic target for DN.</w:t>
      </w:r>
    </w:p>
    <w:p w14:paraId="63554195" w14:textId="77777777" w:rsidR="00FA4012" w:rsidRDefault="00FA4012">
      <w:pPr>
        <w:spacing w:line="360" w:lineRule="auto"/>
        <w:jc w:val="both"/>
        <w:rPr>
          <w:rFonts w:ascii="Book Antiqua" w:hAnsi="Book Antiqua"/>
        </w:rPr>
      </w:pPr>
    </w:p>
    <w:p w14:paraId="58C1CFFD"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Long noncoding RNAs; Diabetic nephropathy; Podocyte apoptosis; Endoplasmic reticulum stress; Competing endogenous RNA</w:t>
      </w:r>
    </w:p>
    <w:p w14:paraId="59017DCF" w14:textId="77777777" w:rsidR="00E81E62" w:rsidRDefault="00E81E62" w:rsidP="00E81E62">
      <w:bookmarkStart w:id="396" w:name="_Hlk157548925"/>
    </w:p>
    <w:p w14:paraId="294445AE" w14:textId="77777777" w:rsidR="00E81E62" w:rsidRDefault="00E81E62" w:rsidP="00E81E6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396"/>
    <w:p w14:paraId="1E54F51A" w14:textId="77777777" w:rsidR="00FA4012" w:rsidRDefault="00FA4012">
      <w:pPr>
        <w:spacing w:line="360" w:lineRule="auto"/>
        <w:jc w:val="both"/>
        <w:rPr>
          <w:rFonts w:ascii="Book Antiqua" w:hAnsi="Book Antiqua"/>
        </w:rPr>
      </w:pPr>
    </w:p>
    <w:p w14:paraId="105D0CF5" w14:textId="7A494197" w:rsidR="00E81E62" w:rsidRDefault="00E81E62">
      <w:pPr>
        <w:spacing w:line="360" w:lineRule="auto"/>
        <w:jc w:val="both"/>
        <w:rPr>
          <w:rFonts w:ascii="Book Antiqua" w:hAnsi="Book Antiqua"/>
          <w:color w:val="000000" w:themeColor="text1"/>
          <w:lang w:eastAsia="zh-CN"/>
        </w:rPr>
      </w:pPr>
      <w:r w:rsidRPr="00467D5A">
        <w:rPr>
          <w:rFonts w:ascii="Book Antiqua" w:eastAsia="Book Antiqua" w:hAnsi="Book Antiqua" w:cs="Book Antiqua"/>
          <w:b/>
          <w:bCs/>
        </w:rPr>
        <w:t>Citation</w:t>
      </w:r>
      <w:r w:rsidRPr="00467D5A">
        <w:rPr>
          <w:rFonts w:ascii="Book Antiqua" w:eastAsia="Book Antiqua" w:hAnsi="Book Antiqua" w:cs="Book Antiqua"/>
        </w:rPr>
        <w:t xml:space="preserve">: </w:t>
      </w:r>
      <w:r>
        <w:rPr>
          <w:rFonts w:ascii="Book Antiqua" w:eastAsia="Book Antiqua" w:hAnsi="Book Antiqua" w:cs="Book Antiqua"/>
        </w:rPr>
        <w:t xml:space="preserve">He YX, Wang T, Li WX, Chen YX. Long noncoding RNA protein-disulfide isomerase-associated 3 regulated high glucose-induced podocyte apoptosis in diabetic nephropathy through targeting miR-139-3p. </w:t>
      </w:r>
      <w:r>
        <w:rPr>
          <w:rFonts w:ascii="Book Antiqua" w:eastAsia="Book Antiqua" w:hAnsi="Book Antiqua" w:cs="Book Antiqua"/>
          <w:i/>
          <w:iCs/>
        </w:rPr>
        <w:t>World J Diabetes</w:t>
      </w:r>
      <w:r>
        <w:rPr>
          <w:rFonts w:ascii="Book Antiqua" w:eastAsia="Book Antiqua" w:hAnsi="Book Antiqua" w:cs="Book Antiqua"/>
        </w:rPr>
        <w:t xml:space="preserve"> 2024; </w:t>
      </w:r>
      <w:r>
        <w:rPr>
          <w:rFonts w:ascii="Book Antiqua" w:hAnsi="Book Antiqua" w:hint="eastAsia"/>
          <w:color w:val="000000" w:themeColor="text1"/>
        </w:rPr>
        <w:t>15(</w:t>
      </w:r>
      <w:r>
        <w:rPr>
          <w:rFonts w:ascii="Book Antiqua" w:hAnsi="Book Antiqua" w:hint="eastAsia"/>
          <w:color w:val="000000" w:themeColor="text1"/>
          <w:lang w:eastAsia="zh-CN"/>
        </w:rPr>
        <w:t>2</w:t>
      </w:r>
      <w:r>
        <w:rPr>
          <w:rFonts w:ascii="Book Antiqua" w:hAnsi="Book Antiqua" w:hint="eastAsia"/>
          <w:color w:val="000000" w:themeColor="text1"/>
        </w:rPr>
        <w:t xml:space="preserve">): </w:t>
      </w:r>
      <w:r w:rsidRPr="00E81E62">
        <w:rPr>
          <w:rFonts w:ascii="Book Antiqua" w:hAnsi="Book Antiqua"/>
          <w:color w:val="000000" w:themeColor="text1"/>
          <w:lang w:eastAsia="zh-CN"/>
        </w:rPr>
        <w:t>260-274</w:t>
      </w:r>
    </w:p>
    <w:p w14:paraId="37EE542F" w14:textId="480B7568" w:rsidR="00E81E62" w:rsidRDefault="00000000">
      <w:pPr>
        <w:spacing w:line="360" w:lineRule="auto"/>
        <w:jc w:val="both"/>
        <w:rPr>
          <w:rFonts w:ascii="Book Antiqua" w:hAnsi="Book Antiqua"/>
          <w:color w:val="000000" w:themeColor="text1"/>
          <w:lang w:eastAsia="zh-CN"/>
        </w:rPr>
      </w:pPr>
      <w:r w:rsidRPr="00E81E62">
        <w:rPr>
          <w:rFonts w:ascii="Book Antiqua" w:hAnsi="Book Antiqua" w:hint="eastAsia"/>
          <w:b/>
          <w:bCs/>
          <w:color w:val="000000" w:themeColor="text1"/>
        </w:rPr>
        <w:t>URL</w:t>
      </w:r>
      <w:r>
        <w:rPr>
          <w:rFonts w:ascii="Book Antiqua" w:hAnsi="Book Antiqua" w:hint="eastAsia"/>
          <w:color w:val="000000" w:themeColor="text1"/>
        </w:rPr>
        <w:t>: https://www.wjgnet.com/1948-9358/full/v15/i</w:t>
      </w:r>
      <w:r>
        <w:rPr>
          <w:rFonts w:ascii="Book Antiqua" w:hAnsi="Book Antiqua" w:hint="eastAsia"/>
          <w:color w:val="000000" w:themeColor="text1"/>
          <w:lang w:eastAsia="zh-CN"/>
        </w:rPr>
        <w:t>2</w:t>
      </w:r>
      <w:r>
        <w:rPr>
          <w:rFonts w:ascii="Book Antiqua" w:hAnsi="Book Antiqua" w:hint="eastAsia"/>
          <w:color w:val="000000" w:themeColor="text1"/>
        </w:rPr>
        <w:t>/</w:t>
      </w:r>
      <w:r w:rsidR="00E81E62" w:rsidRPr="00E81E62">
        <w:rPr>
          <w:rFonts w:ascii="Book Antiqua" w:hAnsi="Book Antiqua"/>
          <w:color w:val="000000" w:themeColor="text1"/>
          <w:lang w:eastAsia="zh-CN"/>
        </w:rPr>
        <w:t>260</w:t>
      </w:r>
      <w:r>
        <w:rPr>
          <w:rFonts w:ascii="Book Antiqua" w:hAnsi="Book Antiqua" w:hint="eastAsia"/>
          <w:color w:val="000000" w:themeColor="text1"/>
        </w:rPr>
        <w:t>.htm</w:t>
      </w:r>
    </w:p>
    <w:p w14:paraId="3C4BB844" w14:textId="0F92B2A1" w:rsidR="00FA4012" w:rsidRDefault="00000000" w:rsidP="00E81E62">
      <w:pPr>
        <w:spacing w:line="360" w:lineRule="auto"/>
        <w:jc w:val="both"/>
        <w:rPr>
          <w:rFonts w:ascii="Book Antiqua" w:hAnsi="Book Antiqua"/>
        </w:rPr>
      </w:pPr>
      <w:r w:rsidRPr="00E81E62">
        <w:rPr>
          <w:rFonts w:ascii="Book Antiqua" w:hAnsi="Book Antiqua" w:hint="eastAsia"/>
          <w:b/>
          <w:bCs/>
          <w:color w:val="000000" w:themeColor="text1"/>
        </w:rPr>
        <w:t>DOI</w:t>
      </w:r>
      <w:r>
        <w:rPr>
          <w:rFonts w:ascii="Book Antiqua" w:hAnsi="Book Antiqua" w:hint="eastAsia"/>
          <w:color w:val="000000" w:themeColor="text1"/>
        </w:rPr>
        <w:t>: https://dx.doi.org/10.4239/wjd.v15.i</w:t>
      </w:r>
      <w:r>
        <w:rPr>
          <w:rFonts w:ascii="Book Antiqua" w:hAnsi="Book Antiqua" w:hint="eastAsia"/>
          <w:color w:val="000000" w:themeColor="text1"/>
          <w:lang w:eastAsia="zh-CN"/>
        </w:rPr>
        <w:t>2</w:t>
      </w:r>
      <w:r>
        <w:rPr>
          <w:rFonts w:ascii="Book Antiqua" w:hAnsi="Book Antiqua" w:hint="eastAsia"/>
          <w:color w:val="000000" w:themeColor="text1"/>
        </w:rPr>
        <w:t>.</w:t>
      </w:r>
      <w:r w:rsidR="00E81E62" w:rsidRPr="00E81E62">
        <w:rPr>
          <w:rFonts w:ascii="Book Antiqua" w:hAnsi="Book Antiqua"/>
          <w:color w:val="000000" w:themeColor="text1"/>
          <w:lang w:eastAsia="zh-CN"/>
        </w:rPr>
        <w:t>260</w:t>
      </w:r>
    </w:p>
    <w:p w14:paraId="3FE8F008" w14:textId="77777777" w:rsidR="00FA4012" w:rsidRDefault="00FA4012">
      <w:pPr>
        <w:spacing w:line="360" w:lineRule="auto"/>
        <w:jc w:val="both"/>
        <w:rPr>
          <w:rFonts w:ascii="Book Antiqua" w:hAnsi="Book Antiqua"/>
        </w:rPr>
      </w:pPr>
    </w:p>
    <w:p w14:paraId="664D28E3"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The expression of long noncoding RNA (lncRNA) protein-disulfide isomerase-associated 3 (Pdia3) was significantly downregulated in high glucose (HG)-cultured podocytes. LncRNA Pdia3 was involved in HG-induced podocyte apoptosis. LncRNA Pdia3 overexpression attenuated HG-induced podocyte apoptosis and endoplasmic reticulum stress by acting as a competing endogenous RNA of miR-139-3p.</w:t>
      </w:r>
    </w:p>
    <w:p w14:paraId="39267F55" w14:textId="77777777" w:rsidR="00FA4012" w:rsidRDefault="00FA4012">
      <w:pPr>
        <w:spacing w:line="360" w:lineRule="auto"/>
        <w:jc w:val="both"/>
        <w:rPr>
          <w:rFonts w:ascii="Book Antiqua" w:hAnsi="Book Antiqua"/>
        </w:rPr>
      </w:pPr>
    </w:p>
    <w:p w14:paraId="14EFA4D1" w14:textId="77777777" w:rsidR="00FA4012"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8929D99"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Diabetic nephropathy (DN) i</w:t>
      </w:r>
      <w:r>
        <w:rPr>
          <w:rFonts w:ascii="Book Antiqua" w:eastAsia="Book Antiqua" w:hAnsi="Book Antiqua" w:cs="Book Antiqua"/>
        </w:rPr>
        <w:t>s one of the prominent a</w:t>
      </w:r>
      <w:r>
        <w:rPr>
          <w:rFonts w:ascii="Book Antiqua" w:eastAsia="Book Antiqua" w:hAnsi="Book Antiqua" w:cs="Book Antiqua"/>
          <w:color w:val="000000"/>
        </w:rPr>
        <w:t>nd serious complications of diabetes mellitus. It is caused by changes in kidney structure and function,</w:t>
      </w:r>
      <w:r>
        <w:rPr>
          <w:rFonts w:ascii="Book Antiqua" w:eastAsia="Book Antiqua" w:hAnsi="Book Antiqua" w:cs="Book Antiqua"/>
        </w:rPr>
        <w:t xml:space="preserve"> frequently resulting in </w:t>
      </w:r>
      <w:r>
        <w:rPr>
          <w:rFonts w:ascii="Book Antiqua" w:eastAsia="Book Antiqua" w:hAnsi="Book Antiqua" w:cs="Book Antiqua"/>
          <w:color w:val="000000"/>
        </w:rPr>
        <w:t xml:space="preserve">end-stage renal disease and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rPr>
        <w:t>Similar to m</w:t>
      </w:r>
      <w:r>
        <w:rPr>
          <w:rFonts w:ascii="Book Antiqua" w:eastAsia="Book Antiqua" w:hAnsi="Book Antiqua" w:cs="Book Antiqua"/>
          <w:color w:val="000000"/>
        </w:rPr>
        <w:t xml:space="preserve">any renal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DN is characterized by progressive proteinuria, followed by a decline in glomerular filtration along with glomerulosclerosis, ultimatel</w:t>
      </w:r>
      <w:r>
        <w:rPr>
          <w:rFonts w:ascii="Book Antiqua" w:eastAsia="Book Antiqua" w:hAnsi="Book Antiqua" w:cs="Book Antiqua"/>
        </w:rPr>
        <w:t>y causing re</w:t>
      </w:r>
      <w:r>
        <w:rPr>
          <w:rFonts w:ascii="Book Antiqua" w:eastAsia="Book Antiqua" w:hAnsi="Book Antiqua" w:cs="Book Antiqua"/>
          <w:color w:val="000000"/>
        </w:rPr>
        <w:t>nal failure. Albuminuria results fr</w:t>
      </w:r>
      <w:r>
        <w:rPr>
          <w:rFonts w:ascii="Book Antiqua" w:eastAsia="Book Antiqua" w:hAnsi="Book Antiqua" w:cs="Book Antiqua"/>
        </w:rPr>
        <w:t xml:space="preserve">om </w:t>
      </w:r>
      <w:r>
        <w:rPr>
          <w:rFonts w:ascii="Book Antiqua" w:eastAsia="Book Antiqua" w:hAnsi="Book Antiqua" w:cs="Book Antiqua"/>
        </w:rPr>
        <w:lastRenderedPageBreak/>
        <w:t>renal glomerular filtration barrier disruption, which increases barrier permeability and protein leakage into the urine. Podocytes, also known as glomerular epithelial cells, are a crucial component of this barrier. Podocytes, as terminal differentiation</w:t>
      </w:r>
      <w:r>
        <w:rPr>
          <w:rFonts w:ascii="Book Antiqua" w:eastAsia="Book Antiqua" w:hAnsi="Book Antiqua" w:cs="Book Antiqua"/>
          <w:color w:val="000000"/>
        </w:rPr>
        <w:t xml:space="preserve"> cells, cannot regenerate when injured. Podocyte depletion and structural changes coul</w:t>
      </w:r>
      <w:r>
        <w:rPr>
          <w:rFonts w:ascii="Book Antiqua" w:eastAsia="Book Antiqua" w:hAnsi="Book Antiqua" w:cs="Book Antiqua"/>
        </w:rPr>
        <w:t>d destroy th</w:t>
      </w:r>
      <w:r>
        <w:rPr>
          <w:rFonts w:ascii="Book Antiqua" w:eastAsia="Book Antiqua" w:hAnsi="Book Antiqua" w:cs="Book Antiqua"/>
          <w:color w:val="000000"/>
        </w:rPr>
        <w:t xml:space="preserve">e glomerular filtration membrane and induce </w:t>
      </w:r>
      <w:proofErr w:type="gramStart"/>
      <w:r>
        <w:rPr>
          <w:rFonts w:ascii="Book Antiqua" w:eastAsia="Book Antiqua" w:hAnsi="Book Antiqua" w:cs="Book Antiqua"/>
          <w:color w:val="000000"/>
        </w:rPr>
        <w:t>albuminuria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Earlier studies have indicated that podocyte loss is among the main reasons for diabetes-induced proteinuria and the hallmark events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Podocyte apoptosis is an inciting event in DN development and correlates with DN progression.</w:t>
      </w:r>
    </w:p>
    <w:p w14:paraId="3BB4CED9" w14:textId="77777777" w:rsidR="00FA4012"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Accumulating evidence has indicated that endoplasmic reticulum stress (ERS) plays a crucial role in DN development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including podocyte injury</w:t>
      </w:r>
      <w:r>
        <w:rPr>
          <w:rFonts w:ascii="Book Antiqua" w:eastAsia="Book Antiqua" w:hAnsi="Book Antiqua" w:cs="Book Antiqua"/>
          <w:color w:val="000000"/>
          <w:vertAlign w:val="superscript"/>
        </w:rPr>
        <w:t>[9,10]</w:t>
      </w:r>
      <w:r>
        <w:rPr>
          <w:rFonts w:ascii="Book Antiqua" w:eastAsia="Book Antiqua" w:hAnsi="Book Antiqua" w:cs="Book Antiqua"/>
          <w:color w:val="000000"/>
        </w:rPr>
        <w:t>. Under normal physiological conditions, newly synthesized polypeptides translocate into the ER lumen to undergo proper folding, so that they meet the cellular quality control criteria for exit from the ER. Disrupted homeostasis, such as oxidative stress or high glucose (HG), causes an imbalance between the protein loading and folding capacity of the ER, resulting in unfolded and/or misfolded protein accumulation and ER dilatation. This process is known as ERS which consequently triggers an unfolded protein response (UPR</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Numerous studies have indicated ERS-induced apoptosis as a critical mechanism mediating podocyte injury in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In particular, </w:t>
      </w:r>
      <w:proofErr w:type="spellStart"/>
      <w:r>
        <w:rPr>
          <w:rFonts w:ascii="Book Antiqua" w:eastAsia="Book Antiqua" w:hAnsi="Book Antiqua" w:cs="Book Antiqua"/>
          <w:color w:val="000000"/>
        </w:rPr>
        <w:t>tauroursodeoxycholic</w:t>
      </w:r>
      <w:proofErr w:type="spellEnd"/>
      <w:r>
        <w:rPr>
          <w:rFonts w:ascii="Book Antiqua" w:eastAsia="Book Antiqua" w:hAnsi="Book Antiqua" w:cs="Book Antiqua"/>
          <w:color w:val="000000"/>
        </w:rPr>
        <w:t xml:space="preserve"> acid treatment ameliorated podocyte and glomeruli injury in diabetic mice by inhibiting ERS, thereby attenuating proteinuria and kidney histological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Cyclin-dependent kinase 5 may play a crucial role in ERS-induced podocyte apoptosis, which was associated with podocyte apoptosis in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However, the mechanism underlying ERS-mediated podocyte injury in DN remains largely unclear and needs further investigation.</w:t>
      </w:r>
    </w:p>
    <w:p w14:paraId="227033A0" w14:textId="77777777" w:rsidR="00FA4012" w:rsidRDefault="00000000">
      <w:pPr>
        <w:spacing w:line="360" w:lineRule="auto"/>
        <w:ind w:firstLine="240"/>
        <w:jc w:val="both"/>
        <w:rPr>
          <w:rFonts w:ascii="Book Antiqua" w:hAnsi="Book Antiqua"/>
        </w:rPr>
      </w:pPr>
      <w:r>
        <w:rPr>
          <w:rFonts w:ascii="Book Antiqua" w:eastAsia="Book Antiqua" w:hAnsi="Book Antiqua" w:cs="Book Antiqua"/>
          <w:color w:val="000000"/>
        </w:rPr>
        <w:t>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belong to a class of noncoding RNAs of &gt; 200 nucleotides in length lacking protein-coding potential. Several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involved in many biological processes, such as regulating transcription, translation, RNA modification, protein modification, and epigenetic modification of chromatin </w:t>
      </w:r>
      <w:proofErr w:type="gramStart"/>
      <w:r>
        <w:rPr>
          <w:rFonts w:ascii="Book Antiqua" w:eastAsia="Book Antiqua" w:hAnsi="Book Antiqua" w:cs="Book Antiqua"/>
          <w:color w:val="000000"/>
        </w:rPr>
        <w:t>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More importantly,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associated with the progression and occurrence of metabolic diseases, including diabetes and diabetic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In </w:t>
      </w:r>
      <w:r>
        <w:rPr>
          <w:rFonts w:ascii="Book Antiqua" w:eastAsia="Book Antiqua" w:hAnsi="Book Antiqua" w:cs="Book Antiqua"/>
          <w:color w:val="000000"/>
        </w:rPr>
        <w:lastRenderedPageBreak/>
        <w:t>particular, lncRNA</w:t>
      </w:r>
      <w:proofErr w:type="gramEnd"/>
      <w:r>
        <w:rPr>
          <w:rFonts w:ascii="Book Antiqua" w:eastAsia="Book Antiqua" w:hAnsi="Book Antiqua" w:cs="Book Antiqua"/>
          <w:color w:val="000000"/>
        </w:rPr>
        <w:t xml:space="preserve"> TCF7 silencing attenuated HG-induced podocyte damage. Therefore,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a potential therapeutic target for alleviating DN development to search for novel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alter the expression of specific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w:t>
      </w:r>
    </w:p>
    <w:p w14:paraId="45793DF7" w14:textId="77777777" w:rsidR="00FA4012" w:rsidRDefault="00000000">
      <w:pPr>
        <w:spacing w:line="360" w:lineRule="auto"/>
        <w:ind w:firstLine="240"/>
        <w:jc w:val="both"/>
        <w:rPr>
          <w:rFonts w:ascii="Book Antiqua" w:hAnsi="Book Antiqua"/>
        </w:rPr>
      </w:pPr>
      <w:r>
        <w:rPr>
          <w:rFonts w:ascii="Book Antiqua" w:eastAsia="Book Antiqua" w:hAnsi="Book Antiqua" w:cs="Book Antiqua"/>
          <w:color w:val="000000"/>
        </w:rPr>
        <w:t>We here investigated lncRNA expression profiles and the associated competing endogenous RNA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using high-throughput </w:t>
      </w:r>
      <w:bookmarkStart w:id="397" w:name="_Hlk155532904"/>
      <w:r>
        <w:rPr>
          <w:rFonts w:ascii="Book Antiqua" w:eastAsia="Book Antiqua" w:hAnsi="Book Antiqua" w:cs="Book Antiqua"/>
          <w:color w:val="000000"/>
        </w:rPr>
        <w:t>RNA-sequencing</w:t>
      </w:r>
      <w:bookmarkEnd w:id="397"/>
      <w:r>
        <w:rPr>
          <w:rFonts w:ascii="Book Antiqua" w:eastAsia="Book Antiqua" w:hAnsi="Book Antiqua" w:cs="Book Antiqua"/>
          <w:color w:val="000000"/>
        </w:rPr>
        <w:t xml:space="preserve"> (RNA-seq) technologies in normal glucose (5.5 mmol/L, NG group) and HG (25 mmol/L, HG group) cultured mouse podocytes. Then, Gene Ontology (GO) and Kyoto Encyclopedia of Genes and Genomes (KEGG) pathway analyses were conducted to determine the function of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The present study investigated the function and underlying molecular mechanism of novel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ERS-podocyte apoptosis, providing the hope of developing a new and effective therapeutic strategy against DN.</w:t>
      </w:r>
    </w:p>
    <w:p w14:paraId="574B1973" w14:textId="77777777" w:rsidR="00FA4012" w:rsidRDefault="00FA4012">
      <w:pPr>
        <w:spacing w:line="360" w:lineRule="auto"/>
        <w:ind w:firstLine="240"/>
        <w:jc w:val="both"/>
        <w:rPr>
          <w:rFonts w:ascii="Book Antiqua" w:hAnsi="Book Antiqua"/>
        </w:rPr>
      </w:pPr>
    </w:p>
    <w:p w14:paraId="771C401E" w14:textId="77777777" w:rsidR="00FA4012"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1D4BBF5"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Cell culture</w:t>
      </w:r>
    </w:p>
    <w:p w14:paraId="293B5FA0"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Conditionally immortalized mouse podocytes were cultured with Dulbecco’s modiﬁed eagle medium containing 10% fetal bovine serum and antibiotics (100 U/mL of penicillin and 0.1 mg/mL of streptomycin) at 37 °C under humidified conditions of 95% air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The differentiated podocytes were used for the subsequent experiments at 80%-90% podocyte confluence. The podocytes were incubated in a medium containing 25 or 5.5 mmol/L of glucose to induce a hyperglycemic or normal condition, respectively.</w:t>
      </w:r>
    </w:p>
    <w:p w14:paraId="65D04AC0" w14:textId="77777777" w:rsidR="00FA4012" w:rsidRDefault="00FA4012">
      <w:pPr>
        <w:spacing w:line="360" w:lineRule="auto"/>
        <w:jc w:val="both"/>
        <w:rPr>
          <w:rFonts w:ascii="Book Antiqua" w:hAnsi="Book Antiqua"/>
        </w:rPr>
      </w:pPr>
    </w:p>
    <w:p w14:paraId="02D0887D"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RNA-Seq</w:t>
      </w:r>
    </w:p>
    <w:p w14:paraId="1510C3A2" w14:textId="77777777" w:rsidR="00FA4012" w:rsidRDefault="00000000">
      <w:pPr>
        <w:spacing w:line="360" w:lineRule="auto"/>
        <w:jc w:val="both"/>
        <w:rPr>
          <w:rFonts w:ascii="Book Antiqua" w:hAnsi="Book Antiqua"/>
        </w:rPr>
      </w:pP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Reagent (Life Technologies) was used to extract the total RNA from the podocytes of the </w:t>
      </w:r>
      <w:bookmarkStart w:id="398" w:name="_Hlk155532989"/>
      <w:r>
        <w:rPr>
          <w:rFonts w:ascii="Book Antiqua" w:eastAsia="Book Antiqua" w:hAnsi="Book Antiqua" w:cs="Book Antiqua"/>
          <w:color w:val="000000"/>
        </w:rPr>
        <w:t xml:space="preserve">NG and </w:t>
      </w:r>
      <w:bookmarkEnd w:id="398"/>
      <w:r>
        <w:rPr>
          <w:rFonts w:ascii="Book Antiqua" w:eastAsia="Book Antiqua" w:hAnsi="Book Antiqua" w:cs="Book Antiqua"/>
          <w:color w:val="000000"/>
        </w:rPr>
        <w:t>HG, according to the manufacturer’s instructions. The RNA concentration was measured using the Qubit</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RNA Assay kit in Qubit</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2.0 Fluorometer (Life Technologies, CA, United States). The total RNA was purified by depleting rRNA using the </w:t>
      </w:r>
      <w:proofErr w:type="spellStart"/>
      <w:r>
        <w:rPr>
          <w:rFonts w:ascii="Book Antiqua" w:eastAsia="Book Antiqua" w:hAnsi="Book Antiqua" w:cs="Book Antiqua"/>
          <w:color w:val="000000"/>
        </w:rPr>
        <w:t>Ribo</w:t>
      </w:r>
      <w:proofErr w:type="spellEnd"/>
      <w:r>
        <w:rPr>
          <w:rFonts w:ascii="Book Antiqua" w:eastAsia="Book Antiqua" w:hAnsi="Book Antiqua" w:cs="Book Antiqua"/>
          <w:color w:val="000000"/>
        </w:rPr>
        <w:t>-off rRNA Depletion kit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Co., Ltd, Nanjing, China). A cDNA library was then constructed using these samples and the VAHTS™ Stranded mRNA-seq Library Prep kit for Illumina</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Co., Ltd, Nanjing, China). </w:t>
      </w:r>
      <w:proofErr w:type="spellStart"/>
      <w:r>
        <w:rPr>
          <w:rFonts w:ascii="Book Antiqua" w:eastAsia="Book Antiqua" w:hAnsi="Book Antiqua" w:cs="Book Antiqua"/>
          <w:color w:val="000000"/>
        </w:rPr>
        <w:lastRenderedPageBreak/>
        <w:t>Sangon</w:t>
      </w:r>
      <w:proofErr w:type="spellEnd"/>
      <w:r>
        <w:rPr>
          <w:rFonts w:ascii="Book Antiqua" w:eastAsia="Book Antiqua" w:hAnsi="Book Antiqua" w:cs="Book Antiqua"/>
          <w:color w:val="000000"/>
        </w:rPr>
        <w:t xml:space="preserve"> Biotech (Shanghai, China) used an Illumina Novaseq6000 sequencer (Illumina Inc., San Diego, CA, United States) to sequence the libraries.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with statistical significance between the NG and HG groups were determined through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value/false discovery rate (FDR) filtering. A volcano plot filtering approach [|log2 (fold </w:t>
      </w:r>
      <w:proofErr w:type="gramStart"/>
      <w:r>
        <w:rPr>
          <w:rFonts w:ascii="Book Antiqua" w:eastAsia="Book Antiqua" w:hAnsi="Book Antiqua" w:cs="Book Antiqua"/>
          <w:color w:val="000000"/>
        </w:rPr>
        <w:t>change)|</w:t>
      </w:r>
      <w:proofErr w:type="gramEnd"/>
      <w:r>
        <w:rPr>
          <w:rFonts w:ascii="Book Antiqua" w:eastAsia="Book Antiqua" w:hAnsi="Book Antiqua" w:cs="Book Antiqua"/>
          <w:color w:val="000000"/>
        </w:rPr>
        <w:t xml:space="preserve"> ≥ 1.0; </w:t>
      </w:r>
      <w:r>
        <w:rPr>
          <w:rFonts w:ascii="Book Antiqua" w:eastAsia="Book Antiqua" w:hAnsi="Book Antiqua" w:cs="Book Antiqua"/>
          <w:i/>
          <w:iCs/>
          <w:color w:val="000000"/>
        </w:rPr>
        <w:t>q</w:t>
      </w:r>
      <w:r>
        <w:rPr>
          <w:rFonts w:ascii="Book Antiqua" w:eastAsia="Book Antiqua" w:hAnsi="Book Antiqua" w:cs="Book Antiqua"/>
          <w:color w:val="000000"/>
        </w:rPr>
        <w:t xml:space="preserve"> value ≤ 0.05] was used to identify significantly and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between the two groups.</w:t>
      </w:r>
    </w:p>
    <w:p w14:paraId="3F2DD560" w14:textId="77777777" w:rsidR="00FA4012" w:rsidRDefault="00FA4012">
      <w:pPr>
        <w:spacing w:line="360" w:lineRule="auto"/>
        <w:jc w:val="both"/>
        <w:rPr>
          <w:rFonts w:ascii="Book Antiqua" w:hAnsi="Book Antiqua"/>
        </w:rPr>
      </w:pPr>
    </w:p>
    <w:p w14:paraId="5C5FA535"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Cell transfection</w:t>
      </w:r>
    </w:p>
    <w:p w14:paraId="5C51BA38" w14:textId="77777777" w:rsidR="00FA40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cDNA fragments were cloned into the </w:t>
      </w:r>
      <w:proofErr w:type="spellStart"/>
      <w:r>
        <w:rPr>
          <w:rFonts w:ascii="Book Antiqua" w:eastAsia="Book Antiqua" w:hAnsi="Book Antiqua" w:cs="Book Antiqua"/>
          <w:color w:val="000000"/>
        </w:rPr>
        <w:t>pcDNA</w:t>
      </w:r>
      <w:proofErr w:type="spellEnd"/>
      <w:r>
        <w:rPr>
          <w:rFonts w:ascii="Book Antiqua" w:eastAsia="Book Antiqua" w:hAnsi="Book Antiqua" w:cs="Book Antiqua"/>
          <w:color w:val="000000"/>
        </w:rPr>
        <w:t xml:space="preserve"> 3.1 plasmid vector to construct lncRNA </w:t>
      </w:r>
      <w:r>
        <w:rPr>
          <w:rFonts w:ascii="Book Antiqua" w:eastAsia="Book Antiqua" w:hAnsi="Book Antiqua" w:cs="Book Antiqua"/>
        </w:rPr>
        <w:t>protein-disulfide isomerase-associated 3 (Pdia3)</w:t>
      </w:r>
      <w:r>
        <w:rPr>
          <w:rFonts w:ascii="Book Antiqua" w:eastAsia="Book Antiqua" w:hAnsi="Book Antiqua" w:cs="Book Antiqua"/>
          <w:color w:val="000000"/>
        </w:rPr>
        <w:t xml:space="preserve"> overexpressing plasmids (pcDNA3.1-lncRNA Pdia</w:t>
      </w:r>
      <w:r>
        <w:rPr>
          <w:rFonts w:ascii="Book Antiqua" w:eastAsia="Book Antiqua" w:hAnsi="Book Antiqua" w:cs="Book Antiqua"/>
        </w:rPr>
        <w:t>3) to overexpress ENSMUST00000153378 (lncRNA protein-disulfide isomerase-associated 3, lncRNA Pdia3 for short). T</w:t>
      </w:r>
      <w:r>
        <w:rPr>
          <w:rFonts w:ascii="Book Antiqua" w:eastAsia="Book Antiqua" w:hAnsi="Book Antiqua" w:cs="Book Antiqua"/>
          <w:color w:val="000000"/>
        </w:rPr>
        <w:t xml:space="preserve">he empty vector served as a control. The podocytes were transfected with </w:t>
      </w:r>
      <w:bookmarkStart w:id="399" w:name="_Hlk155533279"/>
      <w:r>
        <w:rPr>
          <w:rFonts w:ascii="Book Antiqua" w:eastAsia="Book Antiqua" w:hAnsi="Book Antiqua" w:cs="Book Antiqua"/>
          <w:color w:val="000000"/>
        </w:rPr>
        <w:t>small interfering RNA</w:t>
      </w:r>
      <w:bookmarkEnd w:id="399"/>
      <w:r>
        <w:rPr>
          <w:rFonts w:ascii="Book Antiqua" w:eastAsia="Book Antiqua" w:hAnsi="Book Antiqua" w:cs="Book Antiqua"/>
          <w:color w:val="000000"/>
        </w:rPr>
        <w:t xml:space="preserve"> (siRNA) against lncRNA Pdia3 (siRNA-lncRNA Pdia3) to inhibit lncRNA Pdia3 expression. The corresponding scrambled RNA served as a negative control. Additionally, miR-139-3p mimics or inhibitors were used to increase or decrease miR-139-3p expression, respectively. The scrambled oligonucleotides (NC mimics or NC inhibitors) served as controls. The podocytes from each group were seeded into six-well plates and incubated at 37 °C for 24 h for transfection. The cells were transfected or co-transfected with the relevant plasmids using </w:t>
      </w:r>
      <w:proofErr w:type="spellStart"/>
      <w:r>
        <w:rPr>
          <w:rFonts w:ascii="Book Antiqua" w:eastAsia="Book Antiqua" w:hAnsi="Book Antiqua" w:cs="Book Antiqua"/>
          <w:color w:val="000000"/>
        </w:rPr>
        <w:t>opti</w:t>
      </w:r>
      <w:proofErr w:type="spellEnd"/>
      <w:r>
        <w:rPr>
          <w:rFonts w:ascii="Book Antiqua" w:eastAsia="Book Antiqua" w:hAnsi="Book Antiqua" w:cs="Book Antiqua"/>
          <w:color w:val="000000"/>
        </w:rPr>
        <w:t>-MEM and Lipofectamine 2000 reagents (Invitrogen, Carlsbad, CA, United States) following the manufacturer’s protocol after attaining 80% podocyte confluence.</w:t>
      </w:r>
    </w:p>
    <w:p w14:paraId="4661D9A0" w14:textId="77777777" w:rsidR="00FA4012" w:rsidRDefault="00FA4012">
      <w:pPr>
        <w:spacing w:line="360" w:lineRule="auto"/>
        <w:jc w:val="both"/>
        <w:rPr>
          <w:rFonts w:ascii="Book Antiqua" w:hAnsi="Book Antiqua"/>
        </w:rPr>
      </w:pPr>
    </w:p>
    <w:p w14:paraId="32E69C74"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Measurement of cell viability</w:t>
      </w:r>
    </w:p>
    <w:p w14:paraId="540CD300"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Cell counting kit-8 (CCK-8) was used to measure cell viability, as described by the manufacturer. The differentiated podocytes were seeded into 96-well plates and incubated at 37 °C overnight. CCK-8 solution of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was then added to each well. The cells were incubated at 37 °C for 2 h in the dark. An automatic microplate reader was used to measure the light absorbance value of each well at 450 nm of wavelength.</w:t>
      </w:r>
    </w:p>
    <w:p w14:paraId="0B077E12" w14:textId="77777777" w:rsidR="00FA4012" w:rsidRDefault="00FA4012">
      <w:pPr>
        <w:spacing w:line="360" w:lineRule="auto"/>
        <w:jc w:val="both"/>
        <w:rPr>
          <w:rFonts w:ascii="Book Antiqua" w:hAnsi="Book Antiqua"/>
        </w:rPr>
      </w:pPr>
    </w:p>
    <w:p w14:paraId="397C2E90"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Flow cytometry</w:t>
      </w:r>
    </w:p>
    <w:p w14:paraId="6C1322BA"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The podocyte apoptosis rate in the different groups was determined through flow cytometry using an Annexin V-FITC and propidium iodide (PI) double staining kit (</w:t>
      </w:r>
      <w:proofErr w:type="spellStart"/>
      <w:r>
        <w:rPr>
          <w:rFonts w:ascii="Book Antiqua" w:eastAsia="Book Antiqua" w:hAnsi="Book Antiqua" w:cs="Book Antiqua"/>
          <w:color w:val="000000"/>
        </w:rPr>
        <w:t>MultiSciences</w:t>
      </w:r>
      <w:proofErr w:type="spellEnd"/>
      <w:r>
        <w:rPr>
          <w:rFonts w:ascii="Book Antiqua" w:eastAsia="Book Antiqua" w:hAnsi="Book Antiqua" w:cs="Book Antiqua"/>
          <w:color w:val="000000"/>
        </w:rPr>
        <w:t xml:space="preserve"> Biotechnology Corporate Limited, China) after transfection for 48 h, following the manufacturer’s instructions. The cells from each group were collected and resuspended in the binding buffer to form single-cell suspensions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cells/mL) for staining. The podocytes were then dual stained with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annexin-V FITC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PI at 37 °C for 5 min to avoid light exposure. Finally, flow cytometry detected the percentage of apoptotic podocytes.</w:t>
      </w:r>
    </w:p>
    <w:p w14:paraId="3528204C" w14:textId="77777777" w:rsidR="00FA4012" w:rsidRDefault="00FA4012">
      <w:pPr>
        <w:spacing w:line="360" w:lineRule="auto"/>
        <w:jc w:val="both"/>
        <w:rPr>
          <w:rFonts w:ascii="Book Antiqua" w:hAnsi="Book Antiqua"/>
        </w:rPr>
      </w:pPr>
    </w:p>
    <w:p w14:paraId="5F6BDEA5"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Immunofluorescence</w:t>
      </w:r>
    </w:p>
    <w:p w14:paraId="48495461"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The podocytes were washed with phosphate-buffered saline (PBS) and fixed in 4% paraformaldehyde at room temperature for 30 min after transfection for 48 h. Next, the cells were permeabilized with 0.5% Triton X-100 for 5 min. The cells were blocked in 5% bovine serum albumin (BSA) for 1 h at room temperature. Subsequently, the cells were incubated with primary antibodies (podocin, 1:100, Abcam, United States; </w:t>
      </w:r>
      <w:proofErr w:type="spellStart"/>
      <w:r>
        <w:rPr>
          <w:rFonts w:ascii="Book Antiqua" w:eastAsia="Book Antiqua" w:hAnsi="Book Antiqua" w:cs="Book Antiqua"/>
          <w:color w:val="000000"/>
        </w:rPr>
        <w:t>nephrin</w:t>
      </w:r>
      <w:proofErr w:type="spellEnd"/>
      <w:r>
        <w:rPr>
          <w:rFonts w:ascii="Book Antiqua" w:eastAsia="Book Antiqua" w:hAnsi="Book Antiqua" w:cs="Book Antiqua"/>
          <w:color w:val="000000"/>
        </w:rPr>
        <w:t>, 1:100, Abcam, United States) at 4 °C overnight. The cells were washed with PBS and incubated with fluorescence-conjugated secondary antibodies for 1 h at room temperature. The podocytes were tinted with 6-diamidino-2-phenylindole (DAPI) for 5 min and photographed under a fluorescence microscope (Olympus FV10-ASW, Tokyo, Japan).</w:t>
      </w:r>
    </w:p>
    <w:p w14:paraId="4036F16B" w14:textId="77777777" w:rsidR="00FA4012" w:rsidRDefault="00FA4012">
      <w:pPr>
        <w:spacing w:line="360" w:lineRule="auto"/>
        <w:jc w:val="both"/>
        <w:rPr>
          <w:rFonts w:ascii="Book Antiqua" w:hAnsi="Book Antiqua"/>
        </w:rPr>
      </w:pPr>
    </w:p>
    <w:p w14:paraId="16D86A18" w14:textId="77777777" w:rsidR="00FA4012" w:rsidRDefault="00000000">
      <w:pPr>
        <w:spacing w:line="360" w:lineRule="auto"/>
        <w:jc w:val="both"/>
        <w:rPr>
          <w:rFonts w:ascii="Book Antiqua" w:hAnsi="Book Antiqua"/>
        </w:rPr>
      </w:pPr>
      <w:bookmarkStart w:id="400" w:name="_Hlk155533174"/>
      <w:r>
        <w:rPr>
          <w:rFonts w:ascii="Book Antiqua" w:eastAsia="Book Antiqua" w:hAnsi="Book Antiqua" w:cs="Book Antiqua"/>
          <w:b/>
          <w:bCs/>
          <w:i/>
          <w:iCs/>
          <w:color w:val="000000"/>
        </w:rPr>
        <w:t>Quantitative real-time polymerase chain reaction</w:t>
      </w:r>
      <w:bookmarkEnd w:id="400"/>
    </w:p>
    <w:p w14:paraId="076AD47E"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Following 48 h of transfection, the total RNA was extracted and purified from podocytes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reagents according to the manufacturer’s instructions. A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spectrophotometer detected the concentration and purity of total RNA. Subsequently, a reverse transcription kit (QIAGEN, Valencia, CA, United States) was used to reverse transcribe total RNA into cDNA. The expressions of RNA were then quantified by quantitative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using </w:t>
      </w:r>
      <w:proofErr w:type="spellStart"/>
      <w:r>
        <w:rPr>
          <w:rFonts w:ascii="Book Antiqua" w:eastAsia="Book Antiqua" w:hAnsi="Book Antiqua" w:cs="Book Antiqua"/>
          <w:color w:val="000000"/>
        </w:rPr>
        <w:t>SYBR</w:t>
      </w:r>
      <w:r>
        <w:rPr>
          <w:rFonts w:ascii="Book Antiqua" w:eastAsia="Book Antiqua" w:hAnsi="Book Antiqua" w:cs="Book Antiqua"/>
          <w:color w:val="000000"/>
          <w:vertAlign w:val="superscript"/>
        </w:rPr>
        <w:t>®</w:t>
      </w:r>
      <w:r>
        <w:rPr>
          <w:rFonts w:ascii="Book Antiqua" w:eastAsia="Book Antiqua" w:hAnsi="Book Antiqua" w:cs="Book Antiqua"/>
          <w:color w:val="000000"/>
        </w:rPr>
        <w:t>Premix</w:t>
      </w:r>
      <w:proofErr w:type="spellEnd"/>
      <w:r>
        <w:rPr>
          <w:rFonts w:ascii="Book Antiqua" w:eastAsia="Book Antiqua" w:hAnsi="Book Antiqua" w:cs="Book Antiqua"/>
          <w:color w:val="000000"/>
        </w:rPr>
        <w:t xml:space="preserve"> Ex </w:t>
      </w:r>
      <w:r>
        <w:rPr>
          <w:rFonts w:ascii="Book Antiqua" w:eastAsia="Book Antiqua" w:hAnsi="Book Antiqua" w:cs="Book Antiqua"/>
          <w:color w:val="000000"/>
        </w:rPr>
        <w:lastRenderedPageBreak/>
        <w:t>Taq™ (Takara, Dalian, China). The GAPDH or U6 expressions were used as the endogenous control for lncRNA Pdia3 or miR-139-3p, respectively. The relative expression of RNA was analyzed using the 2</w:t>
      </w:r>
      <w:r>
        <w:rPr>
          <w:rFonts w:ascii="Book Antiqua" w:eastAsia="Book Antiqua" w:hAnsi="Book Antiqua" w:cs="Book Antiqua"/>
          <w:color w:val="000000"/>
          <w:vertAlign w:val="superscript"/>
        </w:rPr>
        <w:t>-</w:t>
      </w:r>
      <w:r>
        <w:rPr>
          <w:rFonts w:ascii="宋体" w:eastAsia="宋体" w:hAnsi="宋体" w:cs="宋体" w:hint="eastAsia"/>
          <w:color w:val="000000"/>
          <w:vertAlign w:val="superscript"/>
        </w:rPr>
        <w:t>△△</w:t>
      </w:r>
      <w:r>
        <w:rPr>
          <w:rFonts w:ascii="Book Antiqua" w:eastAsia="Book Antiqua" w:hAnsi="Book Antiqua" w:cs="Book Antiqua"/>
          <w:color w:val="000000"/>
          <w:vertAlign w:val="superscript"/>
        </w:rPr>
        <w:t>Ct</w:t>
      </w:r>
      <w:r>
        <w:rPr>
          <w:rFonts w:ascii="Book Antiqua" w:eastAsia="Book Antiqua" w:hAnsi="Book Antiqua" w:cs="Book Antiqua"/>
          <w:color w:val="000000"/>
        </w:rPr>
        <w:t xml:space="preserve"> method. Primers were displayed as follows: LncRNA Pdia3 (forward primers 5’-ATGCGCTTCAGCTGCCTA-3’, reverse primers 5’-CGTCAGTTCCAACACATCG-3’); miR-139-3p (forward primers 5’-TCACAGAGGTTGTCCCGGC-3’, reverse primers 5’-TATGGTTGTTCACGACTCCTTCAC-3’); GAPDH (forward primers 5’-GCAAGTTCAACGGCACAG-3’, reverse primers 5’-CTCGCTCCTGGAAGATGG-3’); U6 (forward primers 5’-CTCGCTTCGGCAGCACA-3’, reverse primers 5’-AACGCTTCACGAATTTGCGT-3’).</w:t>
      </w:r>
    </w:p>
    <w:p w14:paraId="28669AF9" w14:textId="77777777" w:rsidR="00FA4012" w:rsidRDefault="00FA4012">
      <w:pPr>
        <w:spacing w:line="360" w:lineRule="auto"/>
        <w:jc w:val="both"/>
        <w:rPr>
          <w:rFonts w:ascii="Book Antiqua" w:hAnsi="Book Antiqua"/>
        </w:rPr>
      </w:pPr>
    </w:p>
    <w:p w14:paraId="03541AF4" w14:textId="77777777" w:rsidR="00FA4012" w:rsidRDefault="00000000">
      <w:pPr>
        <w:spacing w:line="360" w:lineRule="auto"/>
        <w:jc w:val="both"/>
        <w:rPr>
          <w:rFonts w:ascii="Book Antiqua" w:hAnsi="Book Antiqua"/>
        </w:rPr>
      </w:pPr>
      <w:bookmarkStart w:id="401" w:name="_Hlk155533324"/>
      <w:r>
        <w:rPr>
          <w:rFonts w:ascii="Book Antiqua" w:eastAsia="Book Antiqua" w:hAnsi="Book Antiqua" w:cs="Book Antiqua"/>
          <w:b/>
          <w:bCs/>
          <w:i/>
          <w:iCs/>
          <w:color w:val="000000"/>
        </w:rPr>
        <w:t>Fluorescence in situ hybridization</w:t>
      </w:r>
      <w:bookmarkEnd w:id="401"/>
    </w:p>
    <w:p w14:paraId="4C9AA39C"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which was performed using the FISH kit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Biological Technology Co. Ltd, Wuhan, China) following the manufacturer’s protocol, was used to analyze the subcellular localization of lncRNA Pdia3. The lncRNA Pdia3 FISH probe was designed and synthesized by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Technology (Wuhan, China). After 48 h of transfection, the podocytes were fixed in 4% paraformaldehyde for 30 min and permeabilized with 0.5% Triton X-100 for 5 min. The podocytes were incubated with the fluorescence probe at 37 °C overnight after blocking the permeabilized podocytes in 5% BSA. The podocytes were stained with DAPI for 5 min after hybridization. Finally, the images were observed under the fluorescence microscope (Olympus FV10-ASW, Japan).</w:t>
      </w:r>
    </w:p>
    <w:p w14:paraId="63836E84" w14:textId="77777777" w:rsidR="00FA4012" w:rsidRDefault="00FA4012">
      <w:pPr>
        <w:spacing w:line="360" w:lineRule="auto"/>
        <w:jc w:val="both"/>
        <w:rPr>
          <w:rFonts w:ascii="Book Antiqua" w:hAnsi="Book Antiqua"/>
        </w:rPr>
      </w:pPr>
    </w:p>
    <w:p w14:paraId="44339C70"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Dual-luciferase reporter assay</w:t>
      </w:r>
    </w:p>
    <w:p w14:paraId="0B055067"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The dual luciferase reporter assay was used to assess the direct interaction between lncRNA Pdia3 and miR-139-3p. A </w:t>
      </w:r>
      <w:proofErr w:type="spellStart"/>
      <w:r>
        <w:rPr>
          <w:rFonts w:ascii="Book Antiqua" w:eastAsia="Book Antiqua" w:hAnsi="Book Antiqua" w:cs="Book Antiqua"/>
          <w:color w:val="000000"/>
        </w:rPr>
        <w:t>pmirGLO</w:t>
      </w:r>
      <w:proofErr w:type="spellEnd"/>
      <w:r>
        <w:rPr>
          <w:rFonts w:ascii="Book Antiqua" w:eastAsia="Book Antiqua" w:hAnsi="Book Antiqua" w:cs="Book Antiqua"/>
          <w:color w:val="000000"/>
        </w:rPr>
        <w:t xml:space="preserve"> luciferase expression vector (Cosmo Bio, Tianjin, China) was used to construct the reporter plasmid. The predicted lncRNA Pdia3 3’-UTR sequence that interacts with miR-139-3p and artificially mutated sequences within the predicted target sites were synthesized and cloned into the </w:t>
      </w:r>
      <w:proofErr w:type="spellStart"/>
      <w:r>
        <w:rPr>
          <w:rFonts w:ascii="Book Antiqua" w:eastAsia="Book Antiqua" w:hAnsi="Book Antiqua" w:cs="Book Antiqua"/>
          <w:color w:val="000000"/>
        </w:rPr>
        <w:t>pmirGLO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luciferase vector, respectively. The wide-type (</w:t>
      </w:r>
      <w:proofErr w:type="spellStart"/>
      <w:r>
        <w:rPr>
          <w:rFonts w:ascii="Book Antiqua" w:eastAsia="Book Antiqua" w:hAnsi="Book Antiqua" w:cs="Book Antiqua"/>
          <w:color w:val="000000"/>
        </w:rPr>
        <w:t>wt</w:t>
      </w:r>
      <w:proofErr w:type="spellEnd"/>
      <w:r>
        <w:rPr>
          <w:rFonts w:ascii="Book Antiqua" w:eastAsia="Book Antiqua" w:hAnsi="Book Antiqua" w:cs="Book Antiqua"/>
          <w:color w:val="000000"/>
        </w:rPr>
        <w:t xml:space="preserve">) or mutated (mut) luciferase reporter plasmid was then transfected with miR-139-3p mimics or NC mimics into podocytes using Lipofectamine 2000 reagents following the manufacturer’s instructions. A non-related miRNA was used as NC mimics. The luciferase assay kit (Promega, Madison, WI, United States) was used to measure the luciferase activity after transfection for 48 h. The relative luciferase activity was normalized to </w:t>
      </w:r>
      <w:proofErr w:type="spellStart"/>
      <w:r>
        <w:rPr>
          <w:rFonts w:ascii="Book Antiqua" w:eastAsia="Book Antiqua" w:hAnsi="Book Antiqua" w:cs="Book Antiqua"/>
          <w:color w:val="000000"/>
        </w:rPr>
        <w:t>Renilla</w:t>
      </w:r>
      <w:proofErr w:type="spellEnd"/>
      <w:r>
        <w:rPr>
          <w:rFonts w:ascii="Book Antiqua" w:eastAsia="Book Antiqua" w:hAnsi="Book Antiqua" w:cs="Book Antiqua"/>
          <w:color w:val="000000"/>
        </w:rPr>
        <w:t xml:space="preserve"> luciferase activity.</w:t>
      </w:r>
    </w:p>
    <w:p w14:paraId="65EA3F7B" w14:textId="77777777" w:rsidR="00FA4012" w:rsidRDefault="00FA4012">
      <w:pPr>
        <w:spacing w:line="360" w:lineRule="auto"/>
        <w:jc w:val="both"/>
        <w:rPr>
          <w:rFonts w:ascii="Book Antiqua" w:hAnsi="Book Antiqua"/>
        </w:rPr>
      </w:pPr>
    </w:p>
    <w:p w14:paraId="66923722"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Western blotting</w:t>
      </w:r>
    </w:p>
    <w:p w14:paraId="125A114F"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After transfection for 48 h, the podocytes from each group were lysed by whole-cell lysate for 10 min on ice. The radioimmunoprecipitation assay lysis buffer was used to extract total proteins from the cultured podocytes, and a bicinchoninic acid kit was utilized to determine their concentration. The total proteins were then isolated through sodium dodecyl sulfate-polyacrylamide gel electrophoresis and transferred onto polyvinylidene fluoride membranes. After blocking in 5% skim milk at room temperature for 1 h, the membranes were probed with primary antibodies [glucose-regulated protein 78 (GRP78), 1:1000, Abcam, United States; C/EBP homologous protein (CHOP), 1:500, Abcam, United States; caspase-12, 1:1000, Abcam, United States] overnight at 4 °C and then incubated with the secondary antibody for 1 h. The membranes were washed three times with PBST for 10 min, incubated in Western </w:t>
      </w:r>
      <w:proofErr w:type="spellStart"/>
      <w:r>
        <w:rPr>
          <w:rFonts w:ascii="Book Antiqua" w:eastAsia="Book Antiqua" w:hAnsi="Book Antiqua" w:cs="Book Antiqua"/>
          <w:color w:val="000000"/>
        </w:rPr>
        <w:t>Lightning</w:t>
      </w:r>
      <w:r>
        <w:rPr>
          <w:rFonts w:ascii="Book Antiqua" w:eastAsia="Book Antiqua" w:hAnsi="Book Antiqua" w:cs="Book Antiqua"/>
          <w:color w:val="000000"/>
          <w:vertAlign w:val="superscript"/>
        </w:rPr>
        <w:t>TM</w:t>
      </w:r>
      <w:proofErr w:type="spellEnd"/>
      <w:r>
        <w:rPr>
          <w:rFonts w:ascii="Book Antiqua" w:eastAsia="Book Antiqua" w:hAnsi="Book Antiqua" w:cs="Book Antiqua"/>
          <w:color w:val="000000"/>
        </w:rPr>
        <w:t xml:space="preserve"> Chemiluminescence Reagent (PerkinElmer, United States) for 5 min, and visualized by the </w:t>
      </w:r>
      <w:proofErr w:type="spellStart"/>
      <w:r>
        <w:rPr>
          <w:rFonts w:ascii="Book Antiqua" w:eastAsia="Book Antiqua" w:hAnsi="Book Antiqua" w:cs="Book Antiqua"/>
          <w:color w:val="000000"/>
        </w:rPr>
        <w:t>LabWorks</w:t>
      </w:r>
      <w:r>
        <w:rPr>
          <w:rFonts w:ascii="Book Antiqua" w:eastAsia="Book Antiqua" w:hAnsi="Book Antiqua" w:cs="Book Antiqua"/>
          <w:color w:val="000000"/>
          <w:vertAlign w:val="superscript"/>
        </w:rPr>
        <w:t>TM</w:t>
      </w:r>
      <w:proofErr w:type="spellEnd"/>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imaging system. β-Tubulin (1:1000, Abcam, United States) was used as an internal control. ImageJ software (National Institutes of Health, Bethesda, MD, United States) was used to analyze the gray value of the target band.</w:t>
      </w:r>
    </w:p>
    <w:p w14:paraId="2456C424" w14:textId="77777777" w:rsidR="00FA4012" w:rsidRDefault="00FA4012">
      <w:pPr>
        <w:spacing w:line="360" w:lineRule="auto"/>
        <w:jc w:val="both"/>
        <w:rPr>
          <w:rFonts w:ascii="Book Antiqua" w:hAnsi="Book Antiqua"/>
        </w:rPr>
      </w:pPr>
    </w:p>
    <w:p w14:paraId="2FAF54A6"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744F274A"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Statistical Package for the Social Sciences version 20.0 was used for data analyses. All data were presented as mean ± SD. Unpaired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-tests were used to analyze differences between the two groups. One-way analysis of variance with Student-Newman-Keuls or Dunnett’s test was used to assess differences among multiple groups. The </w:t>
      </w:r>
      <w:proofErr w:type="spellStart"/>
      <w:r>
        <w:rPr>
          <w:rFonts w:ascii="Book Antiqua" w:eastAsia="Book Antiqua" w:hAnsi="Book Antiqua" w:cs="Book Antiqua"/>
          <w:color w:val="000000"/>
        </w:rPr>
        <w:t>Benjamini</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 xml:space="preserve">Hochberg method controlled the FDR using sequential modified Bonferroni correction for multiple hypothesis testing.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of &lt; 0.05 were considered statistically significant.</w:t>
      </w:r>
    </w:p>
    <w:p w14:paraId="1BA32A8F" w14:textId="77777777" w:rsidR="00FA4012" w:rsidRDefault="00FA4012">
      <w:pPr>
        <w:spacing w:line="360" w:lineRule="auto"/>
        <w:jc w:val="both"/>
        <w:rPr>
          <w:rFonts w:ascii="Book Antiqua" w:hAnsi="Book Antiqua"/>
        </w:rPr>
      </w:pPr>
    </w:p>
    <w:p w14:paraId="5DA48059" w14:textId="77777777" w:rsidR="00FA4012"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ADCAC5A"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LncRNA Pdia3 was down-expressed in HG-cultured podocytes</w:t>
      </w:r>
    </w:p>
    <w:p w14:paraId="4ECCC040"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Mouse podocytes were cultured under NG or HG concentrations for 48 h. RNA-seq analysis was then performed to identify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between NG and HG cultured podocytes. RNA-seq revealed that 51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differentially expressed between the NG and HG groups using the following criteria: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 0.001, </w:t>
      </w:r>
      <w:r>
        <w:rPr>
          <w:rFonts w:ascii="Book Antiqua" w:eastAsia="Book Antiqua" w:hAnsi="Book Antiqua" w:cs="Book Antiqua"/>
          <w:i/>
          <w:iCs/>
          <w:color w:val="000000"/>
        </w:rPr>
        <w:t>q-</w:t>
      </w:r>
      <w:r>
        <w:rPr>
          <w:rFonts w:ascii="Book Antiqua" w:eastAsia="Book Antiqua" w:hAnsi="Book Antiqua" w:cs="Book Antiqua"/>
          <w:color w:val="000000"/>
        </w:rPr>
        <w:t xml:space="preserve">value of &lt; 0.01 and |log2 (fold </w:t>
      </w:r>
      <w:proofErr w:type="gramStart"/>
      <w:r>
        <w:rPr>
          <w:rFonts w:ascii="Book Antiqua" w:eastAsia="Book Antiqua" w:hAnsi="Book Antiqua" w:cs="Book Antiqua"/>
          <w:color w:val="000000"/>
        </w:rPr>
        <w:t>change)|</w:t>
      </w:r>
      <w:proofErr w:type="gramEnd"/>
      <w:r>
        <w:rPr>
          <w:rFonts w:ascii="Book Antiqua" w:eastAsia="Book Antiqua" w:hAnsi="Book Antiqua" w:cs="Book Antiqua"/>
          <w:color w:val="000000"/>
        </w:rPr>
        <w:t xml:space="preserve"> &gt; 1, including 20 upregulated and 31 downregulated genes (Figure 1). Among them, lncRNA Pdia3 expression was markedly lower in the HG group than in the NG group. The GO and KEGG pathway enrichment analyses were conducted to determine the biological role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Bioinformatic analysis revealed an association between lncRNA Pdia3 and ERS (</w:t>
      </w:r>
      <w:bookmarkStart w:id="402" w:name="_Hlk138841007"/>
      <w:bookmarkStart w:id="403" w:name="_Hlk90550604"/>
      <w:r>
        <w:rPr>
          <w:rFonts w:ascii="Book Antiqua" w:eastAsia="宋体" w:hAnsi="Book Antiqua" w:cs="宋体"/>
        </w:rPr>
        <w:t>Supplementary</w:t>
      </w:r>
      <w:bookmarkEnd w:id="402"/>
      <w:r>
        <w:rPr>
          <w:rFonts w:ascii="Book Antiqua" w:eastAsia="宋体" w:hAnsi="Book Antiqua" w:cs="宋体"/>
        </w:rPr>
        <w:t xml:space="preserve"> material</w:t>
      </w:r>
      <w:bookmarkEnd w:id="403"/>
      <w:r>
        <w:rPr>
          <w:rFonts w:ascii="Book Antiqua" w:eastAsia="Book Antiqua" w:hAnsi="Book Antiqua" w:cs="Book Antiqua"/>
          <w:color w:val="000000"/>
        </w:rPr>
        <w:t>). LncRNA Pdia3 was focused on to further study its potential function and action mechanism.</w:t>
      </w:r>
    </w:p>
    <w:p w14:paraId="1FF84300" w14:textId="77777777" w:rsidR="00FA4012" w:rsidRDefault="00FA4012">
      <w:pPr>
        <w:spacing w:line="360" w:lineRule="auto"/>
        <w:jc w:val="both"/>
        <w:rPr>
          <w:rFonts w:ascii="Book Antiqua" w:hAnsi="Book Antiqua"/>
        </w:rPr>
      </w:pPr>
    </w:p>
    <w:p w14:paraId="122F121F"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LncRNA Pdia3 overexpression attenuated podocyte apoptosis and ERS in HG-cultured podocytes</w:t>
      </w:r>
    </w:p>
    <w:p w14:paraId="32D6EECD"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First, </w:t>
      </w:r>
      <w:proofErr w:type="gramStart"/>
      <w:r>
        <w:rPr>
          <w:rFonts w:ascii="Book Antiqua" w:eastAsia="Book Antiqua" w:hAnsi="Book Antiqua" w:cs="Book Antiqua"/>
          <w:color w:val="000000"/>
        </w:rPr>
        <w:t>whether or not</w:t>
      </w:r>
      <w:proofErr w:type="gramEnd"/>
      <w:r>
        <w:rPr>
          <w:rFonts w:ascii="Book Antiqua" w:eastAsia="Book Antiqua" w:hAnsi="Book Antiqua" w:cs="Book Antiqua"/>
          <w:color w:val="000000"/>
        </w:rPr>
        <w:t xml:space="preserve"> lncRNA Pdia3 overexpression attenuated the apoptosis of HG-cultured podocytes was evaluated. HG could reduce lncRNA Pdia3 expression according to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data, which was consistent with the result of RNA-seq. LncRNA Pdia3 expression significantly increased after pcDNA3.1-lncRNA Pdia3 treatment, which indicated successful transfection (Figure 2A). Following siRNA-lncRNA Pdia3 treatment, lncRNA Pdia3 expression was significantly reduced (Figure 2B), indicating the successful silencing efficiency. Compared with the NG + siRNA-NC group,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data indicated that the NG + siRNA-lncRNA Pdia3 group had decreased lncRNA Pdia3 expression (Figure 2C). LncRNA Pdia3 expression was significantly increased in the HG + pcDNA3.1-lncRNA Pdia3 group compared with the HG + pcDNA3.1-NC group (Figure </w:t>
      </w:r>
      <w:r>
        <w:rPr>
          <w:rFonts w:ascii="Book Antiqua" w:eastAsia="Book Antiqua" w:hAnsi="Book Antiqua" w:cs="Book Antiqua"/>
          <w:color w:val="000000"/>
        </w:rPr>
        <w:lastRenderedPageBreak/>
        <w:t xml:space="preserve">2C). Afterward, a CCK-8 assay revealed that siRNA-lncRNA Pdia3 transfection in NG-cultured podocytes caused a decline in cell viability. By contrast, cell viability was significantly enhanced in the HG + pcDNA3.1-lncRNA Pdia3 group compared with the HG + pcDNA3.1-NC group (Figure 2D). Furthermore, flow cytometry indicated that lncRNA Pdia3 silencing transfected by siRNA-lncRNA Pdia3 significantly increased cell apoptotic rate in NG-cultured podocytes. LncRNA Pdia3 overexpression transfected by pcDNA3.1-lncRNA Pdia3 obviously reduced cell apoptotic rate in HG-cultured podocytes (Figure 2E and F). Additionally, immunofluorescence revealed that podocin and </w:t>
      </w:r>
      <w:proofErr w:type="spellStart"/>
      <w:r>
        <w:rPr>
          <w:rFonts w:ascii="Book Antiqua" w:eastAsia="Book Antiqua" w:hAnsi="Book Antiqua" w:cs="Book Antiqua"/>
          <w:color w:val="000000"/>
        </w:rPr>
        <w:t>nephrin</w:t>
      </w:r>
      <w:proofErr w:type="spellEnd"/>
      <w:r>
        <w:rPr>
          <w:rFonts w:ascii="Book Antiqua" w:eastAsia="Book Antiqua" w:hAnsi="Book Antiqua" w:cs="Book Antiqua"/>
          <w:color w:val="000000"/>
        </w:rPr>
        <w:t xml:space="preserve"> expression were significantly decreased in the NG + siRNA-lncRNA Pdia3 group compared with the NG + siRNA-NC group. By contrast, the HG + pcDNA3.1-lncRNA Pdia3 group demonstrated greatly increased podocin and </w:t>
      </w:r>
      <w:proofErr w:type="spellStart"/>
      <w:r>
        <w:rPr>
          <w:rFonts w:ascii="Book Antiqua" w:eastAsia="Book Antiqua" w:hAnsi="Book Antiqua" w:cs="Book Antiqua"/>
          <w:color w:val="000000"/>
        </w:rPr>
        <w:t>nephrin</w:t>
      </w:r>
      <w:proofErr w:type="spellEnd"/>
      <w:r>
        <w:rPr>
          <w:rFonts w:ascii="Book Antiqua" w:eastAsia="Book Antiqua" w:hAnsi="Book Antiqua" w:cs="Book Antiqua"/>
          <w:color w:val="000000"/>
        </w:rPr>
        <w:t xml:space="preserve"> expression compared with the HG + pcDNA3.1-NC group (Figure 2G and H). These results indicated that lncRNA Pdia3 overexpression could attenuate podocyte apoptosis in HG-cultured podocytes.</w:t>
      </w:r>
    </w:p>
    <w:p w14:paraId="7A940982" w14:textId="77777777" w:rsidR="00FA4012" w:rsidRDefault="00000000">
      <w:pPr>
        <w:spacing w:line="360" w:lineRule="auto"/>
        <w:ind w:firstLine="240"/>
        <w:jc w:val="both"/>
        <w:rPr>
          <w:rFonts w:ascii="Book Antiqua" w:hAnsi="Book Antiqua"/>
        </w:rPr>
      </w:pPr>
      <w:r>
        <w:rPr>
          <w:rFonts w:ascii="Book Antiqua" w:eastAsia="Book Antiqua" w:hAnsi="Book Antiqua" w:cs="Book Antiqua"/>
          <w:color w:val="000000"/>
        </w:rPr>
        <w:t>We further investigated the mechanism underlying the regulatory role of lncRNA Pdia3 in podocyte apoptosis. We assessed whether lncRNA Pdia3 modulated ERS in the context of HG-induced podocyte apoptosis. Compared with the NG + siRNA-NC group, GRP78, CHOP, and caspase-12 levels significantly increased in the NG + siRNA-lncRNA Pdia3 group. After transfecting the podocytes with pcDNA3.1-lncRNA Pdia3 under the HG condition, lncRNA Pdia3 overexpression significantly reduced GRP78, CHOP, and caspase-12 levels (Figure 2I and J). These data indicated that lncRNA Pdia3 overexpression might ameliorate HG-induced ERS in podocytes.</w:t>
      </w:r>
    </w:p>
    <w:p w14:paraId="1C3DB4AB" w14:textId="77777777" w:rsidR="00FA4012" w:rsidRDefault="00FA4012">
      <w:pPr>
        <w:spacing w:line="360" w:lineRule="auto"/>
        <w:jc w:val="both"/>
        <w:rPr>
          <w:rFonts w:ascii="Book Antiqua" w:hAnsi="Book Antiqua"/>
        </w:rPr>
      </w:pPr>
    </w:p>
    <w:p w14:paraId="0648C217"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LncRNA Pdia3 regulated podocyte apoptosis by serving as a </w:t>
      </w:r>
      <w:proofErr w:type="spellStart"/>
      <w:r>
        <w:rPr>
          <w:rFonts w:ascii="Book Antiqua" w:eastAsia="Book Antiqua" w:hAnsi="Book Antiqua" w:cs="Book Antiqua"/>
          <w:b/>
          <w:bCs/>
          <w:i/>
          <w:iCs/>
          <w:color w:val="000000"/>
        </w:rPr>
        <w:t>ceRNA</w:t>
      </w:r>
      <w:proofErr w:type="spellEnd"/>
      <w:r>
        <w:rPr>
          <w:rFonts w:ascii="Book Antiqua" w:eastAsia="Book Antiqua" w:hAnsi="Book Antiqua" w:cs="Book Antiqua"/>
          <w:b/>
          <w:bCs/>
          <w:i/>
          <w:iCs/>
          <w:color w:val="000000"/>
        </w:rPr>
        <w:t xml:space="preserve"> of miR-139-3p</w:t>
      </w:r>
    </w:p>
    <w:p w14:paraId="304AA826"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Based on the </w:t>
      </w:r>
      <w:proofErr w:type="gramStart"/>
      <w:r>
        <w:rPr>
          <w:rFonts w:ascii="Book Antiqua" w:eastAsia="Book Antiqua" w:hAnsi="Book Antiqua" w:cs="Book Antiqua"/>
          <w:color w:val="000000"/>
        </w:rPr>
        <w:t>aforementioned results</w:t>
      </w:r>
      <w:proofErr w:type="gramEnd"/>
      <w:r>
        <w:rPr>
          <w:rFonts w:ascii="Book Antiqua" w:eastAsia="Book Antiqua" w:hAnsi="Book Antiqua" w:cs="Book Antiqua"/>
          <w:color w:val="000000"/>
        </w:rPr>
        <w:t xml:space="preserve">, we investigated how lncRNA Pdia3 regulated podocyte apoptosis. The subcellular localization of lncRNA Pdia3 was assessed using FISH under the assumption of the dependence of one lncRNA’s function on its subcellular distribution. As suggested by the subcellular fractionation results presented in Figure 3A, lncRNA Pdia3 was primarily expressed in the cytoplasm. Thus, we </w:t>
      </w:r>
      <w:r>
        <w:rPr>
          <w:rFonts w:ascii="Book Antiqua" w:eastAsia="Book Antiqua" w:hAnsi="Book Antiqua" w:cs="Book Antiqua"/>
          <w:color w:val="000000"/>
        </w:rPr>
        <w:lastRenderedPageBreak/>
        <w:t xml:space="preserve">speculated that lncRNA alleviated HG-induced podocyte apoptosis maybe by serving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Bioinformatics analysis revealed that miR-139-3p may be a possible target of lncRNA Pdia3. Figure 3B illustrated the binding sequence prediction of lncRNA Pdia3 and miR-139-3p. Moreover, the luciferase reporter assay demonstrated that lncRNA Pdia3-wt and miR-139-3p mimics co-transfection significantly decreased luciferase activity compared to lncRNA Pdia3-wt and NC mimics co-transfection. By contrast, no significant difference was observed when lncRNA Pdia3-mut was co-transfected with miR-139-3p mimics or NC mimics group (Figure 3C). Altogether, the dual luciferase reporter assay indicated that confirmed the </w:t>
      </w:r>
      <w:proofErr w:type="gramStart"/>
      <w:r>
        <w:rPr>
          <w:rFonts w:ascii="Book Antiqua" w:eastAsia="Book Antiqua" w:hAnsi="Book Antiqua" w:cs="Book Antiqua"/>
          <w:color w:val="000000"/>
        </w:rPr>
        <w:t>in silico</w:t>
      </w:r>
      <w:proofErr w:type="gramEnd"/>
      <w:r>
        <w:rPr>
          <w:rFonts w:ascii="Book Antiqua" w:eastAsia="Book Antiqua" w:hAnsi="Book Antiqua" w:cs="Book Antiqua"/>
          <w:color w:val="000000"/>
        </w:rPr>
        <w:t xml:space="preserve"> prediction of interaction between lncRNA Pdia3 and miR-139-3p.</w:t>
      </w:r>
    </w:p>
    <w:p w14:paraId="3B2191B2" w14:textId="77777777" w:rsidR="00FA4012" w:rsidRDefault="00FA4012">
      <w:pPr>
        <w:spacing w:line="360" w:lineRule="auto"/>
        <w:jc w:val="both"/>
        <w:rPr>
          <w:rFonts w:ascii="Book Antiqua" w:hAnsi="Book Antiqua"/>
        </w:rPr>
      </w:pPr>
    </w:p>
    <w:p w14:paraId="11DF35FB" w14:textId="77777777" w:rsidR="00FA4012" w:rsidRDefault="00000000">
      <w:pPr>
        <w:spacing w:line="360" w:lineRule="auto"/>
        <w:jc w:val="both"/>
        <w:rPr>
          <w:rFonts w:ascii="Book Antiqua" w:hAnsi="Book Antiqua"/>
        </w:rPr>
      </w:pPr>
      <w:r>
        <w:rPr>
          <w:rFonts w:ascii="Book Antiqua" w:eastAsia="Book Antiqua" w:hAnsi="Book Antiqua" w:cs="Book Antiqua"/>
          <w:b/>
          <w:bCs/>
          <w:i/>
          <w:iCs/>
          <w:color w:val="000000"/>
        </w:rPr>
        <w:t>Inhibition of miR-139-3p attenuated podocyte apoptosis and ERS in HG-cultured podocytes</w:t>
      </w:r>
    </w:p>
    <w:p w14:paraId="3B268945"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Subsequently, we investigated whether miR-139-3p participated in HG-induced podocyte apoptosis. According to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data, miR-139-3p expression was significantly increased in the HG group compared with that in the NG group, which was consistent with the result of RNA-seq.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results revealed the high transfection efficiency of miR-139-3p mimics (Figure 4A). After transfection with miR-139-3p inhibitors, miR-139-3p expression was significantly reduced (Figure 4B), indicating the successful silencing efficiency.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data depicted that miR-139-3p expression was increased in the NG + miR-139-3p mimics group compared with the NG + NC mimics group. The miR-139-3p expression was significantly decreased by miR-139-3p inhibitors transfection in HG-cultured podocytes (Figure 4C). CCK-8 then revealed that miR-139-3p overexpression by miR-139-3p mimics significantly decreased the cell viability of the NG-cultured podocytes. Further, miR-139-3p inhibition transfected by miR-139-3p inhibitors significantly increased the cell viability of the HG-cultured podocytes (Figure 4D). Furthermore, flow cytometry indicated that miR-139-3p overexpression significantly increased the podocyte apoptosis in NG-cultured podocytes. Inhibiting miR-139-3p reduced the podocyte apoptosis in HG-cultured podocytes (</w:t>
      </w:r>
      <w:bookmarkStart w:id="404" w:name="OLE_LINK7354"/>
      <w:bookmarkStart w:id="405" w:name="OLE_LINK7355"/>
      <w:r>
        <w:rPr>
          <w:rFonts w:ascii="Book Antiqua" w:eastAsia="Book Antiqua" w:hAnsi="Book Antiqua" w:cs="Book Antiqua"/>
          <w:color w:val="000000"/>
        </w:rPr>
        <w:t>Fig</w:t>
      </w:r>
      <w:bookmarkEnd w:id="404"/>
      <w:bookmarkEnd w:id="405"/>
      <w:r>
        <w:rPr>
          <w:rFonts w:ascii="Book Antiqua" w:eastAsia="Book Antiqua" w:hAnsi="Book Antiqua" w:cs="Book Antiqua"/>
          <w:color w:val="000000"/>
        </w:rPr>
        <w:t xml:space="preserve">ure </w:t>
      </w:r>
      <w:r>
        <w:rPr>
          <w:rFonts w:ascii="Book Antiqua" w:eastAsia="Book Antiqua" w:hAnsi="Book Antiqua" w:cs="Book Antiqua"/>
          <w:color w:val="000000"/>
        </w:rPr>
        <w:lastRenderedPageBreak/>
        <w:t xml:space="preserve">4E and F). </w:t>
      </w:r>
      <w:proofErr w:type="spellStart"/>
      <w:r>
        <w:rPr>
          <w:rFonts w:ascii="Book Antiqua" w:eastAsia="Book Antiqua" w:hAnsi="Book Antiqua" w:cs="Book Antiqua"/>
          <w:color w:val="000000"/>
        </w:rPr>
        <w:t>Additionalonly</w:t>
      </w:r>
      <w:proofErr w:type="spellEnd"/>
      <w:r>
        <w:rPr>
          <w:rFonts w:ascii="Book Antiqua" w:eastAsia="Book Antiqua" w:hAnsi="Book Antiqua" w:cs="Book Antiqua"/>
          <w:color w:val="000000"/>
        </w:rPr>
        <w:t xml:space="preserve">, immunofluorescence revealed that miR-139-3p overexpression significantly decreased podocin and </w:t>
      </w:r>
      <w:proofErr w:type="spellStart"/>
      <w:r>
        <w:rPr>
          <w:rFonts w:ascii="Book Antiqua" w:eastAsia="Book Antiqua" w:hAnsi="Book Antiqua" w:cs="Book Antiqua"/>
          <w:color w:val="000000"/>
        </w:rPr>
        <w:t>nephrin</w:t>
      </w:r>
      <w:proofErr w:type="spellEnd"/>
      <w:r>
        <w:rPr>
          <w:rFonts w:ascii="Book Antiqua" w:eastAsia="Book Antiqua" w:hAnsi="Book Antiqua" w:cs="Book Antiqua"/>
          <w:color w:val="000000"/>
        </w:rPr>
        <w:t xml:space="preserve"> expression in NG-cultured podocytes. By contrast, miR-139-3p inhibition greatly increased podocin and </w:t>
      </w:r>
      <w:proofErr w:type="spellStart"/>
      <w:r>
        <w:rPr>
          <w:rFonts w:ascii="Book Antiqua" w:eastAsia="Book Antiqua" w:hAnsi="Book Antiqua" w:cs="Book Antiqua"/>
          <w:color w:val="000000"/>
        </w:rPr>
        <w:t>nephrin</w:t>
      </w:r>
      <w:proofErr w:type="spellEnd"/>
      <w:r>
        <w:rPr>
          <w:rFonts w:ascii="Book Antiqua" w:eastAsia="Book Antiqua" w:hAnsi="Book Antiqua" w:cs="Book Antiqua"/>
          <w:color w:val="000000"/>
        </w:rPr>
        <w:t xml:space="preserve"> expression in HG-cultured podocytes (Figure 4G and H). These </w:t>
      </w:r>
      <w:proofErr w:type="gramStart"/>
      <w:r>
        <w:rPr>
          <w:rFonts w:ascii="Book Antiqua" w:eastAsia="Book Antiqua" w:hAnsi="Book Antiqua" w:cs="Book Antiqua"/>
          <w:color w:val="000000"/>
        </w:rPr>
        <w:t>aforementioned results</w:t>
      </w:r>
      <w:proofErr w:type="gramEnd"/>
      <w:r>
        <w:rPr>
          <w:rFonts w:ascii="Book Antiqua" w:eastAsia="Book Antiqua" w:hAnsi="Book Antiqua" w:cs="Book Antiqua"/>
          <w:color w:val="000000"/>
        </w:rPr>
        <w:t xml:space="preserve"> revealed the potential involvement of miR-139-3p in HG-induced podocyte apoptosis.</w:t>
      </w:r>
    </w:p>
    <w:p w14:paraId="506CE08D" w14:textId="77777777" w:rsidR="00FA4012"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Furthermore, </w:t>
      </w:r>
      <w:proofErr w:type="gramStart"/>
      <w:r>
        <w:rPr>
          <w:rFonts w:ascii="Book Antiqua" w:eastAsia="Book Antiqua" w:hAnsi="Book Antiqua" w:cs="Book Antiqua"/>
          <w:color w:val="000000"/>
        </w:rPr>
        <w:t>whether or not</w:t>
      </w:r>
      <w:proofErr w:type="gramEnd"/>
      <w:r>
        <w:rPr>
          <w:rFonts w:ascii="Book Antiqua" w:eastAsia="Book Antiqua" w:hAnsi="Book Antiqua" w:cs="Book Antiqua"/>
          <w:color w:val="000000"/>
        </w:rPr>
        <w:t xml:space="preserve"> miR-139-3p regulated HG-induced ERS was determined. MiR-139-3p overexpression significantly increased GRP78, CHOP, and caspase-12 levels in NG-cultured podocytes. After transfecting the podocytes with miR-139-3p inhibitors under the HG condition, miR-139-3p inhibition significantly reduced GRP78, CHOP, and caspase-12 levels (Figure 4I and J). These </w:t>
      </w:r>
      <w:proofErr w:type="gramStart"/>
      <w:r>
        <w:rPr>
          <w:rFonts w:ascii="Book Antiqua" w:eastAsia="Book Antiqua" w:hAnsi="Book Antiqua" w:cs="Book Antiqua"/>
          <w:color w:val="000000"/>
        </w:rPr>
        <w:t>aforementioned data</w:t>
      </w:r>
      <w:proofErr w:type="gramEnd"/>
      <w:r>
        <w:rPr>
          <w:rFonts w:ascii="Book Antiqua" w:eastAsia="Book Antiqua" w:hAnsi="Book Antiqua" w:cs="Book Antiqua"/>
          <w:color w:val="000000"/>
        </w:rPr>
        <w:t xml:space="preserve"> confirmed that miR-139-3p inhibition ameliorated HG-induced ERS in podocytes.</w:t>
      </w:r>
    </w:p>
    <w:p w14:paraId="7BEF5BCF" w14:textId="77777777" w:rsidR="00FA4012" w:rsidRDefault="00FA4012">
      <w:pPr>
        <w:spacing w:line="360" w:lineRule="auto"/>
        <w:ind w:firstLine="240"/>
        <w:jc w:val="both"/>
        <w:rPr>
          <w:rFonts w:ascii="Book Antiqua" w:hAnsi="Book Antiqua"/>
        </w:rPr>
      </w:pPr>
    </w:p>
    <w:p w14:paraId="28A20531" w14:textId="77777777" w:rsidR="00FA4012"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AADFF57"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Here, we focused on the function and underlying molecular mechanism of lncRNA Pdia3, which is a previously unidentified lncRNA, in hyperglycemia-induced podocyte apoptosis. Next, the interplay between lncRNA Pdia3 and miR-139-3p in podocytes during DN was investigated. LncRNA Pdia3 was significantly downregulated in the HG-cultured podocytes, where in HG simulated a DN microenvironment, compared with the NG-cultured podocytes. More importantly, lncRNA Pdia3 modulated ERS and podocyte apoptosis by serving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of miR-139-3p in DN. Therefore, we hypothesized that lncRNA Pdia3 was a novel podocyte apoptosis regulator through controlling ERS in DN.</w:t>
      </w:r>
    </w:p>
    <w:p w14:paraId="3029A4F1" w14:textId="77777777" w:rsidR="00FA4012" w:rsidRDefault="00000000">
      <w:pPr>
        <w:spacing w:line="360" w:lineRule="auto"/>
        <w:ind w:firstLine="240"/>
        <w:jc w:val="both"/>
        <w:rPr>
          <w:rFonts w:ascii="Book Antiqua" w:hAnsi="Book Antiqua"/>
        </w:rPr>
      </w:pPr>
      <w:r>
        <w:rPr>
          <w:rFonts w:ascii="Book Antiqua" w:eastAsia="Book Antiqua" w:hAnsi="Book Antiqua" w:cs="Book Antiqua"/>
          <w:color w:val="000000"/>
        </w:rPr>
        <w:t>LncRNA Pdia3 (</w:t>
      </w:r>
      <w:proofErr w:type="spellStart"/>
      <w:r>
        <w:rPr>
          <w:rFonts w:ascii="Book Antiqua" w:eastAsia="Book Antiqua" w:hAnsi="Book Antiqua" w:cs="Book Antiqua"/>
          <w:color w:val="000000"/>
        </w:rPr>
        <w:t>Ensembl</w:t>
      </w:r>
      <w:proofErr w:type="spellEnd"/>
      <w:r>
        <w:rPr>
          <w:rFonts w:ascii="Book Antiqua" w:eastAsia="Book Antiqua" w:hAnsi="Book Antiqua" w:cs="Book Antiqua"/>
          <w:color w:val="000000"/>
        </w:rPr>
        <w:t xml:space="preserve"> ID: ENSMUST00000153378), a 400 bp lncRNA, </w:t>
      </w:r>
      <w:proofErr w:type="gramStart"/>
      <w:r>
        <w:rPr>
          <w:rFonts w:ascii="Book Antiqua" w:eastAsia="Book Antiqua" w:hAnsi="Book Antiqua" w:cs="Book Antiqua"/>
          <w:color w:val="000000"/>
        </w:rPr>
        <w:t>is located in</w:t>
      </w:r>
      <w:proofErr w:type="gramEnd"/>
      <w:r>
        <w:rPr>
          <w:rFonts w:ascii="Book Antiqua" w:eastAsia="Book Antiqua" w:hAnsi="Book Antiqua" w:cs="Book Antiqua"/>
          <w:color w:val="000000"/>
        </w:rPr>
        <w:t xml:space="preserve"> chromosome 2 (chromosome 2: 121,244,364-121,255,082). In this study, lncRNA Pdia3 was first found to be involved in HG-induced podocyte apoptosis. In the HG-cultured podocytes, lncRNA Pdia3 expression was dramatically downregulated, which is relevant to podocyte apoptosis. Moreover, lncRNA Pdia3 overexpression with pcDNA3.1-lncRNA Pdia3 transfection significantly alleviated podocyte apoptosis in the HG-cultured podocytes. The crucial role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regulating the pathological processes of podocyte apoptosis in DN, such as PVT1</w:t>
      </w:r>
      <w:r>
        <w:rPr>
          <w:rFonts w:ascii="Book Antiqua" w:eastAsia="Book Antiqua" w:hAnsi="Book Antiqua" w:cs="Book Antiqua"/>
          <w:color w:val="000000"/>
          <w:vertAlign w:val="superscript"/>
        </w:rPr>
        <w:t>[19]</w:t>
      </w:r>
      <w:r>
        <w:rPr>
          <w:rFonts w:ascii="Book Antiqua" w:eastAsia="Book Antiqua" w:hAnsi="Book Antiqua" w:cs="Book Antiqua"/>
          <w:color w:val="000000"/>
        </w:rPr>
        <w:t>, lncRNA SPAG5 antisense RNA1 (SPAG5-</w:t>
      </w:r>
      <w:r>
        <w:rPr>
          <w:rFonts w:ascii="Book Antiqua" w:eastAsia="Book Antiqua" w:hAnsi="Book Antiqua" w:cs="Book Antiqua"/>
          <w:color w:val="000000"/>
        </w:rPr>
        <w:lastRenderedPageBreak/>
        <w:t>AS</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and lncRNA MIAT</w:t>
      </w:r>
      <w:r>
        <w:rPr>
          <w:rFonts w:ascii="Book Antiqua" w:eastAsia="Book Antiqua" w:hAnsi="Book Antiqua" w:cs="Book Antiqua"/>
          <w:color w:val="000000"/>
          <w:vertAlign w:val="superscript"/>
        </w:rPr>
        <w:t>[21]</w:t>
      </w:r>
      <w:r>
        <w:rPr>
          <w:rFonts w:ascii="Book Antiqua" w:eastAsia="Book Antiqua" w:hAnsi="Book Antiqua" w:cs="Book Antiqua"/>
          <w:color w:val="000000"/>
        </w:rPr>
        <w:t>, has been confirmed. In our study, lncRNA Pdia3 was first proved to exert a protective effect against podocyte apoptosis.</w:t>
      </w:r>
    </w:p>
    <w:p w14:paraId="48A98073" w14:textId="77777777" w:rsidR="00FA4012"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Notably, lncRNA Pdia3 may be associated with HG-induced ERS. The ER is a key intracellular organelle with multiple functions, which is responsible for protein production, folding, processing, and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as well as intracellular calcium storage and lipid production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Newly synthesized proteins are properly folded and structurally corrected in the ER, and then transported to the Golgi apparatus. These folded proteins functioned as secretory or membrane proteins. Thus, maintaining ER homeostasis is crucial for cell survival, differentiation, development,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Acute and chronic hyperglycemia disrupts ER homeostasis, causing unfolded protein accumulation in the ER, which is known as </w:t>
      </w:r>
      <w:proofErr w:type="gramStart"/>
      <w:r>
        <w:rPr>
          <w:rFonts w:ascii="Book Antiqua" w:eastAsia="Book Antiqua" w:hAnsi="Book Antiqua" w:cs="Book Antiqua"/>
          <w:color w:val="000000"/>
        </w:rPr>
        <w:t>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UPR prevents misfolded protein overloading and restores ER homeostasis. ERS can result in cell death or apoptosis if the UPR system fails to restore the ER </w:t>
      </w:r>
      <w:proofErr w:type="gramStart"/>
      <w:r>
        <w:rPr>
          <w:rFonts w:ascii="Book Antiqua" w:eastAsia="Book Antiqua" w:hAnsi="Book Antiqua" w:cs="Book Antiqua"/>
          <w:color w:val="000000"/>
        </w:rPr>
        <w:t>balance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Emerging evidence has revealed the crucial role of ERS in regulating DN-related pathological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ER chaperone protein, GRP78, assists with the proper folding and assembly of proteins as a master modulator for UPR. Under ERS, GRP78 preferentially binds to misfolded or unfolded proteins and targets misfolded proteins for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Prolonged or intense stress has induced cell apoptosis by activating various apoptotic pathways, such as caspase-12 and CHOP. LncRNA Pdia3 silencing through siRNA-lncRNA Pdia3 transfection dramatically aggravated ERS in the NG-cultured podocytes in our study, including increasing caspase-12 and CHOP expression. In contrast, lncRNA Pdia3 overexpression through pcDNA3.1-lncRNA Pdia3 transfection dramatically alleviated ERS in the HG-cultured podocytes, including decreasing CHOP and caspase-12 expression. The results revealed that lncRNA Pdia3 overexpression ameliorated podocyte apoptosis by alleviating ERS. Several studies have extensively evaluated the relationship between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podocyte apoptosis, such as lncRNA 1500026H17</w:t>
      </w:r>
      <w:proofErr w:type="gramStart"/>
      <w:r>
        <w:rPr>
          <w:rFonts w:ascii="Book Antiqua" w:eastAsia="Book Antiqua" w:hAnsi="Book Antiqua" w:cs="Book Antiqua"/>
          <w:color w:val="000000"/>
        </w:rPr>
        <w:t>Rik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KCNQ1OT1</w:t>
      </w:r>
      <w:r>
        <w:rPr>
          <w:rFonts w:ascii="Book Antiqua" w:eastAsia="Book Antiqua" w:hAnsi="Book Antiqua" w:cs="Book Antiqua"/>
          <w:color w:val="000000"/>
          <w:vertAlign w:val="superscript"/>
        </w:rPr>
        <w:t>[28]</w:t>
      </w:r>
      <w:r>
        <w:rPr>
          <w:rFonts w:ascii="Book Antiqua" w:eastAsia="Book Antiqua" w:hAnsi="Book Antiqua" w:cs="Book Antiqua"/>
          <w:color w:val="000000"/>
        </w:rPr>
        <w:t>, CDKN2B-AS1</w:t>
      </w:r>
      <w:r>
        <w:rPr>
          <w:rFonts w:ascii="Book Antiqua" w:eastAsia="Book Antiqua" w:hAnsi="Book Antiqua" w:cs="Book Antiqua"/>
          <w:color w:val="000000"/>
          <w:vertAlign w:val="superscript"/>
        </w:rPr>
        <w:t>[29]</w:t>
      </w:r>
      <w:r>
        <w:rPr>
          <w:rFonts w:ascii="Book Antiqua" w:eastAsia="Book Antiqua" w:hAnsi="Book Antiqua" w:cs="Book Antiqua"/>
          <w:color w:val="000000"/>
        </w:rPr>
        <w:t>, lncRNA Hoxb3os</w:t>
      </w:r>
      <w:r>
        <w:rPr>
          <w:rFonts w:ascii="Book Antiqua" w:eastAsia="Book Antiqua" w:hAnsi="Book Antiqua" w:cs="Book Antiqua"/>
          <w:color w:val="000000"/>
          <w:vertAlign w:val="superscript"/>
        </w:rPr>
        <w:t>[30]</w:t>
      </w:r>
      <w:r>
        <w:rPr>
          <w:rFonts w:ascii="Book Antiqua" w:eastAsia="Book Antiqua" w:hAnsi="Book Antiqua" w:cs="Book Antiqua"/>
          <w:color w:val="000000"/>
        </w:rPr>
        <w:t>, and lncRNA XIST</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However, only a few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such as lncRNA TCF7</w:t>
      </w:r>
      <w:r>
        <w:rPr>
          <w:rFonts w:ascii="Book Antiqua" w:eastAsia="Book Antiqua" w:hAnsi="Book Antiqua" w:cs="Book Antiqua"/>
          <w:color w:val="000000"/>
          <w:vertAlign w:val="superscript"/>
        </w:rPr>
        <w:t>[32]</w:t>
      </w:r>
      <w:r>
        <w:rPr>
          <w:rFonts w:ascii="Book Antiqua" w:eastAsia="Book Antiqua" w:hAnsi="Book Antiqua" w:cs="Book Antiqua"/>
          <w:color w:val="000000"/>
        </w:rPr>
        <w:t>, LINC01619</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and lncRNA TUG1</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have been reported to be associated with ERS in podocyte apoptosis. LncRNA Pdia3, which is a previously </w:t>
      </w:r>
      <w:r>
        <w:rPr>
          <w:rFonts w:ascii="Book Antiqua" w:eastAsia="Book Antiqua" w:hAnsi="Book Antiqua" w:cs="Book Antiqua"/>
          <w:color w:val="000000"/>
        </w:rPr>
        <w:lastRenderedPageBreak/>
        <w:t>unidentified lncRNA, was confirmed to be a critical regulator of ERS in podocyte apoptosis. LncRNA Pdia3 may become a prospective therapeutic approach for DN prevention or treatment in the future.</w:t>
      </w:r>
    </w:p>
    <w:p w14:paraId="29B19FE2" w14:textId="77777777" w:rsidR="00FA4012"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target-mimetic, sponge/decoy function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on miRNAs recently gained widespread research </w:t>
      </w:r>
      <w:proofErr w:type="gramStart"/>
      <w:r>
        <w:rPr>
          <w:rFonts w:ascii="Book Antiqua" w:eastAsia="Book Antiqua" w:hAnsi="Book Antiqua" w:cs="Book Antiqua"/>
          <w:color w:val="000000"/>
        </w:rPr>
        <w:t>attention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miRNAs are a class of small noncoding single stranded RNAs of approximately 20-22 nucleotides. These miRNAs negatively modulate gene expression by binding to the target mRNA and subsequently inducing its degradation or suppressing protein </w:t>
      </w:r>
      <w:proofErr w:type="gramStart"/>
      <w:r>
        <w:rPr>
          <w:rFonts w:ascii="Book Antiqua" w:eastAsia="Book Antiqua" w:hAnsi="Book Antiqua" w:cs="Book Antiqua"/>
          <w:color w:val="000000"/>
        </w:rPr>
        <w:t>translation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served as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of miRNA to competitively occupy the shared miRNA binding sequences, thereby causing the modulation of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Previous studies have elucidated the association between lncRNA and miRNA that is involved in DN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37,38]</w:t>
      </w:r>
      <w:r>
        <w:rPr>
          <w:rFonts w:ascii="Book Antiqua" w:eastAsia="Book Antiqua" w:hAnsi="Book Antiqua" w:cs="Book Antiqua"/>
          <w:color w:val="000000"/>
        </w:rPr>
        <w:t xml:space="preserve">, which was a vital action mechanism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This study revealed that lncRNA Pdia3 overexpression or miR-139-3p inhibition alleviated ERS and podocyte apoptosis in the HG-cultured podocytes, including a decrease in caspase-12 and CHOP expression. Furthermore, the dual luciferase reporter assay verified that lncRNA Pdia3 directly interacts with miR-139-3p. These </w:t>
      </w:r>
      <w:proofErr w:type="gramStart"/>
      <w:r>
        <w:rPr>
          <w:rFonts w:ascii="Book Antiqua" w:eastAsia="Book Antiqua" w:hAnsi="Book Antiqua" w:cs="Book Antiqua"/>
          <w:color w:val="000000"/>
        </w:rPr>
        <w:t>aforementioned results</w:t>
      </w:r>
      <w:proofErr w:type="gramEnd"/>
      <w:r>
        <w:rPr>
          <w:rFonts w:ascii="Book Antiqua" w:eastAsia="Book Antiqua" w:hAnsi="Book Antiqua" w:cs="Book Antiqua"/>
          <w:color w:val="000000"/>
        </w:rPr>
        <w:t xml:space="preserve"> indicated the importance of lncRNA Pdia3 for preventing HG-induced podocyte apoptosis. LncRNA Pdia3 overexpression alleviated HG-induced podocyte injury and ERS by serving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of miR-139-3p.</w:t>
      </w:r>
    </w:p>
    <w:p w14:paraId="1E4F6E5B" w14:textId="77777777" w:rsidR="00FA4012" w:rsidRDefault="00FA4012">
      <w:pPr>
        <w:spacing w:line="360" w:lineRule="auto"/>
        <w:ind w:firstLine="240"/>
        <w:jc w:val="both"/>
        <w:rPr>
          <w:rFonts w:ascii="Book Antiqua" w:hAnsi="Book Antiqua"/>
        </w:rPr>
      </w:pPr>
    </w:p>
    <w:p w14:paraId="684956F2" w14:textId="77777777" w:rsidR="00FA4012"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0998377"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In conclusion, our study provided evidence that lncRNA Pdia3 downregulation is a significant contributing factor for podocyte apoptosis in DN. LncRNA Pdia3 downregulation could induce ERS and podocyte injury by serving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of miR-139-3p, thereby leading to DN progression (Figure 5). Thus, lncRNA Pdia3 played a substantial role in podocyte apoptosis in DN. So, it might act as a potential therapeutic target and offer an alternative therapy for DN. However, the current study had some limitations. Our study used glucose concentrations (25 mmol/L) to mimic hyperglycemic conditions in podocytes, which might not completely reflect the complex situation in DN patients. In addition, our experiment was conducted by using only mouse podocytes, </w:t>
      </w:r>
      <w:r>
        <w:rPr>
          <w:rFonts w:ascii="Book Antiqua" w:eastAsia="Book Antiqua" w:hAnsi="Book Antiqua" w:cs="Book Antiqua"/>
          <w:color w:val="000000"/>
        </w:rPr>
        <w:lastRenderedPageBreak/>
        <w:t xml:space="preserve">which might restrict the generalization of the study results. According to their unique genetics, different cell types might respond differently to the same treatment. Whether the findings obtained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can be applied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DN needs to be further investigated. We intend to detect the expression and underlying molecular mechanism of lncRNA Pdia3 in DN patients. Our study found that inhibition of miR-139-3p significantly reduced ERS. How does miR-139-3p act on ERS needs to be further investigated. The goal of our research is to produce knowledge that can be applied as widely as possible.</w:t>
      </w:r>
    </w:p>
    <w:p w14:paraId="7C55483D" w14:textId="77777777" w:rsidR="00FA4012" w:rsidRDefault="00FA4012">
      <w:pPr>
        <w:spacing w:line="360" w:lineRule="auto"/>
        <w:jc w:val="both"/>
        <w:rPr>
          <w:rFonts w:ascii="Book Antiqua" w:hAnsi="Book Antiqua"/>
        </w:rPr>
      </w:pPr>
    </w:p>
    <w:p w14:paraId="6EC14E75" w14:textId="77777777" w:rsidR="00FA4012"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8EBD9EA" w14:textId="77777777" w:rsidR="00FA4012"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5B139FC7"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Podocyte apoptosis plays a vital role in proteinuria pathogenesis in diabetic nephropathy (DN). The regulatory relationship between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podocyte apoptosis has recently become another research hot spot in the DN field.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a potential therapeutic target for alleviating DN development to search for novel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alter the expression of specific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w:t>
      </w:r>
    </w:p>
    <w:p w14:paraId="1AE570DC" w14:textId="77777777" w:rsidR="00FA4012" w:rsidRDefault="00FA4012">
      <w:pPr>
        <w:spacing w:line="360" w:lineRule="auto"/>
        <w:jc w:val="both"/>
        <w:rPr>
          <w:rFonts w:ascii="Book Antiqua" w:hAnsi="Book Antiqua"/>
        </w:rPr>
      </w:pPr>
    </w:p>
    <w:p w14:paraId="6F275A0C" w14:textId="77777777" w:rsidR="00FA4012"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53B66C0E"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We here investigated lncRNA expression profiles and the associated competing endogenous RNA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using high-throughput RNA-sequencing (RNA-seq) technologies in normal glucose (5.5 mmol/L, NG group) and high glucose (25 mmol/L, HG group) cultured mouse podocytes. Then, Gene Ontology (GO) and Kyoto Encyclopedia of Genes and Genomes (KEGG) pathway analyses were conducted to determine the function of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w:t>
      </w:r>
    </w:p>
    <w:p w14:paraId="185C2BEE" w14:textId="77777777" w:rsidR="00FA4012" w:rsidRDefault="00FA4012">
      <w:pPr>
        <w:spacing w:line="360" w:lineRule="auto"/>
        <w:jc w:val="both"/>
        <w:rPr>
          <w:rFonts w:ascii="Book Antiqua" w:hAnsi="Book Antiqua"/>
        </w:rPr>
      </w:pPr>
    </w:p>
    <w:p w14:paraId="230E10F2" w14:textId="77777777" w:rsidR="00FA4012"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6DACD254"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The present study investigated the function and underlying molecular mechanism of novel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endoplasmic reticulum stress (ERS)-podocyte apoptosis, providing the hope of developing a new and effective therapeutic strategy against DN.</w:t>
      </w:r>
    </w:p>
    <w:p w14:paraId="1A0DC61F" w14:textId="77777777" w:rsidR="00FA4012" w:rsidRDefault="00FA4012">
      <w:pPr>
        <w:spacing w:line="360" w:lineRule="auto"/>
        <w:jc w:val="both"/>
        <w:rPr>
          <w:rFonts w:ascii="Book Antiqua" w:hAnsi="Book Antiqua"/>
        </w:rPr>
      </w:pPr>
    </w:p>
    <w:p w14:paraId="1D76526E" w14:textId="77777777" w:rsidR="00FA4012"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methods</w:t>
      </w:r>
    </w:p>
    <w:p w14:paraId="5F44FE28"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Using NG or HG-cultured podocytes, the cellular functions and exact mechanisms underlying the regulatory effects of lncRNA </w:t>
      </w:r>
      <w:r>
        <w:rPr>
          <w:rFonts w:ascii="Book Antiqua" w:eastAsia="Book Antiqua" w:hAnsi="Book Antiqua" w:cs="Book Antiqua"/>
        </w:rPr>
        <w:t>protein-disulfide isomerase-associated 3 (Pdia3)</w:t>
      </w:r>
      <w:r>
        <w:rPr>
          <w:rFonts w:ascii="Book Antiqua" w:eastAsia="Book Antiqua" w:hAnsi="Book Antiqua" w:cs="Book Antiqua"/>
          <w:color w:val="000000"/>
        </w:rPr>
        <w:t xml:space="preserve"> on podocyte apoptosis and ERS were explored. LncRNA Pdia3 and miR-139-3p expression were measured through quantitative real-time polymerase chain reaction. Relative cell viability was detected through the cell counting kit-8 colorimetric assay. The podocyte apoptosis rate in each group was measured through flow cytometry. The interaction between lncRNA Pdia3 and miR-139-3p was examined through the dual luciferase reporter assay. Finally, western blotting was performed to detect the effect of lncRNA Pdia3 on podocyte apoptosis and ERS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miR-139-3p.</w:t>
      </w:r>
    </w:p>
    <w:p w14:paraId="74D72735" w14:textId="77777777" w:rsidR="00FA4012" w:rsidRDefault="00FA4012">
      <w:pPr>
        <w:spacing w:line="360" w:lineRule="auto"/>
        <w:jc w:val="both"/>
        <w:rPr>
          <w:rFonts w:ascii="Book Antiqua" w:hAnsi="Book Antiqua"/>
        </w:rPr>
      </w:pPr>
    </w:p>
    <w:p w14:paraId="7D0824EB" w14:textId="77777777" w:rsidR="00FA4012"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C7D5790"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LncRNA Pdia3 was down-expressed in HG-cultured podocytes. LncRNA Pdia3 overexpression attenuated podocyte apoptosis and ERS in HG-cultured podocytes. LncRNA Pdia3 regulated podocyte apoptosis by serving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of miR-139-3p. Inhibition of miR-139-3p attenuated podocyte apoptosis and ERS in HG-cultured podocytes.</w:t>
      </w:r>
    </w:p>
    <w:p w14:paraId="2F950375" w14:textId="77777777" w:rsidR="00FA4012" w:rsidRDefault="00FA4012">
      <w:pPr>
        <w:spacing w:line="360" w:lineRule="auto"/>
        <w:jc w:val="both"/>
        <w:rPr>
          <w:rFonts w:ascii="Book Antiqua" w:hAnsi="Book Antiqua"/>
        </w:rPr>
      </w:pPr>
    </w:p>
    <w:p w14:paraId="02B278AC" w14:textId="77777777" w:rsidR="00FA4012"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3CC17CF"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This study provided evidence that lncRNA Pdia3 downregulation is a significant contributing factor for podocyte apoptosis in DN. LncRNA Pdia3 downregulation could induce ERS and podocyte injury by serving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of miR-139-3p, thereby leading to DN progression.</w:t>
      </w:r>
    </w:p>
    <w:p w14:paraId="17BA11F5" w14:textId="77777777" w:rsidR="00FA4012" w:rsidRDefault="00FA4012">
      <w:pPr>
        <w:spacing w:line="360" w:lineRule="auto"/>
        <w:jc w:val="both"/>
        <w:rPr>
          <w:rFonts w:ascii="Book Antiqua" w:hAnsi="Book Antiqua"/>
        </w:rPr>
      </w:pPr>
    </w:p>
    <w:p w14:paraId="584F9F7F" w14:textId="77777777" w:rsidR="00FA4012"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01A6AD86" w14:textId="77777777" w:rsidR="00FA4012" w:rsidRDefault="00000000">
      <w:pPr>
        <w:spacing w:line="360" w:lineRule="auto"/>
        <w:jc w:val="both"/>
        <w:rPr>
          <w:rFonts w:ascii="Book Antiqua" w:hAnsi="Book Antiqua"/>
        </w:rPr>
      </w:pPr>
      <w:r>
        <w:rPr>
          <w:rFonts w:ascii="Book Antiqua" w:eastAsia="Book Antiqua" w:hAnsi="Book Antiqua" w:cs="Book Antiqua"/>
          <w:color w:val="000000"/>
        </w:rPr>
        <w:t xml:space="preserve">In the future, whether the findings obtained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can be applied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DN needs to be investigated. We intend to detect the expression and underlying molecular mechanism of lncRNA Pdia3 in DN patients.</w:t>
      </w:r>
    </w:p>
    <w:p w14:paraId="725B8DBF" w14:textId="77777777" w:rsidR="00FA4012" w:rsidRDefault="00FA4012">
      <w:pPr>
        <w:spacing w:line="360" w:lineRule="auto"/>
        <w:jc w:val="both"/>
        <w:rPr>
          <w:rFonts w:ascii="Book Antiqua" w:hAnsi="Book Antiqua"/>
        </w:rPr>
      </w:pPr>
    </w:p>
    <w:p w14:paraId="3D59CEB3"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395B8737" w14:textId="77777777" w:rsidR="00FA4012" w:rsidRDefault="00000000">
      <w:pPr>
        <w:spacing w:line="360" w:lineRule="auto"/>
        <w:jc w:val="both"/>
        <w:rPr>
          <w:rFonts w:ascii="Book Antiqua" w:hAnsi="Book Antiqua"/>
        </w:rPr>
      </w:pPr>
      <w:bookmarkStart w:id="406" w:name="OLE_LINK7352"/>
      <w:bookmarkStart w:id="407" w:name="OLE_LINK7353"/>
      <w:r>
        <w:rPr>
          <w:rFonts w:ascii="Book Antiqua" w:hAnsi="Book Antiqua"/>
        </w:rPr>
        <w:t xml:space="preserve">1 </w:t>
      </w:r>
      <w:proofErr w:type="spellStart"/>
      <w:r>
        <w:rPr>
          <w:rFonts w:ascii="Book Antiqua" w:hAnsi="Book Antiqua"/>
          <w:b/>
          <w:bCs/>
        </w:rPr>
        <w:t>Gnudi</w:t>
      </w:r>
      <w:proofErr w:type="spellEnd"/>
      <w:r>
        <w:rPr>
          <w:rFonts w:ascii="Book Antiqua" w:hAnsi="Book Antiqua"/>
          <w:b/>
          <w:bCs/>
        </w:rPr>
        <w:t xml:space="preserve"> L</w:t>
      </w:r>
      <w:r>
        <w:rPr>
          <w:rFonts w:ascii="Book Antiqua" w:hAnsi="Book Antiqua"/>
        </w:rPr>
        <w:t xml:space="preserve">, Coward RJM, Long DA. Diabetic Nephropathy: Perspective on Novel Molecular Mechanisms. </w:t>
      </w:r>
      <w:r>
        <w:rPr>
          <w:rFonts w:ascii="Book Antiqua" w:hAnsi="Book Antiqua"/>
          <w:i/>
          <w:iCs/>
        </w:rPr>
        <w:t xml:space="preserve">Trends Endocrinol </w:t>
      </w:r>
      <w:proofErr w:type="spellStart"/>
      <w:r>
        <w:rPr>
          <w:rFonts w:ascii="Book Antiqua" w:hAnsi="Book Antiqua"/>
          <w:i/>
          <w:iCs/>
        </w:rPr>
        <w:t>Metab</w:t>
      </w:r>
      <w:proofErr w:type="spellEnd"/>
      <w:r>
        <w:rPr>
          <w:rFonts w:ascii="Book Antiqua" w:hAnsi="Book Antiqua"/>
        </w:rPr>
        <w:t xml:space="preserve"> 2016; </w:t>
      </w:r>
      <w:r>
        <w:rPr>
          <w:rFonts w:ascii="Book Antiqua" w:hAnsi="Book Antiqua"/>
          <w:b/>
          <w:bCs/>
        </w:rPr>
        <w:t>27</w:t>
      </w:r>
      <w:r>
        <w:rPr>
          <w:rFonts w:ascii="Book Antiqua" w:hAnsi="Book Antiqua"/>
        </w:rPr>
        <w:t>: 820-830 [PMID: 27470431 DOI: 10.1016/j.tem.2016.07.002]</w:t>
      </w:r>
    </w:p>
    <w:p w14:paraId="075F08D3" w14:textId="77777777" w:rsidR="00FA4012"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Talas ZS</w:t>
      </w:r>
      <w:r>
        <w:rPr>
          <w:rFonts w:ascii="Book Antiqua" w:hAnsi="Book Antiqua"/>
        </w:rPr>
        <w:t xml:space="preserve">, </w:t>
      </w:r>
      <w:proofErr w:type="spellStart"/>
      <w:r>
        <w:rPr>
          <w:rFonts w:ascii="Book Antiqua" w:hAnsi="Book Antiqua"/>
        </w:rPr>
        <w:t>Ozdemir</w:t>
      </w:r>
      <w:proofErr w:type="spellEnd"/>
      <w:r>
        <w:rPr>
          <w:rFonts w:ascii="Book Antiqua" w:hAnsi="Book Antiqua"/>
        </w:rPr>
        <w:t xml:space="preserve"> I, Yilmaz I, Gok Y. Antioxidative effects of novel synthetic </w:t>
      </w:r>
      <w:proofErr w:type="spellStart"/>
      <w:r>
        <w:rPr>
          <w:rFonts w:ascii="Book Antiqua" w:hAnsi="Book Antiqua"/>
        </w:rPr>
        <w:t>organoselenium</w:t>
      </w:r>
      <w:proofErr w:type="spellEnd"/>
      <w:r>
        <w:rPr>
          <w:rFonts w:ascii="Book Antiqua" w:hAnsi="Book Antiqua"/>
        </w:rPr>
        <w:t xml:space="preserve"> compound in rat lung and kidney. </w:t>
      </w:r>
      <w:proofErr w:type="spellStart"/>
      <w:r>
        <w:rPr>
          <w:rFonts w:ascii="Book Antiqua" w:hAnsi="Book Antiqua"/>
          <w:i/>
          <w:iCs/>
        </w:rPr>
        <w:t>Ecotoxicol</w:t>
      </w:r>
      <w:proofErr w:type="spellEnd"/>
      <w:r>
        <w:rPr>
          <w:rFonts w:ascii="Book Antiqua" w:hAnsi="Book Antiqua"/>
          <w:i/>
          <w:iCs/>
        </w:rPr>
        <w:t xml:space="preserve"> Environ </w:t>
      </w:r>
      <w:proofErr w:type="spellStart"/>
      <w:r>
        <w:rPr>
          <w:rFonts w:ascii="Book Antiqua" w:hAnsi="Book Antiqua"/>
          <w:i/>
          <w:iCs/>
        </w:rPr>
        <w:t>Saf</w:t>
      </w:r>
      <w:proofErr w:type="spellEnd"/>
      <w:r>
        <w:rPr>
          <w:rFonts w:ascii="Book Antiqua" w:hAnsi="Book Antiqua"/>
        </w:rPr>
        <w:t xml:space="preserve"> 2009; </w:t>
      </w:r>
      <w:r>
        <w:rPr>
          <w:rFonts w:ascii="Book Antiqua" w:hAnsi="Book Antiqua"/>
          <w:b/>
          <w:bCs/>
        </w:rPr>
        <w:t>72</w:t>
      </w:r>
      <w:r>
        <w:rPr>
          <w:rFonts w:ascii="Book Antiqua" w:hAnsi="Book Antiqua"/>
        </w:rPr>
        <w:t>: 916-921 [PMID: 18222543 DOI: 10.1016/j.ecoenv.2007.11.012]</w:t>
      </w:r>
    </w:p>
    <w:p w14:paraId="63E230D6" w14:textId="77777777" w:rsidR="00FA4012"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Talas ZS</w:t>
      </w:r>
      <w:r>
        <w:rPr>
          <w:rFonts w:ascii="Book Antiqua" w:hAnsi="Book Antiqua"/>
        </w:rPr>
        <w:t xml:space="preserve">, </w:t>
      </w:r>
      <w:proofErr w:type="spellStart"/>
      <w:r>
        <w:rPr>
          <w:rFonts w:ascii="Book Antiqua" w:hAnsi="Book Antiqua"/>
        </w:rPr>
        <w:t>Ozdemir</w:t>
      </w:r>
      <w:proofErr w:type="spellEnd"/>
      <w:r>
        <w:rPr>
          <w:rFonts w:ascii="Book Antiqua" w:hAnsi="Book Antiqua"/>
        </w:rPr>
        <w:t xml:space="preserve"> I, </w:t>
      </w:r>
      <w:proofErr w:type="spellStart"/>
      <w:r>
        <w:rPr>
          <w:rFonts w:ascii="Book Antiqua" w:hAnsi="Book Antiqua"/>
        </w:rPr>
        <w:t>Ciftci</w:t>
      </w:r>
      <w:proofErr w:type="spellEnd"/>
      <w:r>
        <w:rPr>
          <w:rFonts w:ascii="Book Antiqua" w:hAnsi="Book Antiqua"/>
        </w:rPr>
        <w:t xml:space="preserve"> O, Cakir O, </w:t>
      </w:r>
      <w:proofErr w:type="spellStart"/>
      <w:r>
        <w:rPr>
          <w:rFonts w:ascii="Book Antiqua" w:hAnsi="Book Antiqua"/>
        </w:rPr>
        <w:t>Gulhan</w:t>
      </w:r>
      <w:proofErr w:type="spellEnd"/>
      <w:r>
        <w:rPr>
          <w:rFonts w:ascii="Book Antiqua" w:hAnsi="Book Antiqua"/>
        </w:rPr>
        <w:t xml:space="preserve"> MF, </w:t>
      </w:r>
      <w:proofErr w:type="spellStart"/>
      <w:r>
        <w:rPr>
          <w:rFonts w:ascii="Book Antiqua" w:hAnsi="Book Antiqua"/>
        </w:rPr>
        <w:t>Pasaoglu</w:t>
      </w:r>
      <w:proofErr w:type="spellEnd"/>
      <w:r>
        <w:rPr>
          <w:rFonts w:ascii="Book Antiqua" w:hAnsi="Book Antiqua"/>
        </w:rPr>
        <w:t xml:space="preserve"> OM. Role of propolis on biochemical parameters in kidney and heart tissues against L-NAME induced oxidative injury in rats. </w:t>
      </w:r>
      <w:r>
        <w:rPr>
          <w:rFonts w:ascii="Book Antiqua" w:hAnsi="Book Antiqua"/>
          <w:i/>
          <w:iCs/>
        </w:rPr>
        <w:t xml:space="preserve">Clin Exp </w:t>
      </w:r>
      <w:proofErr w:type="spellStart"/>
      <w:r>
        <w:rPr>
          <w:rFonts w:ascii="Book Antiqua" w:hAnsi="Book Antiqua"/>
          <w:i/>
          <w:iCs/>
        </w:rPr>
        <w:t>Hypertens</w:t>
      </w:r>
      <w:proofErr w:type="spellEnd"/>
      <w:r>
        <w:rPr>
          <w:rFonts w:ascii="Book Antiqua" w:hAnsi="Book Antiqua"/>
        </w:rPr>
        <w:t xml:space="preserve"> 2014; </w:t>
      </w:r>
      <w:r>
        <w:rPr>
          <w:rFonts w:ascii="Book Antiqua" w:hAnsi="Book Antiqua"/>
          <w:b/>
          <w:bCs/>
        </w:rPr>
        <w:t>36</w:t>
      </w:r>
      <w:r>
        <w:rPr>
          <w:rFonts w:ascii="Book Antiqua" w:hAnsi="Book Antiqua"/>
        </w:rPr>
        <w:t>: 492-496 [PMID: 24490594 DOI: 10.3109/10641963.2013.863322]</w:t>
      </w:r>
    </w:p>
    <w:p w14:paraId="777865B2" w14:textId="77777777" w:rsidR="00FA4012"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Dai H</w:t>
      </w:r>
      <w:r>
        <w:rPr>
          <w:rFonts w:ascii="Book Antiqua" w:hAnsi="Book Antiqua"/>
        </w:rPr>
        <w:t xml:space="preserve">, Liu Q, Liu B. Research Progress on Mechanism of Podocyte Depletion in Diabetic Nephropathy. </w:t>
      </w:r>
      <w:r>
        <w:rPr>
          <w:rFonts w:ascii="Book Antiqua" w:hAnsi="Book Antiqua"/>
          <w:i/>
          <w:iCs/>
        </w:rPr>
        <w:t>J Diabetes Res</w:t>
      </w:r>
      <w:r>
        <w:rPr>
          <w:rFonts w:ascii="Book Antiqua" w:hAnsi="Book Antiqua"/>
        </w:rPr>
        <w:t xml:space="preserve"> 2017; </w:t>
      </w:r>
      <w:r>
        <w:rPr>
          <w:rFonts w:ascii="Book Antiqua" w:hAnsi="Book Antiqua"/>
          <w:b/>
          <w:bCs/>
        </w:rPr>
        <w:t>2017</w:t>
      </w:r>
      <w:r>
        <w:rPr>
          <w:rFonts w:ascii="Book Antiqua" w:hAnsi="Book Antiqua"/>
        </w:rPr>
        <w:t>: 2615286 [PMID: 28791309 DOI: 10.1155/2017/2615286]</w:t>
      </w:r>
    </w:p>
    <w:p w14:paraId="60E24357" w14:textId="77777777" w:rsidR="00FA4012"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Tagawa A</w:t>
      </w:r>
      <w:r>
        <w:rPr>
          <w:rFonts w:ascii="Book Antiqua" w:hAnsi="Book Antiqua"/>
        </w:rPr>
        <w:t xml:space="preserve">, Yasuda M, </w:t>
      </w:r>
      <w:proofErr w:type="spellStart"/>
      <w:r>
        <w:rPr>
          <w:rFonts w:ascii="Book Antiqua" w:hAnsi="Book Antiqua"/>
        </w:rPr>
        <w:t>Kume</w:t>
      </w:r>
      <w:proofErr w:type="spellEnd"/>
      <w:r>
        <w:rPr>
          <w:rFonts w:ascii="Book Antiqua" w:hAnsi="Book Antiqua"/>
        </w:rPr>
        <w:t xml:space="preserve"> S, </w:t>
      </w:r>
      <w:proofErr w:type="spellStart"/>
      <w:r>
        <w:rPr>
          <w:rFonts w:ascii="Book Antiqua" w:hAnsi="Book Antiqua"/>
        </w:rPr>
        <w:t>Yamahara</w:t>
      </w:r>
      <w:proofErr w:type="spellEnd"/>
      <w:r>
        <w:rPr>
          <w:rFonts w:ascii="Book Antiqua" w:hAnsi="Book Antiqua"/>
        </w:rPr>
        <w:t xml:space="preserve"> K, Nakazawa J, Chin-</w:t>
      </w:r>
      <w:proofErr w:type="spellStart"/>
      <w:r>
        <w:rPr>
          <w:rFonts w:ascii="Book Antiqua" w:hAnsi="Book Antiqua"/>
        </w:rPr>
        <w:t>Kanasaki</w:t>
      </w:r>
      <w:proofErr w:type="spellEnd"/>
      <w:r>
        <w:rPr>
          <w:rFonts w:ascii="Book Antiqua" w:hAnsi="Book Antiqua"/>
        </w:rPr>
        <w:t xml:space="preserve"> M, Araki H, Araki S, </w:t>
      </w:r>
      <w:proofErr w:type="spellStart"/>
      <w:r>
        <w:rPr>
          <w:rFonts w:ascii="Book Antiqua" w:hAnsi="Book Antiqua"/>
        </w:rPr>
        <w:t>Koya</w:t>
      </w:r>
      <w:proofErr w:type="spellEnd"/>
      <w:r>
        <w:rPr>
          <w:rFonts w:ascii="Book Antiqua" w:hAnsi="Book Antiqua"/>
        </w:rPr>
        <w:t xml:space="preserve"> D, Asanuma K, Kim EH, Haneda M, </w:t>
      </w:r>
      <w:proofErr w:type="spellStart"/>
      <w:r>
        <w:rPr>
          <w:rFonts w:ascii="Book Antiqua" w:hAnsi="Book Antiqua"/>
        </w:rPr>
        <w:t>Kajiwara</w:t>
      </w:r>
      <w:proofErr w:type="spellEnd"/>
      <w:r>
        <w:rPr>
          <w:rFonts w:ascii="Book Antiqua" w:hAnsi="Book Antiqua"/>
        </w:rPr>
        <w:t xml:space="preserve"> N, Hayashi K, Ohashi H, </w:t>
      </w:r>
      <w:proofErr w:type="spellStart"/>
      <w:r>
        <w:rPr>
          <w:rFonts w:ascii="Book Antiqua" w:hAnsi="Book Antiqua"/>
        </w:rPr>
        <w:t>Ugi</w:t>
      </w:r>
      <w:proofErr w:type="spellEnd"/>
      <w:r>
        <w:rPr>
          <w:rFonts w:ascii="Book Antiqua" w:hAnsi="Book Antiqua"/>
        </w:rPr>
        <w:t xml:space="preserve"> S, </w:t>
      </w:r>
      <w:proofErr w:type="spellStart"/>
      <w:r>
        <w:rPr>
          <w:rFonts w:ascii="Book Antiqua" w:hAnsi="Book Antiqua"/>
        </w:rPr>
        <w:t>Maegawa</w:t>
      </w:r>
      <w:proofErr w:type="spellEnd"/>
      <w:r>
        <w:rPr>
          <w:rFonts w:ascii="Book Antiqua" w:hAnsi="Book Antiqua"/>
        </w:rPr>
        <w:t xml:space="preserve"> H, </w:t>
      </w:r>
      <w:proofErr w:type="spellStart"/>
      <w:r>
        <w:rPr>
          <w:rFonts w:ascii="Book Antiqua" w:hAnsi="Book Antiqua"/>
        </w:rPr>
        <w:t>Uzu</w:t>
      </w:r>
      <w:proofErr w:type="spellEnd"/>
      <w:r>
        <w:rPr>
          <w:rFonts w:ascii="Book Antiqua" w:hAnsi="Book Antiqua"/>
        </w:rPr>
        <w:t xml:space="preserve"> T. Impaired Podocyte Autophagy Exacerbates Proteinuria in Diabetic Nephropathy. </w:t>
      </w:r>
      <w:r>
        <w:rPr>
          <w:rFonts w:ascii="Book Antiqua" w:hAnsi="Book Antiqua"/>
          <w:i/>
          <w:iCs/>
        </w:rPr>
        <w:t>Diabetes</w:t>
      </w:r>
      <w:r>
        <w:rPr>
          <w:rFonts w:ascii="Book Antiqua" w:hAnsi="Book Antiqua"/>
        </w:rPr>
        <w:t xml:space="preserve"> 2016; </w:t>
      </w:r>
      <w:r>
        <w:rPr>
          <w:rFonts w:ascii="Book Antiqua" w:hAnsi="Book Antiqua"/>
          <w:b/>
          <w:bCs/>
        </w:rPr>
        <w:t>65</w:t>
      </w:r>
      <w:r>
        <w:rPr>
          <w:rFonts w:ascii="Book Antiqua" w:hAnsi="Book Antiqua"/>
        </w:rPr>
        <w:t>: 755-767 [PMID: 26384385 DOI: 10.2337/db15-0473]</w:t>
      </w:r>
    </w:p>
    <w:p w14:paraId="633E4D2D" w14:textId="77777777" w:rsidR="00FA4012"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Lenoir O</w:t>
      </w:r>
      <w:r>
        <w:rPr>
          <w:rFonts w:ascii="Book Antiqua" w:hAnsi="Book Antiqua"/>
        </w:rPr>
        <w:t xml:space="preserve">, </w:t>
      </w:r>
      <w:proofErr w:type="spellStart"/>
      <w:r>
        <w:rPr>
          <w:rFonts w:ascii="Book Antiqua" w:hAnsi="Book Antiqua"/>
        </w:rPr>
        <w:t>Jasiek</w:t>
      </w:r>
      <w:proofErr w:type="spellEnd"/>
      <w:r>
        <w:rPr>
          <w:rFonts w:ascii="Book Antiqua" w:hAnsi="Book Antiqua"/>
        </w:rPr>
        <w:t xml:space="preserve"> M, </w:t>
      </w:r>
      <w:proofErr w:type="spellStart"/>
      <w:r>
        <w:rPr>
          <w:rFonts w:ascii="Book Antiqua" w:hAnsi="Book Antiqua"/>
        </w:rPr>
        <w:t>Hénique</w:t>
      </w:r>
      <w:proofErr w:type="spellEnd"/>
      <w:r>
        <w:rPr>
          <w:rFonts w:ascii="Book Antiqua" w:hAnsi="Book Antiqua"/>
        </w:rPr>
        <w:t xml:space="preserve"> C, </w:t>
      </w:r>
      <w:proofErr w:type="spellStart"/>
      <w:r>
        <w:rPr>
          <w:rFonts w:ascii="Book Antiqua" w:hAnsi="Book Antiqua"/>
        </w:rPr>
        <w:t>Guyonnet</w:t>
      </w:r>
      <w:proofErr w:type="spellEnd"/>
      <w:r>
        <w:rPr>
          <w:rFonts w:ascii="Book Antiqua" w:hAnsi="Book Antiqua"/>
        </w:rPr>
        <w:t xml:space="preserve"> L, </w:t>
      </w:r>
      <w:proofErr w:type="spellStart"/>
      <w:r>
        <w:rPr>
          <w:rFonts w:ascii="Book Antiqua" w:hAnsi="Book Antiqua"/>
        </w:rPr>
        <w:t>Hartleben</w:t>
      </w:r>
      <w:proofErr w:type="spellEnd"/>
      <w:r>
        <w:rPr>
          <w:rFonts w:ascii="Book Antiqua" w:hAnsi="Book Antiqua"/>
        </w:rPr>
        <w:t xml:space="preserve"> B, Bork T, </w:t>
      </w:r>
      <w:proofErr w:type="spellStart"/>
      <w:r>
        <w:rPr>
          <w:rFonts w:ascii="Book Antiqua" w:hAnsi="Book Antiqua"/>
        </w:rPr>
        <w:t>Chipont</w:t>
      </w:r>
      <w:proofErr w:type="spellEnd"/>
      <w:r>
        <w:rPr>
          <w:rFonts w:ascii="Book Antiqua" w:hAnsi="Book Antiqua"/>
        </w:rPr>
        <w:t xml:space="preserve"> A, </w:t>
      </w:r>
      <w:proofErr w:type="spellStart"/>
      <w:r>
        <w:rPr>
          <w:rFonts w:ascii="Book Antiqua" w:hAnsi="Book Antiqua"/>
        </w:rPr>
        <w:t>Flosseau</w:t>
      </w:r>
      <w:proofErr w:type="spellEnd"/>
      <w:r>
        <w:rPr>
          <w:rFonts w:ascii="Book Antiqua" w:hAnsi="Book Antiqua"/>
        </w:rPr>
        <w:t xml:space="preserve"> K, </w:t>
      </w:r>
      <w:proofErr w:type="spellStart"/>
      <w:r>
        <w:rPr>
          <w:rFonts w:ascii="Book Antiqua" w:hAnsi="Book Antiqua"/>
        </w:rPr>
        <w:t>Bensaada</w:t>
      </w:r>
      <w:proofErr w:type="spellEnd"/>
      <w:r>
        <w:rPr>
          <w:rFonts w:ascii="Book Antiqua" w:hAnsi="Book Antiqua"/>
        </w:rPr>
        <w:t xml:space="preserve"> I, Schmitt A, </w:t>
      </w:r>
      <w:proofErr w:type="spellStart"/>
      <w:r>
        <w:rPr>
          <w:rFonts w:ascii="Book Antiqua" w:hAnsi="Book Antiqua"/>
        </w:rPr>
        <w:t>Massé</w:t>
      </w:r>
      <w:proofErr w:type="spellEnd"/>
      <w:r>
        <w:rPr>
          <w:rFonts w:ascii="Book Antiqua" w:hAnsi="Book Antiqua"/>
        </w:rPr>
        <w:t xml:space="preserve"> JM, </w:t>
      </w:r>
      <w:proofErr w:type="spellStart"/>
      <w:r>
        <w:rPr>
          <w:rFonts w:ascii="Book Antiqua" w:hAnsi="Book Antiqua"/>
        </w:rPr>
        <w:t>Souyri</w:t>
      </w:r>
      <w:proofErr w:type="spellEnd"/>
      <w:r>
        <w:rPr>
          <w:rFonts w:ascii="Book Antiqua" w:hAnsi="Book Antiqua"/>
        </w:rPr>
        <w:t xml:space="preserve"> M, Huber TB, </w:t>
      </w:r>
      <w:proofErr w:type="spellStart"/>
      <w:r>
        <w:rPr>
          <w:rFonts w:ascii="Book Antiqua" w:hAnsi="Book Antiqua"/>
        </w:rPr>
        <w:t>Tharaux</w:t>
      </w:r>
      <w:proofErr w:type="spellEnd"/>
      <w:r>
        <w:rPr>
          <w:rFonts w:ascii="Book Antiqua" w:hAnsi="Book Antiqua"/>
        </w:rPr>
        <w:t xml:space="preserve"> PL. Endothelial </w:t>
      </w:r>
      <w:proofErr w:type="gramStart"/>
      <w:r>
        <w:rPr>
          <w:rFonts w:ascii="Book Antiqua" w:hAnsi="Book Antiqua"/>
        </w:rPr>
        <w:t>cell</w:t>
      </w:r>
      <w:proofErr w:type="gramEnd"/>
      <w:r>
        <w:rPr>
          <w:rFonts w:ascii="Book Antiqua" w:hAnsi="Book Antiqua"/>
        </w:rPr>
        <w:t xml:space="preserve"> and podocyte autophagy synergistically protect from diabetes-induced glomerulosclerosis. </w:t>
      </w:r>
      <w:r>
        <w:rPr>
          <w:rFonts w:ascii="Book Antiqua" w:hAnsi="Book Antiqua"/>
          <w:i/>
          <w:iCs/>
        </w:rPr>
        <w:t>Autophagy</w:t>
      </w:r>
      <w:r>
        <w:rPr>
          <w:rFonts w:ascii="Book Antiqua" w:hAnsi="Book Antiqua"/>
        </w:rPr>
        <w:t xml:space="preserve"> 2015; </w:t>
      </w:r>
      <w:r>
        <w:rPr>
          <w:rFonts w:ascii="Book Antiqua" w:hAnsi="Book Antiqua"/>
          <w:b/>
          <w:bCs/>
        </w:rPr>
        <w:t>11</w:t>
      </w:r>
      <w:r>
        <w:rPr>
          <w:rFonts w:ascii="Book Antiqua" w:hAnsi="Book Antiqua"/>
        </w:rPr>
        <w:t>: 1130-1145 [PMID: 26039325 DOI: 10.1080/15548627.2015.1049799]</w:t>
      </w:r>
    </w:p>
    <w:p w14:paraId="682398C1" w14:textId="77777777" w:rsidR="00FA4012" w:rsidRDefault="00000000">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Podgórski</w:t>
      </w:r>
      <w:proofErr w:type="spellEnd"/>
      <w:r>
        <w:rPr>
          <w:rFonts w:ascii="Book Antiqua" w:hAnsi="Book Antiqua"/>
          <w:b/>
          <w:bCs/>
        </w:rPr>
        <w:t xml:space="preserve"> P</w:t>
      </w:r>
      <w:r>
        <w:rPr>
          <w:rFonts w:ascii="Book Antiqua" w:hAnsi="Book Antiqua"/>
        </w:rPr>
        <w:t xml:space="preserve">, Konieczny A, Lis Ł, </w:t>
      </w:r>
      <w:proofErr w:type="spellStart"/>
      <w:r>
        <w:rPr>
          <w:rFonts w:ascii="Book Antiqua" w:hAnsi="Book Antiqua"/>
        </w:rPr>
        <w:t>Witkiewicz</w:t>
      </w:r>
      <w:proofErr w:type="spellEnd"/>
      <w:r>
        <w:rPr>
          <w:rFonts w:ascii="Book Antiqua" w:hAnsi="Book Antiqua"/>
        </w:rPr>
        <w:t xml:space="preserve"> W, Hruby Z. Glomerular podocytes in diabetic renal disease. </w:t>
      </w:r>
      <w:r>
        <w:rPr>
          <w:rFonts w:ascii="Book Antiqua" w:hAnsi="Book Antiqua"/>
          <w:i/>
          <w:iCs/>
        </w:rPr>
        <w:t>Adv Clin Exp Med</w:t>
      </w:r>
      <w:r>
        <w:rPr>
          <w:rFonts w:ascii="Book Antiqua" w:hAnsi="Book Antiqua"/>
        </w:rPr>
        <w:t xml:space="preserve"> 2019; </w:t>
      </w:r>
      <w:r>
        <w:rPr>
          <w:rFonts w:ascii="Book Antiqua" w:hAnsi="Book Antiqua"/>
          <w:b/>
          <w:bCs/>
        </w:rPr>
        <w:t>28</w:t>
      </w:r>
      <w:r>
        <w:rPr>
          <w:rFonts w:ascii="Book Antiqua" w:hAnsi="Book Antiqua"/>
        </w:rPr>
        <w:t>: 1711-1715 [PMID: 31851794 DOI: 10.17219/</w:t>
      </w:r>
      <w:proofErr w:type="spellStart"/>
      <w:r>
        <w:rPr>
          <w:rFonts w:ascii="Book Antiqua" w:hAnsi="Book Antiqua"/>
        </w:rPr>
        <w:t>acem</w:t>
      </w:r>
      <w:proofErr w:type="spellEnd"/>
      <w:r>
        <w:rPr>
          <w:rFonts w:ascii="Book Antiqua" w:hAnsi="Book Antiqua"/>
        </w:rPr>
        <w:t>/104534]</w:t>
      </w:r>
    </w:p>
    <w:p w14:paraId="38A8030C" w14:textId="77777777" w:rsidR="00FA4012" w:rsidRDefault="00000000">
      <w:pPr>
        <w:spacing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Sankrityayan</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Oza</w:t>
      </w:r>
      <w:proofErr w:type="spellEnd"/>
      <w:r>
        <w:rPr>
          <w:rFonts w:ascii="Book Antiqua" w:hAnsi="Book Antiqua"/>
        </w:rPr>
        <w:t xml:space="preserve"> MJ, Kulkarni YA, </w:t>
      </w:r>
      <w:proofErr w:type="spellStart"/>
      <w:r>
        <w:rPr>
          <w:rFonts w:ascii="Book Antiqua" w:hAnsi="Book Antiqua"/>
        </w:rPr>
        <w:t>Mulay</w:t>
      </w:r>
      <w:proofErr w:type="spellEnd"/>
      <w:r>
        <w:rPr>
          <w:rFonts w:ascii="Book Antiqua" w:hAnsi="Book Antiqua"/>
        </w:rPr>
        <w:t xml:space="preserve"> SR, Gaikwad AB. ER stress response mediates diabetic microvascular complications. </w:t>
      </w:r>
      <w:r>
        <w:rPr>
          <w:rFonts w:ascii="Book Antiqua" w:hAnsi="Book Antiqua"/>
          <w:i/>
          <w:iCs/>
        </w:rPr>
        <w:t xml:space="preserve">Drug </w:t>
      </w:r>
      <w:proofErr w:type="spellStart"/>
      <w:r>
        <w:rPr>
          <w:rFonts w:ascii="Book Antiqua" w:hAnsi="Book Antiqua"/>
          <w:i/>
          <w:iCs/>
        </w:rPr>
        <w:t>Discov</w:t>
      </w:r>
      <w:proofErr w:type="spellEnd"/>
      <w:r>
        <w:rPr>
          <w:rFonts w:ascii="Book Antiqua" w:hAnsi="Book Antiqua"/>
          <w:i/>
          <w:iCs/>
        </w:rPr>
        <w:t xml:space="preserve"> Today</w:t>
      </w:r>
      <w:r>
        <w:rPr>
          <w:rFonts w:ascii="Book Antiqua" w:hAnsi="Book Antiqua"/>
        </w:rPr>
        <w:t xml:space="preserve"> 2019; </w:t>
      </w:r>
      <w:r>
        <w:rPr>
          <w:rFonts w:ascii="Book Antiqua" w:hAnsi="Book Antiqua"/>
          <w:b/>
          <w:bCs/>
        </w:rPr>
        <w:t>24</w:t>
      </w:r>
      <w:r>
        <w:rPr>
          <w:rFonts w:ascii="Book Antiqua" w:hAnsi="Book Antiqua"/>
        </w:rPr>
        <w:t>: 2247-2257 [PMID: 31430543 DOI: 10.1016/j.drudis.2019.08.003]</w:t>
      </w:r>
    </w:p>
    <w:p w14:paraId="2089C285" w14:textId="77777777" w:rsidR="00FA4012"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Lei J</w:t>
      </w:r>
      <w:r>
        <w:rPr>
          <w:rFonts w:ascii="Book Antiqua" w:hAnsi="Book Antiqua"/>
        </w:rPr>
        <w:t xml:space="preserve">, Zhao L, Zhang Y, Wu Y, Liu Y. High Glucose-Induced Podocyte Injury Involves Activation of Mammalian Target of Rapamycin (mTOR)-Induced Endoplasmic Reticulum (ER) Stress. </w:t>
      </w:r>
      <w:r>
        <w:rPr>
          <w:rFonts w:ascii="Book Antiqua" w:hAnsi="Book Antiqua"/>
          <w:i/>
          <w:iCs/>
        </w:rPr>
        <w:t xml:space="preserve">Cell </w:t>
      </w:r>
      <w:proofErr w:type="spellStart"/>
      <w:r>
        <w:rPr>
          <w:rFonts w:ascii="Book Antiqua" w:hAnsi="Book Antiqua"/>
          <w:i/>
          <w:iCs/>
        </w:rPr>
        <w:t>Physiol</w:t>
      </w:r>
      <w:proofErr w:type="spellEnd"/>
      <w:r>
        <w:rPr>
          <w:rFonts w:ascii="Book Antiqua" w:hAnsi="Book Antiqua"/>
          <w:i/>
          <w:iCs/>
        </w:rPr>
        <w:t xml:space="preserve"> </w:t>
      </w:r>
      <w:proofErr w:type="spellStart"/>
      <w:r>
        <w:rPr>
          <w:rFonts w:ascii="Book Antiqua" w:hAnsi="Book Antiqua"/>
          <w:i/>
          <w:iCs/>
        </w:rPr>
        <w:t>Biochem</w:t>
      </w:r>
      <w:proofErr w:type="spellEnd"/>
      <w:r>
        <w:rPr>
          <w:rFonts w:ascii="Book Antiqua" w:hAnsi="Book Antiqua"/>
        </w:rPr>
        <w:t xml:space="preserve"> 2018; </w:t>
      </w:r>
      <w:r>
        <w:rPr>
          <w:rFonts w:ascii="Book Antiqua" w:hAnsi="Book Antiqua"/>
          <w:b/>
          <w:bCs/>
        </w:rPr>
        <w:t>45</w:t>
      </w:r>
      <w:r>
        <w:rPr>
          <w:rFonts w:ascii="Book Antiqua" w:hAnsi="Book Antiqua"/>
        </w:rPr>
        <w:t>: 2431-2443 [PMID: 29554648 DOI: 10.1159/000488231]</w:t>
      </w:r>
    </w:p>
    <w:p w14:paraId="5FF83604" w14:textId="77777777" w:rsidR="00FA4012"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Shen H</w:t>
      </w:r>
      <w:r>
        <w:rPr>
          <w:rFonts w:ascii="Book Antiqua" w:hAnsi="Book Antiqua"/>
        </w:rPr>
        <w:t xml:space="preserve">, Ming Y, Xu C, Xu Y, Zhao S, Zhang Q. Deregulation of long noncoding RNA (TUG1) contributes to excessive podocytes apoptosis by activating endoplasmic reticulum stress in the development of diabetic nephropathy. </w:t>
      </w:r>
      <w:r>
        <w:rPr>
          <w:rFonts w:ascii="Book Antiqua" w:hAnsi="Book Antiqua"/>
          <w:i/>
          <w:iCs/>
        </w:rPr>
        <w:t xml:space="preserve">J Cell </w:t>
      </w:r>
      <w:proofErr w:type="spellStart"/>
      <w:r>
        <w:rPr>
          <w:rFonts w:ascii="Book Antiqua" w:hAnsi="Book Antiqua"/>
          <w:i/>
          <w:iCs/>
        </w:rPr>
        <w:t>Physiol</w:t>
      </w:r>
      <w:proofErr w:type="spellEnd"/>
      <w:r>
        <w:rPr>
          <w:rFonts w:ascii="Book Antiqua" w:hAnsi="Book Antiqua"/>
        </w:rPr>
        <w:t xml:space="preserve"> 2019; </w:t>
      </w:r>
      <w:r>
        <w:rPr>
          <w:rFonts w:ascii="Book Antiqua" w:hAnsi="Book Antiqua"/>
          <w:b/>
          <w:bCs/>
        </w:rPr>
        <w:t>234</w:t>
      </w:r>
      <w:r>
        <w:rPr>
          <w:rFonts w:ascii="Book Antiqua" w:hAnsi="Book Antiqua"/>
        </w:rPr>
        <w:t>: 15123-15133 [PMID: 30671964 DOI: 10.1002/jcp.28153]</w:t>
      </w:r>
    </w:p>
    <w:p w14:paraId="503D1F27" w14:textId="77777777" w:rsidR="00FA4012" w:rsidRDefault="00000000">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Hetz</w:t>
      </w:r>
      <w:proofErr w:type="spellEnd"/>
      <w:r>
        <w:rPr>
          <w:rFonts w:ascii="Book Antiqua" w:hAnsi="Book Antiqua"/>
          <w:b/>
          <w:bCs/>
        </w:rPr>
        <w:t xml:space="preserve"> C</w:t>
      </w:r>
      <w:r>
        <w:rPr>
          <w:rFonts w:ascii="Book Antiqua" w:hAnsi="Book Antiqua"/>
        </w:rPr>
        <w:t xml:space="preserve">, Zhang K, Kaufman RJ. Mechanisms, </w:t>
      </w:r>
      <w:proofErr w:type="gramStart"/>
      <w:r>
        <w:rPr>
          <w:rFonts w:ascii="Book Antiqua" w:hAnsi="Book Antiqua"/>
        </w:rPr>
        <w:t>regulation</w:t>
      </w:r>
      <w:proofErr w:type="gramEnd"/>
      <w:r>
        <w:rPr>
          <w:rFonts w:ascii="Book Antiqua" w:hAnsi="Book Antiqua"/>
        </w:rPr>
        <w:t xml:space="preserve"> and functions of the unfolded protein response. </w:t>
      </w:r>
      <w:r>
        <w:rPr>
          <w:rFonts w:ascii="Book Antiqua" w:hAnsi="Book Antiqua"/>
          <w:i/>
          <w:iCs/>
        </w:rPr>
        <w:t>Nat Rev Mol Cell Biol</w:t>
      </w:r>
      <w:r>
        <w:rPr>
          <w:rFonts w:ascii="Book Antiqua" w:hAnsi="Book Antiqua"/>
        </w:rPr>
        <w:t xml:space="preserve"> 2020; </w:t>
      </w:r>
      <w:r>
        <w:rPr>
          <w:rFonts w:ascii="Book Antiqua" w:hAnsi="Book Antiqua"/>
          <w:b/>
          <w:bCs/>
        </w:rPr>
        <w:t>21</w:t>
      </w:r>
      <w:r>
        <w:rPr>
          <w:rFonts w:ascii="Book Antiqua" w:hAnsi="Book Antiqua"/>
        </w:rPr>
        <w:t>: 421-438 [PMID: 32457508 DOI: 10.1038/s41580-020-0250-z]</w:t>
      </w:r>
    </w:p>
    <w:p w14:paraId="53E103FE" w14:textId="77777777" w:rsidR="00FA4012"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Cao Y</w:t>
      </w:r>
      <w:r>
        <w:rPr>
          <w:rFonts w:ascii="Book Antiqua" w:hAnsi="Book Antiqua"/>
        </w:rPr>
        <w:t xml:space="preserve">, Hao Y, Li H, Liu Q, Gao F, Liu W, Duan H. Role of endoplasmic reticulum stress in apoptosis of differentiated mouse podocytes induced by high glucose. </w:t>
      </w:r>
      <w:r>
        <w:rPr>
          <w:rFonts w:ascii="Book Antiqua" w:hAnsi="Book Antiqua"/>
          <w:i/>
          <w:iCs/>
        </w:rPr>
        <w:t>Int J Mol Med</w:t>
      </w:r>
      <w:r>
        <w:rPr>
          <w:rFonts w:ascii="Book Antiqua" w:hAnsi="Book Antiqua"/>
        </w:rPr>
        <w:t xml:space="preserve"> 2014; </w:t>
      </w:r>
      <w:r>
        <w:rPr>
          <w:rFonts w:ascii="Book Antiqua" w:hAnsi="Book Antiqua"/>
          <w:b/>
          <w:bCs/>
        </w:rPr>
        <w:t>33</w:t>
      </w:r>
      <w:r>
        <w:rPr>
          <w:rFonts w:ascii="Book Antiqua" w:hAnsi="Book Antiqua"/>
        </w:rPr>
        <w:t>: 809-816 [PMID: 24503896 DOI: 10.3892/ijmm.2014.1642]</w:t>
      </w:r>
    </w:p>
    <w:p w14:paraId="7A630588" w14:textId="77777777" w:rsidR="00FA4012"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Li M</w:t>
      </w:r>
      <w:r>
        <w:rPr>
          <w:rFonts w:ascii="Book Antiqua" w:hAnsi="Book Antiqua"/>
        </w:rPr>
        <w:t xml:space="preserve">, Ni W, Zhang M, Liu S, Chen M, Hong X, Ma Y, Yu X, Wang W, Yang M, Hua F. MicroRNA-30/Cx43 axis contributes to podocyte injury by regulating ER stress in diabetic nephropathy. </w:t>
      </w:r>
      <w:r>
        <w:rPr>
          <w:rFonts w:ascii="Book Antiqua" w:hAnsi="Book Antiqua"/>
          <w:i/>
          <w:iCs/>
        </w:rPr>
        <w:t xml:space="preserve">Ann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8</w:t>
      </w:r>
      <w:r>
        <w:rPr>
          <w:rFonts w:ascii="Book Antiqua" w:hAnsi="Book Antiqua"/>
        </w:rPr>
        <w:t>: 1674 [PMID: 33490186 DOI: 10.21037/atm-20-6989]</w:t>
      </w:r>
    </w:p>
    <w:p w14:paraId="43D81F94" w14:textId="77777777" w:rsidR="00FA4012"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Fan Y</w:t>
      </w:r>
      <w:r>
        <w:rPr>
          <w:rFonts w:ascii="Book Antiqua" w:hAnsi="Book Antiqua"/>
        </w:rPr>
        <w:t xml:space="preserve">, Zhang J, Xiao W, Lee K, Li Z, Wen J, He L, Gui D, Xue R, Jian G, Sheng X, He JC, Wang N. Rtn1a-Mediated Endoplasmic Reticulum Stress in Podocyte Injury and Diabetic Nephropathy.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323 [PMID: 28336924 DOI: 10.1038/s41598-017-00305-6]</w:t>
      </w:r>
    </w:p>
    <w:p w14:paraId="55403D44" w14:textId="77777777" w:rsidR="00FA4012"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Zhang Y</w:t>
      </w:r>
      <w:r>
        <w:rPr>
          <w:rFonts w:ascii="Book Antiqua" w:hAnsi="Book Antiqua"/>
        </w:rPr>
        <w:t xml:space="preserve">, Gao X, Chen S, Zhao M, Chen J, Liu R, Cheng S, Qi M, Wang S, Liu W. Cyclin-dependent kinase 5 contributes to endoplasmic reticulum stress induced podocyte apoptosis via promoting MEKK1 phosphorylation at Ser280 in diabetic nephropathy. </w:t>
      </w:r>
      <w:r>
        <w:rPr>
          <w:rFonts w:ascii="Book Antiqua" w:hAnsi="Book Antiqua"/>
          <w:i/>
          <w:iCs/>
        </w:rPr>
        <w:t>Cell Signal</w:t>
      </w:r>
      <w:r>
        <w:rPr>
          <w:rFonts w:ascii="Book Antiqua" w:hAnsi="Book Antiqua"/>
        </w:rPr>
        <w:t xml:space="preserve"> 2017; </w:t>
      </w:r>
      <w:r>
        <w:rPr>
          <w:rFonts w:ascii="Book Antiqua" w:hAnsi="Book Antiqua"/>
          <w:b/>
          <w:bCs/>
        </w:rPr>
        <w:t>31</w:t>
      </w:r>
      <w:r>
        <w:rPr>
          <w:rFonts w:ascii="Book Antiqua" w:hAnsi="Book Antiqua"/>
        </w:rPr>
        <w:t>: 31-40 [PMID: 28024901 DOI: 10.1016/j.cellsig.2016.12.009]</w:t>
      </w:r>
    </w:p>
    <w:p w14:paraId="1C7B4501" w14:textId="77777777" w:rsidR="00FA4012" w:rsidRDefault="00000000">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Kunz M</w:t>
      </w:r>
      <w:r>
        <w:rPr>
          <w:rFonts w:ascii="Book Antiqua" w:hAnsi="Book Antiqua"/>
        </w:rPr>
        <w:t xml:space="preserve">, Wolf B, Fuchs M, Christoph J, Xiao K, </w:t>
      </w:r>
      <w:proofErr w:type="spellStart"/>
      <w:r>
        <w:rPr>
          <w:rFonts w:ascii="Book Antiqua" w:hAnsi="Book Antiqua"/>
        </w:rPr>
        <w:t>Thum</w:t>
      </w:r>
      <w:proofErr w:type="spellEnd"/>
      <w:r>
        <w:rPr>
          <w:rFonts w:ascii="Book Antiqua" w:hAnsi="Book Antiqua"/>
        </w:rPr>
        <w:t xml:space="preserve"> T, </w:t>
      </w:r>
      <w:proofErr w:type="spellStart"/>
      <w:r>
        <w:rPr>
          <w:rFonts w:ascii="Book Antiqua" w:hAnsi="Book Antiqua"/>
        </w:rPr>
        <w:t>Atlan</w:t>
      </w:r>
      <w:proofErr w:type="spellEnd"/>
      <w:r>
        <w:rPr>
          <w:rFonts w:ascii="Book Antiqua" w:hAnsi="Book Antiqua"/>
        </w:rPr>
        <w:t xml:space="preserve"> D, </w:t>
      </w:r>
      <w:proofErr w:type="spellStart"/>
      <w:r>
        <w:rPr>
          <w:rFonts w:ascii="Book Antiqua" w:hAnsi="Book Antiqua"/>
        </w:rPr>
        <w:t>Prokosch</w:t>
      </w:r>
      <w:proofErr w:type="spellEnd"/>
      <w:r>
        <w:rPr>
          <w:rFonts w:ascii="Book Antiqua" w:hAnsi="Book Antiqua"/>
        </w:rPr>
        <w:t xml:space="preserve"> HU, Dandekar T. A comprehensive method protocol for annotation and integrated functional understanding of </w:t>
      </w:r>
      <w:proofErr w:type="spellStart"/>
      <w:r>
        <w:rPr>
          <w:rFonts w:ascii="Book Antiqua" w:hAnsi="Book Antiqua"/>
        </w:rPr>
        <w:t>lncRNAs</w:t>
      </w:r>
      <w:proofErr w:type="spellEnd"/>
      <w:r>
        <w:rPr>
          <w:rFonts w:ascii="Book Antiqua" w:hAnsi="Book Antiqua"/>
        </w:rPr>
        <w:t xml:space="preserve">. </w:t>
      </w:r>
      <w:r>
        <w:rPr>
          <w:rFonts w:ascii="Book Antiqua" w:hAnsi="Book Antiqua"/>
          <w:i/>
          <w:iCs/>
        </w:rPr>
        <w:t xml:space="preserve">Brief </w:t>
      </w:r>
      <w:proofErr w:type="spellStart"/>
      <w:r>
        <w:rPr>
          <w:rFonts w:ascii="Book Antiqua" w:hAnsi="Book Antiqua"/>
          <w:i/>
          <w:iCs/>
        </w:rPr>
        <w:t>Bioinform</w:t>
      </w:r>
      <w:proofErr w:type="spellEnd"/>
      <w:r>
        <w:rPr>
          <w:rFonts w:ascii="Book Antiqua" w:hAnsi="Book Antiqua"/>
        </w:rPr>
        <w:t xml:space="preserve"> 2020; </w:t>
      </w:r>
      <w:r>
        <w:rPr>
          <w:rFonts w:ascii="Book Antiqua" w:hAnsi="Book Antiqua"/>
          <w:b/>
          <w:bCs/>
        </w:rPr>
        <w:t>21</w:t>
      </w:r>
      <w:r>
        <w:rPr>
          <w:rFonts w:ascii="Book Antiqua" w:hAnsi="Book Antiqua"/>
        </w:rPr>
        <w:t>: 1391-1396 [PMID: 31578571 DOI: 10.1093/bib/bbz066]</w:t>
      </w:r>
    </w:p>
    <w:p w14:paraId="4012EF09" w14:textId="77777777" w:rsidR="00FA4012"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He Y</w:t>
      </w:r>
      <w:r>
        <w:rPr>
          <w:rFonts w:ascii="Book Antiqua" w:hAnsi="Book Antiqua"/>
        </w:rPr>
        <w:t xml:space="preserve">, Chen Y. The potential role of </w:t>
      </w:r>
      <w:proofErr w:type="spellStart"/>
      <w:r>
        <w:rPr>
          <w:rFonts w:ascii="Book Antiqua" w:hAnsi="Book Antiqua"/>
        </w:rPr>
        <w:t>lncRNAs</w:t>
      </w:r>
      <w:proofErr w:type="spellEnd"/>
      <w:r>
        <w:rPr>
          <w:rFonts w:ascii="Book Antiqua" w:hAnsi="Book Antiqua"/>
        </w:rPr>
        <w:t xml:space="preserve"> in osteoporosis. </w:t>
      </w:r>
      <w:r>
        <w:rPr>
          <w:rFonts w:ascii="Book Antiqua" w:hAnsi="Book Antiqua"/>
          <w:i/>
          <w:iCs/>
        </w:rPr>
        <w:t xml:space="preserve">J Bone Miner </w:t>
      </w:r>
      <w:proofErr w:type="spellStart"/>
      <w:r>
        <w:rPr>
          <w:rFonts w:ascii="Book Antiqua" w:hAnsi="Book Antiqua"/>
          <w:i/>
          <w:iCs/>
        </w:rPr>
        <w:t>Metab</w:t>
      </w:r>
      <w:proofErr w:type="spellEnd"/>
      <w:r>
        <w:rPr>
          <w:rFonts w:ascii="Book Antiqua" w:hAnsi="Book Antiqua"/>
        </w:rPr>
        <w:t xml:space="preserve"> 2021; </w:t>
      </w:r>
      <w:r>
        <w:rPr>
          <w:rFonts w:ascii="Book Antiqua" w:hAnsi="Book Antiqua"/>
          <w:b/>
          <w:bCs/>
        </w:rPr>
        <w:t>39</w:t>
      </w:r>
      <w:r>
        <w:rPr>
          <w:rFonts w:ascii="Book Antiqua" w:hAnsi="Book Antiqua"/>
        </w:rPr>
        <w:t>: 341-352 [PMID: 33566207 DOI: 10.1007/s00774-021-01205-6]</w:t>
      </w:r>
    </w:p>
    <w:p w14:paraId="31690489" w14:textId="77777777" w:rsidR="00FA4012"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Chen Y</w:t>
      </w:r>
      <w:r>
        <w:rPr>
          <w:rFonts w:ascii="Book Antiqua" w:hAnsi="Book Antiqua"/>
        </w:rPr>
        <w:t xml:space="preserve">, He Y, Zhou H. The potential role of </w:t>
      </w:r>
      <w:proofErr w:type="spellStart"/>
      <w:r>
        <w:rPr>
          <w:rFonts w:ascii="Book Antiqua" w:hAnsi="Book Antiqua"/>
        </w:rPr>
        <w:t>lncRNAs</w:t>
      </w:r>
      <w:proofErr w:type="spellEnd"/>
      <w:r>
        <w:rPr>
          <w:rFonts w:ascii="Book Antiqua" w:hAnsi="Book Antiqua"/>
        </w:rPr>
        <w:t xml:space="preserve"> in diabetes and diabetic microvascular complications. </w:t>
      </w:r>
      <w:proofErr w:type="spellStart"/>
      <w:r>
        <w:rPr>
          <w:rFonts w:ascii="Book Antiqua" w:hAnsi="Book Antiqua"/>
          <w:i/>
          <w:iCs/>
        </w:rPr>
        <w:t>Endocr</w:t>
      </w:r>
      <w:proofErr w:type="spellEnd"/>
      <w:r>
        <w:rPr>
          <w:rFonts w:ascii="Book Antiqua" w:hAnsi="Book Antiqua"/>
          <w:i/>
          <w:iCs/>
        </w:rPr>
        <w:t xml:space="preserve"> J</w:t>
      </w:r>
      <w:r>
        <w:rPr>
          <w:rFonts w:ascii="Book Antiqua" w:hAnsi="Book Antiqua"/>
        </w:rPr>
        <w:t xml:space="preserve"> 2020; </w:t>
      </w:r>
      <w:r>
        <w:rPr>
          <w:rFonts w:ascii="Book Antiqua" w:hAnsi="Book Antiqua"/>
          <w:b/>
          <w:bCs/>
        </w:rPr>
        <w:t>67</w:t>
      </w:r>
      <w:r>
        <w:rPr>
          <w:rFonts w:ascii="Book Antiqua" w:hAnsi="Book Antiqua"/>
        </w:rPr>
        <w:t>: 659-668 [PMID: 32404556 DOI: 10.1507/</w:t>
      </w:r>
      <w:proofErr w:type="gramStart"/>
      <w:r>
        <w:rPr>
          <w:rFonts w:ascii="Book Antiqua" w:hAnsi="Book Antiqua"/>
        </w:rPr>
        <w:t>endocrj.EJ</w:t>
      </w:r>
      <w:proofErr w:type="gramEnd"/>
      <w:r>
        <w:rPr>
          <w:rFonts w:ascii="Book Antiqua" w:hAnsi="Book Antiqua"/>
        </w:rPr>
        <w:t>19-0574]</w:t>
      </w:r>
    </w:p>
    <w:p w14:paraId="24DFD490" w14:textId="77777777" w:rsidR="00FA4012"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Liu DW</w:t>
      </w:r>
      <w:r>
        <w:rPr>
          <w:rFonts w:ascii="Book Antiqua" w:hAnsi="Book Antiqua"/>
        </w:rPr>
        <w:t xml:space="preserve">, Zhang JH, Liu FX, Wang XT, Pan SK, Jiang DK, Zhao ZH, Liu ZS. Silencing of long noncoding RNA PVT1 inhibits podocyte damage and apoptosis in diabetic nephropathy by upregulating FOXA1. </w:t>
      </w:r>
      <w:r>
        <w:rPr>
          <w:rFonts w:ascii="Book Antiqua" w:hAnsi="Book Antiqua"/>
          <w:i/>
          <w:iCs/>
        </w:rPr>
        <w:t>Exp Mol Med</w:t>
      </w:r>
      <w:r>
        <w:rPr>
          <w:rFonts w:ascii="Book Antiqua" w:hAnsi="Book Antiqua"/>
        </w:rPr>
        <w:t xml:space="preserve"> 2019; </w:t>
      </w:r>
      <w:r>
        <w:rPr>
          <w:rFonts w:ascii="Book Antiqua" w:hAnsi="Book Antiqua"/>
          <w:b/>
          <w:bCs/>
        </w:rPr>
        <w:t>51</w:t>
      </w:r>
      <w:r>
        <w:rPr>
          <w:rFonts w:ascii="Book Antiqua" w:hAnsi="Book Antiqua"/>
        </w:rPr>
        <w:t>: 1-15 [PMID: 31371698 DOI: 10.1038/s12276-019-0259-6]</w:t>
      </w:r>
    </w:p>
    <w:p w14:paraId="39EA5528" w14:textId="77777777" w:rsidR="00FA4012"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Xu J</w:t>
      </w:r>
      <w:r>
        <w:rPr>
          <w:rFonts w:ascii="Book Antiqua" w:hAnsi="Book Antiqua"/>
        </w:rPr>
        <w:t xml:space="preserve">, Deng Y, Wang Y, Sun X, Chen S, Fu G. SPAG5-AS1 inhibited autophagy and aggravated apoptosis of podocytes via SPAG5/AKT/mTOR pathway. </w:t>
      </w:r>
      <w:r>
        <w:rPr>
          <w:rFonts w:ascii="Book Antiqua" w:hAnsi="Book Antiqua"/>
          <w:i/>
          <w:iCs/>
        </w:rPr>
        <w:t xml:space="preserve">Cell </w:t>
      </w:r>
      <w:proofErr w:type="spellStart"/>
      <w:r>
        <w:rPr>
          <w:rFonts w:ascii="Book Antiqua" w:hAnsi="Book Antiqua"/>
          <w:i/>
          <w:iCs/>
        </w:rPr>
        <w:t>Prolif</w:t>
      </w:r>
      <w:proofErr w:type="spellEnd"/>
      <w:r>
        <w:rPr>
          <w:rFonts w:ascii="Book Antiqua" w:hAnsi="Book Antiqua"/>
        </w:rPr>
        <w:t xml:space="preserve"> 2020; </w:t>
      </w:r>
      <w:r>
        <w:rPr>
          <w:rFonts w:ascii="Book Antiqua" w:hAnsi="Book Antiqua"/>
          <w:b/>
          <w:bCs/>
        </w:rPr>
        <w:t>53</w:t>
      </w:r>
      <w:r>
        <w:rPr>
          <w:rFonts w:ascii="Book Antiqua" w:hAnsi="Book Antiqua"/>
        </w:rPr>
        <w:t>: e12738 [PMID: 31957155 DOI: 10.1111/cpr.12738]</w:t>
      </w:r>
    </w:p>
    <w:p w14:paraId="6DD1A5E3" w14:textId="77777777" w:rsidR="00FA4012"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Zhang M</w:t>
      </w:r>
      <w:r>
        <w:rPr>
          <w:rFonts w:ascii="Book Antiqua" w:hAnsi="Book Antiqua"/>
        </w:rPr>
        <w:t xml:space="preserve">, Zhao S, Xu C, Shen Y, Huang J, Shen S, Li Y, Chen X. Ablation of lncRNA MIAT mitigates high glucose-stimulated inflammation and apoptosis of podocyte via miR-130a-3p/TLR4 signaling axis.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xml:space="preserve"> 2020; </w:t>
      </w:r>
      <w:r>
        <w:rPr>
          <w:rFonts w:ascii="Book Antiqua" w:hAnsi="Book Antiqua"/>
          <w:b/>
          <w:bCs/>
        </w:rPr>
        <w:t>533</w:t>
      </w:r>
      <w:r>
        <w:rPr>
          <w:rFonts w:ascii="Book Antiqua" w:hAnsi="Book Antiqua"/>
        </w:rPr>
        <w:t>: 429-436 [PMID: 32972755 DOI: 10.1016/j.bbrc.2020.09.034]</w:t>
      </w:r>
    </w:p>
    <w:p w14:paraId="1ED5E4D0" w14:textId="77777777" w:rsidR="00FA4012"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Schwarz DS</w:t>
      </w:r>
      <w:r>
        <w:rPr>
          <w:rFonts w:ascii="Book Antiqua" w:hAnsi="Book Antiqua"/>
        </w:rPr>
        <w:t xml:space="preserve">, Blower MD. The endoplasmic reticulum: structure, </w:t>
      </w:r>
      <w:proofErr w:type="gramStart"/>
      <w:r>
        <w:rPr>
          <w:rFonts w:ascii="Book Antiqua" w:hAnsi="Book Antiqua"/>
        </w:rPr>
        <w:t>function</w:t>
      </w:r>
      <w:proofErr w:type="gramEnd"/>
      <w:r>
        <w:rPr>
          <w:rFonts w:ascii="Book Antiqua" w:hAnsi="Book Antiqua"/>
        </w:rPr>
        <w:t xml:space="preserve"> and response to cellular signaling. </w:t>
      </w:r>
      <w:r>
        <w:rPr>
          <w:rFonts w:ascii="Book Antiqua" w:hAnsi="Book Antiqua"/>
          <w:i/>
          <w:iCs/>
        </w:rPr>
        <w:t>Cell Mol Life Sci</w:t>
      </w:r>
      <w:r>
        <w:rPr>
          <w:rFonts w:ascii="Book Antiqua" w:hAnsi="Book Antiqua"/>
        </w:rPr>
        <w:t xml:space="preserve"> 2016; </w:t>
      </w:r>
      <w:r>
        <w:rPr>
          <w:rFonts w:ascii="Book Antiqua" w:hAnsi="Book Antiqua"/>
          <w:b/>
          <w:bCs/>
        </w:rPr>
        <w:t>73</w:t>
      </w:r>
      <w:r>
        <w:rPr>
          <w:rFonts w:ascii="Book Antiqua" w:hAnsi="Book Antiqua"/>
        </w:rPr>
        <w:t>: 79-94 [PMID: 26433683 DOI: 10.1007/s00018-015-2052-6]</w:t>
      </w:r>
    </w:p>
    <w:p w14:paraId="0EB7B00B" w14:textId="77777777" w:rsidR="00FA4012" w:rsidRDefault="00000000">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Sozen</w:t>
      </w:r>
      <w:proofErr w:type="spellEnd"/>
      <w:r>
        <w:rPr>
          <w:rFonts w:ascii="Book Antiqua" w:hAnsi="Book Antiqua"/>
          <w:b/>
          <w:bCs/>
        </w:rPr>
        <w:t xml:space="preserve"> E</w:t>
      </w:r>
      <w:r>
        <w:rPr>
          <w:rFonts w:ascii="Book Antiqua" w:hAnsi="Book Antiqua"/>
        </w:rPr>
        <w:t xml:space="preserve">, Ozer NK. Impact of high cholesterol and endoplasmic reticulum stress on metabolic diseases: An updated mini-review. </w:t>
      </w:r>
      <w:r>
        <w:rPr>
          <w:rFonts w:ascii="Book Antiqua" w:hAnsi="Book Antiqua"/>
          <w:i/>
          <w:iCs/>
        </w:rPr>
        <w:t>Redox Biol</w:t>
      </w:r>
      <w:r>
        <w:rPr>
          <w:rFonts w:ascii="Book Antiqua" w:hAnsi="Book Antiqua"/>
        </w:rPr>
        <w:t xml:space="preserve"> 2017; </w:t>
      </w:r>
      <w:r>
        <w:rPr>
          <w:rFonts w:ascii="Book Antiqua" w:hAnsi="Book Antiqua"/>
          <w:b/>
          <w:bCs/>
        </w:rPr>
        <w:t>12</w:t>
      </w:r>
      <w:r>
        <w:rPr>
          <w:rFonts w:ascii="Book Antiqua" w:hAnsi="Book Antiqua"/>
        </w:rPr>
        <w:t>: 456-461 [PMID: 28319895 DOI: 10.1016/j.redox.2017.02.025]</w:t>
      </w:r>
    </w:p>
    <w:p w14:paraId="37E95D7A" w14:textId="77777777" w:rsidR="00FA4012"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Mustapha S</w:t>
      </w:r>
      <w:r>
        <w:rPr>
          <w:rFonts w:ascii="Book Antiqua" w:hAnsi="Book Antiqua"/>
        </w:rPr>
        <w:t xml:space="preserve">, Mohammed M, </w:t>
      </w:r>
      <w:proofErr w:type="spellStart"/>
      <w:r>
        <w:rPr>
          <w:rFonts w:ascii="Book Antiqua" w:hAnsi="Book Antiqua"/>
        </w:rPr>
        <w:t>Azemi</w:t>
      </w:r>
      <w:proofErr w:type="spellEnd"/>
      <w:r>
        <w:rPr>
          <w:rFonts w:ascii="Book Antiqua" w:hAnsi="Book Antiqua"/>
        </w:rPr>
        <w:t xml:space="preserve"> AK, </w:t>
      </w:r>
      <w:proofErr w:type="spellStart"/>
      <w:r>
        <w:rPr>
          <w:rFonts w:ascii="Book Antiqua" w:hAnsi="Book Antiqua"/>
        </w:rPr>
        <w:t>Jatau</w:t>
      </w:r>
      <w:proofErr w:type="spellEnd"/>
      <w:r>
        <w:rPr>
          <w:rFonts w:ascii="Book Antiqua" w:hAnsi="Book Antiqua"/>
        </w:rPr>
        <w:t xml:space="preserve"> AI, Shehu A, Mustapha L, Aliyu IM, </w:t>
      </w:r>
      <w:proofErr w:type="spellStart"/>
      <w:r>
        <w:rPr>
          <w:rFonts w:ascii="Book Antiqua" w:hAnsi="Book Antiqua"/>
        </w:rPr>
        <w:t>Danraka</w:t>
      </w:r>
      <w:proofErr w:type="spellEnd"/>
      <w:r>
        <w:rPr>
          <w:rFonts w:ascii="Book Antiqua" w:hAnsi="Book Antiqua"/>
        </w:rPr>
        <w:t xml:space="preserve"> RN, Amin A, Bala AA, Ahmad WANW, Rasool AHG, Mustafa MR, Mokhtar SS. </w:t>
      </w:r>
      <w:r>
        <w:rPr>
          <w:rFonts w:ascii="Book Antiqua" w:hAnsi="Book Antiqua"/>
        </w:rPr>
        <w:lastRenderedPageBreak/>
        <w:t xml:space="preserve">Current Status of Endoplasmic Reticulum Stress in Type II Diabetes.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34299638 DOI: 10.3390/molecules26144362]</w:t>
      </w:r>
    </w:p>
    <w:p w14:paraId="0EB3F61A" w14:textId="77777777" w:rsidR="00FA4012"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Wang M</w:t>
      </w:r>
      <w:r>
        <w:rPr>
          <w:rFonts w:ascii="Book Antiqua" w:hAnsi="Book Antiqua"/>
        </w:rPr>
        <w:t xml:space="preserve">, Kaufman RJ. Protein misfolding in the endoplasmic reticulum as a conduit to human disease. </w:t>
      </w:r>
      <w:r>
        <w:rPr>
          <w:rFonts w:ascii="Book Antiqua" w:hAnsi="Book Antiqua"/>
          <w:i/>
          <w:iCs/>
        </w:rPr>
        <w:t>Nature</w:t>
      </w:r>
      <w:r>
        <w:rPr>
          <w:rFonts w:ascii="Book Antiqua" w:hAnsi="Book Antiqua"/>
        </w:rPr>
        <w:t xml:space="preserve"> 2016; </w:t>
      </w:r>
      <w:r>
        <w:rPr>
          <w:rFonts w:ascii="Book Antiqua" w:hAnsi="Book Antiqua"/>
          <w:b/>
          <w:bCs/>
        </w:rPr>
        <w:t>529</w:t>
      </w:r>
      <w:r>
        <w:rPr>
          <w:rFonts w:ascii="Book Antiqua" w:hAnsi="Book Antiqua"/>
        </w:rPr>
        <w:t>: 326-335 [PMID: 26791723 DOI: 10.1038/nature17041]</w:t>
      </w:r>
    </w:p>
    <w:p w14:paraId="28F502B0" w14:textId="77777777" w:rsidR="00FA4012"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Ye R</w:t>
      </w:r>
      <w:r>
        <w:rPr>
          <w:rFonts w:ascii="Book Antiqua" w:hAnsi="Book Antiqua"/>
        </w:rPr>
        <w:t xml:space="preserve">, Jung DY, Jun JY, Li J, Luo S, Ko HJ, Kim JK, Lee AS. Grp78 heterozygosity promotes adaptive unfolded protein response and attenuates diet-induced obesity and insulin resistance. </w:t>
      </w:r>
      <w:r>
        <w:rPr>
          <w:rFonts w:ascii="Book Antiqua" w:hAnsi="Book Antiqua"/>
          <w:i/>
          <w:iCs/>
        </w:rPr>
        <w:t>Diabetes</w:t>
      </w:r>
      <w:r>
        <w:rPr>
          <w:rFonts w:ascii="Book Antiqua" w:hAnsi="Book Antiqua"/>
        </w:rPr>
        <w:t xml:space="preserve"> 2010; </w:t>
      </w:r>
      <w:r>
        <w:rPr>
          <w:rFonts w:ascii="Book Antiqua" w:hAnsi="Book Antiqua"/>
          <w:b/>
          <w:bCs/>
        </w:rPr>
        <w:t>59</w:t>
      </w:r>
      <w:r>
        <w:rPr>
          <w:rFonts w:ascii="Book Antiqua" w:hAnsi="Book Antiqua"/>
        </w:rPr>
        <w:t>: 6-16 [PMID: 19808896 DOI: 10.2337/db09-0755]</w:t>
      </w:r>
    </w:p>
    <w:p w14:paraId="5A74D91A" w14:textId="77777777" w:rsidR="00FA4012"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Xia J</w:t>
      </w:r>
      <w:r>
        <w:rPr>
          <w:rFonts w:ascii="Book Antiqua" w:hAnsi="Book Antiqua"/>
        </w:rPr>
        <w:t xml:space="preserve">, Sun W, Dun J. LncRNA 1500026H17Rik knockdown ameliorates high glucose-induced mouse podocyte injuries through the miR-205-5p/EGR1 pathway. </w:t>
      </w:r>
      <w:r>
        <w:rPr>
          <w:rFonts w:ascii="Book Antiqua" w:hAnsi="Book Antiqua"/>
          <w:i/>
          <w:iCs/>
        </w:rPr>
        <w:t xml:space="preserve">Int </w:t>
      </w:r>
      <w:proofErr w:type="spellStart"/>
      <w:r>
        <w:rPr>
          <w:rFonts w:ascii="Book Antiqua" w:hAnsi="Book Antiqua"/>
          <w:i/>
          <w:iCs/>
        </w:rPr>
        <w:t>Urol</w:t>
      </w:r>
      <w:proofErr w:type="spellEnd"/>
      <w:r>
        <w:rPr>
          <w:rFonts w:ascii="Book Antiqua" w:hAnsi="Book Antiqua"/>
          <w:i/>
          <w:iCs/>
        </w:rPr>
        <w:t xml:space="preserve"> Nephrol</w:t>
      </w:r>
      <w:r>
        <w:rPr>
          <w:rFonts w:ascii="Book Antiqua" w:hAnsi="Book Antiqua"/>
        </w:rPr>
        <w:t xml:space="preserve"> 2023; </w:t>
      </w:r>
      <w:r>
        <w:rPr>
          <w:rFonts w:ascii="Book Antiqua" w:hAnsi="Book Antiqua"/>
          <w:b/>
          <w:bCs/>
        </w:rPr>
        <w:t>55</w:t>
      </w:r>
      <w:r>
        <w:rPr>
          <w:rFonts w:ascii="Book Antiqua" w:hAnsi="Book Antiqua"/>
        </w:rPr>
        <w:t>: 1045-1057 [PMID: 36306049 DOI: 10.1007/s11255-022-03396-x]</w:t>
      </w:r>
    </w:p>
    <w:p w14:paraId="4FB99901" w14:textId="77777777" w:rsidR="00FA4012"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Fei B</w:t>
      </w:r>
      <w:r>
        <w:rPr>
          <w:rFonts w:ascii="Book Antiqua" w:hAnsi="Book Antiqua"/>
        </w:rPr>
        <w:t xml:space="preserve">, Zhou H, He Z, Wang S. KCNQ1OT1 inhibition alleviates high glucose-induced podocyte injury by adsorbing miR-23b-3p and regulating Sema3A. </w:t>
      </w:r>
      <w:r>
        <w:rPr>
          <w:rFonts w:ascii="Book Antiqua" w:hAnsi="Book Antiqua"/>
          <w:i/>
          <w:iCs/>
        </w:rPr>
        <w:t>Clin Exp Nephrol</w:t>
      </w:r>
      <w:r>
        <w:rPr>
          <w:rFonts w:ascii="Book Antiqua" w:hAnsi="Book Antiqua"/>
        </w:rPr>
        <w:t xml:space="preserve"> 2022; </w:t>
      </w:r>
      <w:r>
        <w:rPr>
          <w:rFonts w:ascii="Book Antiqua" w:hAnsi="Book Antiqua"/>
          <w:b/>
          <w:bCs/>
        </w:rPr>
        <w:t>26</w:t>
      </w:r>
      <w:r>
        <w:rPr>
          <w:rFonts w:ascii="Book Antiqua" w:hAnsi="Book Antiqua"/>
        </w:rPr>
        <w:t>: 385-397 [PMID: 34997887 DOI: 10.1007/s10157-021-02173-x]</w:t>
      </w:r>
    </w:p>
    <w:p w14:paraId="1E2F9E0C" w14:textId="77777777" w:rsidR="00FA4012"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Xiao M</w:t>
      </w:r>
      <w:r>
        <w:rPr>
          <w:rFonts w:ascii="Book Antiqua" w:hAnsi="Book Antiqua"/>
        </w:rPr>
        <w:t xml:space="preserve">, Bai S, Chen J, Li Y, Zhang S, Hu Z. CDKN2B-AS1 participates in high glucose-induced apoptosis and fibrosis via NOTCH2 through functioning as a miR-98-5p decoy in human podocytes and renal tubular cells. </w:t>
      </w:r>
      <w:proofErr w:type="spellStart"/>
      <w:r>
        <w:rPr>
          <w:rFonts w:ascii="Book Antiqua" w:hAnsi="Book Antiqua"/>
          <w:i/>
          <w:iCs/>
        </w:rPr>
        <w:t>Diabetol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Fonts w:ascii="Book Antiqua" w:hAnsi="Book Antiqua"/>
        </w:rPr>
        <w:t xml:space="preserve"> 2021; </w:t>
      </w:r>
      <w:r>
        <w:rPr>
          <w:rFonts w:ascii="Book Antiqua" w:hAnsi="Book Antiqua"/>
          <w:b/>
          <w:bCs/>
        </w:rPr>
        <w:t>13</w:t>
      </w:r>
      <w:r>
        <w:rPr>
          <w:rFonts w:ascii="Book Antiqua" w:hAnsi="Book Antiqua"/>
        </w:rPr>
        <w:t>: 107 [PMID: 34649592 DOI: 10.1186/s13098-021-00725-5]</w:t>
      </w:r>
    </w:p>
    <w:p w14:paraId="23CEEE4E" w14:textId="77777777" w:rsidR="00FA4012"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Jin J</w:t>
      </w:r>
      <w:r>
        <w:rPr>
          <w:rFonts w:ascii="Book Antiqua" w:hAnsi="Book Antiqua"/>
        </w:rPr>
        <w:t xml:space="preserve">, Gong J, Zhao L, Li Y, He Q. LncRNA Hoxb3os protects podocytes from high glucose-induced cell injury through autophagy dependent on the Akt-mTOR signaling pathway. </w:t>
      </w:r>
      <w:r>
        <w:rPr>
          <w:rFonts w:ascii="Book Antiqua" w:hAnsi="Book Antiqua"/>
          <w:i/>
          <w:iCs/>
        </w:rPr>
        <w:t xml:space="preserve">Acta </w:t>
      </w:r>
      <w:proofErr w:type="spellStart"/>
      <w:r>
        <w:rPr>
          <w:rFonts w:ascii="Book Antiqua" w:hAnsi="Book Antiqua"/>
          <w:i/>
          <w:iCs/>
        </w:rPr>
        <w:t>Biochim</w:t>
      </w:r>
      <w:proofErr w:type="spellEnd"/>
      <w:r>
        <w:rPr>
          <w:rFonts w:ascii="Book Antiqua" w:hAnsi="Book Antiqua"/>
          <w:i/>
          <w:iCs/>
        </w:rPr>
        <w:t xml:space="preserve"> Pol</w:t>
      </w:r>
      <w:r>
        <w:rPr>
          <w:rFonts w:ascii="Book Antiqua" w:hAnsi="Book Antiqua"/>
        </w:rPr>
        <w:t xml:space="preserve"> 2021; </w:t>
      </w:r>
      <w:r>
        <w:rPr>
          <w:rFonts w:ascii="Book Antiqua" w:hAnsi="Book Antiqua"/>
          <w:b/>
          <w:bCs/>
        </w:rPr>
        <w:t>68</w:t>
      </w:r>
      <w:r>
        <w:rPr>
          <w:rFonts w:ascii="Book Antiqua" w:hAnsi="Book Antiqua"/>
        </w:rPr>
        <w:t>: 619-625 [PMID: 34648253 DOI: 10.18388/abp.2020_5483]</w:t>
      </w:r>
    </w:p>
    <w:p w14:paraId="5498E5CD" w14:textId="77777777" w:rsidR="00FA4012"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Long B</w:t>
      </w:r>
      <w:r>
        <w:rPr>
          <w:rFonts w:ascii="Book Antiqua" w:hAnsi="Book Antiqua"/>
        </w:rPr>
        <w:t xml:space="preserve">, Wan Y, Zhang S, </w:t>
      </w:r>
      <w:proofErr w:type="spellStart"/>
      <w:r>
        <w:rPr>
          <w:rFonts w:ascii="Book Antiqua" w:hAnsi="Book Antiqua"/>
        </w:rPr>
        <w:t>Lv</w:t>
      </w:r>
      <w:proofErr w:type="spellEnd"/>
      <w:r>
        <w:rPr>
          <w:rFonts w:ascii="Book Antiqua" w:hAnsi="Book Antiqua"/>
        </w:rPr>
        <w:t xml:space="preserve"> L. LncRNA XIST protects podocyte from high glucose-induced cell injury in diabetic nephropathy by sponging miR-30 and regulating AVEN expression. </w:t>
      </w:r>
      <w:r>
        <w:rPr>
          <w:rFonts w:ascii="Book Antiqua" w:hAnsi="Book Antiqua"/>
          <w:i/>
          <w:iCs/>
        </w:rPr>
        <w:t xml:space="preserve">Arch </w:t>
      </w:r>
      <w:proofErr w:type="spellStart"/>
      <w:r>
        <w:rPr>
          <w:rFonts w:ascii="Book Antiqua" w:hAnsi="Book Antiqua"/>
          <w:i/>
          <w:iCs/>
        </w:rPr>
        <w:t>Physiol</w:t>
      </w:r>
      <w:proofErr w:type="spellEnd"/>
      <w:r>
        <w:rPr>
          <w:rFonts w:ascii="Book Antiqua" w:hAnsi="Book Antiqua"/>
          <w:i/>
          <w:iCs/>
        </w:rPr>
        <w:t xml:space="preserve"> </w:t>
      </w:r>
      <w:proofErr w:type="spellStart"/>
      <w:r>
        <w:rPr>
          <w:rFonts w:ascii="Book Antiqua" w:hAnsi="Book Antiqua"/>
          <w:i/>
          <w:iCs/>
        </w:rPr>
        <w:t>Biochem</w:t>
      </w:r>
      <w:proofErr w:type="spellEnd"/>
      <w:r>
        <w:rPr>
          <w:rFonts w:ascii="Book Antiqua" w:hAnsi="Book Antiqua"/>
        </w:rPr>
        <w:t xml:space="preserve"> 2023; </w:t>
      </w:r>
      <w:r>
        <w:rPr>
          <w:rFonts w:ascii="Book Antiqua" w:hAnsi="Book Antiqua"/>
          <w:b/>
          <w:bCs/>
        </w:rPr>
        <w:t>129</w:t>
      </w:r>
      <w:r>
        <w:rPr>
          <w:rFonts w:ascii="Book Antiqua" w:hAnsi="Book Antiqua"/>
        </w:rPr>
        <w:t>: 610-617 [PMID: 33332155 DOI: 10.1080/13813455.2020.1854307]</w:t>
      </w:r>
    </w:p>
    <w:p w14:paraId="08B4BD8C" w14:textId="77777777" w:rsidR="00FA4012"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Liu H</w:t>
      </w:r>
      <w:r>
        <w:rPr>
          <w:rFonts w:ascii="Book Antiqua" w:hAnsi="Book Antiqua"/>
        </w:rPr>
        <w:t xml:space="preserve">, Sun HL. LncRNA TCF7 triggered endoplasmic reticulum stress through a sponge action with miR-200c in patients with diabetic nephropathy. </w:t>
      </w:r>
      <w:proofErr w:type="spellStart"/>
      <w:r>
        <w:rPr>
          <w:rFonts w:ascii="Book Antiqua" w:hAnsi="Book Antiqua"/>
          <w:i/>
          <w:iCs/>
        </w:rPr>
        <w:t>Eur</w:t>
      </w:r>
      <w:proofErr w:type="spellEnd"/>
      <w:r>
        <w:rPr>
          <w:rFonts w:ascii="Book Antiqua" w:hAnsi="Book Antiqua"/>
          <w:i/>
          <w:iCs/>
        </w:rPr>
        <w:t xml:space="preserve"> Rev Med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2019; </w:t>
      </w:r>
      <w:r>
        <w:rPr>
          <w:rFonts w:ascii="Book Antiqua" w:hAnsi="Book Antiqua"/>
          <w:b/>
          <w:bCs/>
        </w:rPr>
        <w:t>23</w:t>
      </w:r>
      <w:r>
        <w:rPr>
          <w:rFonts w:ascii="Book Antiqua" w:hAnsi="Book Antiqua"/>
        </w:rPr>
        <w:t>: 5912-5922 [PMID: 31298342 DOI: 10.26355/eurrev_201907_18336]</w:t>
      </w:r>
    </w:p>
    <w:p w14:paraId="18D84FB2" w14:textId="77777777" w:rsidR="00FA4012" w:rsidRDefault="00000000">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bCs/>
        </w:rPr>
        <w:t>Bai X</w:t>
      </w:r>
      <w:r>
        <w:rPr>
          <w:rFonts w:ascii="Book Antiqua" w:hAnsi="Book Antiqua"/>
        </w:rPr>
        <w:t xml:space="preserve">, </w:t>
      </w:r>
      <w:proofErr w:type="spellStart"/>
      <w:r>
        <w:rPr>
          <w:rFonts w:ascii="Book Antiqua" w:hAnsi="Book Antiqua"/>
        </w:rPr>
        <w:t>Geng</w:t>
      </w:r>
      <w:proofErr w:type="spellEnd"/>
      <w:r>
        <w:rPr>
          <w:rFonts w:ascii="Book Antiqua" w:hAnsi="Book Antiqua"/>
        </w:rPr>
        <w:t xml:space="preserve"> J, Li X, Wan J, Liu J, Zhou Z, Liu X. Long Noncoding RNA LINC01619 Regulates MicroRNA-27a/</w:t>
      </w:r>
      <w:proofErr w:type="spellStart"/>
      <w:r>
        <w:rPr>
          <w:rFonts w:ascii="Book Antiqua" w:hAnsi="Book Antiqua"/>
        </w:rPr>
        <w:t>Forkhead</w:t>
      </w:r>
      <w:proofErr w:type="spellEnd"/>
      <w:r>
        <w:rPr>
          <w:rFonts w:ascii="Book Antiqua" w:hAnsi="Book Antiqua"/>
        </w:rPr>
        <w:t xml:space="preserve"> Box Protein O1 and Endoplasmic Reticulum Stress-Mediated Podocyte Injury in Diabetic Nephropathy. </w:t>
      </w:r>
      <w:proofErr w:type="spellStart"/>
      <w:r>
        <w:rPr>
          <w:rFonts w:ascii="Book Antiqua" w:hAnsi="Book Antiqua"/>
          <w:i/>
          <w:iCs/>
        </w:rPr>
        <w:t>Antioxid</w:t>
      </w:r>
      <w:proofErr w:type="spellEnd"/>
      <w:r>
        <w:rPr>
          <w:rFonts w:ascii="Book Antiqua" w:hAnsi="Book Antiqua"/>
          <w:i/>
          <w:iCs/>
        </w:rPr>
        <w:t xml:space="preserve"> Redox Signal</w:t>
      </w:r>
      <w:r>
        <w:rPr>
          <w:rFonts w:ascii="Book Antiqua" w:hAnsi="Book Antiqua"/>
        </w:rPr>
        <w:t xml:space="preserve"> 2018; </w:t>
      </w:r>
      <w:r>
        <w:rPr>
          <w:rFonts w:ascii="Book Antiqua" w:hAnsi="Book Antiqua"/>
          <w:b/>
          <w:bCs/>
        </w:rPr>
        <w:t>29</w:t>
      </w:r>
      <w:r>
        <w:rPr>
          <w:rFonts w:ascii="Book Antiqua" w:hAnsi="Book Antiqua"/>
        </w:rPr>
        <w:t>: 355-376 [PMID: 29334763 DOI: 10.1089/ars.2017.7278]</w:t>
      </w:r>
    </w:p>
    <w:p w14:paraId="3D761D1B" w14:textId="77777777" w:rsidR="00FA4012" w:rsidRDefault="00000000">
      <w:pPr>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Paraskevopoulou</w:t>
      </w:r>
      <w:proofErr w:type="spellEnd"/>
      <w:r>
        <w:rPr>
          <w:rFonts w:ascii="Book Antiqua" w:hAnsi="Book Antiqua"/>
          <w:b/>
          <w:bCs/>
        </w:rPr>
        <w:t xml:space="preserve"> MD</w:t>
      </w:r>
      <w:r>
        <w:rPr>
          <w:rFonts w:ascii="Book Antiqua" w:hAnsi="Book Antiqua"/>
        </w:rPr>
        <w:t xml:space="preserve">, Hatzigeorgiou AG. Analyzing MiRNA-LncRNA Interactions. </w:t>
      </w:r>
      <w:r>
        <w:rPr>
          <w:rFonts w:ascii="Book Antiqua" w:hAnsi="Book Antiqua"/>
          <w:i/>
          <w:iCs/>
        </w:rPr>
        <w:t>Methods Mol Biol</w:t>
      </w:r>
      <w:r>
        <w:rPr>
          <w:rFonts w:ascii="Book Antiqua" w:hAnsi="Book Antiqua"/>
        </w:rPr>
        <w:t xml:space="preserve"> 2016; </w:t>
      </w:r>
      <w:r>
        <w:rPr>
          <w:rFonts w:ascii="Book Antiqua" w:hAnsi="Book Antiqua"/>
          <w:b/>
          <w:bCs/>
        </w:rPr>
        <w:t>1402</w:t>
      </w:r>
      <w:r>
        <w:rPr>
          <w:rFonts w:ascii="Book Antiqua" w:hAnsi="Book Antiqua"/>
        </w:rPr>
        <w:t>: 271-286 [PMID: 26721498 DOI: 10.1007/978-1-4939-3378-5_21]</w:t>
      </w:r>
    </w:p>
    <w:p w14:paraId="77476C8C" w14:textId="77777777" w:rsidR="00FA4012"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Ha M</w:t>
      </w:r>
      <w:r>
        <w:rPr>
          <w:rFonts w:ascii="Book Antiqua" w:hAnsi="Book Antiqua"/>
        </w:rPr>
        <w:t xml:space="preserve">, Kim VN. Regulation of microRNA biogenesis. </w:t>
      </w:r>
      <w:r>
        <w:rPr>
          <w:rFonts w:ascii="Book Antiqua" w:hAnsi="Book Antiqua"/>
          <w:i/>
          <w:iCs/>
        </w:rPr>
        <w:t>Nat Rev Mol Cell Biol</w:t>
      </w:r>
      <w:r>
        <w:rPr>
          <w:rFonts w:ascii="Book Antiqua" w:hAnsi="Book Antiqua"/>
        </w:rPr>
        <w:t xml:space="preserve"> 2014; </w:t>
      </w:r>
      <w:r>
        <w:rPr>
          <w:rFonts w:ascii="Book Antiqua" w:hAnsi="Book Antiqua"/>
          <w:b/>
          <w:bCs/>
        </w:rPr>
        <w:t>15</w:t>
      </w:r>
      <w:r>
        <w:rPr>
          <w:rFonts w:ascii="Book Antiqua" w:hAnsi="Book Antiqua"/>
        </w:rPr>
        <w:t>: 509-524 [PMID: 25027649 DOI: 10.1038/nrm3838]</w:t>
      </w:r>
    </w:p>
    <w:p w14:paraId="0A1C2B9A" w14:textId="77777777" w:rsidR="00FA4012"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Thomson DW</w:t>
      </w:r>
      <w:r>
        <w:rPr>
          <w:rFonts w:ascii="Book Antiqua" w:hAnsi="Book Antiqua"/>
        </w:rPr>
        <w:t xml:space="preserve">, Dinger ME. Endogenous microRNA sponges: evidence and controversy. </w:t>
      </w:r>
      <w:r>
        <w:rPr>
          <w:rFonts w:ascii="Book Antiqua" w:hAnsi="Book Antiqua"/>
          <w:i/>
          <w:iCs/>
        </w:rPr>
        <w:t>Nat Rev Genet</w:t>
      </w:r>
      <w:r>
        <w:rPr>
          <w:rFonts w:ascii="Book Antiqua" w:hAnsi="Book Antiqua"/>
        </w:rPr>
        <w:t xml:space="preserve"> 2016; </w:t>
      </w:r>
      <w:r>
        <w:rPr>
          <w:rFonts w:ascii="Book Antiqua" w:hAnsi="Book Antiqua"/>
          <w:b/>
          <w:bCs/>
        </w:rPr>
        <w:t>17</w:t>
      </w:r>
      <w:r>
        <w:rPr>
          <w:rFonts w:ascii="Book Antiqua" w:hAnsi="Book Antiqua"/>
        </w:rPr>
        <w:t>: 272-283 [PMID: 27040487 DOI: 10.1038/nrg.2016.20]</w:t>
      </w:r>
    </w:p>
    <w:p w14:paraId="75C1666B" w14:textId="77777777" w:rsidR="00FA4012"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Zhang J</w:t>
      </w:r>
      <w:r>
        <w:rPr>
          <w:rFonts w:ascii="Book Antiqua" w:hAnsi="Book Antiqua"/>
        </w:rPr>
        <w:t xml:space="preserve">, Song L, Ma Y, Yin Y, Liu X, Luo X, Sun J, Wang L. lncRNA MEG8 Upregulates miR-770-5p Through Methylation and Promotes Cell Apoptosis in Diabetic Nephropathy. </w:t>
      </w:r>
      <w:r>
        <w:rPr>
          <w:rFonts w:ascii="Book Antiqua" w:hAnsi="Book Antiqua"/>
          <w:i/>
          <w:iCs/>
        </w:rPr>
        <w:t xml:space="preserve">Diabetes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Fonts w:ascii="Book Antiqua" w:hAnsi="Book Antiqua"/>
          <w:i/>
          <w:iCs/>
        </w:rPr>
        <w:t xml:space="preserve"> </w:t>
      </w:r>
      <w:proofErr w:type="spellStart"/>
      <w:r>
        <w:rPr>
          <w:rFonts w:ascii="Book Antiqua" w:hAnsi="Book Antiqua"/>
          <w:i/>
          <w:iCs/>
        </w:rPr>
        <w:t>Obes</w:t>
      </w:r>
      <w:proofErr w:type="spellEnd"/>
      <w:r>
        <w:rPr>
          <w:rFonts w:ascii="Book Antiqua" w:hAnsi="Book Antiqua"/>
        </w:rPr>
        <w:t xml:space="preserve"> 2020; </w:t>
      </w:r>
      <w:r>
        <w:rPr>
          <w:rFonts w:ascii="Book Antiqua" w:hAnsi="Book Antiqua"/>
          <w:b/>
          <w:bCs/>
        </w:rPr>
        <w:t>13</w:t>
      </w:r>
      <w:r>
        <w:rPr>
          <w:rFonts w:ascii="Book Antiqua" w:hAnsi="Book Antiqua"/>
        </w:rPr>
        <w:t>: 2477-2483 [PMID: 32765026 DOI: 10.2147/DMSO.S255183]</w:t>
      </w:r>
    </w:p>
    <w:p w14:paraId="17830EE9" w14:textId="77777777" w:rsidR="00FA4012"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Li F</w:t>
      </w:r>
      <w:r>
        <w:rPr>
          <w:rFonts w:ascii="Book Antiqua" w:hAnsi="Book Antiqua"/>
        </w:rPr>
        <w:t>, Dai B, Ni X. Long non-coding RNA cancer susceptibility candidate 2 (CASC2) alleviates the high glucose-induced injury of CIHP-1 cells via regulating miR-9-5p/</w:t>
      </w:r>
      <w:proofErr w:type="spellStart"/>
      <w:r>
        <w:rPr>
          <w:rFonts w:ascii="Book Antiqua" w:hAnsi="Book Antiqua"/>
        </w:rPr>
        <w:t>PPARγ</w:t>
      </w:r>
      <w:proofErr w:type="spellEnd"/>
      <w:r>
        <w:rPr>
          <w:rFonts w:ascii="Book Antiqua" w:hAnsi="Book Antiqua"/>
        </w:rPr>
        <w:t xml:space="preserve"> axis in diabetes nephropathy. </w:t>
      </w:r>
      <w:proofErr w:type="spellStart"/>
      <w:r>
        <w:rPr>
          <w:rFonts w:ascii="Book Antiqua" w:hAnsi="Book Antiqua"/>
          <w:i/>
          <w:iCs/>
        </w:rPr>
        <w:t>Diabetol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Syndr</w:t>
      </w:r>
      <w:proofErr w:type="spellEnd"/>
      <w:r>
        <w:rPr>
          <w:rFonts w:ascii="Book Antiqua" w:hAnsi="Book Antiqua"/>
        </w:rPr>
        <w:t xml:space="preserve"> 2020; </w:t>
      </w:r>
      <w:r>
        <w:rPr>
          <w:rFonts w:ascii="Book Antiqua" w:hAnsi="Book Antiqua"/>
          <w:b/>
          <w:bCs/>
        </w:rPr>
        <w:t>12</w:t>
      </w:r>
      <w:r>
        <w:rPr>
          <w:rFonts w:ascii="Book Antiqua" w:hAnsi="Book Antiqua"/>
        </w:rPr>
        <w:t>: 68 [PMID: 32774472 DOI: 10.1186/s13098-020-00574-8]</w:t>
      </w:r>
    </w:p>
    <w:bookmarkEnd w:id="406"/>
    <w:bookmarkEnd w:id="407"/>
    <w:p w14:paraId="19DFB3D3" w14:textId="77777777" w:rsidR="00FA4012" w:rsidRDefault="00FA4012">
      <w:pPr>
        <w:spacing w:line="360" w:lineRule="auto"/>
        <w:jc w:val="both"/>
        <w:rPr>
          <w:rFonts w:ascii="Book Antiqua" w:hAnsi="Book Antiqua"/>
        </w:rPr>
        <w:sectPr w:rsidR="00FA4012">
          <w:pgSz w:w="12240" w:h="15840"/>
          <w:pgMar w:top="1440" w:right="1440" w:bottom="1440" w:left="1440" w:header="720" w:footer="720" w:gutter="0"/>
          <w:cols w:space="720"/>
          <w:docGrid w:linePitch="360"/>
        </w:sectPr>
      </w:pPr>
    </w:p>
    <w:p w14:paraId="36025B74"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37B34A7"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All experimental procedures were in accordance with the institutional animal care and use committee and approved by the Animal Care and Ethics Committee of Second Hospital of Hebei Medical University (approval No. 2022-AE051).</w:t>
      </w:r>
    </w:p>
    <w:p w14:paraId="789FB764" w14:textId="77777777" w:rsidR="00FA4012" w:rsidRDefault="00FA4012">
      <w:pPr>
        <w:spacing w:line="360" w:lineRule="auto"/>
        <w:jc w:val="both"/>
        <w:rPr>
          <w:rFonts w:ascii="Book Antiqua" w:hAnsi="Book Antiqua"/>
        </w:rPr>
      </w:pPr>
    </w:p>
    <w:p w14:paraId="224B7788"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44356E27" w14:textId="77777777" w:rsidR="00FA4012" w:rsidRDefault="00FA4012">
      <w:pPr>
        <w:spacing w:line="360" w:lineRule="auto"/>
        <w:jc w:val="both"/>
        <w:rPr>
          <w:rFonts w:ascii="Book Antiqua" w:hAnsi="Book Antiqua"/>
        </w:rPr>
      </w:pPr>
    </w:p>
    <w:p w14:paraId="50CFAE86"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3C3C3C"/>
        </w:rPr>
        <w:t>Technical appendix, statistical code, and dataset available from the corresponding author at chenbs2013@163.com.</w:t>
      </w:r>
    </w:p>
    <w:p w14:paraId="4A673B26" w14:textId="77777777" w:rsidR="00FA4012" w:rsidRDefault="00FA4012">
      <w:pPr>
        <w:spacing w:line="360" w:lineRule="auto"/>
        <w:jc w:val="both"/>
        <w:rPr>
          <w:rFonts w:ascii="Book Antiqua" w:hAnsi="Book Antiqua"/>
        </w:rPr>
      </w:pPr>
    </w:p>
    <w:p w14:paraId="7554ECEE"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6125547" w14:textId="77777777" w:rsidR="00FA4012" w:rsidRDefault="00FA4012">
      <w:pPr>
        <w:spacing w:line="360" w:lineRule="auto"/>
        <w:jc w:val="both"/>
        <w:rPr>
          <w:rFonts w:ascii="Book Antiqua" w:hAnsi="Book Antiqua"/>
        </w:rPr>
      </w:pPr>
    </w:p>
    <w:p w14:paraId="185E7783" w14:textId="77777777" w:rsidR="00FA4012"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1B9395" w14:textId="77777777" w:rsidR="00FA4012" w:rsidRDefault="00FA4012">
      <w:pPr>
        <w:spacing w:line="360" w:lineRule="auto"/>
        <w:jc w:val="both"/>
        <w:rPr>
          <w:rFonts w:ascii="Book Antiqua" w:hAnsi="Book Antiqua"/>
        </w:rPr>
      </w:pPr>
    </w:p>
    <w:p w14:paraId="6BF9C7C4"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871A828"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B4CED68" w14:textId="77777777" w:rsidR="00FA4012" w:rsidRDefault="00FA4012">
      <w:pPr>
        <w:spacing w:line="360" w:lineRule="auto"/>
        <w:jc w:val="both"/>
        <w:rPr>
          <w:rFonts w:ascii="Book Antiqua" w:hAnsi="Book Antiqua"/>
        </w:rPr>
      </w:pPr>
    </w:p>
    <w:p w14:paraId="013C97AF"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24, 2023</w:t>
      </w:r>
    </w:p>
    <w:p w14:paraId="0C93D371"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1E2358BE"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15, 2024</w:t>
      </w:r>
    </w:p>
    <w:p w14:paraId="4D1022F6" w14:textId="77777777" w:rsidR="00FA4012" w:rsidRDefault="00FA4012">
      <w:pPr>
        <w:spacing w:line="360" w:lineRule="auto"/>
        <w:jc w:val="both"/>
        <w:rPr>
          <w:rFonts w:ascii="Book Antiqua" w:hAnsi="Book Antiqua"/>
        </w:rPr>
      </w:pPr>
    </w:p>
    <w:p w14:paraId="7F1A26D2"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微软雅黑" w:hAnsi="Book Antiqua" w:cs="宋体"/>
        </w:rPr>
        <w:t>Endocrinology and metabolism</w:t>
      </w:r>
    </w:p>
    <w:p w14:paraId="29503A94"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5E41603" w14:textId="77777777" w:rsidR="00FA4012"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A2D2731" w14:textId="77777777" w:rsidR="00FA4012" w:rsidRDefault="00000000">
      <w:pPr>
        <w:spacing w:line="360" w:lineRule="auto"/>
        <w:jc w:val="both"/>
        <w:rPr>
          <w:rFonts w:ascii="Book Antiqua" w:hAnsi="Book Antiqua"/>
        </w:rPr>
      </w:pPr>
      <w:r>
        <w:rPr>
          <w:rFonts w:ascii="Book Antiqua" w:eastAsia="Book Antiqua" w:hAnsi="Book Antiqua" w:cs="Book Antiqua"/>
        </w:rPr>
        <w:t>Grade A (Excellent): 0</w:t>
      </w:r>
    </w:p>
    <w:p w14:paraId="51453BD2" w14:textId="77777777" w:rsidR="00FA4012" w:rsidRDefault="00000000">
      <w:pPr>
        <w:spacing w:line="360" w:lineRule="auto"/>
        <w:jc w:val="both"/>
        <w:rPr>
          <w:rFonts w:ascii="Book Antiqua" w:hAnsi="Book Antiqua"/>
        </w:rPr>
      </w:pPr>
      <w:r>
        <w:rPr>
          <w:rFonts w:ascii="Book Antiqua" w:eastAsia="Book Antiqua" w:hAnsi="Book Antiqua" w:cs="Book Antiqua"/>
        </w:rPr>
        <w:t>Grade B (Very good): B</w:t>
      </w:r>
    </w:p>
    <w:p w14:paraId="6814C9E4" w14:textId="77777777" w:rsidR="00FA4012" w:rsidRDefault="00000000">
      <w:pPr>
        <w:spacing w:line="360" w:lineRule="auto"/>
        <w:jc w:val="both"/>
        <w:rPr>
          <w:rFonts w:ascii="Book Antiqua" w:hAnsi="Book Antiqua"/>
        </w:rPr>
      </w:pPr>
      <w:r>
        <w:rPr>
          <w:rFonts w:ascii="Book Antiqua" w:eastAsia="Book Antiqua" w:hAnsi="Book Antiqua" w:cs="Book Antiqua"/>
        </w:rPr>
        <w:t>Grade C (Good): C</w:t>
      </w:r>
    </w:p>
    <w:p w14:paraId="00923188" w14:textId="77777777" w:rsidR="00FA4012" w:rsidRDefault="00000000">
      <w:pPr>
        <w:spacing w:line="360" w:lineRule="auto"/>
        <w:jc w:val="both"/>
        <w:rPr>
          <w:rFonts w:ascii="Book Antiqua" w:hAnsi="Book Antiqua"/>
        </w:rPr>
      </w:pPr>
      <w:r>
        <w:rPr>
          <w:rFonts w:ascii="Book Antiqua" w:eastAsia="Book Antiqua" w:hAnsi="Book Antiqua" w:cs="Book Antiqua"/>
        </w:rPr>
        <w:t>Grade D (Fair): 0</w:t>
      </w:r>
    </w:p>
    <w:p w14:paraId="0382F1FF" w14:textId="77777777" w:rsidR="00FA4012" w:rsidRDefault="00000000">
      <w:pPr>
        <w:spacing w:line="360" w:lineRule="auto"/>
        <w:jc w:val="both"/>
        <w:rPr>
          <w:rFonts w:ascii="Book Antiqua" w:hAnsi="Book Antiqua"/>
        </w:rPr>
      </w:pPr>
      <w:r>
        <w:rPr>
          <w:rFonts w:ascii="Book Antiqua" w:eastAsia="Book Antiqua" w:hAnsi="Book Antiqua" w:cs="Book Antiqua"/>
        </w:rPr>
        <w:t>Grade E (Poor): 0</w:t>
      </w:r>
    </w:p>
    <w:p w14:paraId="518A70F8" w14:textId="77777777" w:rsidR="00FA4012" w:rsidRDefault="00FA4012">
      <w:pPr>
        <w:spacing w:line="360" w:lineRule="auto"/>
        <w:jc w:val="both"/>
        <w:rPr>
          <w:rFonts w:ascii="Book Antiqua" w:hAnsi="Book Antiqua"/>
        </w:rPr>
      </w:pPr>
    </w:p>
    <w:p w14:paraId="471CBB4F" w14:textId="77777777" w:rsidR="00FA4012"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P-Reviewer:</w:t>
      </w:r>
      <w:r>
        <w:rPr>
          <w:rFonts w:ascii="Book Antiqua" w:eastAsia="Book Antiqua" w:hAnsi="Book Antiqua" w:cs="Book Antiqua"/>
          <w:bCs/>
          <w:color w:val="000000"/>
        </w:rPr>
        <w:t xml:space="preserve"> Sanyal D, India; </w:t>
      </w:r>
      <w:proofErr w:type="spellStart"/>
      <w:r>
        <w:rPr>
          <w:rFonts w:ascii="Book Antiqua" w:eastAsia="Book Antiqua" w:hAnsi="Book Antiqua" w:cs="Book Antiqua"/>
        </w:rPr>
        <w:t>Selamoglu</w:t>
      </w:r>
      <w:proofErr w:type="spellEnd"/>
      <w:r>
        <w:rPr>
          <w:rFonts w:ascii="Book Antiqua" w:eastAsia="Book Antiqua" w:hAnsi="Book Antiqua" w:cs="Book Antiqua"/>
        </w:rPr>
        <w:t xml:space="preserve"> Z,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Zheng XM</w:t>
      </w:r>
    </w:p>
    <w:p w14:paraId="344A9ECA" w14:textId="77777777" w:rsidR="00FA4012" w:rsidRDefault="00FA4012">
      <w:pPr>
        <w:spacing w:line="360" w:lineRule="auto"/>
        <w:jc w:val="both"/>
        <w:rPr>
          <w:rFonts w:ascii="Book Antiqua" w:hAnsi="Book Antiqua"/>
        </w:rPr>
        <w:sectPr w:rsidR="00FA4012">
          <w:pgSz w:w="12240" w:h="15840"/>
          <w:pgMar w:top="1440" w:right="1440" w:bottom="1440" w:left="1440" w:header="720" w:footer="720" w:gutter="0"/>
          <w:cols w:space="720"/>
          <w:docGrid w:linePitch="360"/>
        </w:sectPr>
      </w:pPr>
    </w:p>
    <w:p w14:paraId="2DBA8419" w14:textId="77777777" w:rsidR="00FA401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6A8F51" w14:textId="1DD64E07" w:rsidR="00FA4012" w:rsidRDefault="00051491">
      <w:pPr>
        <w:spacing w:line="360" w:lineRule="auto"/>
        <w:jc w:val="both"/>
        <w:rPr>
          <w:rFonts w:ascii="Book Antiqua" w:hAnsi="Book Antiqua"/>
        </w:rPr>
      </w:pPr>
      <w:r>
        <w:rPr>
          <w:rFonts w:ascii="Book Antiqua" w:hAnsi="Book Antiqua"/>
          <w:noProof/>
        </w:rPr>
        <w:drawing>
          <wp:inline distT="0" distB="0" distL="0" distR="0" wp14:anchorId="36BBEAE8" wp14:editId="7CB7C41B">
            <wp:extent cx="4705080" cy="438374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5080" cy="4383745"/>
                    </a:xfrm>
                    <a:prstGeom prst="rect">
                      <a:avLst/>
                    </a:prstGeom>
                  </pic:spPr>
                </pic:pic>
              </a:graphicData>
            </a:graphic>
          </wp:inline>
        </w:drawing>
      </w:r>
    </w:p>
    <w:p w14:paraId="7E090744" w14:textId="77777777" w:rsidR="00FA401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RNA-sequencing analysis indicated a total of 51 </w:t>
      </w:r>
      <w:bookmarkStart w:id="408" w:name="_Hlk155533533"/>
      <w:r>
        <w:rPr>
          <w:rFonts w:ascii="Book Antiqua" w:eastAsia="Book Antiqua" w:hAnsi="Book Antiqua" w:cs="Book Antiqua"/>
          <w:b/>
          <w:bCs/>
        </w:rPr>
        <w:t>long noncoding RNA</w:t>
      </w:r>
      <w:bookmarkEnd w:id="408"/>
      <w:r>
        <w:rPr>
          <w:rFonts w:ascii="Book Antiqua" w:eastAsia="Book Antiqua" w:hAnsi="Book Antiqua" w:cs="Book Antiqua"/>
          <w:b/>
          <w:bCs/>
        </w:rPr>
        <w:t xml:space="preserve">s that were differentially expressed between the </w:t>
      </w:r>
      <w:bookmarkStart w:id="409" w:name="_Hlk155533551"/>
      <w:r>
        <w:rPr>
          <w:rFonts w:ascii="Book Antiqua" w:eastAsia="Book Antiqua" w:hAnsi="Book Antiqua" w:cs="Book Antiqua"/>
          <w:b/>
          <w:bCs/>
        </w:rPr>
        <w:t>normal glucose</w:t>
      </w:r>
      <w:bookmarkEnd w:id="409"/>
      <w:r>
        <w:rPr>
          <w:rFonts w:ascii="Book Antiqua" w:eastAsia="Book Antiqua" w:hAnsi="Book Antiqua" w:cs="Book Antiqua"/>
          <w:b/>
          <w:bCs/>
        </w:rPr>
        <w:t xml:space="preserve"> and </w:t>
      </w:r>
      <w:bookmarkStart w:id="410" w:name="_Hlk155533559"/>
      <w:r>
        <w:rPr>
          <w:rFonts w:ascii="Book Antiqua" w:eastAsia="Book Antiqua" w:hAnsi="Book Antiqua" w:cs="Book Antiqua"/>
          <w:b/>
          <w:bCs/>
        </w:rPr>
        <w:t>high glucose</w:t>
      </w:r>
      <w:bookmarkEnd w:id="410"/>
      <w:r>
        <w:rPr>
          <w:rFonts w:ascii="Book Antiqua" w:eastAsia="Book Antiqua" w:hAnsi="Book Antiqua" w:cs="Book Antiqua"/>
          <w:b/>
          <w:bCs/>
        </w:rPr>
        <w:t xml:space="preserve"> groups, which included 20 upregulated and 31 downregulated long noncoding RNAs.</w:t>
      </w:r>
      <w:r>
        <w:rPr>
          <w:rFonts w:ascii="Book Antiqua" w:eastAsia="Book Antiqua" w:hAnsi="Book Antiqua" w:cs="Book Antiqua"/>
        </w:rPr>
        <w:t xml:space="preserve"> lncRNA:</w:t>
      </w:r>
      <w:r>
        <w:rPr>
          <w:rFonts w:ascii="Book Antiqua" w:hAnsi="Book Antiqua"/>
        </w:rPr>
        <w:t xml:space="preserve"> </w:t>
      </w:r>
      <w:r>
        <w:rPr>
          <w:rFonts w:ascii="Book Antiqua" w:eastAsia="Book Antiqua" w:hAnsi="Book Antiqua" w:cs="Book Antiqua"/>
        </w:rPr>
        <w:t>Long noncoding RNA; HG: High glucose; NG: Normal glucose; Pdia3: Protein-disulfide isomerase-associated 3.</w:t>
      </w:r>
    </w:p>
    <w:p w14:paraId="3B68AAAC" w14:textId="77777777" w:rsidR="00FA4012" w:rsidRDefault="00FA4012">
      <w:pPr>
        <w:spacing w:line="360" w:lineRule="auto"/>
        <w:jc w:val="both"/>
        <w:rPr>
          <w:rFonts w:ascii="Book Antiqua" w:hAnsi="Book Antiqua"/>
        </w:rPr>
        <w:sectPr w:rsidR="00FA4012">
          <w:pgSz w:w="12240" w:h="15840"/>
          <w:pgMar w:top="1440" w:right="1440" w:bottom="1440" w:left="1440" w:header="720" w:footer="720" w:gutter="0"/>
          <w:cols w:space="720"/>
          <w:docGrid w:linePitch="360"/>
        </w:sectPr>
      </w:pPr>
    </w:p>
    <w:p w14:paraId="74A21B0C" w14:textId="59604271" w:rsidR="00FA4012" w:rsidRDefault="00D35FBC">
      <w:pPr>
        <w:spacing w:line="360" w:lineRule="auto"/>
        <w:jc w:val="both"/>
        <w:rPr>
          <w:rFonts w:ascii="Book Antiqua" w:hAnsi="Book Antiqua"/>
        </w:rPr>
      </w:pPr>
      <w:r>
        <w:rPr>
          <w:rFonts w:ascii="Book Antiqua" w:hAnsi="Book Antiqua"/>
          <w:noProof/>
        </w:rPr>
        <w:lastRenderedPageBreak/>
        <w:drawing>
          <wp:inline distT="0" distB="0" distL="0" distR="0" wp14:anchorId="5CE1BCF8" wp14:editId="72A93261">
            <wp:extent cx="2834221" cy="7592291"/>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977" cy="7599674"/>
                    </a:xfrm>
                    <a:prstGeom prst="rect">
                      <a:avLst/>
                    </a:prstGeom>
                  </pic:spPr>
                </pic:pic>
              </a:graphicData>
            </a:graphic>
          </wp:inline>
        </w:drawing>
      </w:r>
    </w:p>
    <w:p w14:paraId="09F48264" w14:textId="77777777" w:rsidR="00FA401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The upregulation of </w:t>
      </w:r>
      <w:bookmarkStart w:id="411" w:name="_Hlk155533094"/>
      <w:r>
        <w:rPr>
          <w:rFonts w:ascii="Book Antiqua" w:eastAsia="Book Antiqua" w:hAnsi="Book Antiqua" w:cs="Book Antiqua"/>
          <w:b/>
          <w:bCs/>
        </w:rPr>
        <w:t>long noncoding RNA</w:t>
      </w:r>
      <w:bookmarkEnd w:id="411"/>
      <w:r>
        <w:rPr>
          <w:rFonts w:ascii="Book Antiqua" w:eastAsia="Book Antiqua" w:hAnsi="Book Antiqua" w:cs="Book Antiqua"/>
          <w:b/>
          <w:bCs/>
        </w:rPr>
        <w:t xml:space="preserve"> Pdia3 attenuated podocyte apoptosis and endoplasmic reticulum stress in high glucose-cultured podocytes. The </w:t>
      </w:r>
      <w:r>
        <w:rPr>
          <w:rFonts w:ascii="Book Antiqua" w:eastAsia="Book Antiqua" w:hAnsi="Book Antiqua" w:cs="Book Antiqua"/>
          <w:b/>
          <w:bCs/>
        </w:rPr>
        <w:lastRenderedPageBreak/>
        <w:t>downregulation of long noncoding RNA Pdia3 aggravated podocyte apoptosis and endoplasmic reticulum stress in normal glucose-cultured podocytes.</w:t>
      </w:r>
      <w:r>
        <w:rPr>
          <w:rFonts w:ascii="Book Antiqua" w:eastAsia="Book Antiqua" w:hAnsi="Book Antiqua" w:cs="Book Antiqua"/>
        </w:rPr>
        <w:t xml:space="preserve"> A: The transfection efficiency of pcDNA3.1-long noncoding RNA (lncRNA) Pdia3 was detected by quantitative real-time polymerase chain reaction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B: The transfection efficiency of small interfering RNA-lncRNA Pdia3 was detected by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C: The expressions of lncRNA Pdia3 were measured by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GAPDH served as a loading control; D: Quantitative analysis of the relative cell viability; E: Podocyte apoptosis was detected by flow cytometry; F: Quantitative analysis of the cell apoptotic rate; G and H: The expressions of </w:t>
      </w:r>
      <w:proofErr w:type="spellStart"/>
      <w:r>
        <w:rPr>
          <w:rFonts w:ascii="Book Antiqua" w:eastAsia="Book Antiqua" w:hAnsi="Book Antiqua" w:cs="Book Antiqua"/>
        </w:rPr>
        <w:t>nephrin</w:t>
      </w:r>
      <w:proofErr w:type="spellEnd"/>
      <w:r>
        <w:rPr>
          <w:rFonts w:ascii="Book Antiqua" w:eastAsia="Book Antiqua" w:hAnsi="Book Antiqua" w:cs="Book Antiqua"/>
        </w:rPr>
        <w:t xml:space="preserve"> and podocin in podocytes were analyzed by immunofluorescence. Scale bar = 50 </w:t>
      </w:r>
      <w:proofErr w:type="spellStart"/>
      <w:r>
        <w:rPr>
          <w:rFonts w:ascii="Book Antiqua" w:eastAsia="Book Antiqua" w:hAnsi="Book Antiqua" w:cs="Book Antiqua"/>
        </w:rPr>
        <w:t>μm</w:t>
      </w:r>
      <w:proofErr w:type="spellEnd"/>
      <w:r>
        <w:rPr>
          <w:rFonts w:ascii="Book Antiqua" w:eastAsia="Book Antiqua" w:hAnsi="Book Antiqua" w:cs="Book Antiqua"/>
        </w:rPr>
        <w:t>; I: The protein levels of endoplasmic reticulum stress-related factors (</w:t>
      </w:r>
      <w:r>
        <w:rPr>
          <w:rFonts w:ascii="Book Antiqua" w:eastAsia="Book Antiqua" w:hAnsi="Book Antiqua" w:cs="Book Antiqua"/>
          <w:color w:val="000000"/>
        </w:rPr>
        <w:t>glucose-regulated protein 78</w:t>
      </w:r>
      <w:r>
        <w:rPr>
          <w:rFonts w:ascii="Book Antiqua" w:eastAsia="Book Antiqua" w:hAnsi="Book Antiqua" w:cs="Book Antiqua"/>
        </w:rPr>
        <w:t xml:space="preserve">, </w:t>
      </w:r>
      <w:r>
        <w:rPr>
          <w:rFonts w:ascii="Book Antiqua" w:eastAsia="Book Antiqua" w:hAnsi="Book Antiqua" w:cs="Book Antiqua"/>
          <w:color w:val="000000"/>
        </w:rPr>
        <w:t>C/EBP homologous protein</w:t>
      </w:r>
      <w:r>
        <w:rPr>
          <w:rFonts w:ascii="Book Antiqua" w:eastAsia="Book Antiqua" w:hAnsi="Book Antiqua" w:cs="Book Antiqua"/>
        </w:rPr>
        <w:t xml:space="preserve">, and caspase-12) were analyzed by western blotting. β-Tubulin was used as an internal control; J: Quantitative analysis of </w:t>
      </w:r>
      <w:r>
        <w:rPr>
          <w:rFonts w:ascii="Book Antiqua" w:eastAsia="Book Antiqua" w:hAnsi="Book Antiqua" w:cs="Book Antiqua"/>
          <w:color w:val="000000"/>
        </w:rPr>
        <w:t>glucose-regulated protein 78</w:t>
      </w:r>
      <w:r>
        <w:rPr>
          <w:rFonts w:ascii="Book Antiqua" w:eastAsia="Book Antiqua" w:hAnsi="Book Antiqua" w:cs="Book Antiqua"/>
        </w:rPr>
        <w:t xml:space="preserve">, </w:t>
      </w:r>
      <w:r>
        <w:rPr>
          <w:rFonts w:ascii="Book Antiqua" w:eastAsia="Book Antiqua" w:hAnsi="Book Antiqua" w:cs="Book Antiqua"/>
          <w:color w:val="000000"/>
        </w:rPr>
        <w:t>C/EBP homologous protein</w:t>
      </w:r>
      <w:r>
        <w:rPr>
          <w:rFonts w:ascii="Book Antiqua" w:eastAsia="Book Antiqua" w:hAnsi="Book Antiqua" w:cs="Book Antiqua"/>
        </w:rPr>
        <w:t xml:space="preserve"> and caspase-12. The data were presented as mean ± SD.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w:t>
      </w:r>
      <w:r>
        <w:rPr>
          <w:rFonts w:ascii="Book Antiqua" w:eastAsia="Book Antiqua" w:hAnsi="Book Antiqua" w:cs="Book Antiqua"/>
          <w:b/>
          <w:bCs/>
        </w:rPr>
        <w:t xml:space="preserve"> </w:t>
      </w:r>
      <w:r>
        <w:rPr>
          <w:rFonts w:ascii="Book Antiqua" w:eastAsia="Book Antiqua" w:hAnsi="Book Antiqua" w:cs="Book Antiqua"/>
        </w:rPr>
        <w:t>lncRNA:</w:t>
      </w:r>
      <w:r>
        <w:rPr>
          <w:rFonts w:ascii="Book Antiqua" w:hAnsi="Book Antiqua"/>
        </w:rPr>
        <w:t xml:space="preserve"> </w:t>
      </w:r>
      <w:r>
        <w:rPr>
          <w:rFonts w:ascii="Book Antiqua" w:eastAsia="Book Antiqua" w:hAnsi="Book Antiqua" w:cs="Book Antiqua"/>
        </w:rPr>
        <w:t>Long noncoding RNA; HG: High glucose; NG: Normal glucose; siRNA: Small interfering RNA; Pdia3: Protein-disulfide isomerase-associated 3;</w:t>
      </w:r>
      <w:r>
        <w:rPr>
          <w:rFonts w:ascii="Book Antiqua" w:eastAsia="Book Antiqua" w:hAnsi="Book Antiqua" w:cs="Book Antiqua"/>
          <w:color w:val="000000"/>
        </w:rPr>
        <w:t xml:space="preserve"> GRP78: Glucose-regulated protein 78; CHOP: C/EBP homologous protein</w:t>
      </w:r>
      <w:r>
        <w:rPr>
          <w:rFonts w:ascii="Book Antiqua" w:eastAsia="Book Antiqua" w:hAnsi="Book Antiqua" w:cs="Book Antiqua"/>
        </w:rPr>
        <w:t>.</w:t>
      </w:r>
    </w:p>
    <w:p w14:paraId="043AE084" w14:textId="77777777" w:rsidR="00FA4012" w:rsidRDefault="00FA4012">
      <w:pPr>
        <w:spacing w:line="360" w:lineRule="auto"/>
        <w:jc w:val="both"/>
        <w:rPr>
          <w:rFonts w:ascii="Book Antiqua" w:hAnsi="Book Antiqua"/>
        </w:rPr>
        <w:sectPr w:rsidR="00FA4012">
          <w:pgSz w:w="12240" w:h="15840"/>
          <w:pgMar w:top="1440" w:right="1440" w:bottom="1440" w:left="1440" w:header="720" w:footer="720" w:gutter="0"/>
          <w:cols w:space="720"/>
          <w:docGrid w:linePitch="360"/>
        </w:sectPr>
      </w:pPr>
    </w:p>
    <w:p w14:paraId="61C3E58B" w14:textId="065DF5F0" w:rsidR="00FA4012" w:rsidRDefault="00D35FBC">
      <w:pPr>
        <w:spacing w:line="360" w:lineRule="auto"/>
        <w:jc w:val="both"/>
        <w:rPr>
          <w:rFonts w:ascii="Book Antiqua" w:hAnsi="Book Antiqua"/>
        </w:rPr>
      </w:pPr>
      <w:r>
        <w:rPr>
          <w:rFonts w:ascii="Book Antiqua" w:hAnsi="Book Antiqua"/>
          <w:noProof/>
        </w:rPr>
        <w:lastRenderedPageBreak/>
        <w:drawing>
          <wp:inline distT="0" distB="0" distL="0" distR="0" wp14:anchorId="5DB0B4F4" wp14:editId="22ECFF00">
            <wp:extent cx="5943600" cy="6195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195060"/>
                    </a:xfrm>
                    <a:prstGeom prst="rect">
                      <a:avLst/>
                    </a:prstGeom>
                  </pic:spPr>
                </pic:pic>
              </a:graphicData>
            </a:graphic>
          </wp:inline>
        </w:drawing>
      </w:r>
    </w:p>
    <w:p w14:paraId="3349EB2D" w14:textId="77777777" w:rsidR="00FA401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The direct interaction between long noncoding RNA Pdia3 and miR-139-3p was revealed.</w:t>
      </w:r>
      <w:r>
        <w:rPr>
          <w:rFonts w:ascii="Book Antiqua" w:eastAsia="Book Antiqua" w:hAnsi="Book Antiqua" w:cs="Book Antiqua"/>
        </w:rPr>
        <w:t xml:space="preserve"> A: The subcellular location of long noncoding RNA (lncRNA) Pdia3 was examined by fluorescence </w:t>
      </w:r>
      <w:r>
        <w:rPr>
          <w:rFonts w:ascii="Book Antiqua" w:eastAsia="Book Antiqua" w:hAnsi="Book Antiqua" w:cs="Book Antiqua"/>
          <w:i/>
          <w:iCs/>
        </w:rPr>
        <w:t>in situ</w:t>
      </w:r>
      <w:r>
        <w:rPr>
          <w:rFonts w:ascii="Book Antiqua" w:eastAsia="Book Antiqua" w:hAnsi="Book Antiqua" w:cs="Book Antiqua"/>
        </w:rPr>
        <w:t xml:space="preserve"> hybridization. LncRNA Pdia3 was mainly distributed in the cytoplasm; B: The target binding site between lncRNA Pdia3 and miR-139-3p was revealed; C: Dual-luciferase reporter assay was performed to measure the luciferase activity of co-transfecting with miR-139-3p mimics or NC mimics and lncRNA Pdia3 </w:t>
      </w:r>
      <w:proofErr w:type="spellStart"/>
      <w:r>
        <w:rPr>
          <w:rFonts w:ascii="Book Antiqua" w:eastAsia="Book Antiqua" w:hAnsi="Book Antiqua" w:cs="Book Antiqua"/>
        </w:rPr>
        <w:t>wt</w:t>
      </w:r>
      <w:proofErr w:type="spellEnd"/>
      <w:r>
        <w:rPr>
          <w:rFonts w:ascii="Book Antiqua" w:eastAsia="Book Antiqua" w:hAnsi="Book Antiqua" w:cs="Book Antiqua"/>
        </w:rPr>
        <w:t xml:space="preserve"> or mut luciferase reporters. The data were presented as the relative ratio of firefly </w:t>
      </w:r>
      <w:r>
        <w:rPr>
          <w:rFonts w:ascii="Book Antiqua" w:eastAsia="Book Antiqua" w:hAnsi="Book Antiqua" w:cs="Book Antiqua"/>
        </w:rPr>
        <w:lastRenderedPageBreak/>
        <w:t xml:space="preserve">luciferase activity to </w:t>
      </w:r>
      <w:proofErr w:type="spellStart"/>
      <w:r>
        <w:rPr>
          <w:rFonts w:ascii="Book Antiqua" w:eastAsia="Book Antiqua" w:hAnsi="Book Antiqua" w:cs="Book Antiqua"/>
        </w:rPr>
        <w:t>Renilla</w:t>
      </w:r>
      <w:proofErr w:type="spellEnd"/>
      <w:r>
        <w:rPr>
          <w:rFonts w:ascii="Book Antiqua" w:eastAsia="Book Antiqua" w:hAnsi="Book Antiqua" w:cs="Book Antiqua"/>
        </w:rPr>
        <w:t xml:space="preserve"> luciferase activity.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 ns: No significance.</w:t>
      </w:r>
      <w:r>
        <w:rPr>
          <w:rFonts w:ascii="Book Antiqua" w:eastAsia="Book Antiqua" w:hAnsi="Book Antiqua" w:cs="Book Antiqua"/>
          <w:b/>
          <w:bCs/>
        </w:rPr>
        <w:t xml:space="preserve"> </w:t>
      </w:r>
      <w:r>
        <w:rPr>
          <w:rFonts w:ascii="Book Antiqua" w:eastAsia="Book Antiqua" w:hAnsi="Book Antiqua" w:cs="Book Antiqua"/>
        </w:rPr>
        <w:t>lncRNA:</w:t>
      </w:r>
      <w:r>
        <w:rPr>
          <w:rFonts w:ascii="Book Antiqua" w:hAnsi="Book Antiqua"/>
        </w:rPr>
        <w:t xml:space="preserve"> </w:t>
      </w:r>
      <w:r>
        <w:rPr>
          <w:rFonts w:ascii="Book Antiqua" w:eastAsia="Book Antiqua" w:hAnsi="Book Antiqua" w:cs="Book Antiqua"/>
        </w:rPr>
        <w:t>Long noncoding RNA; HG: High glucose; NG: Normal glucose; Pdia3: Protein-disulfide isomerase-associated 3;</w:t>
      </w:r>
      <w:r>
        <w:rPr>
          <w:rFonts w:ascii="Book Antiqua" w:eastAsia="Book Antiqua" w:hAnsi="Book Antiqua" w:cs="Book Antiqua"/>
          <w:color w:val="000000"/>
        </w:rPr>
        <w:t xml:space="preserve"> DAPI: 6-diamidino-2-phenylindole</w:t>
      </w:r>
      <w:r>
        <w:rPr>
          <w:rFonts w:ascii="Book Antiqua" w:eastAsia="Book Antiqua" w:hAnsi="Book Antiqua" w:cs="Book Antiqua"/>
        </w:rPr>
        <w:t>.</w:t>
      </w:r>
    </w:p>
    <w:p w14:paraId="35CFE37B" w14:textId="77777777" w:rsidR="00FA4012" w:rsidRDefault="00FA4012">
      <w:pPr>
        <w:spacing w:line="360" w:lineRule="auto"/>
        <w:jc w:val="both"/>
        <w:rPr>
          <w:rFonts w:ascii="Book Antiqua" w:hAnsi="Book Antiqua"/>
        </w:rPr>
        <w:sectPr w:rsidR="00FA4012">
          <w:pgSz w:w="12240" w:h="15840"/>
          <w:pgMar w:top="1440" w:right="1440" w:bottom="1440" w:left="1440" w:header="720" w:footer="720" w:gutter="0"/>
          <w:cols w:space="720"/>
          <w:docGrid w:linePitch="360"/>
        </w:sectPr>
      </w:pPr>
    </w:p>
    <w:p w14:paraId="75842A35" w14:textId="3D6C0125" w:rsidR="00FA4012" w:rsidRDefault="00D35FBC">
      <w:pPr>
        <w:spacing w:line="360" w:lineRule="auto"/>
        <w:jc w:val="both"/>
        <w:rPr>
          <w:rFonts w:ascii="Book Antiqua" w:hAnsi="Book Antiqua"/>
        </w:rPr>
      </w:pPr>
      <w:r>
        <w:rPr>
          <w:rFonts w:ascii="Book Antiqua" w:hAnsi="Book Antiqua"/>
          <w:noProof/>
        </w:rPr>
        <w:lastRenderedPageBreak/>
        <w:drawing>
          <wp:inline distT="0" distB="0" distL="0" distR="0" wp14:anchorId="7374B6D0" wp14:editId="076617BC">
            <wp:extent cx="2850364" cy="7585364"/>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5279" cy="7598443"/>
                    </a:xfrm>
                    <a:prstGeom prst="rect">
                      <a:avLst/>
                    </a:prstGeom>
                  </pic:spPr>
                </pic:pic>
              </a:graphicData>
            </a:graphic>
          </wp:inline>
        </w:drawing>
      </w:r>
    </w:p>
    <w:p w14:paraId="6A542AD6" w14:textId="77777777" w:rsidR="00FA401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 Inhibition of miR-139-3p attenuated podocyte apoptosis and endoplasmic reticulum stress in high glucose-cultured podocytes.</w:t>
      </w:r>
      <w:r>
        <w:rPr>
          <w:rFonts w:ascii="Book Antiqua" w:eastAsia="Book Antiqua" w:hAnsi="Book Antiqua" w:cs="Book Antiqua"/>
        </w:rPr>
        <w:t xml:space="preserve"> The overexpression of miR-139-3p </w:t>
      </w:r>
      <w:r>
        <w:rPr>
          <w:rFonts w:ascii="Book Antiqua" w:eastAsia="Book Antiqua" w:hAnsi="Book Antiqua" w:cs="Book Antiqua"/>
        </w:rPr>
        <w:lastRenderedPageBreak/>
        <w:t>aggravated podocyte apoptosis and endoplasmic reticulum stress in normal glucose-cultured podocytes. A: The transfection efficiency of miR-139-3p mimics was detected by quantitative real-time polymerase chain reaction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B: The transfection efficiency of miR-139-3p inhibitors was detected by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C: The expression of miR-139-3p was measured by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U6 served as the loading control; D: Quantitative analysis of the relative cell viability; E: Podocyte apoptosis was detected by flow cytometry; F: Quantitative analysis of cell apoptotic rate; G and H: The expressions of </w:t>
      </w:r>
      <w:proofErr w:type="spellStart"/>
      <w:r>
        <w:rPr>
          <w:rFonts w:ascii="Book Antiqua" w:eastAsia="Book Antiqua" w:hAnsi="Book Antiqua" w:cs="Book Antiqua"/>
        </w:rPr>
        <w:t>nephrin</w:t>
      </w:r>
      <w:proofErr w:type="spellEnd"/>
      <w:r>
        <w:rPr>
          <w:rFonts w:ascii="Book Antiqua" w:eastAsia="Book Antiqua" w:hAnsi="Book Antiqua" w:cs="Book Antiqua"/>
        </w:rPr>
        <w:t xml:space="preserve"> and podocin in podocytes were analyzed by immunofluorescence. Scale bar = 50 </w:t>
      </w:r>
      <w:proofErr w:type="spellStart"/>
      <w:r>
        <w:rPr>
          <w:rFonts w:ascii="Book Antiqua" w:eastAsia="Book Antiqua" w:hAnsi="Book Antiqua" w:cs="Book Antiqua"/>
        </w:rPr>
        <w:t>μm</w:t>
      </w:r>
      <w:proofErr w:type="spellEnd"/>
      <w:r>
        <w:rPr>
          <w:rFonts w:ascii="Book Antiqua" w:eastAsia="Book Antiqua" w:hAnsi="Book Antiqua" w:cs="Book Antiqua"/>
        </w:rPr>
        <w:t>; I: The protein expression of endoplasmic reticulum stress-related factors (</w:t>
      </w:r>
      <w:r>
        <w:rPr>
          <w:rFonts w:ascii="Book Antiqua" w:eastAsia="Book Antiqua" w:hAnsi="Book Antiqua" w:cs="Book Antiqua"/>
          <w:color w:val="000000"/>
        </w:rPr>
        <w:t>glucose-regulated protein 78</w:t>
      </w:r>
      <w:r>
        <w:rPr>
          <w:rFonts w:ascii="Book Antiqua" w:eastAsia="Book Antiqua" w:hAnsi="Book Antiqua" w:cs="Book Antiqua"/>
        </w:rPr>
        <w:t xml:space="preserve">, </w:t>
      </w:r>
      <w:r>
        <w:rPr>
          <w:rFonts w:ascii="Book Antiqua" w:eastAsia="Book Antiqua" w:hAnsi="Book Antiqua" w:cs="Book Antiqua"/>
          <w:color w:val="000000"/>
        </w:rPr>
        <w:t>C/EBP homologous protein</w:t>
      </w:r>
      <w:r>
        <w:rPr>
          <w:rFonts w:ascii="Book Antiqua" w:eastAsia="Book Antiqua" w:hAnsi="Book Antiqua" w:cs="Book Antiqua"/>
        </w:rPr>
        <w:t xml:space="preserve">, and caspase-12) was analyzed by western blotting. β-Tubulin served as an internal control; J: Quantitative analysis of </w:t>
      </w:r>
      <w:r>
        <w:rPr>
          <w:rFonts w:ascii="Book Antiqua" w:eastAsia="Book Antiqua" w:hAnsi="Book Antiqua" w:cs="Book Antiqua"/>
          <w:color w:val="000000"/>
        </w:rPr>
        <w:t>glucose-regulated protein 78</w:t>
      </w:r>
      <w:r>
        <w:rPr>
          <w:rFonts w:ascii="Book Antiqua" w:eastAsia="Book Antiqua" w:hAnsi="Book Antiqua" w:cs="Book Antiqua"/>
        </w:rPr>
        <w:t xml:space="preserve">, </w:t>
      </w:r>
      <w:r>
        <w:rPr>
          <w:rFonts w:ascii="Book Antiqua" w:eastAsia="Book Antiqua" w:hAnsi="Book Antiqua" w:cs="Book Antiqua"/>
          <w:color w:val="000000"/>
        </w:rPr>
        <w:t>C/EBP homologous protein</w:t>
      </w:r>
      <w:r>
        <w:rPr>
          <w:rFonts w:ascii="Book Antiqua" w:eastAsia="Book Antiqua" w:hAnsi="Book Antiqua" w:cs="Book Antiqua"/>
        </w:rPr>
        <w:t xml:space="preserve"> and caspase-12. The data were presented as mean ± SD.</w:t>
      </w:r>
      <w:r>
        <w:rPr>
          <w:rFonts w:ascii="Book Antiqua" w:eastAsia="Book Antiqua" w:hAnsi="Book Antiqua" w:cs="Book Antiqua"/>
          <w:vertAlign w:val="superscript"/>
        </w:rPr>
        <w:t xml:space="preserve">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w:t>
      </w:r>
      <w:r>
        <w:rPr>
          <w:rFonts w:ascii="Book Antiqua" w:eastAsia="Book Antiqua" w:hAnsi="Book Antiqua" w:cs="Book Antiqua"/>
          <w:b/>
          <w:bCs/>
        </w:rPr>
        <w:t xml:space="preserve"> </w:t>
      </w:r>
      <w:r>
        <w:rPr>
          <w:rFonts w:ascii="Book Antiqua" w:eastAsia="Book Antiqua" w:hAnsi="Book Antiqua" w:cs="Book Antiqua"/>
        </w:rPr>
        <w:t>lncRNA:</w:t>
      </w:r>
      <w:r>
        <w:rPr>
          <w:rFonts w:ascii="Book Antiqua" w:hAnsi="Book Antiqua"/>
        </w:rPr>
        <w:t xml:space="preserve"> </w:t>
      </w:r>
      <w:r>
        <w:rPr>
          <w:rFonts w:ascii="Book Antiqua" w:eastAsia="Book Antiqua" w:hAnsi="Book Antiqua" w:cs="Book Antiqua"/>
        </w:rPr>
        <w:t>Long noncoding RNA; HG: High glucose; NG: Normal glucose; Pdia3: Protein-disulfide isomerase-associated 3;</w:t>
      </w:r>
      <w:r>
        <w:rPr>
          <w:rFonts w:ascii="Book Antiqua" w:eastAsia="Book Antiqua" w:hAnsi="Book Antiqua" w:cs="Book Antiqua"/>
          <w:color w:val="000000"/>
        </w:rPr>
        <w:t xml:space="preserve"> GRP78: Glucose-regulated protein 78; CHOP: C/EBP homologous protein</w:t>
      </w:r>
      <w:r>
        <w:rPr>
          <w:rFonts w:ascii="Book Antiqua" w:eastAsia="Book Antiqua" w:hAnsi="Book Antiqua" w:cs="Book Antiqua"/>
        </w:rPr>
        <w:t>.</w:t>
      </w:r>
    </w:p>
    <w:p w14:paraId="39FC500D" w14:textId="77777777" w:rsidR="00FA4012" w:rsidRDefault="00FA4012">
      <w:pPr>
        <w:spacing w:line="360" w:lineRule="auto"/>
        <w:jc w:val="both"/>
        <w:rPr>
          <w:rFonts w:ascii="Book Antiqua" w:eastAsia="Book Antiqua" w:hAnsi="Book Antiqua" w:cs="Book Antiqua"/>
          <w:b/>
          <w:bCs/>
        </w:rPr>
      </w:pPr>
    </w:p>
    <w:p w14:paraId="1F97C350" w14:textId="77777777" w:rsidR="00FA4012" w:rsidRDefault="00FA4012">
      <w:pPr>
        <w:spacing w:line="360" w:lineRule="auto"/>
        <w:jc w:val="both"/>
        <w:rPr>
          <w:rFonts w:ascii="Book Antiqua" w:hAnsi="Book Antiqua"/>
        </w:rPr>
        <w:sectPr w:rsidR="00FA4012">
          <w:pgSz w:w="12240" w:h="15840"/>
          <w:pgMar w:top="1440" w:right="1440" w:bottom="1440" w:left="1440" w:header="720" w:footer="720" w:gutter="0"/>
          <w:cols w:space="720"/>
          <w:docGrid w:linePitch="360"/>
        </w:sectPr>
      </w:pPr>
    </w:p>
    <w:p w14:paraId="1C2C9D92" w14:textId="78750E4E" w:rsidR="00FA4012" w:rsidRDefault="00051491">
      <w:pPr>
        <w:spacing w:line="360" w:lineRule="auto"/>
        <w:jc w:val="both"/>
        <w:rPr>
          <w:rFonts w:ascii="Book Antiqua" w:hAnsi="Book Antiqua"/>
        </w:rPr>
      </w:pPr>
      <w:r>
        <w:rPr>
          <w:rFonts w:ascii="Book Antiqua" w:hAnsi="Book Antiqua"/>
          <w:noProof/>
        </w:rPr>
        <w:lastRenderedPageBreak/>
        <w:drawing>
          <wp:inline distT="0" distB="0" distL="0" distR="0" wp14:anchorId="3DB2C9C3" wp14:editId="1706B8A3">
            <wp:extent cx="4801742" cy="42322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1742" cy="4232221"/>
                    </a:xfrm>
                    <a:prstGeom prst="rect">
                      <a:avLst/>
                    </a:prstGeom>
                  </pic:spPr>
                </pic:pic>
              </a:graphicData>
            </a:graphic>
          </wp:inline>
        </w:drawing>
      </w:r>
    </w:p>
    <w:p w14:paraId="4DAE443F" w14:textId="77777777" w:rsidR="00E81E62" w:rsidRDefault="00000000">
      <w:pPr>
        <w:spacing w:line="360" w:lineRule="auto"/>
        <w:jc w:val="both"/>
        <w:rPr>
          <w:rFonts w:ascii="Book Antiqua" w:eastAsia="Book Antiqua" w:hAnsi="Book Antiqua" w:cs="Book Antiqua"/>
        </w:rPr>
        <w:sectPr w:rsidR="00E81E62">
          <w:pgSz w:w="12240" w:h="15840"/>
          <w:pgMar w:top="1440" w:right="1440" w:bottom="1440" w:left="1440" w:header="720" w:footer="720" w:gutter="0"/>
          <w:cols w:space="720"/>
          <w:docGrid w:linePitch="360"/>
        </w:sectPr>
      </w:pPr>
      <w:r>
        <w:rPr>
          <w:rFonts w:ascii="Book Antiqua" w:eastAsia="Book Antiqua" w:hAnsi="Book Antiqua" w:cs="Book Antiqua"/>
          <w:b/>
          <w:bCs/>
        </w:rPr>
        <w:t>Figure 5 Mechanistic depiction of the role of long noncoding RNA Pdia3 in endoplasmic reticulum stress and podocyte apoptosis is illustrated.</w:t>
      </w:r>
      <w:r>
        <w:rPr>
          <w:rFonts w:ascii="Book Antiqua" w:eastAsia="Book Antiqua" w:hAnsi="Book Antiqua" w:cs="Book Antiqua"/>
        </w:rPr>
        <w:t xml:space="preserve"> Our finding revealed that long noncoding RNA Pdia3 downregulation induced endoplasmic reticulum stress and podocyte injury by acting as a competing endogenous RNA of miR-139-3p, which led to diabetic nephropathy progression. lncRNA:</w:t>
      </w:r>
      <w:r>
        <w:rPr>
          <w:rFonts w:ascii="Book Antiqua" w:hAnsi="Book Antiqua"/>
        </w:rPr>
        <w:t xml:space="preserve"> </w:t>
      </w:r>
      <w:r>
        <w:rPr>
          <w:rFonts w:ascii="Book Antiqua" w:eastAsia="Book Antiqua" w:hAnsi="Book Antiqua" w:cs="Book Antiqua"/>
        </w:rPr>
        <w:t>Long noncoding RNA; Pdia3: Protein-disulfide isomerase-associated 3.</w:t>
      </w:r>
    </w:p>
    <w:p w14:paraId="317D0E50" w14:textId="77777777" w:rsidR="00E81E62" w:rsidRPr="006D4EDA" w:rsidRDefault="00E81E62" w:rsidP="00E81E62">
      <w:pPr>
        <w:snapToGrid w:val="0"/>
        <w:ind w:leftChars="100" w:left="240"/>
        <w:jc w:val="center"/>
        <w:rPr>
          <w:rFonts w:ascii="Book Antiqua" w:hAnsi="Book Antiqua"/>
        </w:rPr>
      </w:pPr>
      <w:bookmarkStart w:id="412" w:name="_Hlk157548936"/>
    </w:p>
    <w:p w14:paraId="259ADC58" w14:textId="77777777" w:rsidR="00E81E62" w:rsidRPr="006D4EDA" w:rsidRDefault="00E81E62" w:rsidP="00E81E62">
      <w:pPr>
        <w:snapToGrid w:val="0"/>
        <w:ind w:leftChars="100" w:left="240"/>
        <w:jc w:val="center"/>
        <w:rPr>
          <w:rFonts w:ascii="Book Antiqua" w:hAnsi="Book Antiqua"/>
        </w:rPr>
      </w:pPr>
    </w:p>
    <w:p w14:paraId="4103E82C" w14:textId="77777777" w:rsidR="00E81E62" w:rsidRPr="006D4EDA" w:rsidRDefault="00E81E62" w:rsidP="00E81E62">
      <w:pPr>
        <w:snapToGrid w:val="0"/>
        <w:ind w:leftChars="100" w:left="240"/>
        <w:jc w:val="center"/>
        <w:rPr>
          <w:rFonts w:ascii="Book Antiqua" w:hAnsi="Book Antiqua"/>
        </w:rPr>
      </w:pPr>
    </w:p>
    <w:p w14:paraId="4DEEAF68" w14:textId="77777777" w:rsidR="00E81E62" w:rsidRPr="006D4EDA" w:rsidRDefault="00E81E62" w:rsidP="00E81E62">
      <w:pPr>
        <w:snapToGrid w:val="0"/>
        <w:ind w:leftChars="100" w:left="240"/>
        <w:jc w:val="center"/>
        <w:rPr>
          <w:rFonts w:ascii="Book Antiqua" w:hAnsi="Book Antiqua"/>
        </w:rPr>
      </w:pPr>
    </w:p>
    <w:p w14:paraId="58CC174D" w14:textId="77777777" w:rsidR="00E81E62" w:rsidRPr="006D4EDA" w:rsidRDefault="00E81E62" w:rsidP="00E81E62">
      <w:pPr>
        <w:snapToGrid w:val="0"/>
        <w:ind w:leftChars="100" w:left="240"/>
        <w:jc w:val="center"/>
        <w:rPr>
          <w:rFonts w:ascii="Book Antiqua" w:hAnsi="Book Antiqua"/>
        </w:rPr>
      </w:pPr>
      <w:r w:rsidRPr="006D4EDA">
        <w:rPr>
          <w:rFonts w:ascii="Book Antiqua" w:hAnsi="Book Antiqua"/>
          <w:noProof/>
        </w:rPr>
        <w:drawing>
          <wp:inline distT="0" distB="0" distL="0" distR="0" wp14:anchorId="5EC46860" wp14:editId="2FE5010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8A6BBBE" w14:textId="77777777" w:rsidR="00E81E62" w:rsidRPr="006D4EDA" w:rsidRDefault="00E81E62" w:rsidP="00E81E62">
      <w:pPr>
        <w:snapToGrid w:val="0"/>
        <w:ind w:leftChars="100" w:left="240"/>
        <w:jc w:val="center"/>
        <w:rPr>
          <w:rFonts w:ascii="Book Antiqua" w:hAnsi="Book Antiqua"/>
        </w:rPr>
      </w:pPr>
    </w:p>
    <w:p w14:paraId="1F7D288A" w14:textId="77777777" w:rsidR="00E81E62" w:rsidRPr="006D4EDA" w:rsidRDefault="00E81E62" w:rsidP="00E81E6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1F88F8AC" w14:textId="77777777" w:rsidR="00E81E62" w:rsidRPr="006D4EDA" w:rsidRDefault="00E81E62" w:rsidP="00E81E6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4B89D59" w14:textId="77777777" w:rsidR="00E81E62" w:rsidRPr="006D4EDA" w:rsidRDefault="00E81E62" w:rsidP="00E81E6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9794862" w14:textId="77777777" w:rsidR="00E81E62" w:rsidRPr="006D4EDA" w:rsidRDefault="00E81E62" w:rsidP="00E81E6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CDAA467" w14:textId="77777777" w:rsidR="00E81E62" w:rsidRPr="006D4EDA" w:rsidRDefault="00E81E62" w:rsidP="00E81E6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AE1E43A" w14:textId="77777777" w:rsidR="00E81E62" w:rsidRPr="006D4EDA" w:rsidRDefault="00E81E62" w:rsidP="00E81E6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6FD529F" w14:textId="77777777" w:rsidR="00E81E62" w:rsidRPr="006D4EDA" w:rsidRDefault="00E81E62" w:rsidP="00E81E62">
      <w:pPr>
        <w:snapToGrid w:val="0"/>
        <w:ind w:leftChars="100" w:left="240"/>
        <w:jc w:val="center"/>
        <w:rPr>
          <w:rFonts w:ascii="Book Antiqua" w:hAnsi="Book Antiqua"/>
        </w:rPr>
      </w:pPr>
    </w:p>
    <w:p w14:paraId="4F577786" w14:textId="77777777" w:rsidR="00E81E62" w:rsidRPr="006D4EDA" w:rsidRDefault="00E81E62" w:rsidP="00E81E62">
      <w:pPr>
        <w:snapToGrid w:val="0"/>
        <w:ind w:leftChars="100" w:left="240"/>
        <w:jc w:val="center"/>
        <w:rPr>
          <w:rFonts w:ascii="Book Antiqua" w:hAnsi="Book Antiqua"/>
        </w:rPr>
      </w:pPr>
    </w:p>
    <w:p w14:paraId="699140BF" w14:textId="77777777" w:rsidR="00E81E62" w:rsidRPr="006D4EDA" w:rsidRDefault="00E81E62" w:rsidP="00E81E62">
      <w:pPr>
        <w:snapToGrid w:val="0"/>
        <w:ind w:leftChars="100" w:left="240"/>
        <w:jc w:val="center"/>
        <w:rPr>
          <w:rFonts w:ascii="Book Antiqua" w:hAnsi="Book Antiqua"/>
        </w:rPr>
      </w:pPr>
    </w:p>
    <w:p w14:paraId="046DBCE7" w14:textId="77777777" w:rsidR="00E81E62" w:rsidRPr="006D4EDA" w:rsidRDefault="00E81E62" w:rsidP="00E81E62">
      <w:pPr>
        <w:snapToGrid w:val="0"/>
        <w:ind w:leftChars="100" w:left="240"/>
        <w:jc w:val="center"/>
        <w:rPr>
          <w:rFonts w:ascii="Book Antiqua" w:hAnsi="Book Antiqua"/>
        </w:rPr>
      </w:pPr>
      <w:r w:rsidRPr="006D4EDA">
        <w:rPr>
          <w:rFonts w:ascii="Book Antiqua" w:hAnsi="Book Antiqua"/>
          <w:noProof/>
        </w:rPr>
        <w:drawing>
          <wp:inline distT="0" distB="0" distL="0" distR="0" wp14:anchorId="7F65D87C" wp14:editId="012F16E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0F49169" w14:textId="77777777" w:rsidR="00E81E62" w:rsidRPr="006D4EDA" w:rsidRDefault="00E81E62" w:rsidP="00E81E62">
      <w:pPr>
        <w:snapToGrid w:val="0"/>
        <w:ind w:leftChars="100" w:left="240"/>
        <w:jc w:val="center"/>
        <w:rPr>
          <w:rFonts w:ascii="Book Antiqua" w:hAnsi="Book Antiqua"/>
        </w:rPr>
      </w:pPr>
    </w:p>
    <w:p w14:paraId="417B120E" w14:textId="77777777" w:rsidR="00E81E62" w:rsidRPr="006D4EDA" w:rsidRDefault="00E81E62" w:rsidP="00E81E62">
      <w:pPr>
        <w:snapToGrid w:val="0"/>
        <w:ind w:leftChars="100" w:left="240"/>
        <w:jc w:val="center"/>
        <w:rPr>
          <w:rFonts w:ascii="Book Antiqua" w:hAnsi="Book Antiqua"/>
        </w:rPr>
      </w:pPr>
    </w:p>
    <w:p w14:paraId="297083AC" w14:textId="77777777" w:rsidR="00E81E62" w:rsidRPr="006D4EDA" w:rsidRDefault="00E81E62" w:rsidP="00E81E62">
      <w:pPr>
        <w:snapToGrid w:val="0"/>
        <w:ind w:leftChars="100" w:left="240"/>
        <w:jc w:val="center"/>
        <w:rPr>
          <w:rFonts w:ascii="Book Antiqua" w:hAnsi="Book Antiqua"/>
        </w:rPr>
      </w:pPr>
    </w:p>
    <w:p w14:paraId="5C782198" w14:textId="77777777" w:rsidR="00E81E62" w:rsidRPr="006D4EDA" w:rsidRDefault="00E81E62" w:rsidP="00E81E62">
      <w:pPr>
        <w:snapToGrid w:val="0"/>
        <w:ind w:leftChars="100" w:left="240"/>
        <w:jc w:val="center"/>
        <w:rPr>
          <w:rFonts w:ascii="Book Antiqua" w:hAnsi="Book Antiqua"/>
        </w:rPr>
      </w:pPr>
    </w:p>
    <w:p w14:paraId="07ADA255" w14:textId="77777777" w:rsidR="00E81E62" w:rsidRPr="006D4EDA" w:rsidRDefault="00E81E62" w:rsidP="00E81E62">
      <w:pPr>
        <w:snapToGrid w:val="0"/>
        <w:ind w:leftChars="100" w:left="240"/>
        <w:jc w:val="center"/>
        <w:rPr>
          <w:rFonts w:ascii="Book Antiqua" w:hAnsi="Book Antiqua"/>
        </w:rPr>
      </w:pPr>
    </w:p>
    <w:p w14:paraId="2B394FC0" w14:textId="77777777" w:rsidR="00E81E62" w:rsidRPr="006D4EDA" w:rsidRDefault="00E81E62" w:rsidP="00E81E62">
      <w:pPr>
        <w:snapToGrid w:val="0"/>
        <w:ind w:leftChars="100" w:left="240"/>
        <w:jc w:val="center"/>
        <w:rPr>
          <w:rFonts w:ascii="Book Antiqua" w:hAnsi="Book Antiqua"/>
        </w:rPr>
      </w:pPr>
    </w:p>
    <w:p w14:paraId="50B54D6B" w14:textId="77777777" w:rsidR="00E81E62" w:rsidRPr="006D4EDA" w:rsidRDefault="00E81E62" w:rsidP="00E81E62">
      <w:pPr>
        <w:snapToGrid w:val="0"/>
        <w:ind w:leftChars="100" w:left="240"/>
        <w:jc w:val="center"/>
        <w:rPr>
          <w:rFonts w:ascii="Book Antiqua" w:hAnsi="Book Antiqua"/>
        </w:rPr>
      </w:pPr>
    </w:p>
    <w:p w14:paraId="5667E573" w14:textId="77777777" w:rsidR="00E81E62" w:rsidRPr="006D4EDA" w:rsidRDefault="00E81E62" w:rsidP="00E81E62">
      <w:pPr>
        <w:snapToGrid w:val="0"/>
        <w:ind w:leftChars="100" w:left="240"/>
        <w:jc w:val="center"/>
        <w:rPr>
          <w:rFonts w:ascii="Book Antiqua" w:hAnsi="Book Antiqua"/>
        </w:rPr>
      </w:pPr>
    </w:p>
    <w:p w14:paraId="6ADA55F9" w14:textId="77777777" w:rsidR="00E81E62" w:rsidRPr="006D4EDA" w:rsidRDefault="00E81E62" w:rsidP="00E81E62">
      <w:pPr>
        <w:snapToGrid w:val="0"/>
        <w:ind w:leftChars="100" w:left="240"/>
        <w:jc w:val="center"/>
        <w:rPr>
          <w:rFonts w:ascii="Book Antiqua" w:hAnsi="Book Antiqua"/>
        </w:rPr>
      </w:pPr>
    </w:p>
    <w:p w14:paraId="5521328F" w14:textId="77777777" w:rsidR="00E81E62" w:rsidRPr="006D4EDA" w:rsidRDefault="00E81E62" w:rsidP="00E81E62">
      <w:pPr>
        <w:snapToGrid w:val="0"/>
        <w:ind w:leftChars="100" w:left="240"/>
        <w:jc w:val="right"/>
        <w:rPr>
          <w:rFonts w:ascii="Book Antiqua" w:hAnsi="Book Antiqua"/>
          <w:color w:val="000000" w:themeColor="text1"/>
        </w:rPr>
      </w:pPr>
    </w:p>
    <w:p w14:paraId="759D7096" w14:textId="77777777" w:rsidR="00E81E62" w:rsidRPr="006D4EDA" w:rsidRDefault="00E81E62" w:rsidP="00E81E62">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412"/>
    <w:p w14:paraId="33F52620" w14:textId="77777777" w:rsidR="00E81E62" w:rsidRPr="00EE65AF" w:rsidRDefault="00E81E62" w:rsidP="00E81E62">
      <w:pPr>
        <w:rPr>
          <w:rFonts w:ascii="Book Antiqua" w:hAnsi="Book Antiqua" w:cs="Book Antiqua"/>
          <w:b/>
          <w:bCs/>
          <w:color w:val="000000"/>
        </w:rPr>
      </w:pPr>
    </w:p>
    <w:p w14:paraId="76A5A4C8" w14:textId="77777777" w:rsidR="00FA4012" w:rsidRDefault="00FA4012">
      <w:pPr>
        <w:spacing w:line="360" w:lineRule="auto"/>
        <w:jc w:val="both"/>
        <w:rPr>
          <w:rFonts w:ascii="Book Antiqua" w:hAnsi="Book Antiqua"/>
        </w:rPr>
      </w:pPr>
    </w:p>
    <w:sectPr w:rsidR="00FA40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4A962" w14:textId="77777777" w:rsidR="009F6325" w:rsidRDefault="009F6325">
      <w:r>
        <w:separator/>
      </w:r>
    </w:p>
  </w:endnote>
  <w:endnote w:type="continuationSeparator" w:id="0">
    <w:p w14:paraId="1B1E638F" w14:textId="77777777" w:rsidR="009F6325" w:rsidRDefault="009F6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06C9" w14:textId="77777777" w:rsidR="00FA4012"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5F813" w14:textId="77777777" w:rsidR="009F6325" w:rsidRDefault="009F6325">
      <w:r>
        <w:separator/>
      </w:r>
    </w:p>
  </w:footnote>
  <w:footnote w:type="continuationSeparator" w:id="0">
    <w:p w14:paraId="3C9D7BF5" w14:textId="77777777" w:rsidR="009F6325" w:rsidRDefault="009F63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NmZmJkMDJmMDRhM2ZlNjk5M2E2ODJhYWVlMTQ5OTcifQ=="/>
  </w:docVars>
  <w:rsids>
    <w:rsidRoot w:val="00A77B3E"/>
    <w:rsid w:val="00000285"/>
    <w:rsid w:val="00051491"/>
    <w:rsid w:val="00107A68"/>
    <w:rsid w:val="0018513B"/>
    <w:rsid w:val="002075EE"/>
    <w:rsid w:val="003E0179"/>
    <w:rsid w:val="00451492"/>
    <w:rsid w:val="00460BE5"/>
    <w:rsid w:val="004E1478"/>
    <w:rsid w:val="00512E63"/>
    <w:rsid w:val="00591779"/>
    <w:rsid w:val="005F4F3A"/>
    <w:rsid w:val="006201E0"/>
    <w:rsid w:val="00647600"/>
    <w:rsid w:val="00732A02"/>
    <w:rsid w:val="007416C1"/>
    <w:rsid w:val="00853911"/>
    <w:rsid w:val="008D4A7E"/>
    <w:rsid w:val="008E1BB6"/>
    <w:rsid w:val="00922D4D"/>
    <w:rsid w:val="009A78F4"/>
    <w:rsid w:val="009E58F9"/>
    <w:rsid w:val="009F6325"/>
    <w:rsid w:val="00A77B3E"/>
    <w:rsid w:val="00A8365E"/>
    <w:rsid w:val="00A953E6"/>
    <w:rsid w:val="00AF15FB"/>
    <w:rsid w:val="00B24B84"/>
    <w:rsid w:val="00B86E05"/>
    <w:rsid w:val="00CA2A55"/>
    <w:rsid w:val="00D35FBC"/>
    <w:rsid w:val="00D772A7"/>
    <w:rsid w:val="00D90B03"/>
    <w:rsid w:val="00E81E62"/>
    <w:rsid w:val="00E9534B"/>
    <w:rsid w:val="00FA4012"/>
    <w:rsid w:val="05F066BE"/>
    <w:rsid w:val="0BCE0D16"/>
    <w:rsid w:val="18AC2047"/>
    <w:rsid w:val="1BF71140"/>
    <w:rsid w:val="1D5A5B94"/>
    <w:rsid w:val="2335523F"/>
    <w:rsid w:val="25F44F3B"/>
    <w:rsid w:val="2E575768"/>
    <w:rsid w:val="4EC11450"/>
    <w:rsid w:val="58C46FB7"/>
    <w:rsid w:val="60277C32"/>
    <w:rsid w:val="61675487"/>
    <w:rsid w:val="65FC2970"/>
    <w:rsid w:val="680B72D0"/>
    <w:rsid w:val="6825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86C92"/>
  <w15:docId w15:val="{87E96AC5-C7A1-40D8-AA30-2E8608A7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Hyperlink"/>
    <w:basedOn w:val="a0"/>
    <w:autoRedefine/>
    <w:qFormat/>
    <w:rPr>
      <w:color w:val="0000FF" w:themeColor="hyperlink"/>
      <w:u w:val="single"/>
    </w:rPr>
  </w:style>
  <w:style w:type="character" w:styleId="ac">
    <w:name w:val="annotation reference"/>
    <w:basedOn w:val="a0"/>
    <w:autoRedefine/>
    <w:qFormat/>
    <w:rPr>
      <w:sz w:val="21"/>
      <w:szCs w:val="21"/>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sz w:val="24"/>
      <w:szCs w:val="24"/>
      <w:lang w:eastAsia="en-US"/>
    </w:rPr>
  </w:style>
  <w:style w:type="character" w:customStyle="1" w:styleId="10">
    <w:name w:val="未处理的提及1"/>
    <w:basedOn w:val="a0"/>
    <w:autoRedefine/>
    <w:uiPriority w:val="99"/>
    <w:semiHidden/>
    <w:unhideWhenUsed/>
    <w:qFormat/>
    <w:rPr>
      <w:color w:val="605E5C"/>
      <w:shd w:val="clear" w:color="auto" w:fill="E1DFDD"/>
    </w:rPr>
  </w:style>
  <w:style w:type="character" w:styleId="ad">
    <w:name w:val="Unresolved Mention"/>
    <w:basedOn w:val="a0"/>
    <w:uiPriority w:val="99"/>
    <w:semiHidden/>
    <w:unhideWhenUsed/>
    <w:rsid w:val="00E81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0E6CB-46E8-4CFF-9DE5-AE06A263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7387</Words>
  <Characters>42110</Characters>
  <Application>Microsoft Office Word</Application>
  <DocSecurity>0</DocSecurity>
  <Lines>350</Lines>
  <Paragraphs>98</Paragraphs>
  <ScaleCrop>false</ScaleCrop>
  <Company/>
  <LinksUpToDate>false</LinksUpToDate>
  <CharactersWithSpaces>49399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Chen YX</cp:lastModifiedBy>
  <cp:revision>18</cp:revision>
  <dcterms:created xsi:type="dcterms:W3CDTF">2024-01-07T07:06:00Z</dcterms:created>
  <dcterms:modified xsi:type="dcterms:W3CDTF">2024-02-04T07:54:00Z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FAAA4CC9E99049109ED301F040591631_12</vt:lpwstr>
  </property>
</Properties>
</file>