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7BDA6" w14:textId="77777777" w:rsidR="00A77B3E" w:rsidRPr="00FB40BF" w:rsidRDefault="00E50F15" w:rsidP="00CA575F">
      <w:pPr>
        <w:spacing w:line="360" w:lineRule="auto"/>
        <w:jc w:val="both"/>
        <w:rPr>
          <w:rFonts w:ascii="Book Antiqua" w:hAnsi="Book Antiqua"/>
        </w:rPr>
      </w:pPr>
      <w:r w:rsidRPr="00CA575F">
        <w:rPr>
          <w:rFonts w:ascii="Book Antiqua" w:eastAsia="Book Antiqua" w:hAnsi="Book Antiqua" w:cs="Book Antiqua"/>
          <w:b/>
        </w:rPr>
        <w:t xml:space="preserve">Name of Journal: </w:t>
      </w:r>
      <w:r w:rsidRPr="00CA575F">
        <w:rPr>
          <w:rFonts w:ascii="Book Antiqua" w:eastAsia="Book Antiqua" w:hAnsi="Book Antiqua" w:cs="Book Antiqua"/>
          <w:i/>
        </w:rPr>
        <w:t>World Journal of Virology</w:t>
      </w:r>
    </w:p>
    <w:p w14:paraId="23C36731" w14:textId="77777777"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b/>
        </w:rPr>
        <w:t xml:space="preserve">Manuscript NO: </w:t>
      </w:r>
      <w:r w:rsidRPr="00FB40BF">
        <w:rPr>
          <w:rFonts w:ascii="Book Antiqua" w:eastAsia="Book Antiqua" w:hAnsi="Book Antiqua" w:cs="Book Antiqua"/>
        </w:rPr>
        <w:t>88487</w:t>
      </w:r>
    </w:p>
    <w:p w14:paraId="1A5A8D22" w14:textId="77777777"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b/>
        </w:rPr>
        <w:t xml:space="preserve">Manuscript Type: </w:t>
      </w:r>
      <w:r w:rsidRPr="00FB40BF">
        <w:rPr>
          <w:rFonts w:ascii="Book Antiqua" w:eastAsia="Book Antiqua" w:hAnsi="Book Antiqua" w:cs="Book Antiqua"/>
        </w:rPr>
        <w:t>MINIREVIEWS</w:t>
      </w:r>
    </w:p>
    <w:p w14:paraId="1EE50C06" w14:textId="77777777" w:rsidR="00A77B3E" w:rsidRPr="00FB40BF" w:rsidRDefault="00A77B3E" w:rsidP="00FB40BF">
      <w:pPr>
        <w:spacing w:line="360" w:lineRule="auto"/>
        <w:jc w:val="both"/>
        <w:rPr>
          <w:rFonts w:ascii="Book Antiqua" w:hAnsi="Book Antiqua"/>
          <w:lang w:eastAsia="zh-CN"/>
        </w:rPr>
      </w:pPr>
    </w:p>
    <w:p w14:paraId="540AFE45" w14:textId="77777777" w:rsidR="00A77B3E" w:rsidRPr="00FB40BF" w:rsidRDefault="00E50F15" w:rsidP="00FB40BF">
      <w:pPr>
        <w:spacing w:line="360" w:lineRule="auto"/>
        <w:jc w:val="both"/>
        <w:rPr>
          <w:rFonts w:ascii="Book Antiqua" w:hAnsi="Book Antiqua"/>
        </w:rPr>
      </w:pPr>
      <w:bookmarkStart w:id="0" w:name="_Hlk153799861"/>
      <w:r w:rsidRPr="00FB40BF">
        <w:rPr>
          <w:rFonts w:ascii="Book Antiqua" w:eastAsia="Book Antiqua" w:hAnsi="Book Antiqua" w:cs="Book Antiqua"/>
          <w:b/>
          <w:color w:val="000000"/>
        </w:rPr>
        <w:t xml:space="preserve">Hepatitis B virus reactivation </w:t>
      </w:r>
      <w:bookmarkEnd w:id="0"/>
      <w:r w:rsidRPr="00FB40BF">
        <w:rPr>
          <w:rFonts w:ascii="Book Antiqua" w:eastAsia="Book Antiqua" w:hAnsi="Book Antiqua" w:cs="Book Antiqua"/>
          <w:b/>
          <w:color w:val="000000"/>
        </w:rPr>
        <w:t>in patients treated with monoclonal antibodies</w:t>
      </w:r>
    </w:p>
    <w:p w14:paraId="44C990D5" w14:textId="77777777" w:rsidR="00A77B3E" w:rsidRPr="00FB40BF" w:rsidRDefault="00A77B3E" w:rsidP="00FB40BF">
      <w:pPr>
        <w:spacing w:line="360" w:lineRule="auto"/>
        <w:jc w:val="both"/>
        <w:rPr>
          <w:rFonts w:ascii="Book Antiqua" w:hAnsi="Book Antiqua"/>
        </w:rPr>
      </w:pPr>
    </w:p>
    <w:p w14:paraId="03C60736" w14:textId="77777777" w:rsidR="00A77B3E" w:rsidRPr="00FB40BF" w:rsidRDefault="00AF435F" w:rsidP="00FB40BF">
      <w:pPr>
        <w:spacing w:line="360" w:lineRule="auto"/>
        <w:jc w:val="both"/>
        <w:rPr>
          <w:rFonts w:ascii="Book Antiqua" w:hAnsi="Book Antiqua"/>
        </w:rPr>
      </w:pPr>
      <w:r w:rsidRPr="00FB40BF">
        <w:rPr>
          <w:rFonts w:ascii="Book Antiqua" w:eastAsia="Book Antiqua" w:hAnsi="Book Antiqua" w:cs="Book Antiqua"/>
          <w:color w:val="000000"/>
        </w:rPr>
        <w:t xml:space="preserve">De Pauli S </w:t>
      </w:r>
      <w:r w:rsidRPr="00FB40BF">
        <w:rPr>
          <w:rFonts w:ascii="Book Antiqua" w:eastAsia="Book Antiqua" w:hAnsi="Book Antiqua" w:cs="Book Antiqua"/>
          <w:i/>
          <w:color w:val="000000"/>
        </w:rPr>
        <w:t>et al</w:t>
      </w:r>
      <w:r w:rsidRPr="00FB40BF">
        <w:rPr>
          <w:rFonts w:ascii="Book Antiqua" w:eastAsia="Book Antiqua" w:hAnsi="Book Antiqua" w:cs="Book Antiqua"/>
          <w:color w:val="000000"/>
        </w:rPr>
        <w:t xml:space="preserve">. </w:t>
      </w:r>
      <w:r w:rsidR="00E50F15" w:rsidRPr="00FB40BF">
        <w:rPr>
          <w:rFonts w:ascii="Book Antiqua" w:eastAsia="Book Antiqua" w:hAnsi="Book Antiqua" w:cs="Book Antiqua"/>
          <w:color w:val="000000"/>
        </w:rPr>
        <w:t>HBV reactivation</w:t>
      </w:r>
    </w:p>
    <w:p w14:paraId="5F0F4F33" w14:textId="77777777" w:rsidR="00A77B3E" w:rsidRPr="00FB40BF" w:rsidRDefault="00A77B3E" w:rsidP="00FB40BF">
      <w:pPr>
        <w:spacing w:line="360" w:lineRule="auto"/>
        <w:jc w:val="both"/>
        <w:rPr>
          <w:rFonts w:ascii="Book Antiqua" w:hAnsi="Book Antiqua"/>
        </w:rPr>
      </w:pPr>
    </w:p>
    <w:p w14:paraId="695E3449" w14:textId="77777777" w:rsidR="00A77B3E" w:rsidRPr="006D013D" w:rsidRDefault="00E50F15" w:rsidP="00FB40BF">
      <w:pPr>
        <w:spacing w:line="360" w:lineRule="auto"/>
        <w:jc w:val="both"/>
        <w:rPr>
          <w:rFonts w:ascii="Book Antiqua" w:hAnsi="Book Antiqua"/>
          <w:b/>
          <w:bCs/>
          <w:lang w:val="it-IT"/>
        </w:rPr>
      </w:pPr>
      <w:r w:rsidRPr="006D013D">
        <w:rPr>
          <w:rFonts w:ascii="Book Antiqua" w:eastAsia="Book Antiqua" w:hAnsi="Book Antiqua" w:cs="Book Antiqua"/>
          <w:b/>
          <w:bCs/>
          <w:color w:val="000000"/>
          <w:lang w:val="it-IT"/>
        </w:rPr>
        <w:t>Silvia De Pauli, Martina Grando, Giovanni Miotti, Marco Zeppieri</w:t>
      </w:r>
    </w:p>
    <w:p w14:paraId="5E08CFC6" w14:textId="77777777" w:rsidR="00A77B3E" w:rsidRPr="00FB40BF" w:rsidRDefault="00A77B3E" w:rsidP="00FB40BF">
      <w:pPr>
        <w:spacing w:line="360" w:lineRule="auto"/>
        <w:jc w:val="both"/>
        <w:rPr>
          <w:rFonts w:ascii="Book Antiqua" w:hAnsi="Book Antiqua"/>
          <w:lang w:val="it-IT"/>
        </w:rPr>
      </w:pPr>
    </w:p>
    <w:p w14:paraId="1317D76B" w14:textId="4A86BC21" w:rsidR="00A77B3E" w:rsidRPr="00FB40BF" w:rsidRDefault="00E50F15" w:rsidP="00FB40BF">
      <w:pPr>
        <w:spacing w:line="360" w:lineRule="auto"/>
        <w:jc w:val="both"/>
        <w:rPr>
          <w:rFonts w:ascii="Book Antiqua" w:hAnsi="Book Antiqua"/>
          <w:lang w:val="it-IT"/>
        </w:rPr>
      </w:pPr>
      <w:r w:rsidRPr="00FB40BF">
        <w:rPr>
          <w:rFonts w:ascii="Book Antiqua" w:eastAsia="Book Antiqua" w:hAnsi="Book Antiqua" w:cs="Book Antiqua"/>
          <w:b/>
          <w:bCs/>
          <w:color w:val="000000"/>
          <w:lang w:val="it-IT"/>
        </w:rPr>
        <w:t xml:space="preserve">Silvia De Pauli, </w:t>
      </w:r>
      <w:r w:rsidR="00BE45EB" w:rsidRPr="00FB40BF">
        <w:rPr>
          <w:rFonts w:ascii="Book Antiqua" w:eastAsia="Book Antiqua" w:hAnsi="Book Antiqua" w:cs="Book Antiqua"/>
          <w:b/>
          <w:bCs/>
          <w:color w:val="000000"/>
          <w:lang w:val="it-IT"/>
        </w:rPr>
        <w:t xml:space="preserve">Martina Grando, </w:t>
      </w:r>
      <w:r w:rsidR="00BE45EB" w:rsidRPr="00FB40BF">
        <w:rPr>
          <w:rFonts w:ascii="Book Antiqua" w:eastAsia="Book Antiqua" w:hAnsi="Book Antiqua" w:cs="Book Antiqua"/>
          <w:color w:val="000000"/>
          <w:lang w:val="it-IT"/>
        </w:rPr>
        <w:t>Department of Internal Medicine, Azienda Sanitaria Friuli Occidentale, San Vito al Tagliamento, Pordenone 33170, Italy</w:t>
      </w:r>
    </w:p>
    <w:p w14:paraId="0948E262" w14:textId="77777777" w:rsidR="00A77B3E" w:rsidRPr="00FB40BF" w:rsidRDefault="00A77B3E" w:rsidP="00FB40BF">
      <w:pPr>
        <w:spacing w:line="360" w:lineRule="auto"/>
        <w:jc w:val="both"/>
        <w:rPr>
          <w:rFonts w:ascii="Book Antiqua" w:hAnsi="Book Antiqua"/>
          <w:lang w:val="it-IT"/>
        </w:rPr>
      </w:pPr>
    </w:p>
    <w:p w14:paraId="4C218073" w14:textId="77777777"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b/>
          <w:bCs/>
          <w:color w:val="000000"/>
        </w:rPr>
        <w:t xml:space="preserve">Giovanni Miotti, </w:t>
      </w:r>
      <w:r w:rsidRPr="00FB40BF">
        <w:rPr>
          <w:rFonts w:ascii="Book Antiqua" w:eastAsia="Book Antiqua" w:hAnsi="Book Antiqua" w:cs="Book Antiqua"/>
          <w:color w:val="000000"/>
        </w:rPr>
        <w:t>Department of Plastic Surgery, University Hospital of Udine, Udine 33100, Italy</w:t>
      </w:r>
    </w:p>
    <w:p w14:paraId="3C49941E" w14:textId="77777777" w:rsidR="00A77B3E" w:rsidRPr="00FB40BF" w:rsidRDefault="00A77B3E" w:rsidP="00FB40BF">
      <w:pPr>
        <w:spacing w:line="360" w:lineRule="auto"/>
        <w:jc w:val="both"/>
        <w:rPr>
          <w:rFonts w:ascii="Book Antiqua" w:hAnsi="Book Antiqua"/>
        </w:rPr>
      </w:pPr>
    </w:p>
    <w:p w14:paraId="6DC422A8" w14:textId="77777777"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b/>
          <w:bCs/>
          <w:color w:val="000000"/>
        </w:rPr>
        <w:t xml:space="preserve">Marco Zeppieri, </w:t>
      </w:r>
      <w:r w:rsidRPr="00FB40BF">
        <w:rPr>
          <w:rFonts w:ascii="Book Antiqua" w:eastAsia="Book Antiqua" w:hAnsi="Book Antiqua" w:cs="Book Antiqua"/>
          <w:color w:val="000000"/>
        </w:rPr>
        <w:t>Department of Ophthalmology, University Hospital of Udine, Udine 33100, Italy</w:t>
      </w:r>
    </w:p>
    <w:p w14:paraId="1872661E" w14:textId="77777777" w:rsidR="008B645B" w:rsidRPr="00FB40BF" w:rsidRDefault="008B645B" w:rsidP="00FB40BF">
      <w:pPr>
        <w:spacing w:line="360" w:lineRule="auto"/>
        <w:jc w:val="both"/>
        <w:rPr>
          <w:rFonts w:ascii="Book Antiqua" w:eastAsia="Book Antiqua" w:hAnsi="Book Antiqua" w:cs="Book Antiqua"/>
          <w:b/>
          <w:bCs/>
          <w:color w:val="000000"/>
        </w:rPr>
      </w:pPr>
    </w:p>
    <w:p w14:paraId="77C453B4" w14:textId="77777777" w:rsidR="00A77B3E" w:rsidRPr="00FB40BF" w:rsidRDefault="008B645B" w:rsidP="00FB40BF">
      <w:pPr>
        <w:spacing w:line="360" w:lineRule="auto"/>
        <w:jc w:val="both"/>
        <w:rPr>
          <w:rFonts w:ascii="Book Antiqua" w:hAnsi="Book Antiqua"/>
        </w:rPr>
      </w:pPr>
      <w:r w:rsidRPr="00FB40BF">
        <w:rPr>
          <w:rFonts w:ascii="Book Antiqua" w:eastAsia="Book Antiqua" w:hAnsi="Book Antiqua" w:cs="Book Antiqua"/>
          <w:b/>
          <w:bCs/>
          <w:color w:val="000000"/>
        </w:rPr>
        <w:t>Co-first authors:</w:t>
      </w:r>
      <w:r w:rsidR="0019355D" w:rsidRPr="00FB40BF">
        <w:rPr>
          <w:rFonts w:ascii="Book Antiqua" w:eastAsia="Book Antiqua" w:hAnsi="Book Antiqua" w:cs="Book Antiqua"/>
          <w:color w:val="000000"/>
        </w:rPr>
        <w:t xml:space="preserve"> Silvia De Pauli and Martina Grando</w:t>
      </w:r>
      <w:r w:rsidR="00313F16" w:rsidRPr="00FB40BF">
        <w:rPr>
          <w:rFonts w:ascii="Book Antiqua" w:eastAsia="Book Antiqua" w:hAnsi="Book Antiqua" w:cs="Book Antiqua"/>
          <w:color w:val="000000"/>
        </w:rPr>
        <w:t>.</w:t>
      </w:r>
    </w:p>
    <w:p w14:paraId="41CC132E" w14:textId="77777777" w:rsidR="008B645B" w:rsidRPr="00FB40BF" w:rsidRDefault="008B645B" w:rsidP="00FB40BF">
      <w:pPr>
        <w:spacing w:line="360" w:lineRule="auto"/>
        <w:jc w:val="both"/>
        <w:rPr>
          <w:rFonts w:ascii="Book Antiqua" w:eastAsia="Book Antiqua" w:hAnsi="Book Antiqua" w:cs="Book Antiqua"/>
          <w:b/>
          <w:bCs/>
          <w:color w:val="000000"/>
        </w:rPr>
      </w:pPr>
    </w:p>
    <w:p w14:paraId="4D08B00A" w14:textId="7757FE26" w:rsidR="00A77B3E" w:rsidRPr="00FB40BF" w:rsidRDefault="00E50F15" w:rsidP="00FB40BF">
      <w:pPr>
        <w:spacing w:line="360" w:lineRule="auto"/>
        <w:jc w:val="both"/>
        <w:rPr>
          <w:rFonts w:ascii="Book Antiqua" w:hAnsi="Book Antiqua"/>
        </w:rPr>
      </w:pPr>
      <w:bookmarkStart w:id="1" w:name="_Hlk153799879"/>
      <w:r w:rsidRPr="00FB40BF">
        <w:rPr>
          <w:rFonts w:ascii="Book Antiqua" w:eastAsia="Book Antiqua" w:hAnsi="Book Antiqua" w:cs="Book Antiqua"/>
          <w:b/>
          <w:bCs/>
          <w:color w:val="000000"/>
        </w:rPr>
        <w:t xml:space="preserve">Author contributions: </w:t>
      </w:r>
      <w:r w:rsidR="00B75EB5" w:rsidRPr="00FB40BF">
        <w:rPr>
          <w:rFonts w:ascii="Book Antiqua" w:eastAsia="Book Antiqua" w:hAnsi="Book Antiqua" w:cs="Book Antiqua"/>
          <w:color w:val="000000"/>
        </w:rPr>
        <w:t xml:space="preserve">Grando M, De Pauli S and Zeppieri M wrote the outline; Grando M and De Pauli S </w:t>
      </w:r>
      <w:r w:rsidR="00FB320B">
        <w:rPr>
          <w:rFonts w:ascii="Book Antiqua" w:eastAsia="Book Antiqua" w:hAnsi="Book Antiqua" w:cs="Book Antiqua"/>
          <w:color w:val="000000"/>
        </w:rPr>
        <w:t>performed</w:t>
      </w:r>
      <w:r w:rsidR="00FB320B" w:rsidRPr="00FB40BF">
        <w:rPr>
          <w:rFonts w:ascii="Book Antiqua" w:eastAsia="Book Antiqua" w:hAnsi="Book Antiqua" w:cs="Book Antiqua"/>
          <w:color w:val="000000"/>
        </w:rPr>
        <w:t xml:space="preserve"> </w:t>
      </w:r>
      <w:r w:rsidR="00B75EB5" w:rsidRPr="00FB40BF">
        <w:rPr>
          <w:rFonts w:ascii="Book Antiqua" w:eastAsia="Book Antiqua" w:hAnsi="Book Antiqua" w:cs="Book Antiqua"/>
          <w:color w:val="000000"/>
        </w:rPr>
        <w:t xml:space="preserve">the research and </w:t>
      </w:r>
      <w:r w:rsidR="00FB320B">
        <w:rPr>
          <w:rFonts w:ascii="Book Antiqua" w:eastAsia="Book Antiqua" w:hAnsi="Book Antiqua" w:cs="Book Antiqua"/>
          <w:color w:val="000000"/>
        </w:rPr>
        <w:t>wrote</w:t>
      </w:r>
      <w:r w:rsidR="00FB320B" w:rsidRPr="00FB40BF">
        <w:rPr>
          <w:rFonts w:ascii="Book Antiqua" w:eastAsia="Book Antiqua" w:hAnsi="Book Antiqua" w:cs="Book Antiqua"/>
          <w:color w:val="000000"/>
        </w:rPr>
        <w:t xml:space="preserve"> </w:t>
      </w:r>
      <w:r w:rsidR="00B75EB5" w:rsidRPr="00FB40BF">
        <w:rPr>
          <w:rFonts w:ascii="Book Antiqua" w:eastAsia="Book Antiqua" w:hAnsi="Book Antiqua" w:cs="Book Antiqua"/>
          <w:color w:val="000000"/>
        </w:rPr>
        <w:t xml:space="preserve">the manuscript together as co-authors; Grando M, De Pauli S, Miotti G, and Zeppieri M assisted in the writing of the paper; Zeppieri M was responsible for the conception and design of the study and completed the English and scientific editing; Grando M, De Pauli S, Miotti G and Zeppieri M assisted in the editing and making critical revisions </w:t>
      </w:r>
      <w:r w:rsidR="00FB320B">
        <w:rPr>
          <w:rFonts w:ascii="Book Antiqua" w:eastAsia="Book Antiqua" w:hAnsi="Book Antiqua" w:cs="Book Antiqua"/>
          <w:color w:val="000000"/>
        </w:rPr>
        <w:t>to</w:t>
      </w:r>
      <w:r w:rsidR="00FB320B" w:rsidRPr="00FB40BF">
        <w:rPr>
          <w:rFonts w:ascii="Book Antiqua" w:eastAsia="Book Antiqua" w:hAnsi="Book Antiqua" w:cs="Book Antiqua"/>
          <w:color w:val="000000"/>
        </w:rPr>
        <w:t xml:space="preserve"> </w:t>
      </w:r>
      <w:r w:rsidR="00B75EB5" w:rsidRPr="00FB40BF">
        <w:rPr>
          <w:rFonts w:ascii="Book Antiqua" w:eastAsia="Book Antiqua" w:hAnsi="Book Antiqua" w:cs="Book Antiqua"/>
          <w:color w:val="000000"/>
        </w:rPr>
        <w:t xml:space="preserve">the manuscript. Although authors are from different areas of specialization, all authors provided general information and details regarding Hepatitis B virus reactivation based on the literature review. Each author participated in the research and writing of the paper, even if not </w:t>
      </w:r>
      <w:r w:rsidR="00B75EB5" w:rsidRPr="00FB40BF">
        <w:rPr>
          <w:rFonts w:ascii="Book Antiqua" w:eastAsia="Book Antiqua" w:hAnsi="Book Antiqua" w:cs="Book Antiqua"/>
          <w:color w:val="000000"/>
        </w:rPr>
        <w:lastRenderedPageBreak/>
        <w:t>directly pertinent to the area of study, considering the multidisciplinary approach in managing these patients. All authors provided the final approval of the article.</w:t>
      </w:r>
      <w:r w:rsidRPr="00FB40BF">
        <w:rPr>
          <w:rFonts w:ascii="Book Antiqua" w:eastAsia="Book Antiqua" w:hAnsi="Book Antiqua" w:cs="Book Antiqua"/>
          <w:color w:val="000000"/>
        </w:rPr>
        <w:t xml:space="preserve"> </w:t>
      </w:r>
      <w:bookmarkEnd w:id="1"/>
    </w:p>
    <w:p w14:paraId="615651CA" w14:textId="77777777" w:rsidR="00A77B3E" w:rsidRPr="00FB40BF" w:rsidRDefault="00A77B3E" w:rsidP="00FB40BF">
      <w:pPr>
        <w:spacing w:line="360" w:lineRule="auto"/>
        <w:jc w:val="both"/>
        <w:rPr>
          <w:rFonts w:ascii="Book Antiqua" w:hAnsi="Book Antiqua"/>
        </w:rPr>
      </w:pPr>
    </w:p>
    <w:p w14:paraId="478C8A46" w14:textId="77777777"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b/>
          <w:bCs/>
          <w:color w:val="000000"/>
        </w:rPr>
        <w:t xml:space="preserve">Corresponding author: Marco Zeppieri, BSc, MD, PhD, Doctor, </w:t>
      </w:r>
      <w:r w:rsidRPr="00FB40BF">
        <w:rPr>
          <w:rFonts w:ascii="Book Antiqua" w:eastAsia="Book Antiqua" w:hAnsi="Book Antiqua" w:cs="Book Antiqua"/>
          <w:color w:val="000000"/>
        </w:rPr>
        <w:t>Department of Ophthalmology, University Hospital of Udine, p.le S. Maria della Misericordia 15, Udine 33100, Italy. markzeppieri@hotmail.com</w:t>
      </w:r>
    </w:p>
    <w:p w14:paraId="75A17BBD" w14:textId="77777777" w:rsidR="00A77B3E" w:rsidRPr="00FB40BF" w:rsidRDefault="00A77B3E" w:rsidP="00FB40BF">
      <w:pPr>
        <w:spacing w:line="360" w:lineRule="auto"/>
        <w:jc w:val="both"/>
        <w:rPr>
          <w:rFonts w:ascii="Book Antiqua" w:hAnsi="Book Antiqua"/>
        </w:rPr>
      </w:pPr>
    </w:p>
    <w:p w14:paraId="4F14F978" w14:textId="77777777"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b/>
          <w:bCs/>
        </w:rPr>
        <w:t xml:space="preserve">Received: </w:t>
      </w:r>
      <w:r w:rsidRPr="00FB40BF">
        <w:rPr>
          <w:rFonts w:ascii="Book Antiqua" w:eastAsia="Book Antiqua" w:hAnsi="Book Antiqua" w:cs="Book Antiqua"/>
        </w:rPr>
        <w:t>September 26, 2023</w:t>
      </w:r>
    </w:p>
    <w:p w14:paraId="72B35B83" w14:textId="77777777"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b/>
          <w:bCs/>
        </w:rPr>
        <w:t xml:space="preserve">Revised: </w:t>
      </w:r>
      <w:r w:rsidR="00BD474E" w:rsidRPr="00FB40BF">
        <w:rPr>
          <w:rFonts w:ascii="Book Antiqua" w:eastAsia="Book Antiqua" w:hAnsi="Book Antiqua" w:cs="Book Antiqua"/>
          <w:bCs/>
        </w:rPr>
        <w:t>November 23, 2023</w:t>
      </w:r>
    </w:p>
    <w:p w14:paraId="65CAB882" w14:textId="41970D68" w:rsidR="00A77B3E" w:rsidRPr="00FB40BF" w:rsidRDefault="00E50F15" w:rsidP="004A450B">
      <w:pPr>
        <w:spacing w:line="360" w:lineRule="auto"/>
        <w:rPr>
          <w:rFonts w:ascii="Book Antiqua" w:hAnsi="Book Antiqua"/>
        </w:rPr>
      </w:pPr>
      <w:r w:rsidRPr="00FB40BF">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r w:rsidR="008C1E4A" w:rsidRPr="00E0103E">
        <w:rPr>
          <w:rFonts w:ascii="Book Antiqua" w:hAnsi="Book Antiqua"/>
        </w:rPr>
        <w:t>December 1</w:t>
      </w:r>
      <w:r w:rsidR="008C1E4A">
        <w:rPr>
          <w:rFonts w:ascii="Book Antiqua" w:hAnsi="Book Antiqua"/>
        </w:rPr>
        <w:t>9</w:t>
      </w:r>
      <w:r w:rsidR="008C1E4A" w:rsidRPr="00E0103E">
        <w:rPr>
          <w:rFonts w:ascii="Book Antiqua" w:hAnsi="Book Antiqua"/>
        </w:rPr>
        <w:t>, 2023</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2D154040" w14:textId="77777777"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b/>
          <w:bCs/>
        </w:rPr>
        <w:t xml:space="preserve">Published online: </w:t>
      </w:r>
    </w:p>
    <w:p w14:paraId="234E95BE" w14:textId="77777777" w:rsidR="00A77B3E" w:rsidRPr="00FB40BF" w:rsidRDefault="00A77B3E" w:rsidP="00FB40BF">
      <w:pPr>
        <w:spacing w:line="360" w:lineRule="auto"/>
        <w:jc w:val="both"/>
        <w:rPr>
          <w:rFonts w:ascii="Book Antiqua" w:hAnsi="Book Antiqua"/>
        </w:rPr>
        <w:sectPr w:rsidR="00A77B3E" w:rsidRPr="00FB40BF" w:rsidSect="00F358D9">
          <w:footerReference w:type="default" r:id="rId7"/>
          <w:pgSz w:w="12240" w:h="15840"/>
          <w:pgMar w:top="1440" w:right="1440" w:bottom="1440" w:left="1440" w:header="720" w:footer="720" w:gutter="0"/>
          <w:cols w:space="720"/>
          <w:docGrid w:linePitch="360"/>
        </w:sectPr>
      </w:pPr>
    </w:p>
    <w:p w14:paraId="18D3603C" w14:textId="77777777"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b/>
          <w:color w:val="000000"/>
        </w:rPr>
        <w:lastRenderedPageBreak/>
        <w:t>Abstract</w:t>
      </w:r>
    </w:p>
    <w:p w14:paraId="001F98D8" w14:textId="343145EA" w:rsidR="00A77B3E" w:rsidRPr="00FB40BF" w:rsidRDefault="00013A4A" w:rsidP="00FB40BF">
      <w:pPr>
        <w:spacing w:line="360" w:lineRule="auto"/>
        <w:jc w:val="both"/>
        <w:rPr>
          <w:rFonts w:ascii="Book Antiqua" w:hAnsi="Book Antiqua"/>
        </w:rPr>
      </w:pPr>
      <w:r w:rsidRPr="00FB40BF">
        <w:rPr>
          <w:rFonts w:ascii="Book Antiqua" w:hAnsi="Book Antiqua"/>
        </w:rPr>
        <w:t xml:space="preserve">Hepatitis B virus (HBV) reactivation poses a significant clinical challenge, especially in patients undergoing immunosuppressive therapies, including monoclonal antibody treatments. This manuscript briefly explores the complex relationship between monoclonal antibody therapy and HBV reactivation, drawing upon current literature and clinical case studies. It delves into the mechanisms underlying this phenomenon, highlighting the importance of risk assessment, monitoring, and prophylactic measures for patients at risk. The manuscript aims to enhance </w:t>
      </w:r>
      <w:r w:rsidR="00913FB9" w:rsidRPr="00FB40BF">
        <w:rPr>
          <w:rFonts w:ascii="Book Antiqua" w:hAnsi="Book Antiqua"/>
        </w:rPr>
        <w:t xml:space="preserve">the </w:t>
      </w:r>
      <w:r w:rsidRPr="00FB40BF">
        <w:rPr>
          <w:rFonts w:ascii="Book Antiqua" w:hAnsi="Book Antiqua"/>
        </w:rPr>
        <w:t xml:space="preserve">understanding of HBV reactivation in the context of monoclonal antibody therapy, ultimately facilitating informed clinical decision-making and improved patient care. </w:t>
      </w:r>
      <w:r w:rsidR="00913FB9" w:rsidRPr="00FB40BF">
        <w:rPr>
          <w:rFonts w:ascii="Book Antiqua" w:hAnsi="Book Antiqua"/>
        </w:rPr>
        <w:t>This paper will also</w:t>
      </w:r>
      <w:r w:rsidRPr="00FB40BF">
        <w:rPr>
          <w:rFonts w:ascii="Book Antiqua" w:hAnsi="Book Antiqua"/>
        </w:rPr>
        <w:t xml:space="preserve"> briefly review the definition of HBV activation, assess the risks of reactivation, especially in patients treated with monoclonal antibodies, and consider management for patients with regard to screening, prophylaxis, and treatment. A better understanding of patients at risk can help clinicians provide optimum management to ensure successful patient outcomes and prevent morbidity.</w:t>
      </w:r>
    </w:p>
    <w:p w14:paraId="57374F0A" w14:textId="77777777" w:rsidR="00790371" w:rsidRPr="00FB40BF" w:rsidRDefault="00790371" w:rsidP="00FB40BF">
      <w:pPr>
        <w:spacing w:line="360" w:lineRule="auto"/>
        <w:jc w:val="both"/>
        <w:rPr>
          <w:rFonts w:ascii="Book Antiqua" w:hAnsi="Book Antiqua"/>
        </w:rPr>
      </w:pPr>
    </w:p>
    <w:p w14:paraId="7FE011CA" w14:textId="77777777"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b/>
          <w:bCs/>
        </w:rPr>
        <w:t xml:space="preserve">Key Words: </w:t>
      </w:r>
      <w:r w:rsidRPr="00FB40BF">
        <w:rPr>
          <w:rFonts w:ascii="Book Antiqua" w:eastAsia="Book Antiqua" w:hAnsi="Book Antiqua" w:cs="Book Antiqua"/>
        </w:rPr>
        <w:t xml:space="preserve">Hepatitis B virus; Reactivation; Acute infection; Chronic </w:t>
      </w:r>
      <w:r w:rsidR="000E5F43" w:rsidRPr="00FB40BF">
        <w:rPr>
          <w:rFonts w:ascii="Book Antiqua" w:eastAsia="Book Antiqua" w:hAnsi="Book Antiqua" w:cs="Book Antiqua"/>
        </w:rPr>
        <w:t>infection</w:t>
      </w:r>
      <w:r w:rsidRPr="00FB40BF">
        <w:rPr>
          <w:rFonts w:ascii="Book Antiqua" w:eastAsia="Book Antiqua" w:hAnsi="Book Antiqua" w:cs="Book Antiqua"/>
        </w:rPr>
        <w:t>; Monoclonal antibodies</w:t>
      </w:r>
    </w:p>
    <w:p w14:paraId="521774D5" w14:textId="77777777" w:rsidR="00A77B3E" w:rsidRPr="00FB40BF" w:rsidRDefault="00A77B3E" w:rsidP="00FB40BF">
      <w:pPr>
        <w:spacing w:line="360" w:lineRule="auto"/>
        <w:jc w:val="both"/>
        <w:rPr>
          <w:rFonts w:ascii="Book Antiqua" w:hAnsi="Book Antiqua"/>
        </w:rPr>
      </w:pPr>
    </w:p>
    <w:p w14:paraId="68E9F25B" w14:textId="77777777"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rPr>
        <w:t xml:space="preserve">De Pauli S, Grando M, Miotti G, Zeppieri M. Hepatitis B virus reactivation in patients treated with monoclonal antibodies. </w:t>
      </w:r>
      <w:r w:rsidRPr="00FB40BF">
        <w:rPr>
          <w:rFonts w:ascii="Book Antiqua" w:eastAsia="Book Antiqua" w:hAnsi="Book Antiqua" w:cs="Book Antiqua"/>
          <w:i/>
          <w:iCs/>
        </w:rPr>
        <w:t>World J Virol</w:t>
      </w:r>
      <w:r w:rsidRPr="00FB40BF">
        <w:rPr>
          <w:rFonts w:ascii="Book Antiqua" w:eastAsia="Book Antiqua" w:hAnsi="Book Antiqua" w:cs="Book Antiqua"/>
        </w:rPr>
        <w:t xml:space="preserve"> 2023; In press</w:t>
      </w:r>
    </w:p>
    <w:p w14:paraId="72038B3C" w14:textId="77777777" w:rsidR="00A77B3E" w:rsidRPr="00FB40BF" w:rsidRDefault="00A77B3E" w:rsidP="00FB40BF">
      <w:pPr>
        <w:spacing w:line="360" w:lineRule="auto"/>
        <w:jc w:val="both"/>
        <w:rPr>
          <w:rFonts w:ascii="Book Antiqua" w:hAnsi="Book Antiqua"/>
        </w:rPr>
      </w:pPr>
    </w:p>
    <w:p w14:paraId="0D017882" w14:textId="0527495C" w:rsidR="00A77B3E" w:rsidRPr="00FB40BF" w:rsidRDefault="00E50F15" w:rsidP="00FB40BF">
      <w:pPr>
        <w:spacing w:line="360" w:lineRule="auto"/>
        <w:jc w:val="both"/>
        <w:rPr>
          <w:rFonts w:ascii="Book Antiqua" w:hAnsi="Book Antiqua" w:cstheme="minorHAnsi"/>
          <w:b/>
          <w:bCs/>
        </w:rPr>
      </w:pPr>
      <w:r w:rsidRPr="00FB40BF">
        <w:rPr>
          <w:rFonts w:ascii="Book Antiqua" w:eastAsia="Book Antiqua" w:hAnsi="Book Antiqua" w:cs="Book Antiqua"/>
          <w:b/>
          <w:bCs/>
        </w:rPr>
        <w:t xml:space="preserve">Core Tip: </w:t>
      </w:r>
      <w:r w:rsidR="00790371" w:rsidRPr="00FB40BF">
        <w:rPr>
          <w:rFonts w:ascii="Book Antiqua" w:hAnsi="Book Antiqua"/>
        </w:rPr>
        <w:t xml:space="preserve">Reactivation of hepatitis B (HBV) induces a rapid and acute increase in viral replication in a patient with chronic HBV infection or prior HBV exposure. There is </w:t>
      </w:r>
      <w:r w:rsidR="00C21116">
        <w:rPr>
          <w:rFonts w:ascii="Book Antiqua" w:hAnsi="Book Antiqua"/>
        </w:rPr>
        <w:t xml:space="preserve">also </w:t>
      </w:r>
      <w:r w:rsidR="00790371" w:rsidRPr="00FB40BF">
        <w:rPr>
          <w:rFonts w:ascii="Book Antiqua" w:hAnsi="Book Antiqua"/>
        </w:rPr>
        <w:t xml:space="preserve">an increased risk of HBV reactivation in patients treated with monoclonal antibodies. </w:t>
      </w:r>
      <w:r w:rsidR="00205322">
        <w:rPr>
          <w:rFonts w:ascii="Book Antiqua" w:hAnsi="Book Antiqua"/>
        </w:rPr>
        <w:t>O</w:t>
      </w:r>
      <w:r w:rsidR="00790371" w:rsidRPr="00FB40BF">
        <w:rPr>
          <w:rFonts w:ascii="Book Antiqua" w:hAnsi="Book Antiqua"/>
        </w:rPr>
        <w:t>rgan damage can be due to various mechanisms and risk factors that activate the cascade of inflammatory responses</w:t>
      </w:r>
      <w:r w:rsidR="00F315E9">
        <w:rPr>
          <w:rFonts w:ascii="Book Antiqua" w:hAnsi="Book Antiqua"/>
        </w:rPr>
        <w:t>,</w:t>
      </w:r>
      <w:r w:rsidR="00790371" w:rsidRPr="00FB40BF">
        <w:rPr>
          <w:rFonts w:ascii="Book Antiqua" w:hAnsi="Book Antiqua"/>
        </w:rPr>
        <w:t xml:space="preserve"> such as direct infection. It is of clinical importance to diagnose, manage, and treat individuals, especially those at risk. Patient outcomes, success of therapy, prevention of complications, and management of existing comorbidities depend on the correct multidisciplinary management in patients at risk.</w:t>
      </w:r>
    </w:p>
    <w:p w14:paraId="0C78C283" w14:textId="77777777" w:rsidR="00A77B3E" w:rsidRPr="00FB40BF" w:rsidRDefault="00A77B3E" w:rsidP="00FB40BF">
      <w:pPr>
        <w:spacing w:line="360" w:lineRule="auto"/>
        <w:jc w:val="both"/>
        <w:rPr>
          <w:rFonts w:ascii="Book Antiqua" w:hAnsi="Book Antiqua"/>
        </w:rPr>
      </w:pPr>
    </w:p>
    <w:p w14:paraId="0FCAC04F" w14:textId="77777777"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b/>
          <w:caps/>
          <w:color w:val="000000"/>
          <w:u w:val="single"/>
        </w:rPr>
        <w:t>INTRODUCTION</w:t>
      </w:r>
    </w:p>
    <w:p w14:paraId="70404A52" w14:textId="76880DBA" w:rsidR="00CA180F" w:rsidRPr="00FB40BF" w:rsidRDefault="00CA180F" w:rsidP="00FB40BF">
      <w:pPr>
        <w:pStyle w:val="NormalWeb"/>
        <w:spacing w:before="0" w:beforeAutospacing="0" w:after="0" w:afterAutospacing="0" w:line="360" w:lineRule="auto"/>
        <w:jc w:val="both"/>
        <w:rPr>
          <w:rFonts w:ascii="Book Antiqua" w:hAnsi="Book Antiqua" w:cstheme="minorHAnsi"/>
          <w:lang w:val="en-US"/>
        </w:rPr>
      </w:pPr>
      <w:r w:rsidRPr="00FB40BF">
        <w:rPr>
          <w:rFonts w:ascii="Book Antiqua" w:hAnsi="Book Antiqua" w:cstheme="minorHAnsi"/>
          <w:lang w:val="en-US"/>
        </w:rPr>
        <w:t xml:space="preserve">Hepatitis B virus </w:t>
      </w:r>
      <w:r w:rsidR="00E8350E" w:rsidRPr="00FB40BF">
        <w:rPr>
          <w:rFonts w:ascii="Book Antiqua" w:hAnsi="Book Antiqua" w:cstheme="minorHAnsi"/>
          <w:lang w:val="en-US"/>
        </w:rPr>
        <w:t xml:space="preserve">(HBV) </w:t>
      </w:r>
      <w:r w:rsidRPr="00FB40BF">
        <w:rPr>
          <w:rFonts w:ascii="Book Antiqua" w:hAnsi="Book Antiqua" w:cstheme="minorHAnsi"/>
          <w:lang w:val="en-US"/>
        </w:rPr>
        <w:t xml:space="preserve">infection can lead to acute or chronic infectious disease, particularly the latter when the infection is contracted </w:t>
      </w:r>
      <w:r w:rsidR="001E64D3">
        <w:rPr>
          <w:rFonts w:ascii="Book Antiqua" w:hAnsi="Book Antiqua" w:cstheme="minorHAnsi"/>
          <w:lang w:val="en-US"/>
        </w:rPr>
        <w:t>during</w:t>
      </w:r>
      <w:r w:rsidR="001E64D3" w:rsidRPr="00FB40BF">
        <w:rPr>
          <w:rFonts w:ascii="Book Antiqua" w:hAnsi="Book Antiqua" w:cstheme="minorHAnsi"/>
          <w:lang w:val="en-US"/>
        </w:rPr>
        <w:t xml:space="preserve"> </w:t>
      </w:r>
      <w:r w:rsidRPr="00FB40BF">
        <w:rPr>
          <w:rFonts w:ascii="Book Antiqua" w:hAnsi="Book Antiqua" w:cstheme="minorHAnsi"/>
          <w:lang w:val="en-US"/>
        </w:rPr>
        <w:t>childhood. Chronic hepatitis B is estimated to affect 291 million people worldwide, of which almost 80% live in developing countries</w:t>
      </w:r>
      <w:r w:rsidR="00245F43" w:rsidRPr="00FB40BF">
        <w:rPr>
          <w:rFonts w:ascii="Book Antiqua" w:hAnsi="Book Antiqua" w:cstheme="minorHAnsi"/>
          <w:vertAlign w:val="superscript"/>
          <w:lang w:val="en-US"/>
        </w:rPr>
        <w:t>[1]</w:t>
      </w:r>
      <w:r w:rsidRPr="00FB40BF">
        <w:rPr>
          <w:rFonts w:ascii="Book Antiqua" w:hAnsi="Book Antiqua" w:cstheme="minorHAnsi"/>
          <w:lang w:val="en-US"/>
        </w:rPr>
        <w:t xml:space="preserve">. When the infection becomes chronic, the virus can remain in the organism in a latent form, thus acting as a reservoir for </w:t>
      </w:r>
      <w:r w:rsidR="001E64D3">
        <w:rPr>
          <w:rFonts w:ascii="Book Antiqua" w:hAnsi="Book Antiqua" w:cstheme="minorHAnsi"/>
          <w:lang w:val="en-US"/>
        </w:rPr>
        <w:t>disease</w:t>
      </w:r>
      <w:r w:rsidR="001E64D3" w:rsidRPr="00FB40BF">
        <w:rPr>
          <w:rFonts w:ascii="Book Antiqua" w:hAnsi="Book Antiqua" w:cstheme="minorHAnsi"/>
          <w:lang w:val="en-US"/>
        </w:rPr>
        <w:t xml:space="preserve"> </w:t>
      </w:r>
      <w:r w:rsidRPr="00FB40BF">
        <w:rPr>
          <w:rFonts w:ascii="Book Antiqua" w:hAnsi="Book Antiqua" w:cstheme="minorHAnsi"/>
          <w:lang w:val="en-US"/>
        </w:rPr>
        <w:t>reactivation, which can also occur when there is evidence of recovery of the anti-HBV immune capacity (production of anti-HBs)</w:t>
      </w:r>
      <w:r w:rsidR="00245F43" w:rsidRPr="00FB40BF">
        <w:rPr>
          <w:rFonts w:ascii="Book Antiqua" w:hAnsi="Book Antiqua" w:cstheme="minorHAnsi"/>
          <w:vertAlign w:val="superscript"/>
          <w:lang w:val="en-US"/>
        </w:rPr>
        <w:t>[2]</w:t>
      </w:r>
      <w:r w:rsidRPr="00FB40BF">
        <w:rPr>
          <w:rFonts w:ascii="Book Antiqua" w:hAnsi="Book Antiqua" w:cstheme="minorHAnsi"/>
          <w:lang w:val="en-US"/>
        </w:rPr>
        <w:t xml:space="preserve">. </w:t>
      </w:r>
    </w:p>
    <w:p w14:paraId="6D7031C2" w14:textId="4E1CB610" w:rsidR="00CA180F" w:rsidRPr="00FB40BF" w:rsidRDefault="00CA180F" w:rsidP="00FB40BF">
      <w:pPr>
        <w:pStyle w:val="NormalWeb"/>
        <w:spacing w:before="0" w:beforeAutospacing="0" w:after="0" w:afterAutospacing="0" w:line="360" w:lineRule="auto"/>
        <w:ind w:firstLineChars="200" w:firstLine="480"/>
        <w:jc w:val="both"/>
        <w:rPr>
          <w:rFonts w:ascii="Book Antiqua" w:hAnsi="Book Antiqua" w:cstheme="minorHAnsi"/>
          <w:lang w:val="en-US"/>
        </w:rPr>
      </w:pPr>
      <w:r w:rsidRPr="00FB40BF">
        <w:rPr>
          <w:rFonts w:ascii="Book Antiqua" w:hAnsi="Book Antiqua" w:cstheme="minorHAnsi"/>
          <w:lang w:val="en-US"/>
        </w:rPr>
        <w:t xml:space="preserve">When a patient is subjected to immunosuppressive therapy, </w:t>
      </w:r>
      <w:r w:rsidR="00003B07">
        <w:rPr>
          <w:rFonts w:ascii="Book Antiqua" w:hAnsi="Book Antiqua" w:cstheme="minorHAnsi"/>
          <w:lang w:val="en-US"/>
        </w:rPr>
        <w:t>HBV</w:t>
      </w:r>
      <w:r w:rsidR="00003B07" w:rsidRPr="00FB40BF">
        <w:rPr>
          <w:rFonts w:ascii="Book Antiqua" w:hAnsi="Book Antiqua" w:cstheme="minorHAnsi"/>
          <w:lang w:val="en-US"/>
        </w:rPr>
        <w:t xml:space="preserve"> </w:t>
      </w:r>
      <w:r w:rsidRPr="00FB40BF">
        <w:rPr>
          <w:rFonts w:ascii="Book Antiqua" w:hAnsi="Book Antiqua" w:cstheme="minorHAnsi"/>
          <w:lang w:val="en-US"/>
        </w:rPr>
        <w:t xml:space="preserve">reactivation may occur. This condition is </w:t>
      </w:r>
      <w:r w:rsidR="00003B07">
        <w:rPr>
          <w:rFonts w:ascii="Book Antiqua" w:hAnsi="Book Antiqua" w:cstheme="minorHAnsi"/>
          <w:lang w:val="en-US"/>
        </w:rPr>
        <w:t>fairly common</w:t>
      </w:r>
      <w:r w:rsidRPr="00FB40BF">
        <w:rPr>
          <w:rFonts w:ascii="Book Antiqua" w:hAnsi="Book Antiqua" w:cstheme="minorHAnsi"/>
          <w:lang w:val="en-US"/>
        </w:rPr>
        <w:t xml:space="preserve"> and can lead to serious consequences.</w:t>
      </w:r>
      <w:r w:rsidR="00C94922" w:rsidRPr="00FB40BF">
        <w:rPr>
          <w:rFonts w:ascii="Book Antiqua" w:hAnsi="Book Antiqua" w:cstheme="minorHAnsi"/>
          <w:lang w:val="en-US"/>
        </w:rPr>
        <w:t xml:space="preserve"> </w:t>
      </w:r>
      <w:r w:rsidR="006869C8" w:rsidRPr="00FB40BF">
        <w:rPr>
          <w:rFonts w:ascii="Book Antiqua" w:hAnsi="Book Antiqua" w:cstheme="minorHAnsi"/>
          <w:lang w:val="en-US"/>
        </w:rPr>
        <w:t>V</w:t>
      </w:r>
      <w:r w:rsidRPr="00FB40BF">
        <w:rPr>
          <w:rFonts w:ascii="Book Antiqua" w:hAnsi="Book Antiqua" w:cstheme="minorHAnsi"/>
          <w:lang w:val="en-US"/>
        </w:rPr>
        <w:t xml:space="preserve">arious treatments can induce </w:t>
      </w:r>
      <w:r w:rsidR="00003B07">
        <w:rPr>
          <w:rFonts w:ascii="Book Antiqua" w:hAnsi="Book Antiqua" w:cstheme="minorHAnsi"/>
          <w:lang w:val="en-US"/>
        </w:rPr>
        <w:t>viral</w:t>
      </w:r>
      <w:r w:rsidR="00003B07" w:rsidRPr="00FB40BF">
        <w:rPr>
          <w:rFonts w:ascii="Book Antiqua" w:hAnsi="Book Antiqua" w:cstheme="minorHAnsi"/>
          <w:lang w:val="en-US"/>
        </w:rPr>
        <w:t xml:space="preserve"> </w:t>
      </w:r>
      <w:r w:rsidRPr="00FB40BF">
        <w:rPr>
          <w:rFonts w:ascii="Book Antiqua" w:hAnsi="Book Antiqua" w:cstheme="minorHAnsi"/>
          <w:lang w:val="en-US"/>
        </w:rPr>
        <w:t>reactivation</w:t>
      </w:r>
      <w:r w:rsidR="006869C8" w:rsidRPr="00FB40BF">
        <w:rPr>
          <w:rFonts w:ascii="Book Antiqua" w:hAnsi="Book Antiqua" w:cstheme="minorHAnsi"/>
          <w:lang w:val="en-US"/>
        </w:rPr>
        <w:t>, includ</w:t>
      </w:r>
      <w:r w:rsidR="002C5CD2">
        <w:rPr>
          <w:rFonts w:ascii="Book Antiqua" w:hAnsi="Book Antiqua" w:cstheme="minorHAnsi"/>
          <w:lang w:val="en-US"/>
        </w:rPr>
        <w:t>ing</w:t>
      </w:r>
      <w:r w:rsidR="006869C8" w:rsidRPr="00FB40BF">
        <w:rPr>
          <w:rFonts w:ascii="Book Antiqua" w:hAnsi="Book Antiqua" w:cstheme="minorHAnsi"/>
          <w:lang w:val="en-US"/>
        </w:rPr>
        <w:t xml:space="preserve"> o</w:t>
      </w:r>
      <w:r w:rsidR="0013431D" w:rsidRPr="00FB40BF">
        <w:rPr>
          <w:rFonts w:ascii="Book Antiqua" w:hAnsi="Book Antiqua" w:cstheme="minorHAnsi"/>
          <w:lang w:val="en-US"/>
        </w:rPr>
        <w:t xml:space="preserve">ncological </w:t>
      </w:r>
      <w:r w:rsidRPr="00FB40BF">
        <w:rPr>
          <w:rFonts w:ascii="Book Antiqua" w:hAnsi="Book Antiqua" w:cstheme="minorHAnsi"/>
          <w:lang w:val="en-US"/>
        </w:rPr>
        <w:t>chemotherapies, checkpoint inhibitor therapies, stem</w:t>
      </w:r>
      <w:r w:rsidR="002C5CD2">
        <w:rPr>
          <w:rFonts w:ascii="Book Antiqua" w:hAnsi="Book Antiqua" w:cstheme="minorHAnsi"/>
          <w:lang w:val="en-US"/>
        </w:rPr>
        <w:t xml:space="preserve"> </w:t>
      </w:r>
      <w:r w:rsidRPr="00FB40BF">
        <w:rPr>
          <w:rFonts w:ascii="Book Antiqua" w:hAnsi="Book Antiqua" w:cstheme="minorHAnsi"/>
          <w:lang w:val="en-US"/>
        </w:rPr>
        <w:t xml:space="preserve">cell treatments, immunobiological agents </w:t>
      </w:r>
      <w:r w:rsidR="006869C8" w:rsidRPr="00FB40BF">
        <w:rPr>
          <w:rFonts w:ascii="Book Antiqua" w:hAnsi="Book Antiqua" w:cstheme="minorHAnsi"/>
          <w:lang w:val="en-US"/>
        </w:rPr>
        <w:t xml:space="preserve">such </w:t>
      </w:r>
      <w:r w:rsidRPr="00FB40BF">
        <w:rPr>
          <w:rFonts w:ascii="Book Antiqua" w:hAnsi="Book Antiqua" w:cstheme="minorHAnsi"/>
          <w:lang w:val="en-US"/>
        </w:rPr>
        <w:t xml:space="preserve">as monoclonal antibodies (mAbs), </w:t>
      </w:r>
      <w:r w:rsidR="00D07B1B" w:rsidRPr="00FB40BF">
        <w:rPr>
          <w:rFonts w:ascii="Book Antiqua" w:hAnsi="Book Antiqua" w:cstheme="minorHAnsi"/>
          <w:i/>
          <w:lang w:val="en-US"/>
        </w:rPr>
        <w:t>etc</w:t>
      </w:r>
      <w:r w:rsidR="00205704" w:rsidRPr="00FB40BF">
        <w:rPr>
          <w:rFonts w:ascii="Book Antiqua" w:hAnsi="Book Antiqua" w:cstheme="minorHAnsi"/>
          <w:vertAlign w:val="superscript"/>
          <w:lang w:val="en-US"/>
        </w:rPr>
        <w:t>[3]</w:t>
      </w:r>
      <w:r w:rsidRPr="00FB40BF">
        <w:rPr>
          <w:rFonts w:ascii="Book Antiqua" w:hAnsi="Book Antiqua" w:cstheme="minorHAnsi"/>
          <w:lang w:val="en-US"/>
        </w:rPr>
        <w:t xml:space="preserve">. </w:t>
      </w:r>
      <w:r w:rsidR="00D07B1B" w:rsidRPr="00FB40BF">
        <w:rPr>
          <w:rFonts w:ascii="Book Antiqua" w:hAnsi="Book Antiqua" w:cstheme="minorHAnsi"/>
          <w:lang w:val="en-US"/>
        </w:rPr>
        <w:t>The role of</w:t>
      </w:r>
      <w:r w:rsidRPr="00FB40BF">
        <w:rPr>
          <w:rFonts w:ascii="Book Antiqua" w:hAnsi="Book Antiqua" w:cstheme="minorHAnsi"/>
          <w:lang w:val="en-US"/>
        </w:rPr>
        <w:t xml:space="preserve"> mAbs </w:t>
      </w:r>
      <w:r w:rsidR="006869C8" w:rsidRPr="00FB40BF">
        <w:rPr>
          <w:rFonts w:ascii="Book Antiqua" w:hAnsi="Book Antiqua" w:cstheme="minorHAnsi"/>
          <w:lang w:val="en-US"/>
        </w:rPr>
        <w:t>is</w:t>
      </w:r>
      <w:r w:rsidR="00D07B1B" w:rsidRPr="00FB40BF">
        <w:rPr>
          <w:rFonts w:ascii="Book Antiqua" w:hAnsi="Book Antiqua" w:cstheme="minorHAnsi"/>
          <w:lang w:val="en-US"/>
        </w:rPr>
        <w:t xml:space="preserve"> fundamental in</w:t>
      </w:r>
      <w:r w:rsidR="006869C8" w:rsidRPr="00FB40BF">
        <w:rPr>
          <w:rFonts w:ascii="Book Antiqua" w:hAnsi="Book Antiqua" w:cstheme="minorHAnsi"/>
          <w:lang w:val="en-US"/>
        </w:rPr>
        <w:t xml:space="preserve"> </w:t>
      </w:r>
      <w:r w:rsidR="00C8341D">
        <w:rPr>
          <w:rFonts w:ascii="Book Antiqua" w:hAnsi="Book Antiqua" w:cstheme="minorHAnsi"/>
          <w:lang w:val="en-US"/>
        </w:rPr>
        <w:t>HBV</w:t>
      </w:r>
      <w:r w:rsidR="00C8341D" w:rsidRPr="00FB40BF">
        <w:rPr>
          <w:rFonts w:ascii="Book Antiqua" w:hAnsi="Book Antiqua" w:cstheme="minorHAnsi"/>
          <w:lang w:val="en-US"/>
        </w:rPr>
        <w:t xml:space="preserve"> </w:t>
      </w:r>
      <w:r w:rsidR="00D07B1B" w:rsidRPr="00FB40BF">
        <w:rPr>
          <w:rFonts w:ascii="Book Antiqua" w:hAnsi="Book Antiqua" w:cstheme="minorHAnsi"/>
          <w:lang w:val="en-US"/>
        </w:rPr>
        <w:t>reactivation</w:t>
      </w:r>
      <w:r w:rsidRPr="00FB40BF">
        <w:rPr>
          <w:rFonts w:ascii="Book Antiqua" w:hAnsi="Book Antiqua" w:cstheme="minorHAnsi"/>
          <w:lang w:val="en-US"/>
        </w:rPr>
        <w:t>.</w:t>
      </w:r>
    </w:p>
    <w:p w14:paraId="0431D6FE" w14:textId="77777777" w:rsidR="00A77B3E" w:rsidRPr="00FB40BF" w:rsidRDefault="00A77B3E" w:rsidP="00FB40BF">
      <w:pPr>
        <w:spacing w:line="360" w:lineRule="auto"/>
        <w:jc w:val="both"/>
        <w:rPr>
          <w:rFonts w:ascii="Book Antiqua" w:hAnsi="Book Antiqua"/>
        </w:rPr>
      </w:pPr>
    </w:p>
    <w:p w14:paraId="071176F7" w14:textId="77777777" w:rsidR="00A77B3E" w:rsidRPr="00FB40BF" w:rsidRDefault="00E50F15" w:rsidP="00FB40BF">
      <w:pPr>
        <w:spacing w:line="360" w:lineRule="auto"/>
        <w:jc w:val="both"/>
        <w:rPr>
          <w:rFonts w:ascii="Book Antiqua" w:hAnsi="Book Antiqua"/>
          <w:u w:val="single"/>
        </w:rPr>
      </w:pPr>
      <w:r w:rsidRPr="00FB40BF">
        <w:rPr>
          <w:rFonts w:ascii="Book Antiqua" w:eastAsia="Book Antiqua" w:hAnsi="Book Antiqua" w:cs="Book Antiqua"/>
          <w:b/>
          <w:bCs/>
          <w:caps/>
          <w:color w:val="000000"/>
          <w:u w:val="single"/>
        </w:rPr>
        <w:t>Definition of HBV reactivation</w:t>
      </w:r>
    </w:p>
    <w:p w14:paraId="440D870B" w14:textId="246EC41C" w:rsidR="00CA180F" w:rsidRPr="00FB40BF" w:rsidRDefault="00CA180F" w:rsidP="00FB40BF">
      <w:pPr>
        <w:pStyle w:val="NormalWeb"/>
        <w:spacing w:before="0" w:beforeAutospacing="0" w:after="0" w:afterAutospacing="0" w:line="360" w:lineRule="auto"/>
        <w:jc w:val="both"/>
        <w:rPr>
          <w:rFonts w:ascii="Book Antiqua" w:hAnsi="Book Antiqua" w:cstheme="minorHAnsi"/>
          <w:lang w:val="en-US"/>
        </w:rPr>
      </w:pPr>
      <w:r w:rsidRPr="00FB40BF">
        <w:rPr>
          <w:rFonts w:ascii="Book Antiqua" w:hAnsi="Book Antiqua" w:cstheme="minorHAnsi"/>
          <w:lang w:val="en-US"/>
        </w:rPr>
        <w:t xml:space="preserve">HBV reactivation </w:t>
      </w:r>
      <w:r w:rsidR="00D07B1B" w:rsidRPr="00FB40BF">
        <w:rPr>
          <w:rFonts w:ascii="Book Antiqua" w:hAnsi="Book Antiqua" w:cstheme="minorHAnsi"/>
          <w:lang w:val="en-US"/>
        </w:rPr>
        <w:t xml:space="preserve">can be considered </w:t>
      </w:r>
      <w:r w:rsidR="00C8341D">
        <w:rPr>
          <w:rFonts w:ascii="Book Antiqua" w:hAnsi="Book Antiqua" w:cstheme="minorHAnsi"/>
          <w:lang w:val="en-US"/>
        </w:rPr>
        <w:t xml:space="preserve">as sudden and high viral replication </w:t>
      </w:r>
      <w:r w:rsidR="00D07B1B" w:rsidRPr="00FB40BF">
        <w:rPr>
          <w:rFonts w:ascii="Book Antiqua" w:hAnsi="Book Antiqua" w:cstheme="minorHAnsi"/>
          <w:lang w:val="en-US"/>
        </w:rPr>
        <w:t>in</w:t>
      </w:r>
      <w:r w:rsidRPr="00FB40BF">
        <w:rPr>
          <w:rFonts w:ascii="Book Antiqua" w:hAnsi="Book Antiqua" w:cstheme="minorHAnsi"/>
          <w:lang w:val="en-US"/>
        </w:rPr>
        <w:t xml:space="preserve"> a patient with chronic HBV infection or previous </w:t>
      </w:r>
      <w:r w:rsidR="00C8341D">
        <w:rPr>
          <w:rFonts w:ascii="Book Antiqua" w:hAnsi="Book Antiqua" w:cstheme="minorHAnsi"/>
          <w:lang w:val="en-US"/>
        </w:rPr>
        <w:t xml:space="preserve">viral </w:t>
      </w:r>
      <w:r w:rsidRPr="00FB40BF">
        <w:rPr>
          <w:rFonts w:ascii="Book Antiqua" w:hAnsi="Book Antiqua" w:cstheme="minorHAnsi"/>
          <w:lang w:val="en-US"/>
        </w:rPr>
        <w:t>exposure</w:t>
      </w:r>
      <w:r w:rsidR="0068439D" w:rsidRPr="00FB40BF">
        <w:rPr>
          <w:rFonts w:ascii="Book Antiqua" w:hAnsi="Book Antiqua" w:cstheme="minorHAnsi"/>
          <w:vertAlign w:val="superscript"/>
          <w:lang w:val="en-US"/>
        </w:rPr>
        <w:t>[4]</w:t>
      </w:r>
      <w:r w:rsidRPr="00FB40BF">
        <w:rPr>
          <w:rFonts w:ascii="Book Antiqua" w:hAnsi="Book Antiqua" w:cstheme="minorHAnsi"/>
          <w:lang w:val="en-US"/>
        </w:rPr>
        <w:t xml:space="preserve">. </w:t>
      </w:r>
      <w:r w:rsidR="000764F1">
        <w:rPr>
          <w:rFonts w:ascii="Book Antiqua" w:hAnsi="Book Antiqua" w:cstheme="minorHAnsi"/>
          <w:lang w:val="en-US"/>
        </w:rPr>
        <w:t>T</w:t>
      </w:r>
      <w:r w:rsidRPr="00FB40BF">
        <w:rPr>
          <w:rFonts w:ascii="Book Antiqua" w:hAnsi="Book Antiqua" w:cstheme="minorHAnsi"/>
          <w:lang w:val="en-US"/>
        </w:rPr>
        <w:t>he primary HBV infection can be considered resolved by the presence and development of anti-HBs antibodies. However, as previously mentioned,</w:t>
      </w:r>
      <w:r w:rsidR="000764F1">
        <w:rPr>
          <w:rFonts w:ascii="Book Antiqua" w:hAnsi="Book Antiqua" w:cstheme="minorHAnsi"/>
          <w:lang w:val="en-US"/>
        </w:rPr>
        <w:t xml:space="preserve"> HBV</w:t>
      </w:r>
      <w:r w:rsidRPr="00FB40BF">
        <w:rPr>
          <w:rFonts w:ascii="Book Antiqua" w:hAnsi="Book Antiqua" w:cstheme="minorHAnsi"/>
          <w:lang w:val="en-US"/>
        </w:rPr>
        <w:t xml:space="preserve"> can remain latent in the body, acting as a reservoir for </w:t>
      </w:r>
      <w:r w:rsidR="000764F1">
        <w:rPr>
          <w:rFonts w:ascii="Book Antiqua" w:hAnsi="Book Antiqua" w:cstheme="minorHAnsi"/>
          <w:lang w:val="en-US"/>
        </w:rPr>
        <w:t>disease</w:t>
      </w:r>
      <w:r w:rsidR="000764F1" w:rsidRPr="00FB40BF">
        <w:rPr>
          <w:rFonts w:ascii="Book Antiqua" w:hAnsi="Book Antiqua" w:cstheme="minorHAnsi"/>
          <w:lang w:val="en-US"/>
        </w:rPr>
        <w:t xml:space="preserve"> </w:t>
      </w:r>
      <w:r w:rsidRPr="00FB40BF">
        <w:rPr>
          <w:rFonts w:ascii="Book Antiqua" w:hAnsi="Book Antiqua" w:cstheme="minorHAnsi"/>
          <w:lang w:val="en-US"/>
        </w:rPr>
        <w:t>reactivation</w:t>
      </w:r>
      <w:r w:rsidR="00457A2A" w:rsidRPr="00FB40BF">
        <w:rPr>
          <w:rFonts w:ascii="Book Antiqua" w:hAnsi="Book Antiqua" w:cstheme="minorHAnsi"/>
          <w:vertAlign w:val="superscript"/>
          <w:lang w:val="en-US"/>
        </w:rPr>
        <w:t>[2]</w:t>
      </w:r>
      <w:r w:rsidRPr="00FB40BF">
        <w:rPr>
          <w:rFonts w:ascii="Book Antiqua" w:hAnsi="Book Antiqua" w:cstheme="minorHAnsi"/>
          <w:lang w:val="en-US"/>
        </w:rPr>
        <w:t xml:space="preserve">. </w:t>
      </w:r>
      <w:r w:rsidR="000764F1" w:rsidRPr="00FB40BF">
        <w:rPr>
          <w:rFonts w:ascii="Book Antiqua" w:hAnsi="Book Antiqua" w:cstheme="minorHAnsi"/>
          <w:lang w:val="en-US"/>
        </w:rPr>
        <w:t xml:space="preserve">HBV </w:t>
      </w:r>
      <w:r w:rsidRPr="00FB40BF">
        <w:rPr>
          <w:rFonts w:ascii="Book Antiqua" w:hAnsi="Book Antiqua" w:cstheme="minorHAnsi"/>
          <w:lang w:val="en-US"/>
        </w:rPr>
        <w:t xml:space="preserve">reactivation can </w:t>
      </w:r>
      <w:r w:rsidR="00185995">
        <w:rPr>
          <w:rFonts w:ascii="Book Antiqua" w:hAnsi="Book Antiqua" w:cstheme="minorHAnsi"/>
          <w:lang w:val="en-US"/>
        </w:rPr>
        <w:t>present with</w:t>
      </w:r>
      <w:r w:rsidR="00185995" w:rsidRPr="00FB40BF">
        <w:rPr>
          <w:rFonts w:ascii="Book Antiqua" w:hAnsi="Book Antiqua" w:cstheme="minorHAnsi"/>
          <w:lang w:val="en-US"/>
        </w:rPr>
        <w:t xml:space="preserve"> </w:t>
      </w:r>
      <w:r w:rsidRPr="00FB40BF">
        <w:rPr>
          <w:rFonts w:ascii="Book Antiqua" w:hAnsi="Book Antiqua" w:cstheme="minorHAnsi"/>
          <w:lang w:val="en-US"/>
        </w:rPr>
        <w:t>various</w:t>
      </w:r>
      <w:r w:rsidR="00185995">
        <w:rPr>
          <w:rFonts w:ascii="Book Antiqua" w:hAnsi="Book Antiqua" w:cstheme="minorHAnsi"/>
          <w:lang w:val="en-US"/>
        </w:rPr>
        <w:t xml:space="preserve"> symptoms</w:t>
      </w:r>
      <w:r w:rsidR="00D07B1B" w:rsidRPr="00FB40BF">
        <w:rPr>
          <w:rFonts w:ascii="Book Antiqua" w:hAnsi="Book Antiqua" w:cstheme="minorHAnsi"/>
          <w:lang w:val="en-US"/>
        </w:rPr>
        <w:t>. There are</w:t>
      </w:r>
      <w:r w:rsidRPr="00FB40BF">
        <w:rPr>
          <w:rFonts w:ascii="Book Antiqua" w:hAnsi="Book Antiqua" w:cstheme="minorHAnsi"/>
          <w:lang w:val="en-US"/>
        </w:rPr>
        <w:t xml:space="preserve"> mild forms of hepatitis but also severe ones</w:t>
      </w:r>
      <w:r w:rsidR="006869C8" w:rsidRPr="00FB40BF">
        <w:rPr>
          <w:rFonts w:ascii="Book Antiqua" w:hAnsi="Book Antiqua" w:cstheme="minorHAnsi"/>
          <w:lang w:val="en-US"/>
        </w:rPr>
        <w:t>,</w:t>
      </w:r>
      <w:r w:rsidRPr="00FB40BF">
        <w:rPr>
          <w:rFonts w:ascii="Book Antiqua" w:hAnsi="Book Antiqua" w:cstheme="minorHAnsi"/>
          <w:lang w:val="en-US"/>
        </w:rPr>
        <w:t xml:space="preserve"> which can lead to acute liver failure and death. </w:t>
      </w:r>
    </w:p>
    <w:p w14:paraId="56029C5E" w14:textId="445C2A6A" w:rsidR="00CA180F" w:rsidRPr="00FB40BF" w:rsidRDefault="00CA180F" w:rsidP="00FB40BF">
      <w:pPr>
        <w:pStyle w:val="NormalWeb"/>
        <w:spacing w:before="0" w:beforeAutospacing="0" w:after="0" w:afterAutospacing="0" w:line="360" w:lineRule="auto"/>
        <w:ind w:firstLineChars="200" w:firstLine="480"/>
        <w:jc w:val="both"/>
        <w:rPr>
          <w:rFonts w:ascii="Book Antiqua" w:hAnsi="Book Antiqua" w:cstheme="minorHAnsi"/>
          <w:lang w:val="en-US"/>
        </w:rPr>
      </w:pPr>
      <w:r w:rsidRPr="00FB40BF">
        <w:rPr>
          <w:rFonts w:ascii="Book Antiqua" w:hAnsi="Book Antiqua" w:cstheme="minorHAnsi"/>
          <w:lang w:val="en-US"/>
        </w:rPr>
        <w:t>Following the 2018 American Association for the Study of Liver Diseases guidelines</w:t>
      </w:r>
      <w:r w:rsidR="000B18A8" w:rsidRPr="00FB40BF">
        <w:rPr>
          <w:rFonts w:ascii="Book Antiqua" w:hAnsi="Book Antiqua" w:cstheme="minorHAnsi"/>
          <w:vertAlign w:val="superscript"/>
          <w:lang w:val="en-US"/>
        </w:rPr>
        <w:t>[5]</w:t>
      </w:r>
      <w:r w:rsidRPr="00FB40BF">
        <w:rPr>
          <w:rFonts w:ascii="Book Antiqua" w:hAnsi="Book Antiqua" w:cstheme="minorHAnsi"/>
          <w:lang w:val="en-US"/>
        </w:rPr>
        <w:t xml:space="preserve">, the state of HBV reactivation in </w:t>
      </w:r>
      <w:r w:rsidR="003B45B3" w:rsidRPr="00FB40BF">
        <w:rPr>
          <w:rFonts w:ascii="Book Antiqua" w:hAnsi="Book Antiqua" w:cstheme="minorHAnsi"/>
          <w:lang w:val="en-US"/>
        </w:rPr>
        <w:t xml:space="preserve">hepatitis </w:t>
      </w:r>
      <w:r w:rsidR="00660CB4" w:rsidRPr="00FB40BF">
        <w:rPr>
          <w:rFonts w:ascii="Book Antiqua" w:hAnsi="Book Antiqua" w:cstheme="minorHAnsi"/>
          <w:lang w:val="en-US"/>
        </w:rPr>
        <w:t>B surface antigen (HBsAg)</w:t>
      </w:r>
      <w:r w:rsidRPr="00FB40BF">
        <w:rPr>
          <w:rFonts w:ascii="Book Antiqua" w:hAnsi="Book Antiqua" w:cstheme="minorHAnsi"/>
          <w:lang w:val="en-US"/>
        </w:rPr>
        <w:t>-positive and anti</w:t>
      </w:r>
      <w:r w:rsidR="00567D0E">
        <w:rPr>
          <w:rFonts w:ascii="Book Antiqua" w:hAnsi="Book Antiqua" w:cstheme="minorHAnsi"/>
          <w:lang w:val="en-US"/>
        </w:rPr>
        <w:t>-</w:t>
      </w:r>
      <w:r w:rsidRPr="00FB40BF">
        <w:rPr>
          <w:rFonts w:ascii="Book Antiqua" w:hAnsi="Book Antiqua" w:cstheme="minorHAnsi"/>
          <w:lang w:val="en-US"/>
        </w:rPr>
        <w:t xml:space="preserve">HBc-positive patients </w:t>
      </w:r>
      <w:r w:rsidR="00567D0E">
        <w:rPr>
          <w:rFonts w:ascii="Book Antiqua" w:hAnsi="Book Antiqua" w:cstheme="minorHAnsi"/>
          <w:lang w:val="en-US"/>
        </w:rPr>
        <w:t xml:space="preserve">can be defined </w:t>
      </w:r>
      <w:r w:rsidRPr="00FB40BF">
        <w:rPr>
          <w:rFonts w:ascii="Book Antiqua" w:hAnsi="Book Antiqua" w:cstheme="minorHAnsi"/>
          <w:lang w:val="en-US"/>
        </w:rPr>
        <w:t xml:space="preserve">according to the following parameters: </w:t>
      </w:r>
      <w:r w:rsidR="00400DDD" w:rsidRPr="00FB40BF">
        <w:rPr>
          <w:rFonts w:ascii="Book Antiqua" w:hAnsi="Book Antiqua" w:cstheme="minorHAnsi"/>
          <w:lang w:val="en-US"/>
        </w:rPr>
        <w:t xml:space="preserve">(1) At </w:t>
      </w:r>
      <w:r w:rsidRPr="00FB40BF">
        <w:rPr>
          <w:rFonts w:ascii="Book Antiqua" w:hAnsi="Book Antiqua" w:cstheme="minorHAnsi"/>
          <w:lang w:val="en-US"/>
        </w:rPr>
        <w:t xml:space="preserve">least 2 log (or 100-fold) increase in HBV DNA compared </w:t>
      </w:r>
      <w:r w:rsidR="00567D0E">
        <w:rPr>
          <w:rFonts w:ascii="Book Antiqua" w:hAnsi="Book Antiqua" w:cstheme="minorHAnsi"/>
          <w:lang w:val="en-US"/>
        </w:rPr>
        <w:t>to</w:t>
      </w:r>
      <w:r w:rsidR="00567D0E" w:rsidRPr="00FB40BF">
        <w:rPr>
          <w:rFonts w:ascii="Book Antiqua" w:hAnsi="Book Antiqua" w:cstheme="minorHAnsi"/>
          <w:lang w:val="en-US"/>
        </w:rPr>
        <w:t xml:space="preserve"> </w:t>
      </w:r>
      <w:r w:rsidRPr="00FB40BF">
        <w:rPr>
          <w:rFonts w:ascii="Book Antiqua" w:hAnsi="Book Antiqua" w:cstheme="minorHAnsi"/>
          <w:lang w:val="en-US"/>
        </w:rPr>
        <w:t>the baseline level</w:t>
      </w:r>
      <w:r w:rsidR="00400DDD" w:rsidRPr="00FB40BF">
        <w:rPr>
          <w:rFonts w:ascii="Book Antiqua" w:hAnsi="Book Antiqua" w:cstheme="minorHAnsi"/>
          <w:lang w:val="en-US"/>
        </w:rPr>
        <w:t>;</w:t>
      </w:r>
      <w:r w:rsidRPr="00FB40BF">
        <w:rPr>
          <w:rFonts w:ascii="Book Antiqua" w:hAnsi="Book Antiqua" w:cstheme="minorHAnsi"/>
          <w:lang w:val="en-US"/>
        </w:rPr>
        <w:t xml:space="preserve"> </w:t>
      </w:r>
      <w:r w:rsidR="00400DDD" w:rsidRPr="00FB40BF">
        <w:rPr>
          <w:rFonts w:ascii="Book Antiqua" w:hAnsi="Book Antiqua" w:cstheme="minorHAnsi"/>
          <w:lang w:val="en-US"/>
        </w:rPr>
        <w:t xml:space="preserve">(2) </w:t>
      </w:r>
      <w:r w:rsidRPr="00FB40BF">
        <w:rPr>
          <w:rFonts w:ascii="Book Antiqua" w:hAnsi="Book Antiqua" w:cstheme="minorHAnsi"/>
          <w:lang w:val="en-US"/>
        </w:rPr>
        <w:t>HBV DNA at least 3 log (or 1000) IU/mL in a patient with previously undetectable HBV DNA</w:t>
      </w:r>
      <w:r w:rsidR="00400DDD" w:rsidRPr="00FB40BF">
        <w:rPr>
          <w:rFonts w:ascii="Book Antiqua" w:hAnsi="Book Antiqua" w:cstheme="minorHAnsi"/>
          <w:lang w:val="en-US"/>
        </w:rPr>
        <w:t>;</w:t>
      </w:r>
      <w:r w:rsidRPr="00FB40BF">
        <w:rPr>
          <w:rFonts w:ascii="Book Antiqua" w:hAnsi="Book Antiqua" w:cstheme="minorHAnsi"/>
          <w:lang w:val="en-US"/>
        </w:rPr>
        <w:t xml:space="preserve"> </w:t>
      </w:r>
      <w:r w:rsidR="00955F4D" w:rsidRPr="00FB40BF">
        <w:rPr>
          <w:rFonts w:ascii="Book Antiqua" w:hAnsi="Book Antiqua" w:cstheme="minorHAnsi"/>
          <w:lang w:val="en-US"/>
        </w:rPr>
        <w:t xml:space="preserve">and </w:t>
      </w:r>
      <w:r w:rsidR="00400DDD" w:rsidRPr="00FB40BF">
        <w:rPr>
          <w:rFonts w:ascii="Book Antiqua" w:hAnsi="Book Antiqua" w:cstheme="minorHAnsi"/>
          <w:lang w:val="en-US"/>
        </w:rPr>
        <w:t xml:space="preserve">(3) </w:t>
      </w:r>
      <w:r w:rsidR="00AB2B14" w:rsidRPr="00FB40BF">
        <w:rPr>
          <w:rFonts w:ascii="Book Antiqua" w:hAnsi="Book Antiqua" w:cstheme="minorHAnsi"/>
          <w:lang w:val="en-US"/>
        </w:rPr>
        <w:t>HBV DNA at least 4 log (or 10</w:t>
      </w:r>
      <w:r w:rsidRPr="00FB40BF">
        <w:rPr>
          <w:rFonts w:ascii="Book Antiqua" w:hAnsi="Book Antiqua" w:cstheme="minorHAnsi"/>
          <w:lang w:val="en-US"/>
        </w:rPr>
        <w:t xml:space="preserve">000) IU/mL if the baseline level is not available. </w:t>
      </w:r>
    </w:p>
    <w:p w14:paraId="3D35A727" w14:textId="0D151E9A" w:rsidR="00CA180F" w:rsidRPr="00FB40BF" w:rsidRDefault="00CA180F" w:rsidP="00FB40BF">
      <w:pPr>
        <w:pStyle w:val="NormalWeb"/>
        <w:spacing w:before="0" w:beforeAutospacing="0" w:after="0" w:afterAutospacing="0" w:line="360" w:lineRule="auto"/>
        <w:ind w:firstLineChars="200" w:firstLine="480"/>
        <w:jc w:val="both"/>
        <w:rPr>
          <w:rFonts w:ascii="Book Antiqua" w:hAnsi="Book Antiqua" w:cstheme="minorHAnsi"/>
          <w:lang w:val="en-US"/>
        </w:rPr>
      </w:pPr>
      <w:r w:rsidRPr="00FB40BF">
        <w:rPr>
          <w:rFonts w:ascii="Book Antiqua" w:hAnsi="Book Antiqua" w:cstheme="minorHAnsi"/>
          <w:lang w:val="en-US"/>
        </w:rPr>
        <w:lastRenderedPageBreak/>
        <w:t>For HBsAg-negative and anti-</w:t>
      </w:r>
      <w:r w:rsidR="006869C8" w:rsidRPr="00FB40BF">
        <w:rPr>
          <w:rFonts w:ascii="Book Antiqua" w:hAnsi="Book Antiqua" w:cstheme="minorHAnsi"/>
          <w:lang w:val="en-US"/>
        </w:rPr>
        <w:t>HBc-</w:t>
      </w:r>
      <w:r w:rsidRPr="00FB40BF">
        <w:rPr>
          <w:rFonts w:ascii="Book Antiqua" w:hAnsi="Book Antiqua" w:cstheme="minorHAnsi"/>
          <w:lang w:val="en-US"/>
        </w:rPr>
        <w:t>positive patients, HBV reactivation is defined as detectable HBV DNA</w:t>
      </w:r>
      <w:r w:rsidR="006869C8" w:rsidRPr="00FB40BF">
        <w:rPr>
          <w:rFonts w:ascii="Book Antiqua" w:hAnsi="Book Antiqua" w:cstheme="minorHAnsi"/>
          <w:lang w:val="en-US"/>
        </w:rPr>
        <w:t xml:space="preserve"> </w:t>
      </w:r>
      <w:r w:rsidRPr="00FB40BF">
        <w:rPr>
          <w:rFonts w:ascii="Book Antiqua" w:hAnsi="Book Antiqua" w:cstheme="minorHAnsi"/>
          <w:lang w:val="en-US"/>
        </w:rPr>
        <w:t>or reappearance of HBsAg</w:t>
      </w:r>
      <w:r w:rsidR="00EA2FDE" w:rsidRPr="00FB40BF">
        <w:rPr>
          <w:rFonts w:ascii="Book Antiqua" w:hAnsi="Book Antiqua" w:cstheme="minorHAnsi"/>
          <w:vertAlign w:val="superscript"/>
          <w:lang w:val="en-US"/>
        </w:rPr>
        <w:t>[5]</w:t>
      </w:r>
      <w:r w:rsidRPr="00FB40BF">
        <w:rPr>
          <w:rFonts w:ascii="Book Antiqua" w:hAnsi="Book Antiqua" w:cstheme="minorHAnsi"/>
          <w:lang w:val="en-US"/>
        </w:rPr>
        <w:t xml:space="preserve">. </w:t>
      </w:r>
    </w:p>
    <w:p w14:paraId="4E5A5750" w14:textId="77777777" w:rsidR="00A77B3E" w:rsidRPr="00FB40BF" w:rsidRDefault="00A77B3E" w:rsidP="00FB40BF">
      <w:pPr>
        <w:spacing w:line="360" w:lineRule="auto"/>
        <w:jc w:val="both"/>
        <w:rPr>
          <w:rFonts w:ascii="Book Antiqua" w:hAnsi="Book Antiqua"/>
        </w:rPr>
      </w:pPr>
    </w:p>
    <w:p w14:paraId="7AD47139" w14:textId="77777777" w:rsidR="00A77B3E" w:rsidRPr="00FB40BF" w:rsidRDefault="00E50F15" w:rsidP="00FB40BF">
      <w:pPr>
        <w:spacing w:line="360" w:lineRule="auto"/>
        <w:jc w:val="both"/>
        <w:rPr>
          <w:rFonts w:ascii="Book Antiqua" w:hAnsi="Book Antiqua"/>
          <w:u w:val="single"/>
        </w:rPr>
      </w:pPr>
      <w:r w:rsidRPr="00FB40BF">
        <w:rPr>
          <w:rFonts w:ascii="Book Antiqua" w:eastAsia="Book Antiqua" w:hAnsi="Book Antiqua" w:cs="Book Antiqua"/>
          <w:b/>
          <w:bCs/>
          <w:caps/>
          <w:color w:val="000000"/>
          <w:u w:val="single"/>
        </w:rPr>
        <w:t>Risk of HBV reactivation</w:t>
      </w:r>
    </w:p>
    <w:p w14:paraId="43089DC1" w14:textId="3F794F19" w:rsidR="00CA180F" w:rsidRPr="00FB40BF" w:rsidRDefault="00CA180F" w:rsidP="00FB40BF">
      <w:pPr>
        <w:pStyle w:val="NormalWeb"/>
        <w:spacing w:before="0" w:beforeAutospacing="0" w:after="0" w:afterAutospacing="0" w:line="360" w:lineRule="auto"/>
        <w:jc w:val="both"/>
        <w:rPr>
          <w:rFonts w:ascii="Book Antiqua" w:hAnsi="Book Antiqua" w:cstheme="minorHAnsi"/>
          <w:lang w:val="en-US"/>
        </w:rPr>
      </w:pPr>
      <w:r w:rsidRPr="00FB40BF">
        <w:rPr>
          <w:rFonts w:ascii="Book Antiqua" w:hAnsi="Book Antiqua" w:cstheme="minorHAnsi"/>
          <w:lang w:val="en-US"/>
        </w:rPr>
        <w:t xml:space="preserve">The risk factors for HBV reactivation can be summarized into </w:t>
      </w:r>
      <w:r w:rsidR="001C0CBA">
        <w:rPr>
          <w:rFonts w:ascii="Book Antiqua" w:hAnsi="Book Antiqua" w:cstheme="minorHAnsi"/>
          <w:lang w:val="en-US"/>
        </w:rPr>
        <w:t>three</w:t>
      </w:r>
      <w:r w:rsidR="001C0CBA" w:rsidRPr="00FB40BF">
        <w:rPr>
          <w:rFonts w:ascii="Book Antiqua" w:hAnsi="Book Antiqua" w:cstheme="minorHAnsi"/>
          <w:lang w:val="en-US"/>
        </w:rPr>
        <w:t xml:space="preserve"> </w:t>
      </w:r>
      <w:r w:rsidR="001C0CBA">
        <w:rPr>
          <w:rFonts w:ascii="Book Antiqua" w:hAnsi="Book Antiqua" w:cstheme="minorHAnsi"/>
          <w:lang w:val="en-US"/>
        </w:rPr>
        <w:t>general</w:t>
      </w:r>
      <w:r w:rsidR="001C0CBA" w:rsidRPr="00FB40BF">
        <w:rPr>
          <w:rFonts w:ascii="Book Antiqua" w:hAnsi="Book Antiqua" w:cstheme="minorHAnsi"/>
          <w:lang w:val="en-US"/>
        </w:rPr>
        <w:t xml:space="preserve"> </w:t>
      </w:r>
      <w:r w:rsidRPr="00FB40BF">
        <w:rPr>
          <w:rFonts w:ascii="Book Antiqua" w:hAnsi="Book Antiqua" w:cstheme="minorHAnsi"/>
          <w:lang w:val="en-US"/>
        </w:rPr>
        <w:t xml:space="preserve">areas: </w:t>
      </w:r>
      <w:r w:rsidR="00962E8E" w:rsidRPr="00FB40BF">
        <w:rPr>
          <w:rFonts w:ascii="Book Antiqua" w:hAnsi="Book Antiqua" w:cstheme="minorHAnsi"/>
          <w:lang w:val="en-US"/>
        </w:rPr>
        <w:t>(</w:t>
      </w:r>
      <w:r w:rsidRPr="00FB40BF">
        <w:rPr>
          <w:rFonts w:ascii="Book Antiqua" w:hAnsi="Book Antiqua" w:cstheme="minorHAnsi"/>
          <w:lang w:val="en-US"/>
        </w:rPr>
        <w:t xml:space="preserve">1) </w:t>
      </w:r>
      <w:r w:rsidR="00962E8E" w:rsidRPr="00FB40BF">
        <w:rPr>
          <w:rFonts w:ascii="Book Antiqua" w:hAnsi="Book Antiqua" w:cstheme="minorHAnsi"/>
          <w:lang w:val="en-US"/>
        </w:rPr>
        <w:t xml:space="preserve">Host </w:t>
      </w:r>
      <w:r w:rsidRPr="00FB40BF">
        <w:rPr>
          <w:rFonts w:ascii="Book Antiqua" w:hAnsi="Book Antiqua" w:cstheme="minorHAnsi"/>
          <w:lang w:val="en-US"/>
        </w:rPr>
        <w:t>factors</w:t>
      </w:r>
      <w:r w:rsidR="00D07921" w:rsidRPr="00FB40BF">
        <w:rPr>
          <w:rFonts w:ascii="Book Antiqua" w:hAnsi="Book Antiqua" w:cstheme="minorHAnsi"/>
          <w:lang w:val="en-US"/>
        </w:rPr>
        <w:t>;</w:t>
      </w:r>
      <w:r w:rsidRPr="00FB40BF">
        <w:rPr>
          <w:rFonts w:ascii="Book Antiqua" w:hAnsi="Book Antiqua" w:cstheme="minorHAnsi"/>
          <w:lang w:val="en-US"/>
        </w:rPr>
        <w:t xml:space="preserve"> </w:t>
      </w:r>
      <w:r w:rsidR="00D07921" w:rsidRPr="00FB40BF">
        <w:rPr>
          <w:rFonts w:ascii="Book Antiqua" w:hAnsi="Book Antiqua" w:cstheme="minorHAnsi"/>
          <w:lang w:val="en-US"/>
        </w:rPr>
        <w:t>(</w:t>
      </w:r>
      <w:r w:rsidRPr="00FB40BF">
        <w:rPr>
          <w:rFonts w:ascii="Book Antiqua" w:hAnsi="Book Antiqua" w:cstheme="minorHAnsi"/>
          <w:lang w:val="en-US"/>
        </w:rPr>
        <w:t>2) virologic factors</w:t>
      </w:r>
      <w:r w:rsidR="00D07921" w:rsidRPr="00FB40BF">
        <w:rPr>
          <w:rFonts w:ascii="Book Antiqua" w:hAnsi="Book Antiqua" w:cstheme="minorHAnsi"/>
          <w:lang w:val="en-US"/>
        </w:rPr>
        <w:t>;</w:t>
      </w:r>
      <w:r w:rsidRPr="00FB40BF">
        <w:rPr>
          <w:rFonts w:ascii="Book Antiqua" w:hAnsi="Book Antiqua" w:cstheme="minorHAnsi"/>
          <w:lang w:val="en-US"/>
        </w:rPr>
        <w:t xml:space="preserve"> and </w:t>
      </w:r>
      <w:r w:rsidR="00D07921" w:rsidRPr="00FB40BF">
        <w:rPr>
          <w:rFonts w:ascii="Book Antiqua" w:hAnsi="Book Antiqua" w:cstheme="minorHAnsi"/>
          <w:lang w:val="en-US"/>
        </w:rPr>
        <w:t>(</w:t>
      </w:r>
      <w:r w:rsidRPr="00FB40BF">
        <w:rPr>
          <w:rFonts w:ascii="Book Antiqua" w:hAnsi="Book Antiqua" w:cstheme="minorHAnsi"/>
          <w:lang w:val="en-US"/>
        </w:rPr>
        <w:t>3) type and degree of immunosuppression</w:t>
      </w:r>
      <w:r w:rsidR="00374955" w:rsidRPr="00FB40BF">
        <w:rPr>
          <w:rFonts w:ascii="Book Antiqua" w:hAnsi="Book Antiqua" w:cstheme="minorHAnsi"/>
          <w:vertAlign w:val="superscript"/>
          <w:lang w:val="en-US"/>
        </w:rPr>
        <w:t>[6]</w:t>
      </w:r>
      <w:r w:rsidRPr="00FB40BF">
        <w:rPr>
          <w:rFonts w:ascii="Book Antiqua" w:hAnsi="Book Antiqua" w:cstheme="minorHAnsi"/>
          <w:lang w:val="en-US"/>
        </w:rPr>
        <w:t xml:space="preserve">. </w:t>
      </w:r>
      <w:r w:rsidR="00C54738">
        <w:rPr>
          <w:rFonts w:ascii="Book Antiqua" w:hAnsi="Book Antiqua" w:cstheme="minorHAnsi"/>
          <w:lang w:val="en-US"/>
        </w:rPr>
        <w:t>P</w:t>
      </w:r>
      <w:r w:rsidRPr="00FB40BF">
        <w:rPr>
          <w:rFonts w:ascii="Book Antiqua" w:hAnsi="Book Antiqua" w:cstheme="minorHAnsi"/>
          <w:lang w:val="en-US"/>
        </w:rPr>
        <w:t xml:space="preserve">ossible </w:t>
      </w:r>
      <w:r w:rsidR="00C54738">
        <w:rPr>
          <w:rFonts w:ascii="Book Antiqua" w:hAnsi="Book Antiqua" w:cstheme="minorHAnsi"/>
          <w:lang w:val="en-US"/>
        </w:rPr>
        <w:t xml:space="preserve">host </w:t>
      </w:r>
      <w:r w:rsidRPr="00FB40BF">
        <w:rPr>
          <w:rFonts w:ascii="Book Antiqua" w:hAnsi="Book Antiqua" w:cstheme="minorHAnsi"/>
          <w:lang w:val="en-US"/>
        </w:rPr>
        <w:t xml:space="preserve">risk factors </w:t>
      </w:r>
      <w:r w:rsidR="00C54738">
        <w:rPr>
          <w:rFonts w:ascii="Book Antiqua" w:hAnsi="Book Antiqua" w:cstheme="minorHAnsi"/>
          <w:lang w:val="en-US"/>
        </w:rPr>
        <w:t>include:</w:t>
      </w:r>
      <w:r w:rsidR="00C54738" w:rsidRPr="00FB40BF">
        <w:rPr>
          <w:rFonts w:ascii="Book Antiqua" w:hAnsi="Book Antiqua" w:cstheme="minorHAnsi"/>
          <w:lang w:val="en-US"/>
        </w:rPr>
        <w:t xml:space="preserve"> </w:t>
      </w:r>
      <w:r w:rsidRPr="00FB40BF">
        <w:rPr>
          <w:rFonts w:ascii="Book Antiqua" w:hAnsi="Book Antiqua" w:cstheme="minorHAnsi"/>
          <w:lang w:val="en-US"/>
        </w:rPr>
        <w:t>the male sex, older age, presence of cirrhosis, and the type of disease needing immunosuppressive therapies</w:t>
      </w:r>
      <w:r w:rsidR="004C4F90" w:rsidRPr="00FB40BF">
        <w:rPr>
          <w:rFonts w:ascii="Book Antiqua" w:hAnsi="Book Antiqua" w:cstheme="minorHAnsi"/>
          <w:vertAlign w:val="superscript"/>
          <w:lang w:val="en-US"/>
        </w:rPr>
        <w:t>[7]</w:t>
      </w:r>
      <w:r w:rsidRPr="00FB40BF">
        <w:rPr>
          <w:rFonts w:ascii="Book Antiqua" w:hAnsi="Book Antiqua" w:cstheme="minorHAnsi"/>
          <w:lang w:val="en-US"/>
        </w:rPr>
        <w:t>. Virologic factors include high baseline HBV DNA, HBeAg positivity, and chronic hepatitis B</w:t>
      </w:r>
      <w:r w:rsidR="004C4F90" w:rsidRPr="00FB40BF">
        <w:rPr>
          <w:rFonts w:ascii="Book Antiqua" w:hAnsi="Book Antiqua" w:cstheme="minorHAnsi"/>
          <w:vertAlign w:val="superscript"/>
          <w:lang w:val="en-US"/>
        </w:rPr>
        <w:t>[8]</w:t>
      </w:r>
      <w:r w:rsidRPr="00FB40BF">
        <w:rPr>
          <w:rFonts w:ascii="Book Antiqua" w:hAnsi="Book Antiqua" w:cstheme="minorHAnsi"/>
          <w:lang w:val="en-US"/>
        </w:rPr>
        <w:t>. Referring to the risk factors related to immunosuppressive therapy, these depend above all on the type of underlying pathology and its involvement at a systemic level (</w:t>
      </w:r>
      <w:r w:rsidRPr="00FB40BF">
        <w:rPr>
          <w:rFonts w:ascii="Book Antiqua" w:hAnsi="Book Antiqua" w:cstheme="minorHAnsi"/>
          <w:i/>
          <w:lang w:val="en-US"/>
        </w:rPr>
        <w:t>e.g.</w:t>
      </w:r>
      <w:r w:rsidR="006E3384">
        <w:rPr>
          <w:rFonts w:ascii="Book Antiqua" w:hAnsi="Book Antiqua" w:cstheme="minorHAnsi"/>
          <w:i/>
          <w:lang w:val="en-US"/>
        </w:rPr>
        <w:t>,</w:t>
      </w:r>
      <w:r w:rsidRPr="00FB40BF">
        <w:rPr>
          <w:rFonts w:ascii="Book Antiqua" w:hAnsi="Book Antiqua" w:cstheme="minorHAnsi"/>
          <w:lang w:val="en-US"/>
        </w:rPr>
        <w:t xml:space="preserve"> hematologic disease). As already mentioned, a variety of treatments may induce HBV reactivation, such as immunosuppressive and chemotherapies which have the greatest risk of causing HBV reactivation. The American Gastroenterology Association (AGA) categorizes drugs based on their potential to cause HBV reactivation</w:t>
      </w:r>
      <w:r w:rsidR="007B7BF1" w:rsidRPr="00FB40BF">
        <w:rPr>
          <w:rFonts w:ascii="Book Antiqua" w:hAnsi="Book Antiqua" w:cstheme="minorHAnsi"/>
          <w:vertAlign w:val="superscript"/>
          <w:lang w:val="en-US"/>
        </w:rPr>
        <w:t>[9]</w:t>
      </w:r>
      <w:r w:rsidRPr="00FB40BF">
        <w:rPr>
          <w:rFonts w:ascii="Book Antiqua" w:hAnsi="Book Antiqua" w:cstheme="minorHAnsi"/>
          <w:lang w:val="en-US"/>
        </w:rPr>
        <w:t xml:space="preserve">. </w:t>
      </w:r>
    </w:p>
    <w:p w14:paraId="3C98CD4E" w14:textId="01A66FA8" w:rsidR="00CA180F" w:rsidRPr="00FB40BF" w:rsidRDefault="00CA180F" w:rsidP="00FB40BF">
      <w:pPr>
        <w:pStyle w:val="NormalWeb"/>
        <w:spacing w:before="0" w:beforeAutospacing="0" w:after="0" w:afterAutospacing="0" w:line="360" w:lineRule="auto"/>
        <w:ind w:firstLineChars="200" w:firstLine="480"/>
        <w:jc w:val="both"/>
        <w:rPr>
          <w:rFonts w:ascii="Book Antiqua" w:hAnsi="Book Antiqua" w:cstheme="minorHAnsi"/>
          <w:lang w:val="en-US"/>
        </w:rPr>
      </w:pPr>
      <w:r w:rsidRPr="00FB40BF">
        <w:rPr>
          <w:rFonts w:ascii="Book Antiqua" w:hAnsi="Book Antiqua" w:cstheme="minorHAnsi"/>
          <w:lang w:val="en-US"/>
        </w:rPr>
        <w:t xml:space="preserve">When the risk of causing HBV reactivation is greater than 10%, </w:t>
      </w:r>
      <w:r w:rsidR="00D07B1B" w:rsidRPr="00FB40BF">
        <w:rPr>
          <w:rFonts w:ascii="Book Antiqua" w:hAnsi="Book Antiqua" w:cstheme="minorHAnsi"/>
          <w:lang w:val="en-US"/>
        </w:rPr>
        <w:t>the</w:t>
      </w:r>
      <w:r w:rsidRPr="00FB40BF">
        <w:rPr>
          <w:rFonts w:ascii="Book Antiqua" w:hAnsi="Book Antiqua" w:cstheme="minorHAnsi"/>
          <w:lang w:val="en-US"/>
        </w:rPr>
        <w:t xml:space="preserve"> drug </w:t>
      </w:r>
      <w:r w:rsidR="00D07B1B" w:rsidRPr="00FB40BF">
        <w:rPr>
          <w:rFonts w:ascii="Book Antiqua" w:hAnsi="Book Antiqua" w:cstheme="minorHAnsi"/>
          <w:lang w:val="en-US"/>
        </w:rPr>
        <w:t xml:space="preserve">can be defined </w:t>
      </w:r>
      <w:r w:rsidRPr="00FB40BF">
        <w:rPr>
          <w:rFonts w:ascii="Book Antiqua" w:hAnsi="Book Antiqua" w:cstheme="minorHAnsi"/>
          <w:lang w:val="en-US"/>
        </w:rPr>
        <w:t xml:space="preserve">as </w:t>
      </w:r>
      <w:r w:rsidRPr="00FB40BF">
        <w:rPr>
          <w:rFonts w:ascii="Book Antiqua" w:hAnsi="Book Antiqua" w:cstheme="minorHAnsi"/>
          <w:iCs/>
          <w:lang w:val="en-US"/>
        </w:rPr>
        <w:t>high risk</w:t>
      </w:r>
      <w:r w:rsidRPr="00FB40BF">
        <w:rPr>
          <w:rFonts w:ascii="Book Antiqua" w:hAnsi="Book Antiqua" w:cstheme="minorHAnsi"/>
          <w:lang w:val="en-US"/>
        </w:rPr>
        <w:t>. Among these drugs</w:t>
      </w:r>
      <w:r w:rsidR="00D07B1B" w:rsidRPr="00FB40BF">
        <w:rPr>
          <w:rFonts w:ascii="Book Antiqua" w:hAnsi="Book Antiqua" w:cstheme="minorHAnsi"/>
          <w:lang w:val="en-US"/>
        </w:rPr>
        <w:t xml:space="preserve">, there are </w:t>
      </w:r>
      <w:r w:rsidRPr="00FB40BF">
        <w:rPr>
          <w:rFonts w:ascii="Book Antiqua" w:hAnsi="Book Antiqua" w:cstheme="minorHAnsi"/>
          <w:lang w:val="en-US"/>
        </w:rPr>
        <w:t>B-cell-depleting agents, anthracycline derivatives, moderate-dose corticosteroid therapy (</w:t>
      </w:r>
      <w:r w:rsidRPr="00FB40BF">
        <w:rPr>
          <w:rFonts w:ascii="Book Antiqua" w:hAnsi="Book Antiqua" w:cstheme="minorHAnsi"/>
          <w:i/>
          <w:lang w:val="en-US"/>
        </w:rPr>
        <w:t>e.g.</w:t>
      </w:r>
      <w:r w:rsidRPr="00FB40BF">
        <w:rPr>
          <w:rFonts w:ascii="Book Antiqua" w:hAnsi="Book Antiqua" w:cstheme="minorHAnsi"/>
          <w:lang w:val="en-US"/>
        </w:rPr>
        <w:t>, 10</w:t>
      </w:r>
      <w:r w:rsidR="007B4144" w:rsidRPr="00FB40BF">
        <w:rPr>
          <w:rFonts w:ascii="Book Antiqua" w:hAnsi="Book Antiqua" w:cstheme="minorHAnsi"/>
          <w:lang w:val="en-US"/>
        </w:rPr>
        <w:t>-</w:t>
      </w:r>
      <w:r w:rsidRPr="00FB40BF">
        <w:rPr>
          <w:rFonts w:ascii="Book Antiqua" w:hAnsi="Book Antiqua" w:cstheme="minorHAnsi"/>
          <w:lang w:val="en-US"/>
        </w:rPr>
        <w:t>20 mg prednisone daily)</w:t>
      </w:r>
      <w:r w:rsidR="006869C8" w:rsidRPr="00FB40BF">
        <w:rPr>
          <w:rFonts w:ascii="Book Antiqua" w:hAnsi="Book Antiqua" w:cstheme="minorHAnsi"/>
          <w:lang w:val="en-US"/>
        </w:rPr>
        <w:t>,</w:t>
      </w:r>
      <w:r w:rsidRPr="00FB40BF">
        <w:rPr>
          <w:rFonts w:ascii="Book Antiqua" w:hAnsi="Book Antiqua" w:cstheme="minorHAnsi"/>
          <w:lang w:val="en-US"/>
        </w:rPr>
        <w:t xml:space="preserve"> or high-dose corticosteroid therapy (</w:t>
      </w:r>
      <w:r w:rsidRPr="00FB40BF">
        <w:rPr>
          <w:rFonts w:ascii="Book Antiqua" w:hAnsi="Book Antiqua" w:cstheme="minorHAnsi"/>
          <w:i/>
          <w:lang w:val="en-US"/>
        </w:rPr>
        <w:t>e.g.</w:t>
      </w:r>
      <w:r w:rsidR="006E3384">
        <w:rPr>
          <w:rFonts w:ascii="Book Antiqua" w:hAnsi="Book Antiqua" w:cstheme="minorHAnsi"/>
          <w:i/>
          <w:lang w:val="en-US"/>
        </w:rPr>
        <w:t>,</w:t>
      </w:r>
      <w:r w:rsidRPr="00FB40BF">
        <w:rPr>
          <w:rFonts w:ascii="Book Antiqua" w:hAnsi="Book Antiqua" w:cstheme="minorHAnsi"/>
          <w:lang w:val="en-US"/>
        </w:rPr>
        <w:t xml:space="preserve"> &gt;</w:t>
      </w:r>
      <w:r w:rsidR="00A25E26" w:rsidRPr="00FB40BF">
        <w:rPr>
          <w:rFonts w:ascii="Book Antiqua" w:hAnsi="Book Antiqua" w:cstheme="minorHAnsi"/>
          <w:lang w:val="en-US"/>
        </w:rPr>
        <w:t xml:space="preserve"> </w:t>
      </w:r>
      <w:r w:rsidRPr="00FB40BF">
        <w:rPr>
          <w:rFonts w:ascii="Book Antiqua" w:hAnsi="Book Antiqua" w:cstheme="minorHAnsi"/>
          <w:lang w:val="en-US"/>
        </w:rPr>
        <w:t xml:space="preserve">20 mg prednisone daily). Drugs classified as having a </w:t>
      </w:r>
      <w:r w:rsidRPr="00FB40BF">
        <w:rPr>
          <w:rFonts w:ascii="Book Antiqua" w:hAnsi="Book Antiqua" w:cstheme="minorHAnsi"/>
          <w:iCs/>
          <w:lang w:val="en-US"/>
        </w:rPr>
        <w:t>moderate risk</w:t>
      </w:r>
      <w:r w:rsidRPr="00FB40BF">
        <w:rPr>
          <w:rFonts w:ascii="Book Antiqua" w:hAnsi="Book Antiqua" w:cstheme="minorHAnsi"/>
          <w:lang w:val="en-US"/>
        </w:rPr>
        <w:t xml:space="preserve"> (between 1 and 10%) of reactivation </w:t>
      </w:r>
      <w:r w:rsidR="00C0128C">
        <w:rPr>
          <w:rFonts w:ascii="Book Antiqua" w:hAnsi="Book Antiqua" w:cstheme="minorHAnsi"/>
          <w:lang w:val="en-US"/>
        </w:rPr>
        <w:t>include</w:t>
      </w:r>
      <w:r w:rsidRPr="00FB40BF">
        <w:rPr>
          <w:rFonts w:ascii="Book Antiqua" w:hAnsi="Book Antiqua" w:cstheme="minorHAnsi"/>
          <w:lang w:val="en-US"/>
        </w:rPr>
        <w:t xml:space="preserve"> tumor necrosis factor (TNF)-α inhibitors, cytokine or integrin inhibitors, and tyrosine kinase inhibitors. Lastly, those considered at </w:t>
      </w:r>
      <w:r w:rsidRPr="00FB40BF">
        <w:rPr>
          <w:rFonts w:ascii="Book Antiqua" w:hAnsi="Book Antiqua" w:cstheme="minorHAnsi"/>
          <w:iCs/>
          <w:lang w:val="en-US"/>
        </w:rPr>
        <w:t>low risk</w:t>
      </w:r>
      <w:r w:rsidRPr="00FB40BF">
        <w:rPr>
          <w:rFonts w:ascii="Book Antiqua" w:hAnsi="Book Antiqua" w:cstheme="minorHAnsi"/>
          <w:lang w:val="en-US"/>
        </w:rPr>
        <w:t xml:space="preserve"> of HBV reactivation (less than 1%) include immunosuppressive agents (</w:t>
      </w:r>
      <w:r w:rsidRPr="00FB40BF">
        <w:rPr>
          <w:rFonts w:ascii="Book Antiqua" w:hAnsi="Book Antiqua" w:cstheme="minorHAnsi"/>
          <w:i/>
          <w:lang w:val="en-US"/>
        </w:rPr>
        <w:t>e.g.</w:t>
      </w:r>
      <w:r w:rsidR="006E3384">
        <w:rPr>
          <w:rFonts w:ascii="Book Antiqua" w:hAnsi="Book Antiqua" w:cstheme="minorHAnsi"/>
          <w:i/>
          <w:lang w:val="en-US"/>
        </w:rPr>
        <w:t>,</w:t>
      </w:r>
      <w:r w:rsidRPr="00FB40BF">
        <w:rPr>
          <w:rFonts w:ascii="Book Antiqua" w:hAnsi="Book Antiqua" w:cstheme="minorHAnsi"/>
          <w:lang w:val="en-US"/>
        </w:rPr>
        <w:t xml:space="preserve"> azathioprine and methotrexate), and corticosteroid therapy</w:t>
      </w:r>
      <w:r w:rsidR="007805D0" w:rsidRPr="00FB40BF">
        <w:rPr>
          <w:rFonts w:ascii="Book Antiqua" w:hAnsi="Book Antiqua" w:cstheme="minorHAnsi"/>
          <w:vertAlign w:val="superscript"/>
          <w:lang w:val="en-US"/>
        </w:rPr>
        <w:t>[9]</w:t>
      </w:r>
      <w:r w:rsidRPr="00FB40BF">
        <w:rPr>
          <w:rFonts w:ascii="Book Antiqua" w:hAnsi="Book Antiqua" w:cstheme="minorHAnsi"/>
          <w:lang w:val="en-US"/>
        </w:rPr>
        <w:t>.</w:t>
      </w:r>
    </w:p>
    <w:p w14:paraId="4D08FB28" w14:textId="77777777" w:rsidR="00A77B3E" w:rsidRPr="00FB40BF" w:rsidRDefault="00A77B3E" w:rsidP="00FB40BF">
      <w:pPr>
        <w:spacing w:line="360" w:lineRule="auto"/>
        <w:jc w:val="both"/>
        <w:rPr>
          <w:rFonts w:ascii="Book Antiqua" w:hAnsi="Book Antiqua"/>
        </w:rPr>
      </w:pPr>
    </w:p>
    <w:p w14:paraId="6C9814DB" w14:textId="77777777" w:rsidR="00A77B3E" w:rsidRPr="00FB40BF" w:rsidRDefault="00CA180F" w:rsidP="00FB40BF">
      <w:pPr>
        <w:spacing w:line="360" w:lineRule="auto"/>
        <w:jc w:val="both"/>
        <w:rPr>
          <w:rFonts w:ascii="Book Antiqua" w:hAnsi="Book Antiqua"/>
          <w:u w:val="single"/>
        </w:rPr>
      </w:pPr>
      <w:r w:rsidRPr="00FB40BF">
        <w:rPr>
          <w:rFonts w:ascii="Book Antiqua" w:eastAsia="Book Antiqua" w:hAnsi="Book Antiqua" w:cs="Book Antiqua"/>
          <w:b/>
          <w:bCs/>
          <w:caps/>
          <w:color w:val="000000"/>
          <w:u w:val="single"/>
        </w:rPr>
        <w:t>MONOCLONAL ANTIBODIES AND RISK OF HBV REACTIVATION</w:t>
      </w:r>
    </w:p>
    <w:p w14:paraId="216501E8" w14:textId="1302D331" w:rsidR="00CA180F" w:rsidRPr="00FB40BF" w:rsidRDefault="00CA180F" w:rsidP="00FB40BF">
      <w:pPr>
        <w:pStyle w:val="NormalWeb"/>
        <w:spacing w:before="0" w:beforeAutospacing="0" w:after="0" w:afterAutospacing="0" w:line="360" w:lineRule="auto"/>
        <w:jc w:val="both"/>
        <w:rPr>
          <w:rFonts w:ascii="Book Antiqua" w:hAnsi="Book Antiqua" w:cstheme="minorHAnsi"/>
          <w:lang w:val="en-US"/>
        </w:rPr>
      </w:pPr>
      <w:r w:rsidRPr="00FB40BF">
        <w:rPr>
          <w:rFonts w:ascii="Book Antiqua" w:hAnsi="Book Antiqua" w:cstheme="minorHAnsi"/>
          <w:lang w:val="en-US"/>
        </w:rPr>
        <w:t xml:space="preserve">In this mini-review, the risk of HBV reactivation in patients treated with </w:t>
      </w:r>
      <w:r w:rsidR="0023363B" w:rsidRPr="00FB40BF">
        <w:rPr>
          <w:rFonts w:ascii="Book Antiqua" w:hAnsi="Book Antiqua" w:cstheme="minorHAnsi"/>
          <w:lang w:val="en-US"/>
        </w:rPr>
        <w:t>mAbs</w:t>
      </w:r>
      <w:r w:rsidR="00D07B1B" w:rsidRPr="00FB40BF">
        <w:rPr>
          <w:rFonts w:ascii="Book Antiqua" w:hAnsi="Book Antiqua" w:cstheme="minorHAnsi"/>
          <w:lang w:val="en-US"/>
        </w:rPr>
        <w:t xml:space="preserve"> is briefly discussed</w:t>
      </w:r>
      <w:r w:rsidRPr="00FB40BF">
        <w:rPr>
          <w:rFonts w:ascii="Book Antiqua" w:hAnsi="Book Antiqua" w:cstheme="minorHAnsi"/>
          <w:lang w:val="en-US"/>
        </w:rPr>
        <w:t>. In a recent</w:t>
      </w:r>
      <w:r w:rsidR="00B504DF" w:rsidRPr="00FB40BF">
        <w:rPr>
          <w:rFonts w:ascii="Book Antiqua" w:hAnsi="Book Antiqua" w:cstheme="minorHAnsi"/>
          <w:lang w:val="en-US"/>
        </w:rPr>
        <w:t xml:space="preserve"> review published </w:t>
      </w:r>
      <w:r w:rsidR="00D73766">
        <w:rPr>
          <w:rFonts w:ascii="Book Antiqua" w:hAnsi="Book Antiqua" w:cstheme="minorHAnsi"/>
          <w:lang w:val="en-US"/>
        </w:rPr>
        <w:t>in</w:t>
      </w:r>
      <w:r w:rsidR="00B504DF" w:rsidRPr="00FB40BF">
        <w:rPr>
          <w:rFonts w:ascii="Book Antiqua" w:hAnsi="Book Antiqua" w:cstheme="minorHAnsi"/>
          <w:lang w:val="en-US"/>
        </w:rPr>
        <w:t xml:space="preserve"> Antibodies</w:t>
      </w:r>
      <w:r w:rsidRPr="00FB40BF">
        <w:rPr>
          <w:rFonts w:ascii="Book Antiqua" w:hAnsi="Book Antiqua" w:cstheme="minorHAnsi"/>
          <w:vertAlign w:val="superscript"/>
          <w:lang w:val="en-US"/>
        </w:rPr>
        <w:t>[10]</w:t>
      </w:r>
      <w:r w:rsidRPr="00FB40BF">
        <w:rPr>
          <w:rFonts w:ascii="Book Antiqua" w:hAnsi="Book Antiqua" w:cstheme="minorHAnsi"/>
          <w:lang w:val="en-US"/>
        </w:rPr>
        <w:t xml:space="preserve">, there is a warning of adverse liver reactions after the initiation of mAbs. </w:t>
      </w:r>
      <w:r w:rsidR="006E52D4">
        <w:rPr>
          <w:rFonts w:ascii="Book Antiqua" w:hAnsi="Book Antiqua" w:cstheme="minorHAnsi"/>
          <w:lang w:val="en-US"/>
        </w:rPr>
        <w:t xml:space="preserve">Notably, </w:t>
      </w:r>
      <w:r w:rsidRPr="00FB40BF">
        <w:rPr>
          <w:rFonts w:ascii="Book Antiqua" w:hAnsi="Book Antiqua" w:cstheme="minorHAnsi"/>
          <w:lang w:val="en-US"/>
        </w:rPr>
        <w:t xml:space="preserve">among the mAbs at high risk of HBV </w:t>
      </w:r>
      <w:r w:rsidRPr="00FB40BF">
        <w:rPr>
          <w:rFonts w:ascii="Book Antiqua" w:hAnsi="Book Antiqua" w:cstheme="minorHAnsi"/>
          <w:lang w:val="en-US"/>
        </w:rPr>
        <w:lastRenderedPageBreak/>
        <w:t xml:space="preserve">reactivation are anti-CD20 agents; TNF-α inhibitors are instead considered by the authors to be moderate risk. The main results of the current literature are summarized in </w:t>
      </w:r>
      <w:r w:rsidRPr="00FB40BF">
        <w:rPr>
          <w:rFonts w:ascii="Book Antiqua" w:hAnsi="Book Antiqua" w:cstheme="minorHAnsi"/>
          <w:iCs/>
          <w:lang w:val="en-US"/>
        </w:rPr>
        <w:t>Table 1</w:t>
      </w:r>
      <w:r w:rsidRPr="00FB40BF">
        <w:rPr>
          <w:rFonts w:ascii="Book Antiqua" w:hAnsi="Book Antiqua" w:cstheme="minorHAnsi"/>
          <w:lang w:val="en-US"/>
        </w:rPr>
        <w:t xml:space="preserve">. </w:t>
      </w:r>
    </w:p>
    <w:p w14:paraId="3B06EDEF" w14:textId="77777777" w:rsidR="00FE6884" w:rsidRPr="00FB40BF" w:rsidRDefault="00FE6884" w:rsidP="00FB40BF">
      <w:pPr>
        <w:pStyle w:val="NormalWeb"/>
        <w:spacing w:before="0" w:beforeAutospacing="0" w:after="0" w:afterAutospacing="0" w:line="360" w:lineRule="auto"/>
        <w:jc w:val="both"/>
        <w:rPr>
          <w:rFonts w:ascii="Book Antiqua" w:hAnsi="Book Antiqua" w:cstheme="minorHAnsi"/>
          <w:i/>
          <w:lang w:val="en-US"/>
        </w:rPr>
      </w:pPr>
    </w:p>
    <w:p w14:paraId="13E2BCB3" w14:textId="77777777" w:rsidR="00CA180F" w:rsidRPr="00FB40BF" w:rsidRDefault="00CA180F" w:rsidP="00FB40BF">
      <w:pPr>
        <w:pStyle w:val="NormalWeb"/>
        <w:spacing w:before="0" w:beforeAutospacing="0" w:after="0" w:afterAutospacing="0" w:line="360" w:lineRule="auto"/>
        <w:jc w:val="both"/>
        <w:rPr>
          <w:rFonts w:ascii="Book Antiqua" w:hAnsi="Book Antiqua" w:cstheme="minorHAnsi"/>
          <w:b/>
          <w:i/>
          <w:lang w:val="en-US"/>
        </w:rPr>
      </w:pPr>
      <w:r w:rsidRPr="00FB40BF">
        <w:rPr>
          <w:rFonts w:ascii="Book Antiqua" w:hAnsi="Book Antiqua" w:cstheme="minorHAnsi"/>
          <w:b/>
          <w:i/>
          <w:lang w:val="en-US"/>
        </w:rPr>
        <w:t>Anti-CD20 agents (ibritumomab, obinutuzumab, ofatumumab, rituximab)</w:t>
      </w:r>
    </w:p>
    <w:p w14:paraId="7C6DCE74" w14:textId="05E65261" w:rsidR="00CA180F" w:rsidRPr="00FB40BF" w:rsidRDefault="00CA180F" w:rsidP="00FB40BF">
      <w:pPr>
        <w:pStyle w:val="NormalWeb"/>
        <w:spacing w:before="0" w:beforeAutospacing="0" w:after="0" w:afterAutospacing="0" w:line="360" w:lineRule="auto"/>
        <w:jc w:val="both"/>
        <w:rPr>
          <w:rFonts w:ascii="Book Antiqua" w:hAnsi="Book Antiqua" w:cstheme="minorHAnsi"/>
          <w:lang w:val="en-US"/>
        </w:rPr>
      </w:pPr>
      <w:r w:rsidRPr="00FB40BF">
        <w:rPr>
          <w:rFonts w:ascii="Book Antiqua" w:hAnsi="Book Antiqua" w:cstheme="minorHAnsi"/>
          <w:lang w:val="en-US"/>
        </w:rPr>
        <w:t>These drugs are widely used today. Rituximab and ofatumumab are humanized antibodies whose function is to bind to the CD20 receptor present on the surface of B lymphocytes, blocking their response and consequently humoral immunity</w:t>
      </w:r>
      <w:r w:rsidR="001F5BD1" w:rsidRPr="00FB40BF">
        <w:rPr>
          <w:rFonts w:ascii="Book Antiqua" w:hAnsi="Book Antiqua" w:cstheme="minorHAnsi"/>
          <w:vertAlign w:val="superscript"/>
          <w:lang w:val="en-US"/>
        </w:rPr>
        <w:t>[11,12]</w:t>
      </w:r>
      <w:r w:rsidRPr="00FB40BF">
        <w:rPr>
          <w:rFonts w:ascii="Book Antiqua" w:hAnsi="Book Antiqua" w:cstheme="minorHAnsi"/>
          <w:lang w:val="en-US"/>
        </w:rPr>
        <w:t>. Historically</w:t>
      </w:r>
      <w:r w:rsidR="00970952">
        <w:rPr>
          <w:rFonts w:ascii="Book Antiqua" w:hAnsi="Book Antiqua" w:cstheme="minorHAnsi"/>
          <w:lang w:val="en-US"/>
        </w:rPr>
        <w:t>,</w:t>
      </w:r>
      <w:r w:rsidRPr="00FB40BF">
        <w:rPr>
          <w:rFonts w:ascii="Book Antiqua" w:hAnsi="Book Antiqua" w:cstheme="minorHAnsi"/>
          <w:lang w:val="en-US"/>
        </w:rPr>
        <w:t xml:space="preserve"> rituximab has been the most studied drug in this category. The first work that highlighted the association between this drug and </w:t>
      </w:r>
      <w:r w:rsidR="00A03AF0">
        <w:rPr>
          <w:rFonts w:ascii="Book Antiqua" w:hAnsi="Book Antiqua" w:cstheme="minorHAnsi"/>
          <w:lang w:val="en-US"/>
        </w:rPr>
        <w:t>viral</w:t>
      </w:r>
      <w:r w:rsidR="00A03AF0" w:rsidRPr="00FB40BF">
        <w:rPr>
          <w:rFonts w:ascii="Book Antiqua" w:hAnsi="Book Antiqua" w:cstheme="minorHAnsi"/>
          <w:lang w:val="en-US"/>
        </w:rPr>
        <w:t xml:space="preserve"> </w:t>
      </w:r>
      <w:r w:rsidRPr="00FB40BF">
        <w:rPr>
          <w:rFonts w:ascii="Book Antiqua" w:hAnsi="Book Antiqua" w:cstheme="minorHAnsi"/>
          <w:lang w:val="en-US"/>
        </w:rPr>
        <w:t>reactivation was reported by the FDA MedWatch Database</w:t>
      </w:r>
      <w:r w:rsidR="001F5BD1" w:rsidRPr="00FB40BF">
        <w:rPr>
          <w:rFonts w:ascii="Book Antiqua" w:hAnsi="Book Antiqua" w:cstheme="minorHAnsi"/>
          <w:vertAlign w:val="superscript"/>
          <w:lang w:val="en-US"/>
        </w:rPr>
        <w:t>[13]</w:t>
      </w:r>
      <w:r w:rsidRPr="00FB40BF">
        <w:rPr>
          <w:rFonts w:ascii="Book Antiqua" w:hAnsi="Book Antiqua" w:cstheme="minorHAnsi"/>
          <w:lang w:val="en-US"/>
        </w:rPr>
        <w:t xml:space="preserve"> where 118 cases of reactivation </w:t>
      </w:r>
      <w:r w:rsidR="004B6293">
        <w:rPr>
          <w:rFonts w:ascii="Book Antiqua" w:hAnsi="Book Antiqua" w:cstheme="minorHAnsi"/>
          <w:lang w:val="en-US"/>
        </w:rPr>
        <w:t xml:space="preserve">were reported to </w:t>
      </w:r>
      <w:r w:rsidRPr="00FB40BF">
        <w:rPr>
          <w:rFonts w:ascii="Book Antiqua" w:hAnsi="Book Antiqua" w:cstheme="minorHAnsi"/>
          <w:lang w:val="en-US"/>
        </w:rPr>
        <w:t xml:space="preserve">occur between 1997 and 2009. Driven by this evidence, in 2013 the manufacturers of these drugs (rituximab and ofatumumab) </w:t>
      </w:r>
      <w:r w:rsidR="00055FB9">
        <w:rPr>
          <w:rFonts w:ascii="Book Antiqua" w:hAnsi="Book Antiqua" w:cstheme="minorHAnsi"/>
          <w:lang w:val="en-US"/>
        </w:rPr>
        <w:t>were required</w:t>
      </w:r>
      <w:r w:rsidR="00055FB9" w:rsidRPr="00FB40BF">
        <w:rPr>
          <w:rFonts w:ascii="Book Antiqua" w:hAnsi="Book Antiqua" w:cstheme="minorHAnsi"/>
          <w:lang w:val="en-US"/>
        </w:rPr>
        <w:t xml:space="preserve"> </w:t>
      </w:r>
      <w:r w:rsidRPr="00FB40BF">
        <w:rPr>
          <w:rFonts w:ascii="Book Antiqua" w:hAnsi="Book Antiqua" w:cstheme="minorHAnsi"/>
          <w:lang w:val="en-US"/>
        </w:rPr>
        <w:t xml:space="preserve">to add </w:t>
      </w:r>
      <w:r w:rsidR="00055FB9">
        <w:rPr>
          <w:rFonts w:ascii="Book Antiqua" w:hAnsi="Book Antiqua" w:cstheme="minorHAnsi"/>
          <w:lang w:val="en-US"/>
        </w:rPr>
        <w:t xml:space="preserve">label </w:t>
      </w:r>
      <w:r w:rsidRPr="00FB40BF">
        <w:rPr>
          <w:rFonts w:ascii="Book Antiqua" w:hAnsi="Book Antiqua" w:cstheme="minorHAnsi"/>
          <w:lang w:val="en-US"/>
        </w:rPr>
        <w:t xml:space="preserve">warnings </w:t>
      </w:r>
      <w:r w:rsidR="00055FB9">
        <w:rPr>
          <w:rFonts w:ascii="Book Antiqua" w:hAnsi="Book Antiqua" w:cstheme="minorHAnsi"/>
          <w:lang w:val="en-US"/>
        </w:rPr>
        <w:t>that</w:t>
      </w:r>
      <w:r w:rsidRPr="00FB40BF">
        <w:rPr>
          <w:rFonts w:ascii="Book Antiqua" w:hAnsi="Book Antiqua" w:cstheme="minorHAnsi"/>
          <w:lang w:val="en-US"/>
        </w:rPr>
        <w:t xml:space="preserve"> highlighted the high risk of possible</w:t>
      </w:r>
      <w:r w:rsidR="00055FB9">
        <w:rPr>
          <w:rFonts w:ascii="Book Antiqua" w:hAnsi="Book Antiqua" w:cstheme="minorHAnsi"/>
          <w:lang w:val="en-US"/>
        </w:rPr>
        <w:t xml:space="preserve"> virus</w:t>
      </w:r>
      <w:r w:rsidRPr="00FB40BF">
        <w:rPr>
          <w:rFonts w:ascii="Book Antiqua" w:hAnsi="Book Antiqua" w:cstheme="minorHAnsi"/>
          <w:lang w:val="en-US"/>
        </w:rPr>
        <w:t xml:space="preserve"> reactivation</w:t>
      </w:r>
      <w:r w:rsidR="00E17915" w:rsidRPr="00FB40BF">
        <w:rPr>
          <w:rFonts w:ascii="Book Antiqua" w:hAnsi="Book Antiqua" w:cstheme="minorHAnsi"/>
          <w:vertAlign w:val="superscript"/>
          <w:lang w:val="en-US"/>
        </w:rPr>
        <w:t>[12]</w:t>
      </w:r>
      <w:r w:rsidRPr="00FB40BF">
        <w:rPr>
          <w:rFonts w:ascii="Book Antiqua" w:hAnsi="Book Antiqua" w:cstheme="minorHAnsi"/>
          <w:lang w:val="en-US"/>
        </w:rPr>
        <w:t>. These data highlight a</w:t>
      </w:r>
      <w:r w:rsidR="00121A7E">
        <w:rPr>
          <w:rFonts w:ascii="Book Antiqua" w:hAnsi="Book Antiqua" w:cstheme="minorHAnsi"/>
          <w:lang w:val="en-US"/>
        </w:rPr>
        <w:t>n</w:t>
      </w:r>
      <w:r w:rsidRPr="00FB40BF">
        <w:rPr>
          <w:rFonts w:ascii="Book Antiqua" w:hAnsi="Book Antiqua" w:cstheme="minorHAnsi"/>
          <w:lang w:val="en-US"/>
        </w:rPr>
        <w:t xml:space="preserve"> interesting aspect: the risk of HBV reactivation linked to depletion of CD20+ B lymphocytes </w:t>
      </w:r>
      <w:r w:rsidR="00121A7E">
        <w:rPr>
          <w:rFonts w:ascii="Book Antiqua" w:hAnsi="Book Antiqua" w:cstheme="minorHAnsi"/>
          <w:lang w:val="en-US"/>
        </w:rPr>
        <w:t>by</w:t>
      </w:r>
      <w:r w:rsidRPr="00FB40BF">
        <w:rPr>
          <w:rFonts w:ascii="Book Antiqua" w:hAnsi="Book Antiqua" w:cstheme="minorHAnsi"/>
          <w:lang w:val="en-US"/>
        </w:rPr>
        <w:t xml:space="preserve"> rituximab highlights how important immunity is in controlling the disease itself</w:t>
      </w:r>
      <w:r w:rsidR="00452FB9" w:rsidRPr="00FB40BF">
        <w:rPr>
          <w:rFonts w:ascii="Book Antiqua" w:hAnsi="Book Antiqua" w:cstheme="minorHAnsi"/>
          <w:vertAlign w:val="superscript"/>
          <w:lang w:val="en-US"/>
        </w:rPr>
        <w:t>[14]</w:t>
      </w:r>
      <w:r w:rsidRPr="00FB40BF">
        <w:rPr>
          <w:rFonts w:ascii="Book Antiqua" w:hAnsi="Book Antiqua" w:cstheme="minorHAnsi"/>
          <w:lang w:val="en-US"/>
        </w:rPr>
        <w:t xml:space="preserve">. </w:t>
      </w:r>
    </w:p>
    <w:p w14:paraId="1B963785" w14:textId="77777777" w:rsidR="00452FB9" w:rsidRPr="00FB40BF" w:rsidRDefault="00452FB9" w:rsidP="00FB40BF">
      <w:pPr>
        <w:pStyle w:val="NormalWeb"/>
        <w:spacing w:before="0" w:beforeAutospacing="0" w:after="0" w:afterAutospacing="0" w:line="360" w:lineRule="auto"/>
        <w:jc w:val="both"/>
        <w:rPr>
          <w:rFonts w:ascii="Book Antiqua" w:hAnsi="Book Antiqua" w:cstheme="minorHAnsi"/>
          <w:i/>
          <w:lang w:val="en-US"/>
        </w:rPr>
      </w:pPr>
    </w:p>
    <w:p w14:paraId="6CDCBB10" w14:textId="77777777" w:rsidR="00CA180F" w:rsidRPr="00FB40BF" w:rsidRDefault="00CA180F" w:rsidP="00FB40BF">
      <w:pPr>
        <w:pStyle w:val="NormalWeb"/>
        <w:spacing w:before="0" w:beforeAutospacing="0" w:after="0" w:afterAutospacing="0" w:line="360" w:lineRule="auto"/>
        <w:jc w:val="both"/>
        <w:rPr>
          <w:rFonts w:ascii="Book Antiqua" w:hAnsi="Book Antiqua" w:cstheme="minorHAnsi"/>
          <w:b/>
          <w:i/>
          <w:lang w:val="en-US"/>
        </w:rPr>
      </w:pPr>
      <w:r w:rsidRPr="00FB40BF">
        <w:rPr>
          <w:rFonts w:ascii="Book Antiqua" w:hAnsi="Book Antiqua" w:cstheme="minorHAnsi"/>
          <w:b/>
          <w:i/>
          <w:lang w:val="en-US"/>
        </w:rPr>
        <w:t>Tumor necrosis factor-α inhibitors (e.g., infliximab, etanercept, adalimumab, certolizumab, and golimumab)</w:t>
      </w:r>
    </w:p>
    <w:p w14:paraId="6B01352B" w14:textId="05A3E502" w:rsidR="00CA180F" w:rsidRPr="00FB40BF" w:rsidRDefault="00CA180F" w:rsidP="00FB40BF">
      <w:pPr>
        <w:pStyle w:val="NormalWeb"/>
        <w:spacing w:before="0" w:beforeAutospacing="0" w:after="0" w:afterAutospacing="0" w:line="360" w:lineRule="auto"/>
        <w:jc w:val="both"/>
        <w:rPr>
          <w:rFonts w:ascii="Book Antiqua" w:hAnsi="Book Antiqua" w:cstheme="minorHAnsi"/>
          <w:lang w:val="en-US"/>
        </w:rPr>
      </w:pPr>
      <w:r w:rsidRPr="00FB40BF">
        <w:rPr>
          <w:rFonts w:ascii="Book Antiqua" w:hAnsi="Book Antiqua" w:cstheme="minorHAnsi"/>
          <w:lang w:val="en-US"/>
        </w:rPr>
        <w:t xml:space="preserve">Another highly used category of immunosuppressive drugs is anti-TNF alpha. They are widely used in </w:t>
      </w:r>
      <w:r w:rsidR="00E626F5">
        <w:rPr>
          <w:rFonts w:ascii="Book Antiqua" w:hAnsi="Book Antiqua" w:cstheme="minorHAnsi"/>
          <w:lang w:val="en-US"/>
        </w:rPr>
        <w:t>treating</w:t>
      </w:r>
      <w:r w:rsidRPr="00FB40BF">
        <w:rPr>
          <w:rFonts w:ascii="Book Antiqua" w:hAnsi="Book Antiqua" w:cstheme="minorHAnsi"/>
          <w:lang w:val="en-US"/>
        </w:rPr>
        <w:t xml:space="preserve"> rheumatological diseases such as rheumatoid arthritis </w:t>
      </w:r>
      <w:r w:rsidR="00E626F5">
        <w:rPr>
          <w:rFonts w:ascii="Book Antiqua" w:hAnsi="Book Antiqua" w:cstheme="minorHAnsi"/>
          <w:lang w:val="en-US"/>
        </w:rPr>
        <w:t>and</w:t>
      </w:r>
      <w:r w:rsidR="00E626F5" w:rsidRPr="00FB40BF">
        <w:rPr>
          <w:rFonts w:ascii="Book Antiqua" w:hAnsi="Book Antiqua" w:cstheme="minorHAnsi"/>
          <w:lang w:val="en-US"/>
        </w:rPr>
        <w:t xml:space="preserve"> </w:t>
      </w:r>
      <w:r w:rsidRPr="00FB40BF">
        <w:rPr>
          <w:rFonts w:ascii="Book Antiqua" w:hAnsi="Book Antiqua" w:cstheme="minorHAnsi"/>
          <w:lang w:val="en-US"/>
        </w:rPr>
        <w:t>psoriasis, but also gastrointestinal diseases such as inflammatory bowel diseases. However, TNF is a fundamental element in countering HBV infection. Several studies have highlighted how it acts on two fronts</w:t>
      </w:r>
      <w:r w:rsidR="002160D7">
        <w:rPr>
          <w:rFonts w:ascii="Book Antiqua" w:hAnsi="Book Antiqua" w:cstheme="minorHAnsi"/>
          <w:lang w:val="en-US"/>
        </w:rPr>
        <w:t>:</w:t>
      </w:r>
      <w:r w:rsidRPr="00FB40BF">
        <w:rPr>
          <w:rFonts w:ascii="Book Antiqua" w:hAnsi="Book Antiqua" w:cstheme="minorHAnsi"/>
          <w:lang w:val="en-US"/>
        </w:rPr>
        <w:t xml:space="preserve"> inhibiting virus replication and stimulating T cell immunity. The </w:t>
      </w:r>
      <w:r w:rsidR="002160D7">
        <w:rPr>
          <w:rFonts w:ascii="Book Antiqua" w:hAnsi="Book Antiqua" w:cstheme="minorHAnsi"/>
          <w:lang w:val="en-US"/>
        </w:rPr>
        <w:t xml:space="preserve">activated </w:t>
      </w:r>
      <w:r w:rsidR="006869C8" w:rsidRPr="00FB40BF">
        <w:rPr>
          <w:rFonts w:ascii="Book Antiqua" w:hAnsi="Book Antiqua" w:cstheme="minorHAnsi"/>
          <w:lang w:val="en-US"/>
        </w:rPr>
        <w:t>T-</w:t>
      </w:r>
      <w:r w:rsidRPr="00FB40BF">
        <w:rPr>
          <w:rFonts w:ascii="Book Antiqua" w:hAnsi="Book Antiqua" w:cstheme="minorHAnsi"/>
          <w:lang w:val="en-US"/>
        </w:rPr>
        <w:t>cells eliminat</w:t>
      </w:r>
      <w:r w:rsidR="002160D7">
        <w:rPr>
          <w:rFonts w:ascii="Book Antiqua" w:hAnsi="Book Antiqua" w:cstheme="minorHAnsi"/>
          <w:lang w:val="en-US"/>
        </w:rPr>
        <w:t>e</w:t>
      </w:r>
      <w:r w:rsidRPr="00FB40BF">
        <w:rPr>
          <w:rFonts w:ascii="Book Antiqua" w:hAnsi="Book Antiqua" w:cstheme="minorHAnsi"/>
          <w:lang w:val="en-US"/>
        </w:rPr>
        <w:t xml:space="preserve"> infected hepatocytes. Starting from this evidence, various authors have proposed </w:t>
      </w:r>
      <w:r w:rsidR="00EF7AD1">
        <w:rPr>
          <w:rFonts w:ascii="Book Antiqua" w:hAnsi="Book Antiqua" w:cstheme="minorHAnsi"/>
          <w:lang w:val="en-US"/>
        </w:rPr>
        <w:t>that</w:t>
      </w:r>
      <w:r w:rsidR="00EF7AD1" w:rsidRPr="00EF7AD1">
        <w:rPr>
          <w:rFonts w:ascii="Book Antiqua" w:hAnsi="Book Antiqua" w:cstheme="minorHAnsi"/>
          <w:lang w:val="en-US"/>
        </w:rPr>
        <w:t xml:space="preserve"> </w:t>
      </w:r>
      <w:r w:rsidR="00EF7AD1" w:rsidRPr="00FB40BF">
        <w:rPr>
          <w:rFonts w:ascii="Book Antiqua" w:hAnsi="Book Antiqua" w:cstheme="minorHAnsi"/>
          <w:lang w:val="en-US"/>
        </w:rPr>
        <w:t>TNF</w:t>
      </w:r>
      <w:r w:rsidRPr="00FB40BF">
        <w:rPr>
          <w:rFonts w:ascii="Book Antiqua" w:hAnsi="Book Antiqua" w:cstheme="minorHAnsi"/>
          <w:lang w:val="en-US"/>
        </w:rPr>
        <w:t xml:space="preserve"> inhibition </w:t>
      </w:r>
      <w:r w:rsidR="00EF7AD1">
        <w:rPr>
          <w:rFonts w:ascii="Book Antiqua" w:hAnsi="Book Antiqua" w:cstheme="minorHAnsi"/>
          <w:lang w:val="en-US"/>
        </w:rPr>
        <w:t xml:space="preserve">through </w:t>
      </w:r>
      <w:r w:rsidRPr="00FB40BF">
        <w:rPr>
          <w:rFonts w:ascii="Book Antiqua" w:hAnsi="Book Antiqua" w:cstheme="minorHAnsi"/>
          <w:lang w:val="en-US"/>
        </w:rPr>
        <w:t>the above-mentioned drugs could lead to a slatentization of the virus</w:t>
      </w:r>
      <w:r w:rsidR="001816EC">
        <w:rPr>
          <w:rFonts w:ascii="Book Antiqua" w:hAnsi="Book Antiqua" w:cstheme="minorHAnsi"/>
          <w:lang w:val="en-US"/>
        </w:rPr>
        <w:t>,</w:t>
      </w:r>
      <w:r w:rsidRPr="00FB40BF">
        <w:rPr>
          <w:rFonts w:ascii="Book Antiqua" w:hAnsi="Book Antiqua" w:cstheme="minorHAnsi"/>
          <w:lang w:val="en-US"/>
        </w:rPr>
        <w:t xml:space="preserve"> which would replicate, generating </w:t>
      </w:r>
      <w:r w:rsidR="001816EC">
        <w:rPr>
          <w:rFonts w:ascii="Book Antiqua" w:hAnsi="Book Antiqua" w:cstheme="minorHAnsi"/>
          <w:lang w:val="en-US"/>
        </w:rPr>
        <w:t>disease</w:t>
      </w:r>
      <w:r w:rsidR="001816EC" w:rsidRPr="00FB40BF">
        <w:rPr>
          <w:rFonts w:ascii="Book Antiqua" w:hAnsi="Book Antiqua" w:cstheme="minorHAnsi"/>
          <w:lang w:val="en-US"/>
        </w:rPr>
        <w:t xml:space="preserve"> </w:t>
      </w:r>
      <w:r w:rsidRPr="00FB40BF">
        <w:rPr>
          <w:rFonts w:ascii="Book Antiqua" w:hAnsi="Book Antiqua" w:cstheme="minorHAnsi"/>
          <w:lang w:val="en-US"/>
        </w:rPr>
        <w:t>reactivation</w:t>
      </w:r>
      <w:r w:rsidR="00F3304F" w:rsidRPr="00FB40BF">
        <w:rPr>
          <w:rFonts w:ascii="Book Antiqua" w:hAnsi="Book Antiqua" w:cstheme="minorHAnsi"/>
          <w:vertAlign w:val="superscript"/>
          <w:lang w:val="en-US"/>
        </w:rPr>
        <w:t>[15]</w:t>
      </w:r>
      <w:r w:rsidRPr="00FB40BF">
        <w:rPr>
          <w:rFonts w:ascii="Book Antiqua" w:hAnsi="Book Antiqua" w:cstheme="minorHAnsi"/>
          <w:lang w:val="en-US"/>
        </w:rPr>
        <w:t xml:space="preserve">. </w:t>
      </w:r>
    </w:p>
    <w:p w14:paraId="2861A33D" w14:textId="77777777" w:rsidR="008E291A" w:rsidRPr="00FB40BF" w:rsidRDefault="008E291A" w:rsidP="00FB40BF">
      <w:pPr>
        <w:pStyle w:val="NormalWeb"/>
        <w:spacing w:before="0" w:beforeAutospacing="0" w:after="0" w:afterAutospacing="0" w:line="360" w:lineRule="auto"/>
        <w:jc w:val="both"/>
        <w:rPr>
          <w:rFonts w:ascii="Book Antiqua" w:hAnsi="Book Antiqua" w:cstheme="minorHAnsi"/>
          <w:i/>
          <w:lang w:val="en-US"/>
        </w:rPr>
      </w:pPr>
    </w:p>
    <w:p w14:paraId="44C0354D" w14:textId="77777777" w:rsidR="00CA180F" w:rsidRPr="00FB40BF" w:rsidRDefault="00CA180F" w:rsidP="00FB40BF">
      <w:pPr>
        <w:pStyle w:val="NormalWeb"/>
        <w:spacing w:before="0" w:beforeAutospacing="0" w:after="0" w:afterAutospacing="0" w:line="360" w:lineRule="auto"/>
        <w:jc w:val="both"/>
        <w:rPr>
          <w:rFonts w:ascii="Book Antiqua" w:hAnsi="Book Antiqua" w:cstheme="minorHAnsi"/>
          <w:b/>
          <w:i/>
          <w:lang w:val="en-US"/>
        </w:rPr>
      </w:pPr>
      <w:r w:rsidRPr="00FB40BF">
        <w:rPr>
          <w:rFonts w:ascii="Book Antiqua" w:hAnsi="Book Antiqua" w:cstheme="minorHAnsi"/>
          <w:b/>
          <w:i/>
          <w:lang w:val="en-US"/>
        </w:rPr>
        <w:t>Other mAbs with possible risk of HBV reactivation</w:t>
      </w:r>
    </w:p>
    <w:p w14:paraId="1CC99228" w14:textId="37AB6326" w:rsidR="00CA180F" w:rsidRPr="00FB40BF" w:rsidRDefault="00CA180F" w:rsidP="00FB40BF">
      <w:pPr>
        <w:pStyle w:val="NormalWeb"/>
        <w:spacing w:before="0" w:beforeAutospacing="0" w:after="0" w:afterAutospacing="0" w:line="360" w:lineRule="auto"/>
        <w:jc w:val="both"/>
        <w:rPr>
          <w:rFonts w:ascii="Book Antiqua" w:hAnsi="Book Antiqua" w:cstheme="minorHAnsi"/>
          <w:lang w:val="en-US"/>
        </w:rPr>
      </w:pPr>
      <w:r w:rsidRPr="00FB40BF">
        <w:rPr>
          <w:rFonts w:ascii="Book Antiqua" w:hAnsi="Book Antiqua" w:cstheme="minorHAnsi"/>
          <w:lang w:val="en-US"/>
        </w:rPr>
        <w:lastRenderedPageBreak/>
        <w:t xml:space="preserve">Several </w:t>
      </w:r>
      <w:r w:rsidR="00DF349D">
        <w:rPr>
          <w:rFonts w:ascii="Book Antiqua" w:hAnsi="Book Antiqua" w:cstheme="minorHAnsi"/>
          <w:lang w:val="en-US"/>
        </w:rPr>
        <w:t>studies</w:t>
      </w:r>
      <w:r w:rsidRPr="00FB40BF">
        <w:rPr>
          <w:rFonts w:ascii="Book Antiqua" w:hAnsi="Book Antiqua" w:cstheme="minorHAnsi"/>
          <w:lang w:val="en-US"/>
        </w:rPr>
        <w:t xml:space="preserve"> demonstrate that other mAbs are at risk of HBV reactivation. Secukinumab is a fully human monoclonal antibody targeting interleukin-17A and </w:t>
      </w:r>
      <w:r w:rsidR="006869C8" w:rsidRPr="00FB40BF">
        <w:rPr>
          <w:rFonts w:ascii="Book Antiqua" w:hAnsi="Book Antiqua" w:cstheme="minorHAnsi"/>
          <w:lang w:val="en-US"/>
        </w:rPr>
        <w:t xml:space="preserve">is </w:t>
      </w:r>
      <w:r w:rsidRPr="00FB40BF">
        <w:rPr>
          <w:rFonts w:ascii="Book Antiqua" w:hAnsi="Book Antiqua" w:cstheme="minorHAnsi"/>
          <w:lang w:val="en-US"/>
        </w:rPr>
        <w:t xml:space="preserve">used for psoriatic disease. A recent </w:t>
      </w:r>
      <w:r w:rsidR="00DF349D">
        <w:rPr>
          <w:rFonts w:ascii="Book Antiqua" w:hAnsi="Book Antiqua" w:cstheme="minorHAnsi"/>
          <w:lang w:val="en-US"/>
        </w:rPr>
        <w:t xml:space="preserve">retrospective study </w:t>
      </w:r>
      <w:r w:rsidRPr="00FB40BF">
        <w:rPr>
          <w:rFonts w:ascii="Book Antiqua" w:hAnsi="Book Antiqua" w:cstheme="minorHAnsi"/>
          <w:lang w:val="en-US"/>
        </w:rPr>
        <w:t xml:space="preserve">by Megna </w:t>
      </w:r>
      <w:r w:rsidRPr="00FB40BF">
        <w:rPr>
          <w:rFonts w:ascii="Book Antiqua" w:hAnsi="Book Antiqua" w:cstheme="minorHAnsi"/>
          <w:i/>
          <w:lang w:val="en-US"/>
        </w:rPr>
        <w:t>et al</w:t>
      </w:r>
      <w:r w:rsidR="00CF79E3" w:rsidRPr="00FB40BF">
        <w:rPr>
          <w:rFonts w:ascii="Book Antiqua" w:hAnsi="Book Antiqua" w:cstheme="minorHAnsi"/>
          <w:vertAlign w:val="superscript"/>
          <w:lang w:val="en-US"/>
        </w:rPr>
        <w:t>[16]</w:t>
      </w:r>
      <w:r w:rsidRPr="00FB40BF">
        <w:rPr>
          <w:rFonts w:ascii="Book Antiqua" w:hAnsi="Book Antiqua" w:cstheme="minorHAnsi"/>
          <w:lang w:val="en-US"/>
        </w:rPr>
        <w:t xml:space="preserve"> highlights how </w:t>
      </w:r>
      <w:r w:rsidR="0026633E" w:rsidRPr="00FB40BF">
        <w:rPr>
          <w:rFonts w:ascii="Book Antiqua" w:hAnsi="Book Antiqua" w:cstheme="minorHAnsi"/>
          <w:lang w:val="en-US"/>
        </w:rPr>
        <w:t xml:space="preserve">HBV </w:t>
      </w:r>
      <w:r w:rsidRPr="00FB40BF">
        <w:rPr>
          <w:rFonts w:ascii="Book Antiqua" w:hAnsi="Book Antiqua" w:cstheme="minorHAnsi"/>
          <w:lang w:val="en-US"/>
        </w:rPr>
        <w:t xml:space="preserve">reactivation is possible in patients undergoing treatment with Secukinumab without prophylaxis. Another </w:t>
      </w:r>
      <w:r w:rsidR="0026633E">
        <w:rPr>
          <w:rFonts w:ascii="Book Antiqua" w:hAnsi="Book Antiqua" w:cstheme="minorHAnsi"/>
          <w:lang w:val="en-US"/>
        </w:rPr>
        <w:t>multi-center</w:t>
      </w:r>
      <w:r w:rsidR="0026633E" w:rsidRPr="00FB40BF">
        <w:rPr>
          <w:rFonts w:ascii="Book Antiqua" w:hAnsi="Book Antiqua" w:cstheme="minorHAnsi"/>
          <w:lang w:val="en-US"/>
        </w:rPr>
        <w:t xml:space="preserve"> </w:t>
      </w:r>
      <w:r w:rsidRPr="00FB40BF">
        <w:rPr>
          <w:rFonts w:ascii="Book Antiqua" w:hAnsi="Book Antiqua" w:cstheme="minorHAnsi"/>
          <w:lang w:val="en-US"/>
        </w:rPr>
        <w:t xml:space="preserve">prospective cohort study by Chiu </w:t>
      </w:r>
      <w:r w:rsidRPr="00FB40BF">
        <w:rPr>
          <w:rFonts w:ascii="Book Antiqua" w:hAnsi="Book Antiqua" w:cstheme="minorHAnsi"/>
          <w:i/>
          <w:lang w:val="en-US"/>
        </w:rPr>
        <w:t>et al</w:t>
      </w:r>
      <w:r w:rsidR="000E58A1" w:rsidRPr="00FB40BF">
        <w:rPr>
          <w:rFonts w:ascii="Book Antiqua" w:hAnsi="Book Antiqua" w:cstheme="minorHAnsi"/>
          <w:vertAlign w:val="superscript"/>
          <w:lang w:val="en-US"/>
        </w:rPr>
        <w:t>[17]</w:t>
      </w:r>
      <w:r w:rsidRPr="00FB40BF">
        <w:rPr>
          <w:rFonts w:ascii="Book Antiqua" w:hAnsi="Book Antiqua" w:cstheme="minorHAnsi"/>
          <w:lang w:val="en-US"/>
        </w:rPr>
        <w:t xml:space="preserve"> (63 patients involved with concurrent HBV/</w:t>
      </w:r>
      <w:r w:rsidR="009B2691" w:rsidRPr="00FB40BF">
        <w:rPr>
          <w:rFonts w:ascii="Book Antiqua" w:hAnsi="Book Antiqua" w:cstheme="minorHAnsi"/>
          <w:lang w:val="en-US"/>
        </w:rPr>
        <w:t>hepatitis C virus</w:t>
      </w:r>
      <w:r w:rsidRPr="00FB40BF">
        <w:rPr>
          <w:rFonts w:ascii="Book Antiqua" w:hAnsi="Book Antiqua" w:cstheme="minorHAnsi"/>
          <w:lang w:val="en-US"/>
        </w:rPr>
        <w:t xml:space="preserve"> infection) showed that, without antiviral prophylaxis, 15.2% of </w:t>
      </w:r>
      <w:r w:rsidR="00457C86">
        <w:rPr>
          <w:rFonts w:ascii="Book Antiqua" w:hAnsi="Book Antiqua" w:cstheme="minorHAnsi"/>
          <w:lang w:val="en-US"/>
        </w:rPr>
        <w:t>HBV</w:t>
      </w:r>
      <w:r w:rsidR="00457C86" w:rsidRPr="00FB40BF">
        <w:rPr>
          <w:rFonts w:ascii="Book Antiqua" w:hAnsi="Book Antiqua" w:cstheme="minorHAnsi"/>
          <w:lang w:val="en-US"/>
        </w:rPr>
        <w:t xml:space="preserve"> </w:t>
      </w:r>
      <w:r w:rsidRPr="00FB40BF">
        <w:rPr>
          <w:rFonts w:ascii="Book Antiqua" w:hAnsi="Book Antiqua" w:cstheme="minorHAnsi"/>
          <w:lang w:val="en-US"/>
        </w:rPr>
        <w:t>patients treated with secukinumab exhibited viral reactivation</w:t>
      </w:r>
      <w:r w:rsidR="00401D78" w:rsidRPr="00FB40BF">
        <w:rPr>
          <w:rFonts w:ascii="Book Antiqua" w:hAnsi="Book Antiqua" w:cstheme="minorHAnsi"/>
          <w:vertAlign w:val="superscript"/>
          <w:lang w:val="en-US"/>
        </w:rPr>
        <w:t>[17]</w:t>
      </w:r>
      <w:r w:rsidRPr="00FB40BF">
        <w:rPr>
          <w:rFonts w:ascii="Book Antiqua" w:hAnsi="Book Antiqua" w:cstheme="minorHAnsi"/>
          <w:lang w:val="en-US"/>
        </w:rPr>
        <w:t xml:space="preserve">. Considering the data reported in the literature and the evidence cited above, it appears possible, albeit in very limited cases, </w:t>
      </w:r>
      <w:r w:rsidR="00457C86">
        <w:rPr>
          <w:rFonts w:ascii="Book Antiqua" w:hAnsi="Book Antiqua" w:cstheme="minorHAnsi"/>
          <w:lang w:val="en-US"/>
        </w:rPr>
        <w:t>that</w:t>
      </w:r>
      <w:r w:rsidR="00457C86" w:rsidRPr="00FB40BF">
        <w:rPr>
          <w:rFonts w:ascii="Book Antiqua" w:hAnsi="Book Antiqua" w:cstheme="minorHAnsi"/>
          <w:lang w:val="en-US"/>
        </w:rPr>
        <w:t xml:space="preserve"> B and C viruses </w:t>
      </w:r>
      <w:r w:rsidR="00457C86">
        <w:rPr>
          <w:rFonts w:ascii="Book Antiqua" w:hAnsi="Book Antiqua" w:cstheme="minorHAnsi"/>
          <w:lang w:val="en-US"/>
        </w:rPr>
        <w:t>can be</w:t>
      </w:r>
      <w:r w:rsidR="001B0E49">
        <w:rPr>
          <w:rFonts w:ascii="Book Antiqua" w:hAnsi="Book Antiqua" w:cstheme="minorHAnsi"/>
          <w:lang w:val="en-US"/>
        </w:rPr>
        <w:t xml:space="preserve"> </w:t>
      </w:r>
      <w:r w:rsidRPr="00FB40BF">
        <w:rPr>
          <w:rFonts w:ascii="Book Antiqua" w:hAnsi="Book Antiqua" w:cstheme="minorHAnsi"/>
          <w:lang w:val="en-US"/>
        </w:rPr>
        <w:t>reacti</w:t>
      </w:r>
      <w:r w:rsidR="001B0E49">
        <w:rPr>
          <w:rFonts w:ascii="Book Antiqua" w:hAnsi="Book Antiqua" w:cstheme="minorHAnsi"/>
          <w:lang w:val="en-US"/>
        </w:rPr>
        <w:t>vated</w:t>
      </w:r>
      <w:r w:rsidRPr="00FB40BF">
        <w:rPr>
          <w:rFonts w:ascii="Book Antiqua" w:hAnsi="Book Antiqua" w:cstheme="minorHAnsi"/>
          <w:lang w:val="en-US"/>
        </w:rPr>
        <w:t xml:space="preserve"> in cases of therapy with these molecules without antiviral prophylaxis</w:t>
      </w:r>
      <w:r w:rsidR="00C73BF6" w:rsidRPr="00FB40BF">
        <w:rPr>
          <w:rFonts w:ascii="Book Antiqua" w:hAnsi="Book Antiqua" w:cstheme="minorHAnsi"/>
          <w:vertAlign w:val="superscript"/>
          <w:lang w:val="en-US"/>
        </w:rPr>
        <w:t>[16]</w:t>
      </w:r>
      <w:r w:rsidRPr="00FB40BF">
        <w:rPr>
          <w:rFonts w:ascii="Book Antiqua" w:hAnsi="Book Antiqua" w:cstheme="minorHAnsi"/>
          <w:lang w:val="en-US"/>
        </w:rPr>
        <w:t xml:space="preserve">. </w:t>
      </w:r>
    </w:p>
    <w:p w14:paraId="7BF8D16F" w14:textId="614328A3" w:rsidR="00CA180F" w:rsidRPr="00FB40BF" w:rsidRDefault="00CA180F" w:rsidP="00FB40BF">
      <w:pPr>
        <w:pStyle w:val="NormalWeb"/>
        <w:spacing w:before="0" w:beforeAutospacing="0" w:after="0" w:afterAutospacing="0" w:line="360" w:lineRule="auto"/>
        <w:ind w:firstLineChars="200" w:firstLine="480"/>
        <w:jc w:val="both"/>
        <w:rPr>
          <w:rFonts w:ascii="Book Antiqua" w:hAnsi="Book Antiqua" w:cstheme="minorHAnsi"/>
          <w:lang w:val="en-US"/>
        </w:rPr>
      </w:pPr>
      <w:r w:rsidRPr="00FB40BF">
        <w:rPr>
          <w:rFonts w:ascii="Book Antiqua" w:hAnsi="Book Antiqua" w:cstheme="minorHAnsi"/>
          <w:lang w:val="en-US"/>
        </w:rPr>
        <w:t xml:space="preserve">Another drug studied for its relation to cases of HBV reactivation is Ustekinumab. It is a human interleukin-12 (IL-12) and IL-23 antagonist used in adult patients affected by plaque psoriasis, active psoriatic arthritis, and moderate-to-severe active Crohn’s disease where other therapies have failed (or in case of patients’ intolerance). </w:t>
      </w:r>
      <w:r w:rsidR="006869C8" w:rsidRPr="00FB40BF">
        <w:rPr>
          <w:rFonts w:ascii="Book Antiqua" w:hAnsi="Book Antiqua" w:cstheme="minorHAnsi"/>
          <w:lang w:val="en-US"/>
        </w:rPr>
        <w:t>S</w:t>
      </w:r>
      <w:r w:rsidR="00B32E71" w:rsidRPr="00FB40BF">
        <w:rPr>
          <w:rFonts w:ascii="Book Antiqua" w:hAnsi="Book Antiqua" w:cstheme="minorHAnsi"/>
          <w:lang w:val="en-US"/>
        </w:rPr>
        <w:t xml:space="preserve">everal studies </w:t>
      </w:r>
      <w:r w:rsidR="006869C8" w:rsidRPr="00FB40BF">
        <w:rPr>
          <w:rFonts w:ascii="Book Antiqua" w:hAnsi="Book Antiqua" w:cstheme="minorHAnsi"/>
          <w:lang w:val="en-US"/>
        </w:rPr>
        <w:t>have reported</w:t>
      </w:r>
      <w:r w:rsidRPr="00FB40BF">
        <w:rPr>
          <w:rFonts w:ascii="Book Antiqua" w:hAnsi="Book Antiqua" w:cstheme="minorHAnsi"/>
          <w:lang w:val="en-US"/>
        </w:rPr>
        <w:t xml:space="preserve"> cases of HBV reactivation in </w:t>
      </w:r>
      <w:r w:rsidR="00D50BC2" w:rsidRPr="00FB40BF">
        <w:rPr>
          <w:rFonts w:ascii="Book Antiqua" w:hAnsi="Book Antiqua" w:cstheme="minorHAnsi"/>
          <w:lang w:val="en-US"/>
        </w:rPr>
        <w:t xml:space="preserve">HBsAg-positive </w:t>
      </w:r>
      <w:r w:rsidRPr="00FB40BF">
        <w:rPr>
          <w:rFonts w:ascii="Book Antiqua" w:hAnsi="Book Antiqua" w:cstheme="minorHAnsi"/>
          <w:lang w:val="en-US"/>
        </w:rPr>
        <w:t>patients treated with ustekinumab</w:t>
      </w:r>
      <w:r w:rsidR="00102916" w:rsidRPr="00FB40BF">
        <w:rPr>
          <w:rFonts w:ascii="Book Antiqua" w:hAnsi="Book Antiqua" w:cstheme="minorHAnsi"/>
          <w:vertAlign w:val="superscript"/>
          <w:lang w:val="en-US"/>
        </w:rPr>
        <w:t>[18,19]</w:t>
      </w:r>
      <w:r w:rsidRPr="00FB40BF">
        <w:rPr>
          <w:rFonts w:ascii="Book Antiqua" w:hAnsi="Book Antiqua" w:cstheme="minorHAnsi"/>
          <w:lang w:val="en-US"/>
        </w:rPr>
        <w:t>.</w:t>
      </w:r>
    </w:p>
    <w:p w14:paraId="1387856A" w14:textId="77777777" w:rsidR="00A77B3E" w:rsidRPr="00FB40BF" w:rsidRDefault="00A77B3E" w:rsidP="00FB40BF">
      <w:pPr>
        <w:spacing w:line="360" w:lineRule="auto"/>
        <w:jc w:val="both"/>
        <w:rPr>
          <w:rFonts w:ascii="Book Antiqua" w:hAnsi="Book Antiqua"/>
        </w:rPr>
      </w:pPr>
    </w:p>
    <w:p w14:paraId="5115F12C" w14:textId="4F9248AB" w:rsidR="00A77B3E" w:rsidRPr="00FB40BF" w:rsidRDefault="00E50F15" w:rsidP="00FB40BF">
      <w:pPr>
        <w:spacing w:line="360" w:lineRule="auto"/>
        <w:jc w:val="both"/>
        <w:rPr>
          <w:rFonts w:ascii="Book Antiqua" w:hAnsi="Book Antiqua"/>
          <w:u w:val="single"/>
        </w:rPr>
      </w:pPr>
      <w:r w:rsidRPr="00FB40BF">
        <w:rPr>
          <w:rFonts w:ascii="Book Antiqua" w:eastAsia="Book Antiqua" w:hAnsi="Book Antiqua" w:cs="Book Antiqua"/>
          <w:b/>
          <w:bCs/>
          <w:caps/>
          <w:color w:val="000000"/>
          <w:u w:val="single"/>
        </w:rPr>
        <w:t>Screening, prophylaxis</w:t>
      </w:r>
      <w:r w:rsidR="00D50BC2" w:rsidRPr="00FB40BF">
        <w:rPr>
          <w:rFonts w:ascii="Book Antiqua" w:eastAsia="Book Antiqua" w:hAnsi="Book Antiqua" w:cs="Book Antiqua"/>
          <w:b/>
          <w:bCs/>
          <w:caps/>
          <w:color w:val="000000"/>
          <w:u w:val="single"/>
        </w:rPr>
        <w:t>,</w:t>
      </w:r>
      <w:r w:rsidRPr="00FB40BF">
        <w:rPr>
          <w:rFonts w:ascii="Book Antiqua" w:eastAsia="Book Antiqua" w:hAnsi="Book Antiqua" w:cs="Book Antiqua"/>
          <w:b/>
          <w:bCs/>
          <w:caps/>
          <w:color w:val="000000"/>
          <w:u w:val="single"/>
        </w:rPr>
        <w:t xml:space="preserve"> and treatment </w:t>
      </w:r>
    </w:p>
    <w:p w14:paraId="51D211A1" w14:textId="3692A35F" w:rsidR="00C072A6" w:rsidRPr="00FB40BF" w:rsidRDefault="00CA180F" w:rsidP="00FB40BF">
      <w:pPr>
        <w:pStyle w:val="NormalWeb"/>
        <w:spacing w:before="0" w:beforeAutospacing="0" w:after="0" w:afterAutospacing="0" w:line="360" w:lineRule="auto"/>
        <w:jc w:val="both"/>
        <w:rPr>
          <w:rFonts w:ascii="Book Antiqua" w:hAnsi="Book Antiqua" w:cstheme="minorHAnsi"/>
          <w:lang w:val="en-US"/>
        </w:rPr>
      </w:pPr>
      <w:r w:rsidRPr="00FB40BF">
        <w:rPr>
          <w:rFonts w:ascii="Book Antiqua" w:hAnsi="Book Antiqua" w:cstheme="minorHAnsi"/>
          <w:lang w:val="en-US"/>
        </w:rPr>
        <w:t xml:space="preserve">The current approach, according to the indications of the most recent guidelines, </w:t>
      </w:r>
      <w:r w:rsidR="00634D1B">
        <w:rPr>
          <w:rFonts w:ascii="Book Antiqua" w:hAnsi="Book Antiqua" w:cstheme="minorHAnsi"/>
          <w:lang w:val="en-US"/>
        </w:rPr>
        <w:t>suggests</w:t>
      </w:r>
      <w:r w:rsidR="00634D1B" w:rsidRPr="00FB40BF">
        <w:rPr>
          <w:rFonts w:ascii="Book Antiqua" w:hAnsi="Book Antiqua" w:cstheme="minorHAnsi"/>
          <w:lang w:val="en-US"/>
        </w:rPr>
        <w:t xml:space="preserve"> </w:t>
      </w:r>
      <w:r w:rsidRPr="00FB40BF">
        <w:rPr>
          <w:rFonts w:ascii="Book Antiqua" w:hAnsi="Book Antiqua" w:cstheme="minorHAnsi"/>
          <w:lang w:val="en-US"/>
        </w:rPr>
        <w:t>that all patients undergoing treatment with drugs at high and moderate risk of HBV reactivation should be subjected to screening (serum evaluation of HBsAg, anti-HBc, and anti-HBs)</w:t>
      </w:r>
      <w:r w:rsidR="002E39C6" w:rsidRPr="00FB40BF">
        <w:rPr>
          <w:rFonts w:ascii="Book Antiqua" w:hAnsi="Book Antiqua" w:cstheme="minorHAnsi"/>
          <w:vertAlign w:val="superscript"/>
          <w:lang w:val="en-US"/>
        </w:rPr>
        <w:t>[6]</w:t>
      </w:r>
      <w:r w:rsidRPr="00FB40BF">
        <w:rPr>
          <w:rFonts w:ascii="Book Antiqua" w:hAnsi="Book Antiqua" w:cstheme="minorHAnsi"/>
          <w:lang w:val="en-US"/>
        </w:rPr>
        <w:t xml:space="preserve">. </w:t>
      </w:r>
      <w:r w:rsidR="003F041E">
        <w:rPr>
          <w:rFonts w:ascii="Book Antiqua" w:hAnsi="Book Antiqua" w:cstheme="minorHAnsi"/>
          <w:lang w:val="en-US"/>
        </w:rPr>
        <w:t>For</w:t>
      </w:r>
      <w:r w:rsidRPr="00FB40BF">
        <w:rPr>
          <w:rFonts w:ascii="Book Antiqua" w:hAnsi="Book Antiqua" w:cstheme="minorHAnsi"/>
          <w:lang w:val="en-US"/>
        </w:rPr>
        <w:t xml:space="preserve"> a </w:t>
      </w:r>
      <w:r w:rsidR="003F041E">
        <w:rPr>
          <w:rFonts w:ascii="Book Antiqua" w:hAnsi="Book Antiqua" w:cstheme="minorHAnsi"/>
          <w:lang w:val="en-US"/>
        </w:rPr>
        <w:t>more complete</w:t>
      </w:r>
      <w:r w:rsidR="003F041E" w:rsidRPr="00FB40BF">
        <w:rPr>
          <w:rFonts w:ascii="Book Antiqua" w:hAnsi="Book Antiqua" w:cstheme="minorHAnsi"/>
          <w:lang w:val="en-US"/>
        </w:rPr>
        <w:t xml:space="preserve"> </w:t>
      </w:r>
      <w:r w:rsidRPr="00FB40BF">
        <w:rPr>
          <w:rFonts w:ascii="Book Antiqua" w:hAnsi="Book Antiqua" w:cstheme="minorHAnsi"/>
          <w:lang w:val="en-US"/>
        </w:rPr>
        <w:t>screening, blood levels of HBeAg, HBV DNA, and aminotransferase should also be evaluated. According to the main guidelines, treatment must be based on two parameters, the levels of aminotransferase and HBV DNA in the serum (&gt; 2000 IU per milliliter), as well as the severity of the liver disease</w:t>
      </w:r>
      <w:r w:rsidR="00C072A6" w:rsidRPr="00FB40BF">
        <w:rPr>
          <w:rFonts w:ascii="Book Antiqua" w:hAnsi="Book Antiqua" w:cstheme="minorHAnsi"/>
          <w:vertAlign w:val="superscript"/>
          <w:lang w:val="en-US"/>
        </w:rPr>
        <w:t>[5,20]</w:t>
      </w:r>
      <w:r w:rsidRPr="00FB40BF">
        <w:rPr>
          <w:rFonts w:ascii="Book Antiqua" w:hAnsi="Book Antiqua" w:cstheme="minorHAnsi"/>
          <w:lang w:val="en-US"/>
        </w:rPr>
        <w:t>.</w:t>
      </w:r>
    </w:p>
    <w:p w14:paraId="02FB35DE" w14:textId="32925751" w:rsidR="00CA180F" w:rsidRPr="00FB40BF" w:rsidRDefault="00D50BC2" w:rsidP="00FB40BF">
      <w:pPr>
        <w:pStyle w:val="NormalWeb"/>
        <w:spacing w:before="0" w:beforeAutospacing="0" w:after="0" w:afterAutospacing="0" w:line="360" w:lineRule="auto"/>
        <w:ind w:firstLineChars="200" w:firstLine="480"/>
        <w:jc w:val="both"/>
        <w:rPr>
          <w:rFonts w:ascii="Book Antiqua" w:hAnsi="Book Antiqua" w:cstheme="minorHAnsi"/>
          <w:lang w:val="en-US"/>
        </w:rPr>
      </w:pPr>
      <w:r w:rsidRPr="00FB40BF">
        <w:rPr>
          <w:rFonts w:ascii="Book Antiqua" w:hAnsi="Book Antiqua" w:cstheme="minorHAnsi"/>
          <w:lang w:val="en-US"/>
        </w:rPr>
        <w:t xml:space="preserve">Treatments </w:t>
      </w:r>
      <w:r w:rsidR="00CA180F" w:rsidRPr="00FB40BF">
        <w:rPr>
          <w:rFonts w:ascii="Book Antiqua" w:hAnsi="Book Antiqua" w:cstheme="minorHAnsi"/>
          <w:lang w:val="en-US"/>
        </w:rPr>
        <w:t>with nucleoside analogue drugs such as entecavir or tenofovir are recommended in cases of chronic infection complicated by cirrhosis associated</w:t>
      </w:r>
      <w:r w:rsidRPr="00FB40BF">
        <w:rPr>
          <w:rFonts w:ascii="Book Antiqua" w:hAnsi="Book Antiqua" w:cstheme="minorHAnsi"/>
          <w:lang w:val="en-US"/>
        </w:rPr>
        <w:t xml:space="preserve"> with the</w:t>
      </w:r>
      <w:r w:rsidR="00CA180F" w:rsidRPr="00FB40BF">
        <w:rPr>
          <w:rFonts w:ascii="Book Antiqua" w:hAnsi="Book Antiqua" w:cstheme="minorHAnsi"/>
          <w:lang w:val="en-US"/>
        </w:rPr>
        <w:t xml:space="preserve"> presence of HBV DNA in the blood</w:t>
      </w:r>
      <w:r w:rsidR="00C072A6" w:rsidRPr="00FB40BF">
        <w:rPr>
          <w:rFonts w:ascii="Book Antiqua" w:hAnsi="Book Antiqua" w:cstheme="minorHAnsi"/>
          <w:vertAlign w:val="superscript"/>
          <w:lang w:val="en-US"/>
        </w:rPr>
        <w:t>[14]</w:t>
      </w:r>
      <w:r w:rsidR="00CA180F" w:rsidRPr="00FB40BF">
        <w:rPr>
          <w:rFonts w:ascii="Book Antiqua" w:hAnsi="Book Antiqua" w:cstheme="minorHAnsi"/>
          <w:lang w:val="en-US"/>
        </w:rPr>
        <w:t xml:space="preserve">. Lamivudine </w:t>
      </w:r>
      <w:r w:rsidR="00096A5C">
        <w:rPr>
          <w:rFonts w:ascii="Book Antiqua" w:hAnsi="Book Antiqua" w:cstheme="minorHAnsi"/>
          <w:lang w:val="en-US"/>
        </w:rPr>
        <w:t>can</w:t>
      </w:r>
      <w:r w:rsidR="00096A5C" w:rsidRPr="00FB40BF">
        <w:rPr>
          <w:rFonts w:ascii="Book Antiqua" w:hAnsi="Book Antiqua" w:cstheme="minorHAnsi"/>
          <w:lang w:val="en-US"/>
        </w:rPr>
        <w:t xml:space="preserve"> </w:t>
      </w:r>
      <w:r w:rsidR="00CA180F" w:rsidRPr="00FB40BF">
        <w:rPr>
          <w:rFonts w:ascii="Book Antiqua" w:hAnsi="Book Antiqua" w:cstheme="minorHAnsi"/>
          <w:lang w:val="en-US"/>
        </w:rPr>
        <w:t xml:space="preserve">also be used in these cases but is burdened by high rates of drug resistance. For this reason, the use of entecavir and tenofovir should be preferred in cases where therapy with lamivudine has already been </w:t>
      </w:r>
      <w:r w:rsidR="00CA180F" w:rsidRPr="00FB40BF">
        <w:rPr>
          <w:rFonts w:ascii="Book Antiqua" w:hAnsi="Book Antiqua" w:cstheme="minorHAnsi"/>
          <w:lang w:val="en-US"/>
        </w:rPr>
        <w:lastRenderedPageBreak/>
        <w:t xml:space="preserve">carried out, and tenofovir is to be preferred to entecavir, as explained by </w:t>
      </w:r>
      <w:r w:rsidR="00CB4DB2" w:rsidRPr="00FB40BF">
        <w:rPr>
          <w:rFonts w:ascii="Book Antiqua" w:hAnsi="Book Antiqua" w:cstheme="minorHAnsi"/>
          <w:lang w:val="en-US"/>
        </w:rPr>
        <w:t xml:space="preserve">Ekpanyapong </w:t>
      </w:r>
      <w:r w:rsidR="00CA180F" w:rsidRPr="00FB40BF">
        <w:rPr>
          <w:rFonts w:ascii="Book Antiqua" w:hAnsi="Book Antiqua" w:cstheme="minorHAnsi"/>
          <w:i/>
          <w:lang w:val="en-US"/>
        </w:rPr>
        <w:t>et al</w:t>
      </w:r>
      <w:r w:rsidR="007A1110" w:rsidRPr="00FB40BF">
        <w:rPr>
          <w:rFonts w:ascii="Book Antiqua" w:hAnsi="Book Antiqua" w:cstheme="minorHAnsi"/>
          <w:vertAlign w:val="superscript"/>
          <w:lang w:val="en-US"/>
        </w:rPr>
        <w:t>[21]</w:t>
      </w:r>
      <w:r w:rsidR="00CA180F" w:rsidRPr="00FB40BF">
        <w:rPr>
          <w:rFonts w:ascii="Book Antiqua" w:hAnsi="Book Antiqua" w:cstheme="minorHAnsi"/>
          <w:lang w:val="en-US"/>
        </w:rPr>
        <w:t>.</w:t>
      </w:r>
    </w:p>
    <w:p w14:paraId="7A4E3A18" w14:textId="547F8A94" w:rsidR="00CA180F" w:rsidRPr="00FB40BF" w:rsidRDefault="00096A5C" w:rsidP="00FB40BF">
      <w:pPr>
        <w:pStyle w:val="NormalWeb"/>
        <w:spacing w:before="0" w:beforeAutospacing="0" w:after="0" w:afterAutospacing="0" w:line="360" w:lineRule="auto"/>
        <w:ind w:firstLineChars="200" w:firstLine="480"/>
        <w:jc w:val="both"/>
        <w:rPr>
          <w:rFonts w:ascii="Book Antiqua" w:hAnsi="Book Antiqua" w:cstheme="minorHAnsi"/>
          <w:lang w:val="en-US"/>
        </w:rPr>
      </w:pPr>
      <w:r>
        <w:rPr>
          <w:rFonts w:ascii="Book Antiqua" w:hAnsi="Book Antiqua" w:cstheme="minorHAnsi"/>
          <w:lang w:val="en-US"/>
        </w:rPr>
        <w:t>It is</w:t>
      </w:r>
      <w:r w:rsidR="00CA180F" w:rsidRPr="00FB40BF">
        <w:rPr>
          <w:rFonts w:ascii="Book Antiqua" w:hAnsi="Book Antiqua" w:cstheme="minorHAnsi"/>
          <w:lang w:val="en-US"/>
        </w:rPr>
        <w:t xml:space="preserve"> good practice to test all patients before starting immunosuppressive treatments. If serological </w:t>
      </w:r>
      <w:r w:rsidRPr="00FB40BF">
        <w:rPr>
          <w:rFonts w:ascii="Book Antiqua" w:hAnsi="Book Antiqua" w:cstheme="minorHAnsi"/>
          <w:lang w:val="en-US"/>
        </w:rPr>
        <w:t xml:space="preserve">HBV </w:t>
      </w:r>
      <w:r w:rsidR="00CA180F" w:rsidRPr="00FB40BF">
        <w:rPr>
          <w:rFonts w:ascii="Book Antiqua" w:hAnsi="Book Antiqua" w:cstheme="minorHAnsi"/>
          <w:lang w:val="en-US"/>
        </w:rPr>
        <w:t>positivity is found, patients at high</w:t>
      </w:r>
      <w:r w:rsidRPr="00096A5C">
        <w:rPr>
          <w:rFonts w:ascii="Book Antiqua" w:hAnsi="Book Antiqua" w:cstheme="minorHAnsi"/>
          <w:lang w:val="en-US"/>
        </w:rPr>
        <w:t xml:space="preserve"> </w:t>
      </w:r>
      <w:r w:rsidRPr="00FB40BF">
        <w:rPr>
          <w:rFonts w:ascii="Book Antiqua" w:hAnsi="Book Antiqua" w:cstheme="minorHAnsi"/>
          <w:lang w:val="en-US"/>
        </w:rPr>
        <w:t>reactivation</w:t>
      </w:r>
      <w:r w:rsidR="00CA180F" w:rsidRPr="00FB40BF">
        <w:rPr>
          <w:rFonts w:ascii="Book Antiqua" w:hAnsi="Book Antiqua" w:cstheme="minorHAnsi"/>
          <w:lang w:val="en-US"/>
        </w:rPr>
        <w:t xml:space="preserve"> risk should undergo prophylactic treatment with anti-HBV nucleoside analogues. This approach saw the greatest chance of </w:t>
      </w:r>
      <w:r w:rsidR="00957A34">
        <w:rPr>
          <w:rFonts w:ascii="Book Antiqua" w:hAnsi="Book Antiqua" w:cstheme="minorHAnsi"/>
          <w:lang w:val="en-US"/>
        </w:rPr>
        <w:t>preventing</w:t>
      </w:r>
      <w:r w:rsidR="00957A34" w:rsidRPr="00FB40BF">
        <w:rPr>
          <w:rFonts w:ascii="Book Antiqua" w:hAnsi="Book Antiqua" w:cstheme="minorHAnsi"/>
          <w:lang w:val="en-US"/>
        </w:rPr>
        <w:t xml:space="preserve"> </w:t>
      </w:r>
      <w:r w:rsidR="00957A34">
        <w:rPr>
          <w:rFonts w:ascii="Book Antiqua" w:hAnsi="Book Antiqua" w:cstheme="minorHAnsi"/>
          <w:lang w:val="en-US"/>
        </w:rPr>
        <w:t>viral</w:t>
      </w:r>
      <w:r w:rsidR="00957A34" w:rsidRPr="00FB40BF">
        <w:rPr>
          <w:rFonts w:ascii="Book Antiqua" w:hAnsi="Book Antiqua" w:cstheme="minorHAnsi"/>
          <w:lang w:val="en-US"/>
        </w:rPr>
        <w:t xml:space="preserve"> </w:t>
      </w:r>
      <w:r w:rsidR="00CA180F" w:rsidRPr="00FB40BF">
        <w:rPr>
          <w:rFonts w:ascii="Book Antiqua" w:hAnsi="Book Antiqua" w:cstheme="minorHAnsi"/>
          <w:lang w:val="en-US"/>
        </w:rPr>
        <w:t>reactivation</w:t>
      </w:r>
      <w:r w:rsidR="007A1110" w:rsidRPr="00FB40BF">
        <w:rPr>
          <w:rFonts w:ascii="Book Antiqua" w:hAnsi="Book Antiqua" w:cstheme="minorHAnsi"/>
          <w:vertAlign w:val="superscript"/>
          <w:lang w:val="en-US"/>
        </w:rPr>
        <w:t>[4]</w:t>
      </w:r>
      <w:r w:rsidR="00CA180F" w:rsidRPr="00FB40BF">
        <w:rPr>
          <w:rFonts w:ascii="Book Antiqua" w:hAnsi="Book Antiqua" w:cstheme="minorHAnsi"/>
          <w:lang w:val="en-US"/>
        </w:rPr>
        <w:t>. For example, the American Gastroenterological Association recommends prophylaxis for patients undergoing high-risk and moderate-risk immunosuppressive therapy. This prophylactic treatment should be continued for at least 6 mo after the end of immunosuppressive therapy (12 mo if B-cell-depleting agents were used)</w:t>
      </w:r>
      <w:r w:rsidR="008C1794" w:rsidRPr="00FB40BF">
        <w:rPr>
          <w:rFonts w:ascii="Book Antiqua" w:hAnsi="Book Antiqua" w:cstheme="minorHAnsi"/>
          <w:vertAlign w:val="superscript"/>
          <w:lang w:val="en-US"/>
        </w:rPr>
        <w:t>[9]</w:t>
      </w:r>
      <w:r w:rsidR="00CA180F" w:rsidRPr="00FB40BF">
        <w:rPr>
          <w:rFonts w:ascii="Book Antiqua" w:hAnsi="Book Antiqua" w:cstheme="minorHAnsi"/>
          <w:lang w:val="en-US"/>
        </w:rPr>
        <w:t xml:space="preserve">. </w:t>
      </w:r>
    </w:p>
    <w:p w14:paraId="2617B09F" w14:textId="70B5F656" w:rsidR="00CA180F" w:rsidRPr="00FB40BF" w:rsidRDefault="007C4409" w:rsidP="00FB40BF">
      <w:pPr>
        <w:pStyle w:val="NormalWeb"/>
        <w:spacing w:before="0" w:beforeAutospacing="0" w:after="0" w:afterAutospacing="0" w:line="360" w:lineRule="auto"/>
        <w:ind w:firstLineChars="200" w:firstLine="480"/>
        <w:jc w:val="both"/>
        <w:rPr>
          <w:rFonts w:ascii="Book Antiqua" w:hAnsi="Book Antiqua" w:cstheme="minorHAnsi"/>
          <w:lang w:val="en-US"/>
        </w:rPr>
      </w:pPr>
      <w:r>
        <w:rPr>
          <w:rFonts w:ascii="Book Antiqua" w:hAnsi="Book Antiqua" w:cstheme="minorHAnsi"/>
          <w:lang w:val="en-US"/>
        </w:rPr>
        <w:t>There</w:t>
      </w:r>
      <w:r w:rsidR="00CA180F" w:rsidRPr="00FB40BF">
        <w:rPr>
          <w:rFonts w:ascii="Book Antiqua" w:hAnsi="Book Antiqua" w:cstheme="minorHAnsi"/>
          <w:lang w:val="en-US"/>
        </w:rPr>
        <w:t xml:space="preserve"> are </w:t>
      </w:r>
      <w:r>
        <w:rPr>
          <w:rFonts w:ascii="Book Antiqua" w:hAnsi="Book Antiqua" w:cstheme="minorHAnsi"/>
          <w:lang w:val="en-US"/>
        </w:rPr>
        <w:t xml:space="preserve">currently </w:t>
      </w:r>
      <w:r w:rsidR="00CA180F" w:rsidRPr="00FB40BF">
        <w:rPr>
          <w:rFonts w:ascii="Book Antiqua" w:hAnsi="Book Antiqua" w:cstheme="minorHAnsi"/>
          <w:lang w:val="en-US"/>
        </w:rPr>
        <w:t xml:space="preserve">several prophylaxis protocols studied and available. The most </w:t>
      </w:r>
      <w:r w:rsidR="00F57A0A">
        <w:rPr>
          <w:rFonts w:ascii="Book Antiqua" w:hAnsi="Book Antiqua" w:cstheme="minorHAnsi"/>
          <w:lang w:val="en-US"/>
        </w:rPr>
        <w:t xml:space="preserve">frequently </w:t>
      </w:r>
      <w:r w:rsidR="00CA180F" w:rsidRPr="00FB40BF">
        <w:rPr>
          <w:rFonts w:ascii="Book Antiqua" w:hAnsi="Book Antiqua" w:cstheme="minorHAnsi"/>
          <w:lang w:val="en-US"/>
        </w:rPr>
        <w:t xml:space="preserve">used drugs are lamivudine, entecavir, adefovir, tenofovir disoproxil fumarate, and tenofovir alafenamide. All have demonstrated usefulness in preventing </w:t>
      </w:r>
      <w:r w:rsidR="00F57A0A" w:rsidRPr="00FB40BF">
        <w:rPr>
          <w:rFonts w:ascii="Book Antiqua" w:hAnsi="Book Antiqua" w:cstheme="minorHAnsi"/>
          <w:lang w:val="en-US"/>
        </w:rPr>
        <w:t>HBV</w:t>
      </w:r>
      <w:r w:rsidR="00F57A0A" w:rsidRPr="00FB40BF" w:rsidDel="00F57A0A">
        <w:rPr>
          <w:rFonts w:ascii="Book Antiqua" w:hAnsi="Book Antiqua" w:cstheme="minorHAnsi"/>
          <w:lang w:val="en-US"/>
        </w:rPr>
        <w:t xml:space="preserve"> </w:t>
      </w:r>
      <w:r w:rsidR="00CA180F" w:rsidRPr="00FB40BF">
        <w:rPr>
          <w:rFonts w:ascii="Book Antiqua" w:hAnsi="Book Antiqua" w:cstheme="minorHAnsi"/>
          <w:lang w:val="en-US"/>
        </w:rPr>
        <w:t xml:space="preserve">reactivation, but </w:t>
      </w:r>
      <w:r w:rsidR="00A97ADE" w:rsidRPr="00FB40BF">
        <w:rPr>
          <w:rFonts w:ascii="Book Antiqua" w:hAnsi="Book Antiqua" w:cstheme="minorHAnsi"/>
          <w:lang w:val="en-US"/>
        </w:rPr>
        <w:t xml:space="preserve">entecavir </w:t>
      </w:r>
      <w:r w:rsidR="00A97ADE">
        <w:rPr>
          <w:rFonts w:ascii="Book Antiqua" w:hAnsi="Book Antiqua" w:cstheme="minorHAnsi"/>
          <w:lang w:val="en-US"/>
        </w:rPr>
        <w:t>has demonstrated the</w:t>
      </w:r>
      <w:r w:rsidR="00CA180F" w:rsidRPr="00FB40BF">
        <w:rPr>
          <w:rFonts w:ascii="Book Antiqua" w:hAnsi="Book Antiqua" w:cstheme="minorHAnsi"/>
          <w:lang w:val="en-US"/>
        </w:rPr>
        <w:t xml:space="preserve"> greate</w:t>
      </w:r>
      <w:r w:rsidR="00A97ADE">
        <w:rPr>
          <w:rFonts w:ascii="Book Antiqua" w:hAnsi="Book Antiqua" w:cstheme="minorHAnsi"/>
          <w:lang w:val="en-US"/>
        </w:rPr>
        <w:t>st</w:t>
      </w:r>
      <w:r w:rsidR="00CA180F" w:rsidRPr="00FB40BF">
        <w:rPr>
          <w:rFonts w:ascii="Book Antiqua" w:hAnsi="Book Antiqua" w:cstheme="minorHAnsi"/>
          <w:lang w:val="en-US"/>
        </w:rPr>
        <w:t xml:space="preserve"> efficacy </w:t>
      </w:r>
      <w:r w:rsidR="00A97ADE">
        <w:rPr>
          <w:rFonts w:ascii="Book Antiqua" w:hAnsi="Book Antiqua" w:cstheme="minorHAnsi"/>
          <w:lang w:val="en-US"/>
        </w:rPr>
        <w:t>in</w:t>
      </w:r>
      <w:r w:rsidR="00CA180F" w:rsidRPr="00FB40BF">
        <w:rPr>
          <w:rFonts w:ascii="Book Antiqua" w:hAnsi="Book Antiqua" w:cstheme="minorHAnsi"/>
          <w:lang w:val="en-US"/>
        </w:rPr>
        <w:t xml:space="preserve"> prophylactic treatment</w:t>
      </w:r>
      <w:r w:rsidR="007D0702" w:rsidRPr="00FB40BF">
        <w:rPr>
          <w:rFonts w:ascii="Book Antiqua" w:hAnsi="Book Antiqua" w:cstheme="minorHAnsi"/>
          <w:vertAlign w:val="superscript"/>
          <w:lang w:val="en-US"/>
        </w:rPr>
        <w:t>[4]</w:t>
      </w:r>
      <w:r w:rsidR="00CA180F" w:rsidRPr="00FB40BF">
        <w:rPr>
          <w:rFonts w:ascii="Book Antiqua" w:hAnsi="Book Antiqua" w:cstheme="minorHAnsi"/>
          <w:lang w:val="en-US"/>
        </w:rPr>
        <w:t>.</w:t>
      </w:r>
    </w:p>
    <w:p w14:paraId="5CDF334C" w14:textId="21147022" w:rsidR="0077185C" w:rsidRPr="00FB40BF" w:rsidRDefault="0077185C" w:rsidP="00FB40BF">
      <w:pPr>
        <w:pStyle w:val="NormalWeb"/>
        <w:spacing w:before="0" w:beforeAutospacing="0" w:after="0" w:afterAutospacing="0" w:line="360" w:lineRule="auto"/>
        <w:ind w:firstLineChars="200" w:firstLine="480"/>
        <w:jc w:val="both"/>
        <w:rPr>
          <w:rFonts w:ascii="Book Antiqua" w:hAnsi="Book Antiqua" w:cstheme="minorHAnsi"/>
          <w:lang w:val="en-US"/>
        </w:rPr>
      </w:pPr>
      <w:r w:rsidRPr="00FB40BF">
        <w:rPr>
          <w:rFonts w:ascii="Book Antiqua" w:hAnsi="Book Antiqua" w:cstheme="minorHAnsi"/>
          <w:lang w:val="en-US"/>
        </w:rPr>
        <w:t xml:space="preserve">Future and ongoing research on </w:t>
      </w:r>
      <w:r w:rsidR="00A97ADE" w:rsidRPr="00FB40BF">
        <w:rPr>
          <w:rFonts w:ascii="Book Antiqua" w:hAnsi="Book Antiqua" w:cstheme="minorHAnsi"/>
          <w:lang w:val="en-US"/>
        </w:rPr>
        <w:t xml:space="preserve">HBV </w:t>
      </w:r>
      <w:r w:rsidRPr="00FB40BF">
        <w:rPr>
          <w:rFonts w:ascii="Book Antiqua" w:hAnsi="Book Antiqua" w:cstheme="minorHAnsi"/>
          <w:lang w:val="en-US"/>
        </w:rPr>
        <w:t xml:space="preserve">reactivation must evaluate the complexity of this illness. The risk of HBV reactivation can be associated with immunosuppressive therapy and reactivation. These drugs include those used to treat autoimmune illnesses, organ transplants, and specific types of cancer. Research </w:t>
      </w:r>
      <w:r w:rsidR="005A39F2">
        <w:rPr>
          <w:rFonts w:ascii="Book Antiqua" w:hAnsi="Book Antiqua" w:cstheme="minorHAnsi"/>
          <w:lang w:val="en-US"/>
        </w:rPr>
        <w:t>should examine how</w:t>
      </w:r>
      <w:r w:rsidRPr="00FB40BF">
        <w:rPr>
          <w:rFonts w:ascii="Book Antiqua" w:hAnsi="Book Antiqua" w:cstheme="minorHAnsi"/>
          <w:lang w:val="en-US"/>
        </w:rPr>
        <w:t xml:space="preserve"> these treatments impact the host immune system and help latent HBV reactivate. Molecular processes and viral components may also significant</w:t>
      </w:r>
      <w:r w:rsidR="0076450D">
        <w:rPr>
          <w:rFonts w:ascii="Book Antiqua" w:hAnsi="Book Antiqua" w:cstheme="minorHAnsi"/>
          <w:lang w:val="en-US"/>
        </w:rPr>
        <w:t>ly contribute</w:t>
      </w:r>
      <w:r w:rsidRPr="00FB40BF">
        <w:rPr>
          <w:rFonts w:ascii="Book Antiqua" w:hAnsi="Book Antiqua" w:cstheme="minorHAnsi"/>
          <w:lang w:val="en-US"/>
        </w:rPr>
        <w:t>. One of the main areas of research is understanding the molecular processes of HBV reactivation. This entails investigating how the virus endures in the liver and how certain circumstances can cause reactivat</w:t>
      </w:r>
      <w:r w:rsidR="0076450D">
        <w:rPr>
          <w:rFonts w:ascii="Book Antiqua" w:hAnsi="Book Antiqua" w:cstheme="minorHAnsi"/>
          <w:lang w:val="en-US"/>
        </w:rPr>
        <w:t>ion</w:t>
      </w:r>
      <w:r w:rsidRPr="00FB40BF">
        <w:rPr>
          <w:rFonts w:ascii="Book Antiqua" w:hAnsi="Book Antiqua" w:cstheme="minorHAnsi"/>
          <w:lang w:val="en-US"/>
        </w:rPr>
        <w:t>.</w:t>
      </w:r>
    </w:p>
    <w:p w14:paraId="0BB030FD" w14:textId="206DD5EE" w:rsidR="0077185C" w:rsidRPr="00FB40BF" w:rsidRDefault="0077185C" w:rsidP="00CA575F">
      <w:pPr>
        <w:pStyle w:val="NormalWeb"/>
        <w:spacing w:before="0" w:beforeAutospacing="0" w:after="0" w:afterAutospacing="0" w:line="360" w:lineRule="auto"/>
        <w:ind w:firstLineChars="200" w:firstLine="480"/>
        <w:jc w:val="both"/>
        <w:rPr>
          <w:rFonts w:ascii="Book Antiqua" w:hAnsi="Book Antiqua" w:cstheme="minorHAnsi"/>
          <w:lang w:val="en-US"/>
        </w:rPr>
      </w:pPr>
      <w:r w:rsidRPr="00FB40BF">
        <w:rPr>
          <w:rFonts w:ascii="Book Antiqua" w:hAnsi="Book Antiqua" w:cstheme="minorHAnsi"/>
          <w:lang w:val="en-US"/>
        </w:rPr>
        <w:t xml:space="preserve">Innovative studies might concentrate on factors related to viruses, </w:t>
      </w:r>
      <w:r w:rsidR="001179EA">
        <w:rPr>
          <w:rFonts w:ascii="Book Antiqua" w:hAnsi="Book Antiqua" w:cstheme="minorHAnsi"/>
          <w:lang w:val="en-US"/>
        </w:rPr>
        <w:t>including</w:t>
      </w:r>
      <w:r w:rsidR="001179EA" w:rsidRPr="00FB40BF">
        <w:rPr>
          <w:rFonts w:ascii="Book Antiqua" w:hAnsi="Book Antiqua" w:cstheme="minorHAnsi"/>
          <w:lang w:val="en-US"/>
        </w:rPr>
        <w:t xml:space="preserve"> </w:t>
      </w:r>
      <w:r w:rsidRPr="00FB40BF">
        <w:rPr>
          <w:rFonts w:ascii="Book Antiqua" w:hAnsi="Book Antiqua" w:cstheme="minorHAnsi"/>
          <w:lang w:val="en-US"/>
        </w:rPr>
        <w:t xml:space="preserve">modifications in </w:t>
      </w:r>
      <w:r w:rsidR="001179EA" w:rsidRPr="00FB40BF">
        <w:rPr>
          <w:rFonts w:ascii="Book Antiqua" w:hAnsi="Book Antiqua" w:cstheme="minorHAnsi"/>
          <w:lang w:val="en-US"/>
        </w:rPr>
        <w:t>viral gene</w:t>
      </w:r>
      <w:r w:rsidR="001179EA" w:rsidRPr="00FB40BF" w:rsidDel="001179EA">
        <w:rPr>
          <w:rFonts w:ascii="Book Antiqua" w:hAnsi="Book Antiqua" w:cstheme="minorHAnsi"/>
          <w:lang w:val="en-US"/>
        </w:rPr>
        <w:t xml:space="preserve"> </w:t>
      </w:r>
      <w:r w:rsidRPr="00FB40BF">
        <w:rPr>
          <w:rFonts w:ascii="Book Antiqua" w:hAnsi="Book Antiqua" w:cstheme="minorHAnsi"/>
          <w:lang w:val="en-US"/>
        </w:rPr>
        <w:t>expression, mutations, or adjustments in the</w:t>
      </w:r>
      <w:r w:rsidR="001179EA">
        <w:rPr>
          <w:rFonts w:ascii="Book Antiqua" w:hAnsi="Book Antiqua" w:cstheme="minorHAnsi"/>
          <w:lang w:val="en-US"/>
        </w:rPr>
        <w:t xml:space="preserve"> viral</w:t>
      </w:r>
      <w:r w:rsidRPr="00FB40BF">
        <w:rPr>
          <w:rFonts w:ascii="Book Antiqua" w:hAnsi="Book Antiqua" w:cstheme="minorHAnsi"/>
          <w:lang w:val="en-US"/>
        </w:rPr>
        <w:t xml:space="preserve"> life cycle that support reactivation. Genetic predisposition and host variables may also be significant. Studies may look at host variables that make people more vulnerable to HBV reactivation. This includes genetic variants that could impact the virus's ability to withstand immunological responses or maintain viral latency. Predicting which </w:t>
      </w:r>
      <w:r w:rsidRPr="00FB40BF">
        <w:rPr>
          <w:rFonts w:ascii="Book Antiqua" w:hAnsi="Book Antiqua" w:cstheme="minorHAnsi"/>
          <w:lang w:val="en-US"/>
        </w:rPr>
        <w:lastRenderedPageBreak/>
        <w:t xml:space="preserve">individuals are more likely to experience reactivation can be aided by identifying particular host variables. Antiviral prophylaxis, timing of therapies, and monitoring techniques are all part of clinical care and prevention. There is also </w:t>
      </w:r>
      <w:r w:rsidR="004B66D4">
        <w:rPr>
          <w:rFonts w:ascii="Book Antiqua" w:hAnsi="Book Antiqua" w:cstheme="minorHAnsi"/>
          <w:lang w:val="en-US"/>
        </w:rPr>
        <w:t>ongoing</w:t>
      </w:r>
      <w:r w:rsidR="004B66D4" w:rsidRPr="00FB40BF">
        <w:rPr>
          <w:rFonts w:ascii="Book Antiqua" w:hAnsi="Book Antiqua" w:cstheme="minorHAnsi"/>
          <w:lang w:val="en-US"/>
        </w:rPr>
        <w:t xml:space="preserve"> </w:t>
      </w:r>
      <w:r w:rsidRPr="00FB40BF">
        <w:rPr>
          <w:rFonts w:ascii="Book Antiqua" w:hAnsi="Book Antiqua" w:cstheme="minorHAnsi"/>
          <w:lang w:val="en-US"/>
        </w:rPr>
        <w:t>research on the creation and assessment of preventive interventions such</w:t>
      </w:r>
      <w:r w:rsidR="00D50BC2" w:rsidRPr="00FB40BF">
        <w:rPr>
          <w:rFonts w:ascii="Book Antiqua" w:hAnsi="Book Antiqua" w:cstheme="minorHAnsi"/>
          <w:lang w:val="en-US"/>
        </w:rPr>
        <w:t xml:space="preserve"> as</w:t>
      </w:r>
      <w:r w:rsidRPr="00FB40BF">
        <w:rPr>
          <w:rFonts w:ascii="Book Antiqua" w:hAnsi="Book Antiqua" w:cstheme="minorHAnsi"/>
          <w:lang w:val="en-US"/>
        </w:rPr>
        <w:t xml:space="preserve"> immunization and antiviral medications.</w:t>
      </w:r>
    </w:p>
    <w:p w14:paraId="75DF7E94" w14:textId="77777777" w:rsidR="00A77B3E" w:rsidRPr="00FB40BF" w:rsidRDefault="00A77B3E" w:rsidP="00FB40BF">
      <w:pPr>
        <w:spacing w:line="360" w:lineRule="auto"/>
        <w:jc w:val="both"/>
        <w:rPr>
          <w:rFonts w:ascii="Book Antiqua" w:hAnsi="Book Antiqua"/>
        </w:rPr>
      </w:pPr>
    </w:p>
    <w:p w14:paraId="1A07E429" w14:textId="77777777"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b/>
          <w:caps/>
          <w:color w:val="000000"/>
          <w:u w:val="single"/>
        </w:rPr>
        <w:t>CONCLUSION</w:t>
      </w:r>
    </w:p>
    <w:p w14:paraId="3BC8BE0E" w14:textId="3EB23E26" w:rsidR="00CA180F" w:rsidRPr="00FB40BF" w:rsidRDefault="00CA180F" w:rsidP="00FB40BF">
      <w:pPr>
        <w:spacing w:line="360" w:lineRule="auto"/>
        <w:jc w:val="both"/>
        <w:rPr>
          <w:rFonts w:ascii="Book Antiqua" w:hAnsi="Book Antiqua" w:cstheme="minorHAnsi"/>
        </w:rPr>
      </w:pPr>
      <w:r w:rsidRPr="00FB40BF">
        <w:rPr>
          <w:rFonts w:ascii="Book Antiqua" w:hAnsi="Book Antiqua" w:cstheme="minorHAnsi"/>
        </w:rPr>
        <w:t xml:space="preserve">HBV reactivation is a potentially fatal complication after immunosuppressive biological or targeted therapy. Despite monoclonal antibodies </w:t>
      </w:r>
      <w:r w:rsidR="00D50BC2" w:rsidRPr="00FB40BF">
        <w:rPr>
          <w:rFonts w:ascii="Book Antiqua" w:hAnsi="Book Antiqua" w:cstheme="minorHAnsi"/>
        </w:rPr>
        <w:t xml:space="preserve">having </w:t>
      </w:r>
      <w:r w:rsidRPr="00FB40BF">
        <w:rPr>
          <w:rFonts w:ascii="Book Antiqua" w:hAnsi="Book Antiqua" w:cstheme="minorHAnsi"/>
        </w:rPr>
        <w:t xml:space="preserve">target specificity, they are not free of adverse effects, including HBV reactivation. </w:t>
      </w:r>
      <w:r w:rsidR="00A6526D">
        <w:rPr>
          <w:rFonts w:ascii="Book Antiqua" w:hAnsi="Book Antiqua" w:cstheme="minorHAnsi"/>
        </w:rPr>
        <w:t>Reports</w:t>
      </w:r>
      <w:r w:rsidRPr="00FB40BF">
        <w:rPr>
          <w:rFonts w:ascii="Book Antiqua" w:hAnsi="Book Antiqua" w:cstheme="minorHAnsi"/>
        </w:rPr>
        <w:t xml:space="preserve"> from the literature</w:t>
      </w:r>
      <w:r w:rsidR="00A6526D">
        <w:rPr>
          <w:rFonts w:ascii="Book Antiqua" w:hAnsi="Book Antiqua" w:cstheme="minorHAnsi"/>
        </w:rPr>
        <w:t xml:space="preserve"> demonstrate that</w:t>
      </w:r>
      <w:r w:rsidRPr="00FB40BF">
        <w:rPr>
          <w:rFonts w:ascii="Book Antiqua" w:hAnsi="Book Antiqua" w:cstheme="minorHAnsi"/>
        </w:rPr>
        <w:t xml:space="preserve"> this is more frequent in patients treated with anti-CD20 or anti-TNF</w:t>
      </w:r>
      <w:r w:rsidRPr="00CA575F">
        <w:rPr>
          <w:rFonts w:ascii="Book Antiqua" w:hAnsi="Book Antiqua" w:cstheme="minorHAnsi"/>
        </w:rPr>
        <w:sym w:font="Symbol" w:char="F061"/>
      </w:r>
      <w:r w:rsidRPr="00CA575F">
        <w:rPr>
          <w:rFonts w:ascii="Book Antiqua" w:hAnsi="Book Antiqua" w:cstheme="minorHAnsi"/>
        </w:rPr>
        <w:t>. However, there are some case reports of other mAbs causing this adverse event</w:t>
      </w:r>
      <w:r w:rsidRPr="00FB40BF">
        <w:rPr>
          <w:rFonts w:ascii="Book Antiqua" w:hAnsi="Book Antiqua" w:cstheme="minorHAnsi"/>
        </w:rPr>
        <w:t>. Many unanswered questions remain about the risk of HBV reactivation associated with recently introduced mA</w:t>
      </w:r>
      <w:r w:rsidR="00D6488A">
        <w:rPr>
          <w:rFonts w:ascii="Book Antiqua" w:hAnsi="Book Antiqua" w:cstheme="minorHAnsi"/>
        </w:rPr>
        <w:t>b</w:t>
      </w:r>
      <w:r w:rsidRPr="00FB40BF">
        <w:rPr>
          <w:rFonts w:ascii="Book Antiqua" w:hAnsi="Book Antiqua" w:cstheme="minorHAnsi"/>
        </w:rPr>
        <w:t xml:space="preserve">s. These questions </w:t>
      </w:r>
      <w:r w:rsidR="009D2FCC">
        <w:rPr>
          <w:rFonts w:ascii="Book Antiqua" w:hAnsi="Book Antiqua" w:cstheme="minorHAnsi"/>
        </w:rPr>
        <w:t>provide</w:t>
      </w:r>
      <w:r w:rsidRPr="00FB40BF">
        <w:rPr>
          <w:rFonts w:ascii="Book Antiqua" w:hAnsi="Book Antiqua" w:cstheme="minorHAnsi"/>
        </w:rPr>
        <w:t xml:space="preserve"> an opportunity for monitoring and research.</w:t>
      </w:r>
    </w:p>
    <w:p w14:paraId="1F2FEBAA" w14:textId="77777777" w:rsidR="00A77B3E" w:rsidRPr="00FB40BF" w:rsidRDefault="00A77B3E" w:rsidP="00FB40BF">
      <w:pPr>
        <w:spacing w:line="360" w:lineRule="auto"/>
        <w:jc w:val="both"/>
        <w:rPr>
          <w:rFonts w:ascii="Book Antiqua" w:hAnsi="Book Antiqua"/>
        </w:rPr>
      </w:pPr>
    </w:p>
    <w:p w14:paraId="0C70A4AA" w14:textId="77777777"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b/>
          <w:color w:val="000000"/>
        </w:rPr>
        <w:t>REFERENCES</w:t>
      </w:r>
    </w:p>
    <w:p w14:paraId="5869C14F" w14:textId="77777777" w:rsidR="004E4352" w:rsidRPr="00FB40BF" w:rsidRDefault="004E4352" w:rsidP="00FB40BF">
      <w:pPr>
        <w:spacing w:line="360" w:lineRule="auto"/>
        <w:jc w:val="both"/>
        <w:rPr>
          <w:rFonts w:ascii="Book Antiqua" w:hAnsi="Book Antiqua"/>
          <w:lang w:val="it-IT"/>
        </w:rPr>
      </w:pPr>
      <w:bookmarkStart w:id="98" w:name="OLE_LINK7719"/>
      <w:bookmarkStart w:id="99" w:name="OLE_LINK7720"/>
      <w:r w:rsidRPr="00FB40BF">
        <w:rPr>
          <w:rFonts w:ascii="Book Antiqua" w:hAnsi="Book Antiqua"/>
        </w:rPr>
        <w:t xml:space="preserve">1 </w:t>
      </w:r>
      <w:r w:rsidR="0040573C" w:rsidRPr="00FB40BF">
        <w:rPr>
          <w:rFonts w:ascii="Book Antiqua" w:hAnsi="Book Antiqua"/>
          <w:b/>
          <w:bCs/>
        </w:rPr>
        <w:t xml:space="preserve">GBD 2019 Hepatitis B Collaborators. </w:t>
      </w:r>
      <w:r w:rsidR="0040573C" w:rsidRPr="00FB40BF">
        <w:rPr>
          <w:rFonts w:ascii="Book Antiqua" w:hAnsi="Book Antiqua"/>
          <w:bCs/>
        </w:rPr>
        <w:t xml:space="preserve">Global, regional, and national burden of hepatitis B, 1990-2019: a systematic analysis for the Global Burden of Disease Study 2019. </w:t>
      </w:r>
      <w:r w:rsidR="0040573C" w:rsidRPr="00FB40BF">
        <w:rPr>
          <w:rFonts w:ascii="Book Antiqua" w:hAnsi="Book Antiqua"/>
          <w:bCs/>
          <w:i/>
          <w:lang w:val="it-IT"/>
        </w:rPr>
        <w:t>Lancet Gastroenterol Hepatol</w:t>
      </w:r>
      <w:r w:rsidR="0040573C" w:rsidRPr="00FB40BF">
        <w:rPr>
          <w:rFonts w:ascii="Book Antiqua" w:hAnsi="Book Antiqua"/>
          <w:bCs/>
          <w:lang w:val="it-IT"/>
        </w:rPr>
        <w:t xml:space="preserve"> 2022; </w:t>
      </w:r>
      <w:r w:rsidR="0040573C" w:rsidRPr="00FB40BF">
        <w:rPr>
          <w:rFonts w:ascii="Book Antiqua" w:hAnsi="Book Antiqua"/>
          <w:b/>
          <w:bCs/>
          <w:lang w:val="it-IT"/>
        </w:rPr>
        <w:t xml:space="preserve">7: </w:t>
      </w:r>
      <w:r w:rsidR="0040573C" w:rsidRPr="00FB40BF">
        <w:rPr>
          <w:rFonts w:ascii="Book Antiqua" w:hAnsi="Book Antiqua"/>
          <w:bCs/>
          <w:lang w:val="it-IT"/>
        </w:rPr>
        <w:t>796-829 [PMID: 35738290 DOI: 10.1016/S2468-1253(22)00124-8]</w:t>
      </w:r>
    </w:p>
    <w:p w14:paraId="6C29CC56" w14:textId="77777777" w:rsidR="004E4352" w:rsidRPr="00FB40BF" w:rsidRDefault="004E4352" w:rsidP="00FB40BF">
      <w:pPr>
        <w:spacing w:line="360" w:lineRule="auto"/>
        <w:jc w:val="both"/>
        <w:rPr>
          <w:rFonts w:ascii="Book Antiqua" w:hAnsi="Book Antiqua"/>
        </w:rPr>
      </w:pPr>
      <w:r w:rsidRPr="00FB40BF">
        <w:rPr>
          <w:rFonts w:ascii="Book Antiqua" w:hAnsi="Book Antiqua"/>
          <w:lang w:val="it-IT"/>
        </w:rPr>
        <w:t xml:space="preserve">2 </w:t>
      </w:r>
      <w:r w:rsidRPr="00FB40BF">
        <w:rPr>
          <w:rFonts w:ascii="Book Antiqua" w:hAnsi="Book Antiqua"/>
          <w:b/>
          <w:bCs/>
          <w:lang w:val="it-IT"/>
        </w:rPr>
        <w:t>Rehermann B</w:t>
      </w:r>
      <w:r w:rsidRPr="00FB40BF">
        <w:rPr>
          <w:rFonts w:ascii="Book Antiqua" w:hAnsi="Book Antiqua"/>
          <w:lang w:val="it-IT"/>
        </w:rPr>
        <w:t xml:space="preserve">, Ferrari C, Pasquinelli C, Chisari FV. </w:t>
      </w:r>
      <w:r w:rsidRPr="00FB40BF">
        <w:rPr>
          <w:rFonts w:ascii="Book Antiqua" w:hAnsi="Book Antiqua"/>
        </w:rPr>
        <w:t xml:space="preserve">The hepatitis B virus persists for decades after patients' recovery from acute viral hepatitis despite active maintenance of a cytotoxic T-lymphocyte response. </w:t>
      </w:r>
      <w:r w:rsidRPr="00FB40BF">
        <w:rPr>
          <w:rFonts w:ascii="Book Antiqua" w:hAnsi="Book Antiqua"/>
          <w:i/>
          <w:iCs/>
        </w:rPr>
        <w:t>Nat Med</w:t>
      </w:r>
      <w:r w:rsidRPr="00FB40BF">
        <w:rPr>
          <w:rFonts w:ascii="Book Antiqua" w:hAnsi="Book Antiqua"/>
        </w:rPr>
        <w:t xml:space="preserve"> 1996; </w:t>
      </w:r>
      <w:r w:rsidRPr="00FB40BF">
        <w:rPr>
          <w:rFonts w:ascii="Book Antiqua" w:hAnsi="Book Antiqua"/>
          <w:b/>
          <w:bCs/>
        </w:rPr>
        <w:t>2</w:t>
      </w:r>
      <w:r w:rsidRPr="00FB40BF">
        <w:rPr>
          <w:rFonts w:ascii="Book Antiqua" w:hAnsi="Book Antiqua"/>
        </w:rPr>
        <w:t>: 1104-1108 [PMID: 8837608 DOI: 10.1038/nm1096-1104]</w:t>
      </w:r>
    </w:p>
    <w:p w14:paraId="1A90FAE0" w14:textId="77777777" w:rsidR="004E4352" w:rsidRPr="00FB40BF" w:rsidRDefault="004E4352" w:rsidP="00FB40BF">
      <w:pPr>
        <w:spacing w:line="360" w:lineRule="auto"/>
        <w:jc w:val="both"/>
        <w:rPr>
          <w:rFonts w:ascii="Book Antiqua" w:hAnsi="Book Antiqua"/>
        </w:rPr>
      </w:pPr>
      <w:r w:rsidRPr="00FB40BF">
        <w:rPr>
          <w:rFonts w:ascii="Book Antiqua" w:hAnsi="Book Antiqua"/>
        </w:rPr>
        <w:t xml:space="preserve">3 </w:t>
      </w:r>
      <w:r w:rsidRPr="00FB40BF">
        <w:rPr>
          <w:rFonts w:ascii="Book Antiqua" w:hAnsi="Book Antiqua"/>
          <w:b/>
          <w:bCs/>
        </w:rPr>
        <w:t>Papatheodoridis GV</w:t>
      </w:r>
      <w:r w:rsidRPr="00FB40BF">
        <w:rPr>
          <w:rFonts w:ascii="Book Antiqua" w:hAnsi="Book Antiqua"/>
        </w:rPr>
        <w:t xml:space="preserve">, Lekakis V, Voulgaris T, Lampertico P, Berg T, Chan HLY, Kao JH, Terrault N, Lok AS, Reddy KR. Hepatitis B virus reactivation associated with new classes of immunosuppressants and immunomodulators: A systematic review, meta-analysis, and expert opinion. </w:t>
      </w:r>
      <w:r w:rsidRPr="00FB40BF">
        <w:rPr>
          <w:rFonts w:ascii="Book Antiqua" w:hAnsi="Book Antiqua"/>
          <w:i/>
          <w:iCs/>
        </w:rPr>
        <w:t>J Hepatol</w:t>
      </w:r>
      <w:r w:rsidRPr="00FB40BF">
        <w:rPr>
          <w:rFonts w:ascii="Book Antiqua" w:hAnsi="Book Antiqua"/>
        </w:rPr>
        <w:t xml:space="preserve"> 2022; </w:t>
      </w:r>
      <w:r w:rsidRPr="00FB40BF">
        <w:rPr>
          <w:rFonts w:ascii="Book Antiqua" w:hAnsi="Book Antiqua"/>
          <w:b/>
          <w:bCs/>
        </w:rPr>
        <w:t>77</w:t>
      </w:r>
      <w:r w:rsidRPr="00FB40BF">
        <w:rPr>
          <w:rFonts w:ascii="Book Antiqua" w:hAnsi="Book Antiqua"/>
        </w:rPr>
        <w:t>: 1670-1689 [PMID: 35850281 DOI: 10.1016/j.jhep.2022.07.003]</w:t>
      </w:r>
    </w:p>
    <w:p w14:paraId="46F53220" w14:textId="77777777" w:rsidR="004E4352" w:rsidRPr="00FB40BF" w:rsidRDefault="004E4352" w:rsidP="00FB40BF">
      <w:pPr>
        <w:spacing w:line="360" w:lineRule="auto"/>
        <w:jc w:val="both"/>
        <w:rPr>
          <w:rFonts w:ascii="Book Antiqua" w:hAnsi="Book Antiqua"/>
        </w:rPr>
      </w:pPr>
      <w:r w:rsidRPr="00FB40BF">
        <w:rPr>
          <w:rFonts w:ascii="Book Antiqua" w:hAnsi="Book Antiqua"/>
        </w:rPr>
        <w:lastRenderedPageBreak/>
        <w:t xml:space="preserve">4 </w:t>
      </w:r>
      <w:r w:rsidR="00FE4DCA" w:rsidRPr="00FB40BF">
        <w:rPr>
          <w:rFonts w:ascii="Book Antiqua" w:hAnsi="Book Antiqua"/>
          <w:b/>
          <w:bCs/>
        </w:rPr>
        <w:t>Smalls DJ</w:t>
      </w:r>
      <w:r w:rsidRPr="00FB40BF">
        <w:rPr>
          <w:rFonts w:ascii="Book Antiqua" w:hAnsi="Book Antiqua"/>
          <w:bCs/>
        </w:rPr>
        <w:t>,</w:t>
      </w:r>
      <w:r w:rsidRPr="00FB40BF">
        <w:rPr>
          <w:rFonts w:ascii="Book Antiqua" w:hAnsi="Book Antiqua"/>
        </w:rPr>
        <w:t xml:space="preserve"> </w:t>
      </w:r>
      <w:r w:rsidR="00FE4DCA" w:rsidRPr="00FB40BF">
        <w:rPr>
          <w:rFonts w:ascii="Book Antiqua" w:hAnsi="Book Antiqua"/>
        </w:rPr>
        <w:t xml:space="preserve">Kiger </w:t>
      </w:r>
      <w:r w:rsidR="00D54DC6" w:rsidRPr="00FB40BF">
        <w:rPr>
          <w:rFonts w:ascii="Book Antiqua" w:hAnsi="Book Antiqua"/>
        </w:rPr>
        <w:t>R</w:t>
      </w:r>
      <w:r w:rsidR="00FE4DCA" w:rsidRPr="00FB40BF">
        <w:rPr>
          <w:rFonts w:ascii="Book Antiqua" w:hAnsi="Book Antiqua"/>
        </w:rPr>
        <w:t>E</w:t>
      </w:r>
      <w:r w:rsidR="00D54DC6" w:rsidRPr="00FB40BF">
        <w:rPr>
          <w:rFonts w:ascii="Book Antiqua" w:hAnsi="Book Antiqua"/>
        </w:rPr>
        <w:t xml:space="preserve">, </w:t>
      </w:r>
      <w:r w:rsidR="00FE4DCA" w:rsidRPr="00FB40BF">
        <w:rPr>
          <w:rFonts w:ascii="Book Antiqua" w:hAnsi="Book Antiqua"/>
        </w:rPr>
        <w:t xml:space="preserve">Norris </w:t>
      </w:r>
      <w:r w:rsidR="00D54DC6" w:rsidRPr="00FB40BF">
        <w:rPr>
          <w:rFonts w:ascii="Book Antiqua" w:hAnsi="Book Antiqua"/>
        </w:rPr>
        <w:t>L</w:t>
      </w:r>
      <w:r w:rsidR="00FE4DCA" w:rsidRPr="00FB40BF">
        <w:rPr>
          <w:rFonts w:ascii="Book Antiqua" w:hAnsi="Book Antiqua"/>
        </w:rPr>
        <w:t>B</w:t>
      </w:r>
      <w:r w:rsidR="00D54DC6" w:rsidRPr="00FB40BF">
        <w:rPr>
          <w:rFonts w:ascii="Book Antiqua" w:hAnsi="Book Antiqua"/>
        </w:rPr>
        <w:t xml:space="preserve">, </w:t>
      </w:r>
      <w:r w:rsidR="00FE4DCA" w:rsidRPr="00FB40BF">
        <w:rPr>
          <w:rFonts w:ascii="Book Antiqua" w:hAnsi="Book Antiqua"/>
        </w:rPr>
        <w:t xml:space="preserve">Bennett </w:t>
      </w:r>
      <w:r w:rsidR="00D54DC6" w:rsidRPr="00FB40BF">
        <w:rPr>
          <w:rFonts w:ascii="Book Antiqua" w:hAnsi="Book Antiqua"/>
        </w:rPr>
        <w:t>C</w:t>
      </w:r>
      <w:r w:rsidR="00FE4DCA" w:rsidRPr="00FB40BF">
        <w:rPr>
          <w:rFonts w:ascii="Book Antiqua" w:hAnsi="Book Antiqua"/>
        </w:rPr>
        <w:t>L</w:t>
      </w:r>
      <w:r w:rsidR="00D54DC6" w:rsidRPr="00FB40BF">
        <w:rPr>
          <w:rFonts w:ascii="Book Antiqua" w:hAnsi="Book Antiqua"/>
        </w:rPr>
        <w:t>, Love</w:t>
      </w:r>
      <w:r w:rsidR="00FE4DCA" w:rsidRPr="00FB40BF">
        <w:rPr>
          <w:rFonts w:ascii="Book Antiqua" w:hAnsi="Book Antiqua"/>
        </w:rPr>
        <w:t xml:space="preserve"> BL</w:t>
      </w:r>
      <w:r w:rsidRPr="00FB40BF">
        <w:rPr>
          <w:rFonts w:ascii="Book Antiqua" w:hAnsi="Book Antiqua"/>
        </w:rPr>
        <w:t xml:space="preserve">. Hepatitis B virus reactivation: Risk factors and current management strategies. </w:t>
      </w:r>
      <w:r w:rsidRPr="00FB40BF">
        <w:rPr>
          <w:rFonts w:ascii="Book Antiqua" w:hAnsi="Book Antiqua"/>
          <w:i/>
        </w:rPr>
        <w:t>Pharmacotherapy</w:t>
      </w:r>
      <w:r w:rsidR="003E02A0" w:rsidRPr="00FB40BF">
        <w:rPr>
          <w:rFonts w:ascii="Book Antiqua" w:hAnsi="Book Antiqua"/>
        </w:rPr>
        <w:t xml:space="preserve"> 2019; [DOI: 10.1002/phar.2340]</w:t>
      </w:r>
    </w:p>
    <w:p w14:paraId="4790CBCB" w14:textId="77777777" w:rsidR="004E4352" w:rsidRPr="00FB40BF" w:rsidRDefault="004E4352" w:rsidP="00FB40BF">
      <w:pPr>
        <w:spacing w:line="360" w:lineRule="auto"/>
        <w:jc w:val="both"/>
        <w:rPr>
          <w:rFonts w:ascii="Book Antiqua" w:hAnsi="Book Antiqua"/>
        </w:rPr>
      </w:pPr>
      <w:r w:rsidRPr="00FB40BF">
        <w:rPr>
          <w:rFonts w:ascii="Book Antiqua" w:hAnsi="Book Antiqua"/>
        </w:rPr>
        <w:t xml:space="preserve">5 </w:t>
      </w:r>
      <w:r w:rsidRPr="00FB40BF">
        <w:rPr>
          <w:rFonts w:ascii="Book Antiqua" w:hAnsi="Book Antiqua"/>
          <w:b/>
          <w:bCs/>
        </w:rPr>
        <w:t>Terrault NA</w:t>
      </w:r>
      <w:r w:rsidRPr="00FB40BF">
        <w:rPr>
          <w:rFonts w:ascii="Book Antiqua" w:hAnsi="Book Antiqua"/>
        </w:rPr>
        <w:t xml:space="preserve">, Lok ASF, McMahon BJ, Chang KM, Hwang JP, Jonas MM, Brown RS Jr, Bzowej NH, Wong JB. Update on prevention, diagnosis, and treatment of chronic hepatitis B: AASLD 2018 hepatitis B guidance. </w:t>
      </w:r>
      <w:r w:rsidRPr="00FB40BF">
        <w:rPr>
          <w:rFonts w:ascii="Book Antiqua" w:hAnsi="Book Antiqua"/>
          <w:i/>
          <w:iCs/>
        </w:rPr>
        <w:t>Hepatology</w:t>
      </w:r>
      <w:r w:rsidRPr="00FB40BF">
        <w:rPr>
          <w:rFonts w:ascii="Book Antiqua" w:hAnsi="Book Antiqua"/>
        </w:rPr>
        <w:t xml:space="preserve"> 2018; </w:t>
      </w:r>
      <w:r w:rsidRPr="00FB40BF">
        <w:rPr>
          <w:rFonts w:ascii="Book Antiqua" w:hAnsi="Book Antiqua"/>
          <w:b/>
          <w:bCs/>
        </w:rPr>
        <w:t>67</w:t>
      </w:r>
      <w:r w:rsidRPr="00FB40BF">
        <w:rPr>
          <w:rFonts w:ascii="Book Antiqua" w:hAnsi="Book Antiqua"/>
        </w:rPr>
        <w:t>: 1560-1599 [PMID: 29405329 DOI: 10.1002/hep.29800]</w:t>
      </w:r>
    </w:p>
    <w:p w14:paraId="18E7003E" w14:textId="77777777" w:rsidR="004E4352" w:rsidRPr="00FB40BF" w:rsidRDefault="004E4352" w:rsidP="00FB40BF">
      <w:pPr>
        <w:spacing w:line="360" w:lineRule="auto"/>
        <w:jc w:val="both"/>
        <w:rPr>
          <w:rFonts w:ascii="Book Antiqua" w:hAnsi="Book Antiqua"/>
        </w:rPr>
      </w:pPr>
      <w:r w:rsidRPr="00FB40BF">
        <w:rPr>
          <w:rFonts w:ascii="Book Antiqua" w:hAnsi="Book Antiqua"/>
        </w:rPr>
        <w:t xml:space="preserve">6 </w:t>
      </w:r>
      <w:r w:rsidRPr="00FB40BF">
        <w:rPr>
          <w:rFonts w:ascii="Book Antiqua" w:hAnsi="Book Antiqua"/>
          <w:b/>
          <w:bCs/>
        </w:rPr>
        <w:t>Loomba R</w:t>
      </w:r>
      <w:r w:rsidRPr="00FB40BF">
        <w:rPr>
          <w:rFonts w:ascii="Book Antiqua" w:hAnsi="Book Antiqua"/>
        </w:rPr>
        <w:t xml:space="preserve">, Liang TJ. Hepatitis B Reactivation Associated With Immune Suppressive and Biological Modifier Therapies: Current Concepts, Management Strategies, and Future Directions. </w:t>
      </w:r>
      <w:r w:rsidRPr="00FB40BF">
        <w:rPr>
          <w:rFonts w:ascii="Book Antiqua" w:hAnsi="Book Antiqua"/>
          <w:i/>
          <w:iCs/>
        </w:rPr>
        <w:t>Gastroenterology</w:t>
      </w:r>
      <w:r w:rsidRPr="00FB40BF">
        <w:rPr>
          <w:rFonts w:ascii="Book Antiqua" w:hAnsi="Book Antiqua"/>
        </w:rPr>
        <w:t xml:space="preserve"> 2017; </w:t>
      </w:r>
      <w:r w:rsidRPr="00FB40BF">
        <w:rPr>
          <w:rFonts w:ascii="Book Antiqua" w:hAnsi="Book Antiqua"/>
          <w:b/>
          <w:bCs/>
        </w:rPr>
        <w:t>152</w:t>
      </w:r>
      <w:r w:rsidRPr="00FB40BF">
        <w:rPr>
          <w:rFonts w:ascii="Book Antiqua" w:hAnsi="Book Antiqua"/>
        </w:rPr>
        <w:t>: 1297-1309 [PMID: 28219691 DOI: 10.1053/j.gastro.2017.02.009]</w:t>
      </w:r>
    </w:p>
    <w:p w14:paraId="710107AA" w14:textId="77777777" w:rsidR="004E4352" w:rsidRPr="00FB40BF" w:rsidRDefault="004E4352" w:rsidP="00FB40BF">
      <w:pPr>
        <w:spacing w:line="360" w:lineRule="auto"/>
        <w:jc w:val="both"/>
        <w:rPr>
          <w:rFonts w:ascii="Book Antiqua" w:hAnsi="Book Antiqua"/>
        </w:rPr>
      </w:pPr>
      <w:r w:rsidRPr="00FB40BF">
        <w:rPr>
          <w:rFonts w:ascii="Book Antiqua" w:hAnsi="Book Antiqua"/>
        </w:rPr>
        <w:t xml:space="preserve">7 </w:t>
      </w:r>
      <w:r w:rsidRPr="00FB40BF">
        <w:rPr>
          <w:rFonts w:ascii="Book Antiqua" w:hAnsi="Book Antiqua"/>
          <w:b/>
          <w:bCs/>
        </w:rPr>
        <w:t>Yeo W</w:t>
      </w:r>
      <w:r w:rsidRPr="00FB40BF">
        <w:rPr>
          <w:rFonts w:ascii="Book Antiqua" w:hAnsi="Book Antiqua"/>
        </w:rPr>
        <w:t xml:space="preserve">, Chan PK, Zhong S, Ho WM, Steinberg JL, Tam JS, Hui P, Leung NW, Zee B, Johnson PJ. Frequency of hepatitis B virus reactivation in cancer patients undergoing cytotoxic chemotherapy: a prospective study of 626 patients with identification of risk factors. </w:t>
      </w:r>
      <w:r w:rsidRPr="00FB40BF">
        <w:rPr>
          <w:rFonts w:ascii="Book Antiqua" w:hAnsi="Book Antiqua"/>
          <w:i/>
          <w:iCs/>
        </w:rPr>
        <w:t>J Med Virol</w:t>
      </w:r>
      <w:r w:rsidRPr="00FB40BF">
        <w:rPr>
          <w:rFonts w:ascii="Book Antiqua" w:hAnsi="Book Antiqua"/>
        </w:rPr>
        <w:t xml:space="preserve"> 2000; </w:t>
      </w:r>
      <w:r w:rsidRPr="00FB40BF">
        <w:rPr>
          <w:rFonts w:ascii="Book Antiqua" w:hAnsi="Book Antiqua"/>
          <w:b/>
          <w:bCs/>
        </w:rPr>
        <w:t>62</w:t>
      </w:r>
      <w:r w:rsidRPr="00FB40BF">
        <w:rPr>
          <w:rFonts w:ascii="Book Antiqua" w:hAnsi="Book Antiqua"/>
        </w:rPr>
        <w:t>: 299-307 [PMID: 11055239 DOI: 10.1002/1096-9071(200011)62:3&lt;299::AID-JMV1&gt;3.0.CO;2-0]</w:t>
      </w:r>
    </w:p>
    <w:p w14:paraId="4F8FE6FD" w14:textId="77777777" w:rsidR="004E4352" w:rsidRPr="00FB40BF" w:rsidRDefault="004E4352" w:rsidP="00FB40BF">
      <w:pPr>
        <w:spacing w:line="360" w:lineRule="auto"/>
        <w:jc w:val="both"/>
        <w:rPr>
          <w:rFonts w:ascii="Book Antiqua" w:hAnsi="Book Antiqua"/>
        </w:rPr>
      </w:pPr>
      <w:r w:rsidRPr="00FB40BF">
        <w:rPr>
          <w:rFonts w:ascii="Book Antiqua" w:hAnsi="Book Antiqua"/>
        </w:rPr>
        <w:t xml:space="preserve">8 </w:t>
      </w:r>
      <w:r w:rsidRPr="00FB40BF">
        <w:rPr>
          <w:rFonts w:ascii="Book Antiqua" w:hAnsi="Book Antiqua"/>
          <w:b/>
          <w:bCs/>
        </w:rPr>
        <w:t>Yeo W</w:t>
      </w:r>
      <w:r w:rsidRPr="00FB40BF">
        <w:rPr>
          <w:rFonts w:ascii="Book Antiqua" w:hAnsi="Book Antiqua"/>
        </w:rPr>
        <w:t xml:space="preserve">, Johnson PJ. Diagnosis, prevention and management of hepatitis B virus reactivation during anticancer therapy. </w:t>
      </w:r>
      <w:r w:rsidRPr="00FB40BF">
        <w:rPr>
          <w:rFonts w:ascii="Book Antiqua" w:hAnsi="Book Antiqua"/>
          <w:i/>
          <w:iCs/>
        </w:rPr>
        <w:t>Hepatology</w:t>
      </w:r>
      <w:r w:rsidRPr="00FB40BF">
        <w:rPr>
          <w:rFonts w:ascii="Book Antiqua" w:hAnsi="Book Antiqua"/>
        </w:rPr>
        <w:t xml:space="preserve"> 2006; </w:t>
      </w:r>
      <w:r w:rsidRPr="00FB40BF">
        <w:rPr>
          <w:rFonts w:ascii="Book Antiqua" w:hAnsi="Book Antiqua"/>
          <w:b/>
          <w:bCs/>
        </w:rPr>
        <w:t>43</w:t>
      </w:r>
      <w:r w:rsidRPr="00FB40BF">
        <w:rPr>
          <w:rFonts w:ascii="Book Antiqua" w:hAnsi="Book Antiqua"/>
        </w:rPr>
        <w:t>: 209-220 [PMID: 16440366 DOI: 10.1002/hep.21051]</w:t>
      </w:r>
    </w:p>
    <w:p w14:paraId="5E9D56D8" w14:textId="77777777" w:rsidR="004E4352" w:rsidRPr="00FB40BF" w:rsidRDefault="004E4352" w:rsidP="00FB40BF">
      <w:pPr>
        <w:spacing w:line="360" w:lineRule="auto"/>
        <w:jc w:val="both"/>
        <w:rPr>
          <w:rFonts w:ascii="Book Antiqua" w:hAnsi="Book Antiqua"/>
        </w:rPr>
      </w:pPr>
      <w:r w:rsidRPr="00FB40BF">
        <w:rPr>
          <w:rFonts w:ascii="Book Antiqua" w:hAnsi="Book Antiqua"/>
        </w:rPr>
        <w:t xml:space="preserve">9 </w:t>
      </w:r>
      <w:r w:rsidRPr="00FB40BF">
        <w:rPr>
          <w:rFonts w:ascii="Book Antiqua" w:hAnsi="Book Antiqua"/>
          <w:b/>
          <w:bCs/>
        </w:rPr>
        <w:t>Reddy KR</w:t>
      </w:r>
      <w:r w:rsidRPr="00FB40BF">
        <w:rPr>
          <w:rFonts w:ascii="Book Antiqua" w:hAnsi="Book Antiqua"/>
        </w:rPr>
        <w:t xml:space="preserve">, Beavers KL, Hammond SP, Lim JK, Falck-Ytter YT; American Gastroenterological Association Institute. American Gastroenterological Association Institute guideline on the prevention and treatment of hepatitis B virus reactivation during immunosuppressive drug therapy. </w:t>
      </w:r>
      <w:r w:rsidRPr="00FB40BF">
        <w:rPr>
          <w:rFonts w:ascii="Book Antiqua" w:hAnsi="Book Antiqua"/>
          <w:i/>
          <w:iCs/>
        </w:rPr>
        <w:t>Gastroenterology</w:t>
      </w:r>
      <w:r w:rsidRPr="00FB40BF">
        <w:rPr>
          <w:rFonts w:ascii="Book Antiqua" w:hAnsi="Book Antiqua"/>
        </w:rPr>
        <w:t xml:space="preserve"> 2015; </w:t>
      </w:r>
      <w:r w:rsidRPr="00FB40BF">
        <w:rPr>
          <w:rFonts w:ascii="Book Antiqua" w:hAnsi="Book Antiqua"/>
          <w:b/>
          <w:bCs/>
        </w:rPr>
        <w:t>148</w:t>
      </w:r>
      <w:r w:rsidRPr="00FB40BF">
        <w:rPr>
          <w:rFonts w:ascii="Book Antiqua" w:hAnsi="Book Antiqua"/>
        </w:rPr>
        <w:t>: 215-9; quiz e16-7 [PMID: 25447850 DOI: 10.1053/j.gastro.2014.10.039]</w:t>
      </w:r>
    </w:p>
    <w:p w14:paraId="55197BA0" w14:textId="77777777" w:rsidR="004E4352" w:rsidRPr="00FB40BF" w:rsidRDefault="004E4352" w:rsidP="00FB40BF">
      <w:pPr>
        <w:spacing w:line="360" w:lineRule="auto"/>
        <w:jc w:val="both"/>
        <w:rPr>
          <w:rFonts w:ascii="Book Antiqua" w:hAnsi="Book Antiqua"/>
        </w:rPr>
      </w:pPr>
      <w:r w:rsidRPr="00FB40BF">
        <w:rPr>
          <w:rFonts w:ascii="Book Antiqua" w:hAnsi="Book Antiqua"/>
        </w:rPr>
        <w:t xml:space="preserve">10 </w:t>
      </w:r>
      <w:r w:rsidRPr="00FB40BF">
        <w:rPr>
          <w:rFonts w:ascii="Book Antiqua" w:hAnsi="Book Antiqua"/>
          <w:b/>
          <w:bCs/>
        </w:rPr>
        <w:t>Baldo BA</w:t>
      </w:r>
      <w:r w:rsidRPr="00FB40BF">
        <w:rPr>
          <w:rFonts w:ascii="Book Antiqua" w:hAnsi="Book Antiqua"/>
        </w:rPr>
        <w:t xml:space="preserve">. Immune- and Non-Immune-Mediated Adverse Effects of Monoclonal Antibody Therapy: A Survey of 110 Approved Antibodies. </w:t>
      </w:r>
      <w:r w:rsidRPr="00FB40BF">
        <w:rPr>
          <w:rFonts w:ascii="Book Antiqua" w:hAnsi="Book Antiqua"/>
          <w:i/>
          <w:iCs/>
        </w:rPr>
        <w:t>Antibodies (Basel)</w:t>
      </w:r>
      <w:r w:rsidRPr="00FB40BF">
        <w:rPr>
          <w:rFonts w:ascii="Book Antiqua" w:hAnsi="Book Antiqua"/>
        </w:rPr>
        <w:t xml:space="preserve"> 2022; </w:t>
      </w:r>
      <w:r w:rsidRPr="00FB40BF">
        <w:rPr>
          <w:rFonts w:ascii="Book Antiqua" w:hAnsi="Book Antiqua"/>
          <w:b/>
          <w:bCs/>
        </w:rPr>
        <w:t>11</w:t>
      </w:r>
      <w:r w:rsidRPr="00FB40BF">
        <w:rPr>
          <w:rFonts w:ascii="Book Antiqua" w:hAnsi="Book Antiqua"/>
        </w:rPr>
        <w:t xml:space="preserve"> [PMID: 35323191 DOI: 10.3390/antib11010017]</w:t>
      </w:r>
    </w:p>
    <w:p w14:paraId="4DA89D30" w14:textId="77777777" w:rsidR="004E4352" w:rsidRPr="00FB40BF" w:rsidRDefault="004E4352" w:rsidP="00FB40BF">
      <w:pPr>
        <w:spacing w:line="360" w:lineRule="auto"/>
        <w:jc w:val="both"/>
        <w:rPr>
          <w:rFonts w:ascii="Book Antiqua" w:hAnsi="Book Antiqua"/>
        </w:rPr>
      </w:pPr>
      <w:r w:rsidRPr="00FB40BF">
        <w:rPr>
          <w:rFonts w:ascii="Book Antiqua" w:hAnsi="Book Antiqua"/>
        </w:rPr>
        <w:t xml:space="preserve">11 </w:t>
      </w:r>
      <w:r w:rsidRPr="00FB40BF">
        <w:rPr>
          <w:rFonts w:ascii="Book Antiqua" w:hAnsi="Book Antiqua"/>
          <w:b/>
          <w:bCs/>
        </w:rPr>
        <w:t>Yeo W</w:t>
      </w:r>
      <w:r w:rsidRPr="00FB40BF">
        <w:rPr>
          <w:rFonts w:ascii="Book Antiqua" w:hAnsi="Book Antiqua"/>
        </w:rPr>
        <w:t xml:space="preserve">, Chan TC, Leung NW, Lam WY, Mo FK, Chu MT, Chan HL, Hui EP, Lei KI, Mok TS, Chan PK. Hepatitis B virus reactivation in lymphoma patients with prior </w:t>
      </w:r>
      <w:r w:rsidRPr="00FB40BF">
        <w:rPr>
          <w:rFonts w:ascii="Book Antiqua" w:hAnsi="Book Antiqua"/>
        </w:rPr>
        <w:lastRenderedPageBreak/>
        <w:t xml:space="preserve">resolved hepatitis B undergoing anticancer therapy with or without rituximab. </w:t>
      </w:r>
      <w:r w:rsidRPr="00FB40BF">
        <w:rPr>
          <w:rFonts w:ascii="Book Antiqua" w:hAnsi="Book Antiqua"/>
          <w:i/>
          <w:iCs/>
        </w:rPr>
        <w:t>J Clin Oncol</w:t>
      </w:r>
      <w:r w:rsidRPr="00FB40BF">
        <w:rPr>
          <w:rFonts w:ascii="Book Antiqua" w:hAnsi="Book Antiqua"/>
        </w:rPr>
        <w:t xml:space="preserve"> 2009; </w:t>
      </w:r>
      <w:r w:rsidRPr="00FB40BF">
        <w:rPr>
          <w:rFonts w:ascii="Book Antiqua" w:hAnsi="Book Antiqua"/>
          <w:b/>
          <w:bCs/>
        </w:rPr>
        <w:t>27</w:t>
      </w:r>
      <w:r w:rsidRPr="00FB40BF">
        <w:rPr>
          <w:rFonts w:ascii="Book Antiqua" w:hAnsi="Book Antiqua"/>
        </w:rPr>
        <w:t>: 605-611 [PMID: 19075267 DOI: 10.1200/JCO.2008.18.0182]</w:t>
      </w:r>
    </w:p>
    <w:p w14:paraId="58A32223" w14:textId="77777777" w:rsidR="004E4352" w:rsidRPr="00FB40BF" w:rsidRDefault="004E4352" w:rsidP="00FB40BF">
      <w:pPr>
        <w:spacing w:line="360" w:lineRule="auto"/>
        <w:jc w:val="both"/>
        <w:rPr>
          <w:rFonts w:ascii="Book Antiqua" w:hAnsi="Book Antiqua"/>
        </w:rPr>
      </w:pPr>
      <w:r w:rsidRPr="00FB40BF">
        <w:rPr>
          <w:rFonts w:ascii="Book Antiqua" w:hAnsi="Book Antiqua"/>
        </w:rPr>
        <w:t xml:space="preserve">12 </w:t>
      </w:r>
      <w:r w:rsidRPr="00FB40BF">
        <w:rPr>
          <w:rFonts w:ascii="Book Antiqua" w:hAnsi="Book Antiqua"/>
          <w:b/>
          <w:bCs/>
        </w:rPr>
        <w:t>Mitka M</w:t>
      </w:r>
      <w:r w:rsidRPr="00FB40BF">
        <w:rPr>
          <w:rFonts w:ascii="Book Antiqua" w:hAnsi="Book Antiqua"/>
        </w:rPr>
        <w:t xml:space="preserve">. FDA: Increased HBV reactivation risk with ofatumumab or rituximab. </w:t>
      </w:r>
      <w:r w:rsidRPr="00FB40BF">
        <w:rPr>
          <w:rFonts w:ascii="Book Antiqua" w:hAnsi="Book Antiqua"/>
          <w:i/>
          <w:iCs/>
        </w:rPr>
        <w:t>JAMA</w:t>
      </w:r>
      <w:r w:rsidRPr="00FB40BF">
        <w:rPr>
          <w:rFonts w:ascii="Book Antiqua" w:hAnsi="Book Antiqua"/>
        </w:rPr>
        <w:t xml:space="preserve"> 2013; </w:t>
      </w:r>
      <w:r w:rsidRPr="00FB40BF">
        <w:rPr>
          <w:rFonts w:ascii="Book Antiqua" w:hAnsi="Book Antiqua"/>
          <w:b/>
          <w:bCs/>
        </w:rPr>
        <w:t>310</w:t>
      </w:r>
      <w:r w:rsidRPr="00FB40BF">
        <w:rPr>
          <w:rFonts w:ascii="Book Antiqua" w:hAnsi="Book Antiqua"/>
        </w:rPr>
        <w:t>: 1664 [PMID: 24150447 DOI: 10.1001/jama.2013.281115]</w:t>
      </w:r>
    </w:p>
    <w:p w14:paraId="0561818B" w14:textId="77777777" w:rsidR="004E4352" w:rsidRPr="00FB40BF" w:rsidRDefault="004E4352" w:rsidP="00FB40BF">
      <w:pPr>
        <w:spacing w:line="360" w:lineRule="auto"/>
        <w:jc w:val="both"/>
        <w:rPr>
          <w:rFonts w:ascii="Book Antiqua" w:hAnsi="Book Antiqua"/>
        </w:rPr>
      </w:pPr>
      <w:r w:rsidRPr="00FB40BF">
        <w:rPr>
          <w:rFonts w:ascii="Book Antiqua" w:hAnsi="Book Antiqua"/>
        </w:rPr>
        <w:t xml:space="preserve">13 </w:t>
      </w:r>
      <w:r w:rsidRPr="00FB40BF">
        <w:rPr>
          <w:rFonts w:ascii="Book Antiqua" w:hAnsi="Book Antiqua"/>
          <w:b/>
          <w:bCs/>
        </w:rPr>
        <w:t>Evens AM</w:t>
      </w:r>
      <w:r w:rsidRPr="00FB40BF">
        <w:rPr>
          <w:rFonts w:ascii="Book Antiqua" w:hAnsi="Book Antiqua"/>
        </w:rPr>
        <w:t xml:space="preserve">, Jovanovic BD, Su YC, Raisch DW, Ganger D, Belknap SM, Dai MS, Chiu BC, Fintel B, Cheng Y, Chuang SS, Lee MY, Chen TY, Lin SF, Kuo CY. Rituximab-associated hepatitis B virus (HBV) reactivation in lymphoproliferative diseases: meta-analysis and examination of FDA safety reports. </w:t>
      </w:r>
      <w:r w:rsidRPr="00FB40BF">
        <w:rPr>
          <w:rFonts w:ascii="Book Antiqua" w:hAnsi="Book Antiqua"/>
          <w:i/>
          <w:iCs/>
        </w:rPr>
        <w:t>Ann Oncol</w:t>
      </w:r>
      <w:r w:rsidRPr="00FB40BF">
        <w:rPr>
          <w:rFonts w:ascii="Book Antiqua" w:hAnsi="Book Antiqua"/>
        </w:rPr>
        <w:t xml:space="preserve"> 2011; </w:t>
      </w:r>
      <w:r w:rsidRPr="00FB40BF">
        <w:rPr>
          <w:rFonts w:ascii="Book Antiqua" w:hAnsi="Book Antiqua"/>
          <w:b/>
          <w:bCs/>
        </w:rPr>
        <w:t>22</w:t>
      </w:r>
      <w:r w:rsidRPr="00FB40BF">
        <w:rPr>
          <w:rFonts w:ascii="Book Antiqua" w:hAnsi="Book Antiqua"/>
        </w:rPr>
        <w:t>: 1170-1180 [PMID: 21115603 DOI: 10.1093/annonc/mdq583]</w:t>
      </w:r>
    </w:p>
    <w:p w14:paraId="08B36965" w14:textId="77777777" w:rsidR="004E4352" w:rsidRPr="00FB40BF" w:rsidRDefault="004E4352" w:rsidP="00FB40BF">
      <w:pPr>
        <w:spacing w:line="360" w:lineRule="auto"/>
        <w:jc w:val="both"/>
        <w:rPr>
          <w:rFonts w:ascii="Book Antiqua" w:hAnsi="Book Antiqua"/>
        </w:rPr>
      </w:pPr>
      <w:r w:rsidRPr="00FB40BF">
        <w:rPr>
          <w:rFonts w:ascii="Book Antiqua" w:hAnsi="Book Antiqua"/>
        </w:rPr>
        <w:t xml:space="preserve">14 </w:t>
      </w:r>
      <w:r w:rsidRPr="00FB40BF">
        <w:rPr>
          <w:rFonts w:ascii="Book Antiqua" w:hAnsi="Book Antiqua"/>
          <w:b/>
          <w:bCs/>
        </w:rPr>
        <w:t>Dusheiko G</w:t>
      </w:r>
      <w:r w:rsidRPr="00FB40BF">
        <w:rPr>
          <w:rFonts w:ascii="Book Antiqua" w:hAnsi="Book Antiqua"/>
        </w:rPr>
        <w:t xml:space="preserve">, Agarwal K, Maini MK. New Approaches to Chronic Hepatitis B. </w:t>
      </w:r>
      <w:r w:rsidRPr="00FB40BF">
        <w:rPr>
          <w:rFonts w:ascii="Book Antiqua" w:hAnsi="Book Antiqua"/>
          <w:i/>
          <w:iCs/>
        </w:rPr>
        <w:t>N Engl J Med</w:t>
      </w:r>
      <w:r w:rsidRPr="00FB40BF">
        <w:rPr>
          <w:rFonts w:ascii="Book Antiqua" w:hAnsi="Book Antiqua"/>
        </w:rPr>
        <w:t xml:space="preserve"> 2023; </w:t>
      </w:r>
      <w:r w:rsidRPr="00FB40BF">
        <w:rPr>
          <w:rFonts w:ascii="Book Antiqua" w:hAnsi="Book Antiqua"/>
          <w:b/>
          <w:bCs/>
        </w:rPr>
        <w:t>388</w:t>
      </w:r>
      <w:r w:rsidRPr="00FB40BF">
        <w:rPr>
          <w:rFonts w:ascii="Book Antiqua" w:hAnsi="Book Antiqua"/>
        </w:rPr>
        <w:t>: 55-69 [PMID: 36599063 DOI: 10.1056/NEJMra2211764]</w:t>
      </w:r>
    </w:p>
    <w:p w14:paraId="65DF0E7F" w14:textId="77777777" w:rsidR="004E4352" w:rsidRPr="00FB40BF" w:rsidRDefault="004E4352" w:rsidP="00FB40BF">
      <w:pPr>
        <w:spacing w:line="360" w:lineRule="auto"/>
        <w:jc w:val="both"/>
        <w:rPr>
          <w:rFonts w:ascii="Book Antiqua" w:hAnsi="Book Antiqua"/>
        </w:rPr>
      </w:pPr>
      <w:r w:rsidRPr="00FB40BF">
        <w:rPr>
          <w:rFonts w:ascii="Book Antiqua" w:hAnsi="Book Antiqua"/>
        </w:rPr>
        <w:t xml:space="preserve">15 </w:t>
      </w:r>
      <w:r w:rsidRPr="00FB40BF">
        <w:rPr>
          <w:rFonts w:ascii="Book Antiqua" w:hAnsi="Book Antiqua"/>
          <w:b/>
          <w:bCs/>
        </w:rPr>
        <w:t>Nathan DM</w:t>
      </w:r>
      <w:r w:rsidRPr="00FB40BF">
        <w:rPr>
          <w:rFonts w:ascii="Book Antiqua" w:hAnsi="Book Antiqua"/>
        </w:rPr>
        <w:t xml:space="preserve">, Angus PW, Gibson PR. Hepatitis B and C virus infections and anti-tumor necrosis factor-alpha therapy: guidelines for clinical approach. </w:t>
      </w:r>
      <w:r w:rsidRPr="00FB40BF">
        <w:rPr>
          <w:rFonts w:ascii="Book Antiqua" w:hAnsi="Book Antiqua"/>
          <w:i/>
          <w:iCs/>
        </w:rPr>
        <w:t>J Gastroenterol Hepatol</w:t>
      </w:r>
      <w:r w:rsidRPr="00FB40BF">
        <w:rPr>
          <w:rFonts w:ascii="Book Antiqua" w:hAnsi="Book Antiqua"/>
        </w:rPr>
        <w:t xml:space="preserve"> 2006; </w:t>
      </w:r>
      <w:r w:rsidRPr="00FB40BF">
        <w:rPr>
          <w:rFonts w:ascii="Book Antiqua" w:hAnsi="Book Antiqua"/>
          <w:b/>
          <w:bCs/>
        </w:rPr>
        <w:t>21</w:t>
      </w:r>
      <w:r w:rsidRPr="00FB40BF">
        <w:rPr>
          <w:rFonts w:ascii="Book Antiqua" w:hAnsi="Book Antiqua"/>
        </w:rPr>
        <w:t>: 1366-1371 [PMID: 16911678 DOI: 10.1111/j.1440-1746.2006.04559.x]</w:t>
      </w:r>
    </w:p>
    <w:p w14:paraId="393C10ED" w14:textId="77777777" w:rsidR="004E4352" w:rsidRPr="00FB40BF" w:rsidRDefault="004E4352" w:rsidP="00FB40BF">
      <w:pPr>
        <w:spacing w:line="360" w:lineRule="auto"/>
        <w:jc w:val="both"/>
        <w:rPr>
          <w:rFonts w:ascii="Book Antiqua" w:hAnsi="Book Antiqua"/>
        </w:rPr>
      </w:pPr>
      <w:r w:rsidRPr="00FB40BF">
        <w:rPr>
          <w:rFonts w:ascii="Book Antiqua" w:hAnsi="Book Antiqua"/>
        </w:rPr>
        <w:t xml:space="preserve">16 </w:t>
      </w:r>
      <w:r w:rsidRPr="00FB40BF">
        <w:rPr>
          <w:rFonts w:ascii="Book Antiqua" w:hAnsi="Book Antiqua"/>
          <w:b/>
          <w:bCs/>
        </w:rPr>
        <w:t>Megna M</w:t>
      </w:r>
      <w:r w:rsidRPr="00FB40BF">
        <w:rPr>
          <w:rFonts w:ascii="Book Antiqua" w:hAnsi="Book Antiqua"/>
        </w:rPr>
        <w:t xml:space="preserve">, Patruno C, Bongiorno MR, Gambardella A, Guarneri C, Romita P, Raimondo A, Loconsole F, Fabbrocini G. Hepatitis Virus Reactivation in Patients with Psoriasis Treated with Secukinumab in a Real-World Setting of Hepatitis B or Hepatitis C Infection. </w:t>
      </w:r>
      <w:r w:rsidRPr="00FB40BF">
        <w:rPr>
          <w:rFonts w:ascii="Book Antiqua" w:hAnsi="Book Antiqua"/>
          <w:i/>
          <w:iCs/>
        </w:rPr>
        <w:t>Clin Drug Investig</w:t>
      </w:r>
      <w:r w:rsidRPr="00FB40BF">
        <w:rPr>
          <w:rFonts w:ascii="Book Antiqua" w:hAnsi="Book Antiqua"/>
        </w:rPr>
        <w:t xml:space="preserve"> 2022; </w:t>
      </w:r>
      <w:r w:rsidRPr="00FB40BF">
        <w:rPr>
          <w:rFonts w:ascii="Book Antiqua" w:hAnsi="Book Antiqua"/>
          <w:b/>
          <w:bCs/>
        </w:rPr>
        <w:t>42</w:t>
      </w:r>
      <w:r w:rsidRPr="00FB40BF">
        <w:rPr>
          <w:rFonts w:ascii="Book Antiqua" w:hAnsi="Book Antiqua"/>
        </w:rPr>
        <w:t>: 525-531 [PMID: 35633470 DOI: 10.1007/s40261-022-01163-5]</w:t>
      </w:r>
    </w:p>
    <w:p w14:paraId="5062386D" w14:textId="77777777" w:rsidR="004E4352" w:rsidRPr="00FB40BF" w:rsidRDefault="004E4352" w:rsidP="00FB40BF">
      <w:pPr>
        <w:spacing w:line="360" w:lineRule="auto"/>
        <w:jc w:val="both"/>
        <w:rPr>
          <w:rFonts w:ascii="Book Antiqua" w:hAnsi="Book Antiqua"/>
        </w:rPr>
      </w:pPr>
      <w:r w:rsidRPr="00FB40BF">
        <w:rPr>
          <w:rFonts w:ascii="Book Antiqua" w:hAnsi="Book Antiqua"/>
        </w:rPr>
        <w:t xml:space="preserve">17 </w:t>
      </w:r>
      <w:r w:rsidRPr="00FB40BF">
        <w:rPr>
          <w:rFonts w:ascii="Book Antiqua" w:hAnsi="Book Antiqua"/>
          <w:b/>
          <w:bCs/>
        </w:rPr>
        <w:t>Chiu HY</w:t>
      </w:r>
      <w:r w:rsidRPr="00FB40BF">
        <w:rPr>
          <w:rFonts w:ascii="Book Antiqua" w:hAnsi="Book Antiqua"/>
        </w:rPr>
        <w:t xml:space="preserve">, Hui RC, Huang YH, Huang RY, Chen KL, Tsai YC, Lai PJ, Wang TS, Tsai TF. Safety Proﬁle of Secukinumab in Treatment of Patients with Psoriasis and Concurrent Hepatitis B or C: A Multicentric Prospective Cohort Study. </w:t>
      </w:r>
      <w:r w:rsidRPr="00FB40BF">
        <w:rPr>
          <w:rFonts w:ascii="Book Antiqua" w:hAnsi="Book Antiqua"/>
          <w:i/>
          <w:iCs/>
        </w:rPr>
        <w:t>Acta Derm Venereol</w:t>
      </w:r>
      <w:r w:rsidRPr="00FB40BF">
        <w:rPr>
          <w:rFonts w:ascii="Book Antiqua" w:hAnsi="Book Antiqua"/>
        </w:rPr>
        <w:t xml:space="preserve"> 2018; </w:t>
      </w:r>
      <w:r w:rsidRPr="00FB40BF">
        <w:rPr>
          <w:rFonts w:ascii="Book Antiqua" w:hAnsi="Book Antiqua"/>
          <w:b/>
          <w:bCs/>
        </w:rPr>
        <w:t>98</w:t>
      </w:r>
      <w:r w:rsidRPr="00FB40BF">
        <w:rPr>
          <w:rFonts w:ascii="Book Antiqua" w:hAnsi="Book Antiqua"/>
        </w:rPr>
        <w:t>: 829-834 [PMID: 29972221 DOI: 10.2340/00015555-2989]</w:t>
      </w:r>
    </w:p>
    <w:p w14:paraId="631B8FC0" w14:textId="77777777" w:rsidR="004E4352" w:rsidRPr="00FB40BF" w:rsidRDefault="004E4352" w:rsidP="00FB40BF">
      <w:pPr>
        <w:spacing w:line="360" w:lineRule="auto"/>
        <w:jc w:val="both"/>
        <w:rPr>
          <w:rFonts w:ascii="Book Antiqua" w:hAnsi="Book Antiqua"/>
        </w:rPr>
      </w:pPr>
      <w:r w:rsidRPr="00FB40BF">
        <w:rPr>
          <w:rFonts w:ascii="Book Antiqua" w:hAnsi="Book Antiqua"/>
        </w:rPr>
        <w:t xml:space="preserve">18 </w:t>
      </w:r>
      <w:r w:rsidRPr="00FB40BF">
        <w:rPr>
          <w:rFonts w:ascii="Book Antiqua" w:hAnsi="Book Antiqua"/>
          <w:b/>
          <w:bCs/>
        </w:rPr>
        <w:t>Chiu HY</w:t>
      </w:r>
      <w:r w:rsidRPr="00FB40BF">
        <w:rPr>
          <w:rFonts w:ascii="Book Antiqua" w:hAnsi="Book Antiqua"/>
        </w:rPr>
        <w:t xml:space="preserve">, Chen CH, Wu MS, Cheng YP, Tsai TF. The safety profile of ustekinumab in the treatment of patients with psoriasis and concurrent hepatitis B or C. </w:t>
      </w:r>
      <w:r w:rsidRPr="00FB40BF">
        <w:rPr>
          <w:rFonts w:ascii="Book Antiqua" w:hAnsi="Book Antiqua"/>
          <w:i/>
          <w:iCs/>
        </w:rPr>
        <w:t>Br J Dermatol</w:t>
      </w:r>
      <w:r w:rsidRPr="00FB40BF">
        <w:rPr>
          <w:rFonts w:ascii="Book Antiqua" w:hAnsi="Book Antiqua"/>
        </w:rPr>
        <w:t xml:space="preserve"> 2013; </w:t>
      </w:r>
      <w:r w:rsidRPr="00FB40BF">
        <w:rPr>
          <w:rFonts w:ascii="Book Antiqua" w:hAnsi="Book Antiqua"/>
          <w:b/>
          <w:bCs/>
        </w:rPr>
        <w:t>169</w:t>
      </w:r>
      <w:r w:rsidRPr="00FB40BF">
        <w:rPr>
          <w:rFonts w:ascii="Book Antiqua" w:hAnsi="Book Antiqua"/>
        </w:rPr>
        <w:t>: 1295-1303 [PMID: 23746170 DOI: 10.1111/bjd.12461]</w:t>
      </w:r>
    </w:p>
    <w:p w14:paraId="3366B701" w14:textId="77777777" w:rsidR="004E4352" w:rsidRPr="00FB40BF" w:rsidRDefault="004E4352" w:rsidP="00FB40BF">
      <w:pPr>
        <w:spacing w:line="360" w:lineRule="auto"/>
        <w:jc w:val="both"/>
        <w:rPr>
          <w:rFonts w:ascii="Book Antiqua" w:hAnsi="Book Antiqua"/>
        </w:rPr>
      </w:pPr>
      <w:r w:rsidRPr="00FB40BF">
        <w:rPr>
          <w:rFonts w:ascii="Book Antiqua" w:hAnsi="Book Antiqua"/>
        </w:rPr>
        <w:t xml:space="preserve">19 </w:t>
      </w:r>
      <w:r w:rsidRPr="00FB40BF">
        <w:rPr>
          <w:rFonts w:ascii="Book Antiqua" w:hAnsi="Book Antiqua"/>
          <w:b/>
          <w:bCs/>
        </w:rPr>
        <w:t>Ting SW</w:t>
      </w:r>
      <w:r w:rsidRPr="00FB40BF">
        <w:rPr>
          <w:rFonts w:ascii="Book Antiqua" w:hAnsi="Book Antiqua"/>
        </w:rPr>
        <w:t xml:space="preserve">, Chen YC, Huang YH. Risk of Hepatitis B Reactivation in Patients with Psoriasis on Ustekinumab. </w:t>
      </w:r>
      <w:r w:rsidRPr="00FB40BF">
        <w:rPr>
          <w:rFonts w:ascii="Book Antiqua" w:hAnsi="Book Antiqua"/>
          <w:i/>
          <w:iCs/>
        </w:rPr>
        <w:t>Clin Drug Investig</w:t>
      </w:r>
      <w:r w:rsidRPr="00FB40BF">
        <w:rPr>
          <w:rFonts w:ascii="Book Antiqua" w:hAnsi="Book Antiqua"/>
        </w:rPr>
        <w:t xml:space="preserve"> 2018; </w:t>
      </w:r>
      <w:r w:rsidRPr="00FB40BF">
        <w:rPr>
          <w:rFonts w:ascii="Book Antiqua" w:hAnsi="Book Antiqua"/>
          <w:b/>
          <w:bCs/>
        </w:rPr>
        <w:t>38</w:t>
      </w:r>
      <w:r w:rsidRPr="00FB40BF">
        <w:rPr>
          <w:rFonts w:ascii="Book Antiqua" w:hAnsi="Book Antiqua"/>
        </w:rPr>
        <w:t>: 873-880 [PMID: 29968197 DOI: 10.1007/s40261-018-0671-z]</w:t>
      </w:r>
    </w:p>
    <w:p w14:paraId="06877DAE" w14:textId="77777777" w:rsidR="004E4352" w:rsidRPr="00FB40BF" w:rsidRDefault="000E4B02" w:rsidP="00FB40BF">
      <w:pPr>
        <w:spacing w:line="360" w:lineRule="auto"/>
        <w:jc w:val="both"/>
        <w:rPr>
          <w:rFonts w:ascii="Book Antiqua" w:hAnsi="Book Antiqua"/>
        </w:rPr>
      </w:pPr>
      <w:r w:rsidRPr="00FB40BF">
        <w:rPr>
          <w:rFonts w:ascii="Book Antiqua" w:hAnsi="Book Antiqua"/>
        </w:rPr>
        <w:lastRenderedPageBreak/>
        <w:t>20</w:t>
      </w:r>
      <w:r w:rsidR="004E4352" w:rsidRPr="00FB40BF">
        <w:rPr>
          <w:rFonts w:ascii="Book Antiqua" w:hAnsi="Book Antiqua"/>
        </w:rPr>
        <w:t xml:space="preserve"> </w:t>
      </w:r>
      <w:r w:rsidRPr="00FB40BF">
        <w:rPr>
          <w:rFonts w:ascii="Book Antiqua" w:hAnsi="Book Antiqua"/>
          <w:b/>
        </w:rPr>
        <w:t xml:space="preserve">European Association for the Study of the Liver. </w:t>
      </w:r>
      <w:r w:rsidRPr="00FB40BF">
        <w:rPr>
          <w:rFonts w:ascii="Book Antiqua" w:hAnsi="Book Antiqua"/>
        </w:rPr>
        <w:t xml:space="preserve">European Association for the Study of the Liver. EASL 2017 Clinical Practice Guidelines on the management of hepatitis B virus infection. </w:t>
      </w:r>
      <w:r w:rsidRPr="00FB40BF">
        <w:rPr>
          <w:rFonts w:ascii="Book Antiqua" w:hAnsi="Book Antiqua"/>
          <w:i/>
        </w:rPr>
        <w:t xml:space="preserve">J Hepatol </w:t>
      </w:r>
      <w:r w:rsidRPr="00FB40BF">
        <w:rPr>
          <w:rFonts w:ascii="Book Antiqua" w:hAnsi="Book Antiqua"/>
        </w:rPr>
        <w:t xml:space="preserve">2017; </w:t>
      </w:r>
      <w:r w:rsidRPr="00FB40BF">
        <w:rPr>
          <w:rFonts w:ascii="Book Antiqua" w:hAnsi="Book Antiqua"/>
          <w:b/>
        </w:rPr>
        <w:t>67:</w:t>
      </w:r>
      <w:r w:rsidRPr="00FB40BF">
        <w:rPr>
          <w:rFonts w:ascii="Book Antiqua" w:hAnsi="Book Antiqua"/>
        </w:rPr>
        <w:t xml:space="preserve"> 370-398 [PMID: 28427875 DOI: 10.1016/j.jhep.2017.03.021]</w:t>
      </w:r>
    </w:p>
    <w:p w14:paraId="16ED274C" w14:textId="77777777" w:rsidR="004E4352" w:rsidRPr="00FB40BF" w:rsidRDefault="004E4352" w:rsidP="00FB40BF">
      <w:pPr>
        <w:spacing w:line="360" w:lineRule="auto"/>
        <w:jc w:val="both"/>
        <w:rPr>
          <w:rFonts w:ascii="Book Antiqua" w:hAnsi="Book Antiqua"/>
        </w:rPr>
      </w:pPr>
      <w:r w:rsidRPr="00FB40BF">
        <w:rPr>
          <w:rFonts w:ascii="Book Antiqua" w:hAnsi="Book Antiqua"/>
        </w:rPr>
        <w:t xml:space="preserve">21 </w:t>
      </w:r>
      <w:r w:rsidRPr="00FB40BF">
        <w:rPr>
          <w:rFonts w:ascii="Book Antiqua" w:hAnsi="Book Antiqua"/>
          <w:b/>
          <w:bCs/>
        </w:rPr>
        <w:t>Ekpanyapong S</w:t>
      </w:r>
      <w:r w:rsidRPr="00FB40BF">
        <w:rPr>
          <w:rFonts w:ascii="Book Antiqua" w:hAnsi="Book Antiqua"/>
        </w:rPr>
        <w:t xml:space="preserve">, Reddy KR. Hepatitis B Virus Reactivation: What Is the Issue, and How Should It Be Managed? </w:t>
      </w:r>
      <w:r w:rsidRPr="00FB40BF">
        <w:rPr>
          <w:rFonts w:ascii="Book Antiqua" w:hAnsi="Book Antiqua"/>
          <w:i/>
          <w:iCs/>
        </w:rPr>
        <w:t>Clin Liver Dis</w:t>
      </w:r>
      <w:r w:rsidRPr="00FB40BF">
        <w:rPr>
          <w:rFonts w:ascii="Book Antiqua" w:hAnsi="Book Antiqua"/>
        </w:rPr>
        <w:t xml:space="preserve"> 2020; </w:t>
      </w:r>
      <w:r w:rsidRPr="00FB40BF">
        <w:rPr>
          <w:rFonts w:ascii="Book Antiqua" w:hAnsi="Book Antiqua"/>
          <w:b/>
          <w:bCs/>
        </w:rPr>
        <w:t>24</w:t>
      </w:r>
      <w:r w:rsidRPr="00FB40BF">
        <w:rPr>
          <w:rFonts w:ascii="Book Antiqua" w:hAnsi="Book Antiqua"/>
        </w:rPr>
        <w:t>: 317-333 [PMID: 32620274 DOI: 10.1016/j.cld.2020.04.002]</w:t>
      </w:r>
    </w:p>
    <w:bookmarkEnd w:id="98"/>
    <w:bookmarkEnd w:id="99"/>
    <w:p w14:paraId="23095319" w14:textId="77777777" w:rsidR="00A77B3E" w:rsidRPr="00FB40BF" w:rsidRDefault="00A77B3E" w:rsidP="00FB40BF">
      <w:pPr>
        <w:spacing w:line="360" w:lineRule="auto"/>
        <w:jc w:val="both"/>
        <w:rPr>
          <w:rFonts w:ascii="Book Antiqua" w:hAnsi="Book Antiqua"/>
        </w:rPr>
      </w:pPr>
    </w:p>
    <w:p w14:paraId="37C59A4F" w14:textId="77777777" w:rsidR="00A77B3E" w:rsidRPr="00FB40BF" w:rsidRDefault="00A77B3E" w:rsidP="00FB40BF">
      <w:pPr>
        <w:spacing w:line="360" w:lineRule="auto"/>
        <w:jc w:val="both"/>
        <w:rPr>
          <w:rFonts w:ascii="Book Antiqua" w:hAnsi="Book Antiqua"/>
        </w:rPr>
        <w:sectPr w:rsidR="00A77B3E" w:rsidRPr="00FB40BF" w:rsidSect="00F358D9">
          <w:pgSz w:w="12240" w:h="15840"/>
          <w:pgMar w:top="1440" w:right="1440" w:bottom="1440" w:left="1440" w:header="720" w:footer="720" w:gutter="0"/>
          <w:cols w:space="720"/>
          <w:docGrid w:linePitch="360"/>
        </w:sectPr>
      </w:pPr>
    </w:p>
    <w:p w14:paraId="32BD9354" w14:textId="77777777"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b/>
          <w:color w:val="000000"/>
        </w:rPr>
        <w:lastRenderedPageBreak/>
        <w:t>Footnotes</w:t>
      </w:r>
    </w:p>
    <w:p w14:paraId="2DC9D40F" w14:textId="6566D6BA"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b/>
          <w:bCs/>
        </w:rPr>
        <w:t xml:space="preserve">Conflict-of-interest statement: </w:t>
      </w:r>
      <w:r w:rsidR="009D2FCC" w:rsidRPr="006D013D">
        <w:rPr>
          <w:rFonts w:ascii="Book Antiqua" w:eastAsia="Book Antiqua" w:hAnsi="Book Antiqua" w:cs="Book Antiqua"/>
        </w:rPr>
        <w:t>The authors</w:t>
      </w:r>
      <w:r w:rsidR="009D2FCC">
        <w:rPr>
          <w:rFonts w:ascii="Book Antiqua" w:eastAsia="Book Antiqua" w:hAnsi="Book Antiqua" w:cs="Book Antiqua"/>
          <w:b/>
          <w:bCs/>
        </w:rPr>
        <w:t xml:space="preserve"> </w:t>
      </w:r>
      <w:r w:rsidRPr="00FB40BF">
        <w:rPr>
          <w:rFonts w:ascii="Book Antiqua" w:eastAsia="Book Antiqua" w:hAnsi="Book Antiqua" w:cs="Book Antiqua"/>
        </w:rPr>
        <w:t xml:space="preserve">declare </w:t>
      </w:r>
      <w:r w:rsidR="006E3384">
        <w:rPr>
          <w:rFonts w:ascii="Book Antiqua" w:eastAsia="Book Antiqua" w:hAnsi="Book Antiqua" w:cs="Book Antiqua"/>
        </w:rPr>
        <w:t xml:space="preserve">having </w:t>
      </w:r>
      <w:r w:rsidRPr="00FB40BF">
        <w:rPr>
          <w:rFonts w:ascii="Book Antiqua" w:eastAsia="Book Antiqua" w:hAnsi="Book Antiqua" w:cs="Book Antiqua"/>
        </w:rPr>
        <w:t>no conflict of interests for this article</w:t>
      </w:r>
      <w:r w:rsidR="000137AE" w:rsidRPr="00FB40BF">
        <w:rPr>
          <w:rFonts w:ascii="Book Antiqua" w:eastAsia="Book Antiqua" w:hAnsi="Book Antiqua" w:cs="Book Antiqua"/>
        </w:rPr>
        <w:t>.</w:t>
      </w:r>
    </w:p>
    <w:p w14:paraId="32D9156C" w14:textId="77777777" w:rsidR="00A77B3E" w:rsidRPr="00FB40BF" w:rsidRDefault="00A77B3E" w:rsidP="00FB40BF">
      <w:pPr>
        <w:spacing w:line="360" w:lineRule="auto"/>
        <w:jc w:val="both"/>
        <w:rPr>
          <w:rFonts w:ascii="Book Antiqua" w:hAnsi="Book Antiqua"/>
        </w:rPr>
      </w:pPr>
    </w:p>
    <w:p w14:paraId="4D179F22" w14:textId="2F65D1BF"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b/>
          <w:bCs/>
        </w:rPr>
        <w:t xml:space="preserve">Open-Access: </w:t>
      </w:r>
      <w:r w:rsidRPr="00FB40BF">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w:t>
      </w:r>
      <w:r w:rsidR="009D2FCC">
        <w:rPr>
          <w:rFonts w:ascii="Book Antiqua" w:eastAsia="Book Antiqua" w:hAnsi="Book Antiqua" w:cs="Book Antiqua"/>
        </w:rPr>
        <w:t>-</w:t>
      </w:r>
      <w:r w:rsidRPr="00FB40BF">
        <w:rPr>
          <w:rFonts w:ascii="Book Antiqua" w:eastAsia="Book Antiqua" w:hAnsi="Book Antiqua" w:cs="Book Antiqua"/>
        </w:rPr>
        <w:t>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E40BF75" w14:textId="77777777" w:rsidR="00A77B3E" w:rsidRPr="00FB40BF" w:rsidRDefault="00A77B3E" w:rsidP="00FB40BF">
      <w:pPr>
        <w:spacing w:line="360" w:lineRule="auto"/>
        <w:jc w:val="both"/>
        <w:rPr>
          <w:rFonts w:ascii="Book Antiqua" w:hAnsi="Book Antiqua"/>
        </w:rPr>
      </w:pPr>
    </w:p>
    <w:p w14:paraId="34FDB8C2" w14:textId="77777777"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b/>
          <w:color w:val="000000"/>
        </w:rPr>
        <w:t xml:space="preserve">Provenance and peer review: </w:t>
      </w:r>
      <w:r w:rsidRPr="00FB40BF">
        <w:rPr>
          <w:rFonts w:ascii="Book Antiqua" w:eastAsia="Book Antiqua" w:hAnsi="Book Antiqua" w:cs="Book Antiqua"/>
        </w:rPr>
        <w:t>Invited article; Externally peer reviewed.</w:t>
      </w:r>
    </w:p>
    <w:p w14:paraId="04A5A85F" w14:textId="77777777"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b/>
          <w:color w:val="000000"/>
        </w:rPr>
        <w:t xml:space="preserve">Peer-review model: </w:t>
      </w:r>
      <w:r w:rsidRPr="00FB40BF">
        <w:rPr>
          <w:rFonts w:ascii="Book Antiqua" w:eastAsia="Book Antiqua" w:hAnsi="Book Antiqua" w:cs="Book Antiqua"/>
        </w:rPr>
        <w:t>Single blind</w:t>
      </w:r>
    </w:p>
    <w:p w14:paraId="6238F956" w14:textId="77777777" w:rsidR="00A77B3E" w:rsidRPr="00FB40BF" w:rsidRDefault="00A77B3E" w:rsidP="00FB40BF">
      <w:pPr>
        <w:spacing w:line="360" w:lineRule="auto"/>
        <w:jc w:val="both"/>
        <w:rPr>
          <w:rFonts w:ascii="Book Antiqua" w:hAnsi="Book Antiqua"/>
        </w:rPr>
      </w:pPr>
    </w:p>
    <w:p w14:paraId="3EC23441" w14:textId="77777777"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b/>
          <w:color w:val="000000"/>
        </w:rPr>
        <w:t xml:space="preserve">Peer-review started: </w:t>
      </w:r>
      <w:r w:rsidRPr="00FB40BF">
        <w:rPr>
          <w:rFonts w:ascii="Book Antiqua" w:eastAsia="Book Antiqua" w:hAnsi="Book Antiqua" w:cs="Book Antiqua"/>
        </w:rPr>
        <w:t>September 26, 2023</w:t>
      </w:r>
    </w:p>
    <w:p w14:paraId="3B5B7D8D" w14:textId="77777777"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b/>
          <w:color w:val="000000"/>
        </w:rPr>
        <w:t xml:space="preserve">First decision: </w:t>
      </w:r>
      <w:r w:rsidRPr="00FB40BF">
        <w:rPr>
          <w:rFonts w:ascii="Book Antiqua" w:eastAsia="Book Antiqua" w:hAnsi="Book Antiqua" w:cs="Book Antiqua"/>
        </w:rPr>
        <w:t>November 23, 2023</w:t>
      </w:r>
    </w:p>
    <w:p w14:paraId="3FEC5F31" w14:textId="77777777"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b/>
          <w:color w:val="000000"/>
        </w:rPr>
        <w:t xml:space="preserve">Article in press: </w:t>
      </w:r>
    </w:p>
    <w:p w14:paraId="6A0CB3E3" w14:textId="77777777" w:rsidR="00A77B3E" w:rsidRPr="00FB40BF" w:rsidRDefault="00A77B3E" w:rsidP="00FB40BF">
      <w:pPr>
        <w:spacing w:line="360" w:lineRule="auto"/>
        <w:jc w:val="both"/>
        <w:rPr>
          <w:rFonts w:ascii="Book Antiqua" w:hAnsi="Book Antiqua"/>
        </w:rPr>
      </w:pPr>
    </w:p>
    <w:p w14:paraId="045E0A8C" w14:textId="77777777"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b/>
          <w:color w:val="000000"/>
        </w:rPr>
        <w:t xml:space="preserve">Specialty type: </w:t>
      </w:r>
      <w:r w:rsidRPr="00FB40BF">
        <w:rPr>
          <w:rFonts w:ascii="Book Antiqua" w:eastAsia="Book Antiqua" w:hAnsi="Book Antiqua" w:cs="Book Antiqua"/>
        </w:rPr>
        <w:t>Virology</w:t>
      </w:r>
    </w:p>
    <w:p w14:paraId="26C752BC" w14:textId="77777777"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b/>
          <w:color w:val="000000"/>
        </w:rPr>
        <w:t xml:space="preserve">Country/Territory of origin: </w:t>
      </w:r>
      <w:r w:rsidRPr="00FB40BF">
        <w:rPr>
          <w:rFonts w:ascii="Book Antiqua" w:eastAsia="Book Antiqua" w:hAnsi="Book Antiqua" w:cs="Book Antiqua"/>
        </w:rPr>
        <w:t>Italy</w:t>
      </w:r>
    </w:p>
    <w:p w14:paraId="47BDC0C7" w14:textId="77777777"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b/>
          <w:color w:val="000000"/>
        </w:rPr>
        <w:t>Peer-review report’s scientific quality classification</w:t>
      </w:r>
    </w:p>
    <w:p w14:paraId="55995AE6" w14:textId="77777777"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rPr>
        <w:t>Grade A (Excellent): 0</w:t>
      </w:r>
    </w:p>
    <w:p w14:paraId="774103C4" w14:textId="77777777"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rPr>
        <w:t>Grade B (Very good): 0</w:t>
      </w:r>
    </w:p>
    <w:p w14:paraId="143A6AB8" w14:textId="59A28F1C" w:rsidR="00A77B3E" w:rsidRPr="004A450B" w:rsidRDefault="00E50F15" w:rsidP="00FB40BF">
      <w:pPr>
        <w:spacing w:line="360" w:lineRule="auto"/>
        <w:jc w:val="both"/>
        <w:rPr>
          <w:rFonts w:ascii="SimSun" w:eastAsia="SimSun" w:hAnsi="SimSun" w:cs="SimSun"/>
          <w:lang w:eastAsia="zh-CN"/>
        </w:rPr>
      </w:pPr>
      <w:r w:rsidRPr="00FB40BF">
        <w:rPr>
          <w:rFonts w:ascii="Book Antiqua" w:eastAsia="Book Antiqua" w:hAnsi="Book Antiqua" w:cs="Book Antiqua"/>
        </w:rPr>
        <w:t>Grade C (Good): C</w:t>
      </w:r>
      <w:r w:rsidR="008C1E4A">
        <w:rPr>
          <w:rFonts w:ascii="Book Antiqua" w:eastAsia="Book Antiqua" w:hAnsi="Book Antiqua" w:cs="Book Antiqua"/>
        </w:rPr>
        <w:t>, C, C</w:t>
      </w:r>
    </w:p>
    <w:p w14:paraId="201CD9B5" w14:textId="69B28B30"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rPr>
        <w:t xml:space="preserve">Grade D (Fair): </w:t>
      </w:r>
      <w:r w:rsidR="008C1E4A">
        <w:rPr>
          <w:rFonts w:ascii="Book Antiqua" w:eastAsia="Book Antiqua" w:hAnsi="Book Antiqua" w:cs="Book Antiqua"/>
        </w:rPr>
        <w:t>D</w:t>
      </w:r>
    </w:p>
    <w:p w14:paraId="0DD8A576" w14:textId="77777777" w:rsidR="00A77B3E" w:rsidRPr="00FB40BF" w:rsidRDefault="00E50F15" w:rsidP="00FB40BF">
      <w:pPr>
        <w:spacing w:line="360" w:lineRule="auto"/>
        <w:jc w:val="both"/>
        <w:rPr>
          <w:rFonts w:ascii="Book Antiqua" w:hAnsi="Book Antiqua"/>
        </w:rPr>
      </w:pPr>
      <w:r w:rsidRPr="00FB40BF">
        <w:rPr>
          <w:rFonts w:ascii="Book Antiqua" w:eastAsia="Book Antiqua" w:hAnsi="Book Antiqua" w:cs="Book Antiqua"/>
        </w:rPr>
        <w:t>Grade E (Poor): 0</w:t>
      </w:r>
    </w:p>
    <w:p w14:paraId="4B5055E4" w14:textId="77777777" w:rsidR="00A77B3E" w:rsidRPr="00FB40BF" w:rsidRDefault="00A77B3E" w:rsidP="00FB40BF">
      <w:pPr>
        <w:spacing w:line="360" w:lineRule="auto"/>
        <w:jc w:val="both"/>
        <w:rPr>
          <w:rFonts w:ascii="Book Antiqua" w:hAnsi="Book Antiqua"/>
        </w:rPr>
      </w:pPr>
    </w:p>
    <w:p w14:paraId="63FBE43E" w14:textId="3309FA28" w:rsidR="00CB3479" w:rsidRPr="00FB40BF" w:rsidRDefault="00E50F15" w:rsidP="00FB40BF">
      <w:pPr>
        <w:spacing w:line="360" w:lineRule="auto"/>
        <w:jc w:val="both"/>
        <w:rPr>
          <w:rFonts w:ascii="Book Antiqua" w:eastAsia="Book Antiqua" w:hAnsi="Book Antiqua" w:cs="Book Antiqua"/>
          <w:b/>
          <w:color w:val="000000"/>
        </w:rPr>
      </w:pPr>
      <w:r w:rsidRPr="00FB40BF">
        <w:rPr>
          <w:rFonts w:ascii="Book Antiqua" w:eastAsia="Book Antiqua" w:hAnsi="Book Antiqua" w:cs="Book Antiqua"/>
          <w:b/>
          <w:color w:val="000000"/>
        </w:rPr>
        <w:t xml:space="preserve">P-Reviewer: </w:t>
      </w:r>
      <w:r w:rsidRPr="00FB40BF">
        <w:rPr>
          <w:rFonts w:ascii="Book Antiqua" w:eastAsia="Book Antiqua" w:hAnsi="Book Antiqua" w:cs="Book Antiqua"/>
        </w:rPr>
        <w:t>Mucenic M, Brazil</w:t>
      </w:r>
      <w:r w:rsidR="008C1E4A">
        <w:rPr>
          <w:rFonts w:ascii="Book Antiqua" w:eastAsia="Book Antiqua" w:hAnsi="Book Antiqua" w:cs="Book Antiqua"/>
        </w:rPr>
        <w:t>;</w:t>
      </w:r>
      <w:r w:rsidRPr="00FB40BF">
        <w:rPr>
          <w:rFonts w:ascii="Book Antiqua" w:eastAsia="Book Antiqua" w:hAnsi="Book Antiqua" w:cs="Book Antiqua"/>
          <w:b/>
          <w:color w:val="000000"/>
        </w:rPr>
        <w:t xml:space="preserve"> </w:t>
      </w:r>
      <w:r w:rsidR="008C1E4A" w:rsidRPr="004A450B">
        <w:rPr>
          <w:rFonts w:ascii="Book Antiqua" w:eastAsia="Book Antiqua" w:hAnsi="Book Antiqua" w:cs="Book Antiqua"/>
          <w:bCs/>
          <w:color w:val="000000"/>
        </w:rPr>
        <w:t xml:space="preserve">Fan YC, China; </w:t>
      </w:r>
      <w:r w:rsidR="008C1E4A" w:rsidRPr="00944552">
        <w:rPr>
          <w:rFonts w:ascii="Book Antiqua" w:eastAsia="Book Antiqua" w:hAnsi="Book Antiqua" w:cs="Book Antiqua"/>
          <w:bCs/>
          <w:color w:val="000000"/>
        </w:rPr>
        <w:t>Gao S, China</w:t>
      </w:r>
      <w:r w:rsidR="008C1E4A">
        <w:rPr>
          <w:rFonts w:ascii="Book Antiqua" w:eastAsia="Book Antiqua" w:hAnsi="Book Antiqua" w:cs="Book Antiqua"/>
          <w:bCs/>
          <w:color w:val="000000"/>
        </w:rPr>
        <w:t>;</w:t>
      </w:r>
      <w:r w:rsidR="008C1E4A" w:rsidRPr="008C1E4A">
        <w:rPr>
          <w:rFonts w:ascii="Book Antiqua" w:eastAsia="Book Antiqua" w:hAnsi="Book Antiqua" w:cs="Book Antiqua"/>
          <w:bCs/>
          <w:color w:val="000000"/>
        </w:rPr>
        <w:t xml:space="preserve"> </w:t>
      </w:r>
      <w:r w:rsidR="008C1E4A" w:rsidRPr="004A450B">
        <w:rPr>
          <w:rFonts w:ascii="Book Antiqua" w:eastAsia="Book Antiqua" w:hAnsi="Book Antiqua" w:cs="Book Antiqua"/>
          <w:bCs/>
          <w:color w:val="000000"/>
        </w:rPr>
        <w:t>Kelleni MT</w:t>
      </w:r>
      <w:r w:rsidR="008C1E4A">
        <w:rPr>
          <w:rFonts w:ascii="Book Antiqua" w:eastAsia="Book Antiqua" w:hAnsi="Book Antiqua" w:cs="Book Antiqua"/>
          <w:bCs/>
          <w:color w:val="000000"/>
        </w:rPr>
        <w:t>,</w:t>
      </w:r>
      <w:r w:rsidR="008C1E4A" w:rsidRPr="008C1E4A">
        <w:rPr>
          <w:rFonts w:ascii="Verdana" w:hAnsi="Verdana"/>
          <w:color w:val="000000"/>
          <w:sz w:val="17"/>
          <w:szCs w:val="17"/>
          <w:shd w:val="clear" w:color="auto" w:fill="FFFFFF"/>
        </w:rPr>
        <w:t xml:space="preserve"> </w:t>
      </w:r>
      <w:r w:rsidR="008C1E4A" w:rsidRPr="008C1E4A">
        <w:rPr>
          <w:rFonts w:ascii="Book Antiqua" w:eastAsia="Book Antiqua" w:hAnsi="Book Antiqua" w:cs="Book Antiqua"/>
          <w:bCs/>
          <w:color w:val="000000"/>
        </w:rPr>
        <w:t>Egypt</w:t>
      </w:r>
      <w:r w:rsidR="008C1E4A" w:rsidRPr="004A450B">
        <w:rPr>
          <w:rFonts w:ascii="Book Antiqua" w:eastAsia="Book Antiqua" w:hAnsi="Book Antiqua" w:cs="Book Antiqua"/>
          <w:bCs/>
          <w:color w:val="000000"/>
        </w:rPr>
        <w:t xml:space="preserve"> </w:t>
      </w:r>
      <w:r w:rsidRPr="00FB40BF">
        <w:rPr>
          <w:rFonts w:ascii="Book Antiqua" w:eastAsia="Book Antiqua" w:hAnsi="Book Antiqua" w:cs="Book Antiqua"/>
          <w:b/>
          <w:color w:val="000000"/>
        </w:rPr>
        <w:t xml:space="preserve">S-Editor: </w:t>
      </w:r>
      <w:r w:rsidR="008138A2" w:rsidRPr="00FB40BF">
        <w:rPr>
          <w:rFonts w:ascii="Book Antiqua" w:eastAsia="Book Antiqua" w:hAnsi="Book Antiqua" w:cs="Book Antiqua"/>
          <w:color w:val="000000"/>
        </w:rPr>
        <w:t>Liu JH</w:t>
      </w:r>
      <w:r w:rsidRPr="00FB40BF">
        <w:rPr>
          <w:rFonts w:ascii="Book Antiqua" w:eastAsia="Book Antiqua" w:hAnsi="Book Antiqua" w:cs="Book Antiqua"/>
          <w:b/>
          <w:color w:val="000000"/>
        </w:rPr>
        <w:t xml:space="preserve"> L-Editor: </w:t>
      </w:r>
      <w:r w:rsidR="004A450B">
        <w:rPr>
          <w:rFonts w:ascii="Book Antiqua" w:eastAsia="Book Antiqua" w:hAnsi="Book Antiqua" w:cs="Book Antiqua"/>
          <w:color w:val="000000"/>
        </w:rPr>
        <w:t>Filipodia</w:t>
      </w:r>
      <w:r w:rsidRPr="00FB40BF">
        <w:rPr>
          <w:rFonts w:ascii="Book Antiqua" w:eastAsia="Book Antiqua" w:hAnsi="Book Antiqua" w:cs="Book Antiqua"/>
          <w:b/>
          <w:color w:val="000000"/>
        </w:rPr>
        <w:t xml:space="preserve"> P-Editor: </w:t>
      </w:r>
    </w:p>
    <w:p w14:paraId="51700540" w14:textId="77777777" w:rsidR="00A77B3E" w:rsidRPr="00FB40BF" w:rsidRDefault="00CB3479" w:rsidP="00FB40BF">
      <w:pPr>
        <w:spacing w:line="360" w:lineRule="auto"/>
        <w:jc w:val="both"/>
        <w:rPr>
          <w:rFonts w:ascii="Book Antiqua" w:eastAsia="Book Antiqua" w:hAnsi="Book Antiqua" w:cs="Book Antiqua"/>
          <w:b/>
          <w:color w:val="000000"/>
        </w:rPr>
      </w:pPr>
      <w:r w:rsidRPr="00FB40BF">
        <w:rPr>
          <w:rFonts w:ascii="Book Antiqua" w:eastAsia="Book Antiqua" w:hAnsi="Book Antiqua" w:cs="Book Antiqua"/>
          <w:b/>
          <w:color w:val="000000"/>
        </w:rPr>
        <w:br w:type="page"/>
      </w:r>
      <w:r w:rsidR="008369D6" w:rsidRPr="00FB40BF">
        <w:rPr>
          <w:rFonts w:ascii="Book Antiqua" w:eastAsia="Book Antiqua" w:hAnsi="Book Antiqua" w:cs="Book Antiqua"/>
          <w:b/>
          <w:color w:val="000000"/>
        </w:rPr>
        <w:lastRenderedPageBreak/>
        <w:t>Table 1 Current literature</w:t>
      </w:r>
    </w:p>
    <w:tbl>
      <w:tblPr>
        <w:tblStyle w:val="TableGrid"/>
        <w:tblW w:w="878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2126"/>
        <w:gridCol w:w="5103"/>
      </w:tblGrid>
      <w:tr w:rsidR="0054575E" w:rsidRPr="00FB40BF" w14:paraId="0FDC3118" w14:textId="77777777" w:rsidTr="0054575E">
        <w:tc>
          <w:tcPr>
            <w:tcW w:w="1555" w:type="dxa"/>
            <w:tcBorders>
              <w:top w:val="single" w:sz="4" w:space="0" w:color="auto"/>
              <w:bottom w:val="single" w:sz="4" w:space="0" w:color="auto"/>
            </w:tcBorders>
          </w:tcPr>
          <w:p w14:paraId="51864336" w14:textId="77777777" w:rsidR="0054575E" w:rsidRPr="00FB40BF" w:rsidRDefault="0054575E" w:rsidP="00FB40BF">
            <w:pPr>
              <w:spacing w:line="360" w:lineRule="auto"/>
              <w:jc w:val="both"/>
              <w:rPr>
                <w:rFonts w:ascii="Book Antiqua" w:eastAsiaTheme="minorHAnsi" w:hAnsi="Book Antiqua"/>
                <w:b/>
                <w:bCs/>
                <w:lang w:val="en-US"/>
              </w:rPr>
            </w:pPr>
            <w:r w:rsidRPr="00FB40BF">
              <w:rPr>
                <w:rFonts w:ascii="Book Antiqua" w:eastAsiaTheme="minorHAnsi" w:hAnsi="Book Antiqua"/>
                <w:b/>
                <w:bCs/>
                <w:lang w:val="en-US"/>
              </w:rPr>
              <w:t>Ref.</w:t>
            </w:r>
          </w:p>
        </w:tc>
        <w:tc>
          <w:tcPr>
            <w:tcW w:w="2126" w:type="dxa"/>
            <w:tcBorders>
              <w:top w:val="single" w:sz="4" w:space="0" w:color="auto"/>
              <w:bottom w:val="single" w:sz="4" w:space="0" w:color="auto"/>
            </w:tcBorders>
          </w:tcPr>
          <w:p w14:paraId="26CD5C17" w14:textId="77777777" w:rsidR="0054575E" w:rsidRPr="00FB40BF" w:rsidRDefault="0054575E" w:rsidP="00FB40BF">
            <w:pPr>
              <w:spacing w:line="360" w:lineRule="auto"/>
              <w:jc w:val="both"/>
              <w:rPr>
                <w:rFonts w:ascii="Book Antiqua" w:eastAsiaTheme="minorHAnsi" w:hAnsi="Book Antiqua"/>
                <w:b/>
                <w:bCs/>
                <w:lang w:val="en-US"/>
              </w:rPr>
            </w:pPr>
            <w:r w:rsidRPr="00FB40BF">
              <w:rPr>
                <w:rFonts w:ascii="Book Antiqua" w:eastAsiaTheme="minorHAnsi" w:hAnsi="Book Antiqua"/>
                <w:b/>
                <w:bCs/>
                <w:lang w:val="en-US"/>
              </w:rPr>
              <w:t xml:space="preserve">Type of </w:t>
            </w:r>
            <w:r w:rsidR="0088159C" w:rsidRPr="00FB40BF">
              <w:rPr>
                <w:rFonts w:ascii="Book Antiqua" w:eastAsiaTheme="minorHAnsi" w:hAnsi="Book Antiqua"/>
                <w:b/>
                <w:bCs/>
                <w:lang w:val="en-US"/>
              </w:rPr>
              <w:t>study</w:t>
            </w:r>
          </w:p>
        </w:tc>
        <w:tc>
          <w:tcPr>
            <w:tcW w:w="5103" w:type="dxa"/>
            <w:tcBorders>
              <w:top w:val="single" w:sz="4" w:space="0" w:color="auto"/>
              <w:bottom w:val="single" w:sz="4" w:space="0" w:color="auto"/>
            </w:tcBorders>
          </w:tcPr>
          <w:p w14:paraId="2F52A04B" w14:textId="77777777" w:rsidR="0054575E" w:rsidRPr="00FB40BF" w:rsidRDefault="0054575E" w:rsidP="00FB40BF">
            <w:pPr>
              <w:spacing w:line="360" w:lineRule="auto"/>
              <w:jc w:val="both"/>
              <w:rPr>
                <w:rFonts w:ascii="Book Antiqua" w:eastAsiaTheme="minorHAnsi" w:hAnsi="Book Antiqua"/>
                <w:b/>
                <w:bCs/>
                <w:lang w:val="en-US"/>
              </w:rPr>
            </w:pPr>
            <w:r w:rsidRPr="00FB40BF">
              <w:rPr>
                <w:rFonts w:ascii="Book Antiqua" w:eastAsiaTheme="minorHAnsi" w:hAnsi="Book Antiqua"/>
                <w:b/>
                <w:bCs/>
                <w:lang w:val="en-US"/>
              </w:rPr>
              <w:t>Conclusions</w:t>
            </w:r>
          </w:p>
        </w:tc>
      </w:tr>
      <w:tr w:rsidR="0054575E" w:rsidRPr="00FB40BF" w14:paraId="18C3D424" w14:textId="77777777" w:rsidTr="0054575E">
        <w:tc>
          <w:tcPr>
            <w:tcW w:w="1555" w:type="dxa"/>
            <w:tcBorders>
              <w:top w:val="single" w:sz="4" w:space="0" w:color="auto"/>
            </w:tcBorders>
          </w:tcPr>
          <w:p w14:paraId="0D542303" w14:textId="77777777" w:rsidR="0054575E" w:rsidRPr="00FB40BF" w:rsidRDefault="0054575E" w:rsidP="00CA575F">
            <w:pPr>
              <w:spacing w:line="360" w:lineRule="auto"/>
              <w:jc w:val="both"/>
              <w:rPr>
                <w:rFonts w:ascii="Book Antiqua" w:eastAsiaTheme="minorHAnsi" w:hAnsi="Book Antiqua" w:cstheme="minorHAnsi"/>
                <w:lang w:val="en-US"/>
              </w:rPr>
            </w:pPr>
            <w:r w:rsidRPr="00CA575F">
              <w:rPr>
                <w:rFonts w:ascii="Book Antiqua" w:eastAsiaTheme="minorHAnsi" w:hAnsi="Book Antiqua" w:cstheme="minorHAnsi"/>
                <w:lang w:val="en-US"/>
              </w:rPr>
              <w:t xml:space="preserve">Baldo </w:t>
            </w:r>
            <w:r w:rsidRPr="00CA575F">
              <w:rPr>
                <w:rFonts w:ascii="Book Antiqua" w:eastAsiaTheme="minorHAnsi" w:hAnsi="Book Antiqua" w:cstheme="minorHAnsi"/>
                <w:i/>
                <w:lang w:val="en-US"/>
              </w:rPr>
              <w:t>et al</w:t>
            </w:r>
            <w:r w:rsidRPr="00FB40BF">
              <w:rPr>
                <w:rFonts w:ascii="Book Antiqua" w:eastAsiaTheme="minorHAnsi" w:hAnsi="Book Antiqua" w:cstheme="minorHAnsi"/>
                <w:vertAlign w:val="superscript"/>
                <w:lang w:val="en-US"/>
              </w:rPr>
              <w:t>[10]</w:t>
            </w:r>
            <w:r w:rsidRPr="00FB40BF">
              <w:rPr>
                <w:rFonts w:ascii="Book Antiqua" w:eastAsiaTheme="minorHAnsi" w:hAnsi="Book Antiqua" w:cstheme="minorHAnsi"/>
                <w:lang w:val="en-US"/>
              </w:rPr>
              <w:t>, 2022</w:t>
            </w:r>
          </w:p>
        </w:tc>
        <w:tc>
          <w:tcPr>
            <w:tcW w:w="2126" w:type="dxa"/>
            <w:tcBorders>
              <w:top w:val="single" w:sz="4" w:space="0" w:color="auto"/>
            </w:tcBorders>
          </w:tcPr>
          <w:p w14:paraId="6FCFF3E4" w14:textId="77777777" w:rsidR="0054575E" w:rsidRPr="00FB40BF" w:rsidRDefault="0054575E" w:rsidP="00FB40BF">
            <w:pPr>
              <w:spacing w:line="360" w:lineRule="auto"/>
              <w:jc w:val="both"/>
              <w:rPr>
                <w:rFonts w:ascii="Book Antiqua" w:eastAsiaTheme="minorHAnsi" w:hAnsi="Book Antiqua" w:cstheme="minorHAnsi"/>
                <w:lang w:val="en-US"/>
              </w:rPr>
            </w:pPr>
            <w:r w:rsidRPr="00FB40BF">
              <w:rPr>
                <w:rFonts w:ascii="Book Antiqua" w:eastAsiaTheme="minorHAnsi" w:hAnsi="Book Antiqua" w:cstheme="minorHAnsi"/>
                <w:lang w:val="en-US"/>
              </w:rPr>
              <w:t>Review</w:t>
            </w:r>
          </w:p>
        </w:tc>
        <w:tc>
          <w:tcPr>
            <w:tcW w:w="5103" w:type="dxa"/>
            <w:tcBorders>
              <w:top w:val="single" w:sz="4" w:space="0" w:color="auto"/>
            </w:tcBorders>
          </w:tcPr>
          <w:p w14:paraId="17CC6ED0" w14:textId="77777777" w:rsidR="0054575E" w:rsidRPr="00FB40BF" w:rsidRDefault="0054575E" w:rsidP="00FB40BF">
            <w:pPr>
              <w:spacing w:line="360" w:lineRule="auto"/>
              <w:jc w:val="both"/>
              <w:rPr>
                <w:rFonts w:ascii="Book Antiqua" w:eastAsiaTheme="minorHAnsi" w:hAnsi="Book Antiqua" w:cstheme="minorHAnsi"/>
                <w:lang w:val="en-US"/>
              </w:rPr>
            </w:pPr>
            <w:r w:rsidRPr="00FB40BF">
              <w:rPr>
                <w:rFonts w:ascii="Book Antiqua" w:eastAsiaTheme="minorHAnsi" w:hAnsi="Book Antiqua" w:cstheme="minorHAnsi"/>
                <w:lang w:val="en-US"/>
              </w:rPr>
              <w:t>Warning of adverse liver reactions after the initiation of mAbs. mAbs that are at high risk of HBV reactivation, TNF-α inhibitors are at moderate risk</w:t>
            </w:r>
          </w:p>
        </w:tc>
      </w:tr>
      <w:tr w:rsidR="0054575E" w:rsidRPr="00FB40BF" w14:paraId="69A2296F" w14:textId="77777777" w:rsidTr="0054575E">
        <w:tc>
          <w:tcPr>
            <w:tcW w:w="1555" w:type="dxa"/>
          </w:tcPr>
          <w:p w14:paraId="2BAE33DC" w14:textId="77777777" w:rsidR="0054575E" w:rsidRPr="00FB40BF" w:rsidRDefault="0054575E" w:rsidP="00CA575F">
            <w:pPr>
              <w:spacing w:line="360" w:lineRule="auto"/>
              <w:jc w:val="both"/>
              <w:rPr>
                <w:rFonts w:ascii="Book Antiqua" w:eastAsiaTheme="minorHAnsi" w:hAnsi="Book Antiqua" w:cstheme="minorHAnsi"/>
                <w:lang w:val="en-US"/>
              </w:rPr>
            </w:pPr>
            <w:r w:rsidRPr="00CA575F">
              <w:rPr>
                <w:rFonts w:ascii="Book Antiqua" w:eastAsiaTheme="minorHAnsi" w:hAnsi="Book Antiqua" w:cstheme="minorHAnsi"/>
                <w:lang w:val="en-US"/>
              </w:rPr>
              <w:t xml:space="preserve">Evens </w:t>
            </w:r>
            <w:r w:rsidRPr="00CA575F">
              <w:rPr>
                <w:rFonts w:ascii="Book Antiqua" w:eastAsiaTheme="minorHAnsi" w:hAnsi="Book Antiqua" w:cstheme="minorHAnsi"/>
                <w:i/>
                <w:lang w:val="en-US"/>
              </w:rPr>
              <w:t>et al</w:t>
            </w:r>
            <w:r w:rsidRPr="00FB40BF">
              <w:rPr>
                <w:rFonts w:ascii="Book Antiqua" w:eastAsiaTheme="minorHAnsi" w:hAnsi="Book Antiqua" w:cstheme="minorHAnsi"/>
                <w:vertAlign w:val="superscript"/>
                <w:lang w:val="en-US"/>
              </w:rPr>
              <w:t>[13]</w:t>
            </w:r>
            <w:r w:rsidRPr="00FB40BF">
              <w:rPr>
                <w:rFonts w:ascii="Book Antiqua" w:eastAsiaTheme="minorHAnsi" w:hAnsi="Book Antiqua" w:cstheme="minorHAnsi"/>
                <w:lang w:val="en-US"/>
              </w:rPr>
              <w:t>, 2011</w:t>
            </w:r>
          </w:p>
        </w:tc>
        <w:tc>
          <w:tcPr>
            <w:tcW w:w="2126" w:type="dxa"/>
          </w:tcPr>
          <w:p w14:paraId="55083D09" w14:textId="77777777" w:rsidR="0054575E" w:rsidRPr="00FB40BF" w:rsidRDefault="0054575E" w:rsidP="00FB40BF">
            <w:pPr>
              <w:spacing w:line="360" w:lineRule="auto"/>
              <w:jc w:val="both"/>
              <w:rPr>
                <w:rFonts w:ascii="Book Antiqua" w:eastAsiaTheme="minorHAnsi" w:hAnsi="Book Antiqua" w:cstheme="minorHAnsi"/>
                <w:lang w:val="en-US"/>
              </w:rPr>
            </w:pPr>
            <w:r w:rsidRPr="00FB40BF">
              <w:rPr>
                <w:rFonts w:ascii="Book Antiqua" w:eastAsiaTheme="minorHAnsi" w:hAnsi="Book Antiqua" w:cstheme="minorHAnsi"/>
                <w:lang w:val="en-US"/>
              </w:rPr>
              <w:t>Meta-Analysis</w:t>
            </w:r>
          </w:p>
        </w:tc>
        <w:tc>
          <w:tcPr>
            <w:tcW w:w="5103" w:type="dxa"/>
          </w:tcPr>
          <w:p w14:paraId="381A725D" w14:textId="77777777" w:rsidR="0054575E" w:rsidRPr="00FB40BF" w:rsidRDefault="0054575E" w:rsidP="00FB40BF">
            <w:pPr>
              <w:spacing w:line="360" w:lineRule="auto"/>
              <w:jc w:val="both"/>
              <w:rPr>
                <w:rFonts w:ascii="Book Antiqua" w:eastAsiaTheme="minorHAnsi" w:hAnsi="Book Antiqua" w:cstheme="minorHAnsi"/>
                <w:lang w:val="en-US"/>
              </w:rPr>
            </w:pPr>
            <w:r w:rsidRPr="00FB40BF">
              <w:rPr>
                <w:rFonts w:ascii="Book Antiqua" w:eastAsiaTheme="minorHAnsi" w:hAnsi="Book Antiqua" w:cstheme="minorHAnsi"/>
                <w:lang w:val="en-US"/>
              </w:rPr>
              <w:t>118 cases were reported to the US FDA in which rituximab was associated with HBV reactivation</w:t>
            </w:r>
          </w:p>
        </w:tc>
      </w:tr>
      <w:tr w:rsidR="0054575E" w:rsidRPr="00FB40BF" w14:paraId="5F136A23" w14:textId="77777777" w:rsidTr="0054575E">
        <w:tc>
          <w:tcPr>
            <w:tcW w:w="1555" w:type="dxa"/>
          </w:tcPr>
          <w:p w14:paraId="0D1C6463" w14:textId="77777777" w:rsidR="0054575E" w:rsidRPr="00FB40BF" w:rsidRDefault="0054575E" w:rsidP="00CA575F">
            <w:pPr>
              <w:spacing w:line="360" w:lineRule="auto"/>
              <w:jc w:val="both"/>
              <w:rPr>
                <w:rFonts w:ascii="Book Antiqua" w:eastAsiaTheme="minorHAnsi" w:hAnsi="Book Antiqua" w:cstheme="minorHAnsi"/>
                <w:lang w:val="en-US"/>
              </w:rPr>
            </w:pPr>
            <w:r w:rsidRPr="00CA575F">
              <w:rPr>
                <w:rFonts w:ascii="Book Antiqua" w:eastAsiaTheme="minorHAnsi" w:hAnsi="Book Antiqua" w:cstheme="minorHAnsi"/>
                <w:lang w:val="en-US"/>
              </w:rPr>
              <w:t xml:space="preserve">Dusheiko </w:t>
            </w:r>
            <w:r w:rsidRPr="00CA575F">
              <w:rPr>
                <w:rFonts w:ascii="Book Antiqua" w:eastAsiaTheme="minorHAnsi" w:hAnsi="Book Antiqua" w:cstheme="minorHAnsi"/>
                <w:i/>
                <w:lang w:val="en-US"/>
              </w:rPr>
              <w:t>et al</w:t>
            </w:r>
            <w:r w:rsidRPr="00FB40BF">
              <w:rPr>
                <w:rFonts w:ascii="Book Antiqua" w:eastAsiaTheme="minorHAnsi" w:hAnsi="Book Antiqua" w:cstheme="minorHAnsi"/>
                <w:vertAlign w:val="superscript"/>
                <w:lang w:val="en-US"/>
              </w:rPr>
              <w:t>[14]</w:t>
            </w:r>
            <w:r w:rsidRPr="00FB40BF">
              <w:rPr>
                <w:rFonts w:ascii="Book Antiqua" w:eastAsiaTheme="minorHAnsi" w:hAnsi="Book Antiqua" w:cstheme="minorHAnsi"/>
                <w:lang w:val="en-US"/>
              </w:rPr>
              <w:t>, 2023</w:t>
            </w:r>
          </w:p>
        </w:tc>
        <w:tc>
          <w:tcPr>
            <w:tcW w:w="2126" w:type="dxa"/>
          </w:tcPr>
          <w:p w14:paraId="1543F45F" w14:textId="77777777" w:rsidR="0054575E" w:rsidRPr="00FB40BF" w:rsidRDefault="0054575E" w:rsidP="00FB40BF">
            <w:pPr>
              <w:spacing w:line="360" w:lineRule="auto"/>
              <w:jc w:val="both"/>
              <w:rPr>
                <w:rFonts w:ascii="Book Antiqua" w:eastAsiaTheme="minorHAnsi" w:hAnsi="Book Antiqua" w:cstheme="minorHAnsi"/>
                <w:lang w:val="en-US"/>
              </w:rPr>
            </w:pPr>
            <w:r w:rsidRPr="00FB40BF">
              <w:rPr>
                <w:rFonts w:ascii="Book Antiqua" w:eastAsiaTheme="minorHAnsi" w:hAnsi="Book Antiqua" w:cstheme="minorHAnsi"/>
                <w:lang w:val="en-US"/>
              </w:rPr>
              <w:t>Review</w:t>
            </w:r>
          </w:p>
        </w:tc>
        <w:tc>
          <w:tcPr>
            <w:tcW w:w="5103" w:type="dxa"/>
          </w:tcPr>
          <w:p w14:paraId="6B02A226" w14:textId="77777777" w:rsidR="0054575E" w:rsidRPr="00FB40BF" w:rsidRDefault="0054575E" w:rsidP="00FB40BF">
            <w:pPr>
              <w:spacing w:line="360" w:lineRule="auto"/>
              <w:jc w:val="both"/>
              <w:rPr>
                <w:rFonts w:ascii="Book Antiqua" w:eastAsiaTheme="minorHAnsi" w:hAnsi="Book Antiqua" w:cstheme="minorHAnsi"/>
                <w:lang w:val="en-US"/>
              </w:rPr>
            </w:pPr>
            <w:r w:rsidRPr="00FB40BF">
              <w:rPr>
                <w:rFonts w:ascii="Book Antiqua" w:eastAsiaTheme="minorHAnsi" w:hAnsi="Book Antiqua" w:cstheme="minorHAnsi"/>
                <w:lang w:val="en-US"/>
              </w:rPr>
              <w:t>B-cell–depleting therapy with rituximab highlights the contribution of memory B cells to HBV control</w:t>
            </w:r>
          </w:p>
        </w:tc>
      </w:tr>
      <w:tr w:rsidR="0054575E" w:rsidRPr="00FB40BF" w14:paraId="1D2E77C0" w14:textId="77777777" w:rsidTr="0054575E">
        <w:tc>
          <w:tcPr>
            <w:tcW w:w="1555" w:type="dxa"/>
          </w:tcPr>
          <w:p w14:paraId="06DBB4EF" w14:textId="77777777" w:rsidR="0054575E" w:rsidRPr="00FB40BF" w:rsidRDefault="0054575E" w:rsidP="00CA575F">
            <w:pPr>
              <w:spacing w:line="360" w:lineRule="auto"/>
              <w:jc w:val="both"/>
              <w:rPr>
                <w:rFonts w:ascii="Book Antiqua" w:eastAsiaTheme="minorHAnsi" w:hAnsi="Book Antiqua" w:cstheme="minorHAnsi"/>
                <w:lang w:val="en-US"/>
              </w:rPr>
            </w:pPr>
            <w:r w:rsidRPr="00CA575F">
              <w:rPr>
                <w:rFonts w:ascii="Book Antiqua" w:eastAsiaTheme="minorHAnsi" w:hAnsi="Book Antiqua" w:cstheme="minorHAnsi"/>
                <w:lang w:val="en-US"/>
              </w:rPr>
              <w:t xml:space="preserve">Nathan </w:t>
            </w:r>
            <w:r w:rsidRPr="00CA575F">
              <w:rPr>
                <w:rFonts w:ascii="Book Antiqua" w:eastAsiaTheme="minorHAnsi" w:hAnsi="Book Antiqua" w:cstheme="minorHAnsi"/>
                <w:i/>
                <w:lang w:val="en-US"/>
              </w:rPr>
              <w:t>et al</w:t>
            </w:r>
            <w:r w:rsidRPr="00FB40BF">
              <w:rPr>
                <w:rFonts w:ascii="Book Antiqua" w:eastAsiaTheme="minorHAnsi" w:hAnsi="Book Antiqua" w:cstheme="minorHAnsi"/>
                <w:vertAlign w:val="superscript"/>
                <w:lang w:val="en-US"/>
              </w:rPr>
              <w:t>[15]</w:t>
            </w:r>
            <w:r w:rsidRPr="00FB40BF">
              <w:rPr>
                <w:rFonts w:ascii="Book Antiqua" w:eastAsiaTheme="minorHAnsi" w:hAnsi="Book Antiqua" w:cstheme="minorHAnsi"/>
                <w:lang w:val="en-US"/>
              </w:rPr>
              <w:t>, 2006</w:t>
            </w:r>
          </w:p>
        </w:tc>
        <w:tc>
          <w:tcPr>
            <w:tcW w:w="2126" w:type="dxa"/>
          </w:tcPr>
          <w:p w14:paraId="35B8DDBC" w14:textId="77777777" w:rsidR="0054575E" w:rsidRPr="00FB40BF" w:rsidRDefault="0054575E" w:rsidP="00FB40BF">
            <w:pPr>
              <w:spacing w:line="360" w:lineRule="auto"/>
              <w:jc w:val="both"/>
              <w:rPr>
                <w:rFonts w:ascii="Book Antiqua" w:eastAsiaTheme="minorHAnsi" w:hAnsi="Book Antiqua" w:cstheme="minorHAnsi"/>
                <w:lang w:val="en-US"/>
              </w:rPr>
            </w:pPr>
            <w:r w:rsidRPr="00FB40BF">
              <w:rPr>
                <w:rFonts w:ascii="Book Antiqua" w:eastAsiaTheme="minorHAnsi" w:hAnsi="Book Antiqua" w:cstheme="minorHAnsi"/>
                <w:lang w:val="en-US"/>
              </w:rPr>
              <w:t>Review</w:t>
            </w:r>
          </w:p>
        </w:tc>
        <w:tc>
          <w:tcPr>
            <w:tcW w:w="5103" w:type="dxa"/>
          </w:tcPr>
          <w:p w14:paraId="101F55E2" w14:textId="77777777" w:rsidR="0054575E" w:rsidRPr="00FB40BF" w:rsidRDefault="0054575E" w:rsidP="00FB40BF">
            <w:pPr>
              <w:spacing w:line="360" w:lineRule="auto"/>
              <w:jc w:val="both"/>
              <w:rPr>
                <w:rFonts w:ascii="Book Antiqua" w:eastAsiaTheme="minorHAnsi" w:hAnsi="Book Antiqua" w:cstheme="minorHAnsi"/>
                <w:lang w:val="en-US"/>
              </w:rPr>
            </w:pPr>
            <w:r w:rsidRPr="00FB40BF">
              <w:rPr>
                <w:rFonts w:ascii="Book Antiqua" w:eastAsiaTheme="minorHAnsi" w:hAnsi="Book Antiqua" w:cstheme="minorHAnsi"/>
                <w:lang w:val="en-US"/>
              </w:rPr>
              <w:t>TNF inhibits hepatitis viral replication and stimulates HBV-specific T-cell responses to clear the virus from infected hepatocytes. TNF could cause increased expression of hepatitis B viral antigens</w:t>
            </w:r>
          </w:p>
        </w:tc>
      </w:tr>
      <w:tr w:rsidR="0054575E" w:rsidRPr="00FB40BF" w14:paraId="693371FC" w14:textId="77777777" w:rsidTr="0054575E">
        <w:tc>
          <w:tcPr>
            <w:tcW w:w="1555" w:type="dxa"/>
          </w:tcPr>
          <w:p w14:paraId="1AB4C084" w14:textId="77777777" w:rsidR="0054575E" w:rsidRPr="00FB40BF" w:rsidRDefault="0054575E" w:rsidP="00CA575F">
            <w:pPr>
              <w:spacing w:line="360" w:lineRule="auto"/>
              <w:jc w:val="both"/>
              <w:rPr>
                <w:rFonts w:ascii="Book Antiqua" w:eastAsiaTheme="minorHAnsi" w:hAnsi="Book Antiqua" w:cstheme="minorHAnsi"/>
                <w:lang w:val="en-US"/>
              </w:rPr>
            </w:pPr>
            <w:r w:rsidRPr="00CA575F">
              <w:rPr>
                <w:rFonts w:ascii="Book Antiqua" w:eastAsiaTheme="minorHAnsi" w:hAnsi="Book Antiqua" w:cstheme="minorHAnsi"/>
                <w:lang w:val="en-US"/>
              </w:rPr>
              <w:t xml:space="preserve">Megna </w:t>
            </w:r>
            <w:r w:rsidRPr="00CA575F">
              <w:rPr>
                <w:rFonts w:ascii="Book Antiqua" w:eastAsiaTheme="minorHAnsi" w:hAnsi="Book Antiqua" w:cstheme="minorHAnsi"/>
                <w:i/>
                <w:lang w:val="en-US"/>
              </w:rPr>
              <w:t>et al</w:t>
            </w:r>
            <w:r w:rsidRPr="00FB40BF">
              <w:rPr>
                <w:rFonts w:ascii="Book Antiqua" w:eastAsiaTheme="minorHAnsi" w:hAnsi="Book Antiqua" w:cstheme="minorHAnsi"/>
                <w:vertAlign w:val="superscript"/>
                <w:lang w:val="en-US"/>
              </w:rPr>
              <w:t>[16]</w:t>
            </w:r>
            <w:r w:rsidRPr="00FB40BF">
              <w:rPr>
                <w:rFonts w:ascii="Book Antiqua" w:eastAsiaTheme="minorHAnsi" w:hAnsi="Book Antiqua" w:cstheme="minorHAnsi"/>
                <w:lang w:val="en-US"/>
              </w:rPr>
              <w:t>, 2022</w:t>
            </w:r>
          </w:p>
        </w:tc>
        <w:tc>
          <w:tcPr>
            <w:tcW w:w="2126" w:type="dxa"/>
          </w:tcPr>
          <w:p w14:paraId="234A5189" w14:textId="77777777" w:rsidR="0054575E" w:rsidRPr="00FB40BF" w:rsidRDefault="0054575E" w:rsidP="00FB40BF">
            <w:pPr>
              <w:spacing w:line="360" w:lineRule="auto"/>
              <w:jc w:val="both"/>
              <w:rPr>
                <w:rFonts w:ascii="Book Antiqua" w:eastAsiaTheme="minorHAnsi" w:hAnsi="Book Antiqua" w:cstheme="minorHAnsi"/>
                <w:lang w:val="en-US"/>
              </w:rPr>
            </w:pPr>
            <w:r w:rsidRPr="00FB40BF">
              <w:rPr>
                <w:rFonts w:ascii="Book Antiqua" w:eastAsiaTheme="minorHAnsi" w:hAnsi="Book Antiqua" w:cstheme="minorHAnsi"/>
                <w:shd w:val="clear" w:color="auto" w:fill="FFFFFF"/>
                <w:lang w:val="en-US"/>
              </w:rPr>
              <w:t>Prospective cohort study</w:t>
            </w:r>
          </w:p>
        </w:tc>
        <w:tc>
          <w:tcPr>
            <w:tcW w:w="5103" w:type="dxa"/>
          </w:tcPr>
          <w:p w14:paraId="7526B67B" w14:textId="35489276" w:rsidR="0054575E" w:rsidRPr="00FB40BF" w:rsidRDefault="0054575E" w:rsidP="00FB40BF">
            <w:pPr>
              <w:spacing w:line="360" w:lineRule="auto"/>
              <w:jc w:val="both"/>
              <w:rPr>
                <w:rFonts w:ascii="Book Antiqua" w:eastAsiaTheme="minorHAnsi" w:hAnsi="Book Antiqua" w:cstheme="minorHAnsi"/>
                <w:lang w:val="en-US"/>
              </w:rPr>
            </w:pPr>
            <w:r w:rsidRPr="00FB40BF">
              <w:rPr>
                <w:rFonts w:ascii="Book Antiqua" w:eastAsiaTheme="minorHAnsi" w:hAnsi="Book Antiqua" w:cstheme="minorHAnsi"/>
                <w:lang w:val="en-US"/>
              </w:rPr>
              <w:t xml:space="preserve">Highlights the risk of HBV reactivation in patients with latent infection treated with </w:t>
            </w:r>
            <w:r w:rsidR="000F4144">
              <w:rPr>
                <w:rFonts w:ascii="Book Antiqua" w:eastAsiaTheme="minorHAnsi" w:hAnsi="Book Antiqua" w:cstheme="minorHAnsi"/>
                <w:lang w:val="en-US"/>
              </w:rPr>
              <w:t>s</w:t>
            </w:r>
            <w:r w:rsidRPr="00FB40BF">
              <w:rPr>
                <w:rFonts w:ascii="Book Antiqua" w:eastAsiaTheme="minorHAnsi" w:hAnsi="Book Antiqua" w:cstheme="minorHAnsi"/>
                <w:lang w:val="en-US"/>
              </w:rPr>
              <w:t>ecukinumab without prophylaxis</w:t>
            </w:r>
          </w:p>
        </w:tc>
      </w:tr>
      <w:tr w:rsidR="0054575E" w:rsidRPr="00FB40BF" w14:paraId="4B71634B" w14:textId="77777777" w:rsidTr="0054575E">
        <w:tc>
          <w:tcPr>
            <w:tcW w:w="1555" w:type="dxa"/>
          </w:tcPr>
          <w:p w14:paraId="75A8C090" w14:textId="77777777" w:rsidR="0054575E" w:rsidRPr="00FB40BF" w:rsidRDefault="0054575E" w:rsidP="00CA575F">
            <w:pPr>
              <w:spacing w:line="360" w:lineRule="auto"/>
              <w:jc w:val="both"/>
              <w:rPr>
                <w:rFonts w:ascii="Book Antiqua" w:eastAsiaTheme="minorHAnsi" w:hAnsi="Book Antiqua" w:cstheme="minorHAnsi"/>
                <w:lang w:val="en-US"/>
              </w:rPr>
            </w:pPr>
            <w:r w:rsidRPr="00CA575F">
              <w:rPr>
                <w:rFonts w:ascii="Book Antiqua" w:eastAsiaTheme="minorHAnsi" w:hAnsi="Book Antiqua" w:cstheme="minorHAnsi"/>
                <w:lang w:val="en-US"/>
              </w:rPr>
              <w:t xml:space="preserve">Chiu </w:t>
            </w:r>
            <w:r w:rsidRPr="00CA575F">
              <w:rPr>
                <w:rFonts w:ascii="Book Antiqua" w:eastAsiaTheme="minorHAnsi" w:hAnsi="Book Antiqua" w:cstheme="minorHAnsi"/>
                <w:i/>
                <w:lang w:val="en-US"/>
              </w:rPr>
              <w:t>et al</w:t>
            </w:r>
            <w:r w:rsidRPr="00FB40BF">
              <w:rPr>
                <w:rFonts w:ascii="Book Antiqua" w:eastAsiaTheme="minorHAnsi" w:hAnsi="Book Antiqua" w:cstheme="minorHAnsi"/>
                <w:vertAlign w:val="superscript"/>
                <w:lang w:val="en-US"/>
              </w:rPr>
              <w:t>[17]</w:t>
            </w:r>
            <w:r w:rsidRPr="00FB40BF">
              <w:rPr>
                <w:rFonts w:ascii="Book Antiqua" w:eastAsiaTheme="minorHAnsi" w:hAnsi="Book Antiqua" w:cstheme="minorHAnsi"/>
                <w:lang w:val="en-US"/>
              </w:rPr>
              <w:t>, 2018</w:t>
            </w:r>
          </w:p>
        </w:tc>
        <w:tc>
          <w:tcPr>
            <w:tcW w:w="2126" w:type="dxa"/>
          </w:tcPr>
          <w:p w14:paraId="65F0435B" w14:textId="77777777" w:rsidR="0054575E" w:rsidRPr="00FB40BF" w:rsidRDefault="0054575E" w:rsidP="00FB40BF">
            <w:pPr>
              <w:spacing w:line="360" w:lineRule="auto"/>
              <w:jc w:val="both"/>
              <w:rPr>
                <w:rFonts w:ascii="Book Antiqua" w:eastAsiaTheme="minorHAnsi" w:hAnsi="Book Antiqua" w:cstheme="minorHAnsi"/>
                <w:lang w:val="en-US"/>
              </w:rPr>
            </w:pPr>
            <w:r w:rsidRPr="00FB40BF">
              <w:rPr>
                <w:rFonts w:ascii="Book Antiqua" w:eastAsiaTheme="minorHAnsi" w:hAnsi="Book Antiqua" w:cstheme="minorHAnsi"/>
                <w:lang w:val="en-US"/>
              </w:rPr>
              <w:t>Multicenter Study</w:t>
            </w:r>
          </w:p>
        </w:tc>
        <w:tc>
          <w:tcPr>
            <w:tcW w:w="5103" w:type="dxa"/>
          </w:tcPr>
          <w:p w14:paraId="4D54DB64" w14:textId="77777777" w:rsidR="0054575E" w:rsidRPr="00FB40BF" w:rsidRDefault="0054575E" w:rsidP="00FB40BF">
            <w:pPr>
              <w:spacing w:line="360" w:lineRule="auto"/>
              <w:jc w:val="both"/>
              <w:rPr>
                <w:rFonts w:ascii="Book Antiqua" w:eastAsiaTheme="minorHAnsi" w:hAnsi="Book Antiqua" w:cstheme="minorHAnsi"/>
                <w:lang w:val="en-US"/>
              </w:rPr>
            </w:pPr>
            <w:r w:rsidRPr="00FB40BF">
              <w:rPr>
                <w:rFonts w:ascii="Book Antiqua" w:eastAsiaTheme="minorHAnsi" w:hAnsi="Book Antiqua" w:cstheme="minorHAnsi"/>
                <w:lang w:val="en-US"/>
              </w:rPr>
              <w:t>Without antiviral prophylaxis, 7 of 46 (15.2%) patients with HBV exhibited viral reactivation during therapy with secukinumab</w:t>
            </w:r>
          </w:p>
        </w:tc>
      </w:tr>
      <w:tr w:rsidR="0054575E" w:rsidRPr="00FB40BF" w14:paraId="74C72B93" w14:textId="77777777" w:rsidTr="0054575E">
        <w:tc>
          <w:tcPr>
            <w:tcW w:w="1555" w:type="dxa"/>
          </w:tcPr>
          <w:p w14:paraId="57FB1786" w14:textId="77777777" w:rsidR="0054575E" w:rsidRPr="00FB40BF" w:rsidRDefault="0054575E" w:rsidP="00CA575F">
            <w:pPr>
              <w:spacing w:line="360" w:lineRule="auto"/>
              <w:jc w:val="both"/>
              <w:rPr>
                <w:rFonts w:ascii="Book Antiqua" w:eastAsiaTheme="minorHAnsi" w:hAnsi="Book Antiqua" w:cstheme="minorHAnsi"/>
                <w:lang w:val="en-US"/>
              </w:rPr>
            </w:pPr>
            <w:r w:rsidRPr="00CA575F">
              <w:rPr>
                <w:rFonts w:ascii="Book Antiqua" w:eastAsiaTheme="minorHAnsi" w:hAnsi="Book Antiqua" w:cstheme="minorHAnsi"/>
                <w:lang w:val="en-US"/>
              </w:rPr>
              <w:t xml:space="preserve">Chiu </w:t>
            </w:r>
            <w:r w:rsidRPr="00CA575F">
              <w:rPr>
                <w:rFonts w:ascii="Book Antiqua" w:eastAsiaTheme="minorHAnsi" w:hAnsi="Book Antiqua" w:cstheme="minorHAnsi"/>
                <w:i/>
                <w:lang w:val="en-US"/>
              </w:rPr>
              <w:t>et al</w:t>
            </w:r>
            <w:r w:rsidRPr="00FB40BF">
              <w:rPr>
                <w:rFonts w:ascii="Book Antiqua" w:eastAsiaTheme="minorHAnsi" w:hAnsi="Book Antiqua" w:cstheme="minorHAnsi"/>
                <w:vertAlign w:val="superscript"/>
                <w:lang w:val="en-US"/>
              </w:rPr>
              <w:t>[18]</w:t>
            </w:r>
            <w:r w:rsidRPr="00FB40BF">
              <w:rPr>
                <w:rFonts w:ascii="Book Antiqua" w:eastAsiaTheme="minorHAnsi" w:hAnsi="Book Antiqua" w:cstheme="minorHAnsi"/>
                <w:lang w:val="en-US"/>
              </w:rPr>
              <w:t>, 2013</w:t>
            </w:r>
          </w:p>
        </w:tc>
        <w:tc>
          <w:tcPr>
            <w:tcW w:w="2126" w:type="dxa"/>
          </w:tcPr>
          <w:p w14:paraId="56C2635E" w14:textId="77777777" w:rsidR="0054575E" w:rsidRPr="00FB40BF" w:rsidRDefault="0054575E" w:rsidP="00FB40BF">
            <w:pPr>
              <w:spacing w:line="360" w:lineRule="auto"/>
              <w:jc w:val="both"/>
              <w:rPr>
                <w:rFonts w:ascii="Book Antiqua" w:eastAsiaTheme="minorHAnsi" w:hAnsi="Book Antiqua" w:cstheme="minorHAnsi"/>
                <w:lang w:val="en-US"/>
              </w:rPr>
            </w:pPr>
            <w:r w:rsidRPr="00FB40BF">
              <w:rPr>
                <w:rFonts w:ascii="Book Antiqua" w:eastAsiaTheme="minorHAnsi" w:hAnsi="Book Antiqua" w:cstheme="minorHAnsi"/>
                <w:lang w:val="en-US"/>
              </w:rPr>
              <w:t>Clinical Trial</w:t>
            </w:r>
          </w:p>
        </w:tc>
        <w:tc>
          <w:tcPr>
            <w:tcW w:w="5103" w:type="dxa"/>
          </w:tcPr>
          <w:p w14:paraId="7A6AF85E" w14:textId="77777777" w:rsidR="0054575E" w:rsidRPr="00FB40BF" w:rsidRDefault="0054575E" w:rsidP="00FB40BF">
            <w:pPr>
              <w:spacing w:line="360" w:lineRule="auto"/>
              <w:jc w:val="both"/>
              <w:rPr>
                <w:rFonts w:ascii="Book Antiqua" w:eastAsiaTheme="minorHAnsi" w:hAnsi="Book Antiqua" w:cstheme="minorHAnsi"/>
                <w:lang w:val="en-US"/>
              </w:rPr>
            </w:pPr>
            <w:r w:rsidRPr="00FB40BF">
              <w:rPr>
                <w:rFonts w:ascii="Book Antiqua" w:eastAsiaTheme="minorHAnsi" w:hAnsi="Book Antiqua" w:cstheme="minorHAnsi"/>
                <w:lang w:val="en-US"/>
              </w:rPr>
              <w:t>Among 11 patients positive for hepatitis B surface antigen (HBsAg), two out of the seven (29%) patients who did not receive antiviral prophylaxis exhibited HBV reactivation</w:t>
            </w:r>
          </w:p>
        </w:tc>
      </w:tr>
      <w:tr w:rsidR="0054575E" w:rsidRPr="00FB40BF" w14:paraId="027745F9" w14:textId="77777777" w:rsidTr="0054575E">
        <w:tc>
          <w:tcPr>
            <w:tcW w:w="1555" w:type="dxa"/>
          </w:tcPr>
          <w:p w14:paraId="17DFA94E" w14:textId="77777777" w:rsidR="0054575E" w:rsidRPr="00FB40BF" w:rsidRDefault="0054575E" w:rsidP="00CA575F">
            <w:pPr>
              <w:spacing w:line="360" w:lineRule="auto"/>
              <w:jc w:val="both"/>
              <w:rPr>
                <w:rFonts w:ascii="Book Antiqua" w:eastAsiaTheme="minorHAnsi" w:hAnsi="Book Antiqua" w:cstheme="minorHAnsi"/>
                <w:lang w:val="en-US"/>
              </w:rPr>
            </w:pPr>
            <w:r w:rsidRPr="00CA575F">
              <w:rPr>
                <w:rFonts w:ascii="Book Antiqua" w:eastAsiaTheme="minorHAnsi" w:hAnsi="Book Antiqua" w:cstheme="minorHAnsi"/>
                <w:lang w:val="en-US"/>
              </w:rPr>
              <w:t xml:space="preserve">Ting </w:t>
            </w:r>
            <w:r w:rsidRPr="00CA575F">
              <w:rPr>
                <w:rFonts w:ascii="Book Antiqua" w:eastAsiaTheme="minorHAnsi" w:hAnsi="Book Antiqua" w:cstheme="minorHAnsi"/>
                <w:i/>
                <w:lang w:val="en-US"/>
              </w:rPr>
              <w:t>et al</w:t>
            </w:r>
            <w:r w:rsidRPr="00CA575F">
              <w:rPr>
                <w:rFonts w:ascii="Book Antiqua" w:eastAsiaTheme="minorHAnsi" w:hAnsi="Book Antiqua" w:cstheme="minorHAnsi"/>
                <w:vertAlign w:val="superscript"/>
                <w:lang w:val="en-US"/>
              </w:rPr>
              <w:t>[1</w:t>
            </w:r>
            <w:r w:rsidRPr="00FB40BF">
              <w:rPr>
                <w:rFonts w:ascii="Book Antiqua" w:eastAsiaTheme="minorHAnsi" w:hAnsi="Book Antiqua" w:cstheme="minorHAnsi"/>
                <w:vertAlign w:val="superscript"/>
                <w:lang w:val="en-US"/>
              </w:rPr>
              <w:t>9]</w:t>
            </w:r>
            <w:r w:rsidRPr="00FB40BF">
              <w:rPr>
                <w:rFonts w:ascii="Book Antiqua" w:eastAsiaTheme="minorHAnsi" w:hAnsi="Book Antiqua" w:cstheme="minorHAnsi"/>
                <w:lang w:val="en-US"/>
              </w:rPr>
              <w:t>, 2018</w:t>
            </w:r>
          </w:p>
        </w:tc>
        <w:tc>
          <w:tcPr>
            <w:tcW w:w="2126" w:type="dxa"/>
          </w:tcPr>
          <w:p w14:paraId="7A6ED565" w14:textId="77777777" w:rsidR="0054575E" w:rsidRPr="00FB40BF" w:rsidRDefault="0054575E" w:rsidP="00FB40BF">
            <w:pPr>
              <w:spacing w:line="360" w:lineRule="auto"/>
              <w:jc w:val="both"/>
              <w:rPr>
                <w:rFonts w:ascii="Book Antiqua" w:eastAsiaTheme="minorHAnsi" w:hAnsi="Book Antiqua" w:cstheme="minorHAnsi"/>
                <w:lang w:val="en-US"/>
              </w:rPr>
            </w:pPr>
            <w:r w:rsidRPr="00FB40BF">
              <w:rPr>
                <w:rFonts w:ascii="Book Antiqua" w:eastAsiaTheme="minorHAnsi" w:hAnsi="Book Antiqua" w:cstheme="minorHAnsi"/>
                <w:shd w:val="clear" w:color="auto" w:fill="FFFFFF"/>
                <w:lang w:val="en-US"/>
              </w:rPr>
              <w:t>Prospective cohort study</w:t>
            </w:r>
          </w:p>
        </w:tc>
        <w:tc>
          <w:tcPr>
            <w:tcW w:w="5103" w:type="dxa"/>
          </w:tcPr>
          <w:p w14:paraId="08FD8F83" w14:textId="77777777" w:rsidR="0054575E" w:rsidRPr="00FB40BF" w:rsidRDefault="0054575E" w:rsidP="00FB40BF">
            <w:pPr>
              <w:spacing w:line="360" w:lineRule="auto"/>
              <w:jc w:val="both"/>
              <w:rPr>
                <w:rFonts w:ascii="Book Antiqua" w:eastAsiaTheme="minorHAnsi" w:hAnsi="Book Antiqua" w:cstheme="minorHAnsi"/>
                <w:lang w:val="en-US"/>
              </w:rPr>
            </w:pPr>
            <w:r w:rsidRPr="00FB40BF">
              <w:rPr>
                <w:rFonts w:ascii="Book Antiqua" w:eastAsiaTheme="minorHAnsi" w:hAnsi="Book Antiqua" w:cstheme="minorHAnsi"/>
                <w:lang w:val="en-US"/>
              </w:rPr>
              <w:t xml:space="preserve">Among the remaining 54 patients classified as inactive HBV carriers, resolved HBV infection, </w:t>
            </w:r>
            <w:r w:rsidRPr="00FB40BF">
              <w:rPr>
                <w:rFonts w:ascii="Book Antiqua" w:eastAsiaTheme="minorHAnsi" w:hAnsi="Book Antiqua" w:cstheme="minorHAnsi"/>
                <w:lang w:val="en-US"/>
              </w:rPr>
              <w:lastRenderedPageBreak/>
              <w:t>or isolated anti-HBc positivity, only 3 patients experienced virologic reactivation</w:t>
            </w:r>
          </w:p>
        </w:tc>
      </w:tr>
    </w:tbl>
    <w:p w14:paraId="34C40978" w14:textId="06BBF943" w:rsidR="00C911BE" w:rsidRPr="00FB40BF" w:rsidRDefault="00D6488A" w:rsidP="00CA575F">
      <w:pPr>
        <w:spacing w:line="360" w:lineRule="auto"/>
        <w:jc w:val="both"/>
        <w:rPr>
          <w:rFonts w:ascii="Book Antiqua" w:eastAsia="Book Antiqua" w:hAnsi="Book Antiqua" w:cs="Book Antiqua"/>
          <w:color w:val="000000"/>
        </w:rPr>
      </w:pPr>
      <w:r w:rsidRPr="00CA575F">
        <w:rPr>
          <w:rFonts w:ascii="Book Antiqua" w:eastAsia="Book Antiqua" w:hAnsi="Book Antiqua" w:cs="Book Antiqua"/>
          <w:color w:val="000000"/>
        </w:rPr>
        <w:lastRenderedPageBreak/>
        <w:t>HBsAg:</w:t>
      </w:r>
      <w:r w:rsidRPr="00CA575F">
        <w:rPr>
          <w:rFonts w:ascii="Book Antiqua" w:hAnsi="Book Antiqua" w:cstheme="minorHAnsi"/>
        </w:rPr>
        <w:t xml:space="preserve"> </w:t>
      </w:r>
      <w:r w:rsidRPr="00FB40BF">
        <w:rPr>
          <w:rFonts w:ascii="Book Antiqua" w:hAnsi="Book Antiqua" w:cstheme="minorHAnsi"/>
        </w:rPr>
        <w:t>Hepatitis B surface antigen;</w:t>
      </w:r>
      <w:r w:rsidRPr="00FB40BF">
        <w:rPr>
          <w:rFonts w:ascii="Book Antiqua" w:eastAsia="Book Antiqua" w:hAnsi="Book Antiqua" w:cs="Book Antiqua"/>
          <w:color w:val="000000"/>
        </w:rPr>
        <w:t xml:space="preserve"> </w:t>
      </w:r>
      <w:r w:rsidR="00F30AB6" w:rsidRPr="00CA575F">
        <w:rPr>
          <w:rFonts w:ascii="Book Antiqua" w:eastAsia="Book Antiqua" w:hAnsi="Book Antiqua" w:cs="Book Antiqua"/>
          <w:color w:val="000000"/>
        </w:rPr>
        <w:t>HBV</w:t>
      </w:r>
      <w:r w:rsidR="00BF4775" w:rsidRPr="00CA575F">
        <w:rPr>
          <w:rFonts w:ascii="Book Antiqua" w:eastAsia="Book Antiqua" w:hAnsi="Book Antiqua" w:cs="Book Antiqua"/>
          <w:color w:val="000000"/>
        </w:rPr>
        <w:t xml:space="preserve">: </w:t>
      </w:r>
      <w:r w:rsidR="00BF4775" w:rsidRPr="00CA575F">
        <w:rPr>
          <w:rFonts w:ascii="Book Antiqua" w:hAnsi="Book Antiqua"/>
        </w:rPr>
        <w:t>Hepatitis B virus</w:t>
      </w:r>
      <w:r w:rsidR="00BF4775" w:rsidRPr="00FB40BF">
        <w:rPr>
          <w:rFonts w:ascii="Book Antiqua" w:hAnsi="Book Antiqua"/>
        </w:rPr>
        <w:t>;</w:t>
      </w:r>
      <w:r w:rsidR="00C911BE" w:rsidRPr="00FB40BF">
        <w:rPr>
          <w:rFonts w:ascii="Book Antiqua" w:hAnsi="Book Antiqua" w:cs="Book Antiqua"/>
          <w:color w:val="000000"/>
          <w:lang w:eastAsia="zh-CN"/>
        </w:rPr>
        <w:t xml:space="preserve"> </w:t>
      </w:r>
      <w:r w:rsidR="00F30AB6" w:rsidRPr="00CA575F">
        <w:rPr>
          <w:rFonts w:ascii="Book Antiqua" w:eastAsia="Book Antiqua" w:hAnsi="Book Antiqua" w:cs="Book Antiqua"/>
          <w:color w:val="000000"/>
        </w:rPr>
        <w:t>TNF</w:t>
      </w:r>
      <w:r w:rsidR="008C0759" w:rsidRPr="00CA575F">
        <w:rPr>
          <w:rFonts w:ascii="Book Antiqua" w:eastAsia="Book Antiqua" w:hAnsi="Book Antiqua" w:cs="Book Antiqua"/>
          <w:color w:val="000000"/>
        </w:rPr>
        <w:t>:</w:t>
      </w:r>
      <w:r w:rsidR="008C0759" w:rsidRPr="00CA575F">
        <w:rPr>
          <w:rFonts w:ascii="Book Antiqua" w:hAnsi="Book Antiqua" w:cstheme="minorHAnsi"/>
        </w:rPr>
        <w:t xml:space="preserve"> </w:t>
      </w:r>
      <w:r w:rsidR="008C0759" w:rsidRPr="00FB40BF">
        <w:rPr>
          <w:rFonts w:ascii="Book Antiqua" w:hAnsi="Book Antiqua" w:cstheme="minorHAnsi"/>
        </w:rPr>
        <w:t>Tumor necrosis factor;</w:t>
      </w:r>
      <w:r w:rsidR="00C911BE" w:rsidRPr="00FB40BF">
        <w:rPr>
          <w:rFonts w:ascii="Book Antiqua" w:hAnsi="Book Antiqua" w:cs="Book Antiqua"/>
          <w:color w:val="000000"/>
          <w:lang w:eastAsia="zh-CN"/>
        </w:rPr>
        <w:t xml:space="preserve"> </w:t>
      </w:r>
      <w:r w:rsidR="00C911BE" w:rsidRPr="00FB40BF">
        <w:rPr>
          <w:rFonts w:ascii="Book Antiqua" w:eastAsia="Book Antiqua" w:hAnsi="Book Antiqua" w:cs="Book Antiqua"/>
          <w:color w:val="000000"/>
        </w:rPr>
        <w:t>US FDA: United States Food and Drug Administration.</w:t>
      </w:r>
    </w:p>
    <w:p w14:paraId="5FAC1A49" w14:textId="77777777" w:rsidR="00CB3479" w:rsidRPr="00FB40BF" w:rsidRDefault="00CB3479" w:rsidP="00FB40BF">
      <w:pPr>
        <w:spacing w:line="360" w:lineRule="auto"/>
        <w:jc w:val="both"/>
        <w:rPr>
          <w:rFonts w:ascii="Book Antiqua" w:eastAsia="Book Antiqua" w:hAnsi="Book Antiqua" w:cs="Book Antiqua"/>
          <w:color w:val="000000"/>
        </w:rPr>
      </w:pPr>
    </w:p>
    <w:p w14:paraId="68793D41" w14:textId="77777777" w:rsidR="00CB3479" w:rsidRPr="00FB40BF" w:rsidRDefault="00CB3479" w:rsidP="00FB40BF">
      <w:pPr>
        <w:spacing w:line="360" w:lineRule="auto"/>
        <w:jc w:val="both"/>
        <w:rPr>
          <w:rFonts w:ascii="Book Antiqua" w:eastAsia="Book Antiqua" w:hAnsi="Book Antiqua" w:cs="Book Antiqua"/>
          <w:b/>
          <w:color w:val="000000"/>
        </w:rPr>
      </w:pPr>
    </w:p>
    <w:p w14:paraId="0E2FE58C" w14:textId="77777777" w:rsidR="00CB3479" w:rsidRPr="00FB40BF" w:rsidRDefault="00CB3479" w:rsidP="00FB40BF">
      <w:pPr>
        <w:spacing w:line="360" w:lineRule="auto"/>
        <w:jc w:val="both"/>
        <w:rPr>
          <w:rFonts w:ascii="Book Antiqua" w:eastAsia="Book Antiqua" w:hAnsi="Book Antiqua" w:cs="Book Antiqua"/>
          <w:b/>
          <w:color w:val="000000"/>
        </w:rPr>
      </w:pPr>
    </w:p>
    <w:p w14:paraId="5E85D3CB" w14:textId="77777777" w:rsidR="00CB3479" w:rsidRPr="00FB40BF" w:rsidRDefault="00CB3479" w:rsidP="00FB40BF">
      <w:pPr>
        <w:spacing w:line="360" w:lineRule="auto"/>
        <w:jc w:val="both"/>
        <w:rPr>
          <w:rFonts w:ascii="Book Antiqua" w:hAnsi="Book Antiqua"/>
        </w:rPr>
      </w:pPr>
    </w:p>
    <w:sectPr w:rsidR="00CB3479" w:rsidRPr="00FB40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25DBA" w14:textId="77777777" w:rsidR="00CA4533" w:rsidRDefault="00CA4533" w:rsidP="00554493">
      <w:r>
        <w:separator/>
      </w:r>
    </w:p>
  </w:endnote>
  <w:endnote w:type="continuationSeparator" w:id="0">
    <w:p w14:paraId="133BAB0F" w14:textId="77777777" w:rsidR="00CA4533" w:rsidRDefault="00CA4533" w:rsidP="00554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35371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7C9780C" w14:textId="77777777" w:rsidR="00554493" w:rsidRPr="006E3384" w:rsidRDefault="00554493">
            <w:pPr>
              <w:pStyle w:val="Footer"/>
              <w:jc w:val="right"/>
              <w:rPr>
                <w:rFonts w:ascii="Book Antiqua" w:hAnsi="Book Antiqua"/>
                <w:sz w:val="24"/>
                <w:szCs w:val="24"/>
              </w:rPr>
            </w:pPr>
            <w:r w:rsidRPr="00554493">
              <w:rPr>
                <w:rFonts w:ascii="Book Antiqua" w:hAnsi="Book Antiqua"/>
                <w:sz w:val="24"/>
                <w:szCs w:val="24"/>
                <w:lang w:val="zh-CN" w:eastAsia="zh-CN"/>
              </w:rPr>
              <w:t xml:space="preserve"> </w:t>
            </w:r>
            <w:r w:rsidRPr="006D013D">
              <w:rPr>
                <w:rFonts w:ascii="Book Antiqua" w:hAnsi="Book Antiqua"/>
                <w:sz w:val="24"/>
                <w:szCs w:val="24"/>
              </w:rPr>
              <w:fldChar w:fldCharType="begin"/>
            </w:r>
            <w:r w:rsidRPr="006D013D">
              <w:rPr>
                <w:rFonts w:ascii="Book Antiqua" w:hAnsi="Book Antiqua"/>
                <w:sz w:val="24"/>
                <w:szCs w:val="24"/>
              </w:rPr>
              <w:instrText>PAGE</w:instrText>
            </w:r>
            <w:r w:rsidRPr="006D013D">
              <w:rPr>
                <w:rFonts w:ascii="Book Antiqua" w:hAnsi="Book Antiqua"/>
                <w:sz w:val="24"/>
                <w:szCs w:val="24"/>
              </w:rPr>
              <w:fldChar w:fldCharType="separate"/>
            </w:r>
            <w:r w:rsidR="00FB40BF" w:rsidRPr="006D013D">
              <w:rPr>
                <w:rFonts w:ascii="Book Antiqua" w:hAnsi="Book Antiqua"/>
                <w:noProof/>
                <w:sz w:val="24"/>
                <w:szCs w:val="24"/>
              </w:rPr>
              <w:t>15</w:t>
            </w:r>
            <w:r w:rsidRPr="006D013D">
              <w:rPr>
                <w:rFonts w:ascii="Book Antiqua" w:hAnsi="Book Antiqua"/>
                <w:sz w:val="24"/>
                <w:szCs w:val="24"/>
              </w:rPr>
              <w:fldChar w:fldCharType="end"/>
            </w:r>
            <w:r w:rsidRPr="006E3384">
              <w:rPr>
                <w:rFonts w:ascii="Book Antiqua" w:hAnsi="Book Antiqua"/>
                <w:sz w:val="24"/>
                <w:szCs w:val="24"/>
                <w:lang w:val="zh-CN" w:eastAsia="zh-CN"/>
              </w:rPr>
              <w:t xml:space="preserve"> / </w:t>
            </w:r>
            <w:r w:rsidRPr="006D013D">
              <w:rPr>
                <w:rFonts w:ascii="Book Antiqua" w:hAnsi="Book Antiqua"/>
                <w:sz w:val="24"/>
                <w:szCs w:val="24"/>
              </w:rPr>
              <w:fldChar w:fldCharType="begin"/>
            </w:r>
            <w:r w:rsidRPr="006D013D">
              <w:rPr>
                <w:rFonts w:ascii="Book Antiqua" w:hAnsi="Book Antiqua"/>
                <w:sz w:val="24"/>
                <w:szCs w:val="24"/>
              </w:rPr>
              <w:instrText>NUMPAGES</w:instrText>
            </w:r>
            <w:r w:rsidRPr="006D013D">
              <w:rPr>
                <w:rFonts w:ascii="Book Antiqua" w:hAnsi="Book Antiqua"/>
                <w:sz w:val="24"/>
                <w:szCs w:val="24"/>
              </w:rPr>
              <w:fldChar w:fldCharType="separate"/>
            </w:r>
            <w:r w:rsidR="00FB40BF" w:rsidRPr="006D013D">
              <w:rPr>
                <w:rFonts w:ascii="Book Antiqua" w:hAnsi="Book Antiqua"/>
                <w:noProof/>
                <w:sz w:val="24"/>
                <w:szCs w:val="24"/>
              </w:rPr>
              <w:t>15</w:t>
            </w:r>
            <w:r w:rsidRPr="006D013D">
              <w:rPr>
                <w:rFonts w:ascii="Book Antiqua" w:hAnsi="Book Antiqua"/>
                <w:sz w:val="24"/>
                <w:szCs w:val="24"/>
              </w:rPr>
              <w:fldChar w:fldCharType="end"/>
            </w:r>
          </w:p>
        </w:sdtContent>
      </w:sdt>
    </w:sdtContent>
  </w:sdt>
  <w:p w14:paraId="470F470A" w14:textId="77777777" w:rsidR="00554493" w:rsidRDefault="00554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E1B90" w14:textId="77777777" w:rsidR="00CA4533" w:rsidRDefault="00CA4533" w:rsidP="00554493">
      <w:r>
        <w:separator/>
      </w:r>
    </w:p>
  </w:footnote>
  <w:footnote w:type="continuationSeparator" w:id="0">
    <w:p w14:paraId="71AAA93A" w14:textId="77777777" w:rsidR="00CA4533" w:rsidRDefault="00CA4533" w:rsidP="00554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4163B"/>
    <w:multiLevelType w:val="hybridMultilevel"/>
    <w:tmpl w:val="BA943710"/>
    <w:lvl w:ilvl="0" w:tplc="24000015">
      <w:start w:val="1"/>
      <w:numFmt w:val="upperLetter"/>
      <w:lvlText w:val="%1."/>
      <w:lvlJc w:val="left"/>
      <w:pPr>
        <w:ind w:left="720" w:hanging="360"/>
      </w:pPr>
      <w:rPr>
        <w:rFonts w:hint="default"/>
      </w:rPr>
    </w:lvl>
    <w:lvl w:ilvl="1" w:tplc="24000019" w:tentative="1">
      <w:start w:val="1"/>
      <w:numFmt w:val="lowerLetter"/>
      <w:lvlText w:val="%2."/>
      <w:lvlJc w:val="left"/>
      <w:pPr>
        <w:ind w:left="1440" w:hanging="360"/>
      </w:pPr>
    </w:lvl>
    <w:lvl w:ilvl="2" w:tplc="2400001B" w:tentative="1">
      <w:start w:val="1"/>
      <w:numFmt w:val="lowerRoman"/>
      <w:lvlText w:val="%3."/>
      <w:lvlJc w:val="right"/>
      <w:pPr>
        <w:ind w:left="2160" w:hanging="180"/>
      </w:pPr>
    </w:lvl>
    <w:lvl w:ilvl="3" w:tplc="2400000F" w:tentative="1">
      <w:start w:val="1"/>
      <w:numFmt w:val="decimal"/>
      <w:lvlText w:val="%4."/>
      <w:lvlJc w:val="left"/>
      <w:pPr>
        <w:ind w:left="2880" w:hanging="360"/>
      </w:pPr>
    </w:lvl>
    <w:lvl w:ilvl="4" w:tplc="24000019" w:tentative="1">
      <w:start w:val="1"/>
      <w:numFmt w:val="lowerLetter"/>
      <w:lvlText w:val="%5."/>
      <w:lvlJc w:val="left"/>
      <w:pPr>
        <w:ind w:left="3600" w:hanging="360"/>
      </w:pPr>
    </w:lvl>
    <w:lvl w:ilvl="5" w:tplc="2400001B" w:tentative="1">
      <w:start w:val="1"/>
      <w:numFmt w:val="lowerRoman"/>
      <w:lvlText w:val="%6."/>
      <w:lvlJc w:val="right"/>
      <w:pPr>
        <w:ind w:left="4320" w:hanging="180"/>
      </w:pPr>
    </w:lvl>
    <w:lvl w:ilvl="6" w:tplc="2400000F" w:tentative="1">
      <w:start w:val="1"/>
      <w:numFmt w:val="decimal"/>
      <w:lvlText w:val="%7."/>
      <w:lvlJc w:val="left"/>
      <w:pPr>
        <w:ind w:left="5040" w:hanging="360"/>
      </w:pPr>
    </w:lvl>
    <w:lvl w:ilvl="7" w:tplc="24000019" w:tentative="1">
      <w:start w:val="1"/>
      <w:numFmt w:val="lowerLetter"/>
      <w:lvlText w:val="%8."/>
      <w:lvlJc w:val="left"/>
      <w:pPr>
        <w:ind w:left="5760" w:hanging="360"/>
      </w:pPr>
    </w:lvl>
    <w:lvl w:ilvl="8" w:tplc="2400001B" w:tentative="1">
      <w:start w:val="1"/>
      <w:numFmt w:val="lowerRoman"/>
      <w:lvlText w:val="%9."/>
      <w:lvlJc w:val="right"/>
      <w:pPr>
        <w:ind w:left="6480" w:hanging="180"/>
      </w:pPr>
    </w:lvl>
  </w:abstractNum>
  <w:abstractNum w:abstractNumId="1" w15:restartNumberingAfterBreak="0">
    <w:nsid w:val="761E1F20"/>
    <w:multiLevelType w:val="hybridMultilevel"/>
    <w:tmpl w:val="09846434"/>
    <w:lvl w:ilvl="0" w:tplc="DE62000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13650459">
    <w:abstractNumId w:val="1"/>
  </w:num>
  <w:num w:numId="2" w16cid:durableId="1186283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B07"/>
    <w:rsid w:val="000075D1"/>
    <w:rsid w:val="000137AE"/>
    <w:rsid w:val="00013A4A"/>
    <w:rsid w:val="000245A7"/>
    <w:rsid w:val="00034886"/>
    <w:rsid w:val="000356EC"/>
    <w:rsid w:val="00055FB9"/>
    <w:rsid w:val="00064806"/>
    <w:rsid w:val="000742BA"/>
    <w:rsid w:val="000764F1"/>
    <w:rsid w:val="00096A5C"/>
    <w:rsid w:val="000A6A8A"/>
    <w:rsid w:val="000B09E7"/>
    <w:rsid w:val="000B18A8"/>
    <w:rsid w:val="000C3193"/>
    <w:rsid w:val="000E4B02"/>
    <w:rsid w:val="000E58A1"/>
    <w:rsid w:val="000E5F43"/>
    <w:rsid w:val="000F016F"/>
    <w:rsid w:val="000F4144"/>
    <w:rsid w:val="00102916"/>
    <w:rsid w:val="001179EA"/>
    <w:rsid w:val="00121A7E"/>
    <w:rsid w:val="001242D4"/>
    <w:rsid w:val="0013431D"/>
    <w:rsid w:val="00146B20"/>
    <w:rsid w:val="001669FF"/>
    <w:rsid w:val="00174552"/>
    <w:rsid w:val="001816EC"/>
    <w:rsid w:val="00185995"/>
    <w:rsid w:val="0018734E"/>
    <w:rsid w:val="00187BEC"/>
    <w:rsid w:val="001918B2"/>
    <w:rsid w:val="0019355D"/>
    <w:rsid w:val="001B0669"/>
    <w:rsid w:val="001B0E49"/>
    <w:rsid w:val="001B7CAC"/>
    <w:rsid w:val="001C0CBA"/>
    <w:rsid w:val="001C11C3"/>
    <w:rsid w:val="001C17D2"/>
    <w:rsid w:val="001C7D50"/>
    <w:rsid w:val="001D174A"/>
    <w:rsid w:val="001E18DD"/>
    <w:rsid w:val="001E64D3"/>
    <w:rsid w:val="001F5001"/>
    <w:rsid w:val="001F5BD1"/>
    <w:rsid w:val="00205322"/>
    <w:rsid w:val="00205704"/>
    <w:rsid w:val="00207997"/>
    <w:rsid w:val="002160D7"/>
    <w:rsid w:val="00221758"/>
    <w:rsid w:val="0023363B"/>
    <w:rsid w:val="00242DD3"/>
    <w:rsid w:val="00245F43"/>
    <w:rsid w:val="0026633E"/>
    <w:rsid w:val="002C21B1"/>
    <w:rsid w:val="002C3132"/>
    <w:rsid w:val="002C5CD2"/>
    <w:rsid w:val="002E39C6"/>
    <w:rsid w:val="002E5F56"/>
    <w:rsid w:val="002F75B7"/>
    <w:rsid w:val="003027D3"/>
    <w:rsid w:val="00313F16"/>
    <w:rsid w:val="003635CA"/>
    <w:rsid w:val="00374955"/>
    <w:rsid w:val="00380CCD"/>
    <w:rsid w:val="003A4B73"/>
    <w:rsid w:val="003B45B3"/>
    <w:rsid w:val="003E02A0"/>
    <w:rsid w:val="003E2AA2"/>
    <w:rsid w:val="003F041E"/>
    <w:rsid w:val="00400DDD"/>
    <w:rsid w:val="00401D78"/>
    <w:rsid w:val="0040573C"/>
    <w:rsid w:val="00412F8A"/>
    <w:rsid w:val="00437C93"/>
    <w:rsid w:val="00440AEF"/>
    <w:rsid w:val="00444F76"/>
    <w:rsid w:val="00452FB9"/>
    <w:rsid w:val="00457A2A"/>
    <w:rsid w:val="00457C86"/>
    <w:rsid w:val="004647D0"/>
    <w:rsid w:val="004735CC"/>
    <w:rsid w:val="004A450B"/>
    <w:rsid w:val="004A5B90"/>
    <w:rsid w:val="004B6293"/>
    <w:rsid w:val="004B66D4"/>
    <w:rsid w:val="004C2A03"/>
    <w:rsid w:val="004C4F90"/>
    <w:rsid w:val="004E4352"/>
    <w:rsid w:val="004F68E3"/>
    <w:rsid w:val="00507C71"/>
    <w:rsid w:val="005164FA"/>
    <w:rsid w:val="0052098C"/>
    <w:rsid w:val="005248A6"/>
    <w:rsid w:val="00535977"/>
    <w:rsid w:val="005450B3"/>
    <w:rsid w:val="0054575E"/>
    <w:rsid w:val="00554493"/>
    <w:rsid w:val="005571E7"/>
    <w:rsid w:val="005660AD"/>
    <w:rsid w:val="00567D0E"/>
    <w:rsid w:val="00576152"/>
    <w:rsid w:val="005A39F2"/>
    <w:rsid w:val="005B7DF2"/>
    <w:rsid w:val="005C3CA1"/>
    <w:rsid w:val="005C5535"/>
    <w:rsid w:val="005F415F"/>
    <w:rsid w:val="006006EF"/>
    <w:rsid w:val="0060776F"/>
    <w:rsid w:val="00607A2B"/>
    <w:rsid w:val="00624CC6"/>
    <w:rsid w:val="00634D1B"/>
    <w:rsid w:val="0064689A"/>
    <w:rsid w:val="00660CB4"/>
    <w:rsid w:val="00663220"/>
    <w:rsid w:val="00680C73"/>
    <w:rsid w:val="0068439D"/>
    <w:rsid w:val="006869C8"/>
    <w:rsid w:val="006C5464"/>
    <w:rsid w:val="006C55BF"/>
    <w:rsid w:val="006C5D27"/>
    <w:rsid w:val="006D013D"/>
    <w:rsid w:val="006E3384"/>
    <w:rsid w:val="006E52D4"/>
    <w:rsid w:val="006F211C"/>
    <w:rsid w:val="006F5105"/>
    <w:rsid w:val="00704361"/>
    <w:rsid w:val="00726987"/>
    <w:rsid w:val="0076450D"/>
    <w:rsid w:val="0077185C"/>
    <w:rsid w:val="00772E6E"/>
    <w:rsid w:val="007805D0"/>
    <w:rsid w:val="00790371"/>
    <w:rsid w:val="007A1110"/>
    <w:rsid w:val="007A3982"/>
    <w:rsid w:val="007B2AF9"/>
    <w:rsid w:val="007B4144"/>
    <w:rsid w:val="007B7BF1"/>
    <w:rsid w:val="007C31E8"/>
    <w:rsid w:val="007C4409"/>
    <w:rsid w:val="007D0702"/>
    <w:rsid w:val="007D1D16"/>
    <w:rsid w:val="007E24A7"/>
    <w:rsid w:val="008138A2"/>
    <w:rsid w:val="00814BA9"/>
    <w:rsid w:val="0082581A"/>
    <w:rsid w:val="008369D6"/>
    <w:rsid w:val="00853C17"/>
    <w:rsid w:val="00857C38"/>
    <w:rsid w:val="0088131F"/>
    <w:rsid w:val="0088159C"/>
    <w:rsid w:val="0088650F"/>
    <w:rsid w:val="008B645B"/>
    <w:rsid w:val="008C0759"/>
    <w:rsid w:val="008C1794"/>
    <w:rsid w:val="008C1E4A"/>
    <w:rsid w:val="008D41AC"/>
    <w:rsid w:val="008E291A"/>
    <w:rsid w:val="008F6390"/>
    <w:rsid w:val="00913FB9"/>
    <w:rsid w:val="0095564F"/>
    <w:rsid w:val="00955F4D"/>
    <w:rsid w:val="00957A34"/>
    <w:rsid w:val="00962029"/>
    <w:rsid w:val="00962E8E"/>
    <w:rsid w:val="00970952"/>
    <w:rsid w:val="0097221E"/>
    <w:rsid w:val="009B2691"/>
    <w:rsid w:val="009C3426"/>
    <w:rsid w:val="009D2FCC"/>
    <w:rsid w:val="009E0F2A"/>
    <w:rsid w:val="009F4D8A"/>
    <w:rsid w:val="00A03AF0"/>
    <w:rsid w:val="00A12009"/>
    <w:rsid w:val="00A201B7"/>
    <w:rsid w:val="00A25E26"/>
    <w:rsid w:val="00A6526D"/>
    <w:rsid w:val="00A74038"/>
    <w:rsid w:val="00A74D40"/>
    <w:rsid w:val="00A77B3E"/>
    <w:rsid w:val="00A8123A"/>
    <w:rsid w:val="00A82613"/>
    <w:rsid w:val="00A96910"/>
    <w:rsid w:val="00A96C2F"/>
    <w:rsid w:val="00A97ADE"/>
    <w:rsid w:val="00AA0AC0"/>
    <w:rsid w:val="00AA4A4C"/>
    <w:rsid w:val="00AB2B14"/>
    <w:rsid w:val="00AB55FF"/>
    <w:rsid w:val="00AE3A2A"/>
    <w:rsid w:val="00AF435F"/>
    <w:rsid w:val="00B227D6"/>
    <w:rsid w:val="00B32E71"/>
    <w:rsid w:val="00B504DF"/>
    <w:rsid w:val="00B66E8E"/>
    <w:rsid w:val="00B75EB5"/>
    <w:rsid w:val="00B96DA8"/>
    <w:rsid w:val="00BA45C0"/>
    <w:rsid w:val="00BB0643"/>
    <w:rsid w:val="00BC0647"/>
    <w:rsid w:val="00BD474E"/>
    <w:rsid w:val="00BE45EB"/>
    <w:rsid w:val="00BF4775"/>
    <w:rsid w:val="00BF69F6"/>
    <w:rsid w:val="00C0128C"/>
    <w:rsid w:val="00C072A6"/>
    <w:rsid w:val="00C07410"/>
    <w:rsid w:val="00C1022C"/>
    <w:rsid w:val="00C14BD7"/>
    <w:rsid w:val="00C21116"/>
    <w:rsid w:val="00C378CA"/>
    <w:rsid w:val="00C475C4"/>
    <w:rsid w:val="00C53CDE"/>
    <w:rsid w:val="00C54738"/>
    <w:rsid w:val="00C651A9"/>
    <w:rsid w:val="00C7064D"/>
    <w:rsid w:val="00C73BF6"/>
    <w:rsid w:val="00C8341D"/>
    <w:rsid w:val="00C911BE"/>
    <w:rsid w:val="00C94922"/>
    <w:rsid w:val="00CA180F"/>
    <w:rsid w:val="00CA2A55"/>
    <w:rsid w:val="00CA4533"/>
    <w:rsid w:val="00CA575F"/>
    <w:rsid w:val="00CB3479"/>
    <w:rsid w:val="00CB4DB2"/>
    <w:rsid w:val="00CD4FF0"/>
    <w:rsid w:val="00CE00C8"/>
    <w:rsid w:val="00CE7C1E"/>
    <w:rsid w:val="00CF79E3"/>
    <w:rsid w:val="00D07921"/>
    <w:rsid w:val="00D07B1B"/>
    <w:rsid w:val="00D10E5C"/>
    <w:rsid w:val="00D249F2"/>
    <w:rsid w:val="00D50BC2"/>
    <w:rsid w:val="00D54DC6"/>
    <w:rsid w:val="00D6488A"/>
    <w:rsid w:val="00D67DBA"/>
    <w:rsid w:val="00D73766"/>
    <w:rsid w:val="00DB416B"/>
    <w:rsid w:val="00DB7DEE"/>
    <w:rsid w:val="00DC4421"/>
    <w:rsid w:val="00DF2F9A"/>
    <w:rsid w:val="00DF349D"/>
    <w:rsid w:val="00DF4B5E"/>
    <w:rsid w:val="00DF6CF8"/>
    <w:rsid w:val="00E17915"/>
    <w:rsid w:val="00E337DF"/>
    <w:rsid w:val="00E50F15"/>
    <w:rsid w:val="00E626F5"/>
    <w:rsid w:val="00E750C8"/>
    <w:rsid w:val="00E80C9F"/>
    <w:rsid w:val="00E8340D"/>
    <w:rsid w:val="00E8350E"/>
    <w:rsid w:val="00E925CD"/>
    <w:rsid w:val="00EA2FDE"/>
    <w:rsid w:val="00EC25A9"/>
    <w:rsid w:val="00ED29B4"/>
    <w:rsid w:val="00EF7AD1"/>
    <w:rsid w:val="00F30AB6"/>
    <w:rsid w:val="00F315E9"/>
    <w:rsid w:val="00F3304F"/>
    <w:rsid w:val="00F358D9"/>
    <w:rsid w:val="00F43B09"/>
    <w:rsid w:val="00F45C8A"/>
    <w:rsid w:val="00F5277E"/>
    <w:rsid w:val="00F56A27"/>
    <w:rsid w:val="00F57A0A"/>
    <w:rsid w:val="00F6565E"/>
    <w:rsid w:val="00F70F46"/>
    <w:rsid w:val="00FB320B"/>
    <w:rsid w:val="00FB40BF"/>
    <w:rsid w:val="00FE4DCA"/>
    <w:rsid w:val="00FE57C3"/>
    <w:rsid w:val="00FE6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ADEB61"/>
  <w15:docId w15:val="{69C97914-FD98-4666-8375-CE953407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5449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54493"/>
    <w:rPr>
      <w:sz w:val="18"/>
      <w:szCs w:val="18"/>
    </w:rPr>
  </w:style>
  <w:style w:type="paragraph" w:styleId="Footer">
    <w:name w:val="footer"/>
    <w:basedOn w:val="Normal"/>
    <w:link w:val="FooterChar"/>
    <w:uiPriority w:val="99"/>
    <w:unhideWhenUsed/>
    <w:rsid w:val="0055449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54493"/>
    <w:rPr>
      <w:sz w:val="18"/>
      <w:szCs w:val="18"/>
    </w:rPr>
  </w:style>
  <w:style w:type="paragraph" w:styleId="NormalWeb">
    <w:name w:val="Normal (Web)"/>
    <w:basedOn w:val="Normal"/>
    <w:uiPriority w:val="99"/>
    <w:unhideWhenUsed/>
    <w:rsid w:val="00CA180F"/>
    <w:pPr>
      <w:spacing w:before="100" w:beforeAutospacing="1" w:after="100" w:afterAutospacing="1"/>
    </w:pPr>
    <w:rPr>
      <w:rFonts w:eastAsia="Times New Roman"/>
      <w:lang w:val="it-IT" w:eastAsia="it-IT"/>
    </w:rPr>
  </w:style>
  <w:style w:type="paragraph" w:styleId="Bibliography">
    <w:name w:val="Bibliography"/>
    <w:basedOn w:val="Normal"/>
    <w:next w:val="Normal"/>
    <w:uiPriority w:val="37"/>
    <w:unhideWhenUsed/>
    <w:rsid w:val="00CA180F"/>
    <w:rPr>
      <w:rFonts w:eastAsia="Times New Roman"/>
      <w:lang w:val="it-IT" w:eastAsia="it-IT"/>
    </w:rPr>
  </w:style>
  <w:style w:type="table" w:styleId="TableGrid">
    <w:name w:val="Table Grid"/>
    <w:basedOn w:val="TableNormal"/>
    <w:uiPriority w:val="39"/>
    <w:rsid w:val="008369D6"/>
    <w:rPr>
      <w:rFonts w:asciiTheme="minorHAnsi" w:hAnsiTheme="minorHAnsi" w:cstheme="minorBidi"/>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44F76"/>
    <w:rPr>
      <w:sz w:val="18"/>
      <w:szCs w:val="18"/>
    </w:rPr>
  </w:style>
  <w:style w:type="character" w:customStyle="1" w:styleId="BalloonTextChar">
    <w:name w:val="Balloon Text Char"/>
    <w:basedOn w:val="DefaultParagraphFont"/>
    <w:link w:val="BalloonText"/>
    <w:semiHidden/>
    <w:rsid w:val="00444F76"/>
    <w:rPr>
      <w:sz w:val="18"/>
      <w:szCs w:val="18"/>
    </w:rPr>
  </w:style>
  <w:style w:type="character" w:styleId="CommentReference">
    <w:name w:val="annotation reference"/>
    <w:basedOn w:val="DefaultParagraphFont"/>
    <w:semiHidden/>
    <w:unhideWhenUsed/>
    <w:rsid w:val="001D174A"/>
    <w:rPr>
      <w:sz w:val="21"/>
      <w:szCs w:val="21"/>
    </w:rPr>
  </w:style>
  <w:style w:type="paragraph" w:styleId="CommentText">
    <w:name w:val="annotation text"/>
    <w:basedOn w:val="Normal"/>
    <w:link w:val="CommentTextChar"/>
    <w:semiHidden/>
    <w:unhideWhenUsed/>
    <w:rsid w:val="001D174A"/>
  </w:style>
  <w:style w:type="character" w:customStyle="1" w:styleId="CommentTextChar">
    <w:name w:val="Comment Text Char"/>
    <w:basedOn w:val="DefaultParagraphFont"/>
    <w:link w:val="CommentText"/>
    <w:semiHidden/>
    <w:rsid w:val="001D174A"/>
    <w:rPr>
      <w:sz w:val="24"/>
      <w:szCs w:val="24"/>
    </w:rPr>
  </w:style>
  <w:style w:type="paragraph" w:styleId="CommentSubject">
    <w:name w:val="annotation subject"/>
    <w:basedOn w:val="CommentText"/>
    <w:next w:val="CommentText"/>
    <w:link w:val="CommentSubjectChar"/>
    <w:semiHidden/>
    <w:unhideWhenUsed/>
    <w:rsid w:val="001D174A"/>
    <w:rPr>
      <w:b/>
      <w:bCs/>
    </w:rPr>
  </w:style>
  <w:style w:type="character" w:customStyle="1" w:styleId="CommentSubjectChar">
    <w:name w:val="Comment Subject Char"/>
    <w:basedOn w:val="CommentTextChar"/>
    <w:link w:val="CommentSubject"/>
    <w:semiHidden/>
    <w:rsid w:val="001D174A"/>
    <w:rPr>
      <w:b/>
      <w:bCs/>
      <w:sz w:val="24"/>
      <w:szCs w:val="24"/>
    </w:rPr>
  </w:style>
  <w:style w:type="paragraph" w:styleId="Revision">
    <w:name w:val="Revision"/>
    <w:hidden/>
    <w:uiPriority w:val="99"/>
    <w:semiHidden/>
    <w:rsid w:val="009556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3608</Words>
  <Characters>20571</Characters>
  <Application>Microsoft Office Word</Application>
  <DocSecurity>0</DocSecurity>
  <Lines>171</Lines>
  <Paragraphs>48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Jennifer van Velkinburgh</cp:lastModifiedBy>
  <cp:revision>2</cp:revision>
  <dcterms:created xsi:type="dcterms:W3CDTF">2023-12-24T07:38:00Z</dcterms:created>
  <dcterms:modified xsi:type="dcterms:W3CDTF">2023-12-24T07:38:00Z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a0af645e973adbcdb3f2d730ebb08c153223bc4f6e50223c48cb6df43534ce7b</vt:lpwstr>
  </property>
</Properties>
</file>