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E3E82" w14:textId="77777777" w:rsidR="00A77B3E" w:rsidRDefault="00CC2EF4">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750CC61" w14:textId="77777777" w:rsidR="00A77B3E" w:rsidRDefault="00CC2EF4">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88499</w:t>
      </w:r>
    </w:p>
    <w:p w14:paraId="51BD8632" w14:textId="77777777" w:rsidR="00A77B3E" w:rsidRDefault="00CC2EF4">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6ED207A6" w14:textId="77777777" w:rsidR="00A77B3E" w:rsidRDefault="00A77B3E">
      <w:pPr>
        <w:spacing w:line="360" w:lineRule="auto"/>
        <w:jc w:val="both"/>
      </w:pPr>
    </w:p>
    <w:p w14:paraId="0A7C6332" w14:textId="616B08C9" w:rsidR="00A77B3E" w:rsidRDefault="00CC2EF4">
      <w:pPr>
        <w:spacing w:line="360" w:lineRule="auto"/>
        <w:jc w:val="both"/>
      </w:pPr>
      <w:r>
        <w:rPr>
          <w:rFonts w:ascii="Book Antiqua" w:eastAsia="Book Antiqua" w:hAnsi="Book Antiqua" w:cs="Book Antiqua"/>
          <w:b/>
          <w:color w:val="000000"/>
        </w:rPr>
        <w:t>Crohn</w:t>
      </w:r>
      <w:r w:rsidR="0049678E">
        <w:rPr>
          <w:rFonts w:ascii="Book Antiqua" w:hAnsi="Book Antiqua" w:cs="Book Antiqua"/>
          <w:b/>
          <w:color w:val="000000"/>
          <w:lang w:eastAsia="zh-CN"/>
        </w:rPr>
        <w:t>’</w:t>
      </w:r>
      <w:r>
        <w:rPr>
          <w:rFonts w:ascii="Book Antiqua" w:eastAsia="Book Antiqua" w:hAnsi="Book Antiqua" w:cs="Book Antiqua"/>
          <w:b/>
          <w:color w:val="000000"/>
        </w:rPr>
        <w:t>s disease as the intestinal manifestation of pan-lymphatic dysfunction: An exploratory proposal based on basic and clinical data</w:t>
      </w:r>
    </w:p>
    <w:p w14:paraId="60F61A40" w14:textId="77777777" w:rsidR="00A77B3E" w:rsidRDefault="00A77B3E">
      <w:pPr>
        <w:spacing w:line="360" w:lineRule="auto"/>
        <w:jc w:val="both"/>
      </w:pPr>
    </w:p>
    <w:p w14:paraId="5C5A0614" w14:textId="625BF093" w:rsidR="00A77B3E" w:rsidRDefault="00D144F4">
      <w:pPr>
        <w:spacing w:line="360" w:lineRule="auto"/>
        <w:jc w:val="both"/>
      </w:pPr>
      <w:r>
        <w:rPr>
          <w:rFonts w:ascii="Book Antiqua" w:eastAsia="Book Antiqua" w:hAnsi="Book Antiqua" w:cs="Book Antiqua"/>
          <w:color w:val="000000"/>
        </w:rPr>
        <w:t xml:space="preserve">Zhou YW </w:t>
      </w:r>
      <w:r w:rsidRPr="00D144F4">
        <w:rPr>
          <w:rFonts w:ascii="Book Antiqua" w:eastAsia="Book Antiqua" w:hAnsi="Book Antiqua" w:cs="Book Antiqua"/>
          <w:i/>
          <w:iCs/>
          <w:color w:val="000000"/>
        </w:rPr>
        <w:t>et al</w:t>
      </w:r>
      <w:r>
        <w:rPr>
          <w:rFonts w:ascii="Book Antiqua" w:eastAsia="Book Antiqua" w:hAnsi="Book Antiqua" w:cs="Book Antiqua"/>
          <w:color w:val="000000"/>
        </w:rPr>
        <w:t>. CD as intestinal pan-lymphatic dysfunction</w:t>
      </w:r>
    </w:p>
    <w:p w14:paraId="04A81EA3" w14:textId="77777777" w:rsidR="00A77B3E" w:rsidRDefault="00A77B3E">
      <w:pPr>
        <w:spacing w:line="360" w:lineRule="auto"/>
        <w:jc w:val="both"/>
      </w:pPr>
    </w:p>
    <w:p w14:paraId="40ABFFDF" w14:textId="0827E85D" w:rsidR="00A77B3E" w:rsidRDefault="00CC2EF4">
      <w:pPr>
        <w:spacing w:line="360" w:lineRule="auto"/>
        <w:jc w:val="both"/>
      </w:pPr>
      <w:r>
        <w:rPr>
          <w:rFonts w:ascii="Book Antiqua" w:eastAsia="Book Antiqua" w:hAnsi="Book Antiqua" w:cs="Book Antiqua"/>
          <w:color w:val="000000"/>
        </w:rPr>
        <w:t>Yu-Wei Zhou, Yue Ren, Miao-Miao Lu, Ling-Ling Xu, Wei-Xin Cheng, Meng-Meng Zhang, Lin-Ping Ding, Dong Chen, Jian-Guo Gao, Juan Du, Ci-Liang Jin, Chun</w:t>
      </w:r>
      <w:r w:rsidR="00D144F4">
        <w:rPr>
          <w:rFonts w:ascii="Book Antiqua" w:eastAsia="Book Antiqua" w:hAnsi="Book Antiqua" w:cs="Book Antiqua"/>
          <w:color w:val="000000"/>
        </w:rPr>
        <w:t>-X</w:t>
      </w:r>
      <w:r>
        <w:rPr>
          <w:rFonts w:ascii="Book Antiqua" w:eastAsia="Book Antiqua" w:hAnsi="Book Antiqua" w:cs="Book Antiqua"/>
          <w:color w:val="000000"/>
        </w:rPr>
        <w:t>iao Chen, Yun-Fei Li, Tao Cheng, Peng-Lei Jiang, Yi</w:t>
      </w:r>
      <w:r w:rsidR="005C75EE">
        <w:rPr>
          <w:rFonts w:ascii="Book Antiqua" w:eastAsia="Book Antiqua" w:hAnsi="Book Antiqua" w:cs="Book Antiqua"/>
          <w:color w:val="000000"/>
        </w:rPr>
        <w:t>-D</w:t>
      </w:r>
      <w:r>
        <w:rPr>
          <w:rFonts w:ascii="Book Antiqua" w:eastAsia="Book Antiqua" w:hAnsi="Book Antiqua" w:cs="Book Antiqua"/>
          <w:color w:val="000000"/>
        </w:rPr>
        <w:t>a Yang, Peng</w:t>
      </w:r>
      <w:r w:rsidR="00D144F4">
        <w:rPr>
          <w:rFonts w:ascii="Book Antiqua" w:eastAsia="Book Antiqua" w:hAnsi="Book Antiqua" w:cs="Book Antiqua"/>
          <w:color w:val="000000"/>
        </w:rPr>
        <w:t>-X</w:t>
      </w:r>
      <w:r>
        <w:rPr>
          <w:rFonts w:ascii="Book Antiqua" w:eastAsia="Book Antiqua" w:hAnsi="Book Antiqua" w:cs="Book Antiqua"/>
          <w:color w:val="000000"/>
        </w:rPr>
        <w:t>u Qian, Peng-Fei Xu, Xi Jin</w:t>
      </w:r>
    </w:p>
    <w:p w14:paraId="2183F1BE" w14:textId="77777777" w:rsidR="00A77B3E" w:rsidRDefault="00A77B3E">
      <w:pPr>
        <w:spacing w:line="360" w:lineRule="auto"/>
        <w:jc w:val="both"/>
      </w:pPr>
    </w:p>
    <w:p w14:paraId="3AA4B1D9" w14:textId="77777777" w:rsidR="00617E07" w:rsidRDefault="00CC2EF4" w:rsidP="00617E07">
      <w:pPr>
        <w:spacing w:line="360" w:lineRule="auto"/>
        <w:jc w:val="both"/>
      </w:pPr>
      <w:r>
        <w:rPr>
          <w:rFonts w:ascii="Book Antiqua" w:eastAsia="Book Antiqua" w:hAnsi="Book Antiqua" w:cs="Book Antiqua"/>
          <w:b/>
          <w:bCs/>
          <w:color w:val="000000"/>
        </w:rPr>
        <w:t>Yu-Wei Zhou, Wei-Xin Cheng, Lin-Ping Ding,</w:t>
      </w:r>
      <w:r w:rsidR="00617E07">
        <w:rPr>
          <w:rFonts w:ascii="Book Antiqua" w:eastAsia="Book Antiqua" w:hAnsi="Book Antiqua" w:cs="Book Antiqua"/>
          <w:b/>
          <w:bCs/>
          <w:color w:val="000000"/>
        </w:rPr>
        <w:t xml:space="preserve"> Jian-Guo Gao, Juan Du, Chun-Xiao Chen, Xi Jin, </w:t>
      </w:r>
      <w:r w:rsidR="00617E07">
        <w:rPr>
          <w:rFonts w:ascii="Book Antiqua" w:eastAsia="Book Antiqua" w:hAnsi="Book Antiqua" w:cs="Book Antiqua"/>
          <w:color w:val="000000"/>
        </w:rPr>
        <w:t>Department of Gastroenterology, The First Affiliated Hospital of Zhejiang University School of Medicine, Hangzhou 310003, Zhejiang Province, China</w:t>
      </w:r>
    </w:p>
    <w:p w14:paraId="2286229C" w14:textId="77777777" w:rsidR="00A77B3E" w:rsidRDefault="00A77B3E">
      <w:pPr>
        <w:spacing w:line="360" w:lineRule="auto"/>
        <w:jc w:val="both"/>
      </w:pPr>
    </w:p>
    <w:p w14:paraId="0EEA6DA0" w14:textId="0C4F6676" w:rsidR="00A77B3E" w:rsidRDefault="00CC2EF4">
      <w:pPr>
        <w:spacing w:line="360" w:lineRule="auto"/>
        <w:jc w:val="both"/>
      </w:pPr>
      <w:r>
        <w:rPr>
          <w:rFonts w:ascii="Book Antiqua" w:eastAsia="Book Antiqua" w:hAnsi="Book Antiqua" w:cs="Book Antiqua"/>
          <w:b/>
          <w:bCs/>
          <w:color w:val="000000"/>
        </w:rPr>
        <w:t xml:space="preserve">Yue Ren, </w:t>
      </w:r>
      <w:r>
        <w:rPr>
          <w:rFonts w:ascii="Book Antiqua" w:eastAsia="Book Antiqua" w:hAnsi="Book Antiqua" w:cs="Book Antiqua"/>
          <w:color w:val="000000"/>
        </w:rPr>
        <w:t xml:space="preserve">Department of Gastroenterology, The </w:t>
      </w:r>
      <w:r w:rsidR="00D144F4">
        <w:rPr>
          <w:rFonts w:ascii="Book Antiqua" w:eastAsia="Book Antiqua" w:hAnsi="Book Antiqua" w:cs="Book Antiqua"/>
          <w:color w:val="000000"/>
        </w:rPr>
        <w:t>Second H</w:t>
      </w:r>
      <w:r>
        <w:rPr>
          <w:rFonts w:ascii="Book Antiqua" w:eastAsia="Book Antiqua" w:hAnsi="Book Antiqua" w:cs="Book Antiqua"/>
          <w:color w:val="000000"/>
        </w:rPr>
        <w:t xml:space="preserve">ospital of Jiaxing, Jiaxing 314000,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527C5A62" w14:textId="77777777" w:rsidR="00A77B3E" w:rsidRDefault="00A77B3E">
      <w:pPr>
        <w:spacing w:line="360" w:lineRule="auto"/>
        <w:jc w:val="both"/>
      </w:pPr>
    </w:p>
    <w:p w14:paraId="07A4317B" w14:textId="58BC8401" w:rsidR="00A77B3E" w:rsidRDefault="00CC2EF4">
      <w:pPr>
        <w:spacing w:line="360" w:lineRule="auto"/>
        <w:jc w:val="both"/>
      </w:pPr>
      <w:r>
        <w:rPr>
          <w:rFonts w:ascii="Book Antiqua" w:eastAsia="Book Antiqua" w:hAnsi="Book Antiqua" w:cs="Book Antiqua"/>
          <w:b/>
          <w:bCs/>
          <w:color w:val="000000"/>
        </w:rPr>
        <w:t xml:space="preserve">Miao-Miao Lu, </w:t>
      </w:r>
      <w:r>
        <w:rPr>
          <w:rFonts w:ascii="Book Antiqua" w:eastAsia="Book Antiqua" w:hAnsi="Book Antiqua" w:cs="Book Antiqua"/>
          <w:color w:val="000000"/>
        </w:rPr>
        <w:t xml:space="preserve">Endoscopy Center, Children’s Hospital of Zhejiang University School of Medicine, Hangzhou 310003,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410AE0EC" w14:textId="77777777" w:rsidR="00A77B3E" w:rsidRDefault="00A77B3E">
      <w:pPr>
        <w:spacing w:line="360" w:lineRule="auto"/>
        <w:jc w:val="both"/>
      </w:pPr>
    </w:p>
    <w:p w14:paraId="5963A223" w14:textId="2BFE4EAC" w:rsidR="00A77B3E" w:rsidRDefault="00CC2EF4">
      <w:pPr>
        <w:spacing w:line="360" w:lineRule="auto"/>
        <w:jc w:val="both"/>
      </w:pPr>
      <w:r>
        <w:rPr>
          <w:rFonts w:ascii="Book Antiqua" w:eastAsia="Book Antiqua" w:hAnsi="Book Antiqua" w:cs="Book Antiqua"/>
          <w:b/>
          <w:bCs/>
          <w:color w:val="000000"/>
        </w:rPr>
        <w:t xml:space="preserve">Ling-Ling Xu, </w:t>
      </w:r>
      <w:r>
        <w:rPr>
          <w:rFonts w:ascii="Book Antiqua" w:eastAsia="Book Antiqua" w:hAnsi="Book Antiqua" w:cs="Book Antiqua"/>
          <w:color w:val="000000"/>
        </w:rPr>
        <w:t xml:space="preserve">Department of Gastroenterology, The Second People’s Hospital of Yuhang District, Hangzhou 310000, </w:t>
      </w:r>
      <w:r w:rsidR="0056705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5E5001D6" w14:textId="77777777" w:rsidR="00A77B3E" w:rsidRDefault="00A77B3E">
      <w:pPr>
        <w:spacing w:line="360" w:lineRule="auto"/>
        <w:jc w:val="both"/>
      </w:pPr>
    </w:p>
    <w:p w14:paraId="3E6368E0" w14:textId="77777777" w:rsidR="00A77B3E" w:rsidRDefault="00CC2EF4">
      <w:pPr>
        <w:spacing w:line="360" w:lineRule="auto"/>
        <w:jc w:val="both"/>
      </w:pPr>
      <w:r>
        <w:rPr>
          <w:rFonts w:ascii="Book Antiqua" w:eastAsia="Book Antiqua" w:hAnsi="Book Antiqua" w:cs="Book Antiqua"/>
          <w:b/>
          <w:bCs/>
          <w:color w:val="000000"/>
        </w:rPr>
        <w:t xml:space="preserve">Meng-Meng Zhang, </w:t>
      </w:r>
      <w:r>
        <w:rPr>
          <w:rFonts w:ascii="Book Antiqua" w:eastAsia="Book Antiqua" w:hAnsi="Book Antiqua" w:cs="Book Antiqua"/>
          <w:color w:val="000000"/>
        </w:rPr>
        <w:t>Department of Gastroenterology, Hangzhou Shangcheng District People’s Hospital, Hangzhou 310003, Zhejiang Province, China</w:t>
      </w:r>
    </w:p>
    <w:p w14:paraId="06BB3611" w14:textId="77777777" w:rsidR="00A77B3E" w:rsidRDefault="00A77B3E">
      <w:pPr>
        <w:spacing w:line="360" w:lineRule="auto"/>
        <w:jc w:val="both"/>
      </w:pPr>
    </w:p>
    <w:p w14:paraId="5715D1BD" w14:textId="77777777" w:rsidR="00A77B3E" w:rsidRDefault="00CC2EF4">
      <w:pPr>
        <w:spacing w:line="360" w:lineRule="auto"/>
        <w:jc w:val="both"/>
      </w:pPr>
      <w:r>
        <w:rPr>
          <w:rFonts w:ascii="Book Antiqua" w:eastAsia="Book Antiqua" w:hAnsi="Book Antiqua" w:cs="Book Antiqua"/>
          <w:b/>
          <w:bCs/>
          <w:color w:val="000000"/>
        </w:rPr>
        <w:lastRenderedPageBreak/>
        <w:t xml:space="preserve">Dong Chen, </w:t>
      </w:r>
      <w:r>
        <w:rPr>
          <w:rFonts w:ascii="Book Antiqua" w:eastAsia="Book Antiqua" w:hAnsi="Book Antiqua" w:cs="Book Antiqua"/>
          <w:color w:val="000000"/>
        </w:rPr>
        <w:t xml:space="preserve">Department of Colorectal Surgery,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First Affiliated Hospital of Zhejiang University School of Medicine, Hangzhou 310003, Zhejiang Province, China</w:t>
      </w:r>
    </w:p>
    <w:p w14:paraId="170437C6" w14:textId="77777777" w:rsidR="00A77B3E" w:rsidRDefault="00A77B3E">
      <w:pPr>
        <w:spacing w:line="360" w:lineRule="auto"/>
        <w:jc w:val="both"/>
      </w:pPr>
    </w:p>
    <w:p w14:paraId="17DC7130" w14:textId="7D86349F" w:rsidR="00A77B3E" w:rsidRDefault="00CC2EF4">
      <w:pPr>
        <w:spacing w:line="360" w:lineRule="auto"/>
        <w:jc w:val="both"/>
      </w:pPr>
      <w:r>
        <w:rPr>
          <w:rFonts w:ascii="Book Antiqua" w:eastAsia="Book Antiqua" w:hAnsi="Book Antiqua" w:cs="Book Antiqua"/>
          <w:b/>
          <w:bCs/>
          <w:color w:val="000000"/>
        </w:rPr>
        <w:t xml:space="preserve">Ci-Liang Jin, </w:t>
      </w:r>
      <w:r>
        <w:rPr>
          <w:rFonts w:ascii="Book Antiqua" w:eastAsia="Book Antiqua" w:hAnsi="Book Antiqua" w:cs="Book Antiqua"/>
          <w:color w:val="000000"/>
        </w:rPr>
        <w:t xml:space="preserve">Department of Gastroenterology, The First Affiliated Hospital of Wenzhou Medical University, Wenzhou 325000,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7EEEF222" w14:textId="77777777" w:rsidR="00A77B3E" w:rsidRDefault="00A77B3E">
      <w:pPr>
        <w:spacing w:line="360" w:lineRule="auto"/>
        <w:jc w:val="both"/>
      </w:pPr>
    </w:p>
    <w:p w14:paraId="2FCC0F4B" w14:textId="4D5E14FC" w:rsidR="00A77B3E" w:rsidRDefault="00CC2EF4">
      <w:pPr>
        <w:spacing w:line="360" w:lineRule="auto"/>
        <w:jc w:val="both"/>
      </w:pPr>
      <w:r>
        <w:rPr>
          <w:rFonts w:ascii="Book Antiqua" w:eastAsia="Book Antiqua" w:hAnsi="Book Antiqua" w:cs="Book Antiqua"/>
          <w:b/>
          <w:bCs/>
          <w:color w:val="000000"/>
        </w:rPr>
        <w:t xml:space="preserve">Yun-Fei Li, Tao Cheng, Peng-Fei Xu, </w:t>
      </w:r>
      <w:r>
        <w:rPr>
          <w:rFonts w:ascii="Book Antiqua" w:eastAsia="Book Antiqua" w:hAnsi="Book Antiqua" w:cs="Book Antiqua"/>
          <w:color w:val="000000"/>
        </w:rPr>
        <w:t>Women</w:t>
      </w:r>
      <w:r w:rsidR="0049678E">
        <w:rPr>
          <w:rFonts w:ascii="Book Antiqua" w:hAnsi="Book Antiqua" w:cs="Book Antiqua"/>
          <w:color w:val="000000"/>
          <w:lang w:eastAsia="zh-CN"/>
        </w:rPr>
        <w:t>’</w:t>
      </w:r>
      <w:r>
        <w:rPr>
          <w:rFonts w:ascii="Book Antiqua" w:eastAsia="Book Antiqua" w:hAnsi="Book Antiqua" w:cs="Book Antiqua"/>
          <w:color w:val="000000"/>
        </w:rPr>
        <w:t xml:space="preserve">s Hospital and Institute of Genetics, Zhejiang University School of Medicine, Hangzhou 310000,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42737D59" w14:textId="77777777" w:rsidR="00A77B3E" w:rsidRDefault="00A77B3E">
      <w:pPr>
        <w:spacing w:line="360" w:lineRule="auto"/>
        <w:jc w:val="both"/>
      </w:pPr>
    </w:p>
    <w:p w14:paraId="639C95A6" w14:textId="58FBF7A1" w:rsidR="00A77B3E" w:rsidRDefault="00CC2EF4">
      <w:pPr>
        <w:spacing w:line="360" w:lineRule="auto"/>
        <w:jc w:val="both"/>
      </w:pPr>
      <w:r>
        <w:rPr>
          <w:rFonts w:ascii="Book Antiqua" w:eastAsia="Book Antiqua" w:hAnsi="Book Antiqua" w:cs="Book Antiqua"/>
          <w:b/>
          <w:bCs/>
          <w:color w:val="000000"/>
        </w:rPr>
        <w:t>Peng-Lei Jiang, Peng</w:t>
      </w:r>
      <w:r w:rsidR="00D144F4">
        <w:rPr>
          <w:rFonts w:ascii="Book Antiqua" w:eastAsia="Book Antiqua" w:hAnsi="Book Antiqua" w:cs="Book Antiqua"/>
          <w:b/>
          <w:bCs/>
          <w:color w:val="000000"/>
        </w:rPr>
        <w:t>-X</w:t>
      </w:r>
      <w:r>
        <w:rPr>
          <w:rFonts w:ascii="Book Antiqua" w:eastAsia="Book Antiqua" w:hAnsi="Book Antiqua" w:cs="Book Antiqua"/>
          <w:b/>
          <w:bCs/>
          <w:color w:val="000000"/>
        </w:rPr>
        <w:t xml:space="preserve">u Qian, </w:t>
      </w:r>
      <w:r>
        <w:rPr>
          <w:rFonts w:ascii="Book Antiqua" w:eastAsia="Book Antiqua" w:hAnsi="Book Antiqua" w:cs="Book Antiqua"/>
          <w:color w:val="000000"/>
        </w:rPr>
        <w:t xml:space="preserve">Center of Stem Cell and Regenerative Medicine, and Bone Marrow Transplantation Center, The First Affiliated Hospital of Zhejiang University School of Medicine, Hangzhou 310003,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0925E4BD" w14:textId="77777777" w:rsidR="00A77B3E" w:rsidRDefault="00A77B3E">
      <w:pPr>
        <w:spacing w:line="360" w:lineRule="auto"/>
        <w:jc w:val="both"/>
      </w:pPr>
    </w:p>
    <w:p w14:paraId="0DC4DB90" w14:textId="73CF4733" w:rsidR="00A77B3E" w:rsidRDefault="00CC2EF4">
      <w:pPr>
        <w:spacing w:line="360" w:lineRule="auto"/>
        <w:jc w:val="both"/>
      </w:pPr>
      <w:r>
        <w:rPr>
          <w:rFonts w:ascii="Book Antiqua" w:eastAsia="Book Antiqua" w:hAnsi="Book Antiqua" w:cs="Book Antiqua"/>
          <w:b/>
          <w:bCs/>
          <w:color w:val="000000"/>
        </w:rPr>
        <w:t>Yi</w:t>
      </w:r>
      <w:r w:rsidR="005C75EE">
        <w:rPr>
          <w:rFonts w:ascii="Book Antiqua" w:eastAsia="Book Antiqua" w:hAnsi="Book Antiqua" w:cs="Book Antiqua"/>
          <w:b/>
          <w:bCs/>
          <w:color w:val="000000"/>
        </w:rPr>
        <w:t>-D</w:t>
      </w:r>
      <w:r>
        <w:rPr>
          <w:rFonts w:ascii="Book Antiqua" w:eastAsia="Book Antiqua" w:hAnsi="Book Antiqua" w:cs="Book Antiqua"/>
          <w:b/>
          <w:bCs/>
          <w:color w:val="000000"/>
        </w:rPr>
        <w:t xml:space="preserve">a Yang, </w:t>
      </w:r>
      <w:r>
        <w:rPr>
          <w:rFonts w:ascii="Book Antiqua" w:eastAsia="Book Antiqua" w:hAnsi="Book Antiqua" w:cs="Book Antiqua"/>
          <w:color w:val="000000"/>
        </w:rPr>
        <w:t xml:space="preserve">Department of Infectious Disease, The First Affiliated Hospital of Zhejiang University School of Medicine, Hangzhou 310003,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12F3CA24" w14:textId="77777777" w:rsidR="00A77B3E" w:rsidRDefault="00A77B3E">
      <w:pPr>
        <w:spacing w:line="360" w:lineRule="auto"/>
        <w:jc w:val="both"/>
      </w:pPr>
    </w:p>
    <w:p w14:paraId="2D9E7649" w14:textId="2E5B2471" w:rsidR="00A77B3E" w:rsidRDefault="00CC2EF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Jin X supervise</w:t>
      </w:r>
      <w:r>
        <w:rPr>
          <w:rFonts w:ascii="Book Antiqua" w:eastAsia="Book Antiqua" w:hAnsi="Book Antiqua" w:cs="Book Antiqua"/>
          <w:color w:val="000000"/>
          <w:szCs w:val="21"/>
        </w:rPr>
        <w:t>d</w:t>
      </w:r>
      <w:r>
        <w:rPr>
          <w:rFonts w:ascii="Book Antiqua" w:eastAsia="Book Antiqua" w:hAnsi="Book Antiqua" w:cs="Book Antiqua"/>
          <w:color w:val="000000"/>
        </w:rPr>
        <w:t xml:space="preserve"> the whole work, generated the concept, and w</w:t>
      </w:r>
      <w:r>
        <w:rPr>
          <w:rFonts w:ascii="Book Antiqua" w:eastAsia="Book Antiqua" w:hAnsi="Book Antiqua" w:cs="Book Antiqua"/>
          <w:color w:val="000000"/>
          <w:szCs w:val="21"/>
        </w:rPr>
        <w:t>rote</w:t>
      </w:r>
      <w:r>
        <w:rPr>
          <w:rFonts w:ascii="Book Antiqua" w:eastAsia="Book Antiqua" w:hAnsi="Book Antiqua" w:cs="Book Antiqua"/>
          <w:color w:val="000000"/>
        </w:rPr>
        <w:t xml:space="preserve"> the manuscript</w:t>
      </w:r>
      <w:r w:rsidR="00637F4D">
        <w:rPr>
          <w:rFonts w:ascii="Book Antiqua" w:eastAsia="Book Antiqua" w:hAnsi="Book Antiqua" w:cs="Book Antiqua"/>
          <w:color w:val="000000"/>
        </w:rPr>
        <w:t>;</w:t>
      </w:r>
      <w:r>
        <w:rPr>
          <w:rFonts w:ascii="Book Antiqua" w:eastAsia="Book Antiqua" w:hAnsi="Book Antiqua" w:cs="Book Antiqua"/>
          <w:color w:val="000000"/>
        </w:rPr>
        <w:t xml:space="preserve"> Zhou YW contributed to the writing-original draft, figures, tables, and literature search</w:t>
      </w:r>
      <w:r w:rsidR="00637F4D">
        <w:rPr>
          <w:rFonts w:ascii="Book Antiqua" w:eastAsia="Book Antiqua" w:hAnsi="Book Antiqua" w:cs="Book Antiqua"/>
          <w:color w:val="000000"/>
        </w:rPr>
        <w:t>;</w:t>
      </w:r>
      <w:r>
        <w:rPr>
          <w:rFonts w:ascii="Book Antiqua" w:eastAsia="Book Antiqua" w:hAnsi="Book Antiqua" w:cs="Book Antiqua"/>
          <w:color w:val="000000"/>
        </w:rPr>
        <w:t xml:space="preserve"> Xu PF contributed to the writing-original draft, figures, and literature search</w:t>
      </w:r>
      <w:r w:rsidR="00637F4D">
        <w:rPr>
          <w:rFonts w:ascii="Book Antiqua" w:eastAsia="Book Antiqua" w:hAnsi="Book Antiqua" w:cs="Book Antiqua"/>
          <w:color w:val="000000"/>
        </w:rPr>
        <w:t>;</w:t>
      </w:r>
      <w:r>
        <w:rPr>
          <w:rFonts w:ascii="Book Antiqua" w:eastAsia="Book Antiqua" w:hAnsi="Book Antiqua" w:cs="Book Antiqua"/>
          <w:color w:val="000000"/>
        </w:rPr>
        <w:t xml:space="preserve"> Ren Y, Lu MM, Xu LL, Zhang MM, Cheng WX, Ding LP, Chen D, Gao JG, Jin CL, Du J, Chen CX, Li YF and Cheng T contributed to the literature search</w:t>
      </w:r>
      <w:r w:rsidR="00637F4D">
        <w:rPr>
          <w:rFonts w:ascii="Book Antiqua" w:eastAsia="Book Antiqua" w:hAnsi="Book Antiqua" w:cs="Book Antiqua"/>
          <w:color w:val="000000"/>
        </w:rPr>
        <w:t>;</w:t>
      </w:r>
      <w:r>
        <w:rPr>
          <w:rFonts w:ascii="Book Antiqua" w:eastAsia="Book Antiqua" w:hAnsi="Book Antiqua" w:cs="Book Antiqua"/>
          <w:color w:val="000000"/>
        </w:rPr>
        <w:t xml:space="preserve"> Yang YD, Jiang PL</w:t>
      </w:r>
      <w:r>
        <w:rPr>
          <w:rFonts w:ascii="Book Antiqua" w:eastAsia="Book Antiqua" w:hAnsi="Book Antiqua" w:cs="Book Antiqua"/>
          <w:color w:val="000000"/>
          <w:szCs w:val="21"/>
        </w:rPr>
        <w:t>,</w:t>
      </w:r>
      <w:r>
        <w:rPr>
          <w:rFonts w:ascii="Book Antiqua" w:eastAsia="Book Antiqua" w:hAnsi="Book Antiqua" w:cs="Book Antiqua"/>
          <w:color w:val="000000"/>
        </w:rPr>
        <w:t xml:space="preserve"> and Qian PX contributed to the literature search and writing-review.</w:t>
      </w:r>
    </w:p>
    <w:p w14:paraId="332C92A1" w14:textId="77777777" w:rsidR="00A77B3E" w:rsidRDefault="00A77B3E">
      <w:pPr>
        <w:spacing w:line="360" w:lineRule="auto"/>
        <w:jc w:val="both"/>
      </w:pPr>
    </w:p>
    <w:p w14:paraId="50020899" w14:textId="093B08F9" w:rsidR="00A77B3E" w:rsidRDefault="00CC2EF4">
      <w:pPr>
        <w:spacing w:line="360" w:lineRule="auto"/>
        <w:jc w:val="both"/>
      </w:pPr>
      <w:r>
        <w:rPr>
          <w:rFonts w:ascii="Book Antiqua" w:eastAsia="Book Antiqua" w:hAnsi="Book Antiqua" w:cs="Book Antiqua"/>
          <w:b/>
          <w:bCs/>
          <w:color w:val="000000"/>
        </w:rPr>
        <w:t xml:space="preserve">Corresponding author: Xi Jin, MD, PhD, </w:t>
      </w:r>
      <w:r w:rsidR="00617E07" w:rsidRPr="00F41D4C">
        <w:rPr>
          <w:rFonts w:ascii="Book Antiqua" w:hAnsi="Book Antiqua"/>
          <w:b/>
          <w:bCs/>
          <w:color w:val="000000"/>
          <w:lang w:eastAsia="zh-CN"/>
        </w:rPr>
        <w:t>C</w:t>
      </w:r>
      <w:r w:rsidR="00617E07" w:rsidRPr="00F41D4C">
        <w:rPr>
          <w:rFonts w:ascii="Book Antiqua" w:eastAsia="Book Antiqua" w:hAnsi="Book Antiqua"/>
          <w:b/>
          <w:bCs/>
          <w:color w:val="000000"/>
        </w:rPr>
        <w:t>hief Physician</w:t>
      </w:r>
      <w:r w:rsidRPr="00F41D4C">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The First Affiliated Hospital of Zhejiang University School of Medicine, </w:t>
      </w:r>
      <w:r w:rsidR="001D0E51">
        <w:rPr>
          <w:rFonts w:ascii="Book Antiqua" w:eastAsia="Book Antiqua" w:hAnsi="Book Antiqua" w:cs="Book Antiqua"/>
          <w:color w:val="000000"/>
        </w:rPr>
        <w:t xml:space="preserve">No. </w:t>
      </w:r>
      <w:r>
        <w:rPr>
          <w:rFonts w:ascii="Book Antiqua" w:eastAsia="Book Antiqua" w:hAnsi="Book Antiqua" w:cs="Book Antiqua"/>
          <w:color w:val="000000"/>
        </w:rPr>
        <w:t>79 Qingchun R</w:t>
      </w:r>
      <w:r w:rsidR="001D0E51">
        <w:rPr>
          <w:rFonts w:ascii="Book Antiqua" w:eastAsia="Book Antiqua" w:hAnsi="Book Antiqua" w:cs="Book Antiqua"/>
          <w:color w:val="000000"/>
        </w:rPr>
        <w:t>oa</w:t>
      </w:r>
      <w:r>
        <w:rPr>
          <w:rFonts w:ascii="Book Antiqua" w:eastAsia="Book Antiqua" w:hAnsi="Book Antiqua" w:cs="Book Antiqua"/>
          <w:color w:val="000000"/>
        </w:rPr>
        <w:t>d, Shangcheng District, Hangzhou</w:t>
      </w:r>
      <w:r w:rsidR="001D0E51">
        <w:rPr>
          <w:rFonts w:ascii="Book Antiqua" w:hAnsi="Book Antiqua" w:cs="Book Antiqua" w:hint="eastAsia"/>
          <w:color w:val="000000"/>
          <w:lang w:eastAsia="zh-CN"/>
        </w:rPr>
        <w:t xml:space="preserve"> </w:t>
      </w:r>
      <w:r>
        <w:rPr>
          <w:rFonts w:ascii="Book Antiqua" w:eastAsia="Book Antiqua" w:hAnsi="Book Antiqua" w:cs="Book Antiqua"/>
          <w:color w:val="000000"/>
        </w:rPr>
        <w:t>31000</w:t>
      </w:r>
      <w:r w:rsidR="001D0E51">
        <w:rPr>
          <w:rFonts w:ascii="Book Antiqua" w:eastAsia="Book Antiqua" w:hAnsi="Book Antiqua" w:cs="Book Antiqua"/>
          <w:color w:val="000000"/>
        </w:rPr>
        <w:t>3</w:t>
      </w:r>
      <w:r w:rsidR="001D0E51">
        <w:rPr>
          <w:rFonts w:ascii="Book Antiqua" w:hAnsi="Book Antiqua" w:cs="Book Antiqua" w:hint="eastAsia"/>
          <w:color w:val="000000"/>
          <w:lang w:eastAsia="zh-CN"/>
        </w:rPr>
        <w:t>,</w:t>
      </w:r>
      <w:r w:rsidR="001D0E51">
        <w:rPr>
          <w:rFonts w:ascii="Book Antiqua" w:eastAsia="Book Antiqua" w:hAnsi="Book Antiqua" w:cs="Book Antiqua"/>
          <w:color w:val="000000"/>
        </w:rPr>
        <w:t xml:space="preserve"> </w:t>
      </w:r>
      <w:r w:rsidR="00DF780F" w:rsidRPr="00DF780F">
        <w:rPr>
          <w:rFonts w:ascii="Book Antiqua" w:eastAsia="Book Antiqua" w:hAnsi="Book Antiqua" w:cs="Book Antiqua"/>
          <w:color w:val="000000"/>
        </w:rPr>
        <w:t>Zhejiang Province</w:t>
      </w:r>
      <w:r w:rsidR="00DF780F">
        <w:rPr>
          <w:rFonts w:ascii="Book Antiqua" w:eastAsia="Book Antiqua" w:hAnsi="Book Antiqua" w:cs="Book Antiqua"/>
          <w:color w:val="000000"/>
        </w:rPr>
        <w:t xml:space="preserve">, </w:t>
      </w:r>
      <w:r>
        <w:rPr>
          <w:rFonts w:ascii="Book Antiqua" w:eastAsia="Book Antiqua" w:hAnsi="Book Antiqua" w:cs="Book Antiqua"/>
          <w:color w:val="000000"/>
        </w:rPr>
        <w:t>China. jxfl007@zju.edu.cn</w:t>
      </w:r>
    </w:p>
    <w:p w14:paraId="7910B4D0" w14:textId="77777777" w:rsidR="00A77B3E" w:rsidRDefault="00A77B3E">
      <w:pPr>
        <w:spacing w:line="360" w:lineRule="auto"/>
        <w:jc w:val="both"/>
      </w:pPr>
    </w:p>
    <w:p w14:paraId="10F58A99" w14:textId="77777777" w:rsidR="00A77B3E" w:rsidRDefault="00CC2EF4">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27, 2023</w:t>
      </w:r>
    </w:p>
    <w:p w14:paraId="36D2CCF3" w14:textId="2980DC18" w:rsidR="00A77B3E" w:rsidRDefault="00CC2EF4">
      <w:pPr>
        <w:spacing w:line="360" w:lineRule="auto"/>
        <w:jc w:val="both"/>
      </w:pPr>
      <w:r>
        <w:rPr>
          <w:rFonts w:ascii="Book Antiqua" w:eastAsia="Book Antiqua" w:hAnsi="Book Antiqua" w:cs="Book Antiqua"/>
          <w:b/>
          <w:bCs/>
        </w:rPr>
        <w:lastRenderedPageBreak/>
        <w:t xml:space="preserve">Revised: </w:t>
      </w:r>
      <w:r w:rsidR="00DC6BFD">
        <w:rPr>
          <w:rFonts w:ascii="Book Antiqua" w:eastAsia="Book Antiqua" w:hAnsi="Book Antiqua" w:cs="Book Antiqua"/>
        </w:rPr>
        <w:t>November 8, 2023</w:t>
      </w:r>
    </w:p>
    <w:p w14:paraId="500D570D" w14:textId="110F80AF" w:rsidR="00A77B3E" w:rsidRPr="00FA58C5" w:rsidRDefault="00CC2EF4" w:rsidP="00FA58C5">
      <w:pPr>
        <w:spacing w:line="360" w:lineRule="auto"/>
        <w:rPr>
          <w:rFonts w:ascii="Book Antiqua" w:hAnsi="Book Antiqua"/>
        </w:rPr>
      </w:pPr>
      <w:r>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4"/>
      <w:bookmarkStart w:id="134" w:name="OLE_LINK7"/>
      <w:bookmarkStart w:id="135" w:name="OLE_LINK10"/>
      <w:bookmarkStart w:id="136" w:name="OLE_LINK14"/>
      <w:bookmarkStart w:id="137" w:name="OLE_LINK17"/>
      <w:bookmarkStart w:id="138" w:name="OLE_LINK2"/>
      <w:bookmarkStart w:id="139" w:name="OLE_LINK11"/>
      <w:bookmarkStart w:id="140" w:name="OLE_LINK20"/>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r w:rsidR="007207BD" w:rsidRPr="00E0103E">
        <w:rPr>
          <w:rFonts w:ascii="Book Antiqua" w:hAnsi="Book Antiqua"/>
        </w:rPr>
        <w:t xml:space="preserve">December </w:t>
      </w:r>
      <w:r w:rsidR="007207BD">
        <w:rPr>
          <w:rFonts w:ascii="Book Antiqua" w:hAnsi="Book Antiqua"/>
        </w:rPr>
        <w:t>27</w:t>
      </w:r>
      <w:r w:rsidR="007207BD"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2AD16038" w14:textId="43888B8B" w:rsidR="00A77B3E" w:rsidRDefault="00CC2EF4">
      <w:pPr>
        <w:spacing w:line="360" w:lineRule="auto"/>
        <w:jc w:val="both"/>
      </w:pPr>
      <w:r>
        <w:rPr>
          <w:rFonts w:ascii="Book Antiqua" w:eastAsia="Book Antiqua" w:hAnsi="Book Antiqua" w:cs="Book Antiqua"/>
          <w:b/>
          <w:bCs/>
        </w:rPr>
        <w:t xml:space="preserve">Published online: </w:t>
      </w:r>
      <w:r w:rsidR="008E4494" w:rsidRPr="004316F3">
        <w:rPr>
          <w:rFonts w:ascii="Book Antiqua" w:hAnsi="Book Antiqua"/>
        </w:rPr>
        <w:t>January</w:t>
      </w:r>
      <w:r w:rsidR="008E4494" w:rsidRPr="000F734A">
        <w:rPr>
          <w:rFonts w:ascii="Book Antiqua" w:hAnsi="Book Antiqua"/>
        </w:rPr>
        <w:t xml:space="preserve"> </w:t>
      </w:r>
      <w:r w:rsidR="008E4494">
        <w:rPr>
          <w:rFonts w:ascii="Book Antiqua" w:hAnsi="Book Antiqua" w:hint="eastAsia"/>
          <w:lang w:eastAsia="zh-CN"/>
        </w:rPr>
        <w:t>7</w:t>
      </w:r>
      <w:r w:rsidR="008E4494" w:rsidRPr="000F734A">
        <w:rPr>
          <w:rFonts w:ascii="Book Antiqua" w:hAnsi="Book Antiqua"/>
        </w:rPr>
        <w:t>, 202</w:t>
      </w:r>
      <w:r w:rsidR="008E4494">
        <w:rPr>
          <w:rFonts w:ascii="Book Antiqua" w:hAnsi="Book Antiqua" w:hint="eastAsia"/>
          <w:lang w:eastAsia="zh-CN"/>
        </w:rPr>
        <w:t>4</w:t>
      </w:r>
    </w:p>
    <w:p w14:paraId="46D798A7" w14:textId="77777777" w:rsidR="00143E67" w:rsidRDefault="00143E67">
      <w:r>
        <w:br w:type="page"/>
      </w:r>
    </w:p>
    <w:p w14:paraId="6B2FA3A6" w14:textId="620A792D" w:rsidR="00A77B3E" w:rsidRDefault="00CC2EF4">
      <w:pPr>
        <w:spacing w:line="360" w:lineRule="auto"/>
        <w:jc w:val="both"/>
      </w:pPr>
      <w:r>
        <w:rPr>
          <w:rFonts w:ascii="Book Antiqua" w:eastAsia="Book Antiqua" w:hAnsi="Book Antiqua" w:cs="Book Antiqua"/>
          <w:b/>
          <w:color w:val="000000"/>
        </w:rPr>
        <w:lastRenderedPageBreak/>
        <w:t>Abstract</w:t>
      </w:r>
    </w:p>
    <w:p w14:paraId="1DA60D8B" w14:textId="77777777" w:rsidR="00A77B3E" w:rsidRDefault="00CC2EF4">
      <w:pPr>
        <w:spacing w:line="360" w:lineRule="auto"/>
        <w:jc w:val="both"/>
      </w:pPr>
      <w:r>
        <w:rPr>
          <w:rFonts w:ascii="Book Antiqua" w:eastAsia="Book Antiqua" w:hAnsi="Book Antiqua" w:cs="Book Antiqua"/>
        </w:rPr>
        <w:t>Crohn’s disease (CD) is caused by immune, environmental, and genetic factors. It can involve the entire gastrointestinal tract, and although its prevalence is rapidly increasing its etiology remains unclear. Emerging biological and small-molecule drugs have advanced the treatment of CD; however, a considerable proportion of patients are non-responsive to all known drugs. To achieve a breakthrough in this field, innovations that could guide the further development of effective therapies are of utmost urgency. In this review, we first propose the innovative concept of pan-lymphatic dysfunction for the general distribution of lymphatic dysfunction in various diseases, and suggest that CD is the intestinal manifestation of pan-lymphatic dysfunction based on basic and clinical preliminary data. The supporting evidence is fully summarized, including the existence of lymphatic system dysfunction, recognition of the inside-out model, disorders of immune cells, changes in cell plasticity, partial overlap of the underlying mechanisms, and common gut-derived fatty and bile acid metabolism. Another benefit of this novel concept is that it proposes adopting the zebrafish model for studying intestinal diseases, especially CD, as this model is good at presenting and mimicking lymphatic dysfunction. More importantly, the ensuing focus on improving lymphatic function may lead to novel and promising therapeutic strategies for CD.</w:t>
      </w:r>
    </w:p>
    <w:p w14:paraId="06625941" w14:textId="77777777" w:rsidR="00A77B3E" w:rsidRDefault="00A77B3E">
      <w:pPr>
        <w:spacing w:line="360" w:lineRule="auto"/>
        <w:jc w:val="both"/>
      </w:pPr>
    </w:p>
    <w:p w14:paraId="0606B83B" w14:textId="53A4B320" w:rsidR="00A77B3E" w:rsidRDefault="00CC2EF4">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Inflammatory bowel disease; Crohn’s disease; Lymphatic system; Inside-out model; Immune cells; Zebrafish</w:t>
      </w:r>
    </w:p>
    <w:p w14:paraId="4AD669F4" w14:textId="77777777" w:rsidR="00A77B3E" w:rsidRDefault="00A77B3E">
      <w:pPr>
        <w:spacing w:line="360" w:lineRule="auto"/>
        <w:jc w:val="both"/>
        <w:rPr>
          <w:lang w:eastAsia="zh-CN"/>
        </w:rPr>
      </w:pPr>
    </w:p>
    <w:p w14:paraId="3A7822CE" w14:textId="339A8F86" w:rsidR="00972691" w:rsidRDefault="00972691" w:rsidP="0097269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976814">
        <w:rPr>
          <w:rFonts w:ascii="Book Antiqua" w:hAnsi="Book Antiqua" w:cs="Book Antiqua" w:hint="eastAsia"/>
          <w:b/>
          <w:color w:val="000000"/>
          <w:lang w:eastAsia="zh-CN"/>
        </w:rPr>
        <w:t>4</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1A52DE65" w14:textId="77777777" w:rsidR="00D718C5" w:rsidRPr="00972691" w:rsidRDefault="00D718C5">
      <w:pPr>
        <w:spacing w:line="360" w:lineRule="auto"/>
        <w:jc w:val="both"/>
        <w:rPr>
          <w:lang w:eastAsia="zh-CN"/>
        </w:rPr>
      </w:pPr>
    </w:p>
    <w:p w14:paraId="546074B1" w14:textId="08CB4140" w:rsidR="00D718C5" w:rsidRDefault="00972691">
      <w:pPr>
        <w:spacing w:line="360" w:lineRule="auto"/>
        <w:jc w:val="both"/>
        <w:rPr>
          <w:rFonts w:ascii="Book Antiqua" w:hAnsi="Book Antiqua" w:cs="Book Antiqua"/>
          <w:lang w:eastAsia="zh-CN"/>
        </w:rPr>
      </w:pPr>
      <w:r>
        <w:rPr>
          <w:rFonts w:ascii="Book Antiqua" w:eastAsia="Book Antiqua" w:hAnsi="Book Antiqua" w:cs="Book Antiqua"/>
          <w:b/>
          <w:bCs/>
          <w:color w:val="000000"/>
        </w:rPr>
        <w:t>Citation</w:t>
      </w:r>
      <w:r>
        <w:rPr>
          <w:rFonts w:ascii="Book Antiqua" w:eastAsia="Book Antiqua" w:hAnsi="Book Antiqua" w:cs="Book Antiqua"/>
          <w:b/>
          <w:color w:val="000000"/>
        </w:rPr>
        <w:t xml:space="preserve">: </w:t>
      </w:r>
      <w:bookmarkStart w:id="179" w:name="_GoBack"/>
      <w:r w:rsidR="00CC2EF4">
        <w:rPr>
          <w:rFonts w:ascii="Book Antiqua" w:eastAsia="Book Antiqua" w:hAnsi="Book Antiqua" w:cs="Book Antiqua"/>
        </w:rPr>
        <w:t>Zhou YW, Ren Y, Lu MM, Xu LL, Cheng WX, Zhang MM, Ding LP, Chen D, Gao JG, Du J, Jin CL, Chen C</w:t>
      </w:r>
      <w:r w:rsidR="005C75EE">
        <w:rPr>
          <w:rFonts w:ascii="Book Antiqua" w:eastAsia="Book Antiqua" w:hAnsi="Book Antiqua" w:cs="Book Antiqua"/>
        </w:rPr>
        <w:t>X</w:t>
      </w:r>
      <w:r w:rsidR="00CC2EF4">
        <w:rPr>
          <w:rFonts w:ascii="Book Antiqua" w:eastAsia="Book Antiqua" w:hAnsi="Book Antiqua" w:cs="Book Antiqua"/>
        </w:rPr>
        <w:t>, Li YF, Cheng T, Jiang PL, Yang Y</w:t>
      </w:r>
      <w:r w:rsidR="005C75EE">
        <w:rPr>
          <w:rFonts w:ascii="Book Antiqua" w:eastAsia="Book Antiqua" w:hAnsi="Book Antiqua" w:cs="Book Antiqua"/>
        </w:rPr>
        <w:t>D</w:t>
      </w:r>
      <w:r w:rsidR="00CC2EF4">
        <w:rPr>
          <w:rFonts w:ascii="Book Antiqua" w:eastAsia="Book Antiqua" w:hAnsi="Book Antiqua" w:cs="Book Antiqua"/>
        </w:rPr>
        <w:t>, Qian P</w:t>
      </w:r>
      <w:r w:rsidR="005C75EE">
        <w:rPr>
          <w:rFonts w:ascii="Book Antiqua" w:eastAsia="Book Antiqua" w:hAnsi="Book Antiqua" w:cs="Book Antiqua"/>
        </w:rPr>
        <w:t>X</w:t>
      </w:r>
      <w:r w:rsidR="00CC2EF4">
        <w:rPr>
          <w:rFonts w:ascii="Book Antiqua" w:eastAsia="Book Antiqua" w:hAnsi="Book Antiqua" w:cs="Book Antiqua"/>
        </w:rPr>
        <w:t>, Xu PF, Jin X. Crohn</w:t>
      </w:r>
      <w:r w:rsidR="0049678E">
        <w:rPr>
          <w:rFonts w:ascii="Book Antiqua" w:hAnsi="Book Antiqua" w:cs="Book Antiqua"/>
          <w:lang w:eastAsia="zh-CN"/>
        </w:rPr>
        <w:t>’</w:t>
      </w:r>
      <w:r w:rsidR="00CC2EF4">
        <w:rPr>
          <w:rFonts w:ascii="Book Antiqua" w:eastAsia="Book Antiqua" w:hAnsi="Book Antiqua" w:cs="Book Antiqua"/>
        </w:rPr>
        <w:t xml:space="preserve">s disease as the intestinal manifestation of pan-lymphatic dysfunction: An </w:t>
      </w:r>
      <w:r w:rsidR="00CC2EF4">
        <w:rPr>
          <w:rFonts w:ascii="Book Antiqua" w:eastAsia="Book Antiqua" w:hAnsi="Book Antiqua" w:cs="Book Antiqua"/>
        </w:rPr>
        <w:lastRenderedPageBreak/>
        <w:t xml:space="preserve">exploratory proposal based on basic and clinical data. </w:t>
      </w:r>
      <w:r w:rsidR="00CC2EF4">
        <w:rPr>
          <w:rFonts w:ascii="Book Antiqua" w:eastAsia="Book Antiqua" w:hAnsi="Book Antiqua" w:cs="Book Antiqua"/>
          <w:i/>
          <w:iCs/>
        </w:rPr>
        <w:t>World J Gastroenterol</w:t>
      </w:r>
      <w:r w:rsidR="00CC2EF4">
        <w:rPr>
          <w:rFonts w:ascii="Book Antiqua" w:eastAsia="Book Antiqua" w:hAnsi="Book Antiqua" w:cs="Book Antiqua"/>
        </w:rPr>
        <w:t xml:space="preserve"> 202</w:t>
      </w:r>
      <w:r w:rsidR="007B7E26">
        <w:rPr>
          <w:rFonts w:ascii="Book Antiqua" w:hAnsi="Book Antiqua" w:cs="Book Antiqua" w:hint="eastAsia"/>
          <w:lang w:eastAsia="zh-CN"/>
        </w:rPr>
        <w:t>4</w:t>
      </w:r>
      <w:r w:rsidR="00CC2EF4">
        <w:rPr>
          <w:rFonts w:ascii="Book Antiqua" w:eastAsia="Book Antiqua" w:hAnsi="Book Antiqua" w:cs="Book Antiqua"/>
        </w:rPr>
        <w:t>;</w:t>
      </w:r>
      <w:r w:rsidR="008E4494" w:rsidRPr="008E4494">
        <w:rPr>
          <w:rFonts w:ascii="Book Antiqua" w:eastAsia="Book Antiqua" w:hAnsi="Book Antiqua" w:cs="Book Antiqua"/>
        </w:rPr>
        <w:t xml:space="preserve"> 30(1): </w:t>
      </w:r>
      <w:r w:rsidR="001A0BC4">
        <w:rPr>
          <w:rFonts w:ascii="Book Antiqua" w:hAnsi="Book Antiqua" w:cs="Book Antiqua" w:hint="eastAsia"/>
          <w:lang w:eastAsia="zh-CN"/>
        </w:rPr>
        <w:t>3</w:t>
      </w:r>
      <w:r w:rsidR="000F6D1F">
        <w:rPr>
          <w:rFonts w:ascii="Book Antiqua" w:hAnsi="Book Antiqua" w:cs="Book Antiqua" w:hint="eastAsia"/>
          <w:lang w:eastAsia="zh-CN"/>
        </w:rPr>
        <w:t>4</w:t>
      </w:r>
      <w:r w:rsidR="008E4494" w:rsidRPr="008E4494">
        <w:rPr>
          <w:rFonts w:ascii="Book Antiqua" w:eastAsia="Book Antiqua" w:hAnsi="Book Antiqua" w:cs="Book Antiqua"/>
        </w:rPr>
        <w:t>-</w:t>
      </w:r>
      <w:r w:rsidR="000F6D1F">
        <w:rPr>
          <w:rFonts w:ascii="Book Antiqua" w:hAnsi="Book Antiqua" w:cs="Book Antiqua" w:hint="eastAsia"/>
          <w:lang w:eastAsia="zh-CN"/>
        </w:rPr>
        <w:t>49</w:t>
      </w:r>
      <w:bookmarkEnd w:id="179"/>
    </w:p>
    <w:p w14:paraId="156AFB70" w14:textId="57B5E2FC" w:rsidR="00D718C5" w:rsidRDefault="008E4494">
      <w:pPr>
        <w:spacing w:line="360" w:lineRule="auto"/>
        <w:jc w:val="both"/>
        <w:rPr>
          <w:rFonts w:ascii="Book Antiqua" w:hAnsi="Book Antiqua" w:cs="Book Antiqua"/>
          <w:lang w:eastAsia="zh-CN"/>
        </w:rPr>
      </w:pPr>
      <w:r w:rsidRPr="00D718C5">
        <w:rPr>
          <w:rFonts w:ascii="Book Antiqua" w:eastAsia="Book Antiqua" w:hAnsi="Book Antiqua" w:cs="Book Antiqua"/>
          <w:b/>
        </w:rPr>
        <w:t xml:space="preserve">URL: </w:t>
      </w:r>
      <w:r w:rsidR="00D718C5" w:rsidRPr="00D718C5">
        <w:rPr>
          <w:rFonts w:ascii="Book Antiqua" w:eastAsia="Book Antiqua" w:hAnsi="Book Antiqua" w:cs="Book Antiqua"/>
        </w:rPr>
        <w:t>https://www.wjgnet.com/1007-9327/full/v30/i1/</w:t>
      </w:r>
      <w:r w:rsidR="001A0BC4">
        <w:rPr>
          <w:rFonts w:ascii="Book Antiqua" w:hAnsi="Book Antiqua" w:cs="Book Antiqua" w:hint="eastAsia"/>
          <w:lang w:eastAsia="zh-CN"/>
        </w:rPr>
        <w:t>3</w:t>
      </w:r>
      <w:r w:rsidR="000F6D1F">
        <w:rPr>
          <w:rFonts w:ascii="Book Antiqua" w:hAnsi="Book Antiqua" w:cs="Book Antiqua" w:hint="eastAsia"/>
          <w:lang w:eastAsia="zh-CN"/>
        </w:rPr>
        <w:t>4</w:t>
      </w:r>
      <w:r w:rsidR="00D718C5" w:rsidRPr="00D718C5">
        <w:rPr>
          <w:rFonts w:ascii="Book Antiqua" w:eastAsia="Book Antiqua" w:hAnsi="Book Antiqua" w:cs="Book Antiqua"/>
        </w:rPr>
        <w:t>.htm</w:t>
      </w:r>
    </w:p>
    <w:p w14:paraId="1EAB8A29" w14:textId="448ED5F6" w:rsidR="00A77B3E" w:rsidRPr="001A0BC4" w:rsidRDefault="008E4494">
      <w:pPr>
        <w:spacing w:line="360" w:lineRule="auto"/>
        <w:jc w:val="both"/>
        <w:rPr>
          <w:lang w:eastAsia="zh-CN"/>
        </w:rPr>
      </w:pPr>
      <w:r w:rsidRPr="00D718C5">
        <w:rPr>
          <w:rFonts w:ascii="Book Antiqua" w:eastAsia="Book Antiqua" w:hAnsi="Book Antiqua" w:cs="Book Antiqua"/>
          <w:b/>
        </w:rPr>
        <w:t xml:space="preserve">DOI: </w:t>
      </w:r>
      <w:r w:rsidRPr="008E4494">
        <w:rPr>
          <w:rFonts w:ascii="Book Antiqua" w:eastAsia="Book Antiqua" w:hAnsi="Book Antiqua" w:cs="Book Antiqua"/>
        </w:rPr>
        <w:t>https://dx.doi.org/10.3748/wjg.v30.i1.</w:t>
      </w:r>
      <w:r w:rsidR="001A0BC4">
        <w:rPr>
          <w:rFonts w:ascii="Book Antiqua" w:hAnsi="Book Antiqua" w:cs="Book Antiqua" w:hint="eastAsia"/>
          <w:lang w:eastAsia="zh-CN"/>
        </w:rPr>
        <w:t>3</w:t>
      </w:r>
      <w:r w:rsidR="000F6D1F">
        <w:rPr>
          <w:rFonts w:ascii="Book Antiqua" w:hAnsi="Book Antiqua" w:cs="Book Antiqua" w:hint="eastAsia"/>
          <w:lang w:eastAsia="zh-CN"/>
        </w:rPr>
        <w:t>4</w:t>
      </w:r>
    </w:p>
    <w:p w14:paraId="35E01C8A" w14:textId="77777777" w:rsidR="00A77B3E" w:rsidRDefault="00A77B3E">
      <w:pPr>
        <w:spacing w:line="360" w:lineRule="auto"/>
        <w:jc w:val="both"/>
      </w:pPr>
    </w:p>
    <w:p w14:paraId="71B3A535" w14:textId="2B6A8E23" w:rsidR="00A77B3E" w:rsidRDefault="00CC2EF4">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rPr>
        <w:t xml:space="preserve">The lymphatic system plays an active role in the pathogenesis, progression, and complications of certain diseases. Our review proposes an innovative concept of pan-lymphatic dysfunction and suggests </w:t>
      </w:r>
      <w:r w:rsidR="005C75EE">
        <w:rPr>
          <w:rFonts w:ascii="Book Antiqua" w:eastAsia="Book Antiqua" w:hAnsi="Book Antiqua" w:cs="Book Antiqua"/>
        </w:rPr>
        <w:t>Crohn’s disease (CD)</w:t>
      </w:r>
      <w:r>
        <w:rPr>
          <w:rFonts w:ascii="Book Antiqua" w:eastAsia="Book Antiqua" w:hAnsi="Book Antiqua" w:cs="Book Antiqua"/>
        </w:rPr>
        <w:t xml:space="preserve"> as the intestinal manifestation of pan-lymphatic dysfunction using basic and clinical preliminary data, which may bring new perspectives to both the scientific study and clinical management of C</w:t>
      </w:r>
      <w:r w:rsidR="005C75EE">
        <w:rPr>
          <w:rFonts w:ascii="Book Antiqua" w:eastAsia="Book Antiqua" w:hAnsi="Book Antiqua" w:cs="Book Antiqua"/>
        </w:rPr>
        <w:t>D</w:t>
      </w:r>
      <w:r>
        <w:rPr>
          <w:rFonts w:ascii="Book Antiqua" w:eastAsia="Book Antiqua" w:hAnsi="Book Antiqua" w:cs="Book Antiqua"/>
        </w:rPr>
        <w:t>.</w:t>
      </w:r>
    </w:p>
    <w:p w14:paraId="528EEB94" w14:textId="77777777" w:rsidR="00143E67" w:rsidRDefault="00143E67">
      <w:r>
        <w:br w:type="page"/>
      </w:r>
    </w:p>
    <w:p w14:paraId="0F6333FF" w14:textId="62EDA990" w:rsidR="00A77B3E" w:rsidRDefault="00CC2EF4">
      <w:pPr>
        <w:spacing w:line="360" w:lineRule="auto"/>
        <w:jc w:val="both"/>
      </w:pPr>
      <w:r>
        <w:rPr>
          <w:rFonts w:ascii="Book Antiqua" w:eastAsia="Book Antiqua" w:hAnsi="Book Antiqua" w:cs="Book Antiqua"/>
          <w:b/>
          <w:caps/>
          <w:color w:val="000000"/>
          <w:u w:val="single"/>
        </w:rPr>
        <w:lastRenderedPageBreak/>
        <w:t>INTRODUCTION</w:t>
      </w:r>
    </w:p>
    <w:p w14:paraId="6BCE6F63" w14:textId="77777777" w:rsidR="00A77B3E" w:rsidRDefault="00CC2EF4">
      <w:pPr>
        <w:spacing w:line="360" w:lineRule="auto"/>
        <w:jc w:val="both"/>
      </w:pPr>
      <w:r>
        <w:rPr>
          <w:rFonts w:ascii="Book Antiqua" w:eastAsia="Book Antiqua" w:hAnsi="Book Antiqua" w:cs="Book Antiqua"/>
          <w:color w:val="000000"/>
        </w:rPr>
        <w:t xml:space="preserve">The lymphatic system in humans consists of lymphatic vessels and lymphoid tissues and organs, allowing the unidirectional transport of fluid, cells, and </w:t>
      </w:r>
      <w:proofErr w:type="gramStart"/>
      <w:r>
        <w:rPr>
          <w:rFonts w:ascii="Book Antiqua" w:eastAsia="Book Antiqua" w:hAnsi="Book Antiqua" w:cs="Book Antiqua"/>
          <w:color w:val="000000"/>
        </w:rPr>
        <w:t>molecules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and thereby playing a functional role in fluid homeostasis, immune cell trafficking, and lipid absorption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Lymphatic system dysfunction has been demonstrated in various conditions including obesity, cardiovascular disease, chronic inflammation, atherosclerosis, neurological disorders, hypertension, and </w:t>
      </w:r>
      <w:proofErr w:type="gramStart"/>
      <w:r>
        <w:rPr>
          <w:rFonts w:ascii="Book Antiqua" w:eastAsia="Book Antiqua" w:hAnsi="Book Antiqua" w:cs="Book Antiqua"/>
          <w:color w:val="000000"/>
        </w:rPr>
        <w:t>elephantiasis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Recently emerging novel technologies, such as single-cell analysis and intravital imaging, have revealed novel characteristics of lymphatic dysfunction in various diseases and the extensive heterogeneity of lymphatic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Moreover, interventions targeting the lymphatic system have yielded ground-breaking results. Nevertheless, the prevalence and impact of disease-associated lymphatic dysfunction remain underestimated. Therefore, we propose an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innovative concept of disease-associated pan-lymphatic dysfunction as an updated theory using the gut, which acts as a reservoir of bacteria and immune cells and has a lymphatic system which plays a predominant role in inflammation and immune regulation, as an </w:t>
      </w:r>
      <w:proofErr w:type="gramStart"/>
      <w:r>
        <w:rPr>
          <w:rFonts w:ascii="Book Antiqua" w:eastAsia="Book Antiqua" w:hAnsi="Book Antiqua" w:cs="Book Antiqua"/>
          <w:color w:val="000000"/>
        </w:rPr>
        <w:t>example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4,7,8]</w:t>
      </w:r>
      <w:r>
        <w:rPr>
          <w:rFonts w:ascii="Book Antiqua" w:eastAsia="Book Antiqua" w:hAnsi="Book Antiqua" w:cs="Book Antiqua"/>
          <w:color w:val="000000"/>
        </w:rPr>
        <w:t xml:space="preserve">. Among the various gut-associated diseases, the importance of the lymphatic system in Crohn’s disease (CD) has received increasing attention, but has not yet been systematically summarized. Here, we review the molecular, cellular, and clinical evidence for lymphatic dysfunction in CD and propose that CD is the intestinal manifestation of pan-lymphatic dysfunction. The benefits of this concept for animal model development and clinical management are also discussed. </w:t>
      </w:r>
    </w:p>
    <w:p w14:paraId="69941A2E" w14:textId="77777777" w:rsidR="00A77B3E" w:rsidRDefault="00A77B3E">
      <w:pPr>
        <w:spacing w:line="360" w:lineRule="auto"/>
        <w:jc w:val="both"/>
      </w:pPr>
    </w:p>
    <w:p w14:paraId="71BD423B" w14:textId="77777777" w:rsidR="00A77B3E" w:rsidRDefault="00CC2EF4">
      <w:pPr>
        <w:spacing w:line="360" w:lineRule="auto"/>
        <w:jc w:val="both"/>
      </w:pPr>
      <w:r>
        <w:rPr>
          <w:rFonts w:ascii="Book Antiqua" w:eastAsia="Book Antiqua" w:hAnsi="Book Antiqua" w:cs="Book Antiqua"/>
          <w:b/>
          <w:bCs/>
          <w:caps/>
          <w:color w:val="000000"/>
          <w:u w:val="single"/>
        </w:rPr>
        <w:t>RATIONALE FOR CONSIDERING CD AS THE INTESTINAL MANIFESTATION OF PAN-LYMPHATIC DYSFUNCTION</w:t>
      </w:r>
    </w:p>
    <w:p w14:paraId="04A2C461" w14:textId="1E5BB7BA" w:rsidR="00A77B3E" w:rsidRDefault="00CC2EF4">
      <w:pPr>
        <w:spacing w:line="360" w:lineRule="auto"/>
        <w:jc w:val="both"/>
      </w:pPr>
      <w:r>
        <w:rPr>
          <w:rFonts w:ascii="Book Antiqua" w:eastAsia="Book Antiqua" w:hAnsi="Book Antiqua" w:cs="Book Antiqua"/>
          <w:color w:val="000000"/>
        </w:rPr>
        <w:t xml:space="preserve">CD is a form of inflammatory bowel disease (IBD) characterized by transmural damage and skip lesions. It can involve the entire gastrointestinal (GI) tract but the most common affected segments are the terminal ileum and the </w:t>
      </w:r>
      <w:proofErr w:type="gramStart"/>
      <w:r>
        <w:rPr>
          <w:rFonts w:ascii="Book Antiqua" w:eastAsia="Book Antiqua" w:hAnsi="Book Antiqua" w:cs="Book Antiqua"/>
          <w:color w:val="000000"/>
        </w:rPr>
        <w:t>colon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Although the mechanism underlying the development of CD remains unknown, a dysregulated </w:t>
      </w:r>
      <w:r>
        <w:rPr>
          <w:rFonts w:ascii="Book Antiqua" w:eastAsia="Book Antiqua" w:hAnsi="Book Antiqua" w:cs="Book Antiqua"/>
          <w:color w:val="000000"/>
        </w:rPr>
        <w:lastRenderedPageBreak/>
        <w:t xml:space="preserve">immune system, altered microbiota, genetic susceptibility, and environmental factors are major contributors to its onset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long-term therapeutic effects of commonly used drugs are unsatisfactory, and approximately 80% of patients require surgery 20 years after disease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Furthermore, these drugs are associated with various adverse effects and uncontrolled </w:t>
      </w:r>
      <w:proofErr w:type="gramStart"/>
      <w:r>
        <w:rPr>
          <w:rFonts w:ascii="Book Antiqua" w:eastAsia="Book Antiqua" w:hAnsi="Book Antiqua" w:cs="Book Antiqua"/>
          <w:color w:val="000000"/>
        </w:rPr>
        <w:t>immunogenicity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Because mucosal healing is the optimal therapeutic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it is crucial to understand the pathogenesis and processes of mucosal pathological alterations in CD. We provide evidence to suggest that CD is the intestinal manifestation of pan-lymphatic dysfunction (Figure 1), which may lead to the development of novel therapeutic strategies and the optimization of CD management.</w:t>
      </w:r>
    </w:p>
    <w:p w14:paraId="735462ED" w14:textId="77777777" w:rsidR="00A77B3E" w:rsidRDefault="00A77B3E">
      <w:pPr>
        <w:spacing w:line="360" w:lineRule="auto"/>
        <w:jc w:val="both"/>
      </w:pPr>
    </w:p>
    <w:p w14:paraId="076405F4" w14:textId="77777777" w:rsidR="00A77B3E" w:rsidRDefault="00CC2EF4">
      <w:pPr>
        <w:spacing w:line="360" w:lineRule="auto"/>
        <w:jc w:val="both"/>
      </w:pPr>
      <w:r>
        <w:rPr>
          <w:rFonts w:ascii="Book Antiqua" w:eastAsia="Book Antiqua" w:hAnsi="Book Antiqua" w:cs="Book Antiqua"/>
          <w:b/>
          <w:bCs/>
          <w:i/>
          <w:iCs/>
          <w:color w:val="000000"/>
        </w:rPr>
        <w:t>Pathological changes of the lymphatic system supporting its fundamental involvement in CD</w:t>
      </w:r>
    </w:p>
    <w:p w14:paraId="23450BD4" w14:textId="23E4F025" w:rsidR="00A77B3E" w:rsidRDefault="00CC2EF4">
      <w:pPr>
        <w:spacing w:line="360" w:lineRule="auto"/>
        <w:jc w:val="both"/>
      </w:pPr>
      <w:r>
        <w:rPr>
          <w:rFonts w:ascii="Book Antiqua" w:eastAsia="Book Antiqua" w:hAnsi="Book Antiqua" w:cs="Book Antiqua"/>
          <w:color w:val="000000"/>
        </w:rPr>
        <w:t>The gut lymphatic system is composed of lymphatic vessels, mesenteric lymphatic nodes (MLNs), and gut-associated lymphatic tissues, including Peyer</w:t>
      </w:r>
      <w:r w:rsidR="0049678E">
        <w:rPr>
          <w:rFonts w:ascii="Book Antiqua" w:hAnsi="Book Antiqua" w:cs="Book Antiqua"/>
          <w:color w:val="000000"/>
          <w:lang w:eastAsia="zh-CN"/>
        </w:rPr>
        <w:t>’</w:t>
      </w:r>
      <w:r>
        <w:rPr>
          <w:rFonts w:ascii="Book Antiqua" w:eastAsia="Book Antiqua" w:hAnsi="Book Antiqua" w:cs="Book Antiqua"/>
          <w:color w:val="000000"/>
        </w:rPr>
        <w:t xml:space="preserve">s patches (PPs) and isolated lymphoid follicles. Lacteals (also called lymphatic capillaries) and submucosal and mesenteric lymphatic vessels represent the three structural levels of the intestinal lymphatic </w:t>
      </w:r>
      <w:proofErr w:type="gramStart"/>
      <w:r>
        <w:rPr>
          <w:rFonts w:ascii="Book Antiqua" w:eastAsia="Book Antiqua" w:hAnsi="Book Antiqua" w:cs="Book Antiqua"/>
          <w:color w:val="000000"/>
        </w:rPr>
        <w:t>vasculature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Loss or dysfunction of the intestinal lymphatics causes severe gut inflammation, infection, and sepsis, with 100% lethality by 60 h in a mouse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Several functional and morphological alterations in the lymphatic system are well-recognized features of CD, including lymphangiogenesis, lymphadenopathy, and lymphatic vessel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5,14]</w:t>
      </w:r>
      <w:r>
        <w:rPr>
          <w:rFonts w:ascii="Book Antiqua" w:eastAsia="Book Antiqua" w:hAnsi="Book Antiqua" w:cs="Book Antiqua"/>
          <w:color w:val="000000"/>
        </w:rPr>
        <w:t xml:space="preserve">. Patients with CD have a higher density of lymphatic vessels than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their functional fluid drainage and anti-inflammatory capacities are </w:t>
      </w:r>
      <w:proofErr w:type="gramStart"/>
      <w:r>
        <w:rPr>
          <w:rFonts w:ascii="Book Antiqua" w:eastAsia="Book Antiqua" w:hAnsi="Book Antiqua" w:cs="Book Antiqua"/>
          <w:color w:val="000000"/>
        </w:rPr>
        <w:t>impaired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demonstrating the lymphatic phenomenon of “increased quantity but decreased quality” in CD. Lymphatic vessel dysfunction, including lymphangiectasia and lymphangitis, leads to lymphatic hyperpermeability, interstitial edema, lymphostasis, granulomatous inflammatory response, and lymphatic vasculature </w:t>
      </w:r>
      <w:proofErr w:type="gramStart"/>
      <w:r>
        <w:rPr>
          <w:rFonts w:ascii="Book Antiqua" w:eastAsia="Book Antiqua" w:hAnsi="Book Antiqua" w:cs="Book Antiqua"/>
          <w:color w:val="00000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Button junctions, which are closely associated with lymphatic capillary permeability and intestinal </w:t>
      </w:r>
      <w:r>
        <w:rPr>
          <w:rFonts w:ascii="Book Antiqua" w:eastAsia="Book Antiqua" w:hAnsi="Book Antiqua" w:cs="Book Antiqua"/>
          <w:color w:val="000000"/>
        </w:rPr>
        <w:lastRenderedPageBreak/>
        <w:t xml:space="preserve">material exchange, are lost during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submucosal and mesenteric collecting lymphatic vessels are also damaged during intestinal inflammation, as shown by increased junction permeability, flawed valves, and decreased smooth muscle pumping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12,19]</w:t>
      </w:r>
      <w:r>
        <w:rPr>
          <w:rFonts w:ascii="Book Antiqua" w:eastAsia="Book Antiqua" w:hAnsi="Book Antiqua" w:cs="Book Antiqua"/>
          <w:color w:val="000000"/>
        </w:rPr>
        <w:t>.</w:t>
      </w:r>
    </w:p>
    <w:p w14:paraId="2AE3819C" w14:textId="77777777" w:rsidR="00A77B3E" w:rsidRDefault="00CC2EF4" w:rsidP="005C75EE">
      <w:pPr>
        <w:spacing w:line="360" w:lineRule="auto"/>
        <w:ind w:firstLineChars="100" w:firstLine="240"/>
        <w:jc w:val="both"/>
      </w:pPr>
      <w:r>
        <w:rPr>
          <w:rFonts w:ascii="Book Antiqua" w:eastAsia="Book Antiqua" w:hAnsi="Book Antiqua" w:cs="Book Antiqua"/>
          <w:color w:val="000000"/>
        </w:rPr>
        <w:t xml:space="preserve">Previous studies have revealed several intriguing phenomena suggesting a lymphatic basis of CD. Initial lesions in CD occur in the lymphoid follicles and PPs in the colon and ileum,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Moreover, intestinal lymphatics are intimately associated with the gross segmental distribution of intestinal lesions, with longer CD segments in the ileum consistent with longer lymphatic collecting </w:t>
      </w:r>
      <w:proofErr w:type="gramStart"/>
      <w:r>
        <w:rPr>
          <w:rFonts w:ascii="Book Antiqua" w:eastAsia="Book Antiqua" w:hAnsi="Book Antiqua" w:cs="Book Antiqua"/>
          <w:color w:val="000000"/>
        </w:rPr>
        <w:t>ducts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microscopic characteristics of CD further support the active involvement of lymphatics, as granulomas appear in and around lymphatic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Furthermore, several studies have indicated that granulomas in the MLNs of patients with CD may cause lymphatic </w:t>
      </w:r>
      <w:proofErr w:type="gramStart"/>
      <w:r>
        <w:rPr>
          <w:rFonts w:ascii="Book Antiqua" w:eastAsia="Book Antiqua" w:hAnsi="Book Antiqua" w:cs="Book Antiqua"/>
          <w:color w:val="00000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and increase the risk of recurrence after ileocolonic resection</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From a clinical standpoint, previous studies have indicated that decreased lymphatic vessel density is associated with disease and the postoperative endoscopic recurrence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74EFFCFC" w14:textId="77777777" w:rsidR="00A77B3E" w:rsidRDefault="00A77B3E">
      <w:pPr>
        <w:spacing w:line="360" w:lineRule="auto"/>
        <w:jc w:val="both"/>
      </w:pPr>
    </w:p>
    <w:p w14:paraId="35C93C0B" w14:textId="77777777" w:rsidR="00A77B3E" w:rsidRDefault="00CC2EF4">
      <w:pPr>
        <w:spacing w:line="360" w:lineRule="auto"/>
        <w:jc w:val="both"/>
      </w:pPr>
      <w:r>
        <w:rPr>
          <w:rFonts w:ascii="Book Antiqua" w:eastAsia="Book Antiqua" w:hAnsi="Book Antiqua" w:cs="Book Antiqua"/>
          <w:b/>
          <w:bCs/>
          <w:i/>
          <w:iCs/>
          <w:color w:val="000000"/>
        </w:rPr>
        <w:t>Inside-out model of CD pathogenesis reveals the long-ignored pathological effect of the lymphatic system in CD</w:t>
      </w:r>
    </w:p>
    <w:p w14:paraId="04114C70" w14:textId="77777777" w:rsidR="00A77B3E" w:rsidRDefault="00CC2EF4">
      <w:pPr>
        <w:spacing w:line="360" w:lineRule="auto"/>
        <w:jc w:val="both"/>
      </w:pPr>
      <w:r>
        <w:rPr>
          <w:rFonts w:ascii="Book Antiqua" w:eastAsia="Book Antiqua" w:hAnsi="Book Antiqua" w:cs="Book Antiqua"/>
          <w:color w:val="000000"/>
        </w:rPr>
        <w:t>Currently, there are two opposing models of CD pathogenesis: outside-in and inside-</w:t>
      </w:r>
      <w:proofErr w:type="gramStart"/>
      <w:r>
        <w:rPr>
          <w:rFonts w:ascii="Book Antiqua" w:eastAsia="Book Antiqua" w:hAnsi="Book Antiqua" w:cs="Book Antiqua"/>
          <w:color w:val="000000"/>
        </w:rPr>
        <w:t>out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The conventional outside-in model regards luminal bacteria-induced mucosal damage as the initial event in CD and submucosal injury as the ensuing terminal event. However, some evidence contradicts this theory of a primary mucosal injury. A study on nucleotide-binding oligomerization domain-2 (NOD2)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revealed that</w:t>
      </w:r>
      <w:r>
        <w:rPr>
          <w:rFonts w:ascii="Book Antiqua" w:eastAsia="Book Antiqua" w:hAnsi="Book Antiqua" w:cs="Book Antiqua"/>
          <w:color w:val="000000"/>
          <w:szCs w:val="21"/>
        </w:rPr>
        <w:t xml:space="preserve"> </w:t>
      </w:r>
      <w:r>
        <w:rPr>
          <w:rFonts w:ascii="Book Antiqua" w:eastAsia="Book Antiqua" w:hAnsi="Book Antiqua" w:cs="Book Antiqua"/>
          <w:color w:val="000000"/>
        </w:rPr>
        <w:t>macrophages, rather than epithelial cells,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are the predominant abnormal cell type during gut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Therefore, the long-overlooked inside-out model, in which infection or inflammation by intracellular bacteria and their metabolites in the intestinal lymphatic system is the initial event in CD, leading to mucosal inflammation, may be better supported by the evidence. This model, which emphasizes the significance of the </w:t>
      </w:r>
      <w:r>
        <w:rPr>
          <w:rFonts w:ascii="Book Antiqua" w:eastAsia="Book Antiqua" w:hAnsi="Book Antiqua" w:cs="Book Antiqua"/>
          <w:color w:val="000000"/>
        </w:rPr>
        <w:lastRenderedPageBreak/>
        <w:t>lymphatic system, supports our hypothesis of CD as a pan-lymphatic dysfunction and can be divided into three phases (Figure 2).</w:t>
      </w:r>
    </w:p>
    <w:p w14:paraId="148F6634" w14:textId="77777777" w:rsidR="005C75EE" w:rsidRDefault="005C75EE">
      <w:pPr>
        <w:spacing w:line="360" w:lineRule="auto"/>
        <w:jc w:val="both"/>
        <w:rPr>
          <w:rFonts w:ascii="Book Antiqua" w:eastAsia="Book Antiqua" w:hAnsi="Book Antiqua" w:cs="Book Antiqua"/>
          <w:b/>
          <w:bCs/>
          <w:color w:val="000000"/>
        </w:rPr>
      </w:pPr>
    </w:p>
    <w:p w14:paraId="26AE2162" w14:textId="1314DF94" w:rsidR="00A77B3E" w:rsidRDefault="00CC2EF4">
      <w:pPr>
        <w:spacing w:line="360" w:lineRule="auto"/>
        <w:jc w:val="both"/>
      </w:pPr>
      <w:r>
        <w:rPr>
          <w:rFonts w:ascii="Book Antiqua" w:eastAsia="Book Antiqua" w:hAnsi="Book Antiqua" w:cs="Book Antiqua"/>
          <w:b/>
          <w:bCs/>
          <w:color w:val="000000"/>
        </w:rPr>
        <w:t xml:space="preserve">Phase I: Infection by intracellular bacteria: </w:t>
      </w:r>
      <w:r>
        <w:rPr>
          <w:rFonts w:ascii="Book Antiqua" w:eastAsia="Book Antiqua" w:hAnsi="Book Antiqua" w:cs="Book Antiqua"/>
          <w:color w:val="000000"/>
        </w:rPr>
        <w:t xml:space="preserve">The inside-out model proposes that infection by intracellular bacteria and their metabolites occurs as the first stage of CD pathogenesis without obvious mucosal pathology. The importance of gut bacteria in CD was shown by a previous study in which ileitis and colitis did not occur in the absence of bacterial </w:t>
      </w:r>
      <w:proofErr w:type="gramStart"/>
      <w:r>
        <w:rPr>
          <w:rFonts w:ascii="Book Antiqua" w:eastAsia="Book Antiqua" w:hAnsi="Book Antiqua" w:cs="Book Antiqua"/>
          <w:color w:val="000000"/>
        </w:rPr>
        <w:t>flora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Genetic studies have revealed several specific genes associated with CD, including NOD2, ATG16L1, and </w:t>
      </w:r>
      <w:proofErr w:type="gramStart"/>
      <w:r>
        <w:rPr>
          <w:rFonts w:ascii="Book Antiqua" w:eastAsia="Book Antiqua" w:hAnsi="Book Antiqua" w:cs="Book Antiqua"/>
          <w:color w:val="000000"/>
        </w:rPr>
        <w:t>IRGM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 proteins encoded by these genes are involved in intracellular pathogen elimination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autophagy, indicating that this process is impaired in CD. Several studies have shown that MLN dysbiosis in CD is characterized by an overabundance of Proteobacteria,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such as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and </w:t>
      </w:r>
      <w:proofErr w:type="gramStart"/>
      <w:r>
        <w:rPr>
          <w:rFonts w:ascii="Book Antiqua" w:eastAsia="Book Antiqua" w:hAnsi="Book Antiqua" w:cs="Book Antiqua"/>
          <w:i/>
          <w:iCs/>
          <w:color w:val="000000"/>
        </w:rPr>
        <w:t>Salmonella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20,27]</w:t>
      </w:r>
      <w:r>
        <w:rPr>
          <w:rFonts w:ascii="Book Antiqua" w:eastAsia="Book Antiqua" w:hAnsi="Book Antiqua" w:cs="Book Antiqua"/>
          <w:color w:val="000000"/>
        </w:rPr>
        <w:t xml:space="preserve">. Intriguingly,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can invade PPs and MLNs with few signs of intestinal mucosa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Adherent invasive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strains isolated from CD patients can survive within macrophages without inducing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These findings suggest that intestinal bacteria can invade the mucosa without resultant inflammation. Importantly, a study on postoperative recurrence in patients with CD showed significant inflammatory cell infiltration of the lamina propria, whereas only small </w:t>
      </w:r>
      <w:bookmarkStart w:id="180" w:name="OLE_LINK1"/>
      <w:r w:rsidR="000949A0">
        <w:rPr>
          <w:rFonts w:ascii="Book Antiqua" w:eastAsia="Book Antiqua" w:hAnsi="Book Antiqua" w:cs="Book Antiqua"/>
          <w:color w:val="000000"/>
        </w:rPr>
        <w:t>intestinal</w:t>
      </w:r>
      <w:r>
        <w:rPr>
          <w:rFonts w:ascii="Book Antiqua" w:eastAsia="Book Antiqua" w:hAnsi="Book Antiqua" w:cs="Book Antiqua"/>
          <w:color w:val="000000"/>
        </w:rPr>
        <w:t xml:space="preserve">ulcers </w:t>
      </w:r>
      <w:bookmarkEnd w:id="180"/>
      <w:r>
        <w:rPr>
          <w:rFonts w:ascii="Book Antiqua" w:eastAsia="Book Antiqua" w:hAnsi="Book Antiqua" w:cs="Book Antiqua"/>
          <w:color w:val="000000"/>
        </w:rPr>
        <w:t xml:space="preserve">were detected in the ileal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Based on this evidence, we suspect that bacterial invasion of the lymphatic system occurs prior to the development of mucosal lesions.</w:t>
      </w:r>
    </w:p>
    <w:p w14:paraId="180930A0" w14:textId="77777777" w:rsidR="005C75EE" w:rsidRDefault="005C75EE">
      <w:pPr>
        <w:spacing w:line="360" w:lineRule="auto"/>
        <w:jc w:val="both"/>
        <w:rPr>
          <w:rFonts w:ascii="Book Antiqua" w:eastAsia="Book Antiqua" w:hAnsi="Book Antiqua" w:cs="Book Antiqua"/>
          <w:b/>
          <w:bCs/>
          <w:color w:val="000000"/>
        </w:rPr>
      </w:pPr>
    </w:p>
    <w:p w14:paraId="01436507" w14:textId="133CEA73" w:rsidR="00A77B3E" w:rsidRDefault="00CC2EF4">
      <w:pPr>
        <w:spacing w:line="360" w:lineRule="auto"/>
        <w:jc w:val="both"/>
      </w:pPr>
      <w:r>
        <w:rPr>
          <w:rFonts w:ascii="Book Antiqua" w:eastAsia="Book Antiqua" w:hAnsi="Book Antiqua" w:cs="Book Antiqua"/>
          <w:b/>
          <w:bCs/>
          <w:color w:val="000000"/>
        </w:rPr>
        <w:t xml:space="preserve">Phase II: Pathogens infect and persist in intestinal lymphatic tissues: </w:t>
      </w:r>
      <w:r>
        <w:rPr>
          <w:rFonts w:ascii="Book Antiqua" w:eastAsia="Book Antiqua" w:hAnsi="Book Antiqua" w:cs="Book Antiqua"/>
          <w:color w:val="000000"/>
        </w:rPr>
        <w:t xml:space="preserve">The inside-out model states that pathogen invasion of MLNs through lymphatic vessels causing persistent infection is critical for CD progression. Pathological bacterial translocation (PBT) to MLNs is well established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detection of bacterial DNA in MLNs using high-throughput sequencing indicates that PBT is a non-selective process</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 study on acute intestinal infection by </w:t>
      </w:r>
      <w:r>
        <w:rPr>
          <w:rFonts w:ascii="Book Antiqua" w:eastAsia="Book Antiqua" w:hAnsi="Book Antiqua" w:cs="Book Antiqua"/>
          <w:i/>
          <w:iCs/>
          <w:color w:val="000000"/>
        </w:rPr>
        <w:t>Yersinia pseudotuberculosis</w:t>
      </w:r>
      <w:r>
        <w:rPr>
          <w:rFonts w:ascii="Book Antiqua" w:eastAsia="Book Antiqua" w:hAnsi="Book Antiqua" w:cs="Book Antiqua"/>
          <w:color w:val="000000"/>
        </w:rPr>
        <w:t xml:space="preserve"> revealed that an </w:t>
      </w:r>
      <w:r w:rsidR="0049678E">
        <w:rPr>
          <w:rFonts w:ascii="Book Antiqua" w:hAnsi="Book Antiqua" w:cs="Book Antiqua"/>
          <w:color w:val="000000"/>
          <w:lang w:eastAsia="zh-CN"/>
        </w:rPr>
        <w:t>‘</w:t>
      </w:r>
      <w:r>
        <w:rPr>
          <w:rFonts w:ascii="Book Antiqua" w:eastAsia="Book Antiqua" w:hAnsi="Book Antiqua" w:cs="Book Antiqua"/>
          <w:color w:val="000000"/>
        </w:rPr>
        <w:t>immunological scar</w:t>
      </w:r>
      <w:r w:rsidR="0049678E">
        <w:rPr>
          <w:rFonts w:ascii="Book Antiqua" w:hAnsi="Book Antiqua" w:cs="Book Antiqua"/>
          <w:color w:val="000000"/>
          <w:lang w:eastAsia="zh-CN"/>
        </w:rPr>
        <w:t>’</w:t>
      </w:r>
      <w:r>
        <w:rPr>
          <w:rFonts w:ascii="Book Antiqua" w:eastAsia="Book Antiqua" w:hAnsi="Book Antiqua" w:cs="Book Antiqua"/>
          <w:color w:val="000000"/>
        </w:rPr>
        <w:t xml:space="preserve"> persists in the gut lymphatics even after pathogen </w:t>
      </w:r>
      <w:proofErr w:type="gramStart"/>
      <w:r>
        <w:rPr>
          <w:rFonts w:ascii="Book Antiqua" w:eastAsia="Book Antiqua" w:hAnsi="Book Antiqua" w:cs="Book Antiqua"/>
          <w:color w:val="000000"/>
        </w:rPr>
        <w:t>eradication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Remodeling of </w:t>
      </w:r>
      <w:r>
        <w:rPr>
          <w:rFonts w:ascii="Book Antiqua" w:eastAsia="Book Antiqua" w:hAnsi="Book Antiqua" w:cs="Book Antiqua"/>
          <w:color w:val="000000"/>
        </w:rPr>
        <w:lastRenderedPageBreak/>
        <w:t xml:space="preserve">the lymphatic system and a deviation of the immune response disrupts communication between the tissue and the immune system, compromising homeostasis. Notably, there are many similarities between </w:t>
      </w:r>
      <w:r>
        <w:rPr>
          <w:rFonts w:ascii="Book Antiqua" w:eastAsia="Book Antiqua" w:hAnsi="Book Antiqua" w:cs="Book Antiqua"/>
          <w:i/>
          <w:iCs/>
          <w:color w:val="000000"/>
        </w:rPr>
        <w:t>Y. pseudotuberculosis</w:t>
      </w:r>
      <w:r>
        <w:rPr>
          <w:rFonts w:ascii="Book Antiqua" w:eastAsia="Book Antiqua" w:hAnsi="Book Antiqua" w:cs="Book Antiqua"/>
          <w:color w:val="000000"/>
        </w:rPr>
        <w:t xml:space="preserve"> infection and CD. Lymphangitis and lymphatic vascular dysfunction are also common in CD. More importantly, PBT to </w:t>
      </w:r>
      <w:proofErr w:type="gramStart"/>
      <w:r>
        <w:rPr>
          <w:rFonts w:ascii="Book Antiqua" w:eastAsia="Book Antiqua" w:hAnsi="Book Antiqua" w:cs="Book Antiqua"/>
          <w:color w:val="000000"/>
        </w:rPr>
        <w:t>MLNs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20,32]</w:t>
      </w:r>
      <w:r>
        <w:rPr>
          <w:rFonts w:ascii="Book Antiqua" w:eastAsia="Book Antiqua" w:hAnsi="Book Antiqua" w:cs="Book Antiqua"/>
          <w:color w:val="000000"/>
        </w:rPr>
        <w:t xml:space="preserve"> and mesenteric adipose tissue</w:t>
      </w:r>
      <w:r>
        <w:rPr>
          <w:rFonts w:ascii="Book Antiqua" w:eastAsia="Book Antiqua" w:hAnsi="Book Antiqua" w:cs="Book Antiqua"/>
          <w:color w:val="000000"/>
          <w:vertAlign w:val="superscript"/>
        </w:rPr>
        <w:t>[20,33]</w:t>
      </w:r>
      <w:r>
        <w:rPr>
          <w:rFonts w:ascii="Book Antiqua" w:eastAsia="Book Antiqua" w:hAnsi="Book Antiqua" w:cs="Book Antiqua"/>
          <w:color w:val="000000"/>
        </w:rPr>
        <w:t xml:space="preserve"> as well as defects in dendritic cell (DC) migration</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have been described in CD. Moreover, CD-induced lymphadenopathy remains after the resolution of acute intestinal inflammation in a dextran sodium sulfate (DSS) model of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Therefore, we speculate that such an ‘immunological scar’ also exists in CD,</w:t>
      </w:r>
      <w:r>
        <w:rPr>
          <w:rFonts w:ascii="Book Antiqua" w:eastAsia="Book Antiqua" w:hAnsi="Book Antiqua" w:cs="Book Antiqua"/>
          <w:color w:val="000000"/>
          <w:szCs w:val="21"/>
        </w:rPr>
        <w:t xml:space="preserve"> </w:t>
      </w:r>
      <w:r>
        <w:rPr>
          <w:rFonts w:ascii="Book Antiqua" w:eastAsia="Book Antiqua" w:hAnsi="Book Antiqua" w:cs="Book Antiqua"/>
          <w:color w:val="000000"/>
        </w:rPr>
        <w:t>which alters GI immunity and the lymphatic system, ultimately leading to persistent intestinal lesions.</w:t>
      </w:r>
    </w:p>
    <w:p w14:paraId="5D8CCE22" w14:textId="77777777" w:rsidR="005C75EE" w:rsidRDefault="005C75EE">
      <w:pPr>
        <w:spacing w:line="360" w:lineRule="auto"/>
        <w:jc w:val="both"/>
        <w:rPr>
          <w:rFonts w:ascii="Book Antiqua" w:eastAsia="Book Antiqua" w:hAnsi="Book Antiqua" w:cs="Book Antiqua"/>
          <w:b/>
          <w:bCs/>
          <w:color w:val="000000"/>
        </w:rPr>
      </w:pPr>
    </w:p>
    <w:p w14:paraId="11876868" w14:textId="415B104A" w:rsidR="00A77B3E" w:rsidRDefault="00CC2EF4">
      <w:pPr>
        <w:spacing w:line="360" w:lineRule="auto"/>
        <w:jc w:val="both"/>
      </w:pPr>
      <w:r>
        <w:rPr>
          <w:rFonts w:ascii="Book Antiqua" w:eastAsia="Book Antiqua" w:hAnsi="Book Antiqua" w:cs="Book Antiqua"/>
          <w:b/>
          <w:bCs/>
          <w:color w:val="000000"/>
        </w:rPr>
        <w:t xml:space="preserve">Phase III: Mucosal injury as the terminal event of CD: </w:t>
      </w:r>
      <w:r>
        <w:rPr>
          <w:rFonts w:ascii="Book Antiqua" w:eastAsia="Book Antiqua" w:hAnsi="Book Antiqua" w:cs="Book Antiqua"/>
          <w:color w:val="000000"/>
        </w:rPr>
        <w:t xml:space="preserve">Mucosal injury is considered the terminal event in the inside-out model. A breakthrough study used formalin injections to block certain segments of the mesenteric lymphatics of the small intestine, establishing experimental enteritis resembling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This indicates that intestinal lymphatic blockage or </w:t>
      </w:r>
      <w:proofErr w:type="gramStart"/>
      <w:r>
        <w:rPr>
          <w:rFonts w:ascii="Book Antiqua" w:eastAsia="Book Antiqua" w:hAnsi="Book Antiqua" w:cs="Book Antiqua"/>
          <w:color w:val="000000"/>
        </w:rPr>
        <w:t>malfunction are</w:t>
      </w:r>
      <w:proofErr w:type="gramEnd"/>
      <w:r>
        <w:rPr>
          <w:rFonts w:ascii="Book Antiqua" w:eastAsia="Book Antiqua" w:hAnsi="Book Antiqua" w:cs="Book Antiqua"/>
          <w:color w:val="000000"/>
        </w:rPr>
        <w:t xml:space="preserve"> essential for the initiation of mucosal injuries. Bacteria and their by-products are retained in the MLNs. During intestinal inflammation, mesenteric collecting vessel function is impaired owing to increased junction permeability, defective valves, and reduced smooth muscle cell pumping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This lymphatic dysfunction provides opportunities for bacteria and their by-products to flow back into the draining lymphatic vessels, aggravating intestinal inflammation and causing mucosal lesions. Moreover, the compromised integrity and hyperpermeability of lymphatic vessels prevent the routine drainage of antigens and immune cells into the MLN. In SAMP1/YitFc mice, inhibiting DC trafficking to lymph nodes induced ileitis resembling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12BD0D5D" w14:textId="77777777" w:rsidR="00A77B3E" w:rsidRDefault="00A77B3E">
      <w:pPr>
        <w:spacing w:line="360" w:lineRule="auto"/>
        <w:jc w:val="both"/>
      </w:pPr>
    </w:p>
    <w:p w14:paraId="79B674DF" w14:textId="77777777" w:rsidR="00A77B3E" w:rsidRDefault="00CC2EF4">
      <w:pPr>
        <w:spacing w:line="360" w:lineRule="auto"/>
        <w:jc w:val="both"/>
      </w:pPr>
      <w:r>
        <w:rPr>
          <w:rFonts w:ascii="Book Antiqua" w:eastAsia="Book Antiqua" w:hAnsi="Book Antiqua" w:cs="Book Antiqua"/>
          <w:b/>
          <w:bCs/>
          <w:i/>
          <w:iCs/>
          <w:color w:val="000000"/>
        </w:rPr>
        <w:t>Interactions between immune cells and the lymphatic system and the immune dysfunction caused by CD further support the importance of the lymphatic system</w:t>
      </w:r>
    </w:p>
    <w:p w14:paraId="67AE8D87" w14:textId="77777777" w:rsidR="00A77B3E" w:rsidRDefault="00CC2EF4">
      <w:pPr>
        <w:spacing w:line="360" w:lineRule="auto"/>
        <w:jc w:val="both"/>
      </w:pPr>
      <w:r>
        <w:rPr>
          <w:rFonts w:ascii="Book Antiqua" w:eastAsia="Book Antiqua" w:hAnsi="Book Antiqua" w:cs="Book Antiqua"/>
          <w:color w:val="000000"/>
        </w:rPr>
        <w:lastRenderedPageBreak/>
        <w:t xml:space="preserve">The gut lymphatic system and the immune cells within it not only play a critical role in the pathogenesis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but are also influenced by the immune dysfunction induced in CD, revealing a two-way interaction. In addition, immune and non-immune cells have been shown to exhibit increased plasticity in CD to compensate for lymphatic dysfunction, with enhanced lymphatic system contact, lymphatic phenotype changes, and expression of lymphocyte surface markers. A partial overlap between the molecular mechanisms involved in lymphatic function and CD was also identified; this complex network is summarized at both the cellular and molecular levels in Figure 3.</w:t>
      </w:r>
    </w:p>
    <w:p w14:paraId="35E37D8F" w14:textId="77777777" w:rsidR="005C75EE" w:rsidRDefault="005C75EE">
      <w:pPr>
        <w:spacing w:line="360" w:lineRule="auto"/>
        <w:jc w:val="both"/>
        <w:rPr>
          <w:rFonts w:ascii="Book Antiqua" w:eastAsia="Book Antiqua" w:hAnsi="Book Antiqua" w:cs="Book Antiqua"/>
          <w:b/>
          <w:bCs/>
          <w:color w:val="000000"/>
        </w:rPr>
      </w:pPr>
    </w:p>
    <w:p w14:paraId="2E7855AD" w14:textId="7DCCD3BA" w:rsidR="00A77B3E" w:rsidRDefault="00CC2EF4">
      <w:pPr>
        <w:spacing w:line="360" w:lineRule="auto"/>
        <w:jc w:val="both"/>
      </w:pPr>
      <w:r>
        <w:rPr>
          <w:rFonts w:ascii="Book Antiqua" w:eastAsia="Book Antiqua" w:hAnsi="Book Antiqua" w:cs="Book Antiqua"/>
          <w:b/>
          <w:bCs/>
          <w:color w:val="000000"/>
        </w:rPr>
        <w:t xml:space="preserve">Immune cell disorders and changes of cell plasticity further support the importance of the lymphatic system in CD: </w:t>
      </w:r>
      <w:r>
        <w:rPr>
          <w:rFonts w:ascii="Book Antiqua" w:eastAsia="Book Antiqua" w:hAnsi="Book Antiqua" w:cs="Book Antiqua"/>
          <w:color w:val="000000"/>
        </w:rPr>
        <w:t xml:space="preserve">Lymphatic dysfunction contributes to CD pathogenesis by altering the influx of immune cells. Importantly, CD initiation is tightly correlated with B and T cell trafficking between the bloodstream, intestinal mucosa, and lymphatic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An increasing number of studies have suggested that the unique cytokine milieu produced by immune cells in MLNs leads to a dysregulated T helper (Th)1/Th17 immune response in CD</w:t>
      </w:r>
      <w:r>
        <w:rPr>
          <w:rFonts w:ascii="Book Antiqua" w:eastAsia="Book Antiqua" w:hAnsi="Book Antiqua" w:cs="Book Antiqua"/>
          <w:color w:val="000000"/>
          <w:vertAlign w:val="superscript"/>
        </w:rPr>
        <w:t>[7,38,40]</w:t>
      </w:r>
      <w:r>
        <w:rPr>
          <w:rFonts w:ascii="Book Antiqua" w:eastAsia="Book Antiqua" w:hAnsi="Book Antiqua" w:cs="Book Antiqua"/>
          <w:color w:val="000000"/>
        </w:rPr>
        <w:t>. Th1 cells mainly secrete tumor necrosis factor (TNF)-α and interferon (IFN)-γ while Th17 cells primarily produce interleukin (IL)-17, IL-22, and TNF-</w:t>
      </w:r>
      <w:proofErr w:type="gramStart"/>
      <w:r>
        <w:rPr>
          <w:rFonts w:ascii="Book Antiqua" w:eastAsia="Book Antiqua" w:hAnsi="Book Antiqua" w:cs="Book Antiqua"/>
          <w:color w:val="000000"/>
        </w:rPr>
        <w:t>α</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Th1 polarization has been detected in the PPs of patients with active CD</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and an increase in specific pro-inflammatory DC subsets has been observed in the MLNs of both animal models of colitis and patients with CD</w:t>
      </w:r>
      <w:r>
        <w:rPr>
          <w:rFonts w:ascii="Book Antiqua" w:eastAsia="Book Antiqua" w:hAnsi="Book Antiqua" w:cs="Book Antiqua"/>
          <w:color w:val="000000"/>
          <w:vertAlign w:val="superscript"/>
        </w:rPr>
        <w:t>[43,44]</w:t>
      </w:r>
      <w:r>
        <w:rPr>
          <w:rFonts w:ascii="Book Antiqua" w:eastAsia="Book Antiqua" w:hAnsi="Book Antiqua" w:cs="Book Antiqua"/>
          <w:color w:val="000000"/>
        </w:rPr>
        <w:t xml:space="preserve">. Moreover, long-lasting ‘immunological scars’ promote DC migration and increase susceptibility to further </w:t>
      </w:r>
      <w:proofErr w:type="gramStart"/>
      <w:r>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The impairment of DC migration due to lymphatic dysfunction and dysregulated chemokines in CD leads to mature DCs moving away from their usual MLNs and causes the proliferation of T cells, contributing to the formation of tertiary lymphoid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34,45]</w:t>
      </w:r>
      <w:r>
        <w:rPr>
          <w:rFonts w:ascii="Book Antiqua" w:eastAsia="Book Antiqua" w:hAnsi="Book Antiqua" w:cs="Book Antiqua"/>
          <w:color w:val="000000"/>
        </w:rPr>
        <w:t xml:space="preserve">. Macrophages are involved in both acute inflammation and inflammation-associated </w:t>
      </w:r>
      <w:proofErr w:type="gramStart"/>
      <w:r>
        <w:rPr>
          <w:rFonts w:ascii="Book Antiqua" w:eastAsia="Book Antiqua" w:hAnsi="Book Antiqua" w:cs="Book Antiqua"/>
          <w:color w:val="000000"/>
        </w:rPr>
        <w:t>lymphangiogenesis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CD169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macrophages differ from M1 and M2 macrophages and are located in MLNs, where they produce high levels of pro-inflammatory cytokines and may participate in Th17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Type 3 innate lymphoid cells (ILCs), the inappropriate activation of which causes IL-17 and IL-22 </w:t>
      </w:r>
      <w:r>
        <w:rPr>
          <w:rFonts w:ascii="Book Antiqua" w:eastAsia="Book Antiqua" w:hAnsi="Book Antiqua" w:cs="Book Antiqua"/>
          <w:color w:val="000000"/>
        </w:rPr>
        <w:lastRenderedPageBreak/>
        <w:t xml:space="preserve">overproduction, are responsible for CD pathogenesis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Importantly, ILC3 also play a critical role in the generation of lymphoid </w:t>
      </w:r>
      <w:proofErr w:type="gramStart"/>
      <w:r>
        <w:rPr>
          <w:rFonts w:ascii="Book Antiqua" w:eastAsia="Book Antiqua" w:hAnsi="Book Antiqua" w:cs="Book Antiqua"/>
          <w:color w:val="000000"/>
        </w:rPr>
        <w:t>structures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further supporting the role of the lymphatic system in CD.</w:t>
      </w:r>
    </w:p>
    <w:p w14:paraId="597B9B53" w14:textId="77777777" w:rsidR="00A77B3E" w:rsidRDefault="00CC2EF4" w:rsidP="005C75EE">
      <w:pPr>
        <w:spacing w:line="360" w:lineRule="auto"/>
        <w:ind w:firstLineChars="100" w:firstLine="240"/>
        <w:jc w:val="both"/>
      </w:pPr>
      <w:r>
        <w:rPr>
          <w:rFonts w:ascii="Book Antiqua" w:eastAsia="Book Antiqua" w:hAnsi="Book Antiqua" w:cs="Book Antiqua"/>
          <w:color w:val="000000"/>
        </w:rPr>
        <w:t xml:space="preserve">Disordered immune cells are directly associated with alterations in the lymphatic vasculature. The observed increase in tissue macrophages, T cells, and neutrophils in CD reflects the failure of the direct clearance of inflammatory cells due to impaired lymphatic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Structural (dilated torturous lymphatic vessels) and functional (greater submucosal edema, higher immune cell burden) changes were associated with elevated colonic neutrophil, macrophage, and T cell infiltration in a mouse model of experimental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DCs, monocytes, mast cells, macrophages, T cells, and B cells are actively involved in the induction of lymphangiogenesis during inflammation by mediating the expression of lymphangiogenic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B cells and ILCs have been observed in the inflamed bowel walls of patients with CD and may contribute to lymphatic </w:t>
      </w:r>
      <w:proofErr w:type="gramStart"/>
      <w:r>
        <w:rPr>
          <w:rFonts w:ascii="Book Antiqua" w:eastAsia="Book Antiqua" w:hAnsi="Book Antiqua" w:cs="Book Antiqua"/>
          <w:color w:val="000000"/>
        </w:rPr>
        <w:t>remodeling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Impaired lymphatic transport exacerbates the accumulation of inflammatory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forming a vicious cycle of lymphatic dysfunction in CD.</w:t>
      </w:r>
    </w:p>
    <w:p w14:paraId="760291F2" w14:textId="541183DF" w:rsidR="00A77B3E" w:rsidRDefault="00CC2EF4" w:rsidP="005C75EE">
      <w:pPr>
        <w:spacing w:line="360" w:lineRule="auto"/>
        <w:ind w:firstLineChars="100" w:firstLine="240"/>
        <w:jc w:val="both"/>
      </w:pPr>
      <w:r>
        <w:rPr>
          <w:rFonts w:ascii="Book Antiqua" w:eastAsia="Book Antiqua" w:hAnsi="Book Antiqua" w:cs="Book Antiqua"/>
          <w:color w:val="000000"/>
        </w:rPr>
        <w:t xml:space="preserve">Several cell </w:t>
      </w:r>
      <w:proofErr w:type="gramStart"/>
      <w:r>
        <w:rPr>
          <w:rFonts w:ascii="Book Antiqua" w:eastAsia="Book Antiqua" w:hAnsi="Book Antiqua" w:cs="Book Antiqua"/>
          <w:color w:val="000000"/>
        </w:rPr>
        <w:t>types</w:t>
      </w:r>
      <w:proofErr w:type="gramEnd"/>
      <w:r>
        <w:rPr>
          <w:rFonts w:ascii="Book Antiqua" w:eastAsia="Book Antiqua" w:hAnsi="Book Antiqua" w:cs="Book Antiqua"/>
          <w:color w:val="000000"/>
        </w:rPr>
        <w:t xml:space="preserve"> show enhanced cell plasticity with altered characteristics and functions when exposed to an inflammatory milieu. For instance, lymphocytes from MLNs display Th1 and Th17 characteristics in CD, while regulatory T cell (Treg)-Th17 and Th17-Th1 trans-differentiation has also been </w:t>
      </w:r>
      <w:proofErr w:type="gramStart"/>
      <w:r>
        <w:rPr>
          <w:rFonts w:ascii="Book Antiqua" w:eastAsia="Book Antiqua" w:hAnsi="Book Antiqua" w:cs="Book Antiqua"/>
          <w:color w:val="000000"/>
        </w:rPr>
        <w:t>observed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In addition, an imbalance between ILC3 and ILC1 was detected in the gut mucosa of patients with CD, and the possibility of ILC3 deviating towards ILC1 was </w:t>
      </w:r>
      <w:proofErr w:type="gramStart"/>
      <w:r>
        <w:rPr>
          <w:rFonts w:ascii="Book Antiqua" w:eastAsia="Book Antiqua" w:hAnsi="Book Antiqua" w:cs="Book Antiqua"/>
          <w:color w:val="000000"/>
        </w:rPr>
        <w:t>identified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Interestingly, monocytes can present lymphatic phenotypes and express lymphatic endothelial markers such as lymphatic vessel endothelial hyaluronan receptor 1 (LYVE-1), prospero homeobox protein 1 (Prox-1), and podoplanin in certain inflammatory </w:t>
      </w:r>
      <w:proofErr w:type="gramStart"/>
      <w:r>
        <w:rPr>
          <w:rFonts w:ascii="Book Antiqua" w:eastAsia="Book Antiqua" w:hAnsi="Book Antiqua" w:cs="Book Antiqua"/>
          <w:color w:val="000000"/>
        </w:rPr>
        <w:t>environments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Finally, macrophages play a critical role in promoting lymphangiogenesis in response to lymphatic dysfunction caused by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lymphangiogenic macrophages may differentiate into lymphatic endothelial cells (LECs) and be directly incorporated into lymphatic vessels</w:t>
      </w:r>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5BA5E61A"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lastRenderedPageBreak/>
        <w:t xml:space="preserve">Cells other than immune cells also interact with the lymphatic system and play pathological roles in CD. Platelet aggregation in lymphatic vessels may prevent blood flow. Increased platelet levels are often observed in patients with severe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suggesting that aggregation of platelets in these patients may decrease the unidirectional flow of lymph fluid. Moreover, platelets can interact with podoplanin and inhibit the proliferation of LECs, suppressing the formation of lymphatic vessels and lymphatic-venous </w:t>
      </w:r>
      <w:proofErr w:type="gramStart"/>
      <w:r>
        <w:rPr>
          <w:rFonts w:ascii="Book Antiqua" w:eastAsia="Book Antiqua" w:hAnsi="Book Antiqua" w:cs="Book Antiqua"/>
          <w:color w:val="000000"/>
        </w:rPr>
        <w:t>connections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54,55]</w:t>
      </w:r>
      <w:r>
        <w:rPr>
          <w:rFonts w:ascii="Book Antiqua" w:eastAsia="Book Antiqua" w:hAnsi="Book Antiqua" w:cs="Book Antiqua"/>
          <w:color w:val="000000"/>
        </w:rPr>
        <w:t>. Intestinal stem cells (ISCs) maintain the epithelium by replacing cells through self-</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previous study showed that depletion of ISC niche factors alters epithelial differentiation in a mouse model of CD-like </w:t>
      </w:r>
      <w:proofErr w:type="gramStart"/>
      <w:r>
        <w:rPr>
          <w:rFonts w:ascii="Book Antiqua" w:eastAsia="Book Antiqua" w:hAnsi="Book Antiqua" w:cs="Book Antiqua"/>
          <w:color w:val="000000"/>
        </w:rPr>
        <w:t>ileitis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Interestingly, crypt lymphatics act as an important source of niche factors for </w:t>
      </w:r>
      <w:proofErr w:type="gramStart"/>
      <w:r>
        <w:rPr>
          <w:rFonts w:ascii="Book Antiqua" w:eastAsia="Book Antiqua" w:hAnsi="Book Antiqua" w:cs="Book Antiqua"/>
          <w:color w:val="000000"/>
        </w:rPr>
        <w:t>ISC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consistent with the critical role of LECs in ISC homeostasis and injury-mediated regeneration</w:t>
      </w:r>
      <w:r>
        <w:rPr>
          <w:rFonts w:ascii="Book Antiqua" w:eastAsia="Book Antiqua" w:hAnsi="Book Antiqua" w:cs="Book Antiqua"/>
          <w:color w:val="000000"/>
          <w:vertAlign w:val="superscript"/>
        </w:rPr>
        <w:t>[58]</w:t>
      </w:r>
      <w:r>
        <w:rPr>
          <w:rFonts w:ascii="Book Antiqua" w:eastAsia="Book Antiqua" w:hAnsi="Book Antiqua" w:cs="Book Antiqua"/>
          <w:color w:val="000000"/>
        </w:rPr>
        <w:t>. Therefore, lymphatic dysfunction and obstruction can directly influence ISCs, leading to epithelial barrier impairment.</w:t>
      </w:r>
    </w:p>
    <w:p w14:paraId="6DAF9E1A" w14:textId="77777777" w:rsidR="005B5D0D" w:rsidRDefault="005B5D0D">
      <w:pPr>
        <w:spacing w:line="360" w:lineRule="auto"/>
        <w:jc w:val="both"/>
        <w:rPr>
          <w:rFonts w:ascii="Book Antiqua" w:eastAsia="Book Antiqua" w:hAnsi="Book Antiqua" w:cs="Book Antiqua"/>
          <w:b/>
          <w:bCs/>
          <w:color w:val="000000"/>
        </w:rPr>
      </w:pPr>
    </w:p>
    <w:p w14:paraId="06795096" w14:textId="389600F6" w:rsidR="00A77B3E" w:rsidRDefault="00CC2EF4">
      <w:pPr>
        <w:spacing w:line="360" w:lineRule="auto"/>
        <w:jc w:val="both"/>
      </w:pPr>
      <w:r>
        <w:rPr>
          <w:rFonts w:ascii="Book Antiqua" w:eastAsia="Book Antiqua" w:hAnsi="Book Antiqua" w:cs="Book Antiqua"/>
          <w:b/>
          <w:bCs/>
          <w:color w:val="000000"/>
        </w:rPr>
        <w:t xml:space="preserve">Partial overlap of lymphatic system and CD molecular mechanisms reinforces crosstalk: </w:t>
      </w:r>
      <w:r>
        <w:rPr>
          <w:rFonts w:ascii="Book Antiqua" w:eastAsia="Book Antiqua" w:hAnsi="Book Antiqua" w:cs="Book Antiqua"/>
          <w:color w:val="000000"/>
        </w:rPr>
        <w:t>Several regulatory pathways in the intestinal lymphatic system are involved in the pathogenesis of CD.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For instance, vascular endothelial growth factor (VEGF)-C-VEGF receptor (VEGFR)3 signaling is critical to maintain intestinal lymphatic function during inflammation. VEGFR3 inhibition aggravates colitis symptoms in animal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In contrast, VEGF-C has a protective function in experimental colitis, causing increased inflammatory cell mobilization and bacterial antigen clearance from the inflamed site to the draining lymph nodes by signal transducer and activator of transcription 6-dependent </w:t>
      </w:r>
      <w:proofErr w:type="gramStart"/>
      <w:r>
        <w:rPr>
          <w:rFonts w:ascii="Book Antiqua" w:eastAsia="Book Antiqua" w:hAnsi="Book Antiqua" w:cs="Book Antiqua"/>
          <w:color w:val="000000"/>
        </w:rPr>
        <w:t>macrophages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The lacteals play significant roles in dietary fat absorption and the gut immune response</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and are continuously regenerated through cell proliferation mediated by signaling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Notch and its ligand delta-like-4 (DLL4)</w:t>
      </w:r>
      <w:r>
        <w:rPr>
          <w:rFonts w:ascii="Book Antiqua" w:eastAsia="Book Antiqua" w:hAnsi="Book Antiqua" w:cs="Book Antiqua"/>
          <w:color w:val="000000"/>
          <w:vertAlign w:val="superscript"/>
        </w:rPr>
        <w:t>[12,61]</w:t>
      </w:r>
      <w:r>
        <w:rPr>
          <w:rFonts w:ascii="Book Antiqua" w:eastAsia="Book Antiqua" w:hAnsi="Book Antiqua" w:cs="Book Antiqua"/>
          <w:color w:val="000000"/>
        </w:rPr>
        <w:t xml:space="preserve">. Notably, the expression levels of Notch signaling-related genes and DLL4 were decreased in SAMP1 mice that spontaneously develop CD-like </w:t>
      </w:r>
      <w:proofErr w:type="gramStart"/>
      <w:r>
        <w:rPr>
          <w:rFonts w:ascii="Book Antiqua" w:eastAsia="Book Antiqua" w:hAnsi="Book Antiqua" w:cs="Book Antiqua"/>
          <w:color w:val="000000"/>
        </w:rPr>
        <w:t>ileitis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The VEGFR3-phosphoinositide 3-kinase (PI3K) signaling pathway is another important regulatory axis in lymphatic vasculature development, and activation of the PI3K-AKT-</w:t>
      </w:r>
      <w:r>
        <w:rPr>
          <w:rFonts w:ascii="Book Antiqua" w:eastAsia="Book Antiqua" w:hAnsi="Book Antiqua" w:cs="Book Antiqua"/>
          <w:color w:val="000000"/>
        </w:rPr>
        <w:lastRenderedPageBreak/>
        <w:t xml:space="preserve">mammalian target of rapamycin (mTOR) pathway is involved in CD </w:t>
      </w:r>
      <w:proofErr w:type="gramStart"/>
      <w:r>
        <w:rPr>
          <w:rFonts w:ascii="Book Antiqua" w:eastAsia="Book Antiqua" w:hAnsi="Book Antiqua" w:cs="Book Antiqua"/>
          <w:color w:val="000000"/>
        </w:rPr>
        <w:t>pathogenesis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The mTOR signaling pathway plays a pivotal role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and a recent study revealed its active involvement in intestinal lymphatic function through effects on leukocyte trafficking in patients with CD</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Additionally, angiopoietin-TIE signaling contributes to whole-body lymphatic vessel development and is important for mesenteric lymphatic development and </w:t>
      </w:r>
      <w:proofErr w:type="gramStart"/>
      <w:r>
        <w:rPr>
          <w:rFonts w:ascii="Book Antiqua" w:eastAsia="Book Antiqua" w:hAnsi="Book Antiqua" w:cs="Book Antiqua"/>
          <w:color w:val="000000"/>
        </w:rPr>
        <w:t>maintenance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65,66]</w:t>
      </w:r>
      <w:r>
        <w:rPr>
          <w:rFonts w:ascii="Book Antiqua" w:eastAsia="Book Antiqua" w:hAnsi="Book Antiqua" w:cs="Book Antiqua"/>
          <w:color w:val="000000"/>
        </w:rPr>
        <w:t xml:space="preserve">. Intriguingly, dysregulated angiopoietin levels have been observed in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and the targeting of this pathway with thalidomide represents a potential treatment strategy</w:t>
      </w:r>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7715357F" w14:textId="2C4210A4"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Toll-like receptor 4 (TLR4) is an important component of inflammatory signaling pathways in the GI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A previous study suggested that TLR4 expressed on enterocytes plays an important role in phagocytosis and bacterial translocation across the intestinal </w:t>
      </w:r>
      <w:proofErr w:type="gramStart"/>
      <w:r>
        <w:rPr>
          <w:rFonts w:ascii="Book Antiqua" w:eastAsia="Book Antiqua" w:hAnsi="Book Antiqua" w:cs="Book Antiqua"/>
          <w:color w:val="000000"/>
        </w:rPr>
        <w:t>barrier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TLR4 activation also mediates mesenteric lymphatic alterations in a DSS mouse model of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The major downstream component of the TLR4 signaling pathway, nuclear factor-kappa B (NF-κB), also plays a significant role in inflammation regulation, and its inappropriate activation has been described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Furthermore, NF-κB contributes to lymphatic remodeling by directly up-regulating VEGFR3 and Prox-1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Sphingosine-1-phosphate (S1P) is a pleiotropic lipid mediator that plays a significant role in inflammation by regulating lymphocyte </w:t>
      </w:r>
      <w:proofErr w:type="gramStart"/>
      <w:r>
        <w:rPr>
          <w:rFonts w:ascii="Book Antiqua" w:eastAsia="Book Antiqua" w:hAnsi="Book Antiqua" w:cs="Book Antiqua"/>
          <w:color w:val="000000"/>
        </w:rPr>
        <w:t>trafficking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The reduction of lymphocyte gut homing by S1P receptor agonists has shown profound therapeutic effects in both colitis models and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sidR="00CC2107">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77]</w:t>
      </w:r>
      <w:r>
        <w:rPr>
          <w:rFonts w:ascii="Book Antiqua" w:eastAsia="Book Antiqua" w:hAnsi="Book Antiqua" w:cs="Book Antiqua"/>
          <w:color w:val="000000"/>
        </w:rPr>
        <w:t>.</w:t>
      </w:r>
    </w:p>
    <w:p w14:paraId="03B25362"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Inflammatory cytokines produced by various cells play central roles in intestinal inflammation caused by CD and contribute to lymphatic structure dysregulation. IL-17 recruits neutrophils, thereby enhancing intestinal </w:t>
      </w:r>
      <w:proofErr w:type="gramStart"/>
      <w:r>
        <w:rPr>
          <w:rFonts w:ascii="Book Antiqua" w:eastAsia="Book Antiqua" w:hAnsi="Book Antiqua" w:cs="Book Antiqua"/>
          <w:color w:val="000000"/>
        </w:rPr>
        <w:t>permeability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TNF is a significant factor in CD and its close relationship with the lymphatic system has been demonstrated. TNF can also disrupt lymph flow and immune cell migration through impaired lymphatic valves and ileitis-associated tertiary lymphoid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The NOD2 mutation associated with CD affects IL-1β expression and processing. IL-1β stimulates lymphatic proliferation but down-regulates angiopoietin 1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contributing to the impaired integrity of, and leakage from, lymphatic vessels. Also, IL-</w:t>
      </w:r>
      <w:r>
        <w:rPr>
          <w:rFonts w:ascii="Book Antiqua" w:eastAsia="Book Antiqua" w:hAnsi="Book Antiqua" w:cs="Book Antiqua"/>
          <w:color w:val="000000"/>
        </w:rPr>
        <w:lastRenderedPageBreak/>
        <w:t xml:space="preserve">1β and IL-23 participate in ILC3-ILC1 </w:t>
      </w:r>
      <w:proofErr w:type="gramStart"/>
      <w:r>
        <w:rPr>
          <w:rFonts w:ascii="Book Antiqua" w:eastAsia="Book Antiqua" w:hAnsi="Book Antiqua" w:cs="Book Antiqua"/>
          <w:color w:val="000000"/>
        </w:rPr>
        <w:t>plasticity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IL-3 is another critical regulator of lymphatic development that controls LYVE-1 and podoplanin expression. Notably, a reduction in monocyte-derived IL-3 in the lamina propria has been observed in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IL-6, produced by monocytes, macrophages, and endothelial cells, is pivotal for intestinal inflammation in CD, as it controls the balance between pro-inflammatory T cells and </w:t>
      </w:r>
      <w:proofErr w:type="gramStart"/>
      <w:r>
        <w:rPr>
          <w:rFonts w:ascii="Book Antiqua" w:eastAsia="Book Antiqua" w:hAnsi="Book Antiqua" w:cs="Book Antiqua"/>
          <w:color w:val="000000"/>
        </w:rPr>
        <w:t>Tregs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The presence of IL-6 and/or IL-23 can stimulate the differentiation of Tregs into Th17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Prox1 is a lymphatic-specific transcription factor, and Prox1 knockout mice do not develop any lymphatic vascular structures and experience increased lymph </w:t>
      </w:r>
      <w:proofErr w:type="gramStart"/>
      <w:r>
        <w:rPr>
          <w:rFonts w:ascii="Book Antiqua" w:eastAsia="Book Antiqua" w:hAnsi="Book Antiqua" w:cs="Book Antiqua"/>
          <w:color w:val="000000"/>
        </w:rPr>
        <w:t>leakage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Decreased Prox1 Levels are associated with the postoperative recurrence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Higher levels of CCL21 and CCL19 have been detected at the site of inflammation in patients with CD; these chemokines recruit mature DCs and proliferating T cells through their ligand, </w:t>
      </w:r>
      <w:proofErr w:type="gramStart"/>
      <w:r>
        <w:rPr>
          <w:rFonts w:ascii="Book Antiqua" w:eastAsia="Book Antiqua" w:hAnsi="Book Antiqua" w:cs="Book Antiqua"/>
          <w:color w:val="000000"/>
        </w:rPr>
        <w:t>CCR7</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The chemokine decoy receptor D6 can limit inflammation by scavenging inflammatory chemokines; a significant increase in the levels of this receptor has been reported in the lymphatic vessels of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D6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have higher levels of pro-inflammatory chemokines than controls, and are more susceptible to experimental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Glucagon-like peptide 1 (GLP-1) is the classic incretin involved in glucose regulation, and its postprandial levels are higher in the gut lymph than in the </w:t>
      </w:r>
      <w:proofErr w:type="gramStart"/>
      <w:r>
        <w:rPr>
          <w:rFonts w:ascii="Book Antiqua" w:eastAsia="Book Antiqua" w:hAnsi="Book Antiqua" w:cs="Book Antiqua"/>
          <w:color w:val="000000"/>
        </w:rPr>
        <w:t>blood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Abnormal postprandial GLP-1 secretion has been observed in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w:t>
      </w:r>
    </w:p>
    <w:p w14:paraId="6B358F05" w14:textId="77777777" w:rsidR="00A77B3E" w:rsidRDefault="00A77B3E">
      <w:pPr>
        <w:spacing w:line="360" w:lineRule="auto"/>
        <w:jc w:val="both"/>
      </w:pPr>
    </w:p>
    <w:p w14:paraId="00BCAA68" w14:textId="77777777" w:rsidR="00A77B3E" w:rsidRDefault="00CC2EF4">
      <w:pPr>
        <w:spacing w:line="360" w:lineRule="auto"/>
        <w:jc w:val="both"/>
      </w:pPr>
      <w:r>
        <w:rPr>
          <w:rFonts w:ascii="Book Antiqua" w:eastAsia="Book Antiqua" w:hAnsi="Book Antiqua" w:cs="Book Antiqua"/>
          <w:b/>
          <w:bCs/>
          <w:i/>
          <w:iCs/>
          <w:color w:val="000000"/>
        </w:rPr>
        <w:t>Gut-derived fatty and bile acid metabolism mediate lymphatic dysfunction in CD</w:t>
      </w:r>
    </w:p>
    <w:p w14:paraId="60E2075C" w14:textId="77777777" w:rsidR="00A77B3E" w:rsidRDefault="00CC2EF4">
      <w:pPr>
        <w:spacing w:line="360" w:lineRule="auto"/>
        <w:jc w:val="both"/>
      </w:pPr>
      <w:r>
        <w:rPr>
          <w:rFonts w:ascii="Book Antiqua" w:eastAsia="Book Antiqua" w:hAnsi="Book Antiqua" w:cs="Book Antiqua"/>
          <w:color w:val="000000"/>
        </w:rPr>
        <w:t xml:space="preserve">The pathogenesis of CD is closely related to dysbiosis of the intestinal microbiota. Metabolomic analysis revealed that the intestinal microbiota imbalance is characterized by changes in bile and fatty acid </w:t>
      </w:r>
      <w:proofErr w:type="gramStart"/>
      <w:r>
        <w:rPr>
          <w:rFonts w:ascii="Book Antiqua" w:eastAsia="Book Antiqua" w:hAnsi="Book Antiqua" w:cs="Book Antiqua"/>
          <w:color w:val="000000"/>
        </w:rPr>
        <w:t>metabolism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Recently, bile and fatty acid dysregulation has been emphasized in CD because they are closely related to intestinal homeostasis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87,88]</w:t>
      </w:r>
      <w:r>
        <w:rPr>
          <w:rFonts w:ascii="Book Antiqua" w:eastAsia="Book Antiqua" w:hAnsi="Book Antiqua" w:cs="Book Antiqua"/>
          <w:color w:val="000000"/>
        </w:rPr>
        <w:t>. Moreover, their association with the lymphatic system has been suggested.</w:t>
      </w:r>
    </w:p>
    <w:p w14:paraId="5A413B60"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Lymphatic vessels play a significant role in lipid </w:t>
      </w:r>
      <w:proofErr w:type="gramStart"/>
      <w:r>
        <w:rPr>
          <w:rFonts w:ascii="Book Antiqua" w:eastAsia="Book Antiqua" w:hAnsi="Book Antiqua" w:cs="Book Antiqua"/>
          <w:color w:val="000000"/>
        </w:rPr>
        <w:t>absorption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and provide the main cholesterol drainage route from the interstitium</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A previous study showed that </w:t>
      </w:r>
      <w:r>
        <w:rPr>
          <w:rFonts w:ascii="Book Antiqua" w:eastAsia="Book Antiqua" w:hAnsi="Book Antiqua" w:cs="Book Antiqua"/>
          <w:color w:val="000000"/>
        </w:rPr>
        <w:lastRenderedPageBreak/>
        <w:t xml:space="preserve">cholesterol synthesis and absorption is altered by the low serum levels of total cholesterol, low-density lipoprotein cholesterol, and high-density lipoprotein (HDL) cholesterol detected in active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reflecting the impaired drainage of lymphatic vessels. HDL cholesterol exerts anti-inflammatory effects in CD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and affects LECs in the presence of pro-inflammatory cytokines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Importantly, abnormal lymphatic drainage can lead to chylomicron leakage and fat accumulation around the mesenteric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forming creeping fat, a recently recognized feature of CD. Creeping fat plays a significant role in intestinal fibrosis and stricture formation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It is also a vital target site for PBT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serving as a reservoir for pathological bacteria that results in persistent inflammation. MAT hypertrophy in patients with CD also influences lymphoid dysfunction through the activated NF-κB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 xml:space="preserve">. Additionally, the aberrant interaction of perinodal adipose tissue (PAT) and the lymphatic system might contribute to CD by reducing the polyunsaturated fatty acid supply from PAT to </w:t>
      </w:r>
      <w:proofErr w:type="gramStart"/>
      <w:r>
        <w:rPr>
          <w:rFonts w:ascii="Book Antiqua" w:eastAsia="Book Antiqua" w:hAnsi="Book Antiqua" w:cs="Book Antiqua"/>
          <w:color w:val="000000"/>
        </w:rPr>
        <w:t>MLNs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Intriguingly, adipocytes surrounding draining lymph nodes perform immunological functions after subcutaneous bacterial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w:t>
      </w:r>
      <w:r>
        <w:rPr>
          <w:rFonts w:ascii="Book Antiqua" w:eastAsia="Book Antiqua" w:hAnsi="Book Antiqua" w:cs="Book Antiqua"/>
          <w:color w:val="000000"/>
        </w:rPr>
        <w:t>.</w:t>
      </w:r>
    </w:p>
    <w:p w14:paraId="138FA6D9" w14:textId="64D1E1FD" w:rsidR="00A77B3E" w:rsidRDefault="00CC2EF4" w:rsidP="005B5D0D">
      <w:pPr>
        <w:spacing w:line="360" w:lineRule="auto"/>
        <w:ind w:firstLineChars="100" w:firstLine="240"/>
        <w:jc w:val="both"/>
      </w:pPr>
      <w:r>
        <w:rPr>
          <w:rFonts w:ascii="Book Antiqua" w:eastAsia="Book Antiqua" w:hAnsi="Book Antiqua" w:cs="Book Antiqua"/>
          <w:color w:val="000000"/>
        </w:rPr>
        <w:t>Bile acids (BAs) are primarily reabsorbed in the terminal ileum and colon, and malabsorption of BAs is a well-established characteristic of patients with CD. Further metabolomic studies have shown impaired BA metabolism in patients with CD, with an increase in primary BAs</w:t>
      </w:r>
      <w:r w:rsidR="00902A4C">
        <w:rPr>
          <w:rFonts w:ascii="Book Antiqua" w:eastAsia="Book Antiqua" w:hAnsi="Book Antiqua" w:cs="Book Antiqua"/>
          <w:color w:val="000000"/>
        </w:rPr>
        <w:t xml:space="preserve"> (PBAs)</w:t>
      </w:r>
      <w:r>
        <w:rPr>
          <w:rFonts w:ascii="Book Antiqua" w:eastAsia="Book Antiqua" w:hAnsi="Book Antiqua" w:cs="Book Antiqua"/>
          <w:color w:val="000000"/>
        </w:rPr>
        <w:t xml:space="preserve"> and a reduction in secondary BAs (SBAs). Moreover, interactions between BAs and various immune cells, including ILC3, Th17 cells, DCs, monocytes, and macrophages,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 xml:space="preserve">. For example, SBAs and their derivatives can inhibit Th17 differentiation and promote macrophage and DC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87,96]</w:t>
      </w:r>
      <w:r>
        <w:rPr>
          <w:rFonts w:ascii="Book Antiqua" w:eastAsia="Book Antiqua" w:hAnsi="Book Antiqua" w:cs="Book Antiqua"/>
          <w:color w:val="000000"/>
        </w:rPr>
        <w:t xml:space="preserve">, which ultimately suppresses gut immune responses. Intriguingly, previous studies have demonstrated that bile flow obstruction leads to mucosal injury with intestinal hyperpermeability and bacterial overgrowth, and increased bacterial translocation to </w:t>
      </w:r>
      <w:proofErr w:type="gramStart"/>
      <w:r>
        <w:rPr>
          <w:rFonts w:ascii="Book Antiqua" w:eastAsia="Book Antiqua" w:hAnsi="Book Antiqua" w:cs="Book Antiqua"/>
          <w:color w:val="000000"/>
        </w:rPr>
        <w:t>MLNs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 However, the role of the lymphatic system in BA-related CD pathogenesis requires further investigation.</w:t>
      </w:r>
    </w:p>
    <w:p w14:paraId="09008590" w14:textId="77777777" w:rsidR="00A77B3E" w:rsidRDefault="00A77B3E">
      <w:pPr>
        <w:spacing w:line="360" w:lineRule="auto"/>
        <w:jc w:val="both"/>
      </w:pPr>
    </w:p>
    <w:p w14:paraId="741097A9" w14:textId="77777777" w:rsidR="00A77B3E" w:rsidRDefault="00CC2EF4">
      <w:pPr>
        <w:spacing w:line="360" w:lineRule="auto"/>
        <w:jc w:val="both"/>
      </w:pPr>
      <w:r>
        <w:rPr>
          <w:rFonts w:ascii="Book Antiqua" w:eastAsia="Book Antiqua" w:hAnsi="Book Antiqua" w:cs="Book Antiqua"/>
          <w:b/>
          <w:bCs/>
          <w:caps/>
          <w:color w:val="000000"/>
          <w:u w:val="single"/>
        </w:rPr>
        <w:lastRenderedPageBreak/>
        <w:t>RECOGNIZING THE IMPORTANCE OF THE LYMPHATIC SYSTEM IN CD USING ZEBRAFISH AS A RESEARCH MODEL</w:t>
      </w:r>
    </w:p>
    <w:p w14:paraId="3B9730FF" w14:textId="77777777" w:rsidR="00A77B3E" w:rsidRDefault="00CC2EF4">
      <w:pPr>
        <w:spacing w:line="360" w:lineRule="auto"/>
        <w:jc w:val="both"/>
      </w:pPr>
      <w:r>
        <w:rPr>
          <w:rFonts w:ascii="Book Antiqua" w:eastAsia="Book Antiqua" w:hAnsi="Book Antiqua" w:cs="Book Antiqua"/>
          <w:color w:val="000000"/>
        </w:rPr>
        <w:t xml:space="preserve">Owing to their rapid development, transparent embryos and larvae, small size, and strong reproductive ability, zebrafish have become a popular model for studying embryonic development and human disease. Importantly, zebrafish are similar to mammals, not only in embryonic development, gene regulation networks, and organ morphology and physiology, but also in the pathological processes of many human diseases. Moreover, high-throughput genetic and drug screening can be easily performed in </w:t>
      </w:r>
      <w:proofErr w:type="gramStart"/>
      <w:r>
        <w:rPr>
          <w:rFonts w:ascii="Book Antiqua" w:eastAsia="Book Antiqua" w:hAnsi="Book Antiqua" w:cs="Book Antiqua"/>
          <w:color w:val="000000"/>
        </w:rPr>
        <w:t>zebrafish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In addition, the cellular composition and architectural organization of the intestinal tract are highly conserved between zebrafish and mammals. Similar to mammals, the enteric nervous system (ENS) of zebrafish is derived from neural crest cells and is comparable to mouse and human ENS based on gene expression and functional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Therefore, zebrafish are ideal for studying human intestinal diseases (Figure 4). </w:t>
      </w:r>
    </w:p>
    <w:p w14:paraId="323F7131"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The advantages of studying the lymphatic system in </w:t>
      </w:r>
      <w:proofErr w:type="gramStart"/>
      <w:r>
        <w:rPr>
          <w:rFonts w:ascii="Book Antiqua" w:eastAsia="Book Antiqua" w:hAnsi="Book Antiqua" w:cs="Book Antiqua"/>
          <w:color w:val="000000"/>
        </w:rPr>
        <w:t>zebrafish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Pr>
          <w:rFonts w:ascii="Book Antiqua" w:eastAsia="Book Antiqua" w:hAnsi="Book Antiqua" w:cs="Book Antiqua"/>
          <w:color w:val="000000"/>
        </w:rPr>
        <w:t xml:space="preserve"> are well recognized, and recent studies using zebrafish models have shed light on IBD and drug development</w:t>
      </w:r>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Our work on the zebrafish Feingold syndrome 1 model showed that Mycn loss-of-function leads to severe intestinal developmental defects resulting from proliferation arrest caused by abnormal ribosome biogenesis, which can be rescued through the mTOR pathway with leucine </w:t>
      </w:r>
      <w:proofErr w:type="gramStart"/>
      <w:r>
        <w:rPr>
          <w:rFonts w:ascii="Book Antiqua" w:eastAsia="Book Antiqua" w:hAnsi="Book Antiqua" w:cs="Book Antiqua"/>
          <w:color w:val="000000"/>
        </w:rPr>
        <w:t>supplementation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Similar to other vertebrates, zebrafish harbor commensal bacteria within their digestive tracts, and the use of gnotobiotic techniques allows for the study of microbial-host interactions. The importance of intestinal alkaline phosphatase in promoting mucosal tolerance to commensal bacteria by dephosphorylating and detoxifying the endotoxin component of lipopolysaccharide was first identified in a zebrafish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However, despite the accumulation of preliminary data, zebrafish have seldom been used to study CD because CD is not recognized as the intestinal manifestation of a pan-lymphatic disease. Therefore, our proposal may encourage the increased use of powerful zebrafish models for the study of CD. </w:t>
      </w:r>
    </w:p>
    <w:p w14:paraId="46E63460" w14:textId="2CFFEEE0" w:rsidR="00A77B3E" w:rsidRDefault="00CC2EF4" w:rsidP="005B5D0D">
      <w:pPr>
        <w:spacing w:line="360" w:lineRule="auto"/>
        <w:ind w:firstLineChars="100" w:firstLine="240"/>
        <w:jc w:val="both"/>
      </w:pPr>
      <w:r>
        <w:rPr>
          <w:rFonts w:ascii="Book Antiqua" w:eastAsia="Book Antiqua" w:hAnsi="Book Antiqua" w:cs="Book Antiqua"/>
          <w:color w:val="000000"/>
        </w:rPr>
        <w:lastRenderedPageBreak/>
        <w:t>A zebrafish model of IBD has been established through drug treatment and genetic modifications. Treating zebrafish embryos at 3</w:t>
      </w:r>
      <w:r w:rsidR="005B5D0D">
        <w:rPr>
          <w:rFonts w:ascii="Book Antiqua" w:eastAsia="Book Antiqua" w:hAnsi="Book Antiqua" w:cs="Book Antiqua"/>
          <w:color w:val="000000"/>
        </w:rPr>
        <w:t>-</w:t>
      </w:r>
      <w:r>
        <w:rPr>
          <w:rFonts w:ascii="Book Antiqua" w:eastAsia="Book Antiqua" w:hAnsi="Book Antiqua" w:cs="Book Antiqua"/>
          <w:color w:val="000000"/>
        </w:rPr>
        <w:t>6 d post fertilization with 2,4,6-trinitrobenzene sulfonic acid (TNBS), DSS, or nonsteroidal anti-inflammatory drugs can result in bacterial overgrowth, neutrophil infiltration into the gut, upregulation of pro-inflammatory genes, or disruption of epithelial barrier function</w:t>
      </w:r>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Zebrafish lacking macrophage-stimulating protein (MSP) develop spontaneous intestinal inflammation, which supports human genome-wide association study data showing that MSP is an IBD susceptibility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Recent research has shown that PI3K deficiency in zebrafish can induce IBD-like features with intestinal injury and inflammation, as well as the suppression of barrier-function-related IBD susceptibility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Another study showed that Trmt5-deficient zebrafish spontaneously develop an IBD-like phenotype, including epithelial destruction, goblet cell failure, and an overactive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These zebrafish IBD models not only provide a better understanding of the pathological processes involved in IBD, but also provide powerful models for screening potential drug treatments. Combining publicly available databases, zebrafish chemical screening, machine learning, and mouse preclinical models, a recent study identified environmental factors that control intestinal inflammation, and revealed that the AHR</w:t>
      </w:r>
      <w:r w:rsidR="00CC2107">
        <w:rPr>
          <w:rFonts w:ascii="Book Antiqua" w:hAnsi="Book Antiqua" w:cs="Book Antiqua" w:hint="eastAsia"/>
          <w:color w:val="000000"/>
          <w:lang w:eastAsia="zh-CN"/>
        </w:rPr>
        <w:t>-</w:t>
      </w:r>
      <w:r>
        <w:rPr>
          <w:rFonts w:ascii="Book Antiqua" w:eastAsia="Book Antiqua" w:hAnsi="Book Antiqua" w:cs="Book Antiqua"/>
          <w:color w:val="000000"/>
        </w:rPr>
        <w:t>NF-κB</w:t>
      </w:r>
      <w:r w:rsidR="00CC2107">
        <w:rPr>
          <w:rFonts w:ascii="Book Antiqua" w:hAnsi="Book Antiqua" w:cs="Book Antiqua" w:hint="eastAsia"/>
          <w:color w:val="000000"/>
          <w:lang w:eastAsia="zh-CN"/>
        </w:rPr>
        <w:t>-</w:t>
      </w:r>
      <w:r>
        <w:rPr>
          <w:rFonts w:ascii="Book Antiqua" w:eastAsia="Book Antiqua" w:hAnsi="Book Antiqua" w:cs="Book Antiqua"/>
          <w:color w:val="000000"/>
        </w:rPr>
        <w:t xml:space="preserve">C/EBPβ signaling axis in T cells and DCs promotes intestinal inflammation and can be targeted by </w:t>
      </w:r>
      <w:proofErr w:type="gramStart"/>
      <w:r>
        <w:rPr>
          <w:rFonts w:ascii="Book Antiqua" w:eastAsia="Book Antiqua" w:hAnsi="Book Antiqua" w:cs="Book Antiqua"/>
          <w:color w:val="000000"/>
        </w:rPr>
        <w:t>propyzamide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 Overall, the use of zebrafish as a model has greatly accelerated the study of intestinal diseases and the identification of potential treatment strategies.</w:t>
      </w:r>
    </w:p>
    <w:p w14:paraId="08741CF9" w14:textId="77777777" w:rsidR="00A77B3E" w:rsidRDefault="00A77B3E">
      <w:pPr>
        <w:spacing w:line="360" w:lineRule="auto"/>
        <w:jc w:val="both"/>
      </w:pPr>
    </w:p>
    <w:p w14:paraId="6988249E" w14:textId="77777777" w:rsidR="00A77B3E" w:rsidRDefault="00CC2EF4">
      <w:pPr>
        <w:spacing w:line="360" w:lineRule="auto"/>
        <w:jc w:val="both"/>
      </w:pPr>
      <w:r>
        <w:rPr>
          <w:rFonts w:ascii="Book Antiqua" w:eastAsia="Book Antiqua" w:hAnsi="Book Antiqua" w:cs="Book Antiqua"/>
          <w:b/>
          <w:bCs/>
          <w:caps/>
          <w:color w:val="000000"/>
          <w:u w:val="single"/>
        </w:rPr>
        <w:t>CLINICAL BENEFITS OF CONSIDERING CD AS THE INTESTINAL MANIFESTATION OF PAN-LYMPHATIC DYSFUNCTION</w:t>
      </w:r>
    </w:p>
    <w:p w14:paraId="26F1A907" w14:textId="2ED78E6A" w:rsidR="00A77B3E" w:rsidRDefault="00CC2EF4">
      <w:pPr>
        <w:spacing w:line="360" w:lineRule="auto"/>
        <w:jc w:val="both"/>
      </w:pPr>
      <w:r>
        <w:rPr>
          <w:rFonts w:ascii="Book Antiqua" w:eastAsia="Book Antiqua" w:hAnsi="Book Antiqua" w:cs="Book Antiqua"/>
          <w:color w:val="000000"/>
        </w:rPr>
        <w:t>The acknowledgment of CD as the intestinal manifestation of pan-lymphatic dysfunction may lead to the development of novel treatments targeting the lymphatic system. Studies targeting the lymphatic system are summarized in Tables 1 and 2</w:t>
      </w:r>
      <w:r w:rsidR="00B93178" w:rsidRPr="00B93178">
        <w:rPr>
          <w:rFonts w:ascii="Book Antiqua" w:eastAsia="Book Antiqua" w:hAnsi="Book Antiqua" w:cs="Book Antiqua"/>
          <w:color w:val="000000"/>
          <w:vertAlign w:val="superscript"/>
        </w:rPr>
        <w:t>[55</w:t>
      </w:r>
      <w:proofErr w:type="gramStart"/>
      <w:r w:rsidR="00B93178" w:rsidRPr="00B93178">
        <w:rPr>
          <w:rFonts w:ascii="Book Antiqua" w:eastAsia="Book Antiqua" w:hAnsi="Book Antiqua" w:cs="Book Antiqua"/>
          <w:color w:val="000000"/>
          <w:vertAlign w:val="superscript"/>
        </w:rPr>
        <w:t>,60,71,76,109</w:t>
      </w:r>
      <w:proofErr w:type="gramEnd"/>
      <w:r w:rsidR="00B93178" w:rsidRPr="00B93178">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Owing to the significant role of VEGFC-VEGFR3 signaling in lymphangiogenesis, VEGFC administration enhances lymphatic function and </w:t>
      </w:r>
      <w:r>
        <w:rPr>
          <w:rFonts w:ascii="Book Antiqua" w:eastAsia="Book Antiqua" w:hAnsi="Book Antiqua" w:cs="Book Antiqua"/>
          <w:color w:val="000000"/>
        </w:rPr>
        <w:lastRenderedPageBreak/>
        <w:t>ameliorates acute and chronic colitis in anim</w:t>
      </w:r>
      <w:r w:rsidRPr="00B93178">
        <w:rPr>
          <w:rFonts w:ascii="Book Antiqua" w:eastAsia="Book Antiqua" w:hAnsi="Book Antiqua" w:cs="Book Antiqua"/>
          <w:color w:val="000000"/>
        </w:rPr>
        <w:t xml:space="preserve">al </w:t>
      </w:r>
      <w:proofErr w:type="gramStart"/>
      <w:r w:rsidRPr="00B93178">
        <w:rPr>
          <w:rFonts w:ascii="Book Antiqua" w:eastAsia="Book Antiqua" w:hAnsi="Book Antiqua" w:cs="Book Antiqua"/>
          <w:color w:val="000000"/>
        </w:rPr>
        <w:t>models</w:t>
      </w:r>
      <w:r w:rsidRPr="00B93178">
        <w:rPr>
          <w:rFonts w:ascii="Book Antiqua" w:eastAsia="Book Antiqua" w:hAnsi="Book Antiqua" w:cs="Book Antiqua"/>
          <w:color w:val="000000"/>
          <w:vertAlign w:val="superscript"/>
        </w:rPr>
        <w:t>[</w:t>
      </w:r>
      <w:proofErr w:type="gramEnd"/>
      <w:r w:rsidRPr="00B93178">
        <w:rPr>
          <w:rFonts w:ascii="Book Antiqua" w:eastAsia="Book Antiqua" w:hAnsi="Book Antiqua" w:cs="Book Antiqua"/>
          <w:color w:val="000000"/>
          <w:vertAlign w:val="superscript"/>
        </w:rPr>
        <w:t>60,117]</w:t>
      </w:r>
      <w:r w:rsidRPr="00B93178">
        <w:rPr>
          <w:rFonts w:ascii="Book Antiqua" w:eastAsia="Book Antiqua" w:hAnsi="Book Antiqua" w:cs="Book Antiqua"/>
          <w:color w:val="000000"/>
        </w:rPr>
        <w:t>. Howe</w:t>
      </w:r>
      <w:r>
        <w:rPr>
          <w:rFonts w:ascii="Book Antiqua" w:eastAsia="Book Antiqua" w:hAnsi="Book Antiqua" w:cs="Book Antiqua"/>
          <w:color w:val="000000"/>
        </w:rPr>
        <w:t>ver, another study showed that Cartilage Oligomeric Matrix Protein – Angiopoietin-1</w:t>
      </w:r>
      <w:r w:rsidR="00965869">
        <w:rPr>
          <w:rFonts w:ascii="Book Antiqua" w:eastAsia="Book Antiqua" w:hAnsi="Book Antiqua" w:cs="Book Antiqua"/>
          <w:color w:val="000000"/>
        </w:rPr>
        <w:t xml:space="preserve"> (</w:t>
      </w:r>
      <w:r w:rsidR="00965869" w:rsidRPr="00965869">
        <w:rPr>
          <w:rFonts w:ascii="Book Antiqua" w:eastAsia="Book Antiqua" w:hAnsi="Book Antiqua" w:cs="Book Antiqua"/>
          <w:color w:val="000000"/>
        </w:rPr>
        <w:t>COMP-Ang1</w:t>
      </w:r>
      <w:r w:rsidR="00965869">
        <w:rPr>
          <w:rFonts w:ascii="Book Antiqua" w:eastAsia="Book Antiqua" w:hAnsi="Book Antiqua" w:cs="Book Antiqua"/>
          <w:color w:val="000000"/>
        </w:rPr>
        <w:t>)</w:t>
      </w:r>
      <w:r>
        <w:rPr>
          <w:rFonts w:ascii="Book Antiqua" w:eastAsia="Book Antiqua" w:hAnsi="Book Antiqua" w:cs="Book Antiqua"/>
          <w:color w:val="000000"/>
        </w:rPr>
        <w:t xml:space="preserve"> treatment alleviated DSS-induced colitis by diminishing inflammation-associated lymphangiogenesis and reducing macrophage infiltration, which are involved in the inhibition of VEGF-C and VEGF-D expression</w:t>
      </w:r>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Moreover, a study showed that artemisinin ameliorated inflammation-induced lymphangiogenesis through the VEGF-C/VEGFR3 pathway and reduced colitis in animal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w:t>
      </w:r>
      <w:r>
        <w:rPr>
          <w:rFonts w:ascii="Book Antiqua" w:eastAsia="Book Antiqua" w:hAnsi="Book Antiqua" w:cs="Book Antiqua"/>
          <w:color w:val="000000"/>
        </w:rPr>
        <w:t xml:space="preserve">. Therefore, the specific role of lymphangiogenesis in CD requires further investigation. Disruption of PBT is another treatment option for CD, and agents aimed at lymphocyte trafficking may have wide </w:t>
      </w:r>
      <w:proofErr w:type="gramStart"/>
      <w:r>
        <w:rPr>
          <w:rFonts w:ascii="Book Antiqua" w:eastAsia="Book Antiqua" w:hAnsi="Book Antiqua" w:cs="Book Antiqua"/>
          <w:color w:val="000000"/>
        </w:rPr>
        <w:t>applicability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Ozanimod, a new drug targeting the S1P1/5 receptor, significantly reduced the severity of colitis in mice treated with TNBS</w:t>
      </w:r>
      <w:r>
        <w:rPr>
          <w:rFonts w:ascii="Book Antiqua" w:eastAsia="Book Antiqua" w:hAnsi="Book Antiqua" w:cs="Book Antiqua"/>
          <w:color w:val="000000"/>
          <w:vertAlign w:val="superscript"/>
        </w:rPr>
        <w:t>[118]</w:t>
      </w:r>
      <w:r>
        <w:rPr>
          <w:rFonts w:ascii="Book Antiqua" w:eastAsia="Book Antiqua" w:hAnsi="Book Antiqua" w:cs="Book Antiqua"/>
          <w:color w:val="000000"/>
        </w:rPr>
        <w:t xml:space="preserve"> and also successfully completed phase 2 clinical trials in patients with IBD</w:t>
      </w:r>
      <w:r>
        <w:rPr>
          <w:rFonts w:ascii="Book Antiqua" w:eastAsia="Book Antiqua" w:hAnsi="Book Antiqua" w:cs="Book Antiqua"/>
          <w:color w:val="000000"/>
          <w:vertAlign w:val="superscript"/>
        </w:rPr>
        <w:t>[75,76]</w:t>
      </w:r>
      <w:r>
        <w:rPr>
          <w:rFonts w:ascii="Book Antiqua" w:eastAsia="Book Antiqua" w:hAnsi="Book Antiqua" w:cs="Book Antiqua"/>
          <w:color w:val="000000"/>
        </w:rPr>
        <w:t xml:space="preserve">. In addition, phase 2/3 clinical trials of etrasimod, a S1P1/4/5 receptor modulator, are underway in patients with CD (NCT04173273). Considering the concept of pan-lymphatic dysfunction, disrupting lymphocyte trafficking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S1P pathway may be crucial. TLR4 has been shown to play several roles within mesenteric lymphatic vessels, and its inhibitor C34 significantly reduced the severity of DSS-induced colitis in a mouse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In addition, a study on the bacterial FimH blocker EB8018, which can inhibit the activation of TLR4, is ongoing (NCT03709628). Furthermore, an anti-</w:t>
      </w:r>
      <w:r>
        <w:rPr>
          <w:rFonts w:ascii="Book Antiqua" w:eastAsia="Book Antiqua" w:hAnsi="Book Antiqua" w:cs="Book Antiqua"/>
          <w:i/>
          <w:iCs/>
          <w:color w:val="000000"/>
        </w:rPr>
        <w:t>Mycobacterium Avium Ssp. Paratuberculosis</w:t>
      </w:r>
      <w:r>
        <w:rPr>
          <w:rFonts w:ascii="Book Antiqua" w:eastAsia="Book Antiqua" w:hAnsi="Book Antiqua" w:cs="Book Antiqua"/>
          <w:color w:val="000000"/>
        </w:rPr>
        <w:t xml:space="preserve"> agent, RHB-104, showed a therapeutic effect in patients with CD, causing lower disease activity and reduced CD activity index scores (NCT03009396). </w:t>
      </w:r>
    </w:p>
    <w:p w14:paraId="1FEE2D0A"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Antiplatelet agents could be promising targets for CD based on the involvement of platelets in intestinal inflammation. A previous study showed that an antiplatelet antibody, a GPIb inhibitor, ameliorated DSS-induced colitis by promoting lymphangiogenesis and increasing lymphatic vessel </w:t>
      </w:r>
      <w:proofErr w:type="gramStart"/>
      <w:r>
        <w:rPr>
          <w:rFonts w:ascii="Book Antiqua" w:eastAsia="Book Antiqua" w:hAnsi="Book Antiqua" w:cs="Book Antiqua"/>
          <w:color w:val="000000"/>
        </w:rPr>
        <w:t>density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Other therapeutic agents, such as Janus kinase inhibitors, anti-adhesion molecules, and anti-IL-1β/6/23, could impact the lymphatic system. However, it remains unclear whether changes observed in the lymphatic system are the cause or result of disease improvement. As </w:t>
      </w:r>
      <w:r>
        <w:rPr>
          <w:rFonts w:ascii="Book Antiqua" w:eastAsia="Book Antiqua" w:hAnsi="Book Antiqua" w:cs="Book Antiqua"/>
          <w:color w:val="000000"/>
        </w:rPr>
        <w:lastRenderedPageBreak/>
        <w:t xml:space="preserve">MLNs are the primary site of CD pathogenesis, excision of MLNs, as well as the mesentery, has been correlated with decreased recurrence of ileocolic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t>
      </w:r>
    </w:p>
    <w:p w14:paraId="0F4294A7"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The clinical management of the long-term consequences of CD, such as intestinal fibrosis and obstruction, is challenging, and the lack of understanding of the underlying mechanisms has contributed to a shortage of effective therapies. It has been claimed that fibrosis in CD is a consequence of chronic gut edema, which may be caused by lymphatic dysfunction, as decreased lymph flow during chronic inflammation has been </w:t>
      </w:r>
      <w:proofErr w:type="gramStart"/>
      <w:r>
        <w:rPr>
          <w:rFonts w:ascii="Book Antiqua" w:eastAsia="Book Antiqua" w:hAnsi="Book Antiqua" w:cs="Book Antiqua"/>
          <w:color w:val="000000"/>
        </w:rPr>
        <w:t>observed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w:t>
      </w:r>
      <w:r>
        <w:rPr>
          <w:rFonts w:ascii="Book Antiqua" w:eastAsia="Book Antiqua" w:hAnsi="Book Antiqua" w:cs="Book Antiqua"/>
          <w:color w:val="000000"/>
        </w:rPr>
        <w:t xml:space="preserve">. Additionally, fatty acids released from creeping fat have been reported to promote muscle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indicating a potential role of creeping fat in fibrosis and obstruction in CD. Therefore, treatments targeting lymphatic dysfunction offer a viable means of managing fibrosis in patients with CD.</w:t>
      </w:r>
      <w:r>
        <w:rPr>
          <w:rFonts w:ascii="Book Antiqua" w:eastAsia="Book Antiqua" w:hAnsi="Book Antiqua" w:cs="Book Antiqua"/>
          <w:color w:val="000000"/>
          <w:szCs w:val="21"/>
        </w:rPr>
        <w:t xml:space="preserve"> </w:t>
      </w:r>
    </w:p>
    <w:p w14:paraId="084D911B" w14:textId="77777777" w:rsidR="00A77B3E" w:rsidRDefault="00A77B3E">
      <w:pPr>
        <w:spacing w:line="360" w:lineRule="auto"/>
        <w:jc w:val="both"/>
      </w:pPr>
    </w:p>
    <w:p w14:paraId="22C46265" w14:textId="77777777" w:rsidR="00A77B3E" w:rsidRDefault="00CC2EF4">
      <w:pPr>
        <w:spacing w:line="360" w:lineRule="auto"/>
        <w:jc w:val="both"/>
      </w:pPr>
      <w:r>
        <w:rPr>
          <w:rFonts w:ascii="Book Antiqua" w:eastAsia="Book Antiqua" w:hAnsi="Book Antiqua" w:cs="Book Antiqua"/>
          <w:b/>
          <w:caps/>
          <w:color w:val="000000"/>
          <w:u w:val="single"/>
        </w:rPr>
        <w:t>CONCLUSION</w:t>
      </w:r>
    </w:p>
    <w:p w14:paraId="62FF8F43" w14:textId="77777777" w:rsidR="00A77B3E" w:rsidRDefault="00CC2EF4">
      <w:pPr>
        <w:spacing w:line="360" w:lineRule="auto"/>
        <w:jc w:val="both"/>
      </w:pPr>
      <w:r>
        <w:rPr>
          <w:rFonts w:ascii="Book Antiqua" w:eastAsia="Book Antiqua" w:hAnsi="Book Antiqua" w:cs="Book Antiqua"/>
          <w:color w:val="000000"/>
        </w:rPr>
        <w:t xml:space="preserve">Based on the evidence presented above, it is reasonable to conclude that the lymphatic system plays an active role in the pathogenesis, progression, and complications of certain diseases. Intriguingly, immune-mediated inflammatory diseases, including IBD, rheumatoid arthritis, and sclerosing cholangitis, emphasize the disease-driving mechanisms and therapeutic strategies shared by these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Similarly, the concept of CD as the intestinal manifestation of pan-lymphatic dysfunction may change our understanding of disease initiation, progression, and treatment. For instance, it has been shown that increased lymphatic vessel density could occur even in non-inflamed areas. Clinical management of the extraintestinal manifestations (EIMs) of CD has long been </w:t>
      </w:r>
      <w:proofErr w:type="gramStart"/>
      <w:r>
        <w:rPr>
          <w:rFonts w:ascii="Book Antiqua" w:eastAsia="Book Antiqua" w:hAnsi="Book Antiqua" w:cs="Book Antiqua"/>
          <w:color w:val="000000"/>
        </w:rPr>
        <w:t>challenging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the concept of pan-lymphatic dysfunction may provide a new perspective on EIM formation and management. However, unresolved problems require further investigation.</w:t>
      </w:r>
    </w:p>
    <w:p w14:paraId="0127DDA0"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We propose this concept based on accumulating evidence of lymphatic system involvement in CD, including the existence of lymphatic system dysfunction, recognition of the inside-out model, disorders of immune cells, changes in cell plasticity, partial overlap of underlying mechanisms, and gut-derived fatty and bile acid </w:t>
      </w:r>
      <w:r>
        <w:rPr>
          <w:rFonts w:ascii="Book Antiqua" w:eastAsia="Book Antiqua" w:hAnsi="Book Antiqua" w:cs="Book Antiqua"/>
          <w:color w:val="000000"/>
        </w:rPr>
        <w:lastRenderedPageBreak/>
        <w:t xml:space="preserve">metabolism. This hypothesis offers a larger potential role for zebrafish as a model of CD because of the ability to study lymphatic dysfunction in this model. Importantly, the ensuing focus on improving lymphatic function may lead to the development of novel therapeutic strategies and improve the clinical management of patients with CD. </w:t>
      </w:r>
    </w:p>
    <w:p w14:paraId="716E0642" w14:textId="77777777" w:rsidR="00A77B3E" w:rsidRDefault="00A77B3E">
      <w:pPr>
        <w:spacing w:line="360" w:lineRule="auto"/>
        <w:jc w:val="both"/>
      </w:pPr>
    </w:p>
    <w:p w14:paraId="24F30897" w14:textId="77777777" w:rsidR="00A77B3E" w:rsidRDefault="00CC2EF4">
      <w:pPr>
        <w:spacing w:line="360" w:lineRule="auto"/>
        <w:jc w:val="both"/>
      </w:pPr>
      <w:r>
        <w:rPr>
          <w:rFonts w:ascii="Book Antiqua" w:eastAsia="Book Antiqua" w:hAnsi="Book Antiqua" w:cs="Book Antiqua"/>
          <w:b/>
          <w:color w:val="000000"/>
        </w:rPr>
        <w:t>REFERENCES</w:t>
      </w:r>
    </w:p>
    <w:p w14:paraId="1A9D5C8E" w14:textId="77777777" w:rsidR="00A77B3E" w:rsidRDefault="00CC2EF4">
      <w:pPr>
        <w:spacing w:line="360" w:lineRule="auto"/>
        <w:jc w:val="both"/>
      </w:pPr>
      <w:bookmarkStart w:id="181" w:name="OLE_LINK1319"/>
      <w:bookmarkStart w:id="182" w:name="OLE_LINK1320"/>
      <w:bookmarkStart w:id="183" w:name="OLE_LINK1321"/>
      <w:proofErr w:type="gramStart"/>
      <w:r>
        <w:rPr>
          <w:rFonts w:ascii="Book Antiqua" w:eastAsia="Book Antiqua" w:hAnsi="Book Antiqua" w:cs="Book Antiqua"/>
        </w:rPr>
        <w:t xml:space="preserve">1 </w:t>
      </w:r>
      <w:r>
        <w:rPr>
          <w:rFonts w:ascii="Book Antiqua" w:eastAsia="Book Antiqua" w:hAnsi="Book Antiqua" w:cs="Book Antiqua"/>
          <w:b/>
          <w:bCs/>
        </w:rPr>
        <w:t>Swartz MA</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physiology of the lymphatic system.</w:t>
      </w:r>
      <w:proofErr w:type="gramEnd"/>
      <w:r>
        <w:rPr>
          <w:rFonts w:ascii="Book Antiqua" w:eastAsia="Book Antiqua" w:hAnsi="Book Antiqua" w:cs="Book Antiqua"/>
        </w:rPr>
        <w:t xml:space="preserve"> </w:t>
      </w:r>
      <w:r>
        <w:rPr>
          <w:rFonts w:ascii="Book Antiqua" w:eastAsia="Book Antiqua" w:hAnsi="Book Antiqua" w:cs="Book Antiqua"/>
          <w:i/>
          <w:iCs/>
        </w:rPr>
        <w:t>Adv Drug Deliv Rev</w:t>
      </w:r>
      <w:r>
        <w:rPr>
          <w:rFonts w:ascii="Book Antiqua" w:eastAsia="Book Antiqua" w:hAnsi="Book Antiqua" w:cs="Book Antiqua"/>
        </w:rPr>
        <w:t xml:space="preserve"> 2001; </w:t>
      </w:r>
      <w:r>
        <w:rPr>
          <w:rFonts w:ascii="Book Antiqua" w:eastAsia="Book Antiqua" w:hAnsi="Book Antiqua" w:cs="Book Antiqua"/>
          <w:b/>
          <w:bCs/>
        </w:rPr>
        <w:t>50</w:t>
      </w:r>
      <w:r>
        <w:rPr>
          <w:rFonts w:ascii="Book Antiqua" w:eastAsia="Book Antiqua" w:hAnsi="Book Antiqua" w:cs="Book Antiqua"/>
        </w:rPr>
        <w:t>: 3-20 [PMID: 11489331 DOI: 10.1016/s0169-</w:t>
      </w:r>
      <w:proofErr w:type="gramStart"/>
      <w:r>
        <w:rPr>
          <w:rFonts w:ascii="Book Antiqua" w:eastAsia="Book Antiqua" w:hAnsi="Book Antiqua" w:cs="Book Antiqua"/>
        </w:rPr>
        <w:t>409x(</w:t>
      </w:r>
      <w:proofErr w:type="gramEnd"/>
      <w:r>
        <w:rPr>
          <w:rFonts w:ascii="Book Antiqua" w:eastAsia="Book Antiqua" w:hAnsi="Book Antiqua" w:cs="Book Antiqua"/>
        </w:rPr>
        <w:t>01)00150-8]</w:t>
      </w:r>
    </w:p>
    <w:p w14:paraId="21F462F1" w14:textId="77777777" w:rsidR="00A77B3E" w:rsidRDefault="00CC2EF4">
      <w:pPr>
        <w:spacing w:line="360" w:lineRule="auto"/>
        <w:jc w:val="both"/>
      </w:pPr>
      <w:proofErr w:type="gramStart"/>
      <w:r>
        <w:rPr>
          <w:rFonts w:ascii="Book Antiqua" w:eastAsia="Book Antiqua" w:hAnsi="Book Antiqua" w:cs="Book Antiqua"/>
        </w:rPr>
        <w:t xml:space="preserve">2 </w:t>
      </w:r>
      <w:r>
        <w:rPr>
          <w:rFonts w:ascii="Book Antiqua" w:eastAsia="Book Antiqua" w:hAnsi="Book Antiqua" w:cs="Book Antiqua"/>
          <w:b/>
          <w:bCs/>
        </w:rPr>
        <w:t>Liao S</w:t>
      </w:r>
      <w:r>
        <w:rPr>
          <w:rFonts w:ascii="Book Antiqua" w:eastAsia="Book Antiqua" w:hAnsi="Book Antiqua" w:cs="Book Antiqua"/>
        </w:rPr>
        <w:t>, von der Weid PY.</w:t>
      </w:r>
      <w:proofErr w:type="gramEnd"/>
      <w:r>
        <w:rPr>
          <w:rFonts w:ascii="Book Antiqua" w:eastAsia="Book Antiqua" w:hAnsi="Book Antiqua" w:cs="Book Antiqua"/>
        </w:rPr>
        <w:t xml:space="preserve"> </w:t>
      </w:r>
      <w:proofErr w:type="gramStart"/>
      <w:r>
        <w:rPr>
          <w:rFonts w:ascii="Book Antiqua" w:eastAsia="Book Antiqua" w:hAnsi="Book Antiqua" w:cs="Book Antiqua"/>
        </w:rPr>
        <w:t>Inflammation-induced lymphangiogenesis and lymphatic dysfunction.</w:t>
      </w:r>
      <w:proofErr w:type="gramEnd"/>
      <w:r>
        <w:rPr>
          <w:rFonts w:ascii="Book Antiqua" w:eastAsia="Book Antiqua" w:hAnsi="Book Antiqua" w:cs="Book Antiqua"/>
        </w:rPr>
        <w:t xml:space="preserve"> </w:t>
      </w:r>
      <w:r>
        <w:rPr>
          <w:rFonts w:ascii="Book Antiqua" w:eastAsia="Book Antiqua" w:hAnsi="Book Antiqua" w:cs="Book Antiqua"/>
          <w:i/>
          <w:iCs/>
        </w:rPr>
        <w:t>Angiogenesis</w:t>
      </w:r>
      <w:r>
        <w:rPr>
          <w:rFonts w:ascii="Book Antiqua" w:eastAsia="Book Antiqua" w:hAnsi="Book Antiqua" w:cs="Book Antiqua"/>
        </w:rPr>
        <w:t xml:space="preserve"> 2014; </w:t>
      </w:r>
      <w:r>
        <w:rPr>
          <w:rFonts w:ascii="Book Antiqua" w:eastAsia="Book Antiqua" w:hAnsi="Book Antiqua" w:cs="Book Antiqua"/>
          <w:b/>
          <w:bCs/>
        </w:rPr>
        <w:t>17</w:t>
      </w:r>
      <w:r>
        <w:rPr>
          <w:rFonts w:ascii="Book Antiqua" w:eastAsia="Book Antiqua" w:hAnsi="Book Antiqua" w:cs="Book Antiqua"/>
        </w:rPr>
        <w:t>: 325-334 [PMID: 24449090 DOI: 10.1007/s10456-014-9416-7]</w:t>
      </w:r>
    </w:p>
    <w:p w14:paraId="37848999" w14:textId="77777777" w:rsidR="00A77B3E" w:rsidRDefault="00CC2EF4">
      <w:pPr>
        <w:spacing w:line="360" w:lineRule="auto"/>
        <w:jc w:val="both"/>
      </w:pPr>
      <w:proofErr w:type="gramStart"/>
      <w:r>
        <w:rPr>
          <w:rFonts w:ascii="Book Antiqua" w:eastAsia="Book Antiqua" w:hAnsi="Book Antiqua" w:cs="Book Antiqua"/>
        </w:rPr>
        <w:t xml:space="preserve">3 </w:t>
      </w:r>
      <w:r>
        <w:rPr>
          <w:rFonts w:ascii="Book Antiqua" w:eastAsia="Book Antiqua" w:hAnsi="Book Antiqua" w:cs="Book Antiqua"/>
          <w:b/>
          <w:bCs/>
        </w:rPr>
        <w:t>Jiang X</w:t>
      </w:r>
      <w:r>
        <w:rPr>
          <w:rFonts w:ascii="Book Antiqua" w:eastAsia="Book Antiqua" w:hAnsi="Book Antiqua" w:cs="Book Antiqua"/>
        </w:rPr>
        <w:t>, Nicolls MR, Tian W, Rockson SG.</w:t>
      </w:r>
      <w:proofErr w:type="gramEnd"/>
      <w:r>
        <w:rPr>
          <w:rFonts w:ascii="Book Antiqua" w:eastAsia="Book Antiqua" w:hAnsi="Book Antiqua" w:cs="Book Antiqua"/>
        </w:rPr>
        <w:t xml:space="preserve"> </w:t>
      </w:r>
      <w:proofErr w:type="gramStart"/>
      <w:r>
        <w:rPr>
          <w:rFonts w:ascii="Book Antiqua" w:eastAsia="Book Antiqua" w:hAnsi="Book Antiqua" w:cs="Book Antiqua"/>
        </w:rPr>
        <w:t>Lymphatic Dysfunction, Leukotrienes, and Lymphedema.</w:t>
      </w:r>
      <w:proofErr w:type="gramEnd"/>
      <w:r>
        <w:rPr>
          <w:rFonts w:ascii="Book Antiqua" w:eastAsia="Book Antiqua" w:hAnsi="Book Antiqua" w:cs="Book Antiqua"/>
        </w:rPr>
        <w:t xml:space="preserve"> </w:t>
      </w:r>
      <w:r>
        <w:rPr>
          <w:rFonts w:ascii="Book Antiqua" w:eastAsia="Book Antiqua" w:hAnsi="Book Antiqua" w:cs="Book Antiqua"/>
          <w:i/>
          <w:iCs/>
        </w:rPr>
        <w:t>Annu Rev Physiol</w:t>
      </w:r>
      <w:r>
        <w:rPr>
          <w:rFonts w:ascii="Book Antiqua" w:eastAsia="Book Antiqua" w:hAnsi="Book Antiqua" w:cs="Book Antiqua"/>
        </w:rPr>
        <w:t xml:space="preserve"> 2018; </w:t>
      </w:r>
      <w:r>
        <w:rPr>
          <w:rFonts w:ascii="Book Antiqua" w:eastAsia="Book Antiqua" w:hAnsi="Book Antiqua" w:cs="Book Antiqua"/>
          <w:b/>
          <w:bCs/>
        </w:rPr>
        <w:t>80</w:t>
      </w:r>
      <w:r>
        <w:rPr>
          <w:rFonts w:ascii="Book Antiqua" w:eastAsia="Book Antiqua" w:hAnsi="Book Antiqua" w:cs="Book Antiqua"/>
        </w:rPr>
        <w:t>: 49-70 [PMID: 29029593 DOI: 10.1146/annurev-physiol-022516-034008]</w:t>
      </w:r>
    </w:p>
    <w:p w14:paraId="729F8872" w14:textId="77777777" w:rsidR="00A77B3E" w:rsidRDefault="00CC2EF4">
      <w:pPr>
        <w:spacing w:line="360" w:lineRule="auto"/>
        <w:jc w:val="both"/>
      </w:pPr>
      <w:proofErr w:type="gramStart"/>
      <w:r>
        <w:rPr>
          <w:rFonts w:ascii="Book Antiqua" w:eastAsia="Book Antiqua" w:hAnsi="Book Antiqua" w:cs="Book Antiqua"/>
        </w:rPr>
        <w:t xml:space="preserve">4 </w:t>
      </w:r>
      <w:r>
        <w:rPr>
          <w:rFonts w:ascii="Book Antiqua" w:eastAsia="Book Antiqua" w:hAnsi="Book Antiqua" w:cs="Book Antiqua"/>
          <w:b/>
          <w:bCs/>
        </w:rPr>
        <w:t>Hokari R</w:t>
      </w:r>
      <w:r>
        <w:rPr>
          <w:rFonts w:ascii="Book Antiqua" w:eastAsia="Book Antiqua" w:hAnsi="Book Antiqua" w:cs="Book Antiqua"/>
        </w:rPr>
        <w:t>, Tomioka A.</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role of lymphatics in intestinal inflammation.</w:t>
      </w:r>
      <w:proofErr w:type="gramEnd"/>
      <w:r>
        <w:rPr>
          <w:rFonts w:ascii="Book Antiqua" w:eastAsia="Book Antiqua" w:hAnsi="Book Antiqua" w:cs="Book Antiqua"/>
        </w:rPr>
        <w:t xml:space="preserve"> </w:t>
      </w:r>
      <w:r>
        <w:rPr>
          <w:rFonts w:ascii="Book Antiqua" w:eastAsia="Book Antiqua" w:hAnsi="Book Antiqua" w:cs="Book Antiqua"/>
          <w:i/>
          <w:iCs/>
        </w:rPr>
        <w:t>Inflamm Regen</w:t>
      </w:r>
      <w:r>
        <w:rPr>
          <w:rFonts w:ascii="Book Antiqua" w:eastAsia="Book Antiqua" w:hAnsi="Book Antiqua" w:cs="Book Antiqua"/>
        </w:rPr>
        <w:t xml:space="preserve"> 2021; </w:t>
      </w:r>
      <w:r>
        <w:rPr>
          <w:rFonts w:ascii="Book Antiqua" w:eastAsia="Book Antiqua" w:hAnsi="Book Antiqua" w:cs="Book Antiqua"/>
          <w:b/>
          <w:bCs/>
        </w:rPr>
        <w:t>41</w:t>
      </w:r>
      <w:r>
        <w:rPr>
          <w:rFonts w:ascii="Book Antiqua" w:eastAsia="Book Antiqua" w:hAnsi="Book Antiqua" w:cs="Book Antiqua"/>
        </w:rPr>
        <w:t>: 25 [PMID: 34404493 DOI: 10.1186/s41232-021-00175-6]</w:t>
      </w:r>
    </w:p>
    <w:p w14:paraId="6D4283C2" w14:textId="77777777" w:rsidR="00A77B3E" w:rsidRDefault="00CC2EF4">
      <w:pPr>
        <w:spacing w:line="360" w:lineRule="auto"/>
        <w:jc w:val="both"/>
      </w:pPr>
      <w:proofErr w:type="gramStart"/>
      <w:r>
        <w:rPr>
          <w:rFonts w:ascii="Book Antiqua" w:eastAsia="Book Antiqua" w:hAnsi="Book Antiqua" w:cs="Book Antiqua"/>
        </w:rPr>
        <w:t xml:space="preserve">5 </w:t>
      </w:r>
      <w:r>
        <w:rPr>
          <w:rFonts w:ascii="Book Antiqua" w:eastAsia="Book Antiqua" w:hAnsi="Book Antiqua" w:cs="Book Antiqua"/>
          <w:b/>
          <w:bCs/>
        </w:rPr>
        <w:t>Oliver G</w:t>
      </w:r>
      <w:r>
        <w:rPr>
          <w:rFonts w:ascii="Book Antiqua" w:eastAsia="Book Antiqua" w:hAnsi="Book Antiqua" w:cs="Book Antiqua"/>
        </w:rPr>
        <w:t>, Kipnis J, Randolph GJ, Harvey NL.</w:t>
      </w:r>
      <w:proofErr w:type="gramEnd"/>
      <w:r>
        <w:rPr>
          <w:rFonts w:ascii="Book Antiqua" w:eastAsia="Book Antiqua" w:hAnsi="Book Antiqua" w:cs="Book Antiqua"/>
        </w:rPr>
        <w:t xml:space="preserve"> The Lymphatic Vasculature in the 21(st) Century: Novel Functional Roles in Homeostasis and Disease. </w:t>
      </w:r>
      <w:r>
        <w:rPr>
          <w:rFonts w:ascii="Book Antiqua" w:eastAsia="Book Antiqua" w:hAnsi="Book Antiqua" w:cs="Book Antiqua"/>
          <w:i/>
          <w:iCs/>
        </w:rPr>
        <w:t>Cell</w:t>
      </w:r>
      <w:r>
        <w:rPr>
          <w:rFonts w:ascii="Book Antiqua" w:eastAsia="Book Antiqua" w:hAnsi="Book Antiqua" w:cs="Book Antiqua"/>
        </w:rPr>
        <w:t xml:space="preserve"> 2020; </w:t>
      </w:r>
      <w:r>
        <w:rPr>
          <w:rFonts w:ascii="Book Antiqua" w:eastAsia="Book Antiqua" w:hAnsi="Book Antiqua" w:cs="Book Antiqua"/>
          <w:b/>
          <w:bCs/>
        </w:rPr>
        <w:t>182</w:t>
      </w:r>
      <w:r>
        <w:rPr>
          <w:rFonts w:ascii="Book Antiqua" w:eastAsia="Book Antiqua" w:hAnsi="Book Antiqua" w:cs="Book Antiqua"/>
        </w:rPr>
        <w:t>: 270-296 [PMID: 32707093 DOI: 10.1016/j.cell.2020.06.039]</w:t>
      </w:r>
    </w:p>
    <w:p w14:paraId="2BC59D8B" w14:textId="77777777" w:rsidR="00A77B3E" w:rsidRDefault="00CC2EF4">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Takeda A</w:t>
      </w:r>
      <w:r>
        <w:rPr>
          <w:rFonts w:ascii="Book Antiqua" w:eastAsia="Book Antiqua" w:hAnsi="Book Antiqua" w:cs="Book Antiqua"/>
        </w:rPr>
        <w:t xml:space="preserve">, Hollmén M, Dermadi D, Pan J, Brulois KF, Kaukonen R, Lönnberg T, Boström P, Koskivuo I, Irjala H, Miyasaka M, Salmi M, Butcher EC, Jalkanen S. Single-Cell Survey of Human Lymphatics Unveils Marked Endothelial Cell Heterogeneity and Mechanisms of Homing for Neutrophils. </w:t>
      </w:r>
      <w:r>
        <w:rPr>
          <w:rFonts w:ascii="Book Antiqua" w:eastAsia="Book Antiqua" w:hAnsi="Book Antiqua" w:cs="Book Antiqua"/>
          <w:i/>
          <w:iCs/>
        </w:rPr>
        <w:t>Immunity</w:t>
      </w:r>
      <w:r>
        <w:rPr>
          <w:rFonts w:ascii="Book Antiqua" w:eastAsia="Book Antiqua" w:hAnsi="Book Antiqua" w:cs="Book Antiqua"/>
        </w:rPr>
        <w:t xml:space="preserve"> 2019; </w:t>
      </w:r>
      <w:r>
        <w:rPr>
          <w:rFonts w:ascii="Book Antiqua" w:eastAsia="Book Antiqua" w:hAnsi="Book Antiqua" w:cs="Book Antiqua"/>
          <w:b/>
          <w:bCs/>
        </w:rPr>
        <w:t>51</w:t>
      </w:r>
      <w:r>
        <w:rPr>
          <w:rFonts w:ascii="Book Antiqua" w:eastAsia="Book Antiqua" w:hAnsi="Book Antiqua" w:cs="Book Antiqua"/>
        </w:rPr>
        <w:t>: 561-572.e5 [PMID: 31402260 DOI: 10.1016/j.immuni.2019.06.027]</w:t>
      </w:r>
    </w:p>
    <w:p w14:paraId="57399EE8" w14:textId="77777777" w:rsidR="00A77B3E" w:rsidRDefault="00CC2EF4">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Nikolakis D</w:t>
      </w:r>
      <w:r>
        <w:rPr>
          <w:rFonts w:ascii="Book Antiqua" w:eastAsia="Book Antiqua" w:hAnsi="Book Antiqua" w:cs="Book Antiqua"/>
        </w:rPr>
        <w:t xml:space="preserve">, de Voogd FAE, Pruijt MJ, Grootjans J, van de Sande MG, D'Haens GR. </w:t>
      </w:r>
      <w:proofErr w:type="gramStart"/>
      <w:r>
        <w:rPr>
          <w:rFonts w:ascii="Book Antiqua" w:eastAsia="Book Antiqua" w:hAnsi="Book Antiqua" w:cs="Book Antiqua"/>
        </w:rPr>
        <w:t>The Role of the Lymphatic System in the Pathogenesis and Treatment of Inflammatory Bowel Disease.</w:t>
      </w:r>
      <w:proofErr w:type="gramEnd"/>
      <w:r>
        <w:rPr>
          <w:rFonts w:ascii="Book Antiqua" w:eastAsia="Book Antiqua" w:hAnsi="Book Antiqua" w:cs="Book Antiqua"/>
        </w:rPr>
        <w:t xml:space="preserve">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35163775 DOI: 10.3390/ijms23031854]</w:t>
      </w:r>
    </w:p>
    <w:p w14:paraId="58921A13" w14:textId="77777777" w:rsidR="00A77B3E" w:rsidRDefault="00CC2EF4">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Vetrano S</w:t>
      </w:r>
      <w:r>
        <w:rPr>
          <w:rFonts w:ascii="Book Antiqua" w:eastAsia="Book Antiqua" w:hAnsi="Book Antiqua" w:cs="Book Antiqua"/>
        </w:rPr>
        <w:t xml:space="preserve">, Borroni EM, Sarukhan A, Savino B, Bonecchi R, Correale C, Arena V, Fantini M, Roncalli M, Malesci A, Mantovani A, Locati M, Danese S. The lymphatic </w:t>
      </w:r>
      <w:r>
        <w:rPr>
          <w:rFonts w:ascii="Book Antiqua" w:eastAsia="Book Antiqua" w:hAnsi="Book Antiqua" w:cs="Book Antiqua"/>
        </w:rPr>
        <w:lastRenderedPageBreak/>
        <w:t xml:space="preserve">system controls intestinal inflammation and inflammation-associated Colon Cancer through the chemokine decoy receptor D6. </w:t>
      </w:r>
      <w:r>
        <w:rPr>
          <w:rFonts w:ascii="Book Antiqua" w:eastAsia="Book Antiqua" w:hAnsi="Book Antiqua" w:cs="Book Antiqua"/>
          <w:i/>
          <w:iCs/>
        </w:rPr>
        <w:t>Gut</w:t>
      </w:r>
      <w:r>
        <w:rPr>
          <w:rFonts w:ascii="Book Antiqua" w:eastAsia="Book Antiqua" w:hAnsi="Book Antiqua" w:cs="Book Antiqua"/>
        </w:rPr>
        <w:t xml:space="preserve"> 2010; </w:t>
      </w:r>
      <w:r>
        <w:rPr>
          <w:rFonts w:ascii="Book Antiqua" w:eastAsia="Book Antiqua" w:hAnsi="Book Antiqua" w:cs="Book Antiqua"/>
          <w:b/>
          <w:bCs/>
        </w:rPr>
        <w:t>59</w:t>
      </w:r>
      <w:r>
        <w:rPr>
          <w:rFonts w:ascii="Book Antiqua" w:eastAsia="Book Antiqua" w:hAnsi="Book Antiqua" w:cs="Book Antiqua"/>
        </w:rPr>
        <w:t>: 197-206 [PMID: 19846409 DOI: 10.1136/gut.2009.183772]</w:t>
      </w:r>
    </w:p>
    <w:p w14:paraId="77FF250A" w14:textId="77777777" w:rsidR="00A77B3E" w:rsidRDefault="00CC2EF4">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Torres J</w:t>
      </w:r>
      <w:r>
        <w:rPr>
          <w:rFonts w:ascii="Book Antiqua" w:eastAsia="Book Antiqua" w:hAnsi="Book Antiqua" w:cs="Book Antiqua"/>
        </w:rPr>
        <w:t xml:space="preserve">, Mehandru S, Colombel JF, Peyrin-Biroulet L. Crohn's disease. </w:t>
      </w:r>
      <w:r>
        <w:rPr>
          <w:rFonts w:ascii="Book Antiqua" w:eastAsia="Book Antiqua" w:hAnsi="Book Antiqua" w:cs="Book Antiqua"/>
          <w:i/>
          <w:iCs/>
        </w:rPr>
        <w:t>Lancet</w:t>
      </w:r>
      <w:r>
        <w:rPr>
          <w:rFonts w:ascii="Book Antiqua" w:eastAsia="Book Antiqua" w:hAnsi="Book Antiqua" w:cs="Book Antiqua"/>
        </w:rPr>
        <w:t xml:space="preserve"> 2017; </w:t>
      </w:r>
      <w:r>
        <w:rPr>
          <w:rFonts w:ascii="Book Antiqua" w:eastAsia="Book Antiqua" w:hAnsi="Book Antiqua" w:cs="Book Antiqua"/>
          <w:b/>
          <w:bCs/>
        </w:rPr>
        <w:t>389</w:t>
      </w:r>
      <w:r>
        <w:rPr>
          <w:rFonts w:ascii="Book Antiqua" w:eastAsia="Book Antiqua" w:hAnsi="Book Antiqua" w:cs="Book Antiqua"/>
        </w:rPr>
        <w:t>: 1741-1755 [PMID: 27914655 DOI: 10.1016/S0140-6736(16)31711-1]</w:t>
      </w:r>
    </w:p>
    <w:p w14:paraId="123CDE2E" w14:textId="77777777" w:rsidR="00A77B3E" w:rsidRDefault="00CC2EF4">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Roda G</w:t>
      </w:r>
      <w:r>
        <w:rPr>
          <w:rFonts w:ascii="Book Antiqua" w:eastAsia="Book Antiqua" w:hAnsi="Book Antiqua" w:cs="Book Antiqua"/>
        </w:rPr>
        <w:t xml:space="preserve">, Chien Ng S, Kotze PG, Argollo M, Panaccione R, Spinelli A, Kaser A, Peyrin-Biroulet L, Danese S. Crohn's disease. </w:t>
      </w:r>
      <w:r>
        <w:rPr>
          <w:rFonts w:ascii="Book Antiqua" w:eastAsia="Book Antiqua" w:hAnsi="Book Antiqua" w:cs="Book Antiqua"/>
          <w:i/>
          <w:iCs/>
        </w:rPr>
        <w:t>Nat Rev Dis Primers</w:t>
      </w:r>
      <w:r>
        <w:rPr>
          <w:rFonts w:ascii="Book Antiqua" w:eastAsia="Book Antiqua" w:hAnsi="Book Antiqua" w:cs="Book Antiqua"/>
        </w:rPr>
        <w:t xml:space="preserve"> 2020; </w:t>
      </w:r>
      <w:r>
        <w:rPr>
          <w:rFonts w:ascii="Book Antiqua" w:eastAsia="Book Antiqua" w:hAnsi="Book Antiqua" w:cs="Book Antiqua"/>
          <w:b/>
          <w:bCs/>
        </w:rPr>
        <w:t>6</w:t>
      </w:r>
      <w:r>
        <w:rPr>
          <w:rFonts w:ascii="Book Antiqua" w:eastAsia="Book Antiqua" w:hAnsi="Book Antiqua" w:cs="Book Antiqua"/>
        </w:rPr>
        <w:t>: 22 [PMID: 32242028 DOI: 10.1038/s41572-020-0156-2]</w:t>
      </w:r>
    </w:p>
    <w:p w14:paraId="442453C4" w14:textId="77777777" w:rsidR="00A77B3E" w:rsidRDefault="00CC2EF4">
      <w:pPr>
        <w:spacing w:line="360" w:lineRule="auto"/>
        <w:jc w:val="both"/>
      </w:pPr>
      <w:proofErr w:type="gramStart"/>
      <w:r>
        <w:rPr>
          <w:rFonts w:ascii="Book Antiqua" w:eastAsia="Book Antiqua" w:hAnsi="Book Antiqua" w:cs="Book Antiqua"/>
        </w:rPr>
        <w:t xml:space="preserve">11 </w:t>
      </w:r>
      <w:r>
        <w:rPr>
          <w:rFonts w:ascii="Book Antiqua" w:eastAsia="Book Antiqua" w:hAnsi="Book Antiqua" w:cs="Book Antiqua"/>
          <w:b/>
          <w:bCs/>
        </w:rPr>
        <w:t>Feuerstein JD</w:t>
      </w:r>
      <w:r>
        <w:rPr>
          <w:rFonts w:ascii="Book Antiqua" w:eastAsia="Book Antiqua" w:hAnsi="Book Antiqua" w:cs="Book Antiqua"/>
        </w:rPr>
        <w:t>, Cheifetz AS.</w:t>
      </w:r>
      <w:proofErr w:type="gramEnd"/>
      <w:r>
        <w:rPr>
          <w:rFonts w:ascii="Book Antiqua" w:eastAsia="Book Antiqua" w:hAnsi="Book Antiqua" w:cs="Book Antiqua"/>
        </w:rPr>
        <w:t xml:space="preserve"> Crohn Disease: Epidemiology, Diagnosis, and Management. </w:t>
      </w:r>
      <w:r>
        <w:rPr>
          <w:rFonts w:ascii="Book Antiqua" w:eastAsia="Book Antiqua" w:hAnsi="Book Antiqua" w:cs="Book Antiqua"/>
          <w:i/>
          <w:iCs/>
        </w:rPr>
        <w:t>Mayo Clin Proc</w:t>
      </w:r>
      <w:r>
        <w:rPr>
          <w:rFonts w:ascii="Book Antiqua" w:eastAsia="Book Antiqua" w:hAnsi="Book Antiqua" w:cs="Book Antiqua"/>
        </w:rPr>
        <w:t xml:space="preserve"> 2017; </w:t>
      </w:r>
      <w:r>
        <w:rPr>
          <w:rFonts w:ascii="Book Antiqua" w:eastAsia="Book Antiqua" w:hAnsi="Book Antiqua" w:cs="Book Antiqua"/>
          <w:b/>
          <w:bCs/>
        </w:rPr>
        <w:t>92</w:t>
      </w:r>
      <w:r>
        <w:rPr>
          <w:rFonts w:ascii="Book Antiqua" w:eastAsia="Book Antiqua" w:hAnsi="Book Antiqua" w:cs="Book Antiqua"/>
        </w:rPr>
        <w:t>: 1088-1103 [PMID: 28601423 DOI: 10.1016/j.mayocp.2017.04.010]</w:t>
      </w:r>
    </w:p>
    <w:p w14:paraId="40AE63DD" w14:textId="77777777" w:rsidR="00A77B3E" w:rsidRDefault="00CC2EF4">
      <w:pPr>
        <w:spacing w:line="360" w:lineRule="auto"/>
        <w:jc w:val="both"/>
      </w:pPr>
      <w:proofErr w:type="gramStart"/>
      <w:r>
        <w:rPr>
          <w:rFonts w:ascii="Book Antiqua" w:eastAsia="Book Antiqua" w:hAnsi="Book Antiqua" w:cs="Book Antiqua"/>
        </w:rPr>
        <w:t xml:space="preserve">12 </w:t>
      </w:r>
      <w:r>
        <w:rPr>
          <w:rFonts w:ascii="Book Antiqua" w:eastAsia="Book Antiqua" w:hAnsi="Book Antiqua" w:cs="Book Antiqua"/>
          <w:b/>
          <w:bCs/>
        </w:rPr>
        <w:t>Bernier-Latmani J</w:t>
      </w:r>
      <w:r>
        <w:rPr>
          <w:rFonts w:ascii="Book Antiqua" w:eastAsia="Book Antiqua" w:hAnsi="Book Antiqua" w:cs="Book Antiqua"/>
        </w:rPr>
        <w:t>, Petrova TV.</w:t>
      </w:r>
      <w:proofErr w:type="gramEnd"/>
      <w:r>
        <w:rPr>
          <w:rFonts w:ascii="Book Antiqua" w:eastAsia="Book Antiqua" w:hAnsi="Book Antiqua" w:cs="Book Antiqua"/>
        </w:rPr>
        <w:t xml:space="preserve"> Intestinal lymphatic vasculature: structure, mechanisms and functions. </w:t>
      </w:r>
      <w:r>
        <w:rPr>
          <w:rFonts w:ascii="Book Antiqua" w:eastAsia="Book Antiqua" w:hAnsi="Book Antiqua" w:cs="Book Antiqua"/>
          <w:i/>
          <w:iCs/>
        </w:rPr>
        <w:t>Nat Rev Gastroenterol Hepatol</w:t>
      </w:r>
      <w:r>
        <w:rPr>
          <w:rFonts w:ascii="Book Antiqua" w:eastAsia="Book Antiqua" w:hAnsi="Book Antiqua" w:cs="Book Antiqua"/>
        </w:rPr>
        <w:t xml:space="preserve"> 2017; </w:t>
      </w:r>
      <w:r>
        <w:rPr>
          <w:rFonts w:ascii="Book Antiqua" w:eastAsia="Book Antiqua" w:hAnsi="Book Antiqua" w:cs="Book Antiqua"/>
          <w:b/>
          <w:bCs/>
        </w:rPr>
        <w:t>14</w:t>
      </w:r>
      <w:r>
        <w:rPr>
          <w:rFonts w:ascii="Book Antiqua" w:eastAsia="Book Antiqua" w:hAnsi="Book Antiqua" w:cs="Book Antiqua"/>
        </w:rPr>
        <w:t>: 510-526 [PMID: 28655884 DOI: 10.1038/nrgastro.2017.79]</w:t>
      </w:r>
    </w:p>
    <w:p w14:paraId="7D39F112" w14:textId="77777777" w:rsidR="00A77B3E" w:rsidRDefault="00CC2EF4">
      <w:pPr>
        <w:spacing w:line="360" w:lineRule="auto"/>
        <w:jc w:val="both"/>
      </w:pPr>
      <w:proofErr w:type="gramStart"/>
      <w:r>
        <w:rPr>
          <w:rFonts w:ascii="Book Antiqua" w:eastAsia="Book Antiqua" w:hAnsi="Book Antiqua" w:cs="Book Antiqua"/>
        </w:rPr>
        <w:t xml:space="preserve">13 </w:t>
      </w:r>
      <w:r>
        <w:rPr>
          <w:rFonts w:ascii="Book Antiqua" w:eastAsia="Book Antiqua" w:hAnsi="Book Antiqua" w:cs="Book Antiqua"/>
          <w:b/>
          <w:bCs/>
        </w:rPr>
        <w:t>Jang JY</w:t>
      </w:r>
      <w:r>
        <w:rPr>
          <w:rFonts w:ascii="Book Antiqua" w:eastAsia="Book Antiqua" w:hAnsi="Book Antiqua" w:cs="Book Antiqua"/>
        </w:rPr>
        <w:t>, Koh YJ, Lee SH, Lee J, Kim KH, Kim D, Koh GY, Yoo OJ.</w:t>
      </w:r>
      <w:proofErr w:type="gramEnd"/>
      <w:r>
        <w:rPr>
          <w:rFonts w:ascii="Book Antiqua" w:eastAsia="Book Antiqua" w:hAnsi="Book Antiqua" w:cs="Book Antiqua"/>
        </w:rPr>
        <w:t xml:space="preserve"> Conditional ablation of LYVE-1+ cells unveils defensive roles of lymphatic vessels in intestine and lymph nodes. </w:t>
      </w:r>
      <w:r>
        <w:rPr>
          <w:rFonts w:ascii="Book Antiqua" w:eastAsia="Book Antiqua" w:hAnsi="Book Antiqua" w:cs="Book Antiqua"/>
          <w:i/>
          <w:iCs/>
        </w:rPr>
        <w:t>Blood</w:t>
      </w:r>
      <w:r>
        <w:rPr>
          <w:rFonts w:ascii="Book Antiqua" w:eastAsia="Book Antiqua" w:hAnsi="Book Antiqua" w:cs="Book Antiqua"/>
        </w:rPr>
        <w:t xml:space="preserve"> 2013; </w:t>
      </w:r>
      <w:r>
        <w:rPr>
          <w:rFonts w:ascii="Book Antiqua" w:eastAsia="Book Antiqua" w:hAnsi="Book Antiqua" w:cs="Book Antiqua"/>
          <w:b/>
          <w:bCs/>
        </w:rPr>
        <w:t>122</w:t>
      </w:r>
      <w:r>
        <w:rPr>
          <w:rFonts w:ascii="Book Antiqua" w:eastAsia="Book Antiqua" w:hAnsi="Book Antiqua" w:cs="Book Antiqua"/>
        </w:rPr>
        <w:t>: 2151-2161 [PMID: 23836558 DOI: 10.1182/blood-2013-01-478941]</w:t>
      </w:r>
    </w:p>
    <w:p w14:paraId="32E22CEF" w14:textId="77777777" w:rsidR="00A77B3E" w:rsidRDefault="00CC2EF4">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Van Kruiningen HJ</w:t>
      </w:r>
      <w:r>
        <w:rPr>
          <w:rFonts w:ascii="Book Antiqua" w:eastAsia="Book Antiqua" w:hAnsi="Book Antiqua" w:cs="Book Antiqua"/>
        </w:rPr>
        <w:t xml:space="preserve">, Colombel JF. </w:t>
      </w:r>
      <w:proofErr w:type="gramStart"/>
      <w:r>
        <w:rPr>
          <w:rFonts w:ascii="Book Antiqua" w:eastAsia="Book Antiqua" w:hAnsi="Book Antiqua" w:cs="Book Antiqua"/>
        </w:rPr>
        <w:t>The forgotten role of lymphangitis in Crohn's disease.</w:t>
      </w:r>
      <w:proofErr w:type="gramEnd"/>
      <w:r>
        <w:rPr>
          <w:rFonts w:ascii="Book Antiqua" w:eastAsia="Book Antiqua" w:hAnsi="Book Antiqua" w:cs="Book Antiqua"/>
        </w:rPr>
        <w:t xml:space="preserve"> </w:t>
      </w:r>
      <w:r>
        <w:rPr>
          <w:rFonts w:ascii="Book Antiqua" w:eastAsia="Book Antiqua" w:hAnsi="Book Antiqua" w:cs="Book Antiqua"/>
          <w:i/>
          <w:iCs/>
        </w:rPr>
        <w:t>Gut</w:t>
      </w:r>
      <w:r>
        <w:rPr>
          <w:rFonts w:ascii="Book Antiqua" w:eastAsia="Book Antiqua" w:hAnsi="Book Antiqua" w:cs="Book Antiqua"/>
        </w:rPr>
        <w:t xml:space="preserve"> 2008; </w:t>
      </w:r>
      <w:r>
        <w:rPr>
          <w:rFonts w:ascii="Book Antiqua" w:eastAsia="Book Antiqua" w:hAnsi="Book Antiqua" w:cs="Book Antiqua"/>
          <w:b/>
          <w:bCs/>
        </w:rPr>
        <w:t>57</w:t>
      </w:r>
      <w:r>
        <w:rPr>
          <w:rFonts w:ascii="Book Antiqua" w:eastAsia="Book Antiqua" w:hAnsi="Book Antiqua" w:cs="Book Antiqua"/>
        </w:rPr>
        <w:t>: 1-4 [PMID: 18094195 DOI: 10.1136/gut.2007.123166]</w:t>
      </w:r>
    </w:p>
    <w:p w14:paraId="29E2AE28" w14:textId="77777777" w:rsidR="00A77B3E" w:rsidRDefault="00CC2EF4">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Alexander JS</w:t>
      </w:r>
      <w:r>
        <w:rPr>
          <w:rFonts w:ascii="Book Antiqua" w:eastAsia="Book Antiqua" w:hAnsi="Book Antiqua" w:cs="Book Antiqua"/>
        </w:rPr>
        <w:t xml:space="preserve">, Chaitanya GV, Grisham MB, Boktor M. Emerging roles of lymphatics in inflammatory bowel disease. </w:t>
      </w:r>
      <w:r>
        <w:rPr>
          <w:rFonts w:ascii="Book Antiqua" w:eastAsia="Book Antiqua" w:hAnsi="Book Antiqua" w:cs="Book Antiqua"/>
          <w:i/>
          <w:iCs/>
        </w:rPr>
        <w:t>Ann N Y Acad Sci</w:t>
      </w:r>
      <w:r>
        <w:rPr>
          <w:rFonts w:ascii="Book Antiqua" w:eastAsia="Book Antiqua" w:hAnsi="Book Antiqua" w:cs="Book Antiqua"/>
        </w:rPr>
        <w:t xml:space="preserve"> 2010; </w:t>
      </w:r>
      <w:r>
        <w:rPr>
          <w:rFonts w:ascii="Book Antiqua" w:eastAsia="Book Antiqua" w:hAnsi="Book Antiqua" w:cs="Book Antiqua"/>
          <w:b/>
          <w:bCs/>
        </w:rPr>
        <w:t>1207 Suppl 1</w:t>
      </w:r>
      <w:r>
        <w:rPr>
          <w:rFonts w:ascii="Book Antiqua" w:eastAsia="Book Antiqua" w:hAnsi="Book Antiqua" w:cs="Book Antiqua"/>
        </w:rPr>
        <w:t>: E75-E85 [PMID: 20961310 DOI: 10.1111/j.1749-6632.2010.05757.x]</w:t>
      </w:r>
    </w:p>
    <w:p w14:paraId="78400C7E" w14:textId="77777777" w:rsidR="00A77B3E" w:rsidRDefault="00CC2EF4">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Tonelli F</w:t>
      </w:r>
      <w:r>
        <w:rPr>
          <w:rFonts w:ascii="Book Antiqua" w:eastAsia="Book Antiqua" w:hAnsi="Book Antiqua" w:cs="Book Antiqua"/>
        </w:rPr>
        <w:t xml:space="preserve">, Giudici F, Liscia G. Is lymphatic status related to regression of inflammation in Crohn's disease? </w:t>
      </w:r>
      <w:r>
        <w:rPr>
          <w:rFonts w:ascii="Book Antiqua" w:eastAsia="Book Antiqua" w:hAnsi="Book Antiqua" w:cs="Book Antiqua"/>
          <w:i/>
          <w:iCs/>
        </w:rPr>
        <w:t>World J Gastrointest Surg</w:t>
      </w:r>
      <w:r>
        <w:rPr>
          <w:rFonts w:ascii="Book Antiqua" w:eastAsia="Book Antiqua" w:hAnsi="Book Antiqua" w:cs="Book Antiqua"/>
        </w:rPr>
        <w:t xml:space="preserve"> 2012; </w:t>
      </w:r>
      <w:r>
        <w:rPr>
          <w:rFonts w:ascii="Book Antiqua" w:eastAsia="Book Antiqua" w:hAnsi="Book Antiqua" w:cs="Book Antiqua"/>
          <w:b/>
          <w:bCs/>
        </w:rPr>
        <w:t>4</w:t>
      </w:r>
      <w:r>
        <w:rPr>
          <w:rFonts w:ascii="Book Antiqua" w:eastAsia="Book Antiqua" w:hAnsi="Book Antiqua" w:cs="Book Antiqua"/>
        </w:rPr>
        <w:t>: 228-233 [PMID: 23443404 DOI: 10.4240/wjgs.v4.i10.228]</w:t>
      </w:r>
    </w:p>
    <w:p w14:paraId="4C2C476B" w14:textId="77777777" w:rsidR="00A77B3E" w:rsidRDefault="00CC2EF4">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Cui Y</w:t>
      </w:r>
      <w:r>
        <w:rPr>
          <w:rFonts w:ascii="Book Antiqua" w:eastAsia="Book Antiqua" w:hAnsi="Book Antiqua" w:cs="Book Antiqua"/>
        </w:rPr>
        <w:t xml:space="preserve">, Lu SY, Xu J, Peng YS, Miao Q, Wang XQ, Chen XY, Ran ZH. Microscopic features of small bowel mucosa of patients with Crohn's disease. </w:t>
      </w:r>
      <w:r>
        <w:rPr>
          <w:rFonts w:ascii="Book Antiqua" w:eastAsia="Book Antiqua" w:hAnsi="Book Antiqua" w:cs="Book Antiqua"/>
          <w:i/>
          <w:iCs/>
        </w:rPr>
        <w:t>BMC Gastroenterol</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232 [PMID: 31888502 DOI: 10.1186/s12876-019-1138-2]</w:t>
      </w:r>
    </w:p>
    <w:p w14:paraId="59BCA145" w14:textId="77777777" w:rsidR="00A77B3E" w:rsidRDefault="00CC2EF4">
      <w:pPr>
        <w:spacing w:line="360" w:lineRule="auto"/>
        <w:jc w:val="both"/>
      </w:pPr>
      <w:r>
        <w:rPr>
          <w:rFonts w:ascii="Book Antiqua" w:eastAsia="Book Antiqua" w:hAnsi="Book Antiqua" w:cs="Book Antiqua"/>
        </w:rPr>
        <w:lastRenderedPageBreak/>
        <w:t xml:space="preserve">18 </w:t>
      </w:r>
      <w:r>
        <w:rPr>
          <w:rFonts w:ascii="Book Antiqua" w:eastAsia="Book Antiqua" w:hAnsi="Book Antiqua" w:cs="Book Antiqua"/>
          <w:b/>
          <w:bCs/>
        </w:rPr>
        <w:t>Zhang L</w:t>
      </w:r>
      <w:r>
        <w:rPr>
          <w:rFonts w:ascii="Book Antiqua" w:eastAsia="Book Antiqua" w:hAnsi="Book Antiqua" w:cs="Book Antiqua"/>
        </w:rPr>
        <w:t xml:space="preserve">, Ocansey DKW, Liu L, Olovo CV, Zhang X, Qian H, Xu W, Mao F. Implications of lymphatic alterations in the pathogenesis and treatment of inflammatory bowel disease. </w:t>
      </w:r>
      <w:r>
        <w:rPr>
          <w:rFonts w:ascii="Book Antiqua" w:eastAsia="Book Antiqua" w:hAnsi="Book Antiqua" w:cs="Book Antiqua"/>
          <w:i/>
          <w:iCs/>
        </w:rPr>
        <w:t>Biomed Pharmacother</w:t>
      </w:r>
      <w:r>
        <w:rPr>
          <w:rFonts w:ascii="Book Antiqua" w:eastAsia="Book Antiqua" w:hAnsi="Book Antiqua" w:cs="Book Antiqua"/>
        </w:rPr>
        <w:t xml:space="preserve"> 2021; </w:t>
      </w:r>
      <w:r>
        <w:rPr>
          <w:rFonts w:ascii="Book Antiqua" w:eastAsia="Book Antiqua" w:hAnsi="Book Antiqua" w:cs="Book Antiqua"/>
          <w:b/>
          <w:bCs/>
        </w:rPr>
        <w:t>140</w:t>
      </w:r>
      <w:r>
        <w:rPr>
          <w:rFonts w:ascii="Book Antiqua" w:eastAsia="Book Antiqua" w:hAnsi="Book Antiqua" w:cs="Book Antiqua"/>
        </w:rPr>
        <w:t>: 111752 [PMID: 34044275 DOI: 10.1016/j.biopha.2021.111752]</w:t>
      </w:r>
    </w:p>
    <w:p w14:paraId="3483C642" w14:textId="77777777" w:rsidR="00A77B3E" w:rsidRDefault="00CC2EF4">
      <w:pPr>
        <w:spacing w:line="360" w:lineRule="auto"/>
        <w:jc w:val="both"/>
      </w:pPr>
      <w:proofErr w:type="gramStart"/>
      <w:r>
        <w:rPr>
          <w:rFonts w:ascii="Book Antiqua" w:eastAsia="Book Antiqua" w:hAnsi="Book Antiqua" w:cs="Book Antiqua"/>
        </w:rPr>
        <w:t xml:space="preserve">19 </w:t>
      </w:r>
      <w:r>
        <w:rPr>
          <w:rFonts w:ascii="Book Antiqua" w:eastAsia="Book Antiqua" w:hAnsi="Book Antiqua" w:cs="Book Antiqua"/>
          <w:b/>
          <w:bCs/>
        </w:rPr>
        <w:t>von der Weid PY</w:t>
      </w:r>
      <w:r>
        <w:rPr>
          <w:rFonts w:ascii="Book Antiqua" w:eastAsia="Book Antiqua" w:hAnsi="Book Antiqua" w:cs="Book Antiqua"/>
        </w:rPr>
        <w:t>, Rehal S, Ferraz JG.</w:t>
      </w:r>
      <w:proofErr w:type="gramEnd"/>
      <w:r>
        <w:rPr>
          <w:rFonts w:ascii="Book Antiqua" w:eastAsia="Book Antiqua" w:hAnsi="Book Antiqua" w:cs="Book Antiqua"/>
        </w:rPr>
        <w:t xml:space="preserve"> </w:t>
      </w:r>
      <w:proofErr w:type="gramStart"/>
      <w:r>
        <w:rPr>
          <w:rFonts w:ascii="Book Antiqua" w:eastAsia="Book Antiqua" w:hAnsi="Book Antiqua" w:cs="Book Antiqua"/>
        </w:rPr>
        <w:t>Role of the lymphatic system in the pathogenesis of Crohn's disease.</w:t>
      </w:r>
      <w:proofErr w:type="gramEnd"/>
      <w:r>
        <w:rPr>
          <w:rFonts w:ascii="Book Antiqua" w:eastAsia="Book Antiqua" w:hAnsi="Book Antiqua" w:cs="Book Antiqua"/>
        </w:rPr>
        <w:t xml:space="preserve"> </w:t>
      </w:r>
      <w:r>
        <w:rPr>
          <w:rFonts w:ascii="Book Antiqua" w:eastAsia="Book Antiqua" w:hAnsi="Book Antiqua" w:cs="Book Antiqua"/>
          <w:i/>
          <w:iCs/>
        </w:rPr>
        <w:t>Curr Opin Gastroenterol</w:t>
      </w:r>
      <w:r>
        <w:rPr>
          <w:rFonts w:ascii="Book Antiqua" w:eastAsia="Book Antiqua" w:hAnsi="Book Antiqua" w:cs="Book Antiqua"/>
        </w:rPr>
        <w:t xml:space="preserve"> 2011; </w:t>
      </w:r>
      <w:r>
        <w:rPr>
          <w:rFonts w:ascii="Book Antiqua" w:eastAsia="Book Antiqua" w:hAnsi="Book Antiqua" w:cs="Book Antiqua"/>
          <w:b/>
          <w:bCs/>
        </w:rPr>
        <w:t>27</w:t>
      </w:r>
      <w:r>
        <w:rPr>
          <w:rFonts w:ascii="Book Antiqua" w:eastAsia="Book Antiqua" w:hAnsi="Book Antiqua" w:cs="Book Antiqua"/>
        </w:rPr>
        <w:t>: 335-341 [PMID: 21543977 DOI: 10.1097/MOG.0b013e3283476e8f]</w:t>
      </w:r>
    </w:p>
    <w:p w14:paraId="3E59A4EC" w14:textId="77777777" w:rsidR="00A77B3E" w:rsidRDefault="00CC2EF4">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Caparrós E</w:t>
      </w:r>
      <w:r>
        <w:rPr>
          <w:rFonts w:ascii="Book Antiqua" w:eastAsia="Book Antiqua" w:hAnsi="Book Antiqua" w:cs="Book Antiqua"/>
        </w:rPr>
        <w:t xml:space="preserve">, Wiest R, Scharl M, Rogler G, Gutiérrez Casbas A, Yilmaz B, Wawrzyniak M, Francés R. Dysbiotic microbiota interactions in Crohn's disease. </w:t>
      </w:r>
      <w:r>
        <w:rPr>
          <w:rFonts w:ascii="Book Antiqua" w:eastAsia="Book Antiqua" w:hAnsi="Book Antiqua" w:cs="Book Antiqua"/>
          <w:i/>
          <w:iCs/>
        </w:rPr>
        <w:t>Gut Microbes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1949096 [PMID: 34313550 DOI: 10.1080/19490976.2021.1949096]</w:t>
      </w:r>
    </w:p>
    <w:p w14:paraId="1018CE80" w14:textId="77777777" w:rsidR="00A77B3E" w:rsidRDefault="00CC2EF4">
      <w:pPr>
        <w:spacing w:line="360" w:lineRule="auto"/>
        <w:jc w:val="both"/>
      </w:pPr>
      <w:proofErr w:type="gramStart"/>
      <w:r>
        <w:rPr>
          <w:rFonts w:ascii="Book Antiqua" w:eastAsia="Book Antiqua" w:hAnsi="Book Antiqua" w:cs="Book Antiqua"/>
        </w:rPr>
        <w:t xml:space="preserve">21 </w:t>
      </w:r>
      <w:r>
        <w:rPr>
          <w:rFonts w:ascii="Book Antiqua" w:eastAsia="Book Antiqua" w:hAnsi="Book Antiqua" w:cs="Book Antiqua"/>
          <w:b/>
          <w:bCs/>
        </w:rPr>
        <w:t>Sura R</w:t>
      </w:r>
      <w:proofErr w:type="gramEnd"/>
      <w:r>
        <w:rPr>
          <w:rFonts w:ascii="Book Antiqua" w:eastAsia="Book Antiqua" w:hAnsi="Book Antiqua" w:cs="Book Antiqua"/>
        </w:rPr>
        <w:t xml:space="preserve">, Colombel JF, Van Kruiningen HJ. Lymphatics, tertiary lymphoid organs and the granulomas of Crohn's disease: an immunohistochemical study. </w:t>
      </w:r>
      <w:r>
        <w:rPr>
          <w:rFonts w:ascii="Book Antiqua" w:eastAsia="Book Antiqua" w:hAnsi="Book Antiqua" w:cs="Book Antiqua"/>
          <w:i/>
          <w:iCs/>
        </w:rPr>
        <w:t>Aliment Pharmacol Ther</w:t>
      </w:r>
      <w:r>
        <w:rPr>
          <w:rFonts w:ascii="Book Antiqua" w:eastAsia="Book Antiqua" w:hAnsi="Book Antiqua" w:cs="Book Antiqua"/>
        </w:rPr>
        <w:t xml:space="preserve"> 2011; </w:t>
      </w:r>
      <w:r>
        <w:rPr>
          <w:rFonts w:ascii="Book Antiqua" w:eastAsia="Book Antiqua" w:hAnsi="Book Antiqua" w:cs="Book Antiqua"/>
          <w:b/>
          <w:bCs/>
        </w:rPr>
        <w:t>33</w:t>
      </w:r>
      <w:r>
        <w:rPr>
          <w:rFonts w:ascii="Book Antiqua" w:eastAsia="Book Antiqua" w:hAnsi="Book Antiqua" w:cs="Book Antiqua"/>
        </w:rPr>
        <w:t>: 930-939 [PMID: 21366631 DOI: 10.1111/j.1365-2036.2011.04605.x]</w:t>
      </w:r>
    </w:p>
    <w:p w14:paraId="22B6B308" w14:textId="77777777" w:rsidR="00A77B3E" w:rsidRDefault="00CC2EF4">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Li Y</w:t>
      </w:r>
      <w:r>
        <w:rPr>
          <w:rFonts w:ascii="Book Antiqua" w:eastAsia="Book Antiqua" w:hAnsi="Book Antiqua" w:cs="Book Antiqua"/>
        </w:rPr>
        <w:t xml:space="preserve">, Stocchi L, Liu X, Rui Y, Liu G, Remzi FH, Shen B. Presence of Granulomas in Mesenteric Lymph Nodes Is Associated with Postoperative Recurrence in Crohn's Disease. </w:t>
      </w:r>
      <w:r>
        <w:rPr>
          <w:rFonts w:ascii="Book Antiqua" w:eastAsia="Book Antiqua" w:hAnsi="Book Antiqua" w:cs="Book Antiqua"/>
          <w:i/>
          <w:iCs/>
        </w:rPr>
        <w:t>Inflamm Bowel Dis</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2613-2618 [PMID: 26218143 DOI: 10.1097/MIB.0000000000000541]</w:t>
      </w:r>
    </w:p>
    <w:p w14:paraId="55FF0C07" w14:textId="77777777" w:rsidR="00A77B3E" w:rsidRDefault="00CC2EF4">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Rahier JF</w:t>
      </w:r>
      <w:r>
        <w:rPr>
          <w:rFonts w:ascii="Book Antiqua" w:eastAsia="Book Antiqua" w:hAnsi="Book Antiqua" w:cs="Book Antiqua"/>
        </w:rPr>
        <w:t xml:space="preserve">, Dubuquoy L, Colombel JF, Jouret-Mourin A, Delos M, Ferrante M, Sokol H, Hertogh GD, Salleron J, Geboes K, Desreumaux P. Decreased lymphatic vessel density is associated with postoperative endoscopic recurrence in Crohn's disease. </w:t>
      </w:r>
      <w:r>
        <w:rPr>
          <w:rFonts w:ascii="Book Antiqua" w:eastAsia="Book Antiqua" w:hAnsi="Book Antiqua" w:cs="Book Antiqua"/>
          <w:i/>
          <w:iCs/>
        </w:rPr>
        <w:t>Inflamm Bowel Dis</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2084-2090 [PMID: 23851640 DOI: 10.1097/MIB.0b013e3182971cec]</w:t>
      </w:r>
    </w:p>
    <w:p w14:paraId="347D4561" w14:textId="77777777" w:rsidR="00A77B3E" w:rsidRDefault="00CC2EF4">
      <w:pPr>
        <w:spacing w:line="360" w:lineRule="auto"/>
        <w:jc w:val="both"/>
      </w:pPr>
      <w:proofErr w:type="gramStart"/>
      <w:r>
        <w:rPr>
          <w:rFonts w:ascii="Book Antiqua" w:eastAsia="Book Antiqua" w:hAnsi="Book Antiqua" w:cs="Book Antiqua"/>
        </w:rPr>
        <w:t xml:space="preserve">24 </w:t>
      </w:r>
      <w:r>
        <w:rPr>
          <w:rFonts w:ascii="Book Antiqua" w:eastAsia="Book Antiqua" w:hAnsi="Book Antiqua" w:cs="Book Antiqua"/>
          <w:b/>
          <w:bCs/>
        </w:rPr>
        <w:t>Behr MA</w:t>
      </w:r>
      <w:r>
        <w:rPr>
          <w:rFonts w:ascii="Book Antiqua" w:eastAsia="Book Antiqua" w:hAnsi="Book Antiqua" w:cs="Book Antiqua"/>
        </w:rPr>
        <w:t>.</w:t>
      </w:r>
      <w:proofErr w:type="gramEnd"/>
      <w:r>
        <w:rPr>
          <w:rFonts w:ascii="Book Antiqua" w:eastAsia="Book Antiqua" w:hAnsi="Book Antiqua" w:cs="Book Antiqua"/>
        </w:rPr>
        <w:t xml:space="preserve"> The path to Crohn's disease: is mucosal pathology a secondary event? </w:t>
      </w:r>
      <w:r>
        <w:rPr>
          <w:rFonts w:ascii="Book Antiqua" w:eastAsia="Book Antiqua" w:hAnsi="Book Antiqua" w:cs="Book Antiqua"/>
          <w:i/>
          <w:iCs/>
        </w:rPr>
        <w:t>Inflamm Bowel Dis</w:t>
      </w:r>
      <w:r>
        <w:rPr>
          <w:rFonts w:ascii="Book Antiqua" w:eastAsia="Book Antiqua" w:hAnsi="Book Antiqua" w:cs="Book Antiqua"/>
        </w:rPr>
        <w:t xml:space="preserve"> 2010; </w:t>
      </w:r>
      <w:r>
        <w:rPr>
          <w:rFonts w:ascii="Book Antiqua" w:eastAsia="Book Antiqua" w:hAnsi="Book Antiqua" w:cs="Book Antiqua"/>
          <w:b/>
          <w:bCs/>
        </w:rPr>
        <w:t>16</w:t>
      </w:r>
      <w:r>
        <w:rPr>
          <w:rFonts w:ascii="Book Antiqua" w:eastAsia="Book Antiqua" w:hAnsi="Book Antiqua" w:cs="Book Antiqua"/>
        </w:rPr>
        <w:t>: 896-902 [PMID: 19924803 DOI: 10.1002/ibd.21171]</w:t>
      </w:r>
    </w:p>
    <w:p w14:paraId="44DB761A" w14:textId="77777777" w:rsidR="00A77B3E" w:rsidRDefault="00CC2EF4">
      <w:pPr>
        <w:spacing w:line="360" w:lineRule="auto"/>
        <w:jc w:val="both"/>
      </w:pPr>
      <w:proofErr w:type="gramStart"/>
      <w:r>
        <w:rPr>
          <w:rFonts w:ascii="Book Antiqua" w:eastAsia="Book Antiqua" w:hAnsi="Book Antiqua" w:cs="Book Antiqua"/>
        </w:rPr>
        <w:t xml:space="preserve">25 </w:t>
      </w:r>
      <w:r>
        <w:rPr>
          <w:rFonts w:ascii="Book Antiqua" w:eastAsia="Book Antiqua" w:hAnsi="Book Antiqua" w:cs="Book Antiqua"/>
          <w:b/>
          <w:bCs/>
        </w:rPr>
        <w:t>Casanova JL</w:t>
      </w:r>
      <w:r>
        <w:rPr>
          <w:rFonts w:ascii="Book Antiqua" w:eastAsia="Book Antiqua" w:hAnsi="Book Antiqua" w:cs="Book Antiqua"/>
        </w:rPr>
        <w:t>, Abel L. Revisiting Crohn's disease as a primary immunodeficiency of macrophages.</w:t>
      </w:r>
      <w:proofErr w:type="gramEnd"/>
      <w:r>
        <w:rPr>
          <w:rFonts w:ascii="Book Antiqua" w:eastAsia="Book Antiqua" w:hAnsi="Book Antiqua" w:cs="Book Antiqua"/>
        </w:rPr>
        <w:t xml:space="preserve"> </w:t>
      </w:r>
      <w:r>
        <w:rPr>
          <w:rFonts w:ascii="Book Antiqua" w:eastAsia="Book Antiqua" w:hAnsi="Book Antiqua" w:cs="Book Antiqua"/>
          <w:i/>
          <w:iCs/>
        </w:rPr>
        <w:t>J Exp Med</w:t>
      </w:r>
      <w:r>
        <w:rPr>
          <w:rFonts w:ascii="Book Antiqua" w:eastAsia="Book Antiqua" w:hAnsi="Book Antiqua" w:cs="Book Antiqua"/>
        </w:rPr>
        <w:t xml:space="preserve"> 2009; </w:t>
      </w:r>
      <w:r>
        <w:rPr>
          <w:rFonts w:ascii="Book Antiqua" w:eastAsia="Book Antiqua" w:hAnsi="Book Antiqua" w:cs="Book Antiqua"/>
          <w:b/>
          <w:bCs/>
        </w:rPr>
        <w:t>206</w:t>
      </w:r>
      <w:r>
        <w:rPr>
          <w:rFonts w:ascii="Book Antiqua" w:eastAsia="Book Antiqua" w:hAnsi="Book Antiqua" w:cs="Book Antiqua"/>
        </w:rPr>
        <w:t>: 1839-1843 [PMID: 19687225 DOI: 10.1084/jem.20091683]</w:t>
      </w:r>
    </w:p>
    <w:p w14:paraId="324E9172" w14:textId="77777777" w:rsidR="00A77B3E" w:rsidRDefault="00CC2EF4">
      <w:pPr>
        <w:spacing w:line="360" w:lineRule="auto"/>
        <w:jc w:val="both"/>
      </w:pPr>
      <w:r>
        <w:rPr>
          <w:rFonts w:ascii="Book Antiqua" w:eastAsia="Book Antiqua" w:hAnsi="Book Antiqua" w:cs="Book Antiqua"/>
        </w:rPr>
        <w:lastRenderedPageBreak/>
        <w:t xml:space="preserve">26 </w:t>
      </w:r>
      <w:r>
        <w:rPr>
          <w:rFonts w:ascii="Book Antiqua" w:eastAsia="Book Antiqua" w:hAnsi="Book Antiqua" w:cs="Book Antiqua"/>
          <w:b/>
          <w:bCs/>
        </w:rPr>
        <w:t>Ventham NT</w:t>
      </w:r>
      <w:r>
        <w:rPr>
          <w:rFonts w:ascii="Book Antiqua" w:eastAsia="Book Antiqua" w:hAnsi="Book Antiqua" w:cs="Book Antiqua"/>
        </w:rPr>
        <w:t xml:space="preserve">, Kennedy NA, Nimmo ER, Satsangi J. Beyond gene discovery in inflammatory bowel disease: the emerging role of epigenetics. </w:t>
      </w:r>
      <w:r>
        <w:rPr>
          <w:rFonts w:ascii="Book Antiqua" w:eastAsia="Book Antiqua" w:hAnsi="Book Antiqua" w:cs="Book Antiqua"/>
          <w:i/>
          <w:iCs/>
        </w:rPr>
        <w:t>Gastroenterology</w:t>
      </w:r>
      <w:r>
        <w:rPr>
          <w:rFonts w:ascii="Book Antiqua" w:eastAsia="Book Antiqua" w:hAnsi="Book Antiqua" w:cs="Book Antiqua"/>
        </w:rPr>
        <w:t xml:space="preserve"> 2013; </w:t>
      </w:r>
      <w:r>
        <w:rPr>
          <w:rFonts w:ascii="Book Antiqua" w:eastAsia="Book Antiqua" w:hAnsi="Book Antiqua" w:cs="Book Antiqua"/>
          <w:b/>
          <w:bCs/>
        </w:rPr>
        <w:t>145</w:t>
      </w:r>
      <w:r>
        <w:rPr>
          <w:rFonts w:ascii="Book Antiqua" w:eastAsia="Book Antiqua" w:hAnsi="Book Antiqua" w:cs="Book Antiqua"/>
        </w:rPr>
        <w:t>: 293-308 [PMID: 23751777 DOI: 10.1053/j.gastro.2013.05.050]</w:t>
      </w:r>
    </w:p>
    <w:p w14:paraId="0B2E9FA1" w14:textId="77777777" w:rsidR="00A77B3E" w:rsidRDefault="00CC2EF4">
      <w:pPr>
        <w:spacing w:line="360" w:lineRule="auto"/>
        <w:jc w:val="both"/>
      </w:pPr>
      <w:proofErr w:type="gramStart"/>
      <w:r>
        <w:rPr>
          <w:rFonts w:ascii="Book Antiqua" w:eastAsia="Book Antiqua" w:hAnsi="Book Antiqua" w:cs="Book Antiqua"/>
        </w:rPr>
        <w:t xml:space="preserve">27 </w:t>
      </w:r>
      <w:r>
        <w:rPr>
          <w:rFonts w:ascii="Book Antiqua" w:eastAsia="Book Antiqua" w:hAnsi="Book Antiqua" w:cs="Book Antiqua"/>
          <w:b/>
          <w:bCs/>
        </w:rPr>
        <w:t>Kiernan MG</w:t>
      </w:r>
      <w:r>
        <w:rPr>
          <w:rFonts w:ascii="Book Antiqua" w:eastAsia="Book Antiqua" w:hAnsi="Book Antiqua" w:cs="Book Antiqua"/>
        </w:rPr>
        <w:t>, Coffey JC, McDermott K, Cotter PD, Cabrera-Rubio R, Kiely PA, Dunne CP.</w:t>
      </w:r>
      <w:proofErr w:type="gramEnd"/>
      <w:r>
        <w:rPr>
          <w:rFonts w:ascii="Book Antiqua" w:eastAsia="Book Antiqua" w:hAnsi="Book Antiqua" w:cs="Book Antiqua"/>
        </w:rPr>
        <w:t xml:space="preserve"> The Human Mesenteric Lymph Node Microbiome Differentiates Between Crohn's Disease and Ulcerative Colitis. </w:t>
      </w:r>
      <w:r>
        <w:rPr>
          <w:rFonts w:ascii="Book Antiqua" w:eastAsia="Book Antiqua" w:hAnsi="Book Antiqua" w:cs="Book Antiqua"/>
          <w:i/>
          <w:iCs/>
        </w:rPr>
        <w:t>J Crohns Colitis</w:t>
      </w:r>
      <w:r>
        <w:rPr>
          <w:rFonts w:ascii="Book Antiqua" w:eastAsia="Book Antiqua" w:hAnsi="Book Antiqua" w:cs="Book Antiqua"/>
        </w:rPr>
        <w:t xml:space="preserve"> 2019; </w:t>
      </w:r>
      <w:r>
        <w:rPr>
          <w:rFonts w:ascii="Book Antiqua" w:eastAsia="Book Antiqua" w:hAnsi="Book Antiqua" w:cs="Book Antiqua"/>
          <w:b/>
          <w:bCs/>
        </w:rPr>
        <w:t>13</w:t>
      </w:r>
      <w:r>
        <w:rPr>
          <w:rFonts w:ascii="Book Antiqua" w:eastAsia="Book Antiqua" w:hAnsi="Book Antiqua" w:cs="Book Antiqua"/>
        </w:rPr>
        <w:t>: 58-66 [PMID: 30239655 DOI: 10.1093/ecco-jcc/jjy136]</w:t>
      </w:r>
    </w:p>
    <w:p w14:paraId="16AE9578" w14:textId="77777777" w:rsidR="00A77B3E" w:rsidRDefault="00CC2EF4">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Barthel M</w:t>
      </w:r>
      <w:r>
        <w:rPr>
          <w:rFonts w:ascii="Book Antiqua" w:eastAsia="Book Antiqua" w:hAnsi="Book Antiqua" w:cs="Book Antiqua"/>
        </w:rPr>
        <w:t xml:space="preserve">, Hapfelmeier S, Quintanilla-Martínez L, Kremer M, Rohde M, Hogardt M, Pfeffer K, Rüssmann H, Hardt WD. Pretreatment of mice with streptomycin provides a Salmonella enterica serovar Typhimurium colitis model that allows analysis of both pathogen and host. </w:t>
      </w:r>
      <w:r>
        <w:rPr>
          <w:rFonts w:ascii="Book Antiqua" w:eastAsia="Book Antiqua" w:hAnsi="Book Antiqua" w:cs="Book Antiqua"/>
          <w:i/>
          <w:iCs/>
        </w:rPr>
        <w:t>Infect Immun</w:t>
      </w:r>
      <w:r>
        <w:rPr>
          <w:rFonts w:ascii="Book Antiqua" w:eastAsia="Book Antiqua" w:hAnsi="Book Antiqua" w:cs="Book Antiqua"/>
        </w:rPr>
        <w:t xml:space="preserve"> 2003; </w:t>
      </w:r>
      <w:r>
        <w:rPr>
          <w:rFonts w:ascii="Book Antiqua" w:eastAsia="Book Antiqua" w:hAnsi="Book Antiqua" w:cs="Book Antiqua"/>
          <w:b/>
          <w:bCs/>
        </w:rPr>
        <w:t>71</w:t>
      </w:r>
      <w:r>
        <w:rPr>
          <w:rFonts w:ascii="Book Antiqua" w:eastAsia="Book Antiqua" w:hAnsi="Book Antiqua" w:cs="Book Antiqua"/>
        </w:rPr>
        <w:t>: 2839-2858 [PMID: 12704158 DOI: 10.1128/IAI.71.5.2839-2858.2003]</w:t>
      </w:r>
    </w:p>
    <w:p w14:paraId="42A8D5FD" w14:textId="77777777" w:rsidR="00A77B3E" w:rsidRDefault="00CC2EF4">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Glasser AL</w:t>
      </w:r>
      <w:r>
        <w:rPr>
          <w:rFonts w:ascii="Book Antiqua" w:eastAsia="Book Antiqua" w:hAnsi="Book Antiqua" w:cs="Book Antiqua"/>
        </w:rPr>
        <w:t xml:space="preserve">, Boudeau J, Barnich N, Perruchot MH, Colombel JF, Darfeuille-Michaud A. Adherent invasive Escherichia coli strains from patients with Crohn's disease survive and replicate within macrophages without inducing host cell death. </w:t>
      </w:r>
      <w:r>
        <w:rPr>
          <w:rFonts w:ascii="Book Antiqua" w:eastAsia="Book Antiqua" w:hAnsi="Book Antiqua" w:cs="Book Antiqua"/>
          <w:i/>
          <w:iCs/>
        </w:rPr>
        <w:t>Infect Immun</w:t>
      </w:r>
      <w:r>
        <w:rPr>
          <w:rFonts w:ascii="Book Antiqua" w:eastAsia="Book Antiqua" w:hAnsi="Book Antiqua" w:cs="Book Antiqua"/>
        </w:rPr>
        <w:t xml:space="preserve"> 2001; </w:t>
      </w:r>
      <w:r>
        <w:rPr>
          <w:rFonts w:ascii="Book Antiqua" w:eastAsia="Book Antiqua" w:hAnsi="Book Antiqua" w:cs="Book Antiqua"/>
          <w:b/>
          <w:bCs/>
        </w:rPr>
        <w:t>69</w:t>
      </w:r>
      <w:r>
        <w:rPr>
          <w:rFonts w:ascii="Book Antiqua" w:eastAsia="Book Antiqua" w:hAnsi="Book Antiqua" w:cs="Book Antiqua"/>
        </w:rPr>
        <w:t>: 5529-5537 [PMID: 11500426 DOI: 10.1128/IAI.69.9.5529-5537.2001]</w:t>
      </w:r>
    </w:p>
    <w:p w14:paraId="622629FE" w14:textId="77777777" w:rsidR="00A77B3E" w:rsidRDefault="00CC2EF4">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O'Brien CL</w:t>
      </w:r>
      <w:r>
        <w:rPr>
          <w:rFonts w:ascii="Book Antiqua" w:eastAsia="Book Antiqua" w:hAnsi="Book Antiqua" w:cs="Book Antiqua"/>
        </w:rPr>
        <w:t xml:space="preserve">, Pavli P, Gordon DM, Allison GE. </w:t>
      </w:r>
      <w:proofErr w:type="gramStart"/>
      <w:r>
        <w:rPr>
          <w:rFonts w:ascii="Book Antiqua" w:eastAsia="Book Antiqua" w:hAnsi="Book Antiqua" w:cs="Book Antiqua"/>
        </w:rPr>
        <w:t>Detection of bacterial DNA in lymph nodes of Crohn's disease patients using high throughput sequencing.</w:t>
      </w:r>
      <w:proofErr w:type="gramEnd"/>
      <w:r>
        <w:rPr>
          <w:rFonts w:ascii="Book Antiqua" w:eastAsia="Book Antiqua" w:hAnsi="Book Antiqua" w:cs="Book Antiqua"/>
        </w:rPr>
        <w:t xml:space="preserve"> </w:t>
      </w:r>
      <w:r>
        <w:rPr>
          <w:rFonts w:ascii="Book Antiqua" w:eastAsia="Book Antiqua" w:hAnsi="Book Antiqua" w:cs="Book Antiqua"/>
          <w:i/>
          <w:iCs/>
        </w:rPr>
        <w:t>Gut</w:t>
      </w:r>
      <w:r>
        <w:rPr>
          <w:rFonts w:ascii="Book Antiqua" w:eastAsia="Book Antiqua" w:hAnsi="Book Antiqua" w:cs="Book Antiqua"/>
        </w:rPr>
        <w:t xml:space="preserve"> 2014; </w:t>
      </w:r>
      <w:r>
        <w:rPr>
          <w:rFonts w:ascii="Book Antiqua" w:eastAsia="Book Antiqua" w:hAnsi="Book Antiqua" w:cs="Book Antiqua"/>
          <w:b/>
          <w:bCs/>
        </w:rPr>
        <w:t>63</w:t>
      </w:r>
      <w:r>
        <w:rPr>
          <w:rFonts w:ascii="Book Antiqua" w:eastAsia="Book Antiqua" w:hAnsi="Book Antiqua" w:cs="Book Antiqua"/>
        </w:rPr>
        <w:t>: 1596-1606 [PMID: 24429583 DOI: 10.1136/gutjnl-2013-305320]</w:t>
      </w:r>
    </w:p>
    <w:p w14:paraId="6D25E25E" w14:textId="77777777" w:rsidR="00A77B3E" w:rsidRDefault="00CC2EF4">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Fonseca DM</w:t>
      </w:r>
      <w:r>
        <w:rPr>
          <w:rFonts w:ascii="Book Antiqua" w:eastAsia="Book Antiqua" w:hAnsi="Book Antiqua" w:cs="Book Antiqua"/>
        </w:rPr>
        <w:t xml:space="preserve">, Hand TW, Han SJ, Gerner MY, Glatman Zaretsky A, Byrd AL, Harrison OJ, Ortiz AM, Quinones M, Trinchieri G, Brenchley JM, Brodsky IE, Germain RN, Randolph GJ, Belkaid Y. Microbiota-Dependent Sequelae of Acute Infection Compromise Tissue-Specific Immunity. </w:t>
      </w:r>
      <w:r>
        <w:rPr>
          <w:rFonts w:ascii="Book Antiqua" w:eastAsia="Book Antiqua" w:hAnsi="Book Antiqua" w:cs="Book Antiqua"/>
          <w:i/>
          <w:iCs/>
        </w:rPr>
        <w:t>Cell</w:t>
      </w:r>
      <w:r>
        <w:rPr>
          <w:rFonts w:ascii="Book Antiqua" w:eastAsia="Book Antiqua" w:hAnsi="Book Antiqua" w:cs="Book Antiqua"/>
        </w:rPr>
        <w:t xml:space="preserve"> 2015; </w:t>
      </w:r>
      <w:r>
        <w:rPr>
          <w:rFonts w:ascii="Book Antiqua" w:eastAsia="Book Antiqua" w:hAnsi="Book Antiqua" w:cs="Book Antiqua"/>
          <w:b/>
          <w:bCs/>
        </w:rPr>
        <w:t>163</w:t>
      </w:r>
      <w:r>
        <w:rPr>
          <w:rFonts w:ascii="Book Antiqua" w:eastAsia="Book Antiqua" w:hAnsi="Book Antiqua" w:cs="Book Antiqua"/>
        </w:rPr>
        <w:t>: 354-366 [PMID: 26451485 DOI: 10.1016/j.cell.2015.08.030]</w:t>
      </w:r>
    </w:p>
    <w:p w14:paraId="616A1BF8" w14:textId="21185F19" w:rsidR="00A77B3E" w:rsidRDefault="00CC2EF4">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Diehl GE</w:t>
      </w:r>
      <w:r w:rsidRPr="005B5D0D">
        <w:rPr>
          <w:rFonts w:ascii="Book Antiqua" w:eastAsia="Book Antiqua" w:hAnsi="Book Antiqua" w:cs="Book Antiqua"/>
        </w:rPr>
        <w:t xml:space="preserve">, </w:t>
      </w:r>
      <w:r>
        <w:rPr>
          <w:rFonts w:ascii="Book Antiqua" w:eastAsia="Book Antiqua" w:hAnsi="Book Antiqua" w:cs="Book Antiqua"/>
        </w:rPr>
        <w:t xml:space="preserve">Longman RS, Zhang JX, Breart B, Galan C, Cuesta A, Schwab SR, Littman DR. Microbiota restricts trafficking of bacteria to mesenteric lymph nodes by CX(3)CR1(hi) cells. </w:t>
      </w:r>
      <w:r w:rsidRPr="005B5D0D">
        <w:rPr>
          <w:rFonts w:ascii="Book Antiqua" w:eastAsia="Book Antiqua" w:hAnsi="Book Antiqua" w:cs="Book Antiqua"/>
          <w:i/>
          <w:iCs/>
        </w:rPr>
        <w:t>Nature</w:t>
      </w:r>
      <w:r>
        <w:rPr>
          <w:rFonts w:ascii="Book Antiqua" w:eastAsia="Book Antiqua" w:hAnsi="Book Antiqua" w:cs="Book Antiqua"/>
        </w:rPr>
        <w:t xml:space="preserve"> 2013; </w:t>
      </w:r>
      <w:r w:rsidRPr="005B5D0D">
        <w:rPr>
          <w:rFonts w:ascii="Book Antiqua" w:eastAsia="Book Antiqua" w:hAnsi="Book Antiqua" w:cs="Book Antiqua"/>
          <w:b/>
          <w:bCs/>
        </w:rPr>
        <w:t>494</w:t>
      </w:r>
      <w:r>
        <w:rPr>
          <w:rFonts w:ascii="Book Antiqua" w:eastAsia="Book Antiqua" w:hAnsi="Book Antiqua" w:cs="Book Antiqua"/>
        </w:rPr>
        <w:t>: 116-120 [</w:t>
      </w:r>
      <w:r w:rsidR="005B5D0D" w:rsidRPr="005B5D0D">
        <w:rPr>
          <w:rFonts w:ascii="Book Antiqua" w:eastAsia="Book Antiqua" w:hAnsi="Book Antiqua" w:cs="Book Antiqua"/>
        </w:rPr>
        <w:t>PMID: 23334413</w:t>
      </w:r>
      <w:r>
        <w:rPr>
          <w:rFonts w:ascii="Book Antiqua" w:eastAsia="Book Antiqua" w:hAnsi="Book Antiqua" w:cs="Book Antiqua"/>
        </w:rPr>
        <w:t xml:space="preserve"> DOI: 10.1038/nature11809]</w:t>
      </w:r>
    </w:p>
    <w:p w14:paraId="3EBFE19E" w14:textId="77777777" w:rsidR="00A77B3E" w:rsidRDefault="00CC2EF4">
      <w:pPr>
        <w:spacing w:line="360" w:lineRule="auto"/>
        <w:jc w:val="both"/>
      </w:pPr>
      <w:r>
        <w:rPr>
          <w:rFonts w:ascii="Book Antiqua" w:eastAsia="Book Antiqua" w:hAnsi="Book Antiqua" w:cs="Book Antiqua"/>
        </w:rPr>
        <w:lastRenderedPageBreak/>
        <w:t xml:space="preserve">33 </w:t>
      </w:r>
      <w:r>
        <w:rPr>
          <w:rFonts w:ascii="Book Antiqua" w:eastAsia="Book Antiqua" w:hAnsi="Book Antiqua" w:cs="Book Antiqua"/>
          <w:b/>
          <w:bCs/>
        </w:rPr>
        <w:t>Peyrin-Biroulet L</w:t>
      </w:r>
      <w:r>
        <w:rPr>
          <w:rFonts w:ascii="Book Antiqua" w:eastAsia="Book Antiqua" w:hAnsi="Book Antiqua" w:cs="Book Antiqua"/>
        </w:rPr>
        <w:t xml:space="preserve">, Gonzalez F, Dubuquoy L, Rousseaux C, Dubuquoy C, Decourcelle C, Saudemont A, Tachon M, Béclin E, Odou MF, Neut C, Colombel JF, Desreumaux P. Mesenteric fat as a source of C reactive protein and as a target for bacterial translocation in Crohn's disease. </w:t>
      </w:r>
      <w:r>
        <w:rPr>
          <w:rFonts w:ascii="Book Antiqua" w:eastAsia="Book Antiqua" w:hAnsi="Book Antiqua" w:cs="Book Antiqua"/>
          <w:i/>
          <w:iCs/>
        </w:rPr>
        <w:t>Gut</w:t>
      </w:r>
      <w:r>
        <w:rPr>
          <w:rFonts w:ascii="Book Antiqua" w:eastAsia="Book Antiqua" w:hAnsi="Book Antiqua" w:cs="Book Antiqua"/>
        </w:rPr>
        <w:t xml:space="preserve"> 2012; </w:t>
      </w:r>
      <w:r>
        <w:rPr>
          <w:rFonts w:ascii="Book Antiqua" w:eastAsia="Book Antiqua" w:hAnsi="Book Antiqua" w:cs="Book Antiqua"/>
          <w:b/>
          <w:bCs/>
        </w:rPr>
        <w:t>61</w:t>
      </w:r>
      <w:r>
        <w:rPr>
          <w:rFonts w:ascii="Book Antiqua" w:eastAsia="Book Antiqua" w:hAnsi="Book Antiqua" w:cs="Book Antiqua"/>
        </w:rPr>
        <w:t>: 78-85 [PMID: 21940721 DOI: 10.1136/gutjnl-2011-300370]</w:t>
      </w:r>
    </w:p>
    <w:p w14:paraId="623F5325" w14:textId="77777777" w:rsidR="00A77B3E" w:rsidRDefault="00CC2EF4">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Randolph GJ</w:t>
      </w:r>
      <w:r>
        <w:rPr>
          <w:rFonts w:ascii="Book Antiqua" w:eastAsia="Book Antiqua" w:hAnsi="Book Antiqua" w:cs="Book Antiqua"/>
        </w:rPr>
        <w:t xml:space="preserve">, Bala S, Rahier JF, Johnson MW, Wang PL, Nalbantoglu I, Dubuquoy L, Chau A, Pariente B, Kartheuser A, Zinselmeyer BH, Colombel JF. </w:t>
      </w:r>
      <w:proofErr w:type="gramStart"/>
      <w:r>
        <w:rPr>
          <w:rFonts w:ascii="Book Antiqua" w:eastAsia="Book Antiqua" w:hAnsi="Book Antiqua" w:cs="Book Antiqua"/>
        </w:rPr>
        <w:t>Lymphoid Aggregates Remodel Lymphatic Collecting Vessels that Serve Mesenteric Lymph Nodes in Crohn Disease.</w:t>
      </w:r>
      <w:proofErr w:type="gramEnd"/>
      <w:r>
        <w:rPr>
          <w:rFonts w:ascii="Book Antiqua" w:eastAsia="Book Antiqua" w:hAnsi="Book Antiqua" w:cs="Book Antiqua"/>
        </w:rPr>
        <w:t xml:space="preserve"> </w:t>
      </w:r>
      <w:r>
        <w:rPr>
          <w:rFonts w:ascii="Book Antiqua" w:eastAsia="Book Antiqua" w:hAnsi="Book Antiqua" w:cs="Book Antiqua"/>
          <w:i/>
          <w:iCs/>
        </w:rPr>
        <w:t>Am J Pathol</w:t>
      </w:r>
      <w:r>
        <w:rPr>
          <w:rFonts w:ascii="Book Antiqua" w:eastAsia="Book Antiqua" w:hAnsi="Book Antiqua" w:cs="Book Antiqua"/>
        </w:rPr>
        <w:t xml:space="preserve"> 2016; </w:t>
      </w:r>
      <w:r>
        <w:rPr>
          <w:rFonts w:ascii="Book Antiqua" w:eastAsia="Book Antiqua" w:hAnsi="Book Antiqua" w:cs="Book Antiqua"/>
          <w:b/>
          <w:bCs/>
        </w:rPr>
        <w:t>186</w:t>
      </w:r>
      <w:r>
        <w:rPr>
          <w:rFonts w:ascii="Book Antiqua" w:eastAsia="Book Antiqua" w:hAnsi="Book Antiqua" w:cs="Book Antiqua"/>
        </w:rPr>
        <w:t>: 3066-3073 [PMID: 27746181 DOI: 10.1016/j.ajpath.2016.07.026]</w:t>
      </w:r>
    </w:p>
    <w:p w14:paraId="3265B019" w14:textId="77777777" w:rsidR="00A77B3E" w:rsidRDefault="00CC2EF4">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Rehal S</w:t>
      </w:r>
      <w:r>
        <w:rPr>
          <w:rFonts w:ascii="Book Antiqua" w:eastAsia="Book Antiqua" w:hAnsi="Book Antiqua" w:cs="Book Antiqua"/>
        </w:rPr>
        <w:t xml:space="preserve">, Stephens M, Roizes S, Liao S, von der Weid PY. Acute small intestinal inflammation results in persistent lymphatic alterations. </w:t>
      </w:r>
      <w:r>
        <w:rPr>
          <w:rFonts w:ascii="Book Antiqua" w:eastAsia="Book Antiqua" w:hAnsi="Book Antiqua" w:cs="Book Antiqua"/>
          <w:i/>
          <w:iCs/>
        </w:rPr>
        <w:t>Am J Physiol Gastrointest Liver Physiol</w:t>
      </w:r>
      <w:r>
        <w:rPr>
          <w:rFonts w:ascii="Book Antiqua" w:eastAsia="Book Antiqua" w:hAnsi="Book Antiqua" w:cs="Book Antiqua"/>
        </w:rPr>
        <w:t xml:space="preserve"> 2018; </w:t>
      </w:r>
      <w:r>
        <w:rPr>
          <w:rFonts w:ascii="Book Antiqua" w:eastAsia="Book Antiqua" w:hAnsi="Book Antiqua" w:cs="Book Antiqua"/>
          <w:b/>
          <w:bCs/>
        </w:rPr>
        <w:t>314</w:t>
      </w:r>
      <w:r>
        <w:rPr>
          <w:rFonts w:ascii="Book Antiqua" w:eastAsia="Book Antiqua" w:hAnsi="Book Antiqua" w:cs="Book Antiqua"/>
        </w:rPr>
        <w:t>: G408-G417 [PMID: 29351397 DOI: 10.1152/ajpgi.00340.2017]</w:t>
      </w:r>
    </w:p>
    <w:p w14:paraId="02217A04" w14:textId="77777777" w:rsidR="00A77B3E" w:rsidRDefault="00CC2EF4">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Mikulski Z</w:t>
      </w:r>
      <w:r>
        <w:rPr>
          <w:rFonts w:ascii="Book Antiqua" w:eastAsia="Book Antiqua" w:hAnsi="Book Antiqua" w:cs="Book Antiqua"/>
        </w:rPr>
        <w:t xml:space="preserve">, Johnson R, Shaked I, Kim G, Nowyhed H, Goodman W, Chodaczek G, Pizarro TT, Cominelli F, Ley K. SAMP1/YitFc mice develop ileitis </w:t>
      </w:r>
      <w:r>
        <w:rPr>
          <w:rFonts w:ascii="Book Antiqua" w:eastAsia="Book Antiqua" w:hAnsi="Book Antiqua" w:cs="Book Antiqua"/>
          <w:i/>
          <w:iCs/>
        </w:rPr>
        <w:t>via</w:t>
      </w:r>
      <w:r>
        <w:rPr>
          <w:rFonts w:ascii="Book Antiqua" w:eastAsia="Book Antiqua" w:hAnsi="Book Antiqua" w:cs="Book Antiqua"/>
        </w:rPr>
        <w:t xml:space="preserve"> loss of CCL21 and defects in dendritic cell migration. </w:t>
      </w:r>
      <w:r>
        <w:rPr>
          <w:rFonts w:ascii="Book Antiqua" w:eastAsia="Book Antiqua" w:hAnsi="Book Antiqua" w:cs="Book Antiqua"/>
          <w:i/>
          <w:iCs/>
        </w:rPr>
        <w:t>Gastroenterology</w:t>
      </w:r>
      <w:r>
        <w:rPr>
          <w:rFonts w:ascii="Book Antiqua" w:eastAsia="Book Antiqua" w:hAnsi="Book Antiqua" w:cs="Book Antiqua"/>
        </w:rPr>
        <w:t xml:space="preserve"> 2015; </w:t>
      </w:r>
      <w:r>
        <w:rPr>
          <w:rFonts w:ascii="Book Antiqua" w:eastAsia="Book Antiqua" w:hAnsi="Book Antiqua" w:cs="Book Antiqua"/>
          <w:b/>
          <w:bCs/>
        </w:rPr>
        <w:t>148</w:t>
      </w:r>
      <w:r>
        <w:rPr>
          <w:rFonts w:ascii="Book Antiqua" w:eastAsia="Book Antiqua" w:hAnsi="Book Antiqua" w:cs="Book Antiqua"/>
        </w:rPr>
        <w:t>: 783-793.e5 [PMID: 25620669 DOI: 10.1053/j.gastro.2015.01.027]</w:t>
      </w:r>
    </w:p>
    <w:p w14:paraId="59529124" w14:textId="77777777" w:rsidR="00A77B3E" w:rsidRDefault="00CC2EF4">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Takahashi S</w:t>
      </w:r>
      <w:r>
        <w:rPr>
          <w:rFonts w:ascii="Book Antiqua" w:eastAsia="Book Antiqua" w:hAnsi="Book Antiqua" w:cs="Book Antiqua"/>
        </w:rPr>
        <w:t xml:space="preserve">, Kawamura T, Kanda Y, Taniguchi T, Nishizawa T, Iiai T, Hatakeyama K, Abo T. Multipotential acceptance of Peyer's patches in the intestine for both thymus-derived T cells and extrathymic T cells in mice. </w:t>
      </w:r>
      <w:r>
        <w:rPr>
          <w:rFonts w:ascii="Book Antiqua" w:eastAsia="Book Antiqua" w:hAnsi="Book Antiqua" w:cs="Book Antiqua"/>
          <w:i/>
          <w:iCs/>
        </w:rPr>
        <w:t>Immunol Cell Biol</w:t>
      </w:r>
      <w:r>
        <w:rPr>
          <w:rFonts w:ascii="Book Antiqua" w:eastAsia="Book Antiqua" w:hAnsi="Book Antiqua" w:cs="Book Antiqua"/>
        </w:rPr>
        <w:t xml:space="preserve"> 2005; </w:t>
      </w:r>
      <w:r>
        <w:rPr>
          <w:rFonts w:ascii="Book Antiqua" w:eastAsia="Book Antiqua" w:hAnsi="Book Antiqua" w:cs="Book Antiqua"/>
          <w:b/>
          <w:bCs/>
        </w:rPr>
        <w:t>83</w:t>
      </w:r>
      <w:r>
        <w:rPr>
          <w:rFonts w:ascii="Book Antiqua" w:eastAsia="Book Antiqua" w:hAnsi="Book Antiqua" w:cs="Book Antiqua"/>
        </w:rPr>
        <w:t>: 504-510 [PMID: 16174100 DOI: 10.1111/j.1440-1711.2005.01361.x]</w:t>
      </w:r>
    </w:p>
    <w:p w14:paraId="4F96F9EE" w14:textId="77777777" w:rsidR="00A77B3E" w:rsidRDefault="00CC2EF4">
      <w:pPr>
        <w:spacing w:line="360" w:lineRule="auto"/>
        <w:jc w:val="both"/>
      </w:pPr>
      <w:proofErr w:type="gramStart"/>
      <w:r>
        <w:rPr>
          <w:rFonts w:ascii="Book Antiqua" w:eastAsia="Book Antiqua" w:hAnsi="Book Antiqua" w:cs="Book Antiqua"/>
        </w:rPr>
        <w:t xml:space="preserve">38 </w:t>
      </w:r>
      <w:r>
        <w:rPr>
          <w:rFonts w:ascii="Book Antiqua" w:eastAsia="Book Antiqua" w:hAnsi="Book Antiqua" w:cs="Book Antiqua"/>
          <w:b/>
          <w:bCs/>
        </w:rPr>
        <w:t>Koboziev I</w:t>
      </w:r>
      <w:r>
        <w:rPr>
          <w:rFonts w:ascii="Book Antiqua" w:eastAsia="Book Antiqua" w:hAnsi="Book Antiqua" w:cs="Book Antiqua"/>
        </w:rPr>
        <w:t>, Karlsson F, Grisham MB.</w:t>
      </w:r>
      <w:proofErr w:type="gramEnd"/>
      <w:r>
        <w:rPr>
          <w:rFonts w:ascii="Book Antiqua" w:eastAsia="Book Antiqua" w:hAnsi="Book Antiqua" w:cs="Book Antiqua"/>
        </w:rPr>
        <w:t xml:space="preserve"> </w:t>
      </w:r>
      <w:proofErr w:type="gramStart"/>
      <w:r>
        <w:rPr>
          <w:rFonts w:ascii="Book Antiqua" w:eastAsia="Book Antiqua" w:hAnsi="Book Antiqua" w:cs="Book Antiqua"/>
        </w:rPr>
        <w:t>Gut-associated lymphoid tissue, T cell trafficking, and chronic intestinal inflammation.</w:t>
      </w:r>
      <w:proofErr w:type="gramEnd"/>
      <w:r>
        <w:rPr>
          <w:rFonts w:ascii="Book Antiqua" w:eastAsia="Book Antiqua" w:hAnsi="Book Antiqua" w:cs="Book Antiqua"/>
        </w:rPr>
        <w:t xml:space="preserve"> </w:t>
      </w:r>
      <w:r>
        <w:rPr>
          <w:rFonts w:ascii="Book Antiqua" w:eastAsia="Book Antiqua" w:hAnsi="Book Antiqua" w:cs="Book Antiqua"/>
          <w:i/>
          <w:iCs/>
        </w:rPr>
        <w:t>Ann N Y Acad Sci</w:t>
      </w:r>
      <w:r>
        <w:rPr>
          <w:rFonts w:ascii="Book Antiqua" w:eastAsia="Book Antiqua" w:hAnsi="Book Antiqua" w:cs="Book Antiqua"/>
        </w:rPr>
        <w:t xml:space="preserve"> 2010; </w:t>
      </w:r>
      <w:r>
        <w:rPr>
          <w:rFonts w:ascii="Book Antiqua" w:eastAsia="Book Antiqua" w:hAnsi="Book Antiqua" w:cs="Book Antiqua"/>
          <w:b/>
          <w:bCs/>
        </w:rPr>
        <w:t>1207 Suppl 1</w:t>
      </w:r>
      <w:r>
        <w:rPr>
          <w:rFonts w:ascii="Book Antiqua" w:eastAsia="Book Antiqua" w:hAnsi="Book Antiqua" w:cs="Book Antiqua"/>
        </w:rPr>
        <w:t>: E86-E93 [PMID: 20961311 DOI: 10.1111/j.1749-6632.2010.05711.x]</w:t>
      </w:r>
    </w:p>
    <w:p w14:paraId="6DFF06DC" w14:textId="77777777" w:rsidR="00A77B3E" w:rsidRDefault="00CC2EF4">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Zundler S</w:t>
      </w:r>
      <w:r>
        <w:rPr>
          <w:rFonts w:ascii="Book Antiqua" w:eastAsia="Book Antiqua" w:hAnsi="Book Antiqua" w:cs="Book Antiqua"/>
        </w:rPr>
        <w:t xml:space="preserve">, Günther C, Kremer AE, Zaiss MM, Rothhammer V, Neurath MF. Gut immune cell trafficking: inter-organ communication and immune-mediated inflammation. </w:t>
      </w:r>
      <w:r>
        <w:rPr>
          <w:rFonts w:ascii="Book Antiqua" w:eastAsia="Book Antiqua" w:hAnsi="Book Antiqua" w:cs="Book Antiqua"/>
          <w:i/>
          <w:iCs/>
        </w:rPr>
        <w:t>Nat Rev Gastroenterol Hepatol</w:t>
      </w:r>
      <w:r>
        <w:rPr>
          <w:rFonts w:ascii="Book Antiqua" w:eastAsia="Book Antiqua" w:hAnsi="Book Antiqua" w:cs="Book Antiqua"/>
        </w:rPr>
        <w:t xml:space="preserve"> 2023; </w:t>
      </w:r>
      <w:r>
        <w:rPr>
          <w:rFonts w:ascii="Book Antiqua" w:eastAsia="Book Antiqua" w:hAnsi="Book Antiqua" w:cs="Book Antiqua"/>
          <w:b/>
          <w:bCs/>
        </w:rPr>
        <w:t>20</w:t>
      </w:r>
      <w:r>
        <w:rPr>
          <w:rFonts w:ascii="Book Antiqua" w:eastAsia="Book Antiqua" w:hAnsi="Book Antiqua" w:cs="Book Antiqua"/>
        </w:rPr>
        <w:t>: 50-64 [PMID: 35945456 DOI: 10.1038/s41575-022-00663-1]</w:t>
      </w:r>
    </w:p>
    <w:p w14:paraId="6BB7193C" w14:textId="77777777" w:rsidR="00A77B3E" w:rsidRDefault="00CC2EF4">
      <w:pPr>
        <w:spacing w:line="360" w:lineRule="auto"/>
        <w:jc w:val="both"/>
      </w:pPr>
      <w:r>
        <w:rPr>
          <w:rFonts w:ascii="Book Antiqua" w:eastAsia="Book Antiqua" w:hAnsi="Book Antiqua" w:cs="Book Antiqua"/>
        </w:rPr>
        <w:lastRenderedPageBreak/>
        <w:t xml:space="preserve">40 </w:t>
      </w:r>
      <w:r>
        <w:rPr>
          <w:rFonts w:ascii="Book Antiqua" w:eastAsia="Book Antiqua" w:hAnsi="Book Antiqua" w:cs="Book Antiqua"/>
          <w:b/>
          <w:bCs/>
        </w:rPr>
        <w:t>Sakuraba A</w:t>
      </w:r>
      <w:r>
        <w:rPr>
          <w:rFonts w:ascii="Book Antiqua" w:eastAsia="Book Antiqua" w:hAnsi="Book Antiqua" w:cs="Book Antiqua"/>
        </w:rPr>
        <w:t xml:space="preserve">, Sato T, Kamada N, Kitazume M, Sugita A, Hibi T. Th1/Th17 immune response is induced by mesenteric lymph node dendritic cells in Crohn's disease. </w:t>
      </w:r>
      <w:r>
        <w:rPr>
          <w:rFonts w:ascii="Book Antiqua" w:eastAsia="Book Antiqua" w:hAnsi="Book Antiqua" w:cs="Book Antiqua"/>
          <w:i/>
          <w:iCs/>
        </w:rPr>
        <w:t>Gastroenterology</w:t>
      </w:r>
      <w:r>
        <w:rPr>
          <w:rFonts w:ascii="Book Antiqua" w:eastAsia="Book Antiqua" w:hAnsi="Book Antiqua" w:cs="Book Antiqua"/>
        </w:rPr>
        <w:t xml:space="preserve"> 2009; </w:t>
      </w:r>
      <w:r>
        <w:rPr>
          <w:rFonts w:ascii="Book Antiqua" w:eastAsia="Book Antiqua" w:hAnsi="Book Antiqua" w:cs="Book Antiqua"/>
          <w:b/>
          <w:bCs/>
        </w:rPr>
        <w:t>137</w:t>
      </w:r>
      <w:r>
        <w:rPr>
          <w:rFonts w:ascii="Book Antiqua" w:eastAsia="Book Antiqua" w:hAnsi="Book Antiqua" w:cs="Book Antiqua"/>
        </w:rPr>
        <w:t>: 1736-1745 [PMID: 19632232 DOI: 10.1053/j.gastro.2009.07.049]</w:t>
      </w:r>
    </w:p>
    <w:p w14:paraId="6A50019D" w14:textId="77777777" w:rsidR="00A77B3E" w:rsidRDefault="00CC2EF4">
      <w:pPr>
        <w:spacing w:line="360" w:lineRule="auto"/>
        <w:jc w:val="both"/>
      </w:pPr>
      <w:proofErr w:type="gramStart"/>
      <w:r>
        <w:rPr>
          <w:rFonts w:ascii="Book Antiqua" w:eastAsia="Book Antiqua" w:hAnsi="Book Antiqua" w:cs="Book Antiqua"/>
        </w:rPr>
        <w:t xml:space="preserve">41 </w:t>
      </w:r>
      <w:r>
        <w:rPr>
          <w:rFonts w:ascii="Book Antiqua" w:eastAsia="Book Antiqua" w:hAnsi="Book Antiqua" w:cs="Book Antiqua"/>
          <w:b/>
          <w:bCs/>
        </w:rPr>
        <w:t>Li N</w:t>
      </w:r>
      <w:r>
        <w:rPr>
          <w:rFonts w:ascii="Book Antiqua" w:eastAsia="Book Antiqua" w:hAnsi="Book Antiqua" w:cs="Book Antiqua"/>
        </w:rPr>
        <w:t>, Shi RH.</w:t>
      </w:r>
      <w:proofErr w:type="gramEnd"/>
      <w:r>
        <w:rPr>
          <w:rFonts w:ascii="Book Antiqua" w:eastAsia="Book Antiqua" w:hAnsi="Book Antiqua" w:cs="Book Antiqua"/>
        </w:rPr>
        <w:t xml:space="preserve"> Updated review on immune factors in pathogenesis of Crohn's disease.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15-22 [PMID: 29358878 DOI: 10.3748/wjg.v24.i1.15]</w:t>
      </w:r>
    </w:p>
    <w:p w14:paraId="1A5AD6C1" w14:textId="77777777" w:rsidR="00A77B3E" w:rsidRDefault="00CC2EF4">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Kudo T</w:t>
      </w:r>
      <w:r>
        <w:rPr>
          <w:rFonts w:ascii="Book Antiqua" w:eastAsia="Book Antiqua" w:hAnsi="Book Antiqua" w:cs="Book Antiqua"/>
        </w:rPr>
        <w:t xml:space="preserve">, Nagata S, Aoyagi Y, Suzuki R, Matsuda H, Ohtsuka Y, Shimizu T, Okumura K, Yamashiro Y. Polarized production of T-helper cell type 1 cells in Peyer's patches in Crohn's disease. </w:t>
      </w:r>
      <w:r>
        <w:rPr>
          <w:rFonts w:ascii="Book Antiqua" w:eastAsia="Book Antiqua" w:hAnsi="Book Antiqua" w:cs="Book Antiqua"/>
          <w:i/>
          <w:iCs/>
        </w:rPr>
        <w:t>Digestion</w:t>
      </w:r>
      <w:r>
        <w:rPr>
          <w:rFonts w:ascii="Book Antiqua" w:eastAsia="Book Antiqua" w:hAnsi="Book Antiqua" w:cs="Book Antiqua"/>
        </w:rPr>
        <w:t xml:space="preserve"> 2004; </w:t>
      </w:r>
      <w:r>
        <w:rPr>
          <w:rFonts w:ascii="Book Antiqua" w:eastAsia="Book Antiqua" w:hAnsi="Book Antiqua" w:cs="Book Antiqua"/>
          <w:b/>
          <w:bCs/>
        </w:rPr>
        <w:t>70</w:t>
      </w:r>
      <w:r>
        <w:rPr>
          <w:rFonts w:ascii="Book Antiqua" w:eastAsia="Book Antiqua" w:hAnsi="Book Antiqua" w:cs="Book Antiqua"/>
        </w:rPr>
        <w:t>: 214-225 [PMID: 15627769 DOI: 10.1159/000082892]</w:t>
      </w:r>
    </w:p>
    <w:p w14:paraId="29ED611D" w14:textId="134526DF" w:rsidR="00A77B3E" w:rsidRDefault="00CC2EF4">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Bsat M</w:t>
      </w:r>
      <w:r>
        <w:rPr>
          <w:rFonts w:ascii="Book Antiqua" w:eastAsia="Book Antiqua" w:hAnsi="Book Antiqua" w:cs="Book Antiqua"/>
        </w:rPr>
        <w:t xml:space="preserve">, Chapuy L, Baba N, Rubio M, Panzini B, Wassef R, Richard C, Soucy G, Mehta H, Sarfati M. Differential accumulation and function of proinflammatory 6-sulfo LacNAc dendritic cells in lymph node and colon of Crohn's </w:t>
      </w:r>
      <w:r w:rsidR="005B5D0D" w:rsidRPr="005B5D0D">
        <w:rPr>
          <w:rFonts w:ascii="Book Antiqua" w:eastAsia="Book Antiqua" w:hAnsi="Book Antiqua" w:cs="Book Antiqua"/>
        </w:rPr>
        <w:t>versus</w:t>
      </w:r>
      <w:r>
        <w:rPr>
          <w:rFonts w:ascii="Book Antiqua" w:eastAsia="Book Antiqua" w:hAnsi="Book Antiqua" w:cs="Book Antiqua"/>
        </w:rPr>
        <w:t xml:space="preserve"> ulcerative colitis patients. </w:t>
      </w:r>
      <w:r>
        <w:rPr>
          <w:rFonts w:ascii="Book Antiqua" w:eastAsia="Book Antiqua" w:hAnsi="Book Antiqua" w:cs="Book Antiqua"/>
          <w:i/>
          <w:iCs/>
        </w:rPr>
        <w:t>J Leukoc Biol</w:t>
      </w:r>
      <w:r>
        <w:rPr>
          <w:rFonts w:ascii="Book Antiqua" w:eastAsia="Book Antiqua" w:hAnsi="Book Antiqua" w:cs="Book Antiqua"/>
        </w:rPr>
        <w:t xml:space="preserve"> 2015; </w:t>
      </w:r>
      <w:r>
        <w:rPr>
          <w:rFonts w:ascii="Book Antiqua" w:eastAsia="Book Antiqua" w:hAnsi="Book Antiqua" w:cs="Book Antiqua"/>
          <w:b/>
          <w:bCs/>
        </w:rPr>
        <w:t>98</w:t>
      </w:r>
      <w:r>
        <w:rPr>
          <w:rFonts w:ascii="Book Antiqua" w:eastAsia="Book Antiqua" w:hAnsi="Book Antiqua" w:cs="Book Antiqua"/>
        </w:rPr>
        <w:t>: 671-681 [PMID: 26162403 DOI: 10.1189/jlb.5A1014-509RR]</w:t>
      </w:r>
    </w:p>
    <w:p w14:paraId="12B35574" w14:textId="77777777" w:rsidR="00A77B3E" w:rsidRDefault="00CC2EF4">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Verstege MI</w:t>
      </w:r>
      <w:r>
        <w:rPr>
          <w:rFonts w:ascii="Book Antiqua" w:eastAsia="Book Antiqua" w:hAnsi="Book Antiqua" w:cs="Book Antiqua"/>
        </w:rPr>
        <w:t xml:space="preserve">, ten Kate FJ, Reinartz SM, van Drunen CM, Slors FJ, Bemelman WA, Vyth-Dreese FA, te Velde AA. </w:t>
      </w:r>
      <w:proofErr w:type="gramStart"/>
      <w:r>
        <w:rPr>
          <w:rFonts w:ascii="Book Antiqua" w:eastAsia="Book Antiqua" w:hAnsi="Book Antiqua" w:cs="Book Antiqua"/>
        </w:rPr>
        <w:t>Dendritic cell populations in colon and mesenteric lymph nodes of patients with Crohn's disease.</w:t>
      </w:r>
      <w:proofErr w:type="gramEnd"/>
      <w:r>
        <w:rPr>
          <w:rFonts w:ascii="Book Antiqua" w:eastAsia="Book Antiqua" w:hAnsi="Book Antiqua" w:cs="Book Antiqua"/>
        </w:rPr>
        <w:t xml:space="preserve"> </w:t>
      </w:r>
      <w:r>
        <w:rPr>
          <w:rFonts w:ascii="Book Antiqua" w:eastAsia="Book Antiqua" w:hAnsi="Book Antiqua" w:cs="Book Antiqua"/>
          <w:i/>
          <w:iCs/>
        </w:rPr>
        <w:t>J Histochem Cytochem</w:t>
      </w:r>
      <w:r>
        <w:rPr>
          <w:rFonts w:ascii="Book Antiqua" w:eastAsia="Book Antiqua" w:hAnsi="Book Antiqua" w:cs="Book Antiqua"/>
        </w:rPr>
        <w:t xml:space="preserve"> 2008; </w:t>
      </w:r>
      <w:r>
        <w:rPr>
          <w:rFonts w:ascii="Book Antiqua" w:eastAsia="Book Antiqua" w:hAnsi="Book Antiqua" w:cs="Book Antiqua"/>
          <w:b/>
          <w:bCs/>
        </w:rPr>
        <w:t>56</w:t>
      </w:r>
      <w:r>
        <w:rPr>
          <w:rFonts w:ascii="Book Antiqua" w:eastAsia="Book Antiqua" w:hAnsi="Book Antiqua" w:cs="Book Antiqua"/>
        </w:rPr>
        <w:t>: 233-241 [PMID: 18040077 DOI: 10.1369/jhc.7A7308.2007]</w:t>
      </w:r>
    </w:p>
    <w:p w14:paraId="04E1F44C" w14:textId="77777777" w:rsidR="00A77B3E" w:rsidRDefault="00CC2EF4">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Middel P</w:t>
      </w:r>
      <w:r>
        <w:rPr>
          <w:rFonts w:ascii="Book Antiqua" w:eastAsia="Book Antiqua" w:hAnsi="Book Antiqua" w:cs="Book Antiqua"/>
        </w:rPr>
        <w:t xml:space="preserve">, Raddatz D, Gunawan B, Haller F, Radzun HJ. Increased number of mature dendritic cells in Crohn's disease: evidence for a chemokine mediated retention mechanism. </w:t>
      </w:r>
      <w:r>
        <w:rPr>
          <w:rFonts w:ascii="Book Antiqua" w:eastAsia="Book Antiqua" w:hAnsi="Book Antiqua" w:cs="Book Antiqua"/>
          <w:i/>
          <w:iCs/>
        </w:rPr>
        <w:t>Gut</w:t>
      </w:r>
      <w:r>
        <w:rPr>
          <w:rFonts w:ascii="Book Antiqua" w:eastAsia="Book Antiqua" w:hAnsi="Book Antiqua" w:cs="Book Antiqua"/>
        </w:rPr>
        <w:t xml:space="preserve"> 2006; </w:t>
      </w:r>
      <w:r>
        <w:rPr>
          <w:rFonts w:ascii="Book Antiqua" w:eastAsia="Book Antiqua" w:hAnsi="Book Antiqua" w:cs="Book Antiqua"/>
          <w:b/>
          <w:bCs/>
        </w:rPr>
        <w:t>55</w:t>
      </w:r>
      <w:r>
        <w:rPr>
          <w:rFonts w:ascii="Book Antiqua" w:eastAsia="Book Antiqua" w:hAnsi="Book Antiqua" w:cs="Book Antiqua"/>
        </w:rPr>
        <w:t>: 220-227 [PMID: 16118351 DOI: 10.1136/gut.2004.063008]</w:t>
      </w:r>
    </w:p>
    <w:p w14:paraId="6B65C114" w14:textId="77777777" w:rsidR="00A77B3E" w:rsidRDefault="00CC2EF4">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Becker F</w:t>
      </w:r>
      <w:r>
        <w:rPr>
          <w:rFonts w:ascii="Book Antiqua" w:eastAsia="Book Antiqua" w:hAnsi="Book Antiqua" w:cs="Book Antiqua"/>
        </w:rPr>
        <w:t xml:space="preserve">, Kurmaeva E, Gavins FN, Stevenson EV, Navratil AR, Jin L, Tsunoda I, Orr AW, Alexander JS, Ostanin DV. A Critical Role for Monocytes/Macrophages During Intestinal Inflammation-associated Lymphangiogenesis. </w:t>
      </w:r>
      <w:r>
        <w:rPr>
          <w:rFonts w:ascii="Book Antiqua" w:eastAsia="Book Antiqua" w:hAnsi="Book Antiqua" w:cs="Book Antiqua"/>
          <w:i/>
          <w:iCs/>
        </w:rPr>
        <w:t>Inflamm Bowel Dis</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1326-1345 [PMID: 26950310 DOI: 10.1097/MIB.0000000000000731]</w:t>
      </w:r>
    </w:p>
    <w:p w14:paraId="39AD0252" w14:textId="77777777" w:rsidR="00A77B3E" w:rsidRDefault="00CC2EF4">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Zeng B</w:t>
      </w:r>
      <w:r>
        <w:rPr>
          <w:rFonts w:ascii="Book Antiqua" w:eastAsia="Book Antiqua" w:hAnsi="Book Antiqua" w:cs="Book Antiqua"/>
        </w:rPr>
        <w:t xml:space="preserve">, Shi S, Ashworth G, Dong C, Liu J, Xing F. ILC3 function as a double-edged sword in inflammatory bowel diseases. </w:t>
      </w:r>
      <w:r>
        <w:rPr>
          <w:rFonts w:ascii="Book Antiqua" w:eastAsia="Book Antiqua" w:hAnsi="Book Antiqua" w:cs="Book Antiqua"/>
          <w:i/>
          <w:iCs/>
        </w:rPr>
        <w:t>Cell Death Dis</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315 [PMID: 30962426 DOI: 10.1038/s41419-019-1540-2]</w:t>
      </w:r>
    </w:p>
    <w:p w14:paraId="3D3EC68D" w14:textId="77777777" w:rsidR="00A77B3E" w:rsidRDefault="00CC2EF4">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Stehle C</w:t>
      </w:r>
      <w:r>
        <w:rPr>
          <w:rFonts w:ascii="Book Antiqua" w:eastAsia="Book Antiqua" w:hAnsi="Book Antiqua" w:cs="Book Antiqua"/>
        </w:rPr>
        <w:t xml:space="preserve">, Rückert T, Fiancette R, Gajdasik DW, Willis C, Ulbricht C, Durek P, Mashreghi MF, Finke D, Hauser AE, Withers DR, Chang HD, Zimmermann J, Romagnani C. T-bet and RORα control lymph node formation by regulating embryonic </w:t>
      </w:r>
      <w:r>
        <w:rPr>
          <w:rFonts w:ascii="Book Antiqua" w:eastAsia="Book Antiqua" w:hAnsi="Book Antiqua" w:cs="Book Antiqua"/>
        </w:rPr>
        <w:lastRenderedPageBreak/>
        <w:t xml:space="preserve">innate lymphoid cell differentiation. </w:t>
      </w:r>
      <w:r>
        <w:rPr>
          <w:rFonts w:ascii="Book Antiqua" w:eastAsia="Book Antiqua" w:hAnsi="Book Antiqua" w:cs="Book Antiqua"/>
          <w:i/>
          <w:iCs/>
        </w:rPr>
        <w:t>Nat Immunol</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1231-1244 [PMID: 34556887 DOI: 10.1038/s41590-021-01029-6]</w:t>
      </w:r>
    </w:p>
    <w:p w14:paraId="2C53E2FE" w14:textId="77777777" w:rsidR="00A77B3E" w:rsidRDefault="00CC2EF4">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Becker F</w:t>
      </w:r>
      <w:r>
        <w:rPr>
          <w:rFonts w:ascii="Book Antiqua" w:eastAsia="Book Antiqua" w:hAnsi="Book Antiqua" w:cs="Book Antiqua"/>
        </w:rPr>
        <w:t xml:space="preserve">, Potepalov S, Shehzahdi R, Bernas M, Witte M, Abreo F, Traylor J, Orr WA, Tsunoda I, Alexander JS. Downregulation of FoxC2 Increased Susceptibility to Experimental Colitis: Influence of Lymphatic Drainage Function? </w:t>
      </w:r>
      <w:r>
        <w:rPr>
          <w:rFonts w:ascii="Book Antiqua" w:eastAsia="Book Antiqua" w:hAnsi="Book Antiqua" w:cs="Book Antiqua"/>
          <w:i/>
          <w:iCs/>
        </w:rPr>
        <w:t>Inflamm Bowel Dis</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1282-1296 [PMID: 25822012 DOI: 10.1097/MIB.0000000000000371]</w:t>
      </w:r>
    </w:p>
    <w:p w14:paraId="293806F6" w14:textId="77777777" w:rsidR="00A77B3E" w:rsidRDefault="00CC2EF4">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Ocansey DKW</w:t>
      </w:r>
      <w:r>
        <w:rPr>
          <w:rFonts w:ascii="Book Antiqua" w:eastAsia="Book Antiqua" w:hAnsi="Book Antiqua" w:cs="Book Antiqua"/>
        </w:rPr>
        <w:t xml:space="preserve">, Pei B, Xu X, Zhang L, Olovo CV, Mao F. Cellular and molecular mediators of lymphangiogenesis in inflammatory bowel disease. </w:t>
      </w:r>
      <w:r>
        <w:rPr>
          <w:rFonts w:ascii="Book Antiqua" w:eastAsia="Book Antiqua" w:hAnsi="Book Antiqua" w:cs="Book Antiqua"/>
          <w:i/>
          <w:iCs/>
        </w:rPr>
        <w:t>J Transl Med</w:t>
      </w:r>
      <w:r>
        <w:rPr>
          <w:rFonts w:ascii="Book Antiqua" w:eastAsia="Book Antiqua" w:hAnsi="Book Antiqua" w:cs="Book Antiqua"/>
        </w:rPr>
        <w:t xml:space="preserve"> 2021; </w:t>
      </w:r>
      <w:r>
        <w:rPr>
          <w:rFonts w:ascii="Book Antiqua" w:eastAsia="Book Antiqua" w:hAnsi="Book Antiqua" w:cs="Book Antiqua"/>
          <w:b/>
          <w:bCs/>
        </w:rPr>
        <w:t>19</w:t>
      </w:r>
      <w:r>
        <w:rPr>
          <w:rFonts w:ascii="Book Antiqua" w:eastAsia="Book Antiqua" w:hAnsi="Book Antiqua" w:cs="Book Antiqua"/>
        </w:rPr>
        <w:t>: 254 [PMID: 34112196 DOI: 10.1186/s12967-021-02922-2]</w:t>
      </w:r>
    </w:p>
    <w:p w14:paraId="656FD94A" w14:textId="77777777" w:rsidR="00A77B3E" w:rsidRDefault="00CC2EF4">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Zhao J</w:t>
      </w:r>
      <w:r>
        <w:rPr>
          <w:rFonts w:ascii="Book Antiqua" w:eastAsia="Book Antiqua" w:hAnsi="Book Antiqua" w:cs="Book Antiqua"/>
        </w:rPr>
        <w:t xml:space="preserve">, Lu Q, Liu Y, Shi Z, Hu L, Zeng Z, Tu Y, Xiao Z, Xu Q. Th17 Cells in Inflammatory Bowel Disease: Cytokines, Plasticity, and Therapies. </w:t>
      </w:r>
      <w:r>
        <w:rPr>
          <w:rFonts w:ascii="Book Antiqua" w:eastAsia="Book Antiqua" w:hAnsi="Book Antiqua" w:cs="Book Antiqua"/>
          <w:i/>
          <w:iCs/>
        </w:rPr>
        <w:t>J Immunol Res</w:t>
      </w:r>
      <w:r>
        <w:rPr>
          <w:rFonts w:ascii="Book Antiqua" w:eastAsia="Book Antiqua" w:hAnsi="Book Antiqua" w:cs="Book Antiqua"/>
        </w:rPr>
        <w:t xml:space="preserve"> 2021; </w:t>
      </w:r>
      <w:r>
        <w:rPr>
          <w:rFonts w:ascii="Book Antiqua" w:eastAsia="Book Antiqua" w:hAnsi="Book Antiqua" w:cs="Book Antiqua"/>
          <w:b/>
          <w:bCs/>
        </w:rPr>
        <w:t>2021</w:t>
      </w:r>
      <w:r>
        <w:rPr>
          <w:rFonts w:ascii="Book Antiqua" w:eastAsia="Book Antiqua" w:hAnsi="Book Antiqua" w:cs="Book Antiqua"/>
        </w:rPr>
        <w:t>: 8816041 [PMID: 33553436 DOI: 10.1155/2021/8816041]</w:t>
      </w:r>
    </w:p>
    <w:p w14:paraId="0EEFE87E" w14:textId="77777777" w:rsidR="00A77B3E" w:rsidRDefault="00CC2EF4">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Changming W</w:t>
      </w:r>
      <w:r>
        <w:rPr>
          <w:rFonts w:ascii="Book Antiqua" w:eastAsia="Book Antiqua" w:hAnsi="Book Antiqua" w:cs="Book Antiqua"/>
        </w:rPr>
        <w:t xml:space="preserve">, Xin L, Hua T, Shikun W, Qiong X, Zhigeng Z, Xueying W. Monocytes can be induced to express lymphatic phenotypes. </w:t>
      </w:r>
      <w:r>
        <w:rPr>
          <w:rFonts w:ascii="Book Antiqua" w:eastAsia="Book Antiqua" w:hAnsi="Book Antiqua" w:cs="Book Antiqua"/>
          <w:i/>
          <w:iCs/>
        </w:rPr>
        <w:t>Lymphology</w:t>
      </w:r>
      <w:r>
        <w:rPr>
          <w:rFonts w:ascii="Book Antiqua" w:eastAsia="Book Antiqua" w:hAnsi="Book Antiqua" w:cs="Book Antiqua"/>
        </w:rPr>
        <w:t xml:space="preserve"> 2011; </w:t>
      </w:r>
      <w:r>
        <w:rPr>
          <w:rFonts w:ascii="Book Antiqua" w:eastAsia="Book Antiqua" w:hAnsi="Book Antiqua" w:cs="Book Antiqua"/>
          <w:b/>
          <w:bCs/>
        </w:rPr>
        <w:t>44</w:t>
      </w:r>
      <w:r>
        <w:rPr>
          <w:rFonts w:ascii="Book Antiqua" w:eastAsia="Book Antiqua" w:hAnsi="Book Antiqua" w:cs="Book Antiqua"/>
        </w:rPr>
        <w:t>: 48-53 [PMID: 21949973]</w:t>
      </w:r>
    </w:p>
    <w:p w14:paraId="24B6DFE0" w14:textId="77777777" w:rsidR="00A77B3E" w:rsidRDefault="00CC2EF4">
      <w:pPr>
        <w:spacing w:line="360" w:lineRule="auto"/>
        <w:jc w:val="both"/>
      </w:pPr>
      <w:r>
        <w:rPr>
          <w:rFonts w:ascii="Book Antiqua" w:eastAsia="Book Antiqua" w:hAnsi="Book Antiqua" w:cs="Book Antiqua"/>
        </w:rPr>
        <w:t xml:space="preserve">53 </w:t>
      </w:r>
      <w:r>
        <w:rPr>
          <w:rFonts w:ascii="Book Antiqua" w:eastAsia="Book Antiqua" w:hAnsi="Book Antiqua" w:cs="Book Antiqua"/>
          <w:b/>
          <w:bCs/>
        </w:rPr>
        <w:t>Welsh JD</w:t>
      </w:r>
      <w:r>
        <w:rPr>
          <w:rFonts w:ascii="Book Antiqua" w:eastAsia="Book Antiqua" w:hAnsi="Book Antiqua" w:cs="Book Antiqua"/>
        </w:rPr>
        <w:t xml:space="preserve">, Kahn ML, Sweet DT. </w:t>
      </w:r>
      <w:proofErr w:type="gramStart"/>
      <w:r>
        <w:rPr>
          <w:rFonts w:ascii="Book Antiqua" w:eastAsia="Book Antiqua" w:hAnsi="Book Antiqua" w:cs="Book Antiqua"/>
        </w:rPr>
        <w:t>Lymphovenous hemostasis and the role of platelets in regulating lymphatic flow and lymphatic vessel maturation.</w:t>
      </w:r>
      <w:proofErr w:type="gramEnd"/>
      <w:r>
        <w:rPr>
          <w:rFonts w:ascii="Book Antiqua" w:eastAsia="Book Antiqua" w:hAnsi="Book Antiqua" w:cs="Book Antiqua"/>
        </w:rPr>
        <w:t xml:space="preserve"> </w:t>
      </w:r>
      <w:r>
        <w:rPr>
          <w:rFonts w:ascii="Book Antiqua" w:eastAsia="Book Antiqua" w:hAnsi="Book Antiqua" w:cs="Book Antiqua"/>
          <w:i/>
          <w:iCs/>
        </w:rPr>
        <w:t>Blood</w:t>
      </w:r>
      <w:r>
        <w:rPr>
          <w:rFonts w:ascii="Book Antiqua" w:eastAsia="Book Antiqua" w:hAnsi="Book Antiqua" w:cs="Book Antiqua"/>
        </w:rPr>
        <w:t xml:space="preserve"> 2016; </w:t>
      </w:r>
      <w:r>
        <w:rPr>
          <w:rFonts w:ascii="Book Antiqua" w:eastAsia="Book Antiqua" w:hAnsi="Book Antiqua" w:cs="Book Antiqua"/>
          <w:b/>
          <w:bCs/>
        </w:rPr>
        <w:t>128</w:t>
      </w:r>
      <w:r>
        <w:rPr>
          <w:rFonts w:ascii="Book Antiqua" w:eastAsia="Book Antiqua" w:hAnsi="Book Antiqua" w:cs="Book Antiqua"/>
        </w:rPr>
        <w:t>: 1169-1173 [PMID: 27385789 DOI: 10.1182/blood-2016-04-636415]</w:t>
      </w:r>
    </w:p>
    <w:p w14:paraId="16B74D66" w14:textId="63E1A9F7" w:rsidR="00A77B3E" w:rsidRDefault="00CC2EF4">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Osada M</w:t>
      </w:r>
      <w:r>
        <w:rPr>
          <w:rFonts w:ascii="Book Antiqua" w:eastAsia="Book Antiqua" w:hAnsi="Book Antiqua" w:cs="Book Antiqua"/>
        </w:rPr>
        <w:t>, Inoue O, Ding G, Shirai T, Ichise H, Hirayama K, Takano K, Yatomi Y, Hirashima M, Fujii H, Suzuki-Inoue K, Ozaki Y. Platelet activation receptor CLEC-2 regulates blood/</w:t>
      </w:r>
      <w:r w:rsidR="005B5D0D">
        <w:rPr>
          <w:rFonts w:ascii="Book Antiqua" w:eastAsia="Book Antiqua" w:hAnsi="Book Antiqua" w:cs="Book Antiqua"/>
        </w:rPr>
        <w:t>l</w:t>
      </w:r>
      <w:r>
        <w:rPr>
          <w:rFonts w:ascii="Book Antiqua" w:eastAsia="Book Antiqua" w:hAnsi="Book Antiqua" w:cs="Book Antiqua"/>
        </w:rPr>
        <w:t xml:space="preserve">ymphatic vessel separation by inhibiting proliferation, migration, and tube formation of lymphatic endothelial cells. </w:t>
      </w:r>
      <w:r>
        <w:rPr>
          <w:rFonts w:ascii="Book Antiqua" w:eastAsia="Book Antiqua" w:hAnsi="Book Antiqua" w:cs="Book Antiqua"/>
          <w:i/>
          <w:iCs/>
        </w:rPr>
        <w:t>J Biol Chem</w:t>
      </w:r>
      <w:r>
        <w:rPr>
          <w:rFonts w:ascii="Book Antiqua" w:eastAsia="Book Antiqua" w:hAnsi="Book Antiqua" w:cs="Book Antiqua"/>
        </w:rPr>
        <w:t xml:space="preserve"> 2012; </w:t>
      </w:r>
      <w:r>
        <w:rPr>
          <w:rFonts w:ascii="Book Antiqua" w:eastAsia="Book Antiqua" w:hAnsi="Book Antiqua" w:cs="Book Antiqua"/>
          <w:b/>
          <w:bCs/>
        </w:rPr>
        <w:t>287</w:t>
      </w:r>
      <w:r>
        <w:rPr>
          <w:rFonts w:ascii="Book Antiqua" w:eastAsia="Book Antiqua" w:hAnsi="Book Antiqua" w:cs="Book Antiqua"/>
        </w:rPr>
        <w:t>: 22241-22252 [PMID: 22556408 DOI: 10.1074/jbc.M111.329987]</w:t>
      </w:r>
    </w:p>
    <w:p w14:paraId="1120FE4D" w14:textId="77777777" w:rsidR="00A77B3E" w:rsidRDefault="00CC2EF4">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Sato H</w:t>
      </w:r>
      <w:r>
        <w:rPr>
          <w:rFonts w:ascii="Book Antiqua" w:eastAsia="Book Antiqua" w:hAnsi="Book Antiqua" w:cs="Book Antiqua"/>
        </w:rPr>
        <w:t xml:space="preserve">, Higashiyama M, Hozumi H, Sato S, Furuhashi H, Takajo T, Maruta K, Yasutake Y, Narimatsu K, Yoshikawa K, Kurihara C, Okada Y, Watanabe C, Komoto S, Tomita K, Nagao S, Miura S, Hokari R. Platelet interaction with lymphatics aggravates intestinal inflammation by suppressing lymphangiogenesis. </w:t>
      </w:r>
      <w:r>
        <w:rPr>
          <w:rFonts w:ascii="Book Antiqua" w:eastAsia="Book Antiqua" w:hAnsi="Book Antiqua" w:cs="Book Antiqua"/>
          <w:i/>
          <w:iCs/>
        </w:rPr>
        <w:t>Am J Physiol Gastrointest Liver Physiol</w:t>
      </w:r>
      <w:r>
        <w:rPr>
          <w:rFonts w:ascii="Book Antiqua" w:eastAsia="Book Antiqua" w:hAnsi="Book Antiqua" w:cs="Book Antiqua"/>
        </w:rPr>
        <w:t xml:space="preserve"> 2016; </w:t>
      </w:r>
      <w:r>
        <w:rPr>
          <w:rFonts w:ascii="Book Antiqua" w:eastAsia="Book Antiqua" w:hAnsi="Book Antiqua" w:cs="Book Antiqua"/>
          <w:b/>
          <w:bCs/>
        </w:rPr>
        <w:t>311</w:t>
      </w:r>
      <w:r>
        <w:rPr>
          <w:rFonts w:ascii="Book Antiqua" w:eastAsia="Book Antiqua" w:hAnsi="Book Antiqua" w:cs="Book Antiqua"/>
        </w:rPr>
        <w:t>: G276-G285 [PMID: 27313177 DOI: 10.1152/ajpgi.00455.2015]</w:t>
      </w:r>
    </w:p>
    <w:p w14:paraId="39C884F3" w14:textId="77777777" w:rsidR="00A77B3E" w:rsidRDefault="00CC2EF4">
      <w:pPr>
        <w:spacing w:line="360" w:lineRule="auto"/>
        <w:jc w:val="both"/>
      </w:pPr>
      <w:r>
        <w:rPr>
          <w:rFonts w:ascii="Book Antiqua" w:eastAsia="Book Antiqua" w:hAnsi="Book Antiqua" w:cs="Book Antiqua"/>
        </w:rPr>
        <w:lastRenderedPageBreak/>
        <w:t xml:space="preserve">56 </w:t>
      </w:r>
      <w:r>
        <w:rPr>
          <w:rFonts w:ascii="Book Antiqua" w:eastAsia="Book Antiqua" w:hAnsi="Book Antiqua" w:cs="Book Antiqua"/>
          <w:b/>
          <w:bCs/>
        </w:rPr>
        <w:t>Lee C</w:t>
      </w:r>
      <w:r>
        <w:rPr>
          <w:rFonts w:ascii="Book Antiqua" w:eastAsia="Book Antiqua" w:hAnsi="Book Antiqua" w:cs="Book Antiqua"/>
        </w:rPr>
        <w:t xml:space="preserve">, Hong SN, Kim ER, Chang DK, Kim YH. Depletion of Intestinal Stem Cell Niche Factors Contributes to the Alteration of Epithelial Differentiation in SAMP1/YitFcsJ Mice With Crohn Disease-Like Ileitis. </w:t>
      </w:r>
      <w:r>
        <w:rPr>
          <w:rFonts w:ascii="Book Antiqua" w:eastAsia="Book Antiqua" w:hAnsi="Book Antiqua" w:cs="Book Antiqua"/>
          <w:i/>
          <w:iCs/>
        </w:rPr>
        <w:t>Inflamm Bowel Dis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667-676 [PMID: 33274375 DOI: 10.1093/ibd/izaa314]</w:t>
      </w:r>
    </w:p>
    <w:p w14:paraId="5CA121DC" w14:textId="77777777" w:rsidR="00A77B3E" w:rsidRDefault="00CC2EF4">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Niec RE</w:t>
      </w:r>
      <w:r>
        <w:rPr>
          <w:rFonts w:ascii="Book Antiqua" w:eastAsia="Book Antiqua" w:hAnsi="Book Antiqua" w:cs="Book Antiqua"/>
        </w:rPr>
        <w:t xml:space="preserve">, Chu T, Schernthanner M, Gur-Cohen S, Hidalgo L, Pasolli HA, Luckett KA, Wang Z, Bhalla SR, Cambuli F, Kataru RP, Ganesh K, Mehrara BJ, Pe'er D, Fuchs E. Lymphatics act as a signaling hub to regulate intestinal stem cell activity. </w:t>
      </w:r>
      <w:r>
        <w:rPr>
          <w:rFonts w:ascii="Book Antiqua" w:eastAsia="Book Antiqua" w:hAnsi="Book Antiqua" w:cs="Book Antiqua"/>
          <w:i/>
          <w:iCs/>
        </w:rPr>
        <w:t>Cell Stem Cell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1067-1082.e18 [PMID: 35728595 DOI: 10.1016/j.stem.2022.05.007]</w:t>
      </w:r>
    </w:p>
    <w:p w14:paraId="2C9CEEFB" w14:textId="77777777" w:rsidR="00A77B3E" w:rsidRDefault="00CC2EF4">
      <w:pPr>
        <w:spacing w:line="360" w:lineRule="auto"/>
        <w:jc w:val="both"/>
      </w:pPr>
      <w:r>
        <w:rPr>
          <w:rFonts w:ascii="Book Antiqua" w:eastAsia="Book Antiqua" w:hAnsi="Book Antiqua" w:cs="Book Antiqua"/>
        </w:rPr>
        <w:t xml:space="preserve">58 </w:t>
      </w:r>
      <w:r>
        <w:rPr>
          <w:rFonts w:ascii="Book Antiqua" w:eastAsia="Book Antiqua" w:hAnsi="Book Antiqua" w:cs="Book Antiqua"/>
          <w:b/>
          <w:bCs/>
        </w:rPr>
        <w:t>Goto N</w:t>
      </w:r>
      <w:r>
        <w:rPr>
          <w:rFonts w:ascii="Book Antiqua" w:eastAsia="Book Antiqua" w:hAnsi="Book Antiqua" w:cs="Book Antiqua"/>
        </w:rPr>
        <w:t xml:space="preserve">, Goto S, Imada S, Hosseini S, Deshpande V, Yilmaz ÖH. Lymphatics and fibroblasts support intestinal stem cells in homeostasis and injury. </w:t>
      </w:r>
      <w:r>
        <w:rPr>
          <w:rFonts w:ascii="Book Antiqua" w:eastAsia="Book Antiqua" w:hAnsi="Book Antiqua" w:cs="Book Antiqua"/>
          <w:i/>
          <w:iCs/>
        </w:rPr>
        <w:t>Cell Stem Cell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1246-1261.e6 [PMID: 35931033 DOI: 10.1016/j.stem.2022.06.013]</w:t>
      </w:r>
    </w:p>
    <w:p w14:paraId="1B88E8E7" w14:textId="77777777" w:rsidR="00A77B3E" w:rsidRDefault="00CC2EF4">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Jurisic G</w:t>
      </w:r>
      <w:r>
        <w:rPr>
          <w:rFonts w:ascii="Book Antiqua" w:eastAsia="Book Antiqua" w:hAnsi="Book Antiqua" w:cs="Book Antiqua"/>
        </w:rPr>
        <w:t xml:space="preserve">, Sundberg JP, Detmar M. Blockade of VEGF receptor-3 aggravates inflammatory bowel disease and lymphatic vessel enlargement. </w:t>
      </w:r>
      <w:r>
        <w:rPr>
          <w:rFonts w:ascii="Book Antiqua" w:eastAsia="Book Antiqua" w:hAnsi="Book Antiqua" w:cs="Book Antiqua"/>
          <w:i/>
          <w:iCs/>
        </w:rPr>
        <w:t>Inflamm Bowel Dis</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1983-1989 [PMID: 23835443 DOI: 10.1097/MIB.0b013e31829292f7]</w:t>
      </w:r>
    </w:p>
    <w:p w14:paraId="6E5BB7F6" w14:textId="77777777" w:rsidR="00A77B3E" w:rsidRDefault="00CC2EF4">
      <w:pPr>
        <w:spacing w:line="360" w:lineRule="auto"/>
        <w:jc w:val="both"/>
      </w:pPr>
      <w:r>
        <w:rPr>
          <w:rFonts w:ascii="Book Antiqua" w:eastAsia="Book Antiqua" w:hAnsi="Book Antiqua" w:cs="Book Antiqua"/>
        </w:rPr>
        <w:t xml:space="preserve">60 </w:t>
      </w:r>
      <w:r>
        <w:rPr>
          <w:rFonts w:ascii="Book Antiqua" w:eastAsia="Book Antiqua" w:hAnsi="Book Antiqua" w:cs="Book Antiqua"/>
          <w:b/>
          <w:bCs/>
        </w:rPr>
        <w:t>D'Alessio S</w:t>
      </w:r>
      <w:r>
        <w:rPr>
          <w:rFonts w:ascii="Book Antiqua" w:eastAsia="Book Antiqua" w:hAnsi="Book Antiqua" w:cs="Book Antiqua"/>
        </w:rPr>
        <w:t xml:space="preserve">, Correale C, Tacconi C, Gandelli A, Pietrogrande G, Vetrano S, Genua M, Arena V, Spinelli A, Peyrin-Biroulet L, Fiocchi C, Danese S. VEGF-C-dependent stimulation of lymphatic function ameliorates experimental inflammatory bowel disease. </w:t>
      </w:r>
      <w:r>
        <w:rPr>
          <w:rFonts w:ascii="Book Antiqua" w:eastAsia="Book Antiqua" w:hAnsi="Book Antiqua" w:cs="Book Antiqua"/>
          <w:i/>
          <w:iCs/>
        </w:rPr>
        <w:t>J Clin Invest</w:t>
      </w:r>
      <w:r>
        <w:rPr>
          <w:rFonts w:ascii="Book Antiqua" w:eastAsia="Book Antiqua" w:hAnsi="Book Antiqua" w:cs="Book Antiqua"/>
        </w:rPr>
        <w:t xml:space="preserve"> 2014; </w:t>
      </w:r>
      <w:r>
        <w:rPr>
          <w:rFonts w:ascii="Book Antiqua" w:eastAsia="Book Antiqua" w:hAnsi="Book Antiqua" w:cs="Book Antiqua"/>
          <w:b/>
          <w:bCs/>
        </w:rPr>
        <w:t>124</w:t>
      </w:r>
      <w:r>
        <w:rPr>
          <w:rFonts w:ascii="Book Antiqua" w:eastAsia="Book Antiqua" w:hAnsi="Book Antiqua" w:cs="Book Antiqua"/>
        </w:rPr>
        <w:t>: 3863-3878 [PMID: 25105363 DOI: 10.1172/JCI72189]</w:t>
      </w:r>
    </w:p>
    <w:p w14:paraId="4FAD5499" w14:textId="77777777" w:rsidR="00A77B3E" w:rsidRDefault="00CC2EF4">
      <w:pPr>
        <w:spacing w:line="360" w:lineRule="auto"/>
        <w:jc w:val="both"/>
      </w:pPr>
      <w:proofErr w:type="gramStart"/>
      <w:r>
        <w:rPr>
          <w:rFonts w:ascii="Book Antiqua" w:eastAsia="Book Antiqua" w:hAnsi="Book Antiqua" w:cs="Book Antiqua"/>
        </w:rPr>
        <w:t xml:space="preserve">61 </w:t>
      </w:r>
      <w:r>
        <w:rPr>
          <w:rFonts w:ascii="Book Antiqua" w:eastAsia="Book Antiqua" w:hAnsi="Book Antiqua" w:cs="Book Antiqua"/>
          <w:b/>
          <w:bCs/>
        </w:rPr>
        <w:t>Bernier-Latmani J</w:t>
      </w:r>
      <w:r>
        <w:rPr>
          <w:rFonts w:ascii="Book Antiqua" w:eastAsia="Book Antiqua" w:hAnsi="Book Antiqua" w:cs="Book Antiqua"/>
        </w:rPr>
        <w:t>, Cisarovsky C,</w:t>
      </w:r>
      <w:proofErr w:type="gramEnd"/>
      <w:r>
        <w:rPr>
          <w:rFonts w:ascii="Book Antiqua" w:eastAsia="Book Antiqua" w:hAnsi="Book Antiqua" w:cs="Book Antiqua"/>
        </w:rPr>
        <w:t xml:space="preserve"> Demir CS, Bruand M, Jaquet M, Davanture S, Ragusa S, Siegert S, Dormond O, Benedito R, Radtke F, Luther SA, Petrova TV. DLL4 promotes continuous adult intestinal lacteal regeneration and dietary fat transport. </w:t>
      </w:r>
      <w:r>
        <w:rPr>
          <w:rFonts w:ascii="Book Antiqua" w:eastAsia="Book Antiqua" w:hAnsi="Book Antiqua" w:cs="Book Antiqua"/>
          <w:i/>
          <w:iCs/>
        </w:rPr>
        <w:t>J Clin Invest</w:t>
      </w:r>
      <w:r>
        <w:rPr>
          <w:rFonts w:ascii="Book Antiqua" w:eastAsia="Book Antiqua" w:hAnsi="Book Antiqua" w:cs="Book Antiqua"/>
        </w:rPr>
        <w:t xml:space="preserve"> 2015; </w:t>
      </w:r>
      <w:r>
        <w:rPr>
          <w:rFonts w:ascii="Book Antiqua" w:eastAsia="Book Antiqua" w:hAnsi="Book Antiqua" w:cs="Book Antiqua"/>
          <w:b/>
          <w:bCs/>
        </w:rPr>
        <w:t>125</w:t>
      </w:r>
      <w:r>
        <w:rPr>
          <w:rFonts w:ascii="Book Antiqua" w:eastAsia="Book Antiqua" w:hAnsi="Book Antiqua" w:cs="Book Antiqua"/>
        </w:rPr>
        <w:t>: 4572-4586 [PMID: 26529256 DOI: 10.1172/JCI82045]</w:t>
      </w:r>
    </w:p>
    <w:p w14:paraId="479351B7" w14:textId="77777777" w:rsidR="00A77B3E" w:rsidRDefault="00CC2EF4">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Long SH</w:t>
      </w:r>
      <w:r>
        <w:rPr>
          <w:rFonts w:ascii="Book Antiqua" w:eastAsia="Book Antiqua" w:hAnsi="Book Antiqua" w:cs="Book Antiqua"/>
        </w:rPr>
        <w:t xml:space="preserve">, He Y, Chen MH, Cao K, Chen YJ, Chen BL, Mao R, Zhang SH, Zhu ZH, Zeng ZR, Hu PJ. </w:t>
      </w:r>
      <w:proofErr w:type="gramStart"/>
      <w:r>
        <w:rPr>
          <w:rFonts w:ascii="Book Antiqua" w:eastAsia="Book Antiqua" w:hAnsi="Book Antiqua" w:cs="Book Antiqua"/>
        </w:rPr>
        <w:t>Activation of PI3K/Akt/mTOR signaling pathway triggered by PTEN downregulation in the pathogenesis of Crohn's disease.</w:t>
      </w:r>
      <w:proofErr w:type="gramEnd"/>
      <w:r>
        <w:rPr>
          <w:rFonts w:ascii="Book Antiqua" w:eastAsia="Book Antiqua" w:hAnsi="Book Antiqua" w:cs="Book Antiqua"/>
        </w:rPr>
        <w:t xml:space="preserve"> </w:t>
      </w:r>
      <w:r>
        <w:rPr>
          <w:rFonts w:ascii="Book Antiqua" w:eastAsia="Book Antiqua" w:hAnsi="Book Antiqua" w:cs="Book Antiqua"/>
          <w:i/>
          <w:iCs/>
        </w:rPr>
        <w:t>J Dig Dis</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662-669 [PMID: 23962154 DOI: 10.1111/1751-2980.12095]</w:t>
      </w:r>
    </w:p>
    <w:p w14:paraId="79B2B50A" w14:textId="77777777" w:rsidR="00A77B3E" w:rsidRDefault="00CC2EF4">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Powell JD</w:t>
      </w:r>
      <w:r>
        <w:rPr>
          <w:rFonts w:ascii="Book Antiqua" w:eastAsia="Book Antiqua" w:hAnsi="Book Antiqua" w:cs="Book Antiqua"/>
        </w:rPr>
        <w:t xml:space="preserve">, Pollizzi KN, Heikamp EB, Horton MR. Regulation of immune responses by mTOR. </w:t>
      </w:r>
      <w:r>
        <w:rPr>
          <w:rFonts w:ascii="Book Antiqua" w:eastAsia="Book Antiqua" w:hAnsi="Book Antiqua" w:cs="Book Antiqua"/>
          <w:i/>
          <w:iCs/>
        </w:rPr>
        <w:t>Annu Rev Immunol</w:t>
      </w:r>
      <w:r>
        <w:rPr>
          <w:rFonts w:ascii="Book Antiqua" w:eastAsia="Book Antiqua" w:hAnsi="Book Antiqua" w:cs="Book Antiqua"/>
        </w:rPr>
        <w:t xml:space="preserve"> 2012; </w:t>
      </w:r>
      <w:r>
        <w:rPr>
          <w:rFonts w:ascii="Book Antiqua" w:eastAsia="Book Antiqua" w:hAnsi="Book Antiqua" w:cs="Book Antiqua"/>
          <w:b/>
          <w:bCs/>
        </w:rPr>
        <w:t>30</w:t>
      </w:r>
      <w:r>
        <w:rPr>
          <w:rFonts w:ascii="Book Antiqua" w:eastAsia="Book Antiqua" w:hAnsi="Book Antiqua" w:cs="Book Antiqua"/>
        </w:rPr>
        <w:t>: 39-68 [PMID: 22136167 DOI: 10.1146/annurev-immunol-020711-075024]</w:t>
      </w:r>
    </w:p>
    <w:p w14:paraId="57D83F7C" w14:textId="77777777" w:rsidR="00A77B3E" w:rsidRDefault="00CC2EF4">
      <w:pPr>
        <w:spacing w:line="360" w:lineRule="auto"/>
        <w:jc w:val="both"/>
      </w:pPr>
      <w:r>
        <w:rPr>
          <w:rFonts w:ascii="Book Antiqua" w:eastAsia="Book Antiqua" w:hAnsi="Book Antiqua" w:cs="Book Antiqua"/>
        </w:rPr>
        <w:lastRenderedPageBreak/>
        <w:t xml:space="preserve">64 </w:t>
      </w:r>
      <w:r>
        <w:rPr>
          <w:rFonts w:ascii="Book Antiqua" w:eastAsia="Book Antiqua" w:hAnsi="Book Antiqua" w:cs="Book Antiqua"/>
          <w:b/>
          <w:bCs/>
        </w:rPr>
        <w:t>Ungaro F</w:t>
      </w:r>
      <w:r>
        <w:rPr>
          <w:rFonts w:ascii="Book Antiqua" w:eastAsia="Book Antiqua" w:hAnsi="Book Antiqua" w:cs="Book Antiqua"/>
        </w:rPr>
        <w:t xml:space="preserve">, Garlatti V, Massimino L, Spinelli A, Carvello M, Sacchi M, Spanò S, Colasante G, Valassina N, Vetrano S, Malesci A, Peyrin-Biroulet L, Danese S, D'Alessio S. mTOR-Dependent Stimulation of IL20RA Orchestrates Immune Cell Trafficking through Lymphatic Endothelium in Patients with Crohn's Disease. </w:t>
      </w:r>
      <w:r>
        <w:rPr>
          <w:rFonts w:ascii="Book Antiqua" w:eastAsia="Book Antiqua" w:hAnsi="Book Antiqua" w:cs="Book Antiqua"/>
          <w:i/>
          <w:iCs/>
        </w:rPr>
        <w:t>Cells</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31426584 DOI: 10.3390/cells8080924]</w:t>
      </w:r>
    </w:p>
    <w:p w14:paraId="1E0865D2" w14:textId="77777777" w:rsidR="00A77B3E" w:rsidRDefault="00CC2EF4">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Shen B</w:t>
      </w:r>
      <w:r>
        <w:rPr>
          <w:rFonts w:ascii="Book Antiqua" w:eastAsia="Book Antiqua" w:hAnsi="Book Antiqua" w:cs="Book Antiqua"/>
        </w:rPr>
        <w:t xml:space="preserve">, Shang Z, Wang B, Zhang L, Zhou F, Li T, Chu M, Jiang H, Wang Y, Qiao T, Zhang J, Sun W, Kong X, He Y. Genetic dissection of tie pathway in mouse lymphatic maturation and valve development. </w:t>
      </w:r>
      <w:r>
        <w:rPr>
          <w:rFonts w:ascii="Book Antiqua" w:eastAsia="Book Antiqua" w:hAnsi="Book Antiqua" w:cs="Book Antiqua"/>
          <w:i/>
          <w:iCs/>
        </w:rPr>
        <w:t>Arterioscler Thromb Vasc Biol</w:t>
      </w:r>
      <w:r>
        <w:rPr>
          <w:rFonts w:ascii="Book Antiqua" w:eastAsia="Book Antiqua" w:hAnsi="Book Antiqua" w:cs="Book Antiqua"/>
        </w:rPr>
        <w:t xml:space="preserve"> 2014; </w:t>
      </w:r>
      <w:r>
        <w:rPr>
          <w:rFonts w:ascii="Book Antiqua" w:eastAsia="Book Antiqua" w:hAnsi="Book Antiqua" w:cs="Book Antiqua"/>
          <w:b/>
          <w:bCs/>
        </w:rPr>
        <w:t>34</w:t>
      </w:r>
      <w:r>
        <w:rPr>
          <w:rFonts w:ascii="Book Antiqua" w:eastAsia="Book Antiqua" w:hAnsi="Book Antiqua" w:cs="Book Antiqua"/>
        </w:rPr>
        <w:t>: 1221-1230 [PMID: 24764452 DOI: 10.1161/ATVBAHA.113.302923]</w:t>
      </w:r>
    </w:p>
    <w:p w14:paraId="4336E0BC" w14:textId="77777777" w:rsidR="00A77B3E" w:rsidRDefault="00CC2EF4">
      <w:pPr>
        <w:spacing w:line="360" w:lineRule="auto"/>
        <w:jc w:val="both"/>
      </w:pPr>
      <w:r>
        <w:rPr>
          <w:rFonts w:ascii="Book Antiqua" w:eastAsia="Book Antiqua" w:hAnsi="Book Antiqua" w:cs="Book Antiqua"/>
        </w:rPr>
        <w:t xml:space="preserve">66 </w:t>
      </w:r>
      <w:r>
        <w:rPr>
          <w:rFonts w:ascii="Book Antiqua" w:eastAsia="Book Antiqua" w:hAnsi="Book Antiqua" w:cs="Book Antiqua"/>
          <w:b/>
          <w:bCs/>
        </w:rPr>
        <w:t>Gale NW</w:t>
      </w:r>
      <w:r>
        <w:rPr>
          <w:rFonts w:ascii="Book Antiqua" w:eastAsia="Book Antiqua" w:hAnsi="Book Antiqua" w:cs="Book Antiqua"/>
        </w:rPr>
        <w:t xml:space="preserve">, Thurston G, Hackett SF, Renard R, Wang Q, McClain J, Martin C, Witte C, Witte MH, Jackson D, Suri C, Campochiaro PA, Wiegand SJ, Yancopoulos GD. Angiopoietin-2 is required for postnatal angiogenesis and lymphatic patterning, and only the latter role is rescued by Angiopoietin-1. </w:t>
      </w:r>
      <w:r>
        <w:rPr>
          <w:rFonts w:ascii="Book Antiqua" w:eastAsia="Book Antiqua" w:hAnsi="Book Antiqua" w:cs="Book Antiqua"/>
          <w:i/>
          <w:iCs/>
        </w:rPr>
        <w:t>Dev Cell</w:t>
      </w:r>
      <w:r>
        <w:rPr>
          <w:rFonts w:ascii="Book Antiqua" w:eastAsia="Book Antiqua" w:hAnsi="Book Antiqua" w:cs="Book Antiqua"/>
        </w:rPr>
        <w:t xml:space="preserve"> 2002; </w:t>
      </w:r>
      <w:r>
        <w:rPr>
          <w:rFonts w:ascii="Book Antiqua" w:eastAsia="Book Antiqua" w:hAnsi="Book Antiqua" w:cs="Book Antiqua"/>
          <w:b/>
          <w:bCs/>
        </w:rPr>
        <w:t>3</w:t>
      </w:r>
      <w:r>
        <w:rPr>
          <w:rFonts w:ascii="Book Antiqua" w:eastAsia="Book Antiqua" w:hAnsi="Book Antiqua" w:cs="Book Antiqua"/>
        </w:rPr>
        <w:t>: 411-423 [PMID: 12361603 DOI: 10.1016/s1534-5807(02)00217-4]</w:t>
      </w:r>
    </w:p>
    <w:p w14:paraId="2B587606" w14:textId="77777777" w:rsidR="00A77B3E" w:rsidRDefault="00CC2EF4">
      <w:pPr>
        <w:spacing w:line="360" w:lineRule="auto"/>
        <w:jc w:val="both"/>
      </w:pPr>
      <w:r>
        <w:rPr>
          <w:rFonts w:ascii="Book Antiqua" w:eastAsia="Book Antiqua" w:hAnsi="Book Antiqua" w:cs="Book Antiqua"/>
        </w:rPr>
        <w:t xml:space="preserve">67 </w:t>
      </w:r>
      <w:r>
        <w:rPr>
          <w:rFonts w:ascii="Book Antiqua" w:eastAsia="Book Antiqua" w:hAnsi="Book Antiqua" w:cs="Book Antiqua"/>
          <w:b/>
          <w:bCs/>
        </w:rPr>
        <w:t>Oikonomou KA</w:t>
      </w:r>
      <w:r>
        <w:rPr>
          <w:rFonts w:ascii="Book Antiqua" w:eastAsia="Book Antiqua" w:hAnsi="Book Antiqua" w:cs="Book Antiqua"/>
        </w:rPr>
        <w:t xml:space="preserve">, Kapsoritakis AN, Kapsoritaki AI, Manolakis AC, Tiaka EK, Tsiopoulos FD, Tsiompanidis IA, Potamianos SP. Angiogenin, angiopoietin-1, angiopoietin-2, and endostatin serum levels in inflammatory bowel disease. </w:t>
      </w:r>
      <w:r>
        <w:rPr>
          <w:rFonts w:ascii="Book Antiqua" w:eastAsia="Book Antiqua" w:hAnsi="Book Antiqua" w:cs="Book Antiqua"/>
          <w:i/>
          <w:iCs/>
        </w:rPr>
        <w:t>Inflamm Bowel Dis</w:t>
      </w:r>
      <w:r>
        <w:rPr>
          <w:rFonts w:ascii="Book Antiqua" w:eastAsia="Book Antiqua" w:hAnsi="Book Antiqua" w:cs="Book Antiqua"/>
        </w:rPr>
        <w:t xml:space="preserve"> 2011; </w:t>
      </w:r>
      <w:r>
        <w:rPr>
          <w:rFonts w:ascii="Book Antiqua" w:eastAsia="Book Antiqua" w:hAnsi="Book Antiqua" w:cs="Book Antiqua"/>
          <w:b/>
          <w:bCs/>
        </w:rPr>
        <w:t>17</w:t>
      </w:r>
      <w:r>
        <w:rPr>
          <w:rFonts w:ascii="Book Antiqua" w:eastAsia="Book Antiqua" w:hAnsi="Book Antiqua" w:cs="Book Antiqua"/>
        </w:rPr>
        <w:t>: 963-970 [PMID: 20629092 DOI: 10.1002/ibd.21410]</w:t>
      </w:r>
    </w:p>
    <w:p w14:paraId="7BB482F7" w14:textId="77777777" w:rsidR="00A77B3E" w:rsidRDefault="00CC2EF4">
      <w:pPr>
        <w:spacing w:line="360" w:lineRule="auto"/>
        <w:jc w:val="both"/>
      </w:pPr>
      <w:r>
        <w:rPr>
          <w:rFonts w:ascii="Book Antiqua" w:eastAsia="Book Antiqua" w:hAnsi="Book Antiqua" w:cs="Book Antiqua"/>
        </w:rPr>
        <w:t xml:space="preserve">68 </w:t>
      </w:r>
      <w:r>
        <w:rPr>
          <w:rFonts w:ascii="Book Antiqua" w:eastAsia="Book Antiqua" w:hAnsi="Book Antiqua" w:cs="Book Antiqua"/>
          <w:b/>
          <w:bCs/>
        </w:rPr>
        <w:t>Wang L</w:t>
      </w:r>
      <w:r>
        <w:rPr>
          <w:rFonts w:ascii="Book Antiqua" w:eastAsia="Book Antiqua" w:hAnsi="Book Antiqua" w:cs="Book Antiqua"/>
        </w:rPr>
        <w:t xml:space="preserve">, Wang S, Xue A, Shi J, Zheng C, Huang Y. Thalidomide Inhibits Angiogenesis </w:t>
      </w:r>
      <w:r>
        <w:rPr>
          <w:rFonts w:ascii="Book Antiqua" w:eastAsia="Book Antiqua" w:hAnsi="Book Antiqua" w:cs="Book Antiqua"/>
          <w:i/>
          <w:iCs/>
        </w:rPr>
        <w:t>via</w:t>
      </w:r>
      <w:r>
        <w:rPr>
          <w:rFonts w:ascii="Book Antiqua" w:eastAsia="Book Antiqua" w:hAnsi="Book Antiqua" w:cs="Book Antiqua"/>
        </w:rPr>
        <w:t xml:space="preserve"> Downregulation of VEGF and Angiopoietin-2 in Crohn's Disease. </w:t>
      </w:r>
      <w:r>
        <w:rPr>
          <w:rFonts w:ascii="Book Antiqua" w:eastAsia="Book Antiqua" w:hAnsi="Book Antiqua" w:cs="Book Antiqua"/>
          <w:i/>
          <w:iCs/>
        </w:rPr>
        <w:t>Inflammation</w:t>
      </w:r>
      <w:r>
        <w:rPr>
          <w:rFonts w:ascii="Book Antiqua" w:eastAsia="Book Antiqua" w:hAnsi="Book Antiqua" w:cs="Book Antiqua"/>
        </w:rPr>
        <w:t xml:space="preserve"> 2021; </w:t>
      </w:r>
      <w:r>
        <w:rPr>
          <w:rFonts w:ascii="Book Antiqua" w:eastAsia="Book Antiqua" w:hAnsi="Book Antiqua" w:cs="Book Antiqua"/>
          <w:b/>
          <w:bCs/>
        </w:rPr>
        <w:t>44</w:t>
      </w:r>
      <w:r>
        <w:rPr>
          <w:rFonts w:ascii="Book Antiqua" w:eastAsia="Book Antiqua" w:hAnsi="Book Antiqua" w:cs="Book Antiqua"/>
        </w:rPr>
        <w:t>: 795-807 [PMID: 33206273 DOI: 10.1007/s10753-020-01378-8]</w:t>
      </w:r>
    </w:p>
    <w:p w14:paraId="5711462C" w14:textId="77777777" w:rsidR="00A77B3E" w:rsidRDefault="00CC2EF4">
      <w:pPr>
        <w:spacing w:line="360" w:lineRule="auto"/>
        <w:jc w:val="both"/>
      </w:pPr>
      <w:proofErr w:type="gramStart"/>
      <w:r>
        <w:rPr>
          <w:rFonts w:ascii="Book Antiqua" w:eastAsia="Book Antiqua" w:hAnsi="Book Antiqua" w:cs="Book Antiqua"/>
        </w:rPr>
        <w:t xml:space="preserve">69 </w:t>
      </w:r>
      <w:r>
        <w:rPr>
          <w:rFonts w:ascii="Book Antiqua" w:eastAsia="Book Antiqua" w:hAnsi="Book Antiqua" w:cs="Book Antiqua"/>
          <w:b/>
          <w:bCs/>
        </w:rPr>
        <w:t>Hayashi Y</w:t>
      </w:r>
      <w:r>
        <w:rPr>
          <w:rFonts w:ascii="Book Antiqua" w:eastAsia="Book Antiqua" w:hAnsi="Book Antiqua" w:cs="Book Antiqua"/>
        </w:rPr>
        <w:t>, Nakase H.</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Molecular Mechanisms of Intestinal Inflammation and Fibrosis in Crohn's Disease.</w:t>
      </w:r>
      <w:proofErr w:type="gramEnd"/>
      <w:r>
        <w:rPr>
          <w:rFonts w:ascii="Book Antiqua" w:eastAsia="Book Antiqua" w:hAnsi="Book Antiqua" w:cs="Book Antiqua"/>
        </w:rPr>
        <w:t xml:space="preserve"> </w:t>
      </w:r>
      <w:r>
        <w:rPr>
          <w:rFonts w:ascii="Book Antiqua" w:eastAsia="Book Antiqua" w:hAnsi="Book Antiqua" w:cs="Book Antiqua"/>
          <w:i/>
          <w:iCs/>
        </w:rPr>
        <w:t>Front Physiol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845078 [PMID: 35222098 DOI: 10.3389/fphys.2022.845078]</w:t>
      </w:r>
    </w:p>
    <w:p w14:paraId="4CBDFD58" w14:textId="77777777" w:rsidR="00A77B3E" w:rsidRDefault="00CC2EF4">
      <w:pPr>
        <w:spacing w:line="360" w:lineRule="auto"/>
        <w:jc w:val="both"/>
      </w:pPr>
      <w:r>
        <w:rPr>
          <w:rFonts w:ascii="Book Antiqua" w:eastAsia="Book Antiqua" w:hAnsi="Book Antiqua" w:cs="Book Antiqua"/>
        </w:rPr>
        <w:t xml:space="preserve">70 </w:t>
      </w:r>
      <w:r>
        <w:rPr>
          <w:rFonts w:ascii="Book Antiqua" w:eastAsia="Book Antiqua" w:hAnsi="Book Antiqua" w:cs="Book Antiqua"/>
          <w:b/>
          <w:bCs/>
        </w:rPr>
        <w:t>Neal MD</w:t>
      </w:r>
      <w:r>
        <w:rPr>
          <w:rFonts w:ascii="Book Antiqua" w:eastAsia="Book Antiqua" w:hAnsi="Book Antiqua" w:cs="Book Antiqua"/>
        </w:rPr>
        <w:t xml:space="preserve">, Leaphart C, Levy R, Prince J, Billiar TR, Watkins S, Li J, Cetin S, Ford H, Schreiber A, Hackam DJ. Enterocyte TLR4 mediates phagocytosis and translocation of bacteria across the intestinal barrier. </w:t>
      </w:r>
      <w:r>
        <w:rPr>
          <w:rFonts w:ascii="Book Antiqua" w:eastAsia="Book Antiqua" w:hAnsi="Book Antiqua" w:cs="Book Antiqua"/>
          <w:i/>
          <w:iCs/>
        </w:rPr>
        <w:t>J Immunol</w:t>
      </w:r>
      <w:r>
        <w:rPr>
          <w:rFonts w:ascii="Book Antiqua" w:eastAsia="Book Antiqua" w:hAnsi="Book Antiqua" w:cs="Book Antiqua"/>
        </w:rPr>
        <w:t xml:space="preserve"> 2006; </w:t>
      </w:r>
      <w:r>
        <w:rPr>
          <w:rFonts w:ascii="Book Antiqua" w:eastAsia="Book Antiqua" w:hAnsi="Book Antiqua" w:cs="Book Antiqua"/>
          <w:b/>
          <w:bCs/>
        </w:rPr>
        <w:t>176</w:t>
      </w:r>
      <w:r>
        <w:rPr>
          <w:rFonts w:ascii="Book Antiqua" w:eastAsia="Book Antiqua" w:hAnsi="Book Antiqua" w:cs="Book Antiqua"/>
        </w:rPr>
        <w:t>: 3070-3079 [PMID: 16493066 DOI: 10.4049/jimmunol.176.5.3070]</w:t>
      </w:r>
    </w:p>
    <w:p w14:paraId="2FAD005F" w14:textId="77777777" w:rsidR="00A77B3E" w:rsidRDefault="00CC2EF4">
      <w:pPr>
        <w:spacing w:line="360" w:lineRule="auto"/>
        <w:jc w:val="both"/>
      </w:pPr>
      <w:proofErr w:type="gramStart"/>
      <w:r>
        <w:rPr>
          <w:rFonts w:ascii="Book Antiqua" w:eastAsia="Book Antiqua" w:hAnsi="Book Antiqua" w:cs="Book Antiqua"/>
        </w:rPr>
        <w:lastRenderedPageBreak/>
        <w:t xml:space="preserve">71 </w:t>
      </w:r>
      <w:r>
        <w:rPr>
          <w:rFonts w:ascii="Book Antiqua" w:eastAsia="Book Antiqua" w:hAnsi="Book Antiqua" w:cs="Book Antiqua"/>
          <w:b/>
          <w:bCs/>
        </w:rPr>
        <w:t>Stephens M</w:t>
      </w:r>
      <w:r>
        <w:rPr>
          <w:rFonts w:ascii="Book Antiqua" w:eastAsia="Book Antiqua" w:hAnsi="Book Antiqua" w:cs="Book Antiqua"/>
        </w:rPr>
        <w:t>, Liao S, von der Weid PY.</w:t>
      </w:r>
      <w:proofErr w:type="gramEnd"/>
      <w:r>
        <w:rPr>
          <w:rFonts w:ascii="Book Antiqua" w:eastAsia="Book Antiqua" w:hAnsi="Book Antiqua" w:cs="Book Antiqua"/>
        </w:rPr>
        <w:t xml:space="preserve"> Mesenteric Lymphatic Alterations Observed During DSS Induced Intestinal Inflammation Are Driven in a TLR4-PAMP/DAMP Discriminative Manner. </w:t>
      </w:r>
      <w:r>
        <w:rPr>
          <w:rFonts w:ascii="Book Antiqua" w:eastAsia="Book Antiqua" w:hAnsi="Book Antiqua" w:cs="Book Antiqua"/>
          <w:i/>
          <w:iCs/>
        </w:rPr>
        <w:t>Front Immunol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557 [PMID: 30972059 DOI: 10.3389/fimmu.2019.00557]</w:t>
      </w:r>
    </w:p>
    <w:p w14:paraId="1AF40977" w14:textId="77777777" w:rsidR="00A77B3E" w:rsidRDefault="00CC2EF4">
      <w:pPr>
        <w:spacing w:line="360" w:lineRule="auto"/>
        <w:jc w:val="both"/>
      </w:pPr>
      <w:proofErr w:type="gramStart"/>
      <w:r>
        <w:rPr>
          <w:rFonts w:ascii="Book Antiqua" w:eastAsia="Book Antiqua" w:hAnsi="Book Antiqua" w:cs="Book Antiqua"/>
        </w:rPr>
        <w:t xml:space="preserve">72 </w:t>
      </w:r>
      <w:r>
        <w:rPr>
          <w:rFonts w:ascii="Book Antiqua" w:eastAsia="Book Antiqua" w:hAnsi="Book Antiqua" w:cs="Book Antiqua"/>
          <w:b/>
          <w:bCs/>
        </w:rPr>
        <w:t>Atreya I</w:t>
      </w:r>
      <w:r>
        <w:rPr>
          <w:rFonts w:ascii="Book Antiqua" w:eastAsia="Book Antiqua" w:hAnsi="Book Antiqua" w:cs="Book Antiqua"/>
        </w:rPr>
        <w:t>, Atreya R, Neurath MF.</w:t>
      </w:r>
      <w:proofErr w:type="gramEnd"/>
      <w:r>
        <w:rPr>
          <w:rFonts w:ascii="Book Antiqua" w:eastAsia="Book Antiqua" w:hAnsi="Book Antiqua" w:cs="Book Antiqua"/>
        </w:rPr>
        <w:t xml:space="preserve"> </w:t>
      </w:r>
      <w:proofErr w:type="gramStart"/>
      <w:r>
        <w:rPr>
          <w:rFonts w:ascii="Book Antiqua" w:eastAsia="Book Antiqua" w:hAnsi="Book Antiqua" w:cs="Book Antiqua"/>
        </w:rPr>
        <w:t>NF-kappaB in inflammatory bowel disease.</w:t>
      </w:r>
      <w:proofErr w:type="gramEnd"/>
      <w:r>
        <w:rPr>
          <w:rFonts w:ascii="Book Antiqua" w:eastAsia="Book Antiqua" w:hAnsi="Book Antiqua" w:cs="Book Antiqua"/>
        </w:rPr>
        <w:t xml:space="preserve"> </w:t>
      </w:r>
      <w:r>
        <w:rPr>
          <w:rFonts w:ascii="Book Antiqua" w:eastAsia="Book Antiqua" w:hAnsi="Book Antiqua" w:cs="Book Antiqua"/>
          <w:i/>
          <w:iCs/>
        </w:rPr>
        <w:t>J Intern Med</w:t>
      </w:r>
      <w:r>
        <w:rPr>
          <w:rFonts w:ascii="Book Antiqua" w:eastAsia="Book Antiqua" w:hAnsi="Book Antiqua" w:cs="Book Antiqua"/>
        </w:rPr>
        <w:t xml:space="preserve"> 2008; </w:t>
      </w:r>
      <w:r>
        <w:rPr>
          <w:rFonts w:ascii="Book Antiqua" w:eastAsia="Book Antiqua" w:hAnsi="Book Antiqua" w:cs="Book Antiqua"/>
          <w:b/>
          <w:bCs/>
        </w:rPr>
        <w:t>263</w:t>
      </w:r>
      <w:r>
        <w:rPr>
          <w:rFonts w:ascii="Book Antiqua" w:eastAsia="Book Antiqua" w:hAnsi="Book Antiqua" w:cs="Book Antiqua"/>
        </w:rPr>
        <w:t>: 591-596 [PMID: 18479258 DOI: 10.1111/j.1365-2796.2008.01953.x]</w:t>
      </w:r>
    </w:p>
    <w:p w14:paraId="1F1BE29D" w14:textId="77777777" w:rsidR="00A77B3E" w:rsidRDefault="00CC2EF4">
      <w:pPr>
        <w:spacing w:line="360" w:lineRule="auto"/>
        <w:jc w:val="both"/>
      </w:pPr>
      <w:r>
        <w:rPr>
          <w:rFonts w:ascii="Book Antiqua" w:eastAsia="Book Antiqua" w:hAnsi="Book Antiqua" w:cs="Book Antiqua"/>
        </w:rPr>
        <w:t xml:space="preserve">73 </w:t>
      </w:r>
      <w:r>
        <w:rPr>
          <w:rFonts w:ascii="Book Antiqua" w:eastAsia="Book Antiqua" w:hAnsi="Book Antiqua" w:cs="Book Antiqua"/>
          <w:b/>
          <w:bCs/>
        </w:rPr>
        <w:t>Flister MJ</w:t>
      </w:r>
      <w:r>
        <w:rPr>
          <w:rFonts w:ascii="Book Antiqua" w:eastAsia="Book Antiqua" w:hAnsi="Book Antiqua" w:cs="Book Antiqua"/>
        </w:rPr>
        <w:t xml:space="preserve">, Wilber A, Hall KL, Iwata C, Miyazono K, Nisato RE, Pepper MS, Zawieja DC, Ran S. Inflammation induces lymphangiogenesis through up-regulation of VEGFR-3 mediated by NF-kappaB and Prox1. </w:t>
      </w:r>
      <w:r>
        <w:rPr>
          <w:rFonts w:ascii="Book Antiqua" w:eastAsia="Book Antiqua" w:hAnsi="Book Antiqua" w:cs="Book Antiqua"/>
          <w:i/>
          <w:iCs/>
        </w:rPr>
        <w:t>Blood</w:t>
      </w:r>
      <w:r>
        <w:rPr>
          <w:rFonts w:ascii="Book Antiqua" w:eastAsia="Book Antiqua" w:hAnsi="Book Antiqua" w:cs="Book Antiqua"/>
        </w:rPr>
        <w:t xml:space="preserve"> 2010; </w:t>
      </w:r>
      <w:r>
        <w:rPr>
          <w:rFonts w:ascii="Book Antiqua" w:eastAsia="Book Antiqua" w:hAnsi="Book Antiqua" w:cs="Book Antiqua"/>
          <w:b/>
          <w:bCs/>
        </w:rPr>
        <w:t>115</w:t>
      </w:r>
      <w:r>
        <w:rPr>
          <w:rFonts w:ascii="Book Antiqua" w:eastAsia="Book Antiqua" w:hAnsi="Book Antiqua" w:cs="Book Antiqua"/>
        </w:rPr>
        <w:t>: 418-429 [PMID: 19901262 DOI: 10.1182/blood-2008-12-196840]</w:t>
      </w:r>
    </w:p>
    <w:p w14:paraId="0BD16659" w14:textId="77777777" w:rsidR="00A77B3E" w:rsidRDefault="00CC2EF4">
      <w:pPr>
        <w:spacing w:line="360" w:lineRule="auto"/>
        <w:jc w:val="both"/>
      </w:pPr>
      <w:r>
        <w:rPr>
          <w:rFonts w:ascii="Book Antiqua" w:eastAsia="Book Antiqua" w:hAnsi="Book Antiqua" w:cs="Book Antiqua"/>
        </w:rPr>
        <w:t xml:space="preserve">74 </w:t>
      </w:r>
      <w:r>
        <w:rPr>
          <w:rFonts w:ascii="Book Antiqua" w:eastAsia="Book Antiqua" w:hAnsi="Book Antiqua" w:cs="Book Antiqua"/>
          <w:b/>
          <w:bCs/>
        </w:rPr>
        <w:t>Nagahashi M</w:t>
      </w:r>
      <w:r>
        <w:rPr>
          <w:rFonts w:ascii="Book Antiqua" w:eastAsia="Book Antiqua" w:hAnsi="Book Antiqua" w:cs="Book Antiqua"/>
        </w:rPr>
        <w:t xml:space="preserve">, Abe M, Sakimura K, Takabe K, Wakai T. </w:t>
      </w:r>
      <w:proofErr w:type="gramStart"/>
      <w:r>
        <w:rPr>
          <w:rFonts w:ascii="Book Antiqua" w:eastAsia="Book Antiqua" w:hAnsi="Book Antiqua" w:cs="Book Antiqua"/>
        </w:rPr>
        <w:t>The role of sphingosine-1-phosphate in inflammation and cancer progression.</w:t>
      </w:r>
      <w:proofErr w:type="gramEnd"/>
      <w:r>
        <w:rPr>
          <w:rFonts w:ascii="Book Antiqua" w:eastAsia="Book Antiqua" w:hAnsi="Book Antiqua" w:cs="Book Antiqua"/>
        </w:rPr>
        <w:t xml:space="preserve"> </w:t>
      </w:r>
      <w:r>
        <w:rPr>
          <w:rFonts w:ascii="Book Antiqua" w:eastAsia="Book Antiqua" w:hAnsi="Book Antiqua" w:cs="Book Antiqua"/>
          <w:i/>
          <w:iCs/>
        </w:rPr>
        <w:t>Cancer Sci</w:t>
      </w:r>
      <w:r>
        <w:rPr>
          <w:rFonts w:ascii="Book Antiqua" w:eastAsia="Book Antiqua" w:hAnsi="Book Antiqua" w:cs="Book Antiqua"/>
        </w:rPr>
        <w:t xml:space="preserve"> 2018; </w:t>
      </w:r>
      <w:r>
        <w:rPr>
          <w:rFonts w:ascii="Book Antiqua" w:eastAsia="Book Antiqua" w:hAnsi="Book Antiqua" w:cs="Book Antiqua"/>
          <w:b/>
          <w:bCs/>
        </w:rPr>
        <w:t>109</w:t>
      </w:r>
      <w:r>
        <w:rPr>
          <w:rFonts w:ascii="Book Antiqua" w:eastAsia="Book Antiqua" w:hAnsi="Book Antiqua" w:cs="Book Antiqua"/>
        </w:rPr>
        <w:t>: 3671-3678 [PMID: 30238699 DOI: 10.1111/cas.13802]</w:t>
      </w:r>
    </w:p>
    <w:p w14:paraId="7B50187B" w14:textId="77777777" w:rsidR="00A77B3E" w:rsidRDefault="00CC2EF4">
      <w:pPr>
        <w:spacing w:line="360" w:lineRule="auto"/>
        <w:jc w:val="both"/>
      </w:pPr>
      <w:r>
        <w:rPr>
          <w:rFonts w:ascii="Book Antiqua" w:eastAsia="Book Antiqua" w:hAnsi="Book Antiqua" w:cs="Book Antiqua"/>
        </w:rPr>
        <w:t xml:space="preserve">75 </w:t>
      </w:r>
      <w:r>
        <w:rPr>
          <w:rFonts w:ascii="Book Antiqua" w:eastAsia="Book Antiqua" w:hAnsi="Book Antiqua" w:cs="Book Antiqua"/>
          <w:b/>
          <w:bCs/>
        </w:rPr>
        <w:t>Sandborn WJ</w:t>
      </w:r>
      <w:r>
        <w:rPr>
          <w:rFonts w:ascii="Book Antiqua" w:eastAsia="Book Antiqua" w:hAnsi="Book Antiqua" w:cs="Book Antiqua"/>
        </w:rPr>
        <w:t xml:space="preserve">, Feagan BG, D'Haens G, Wolf DC, Jovanovic I, Hanauer SB, Ghosh S, Petersen A, Hua SY, Lee JH, Charles L, Chitkara D, Usiskin K, Colombel JF, Laine L, Danese S; True North Study Group. </w:t>
      </w:r>
      <w:proofErr w:type="gramStart"/>
      <w:r>
        <w:rPr>
          <w:rFonts w:ascii="Book Antiqua" w:eastAsia="Book Antiqua" w:hAnsi="Book Antiqua" w:cs="Book Antiqua"/>
        </w:rPr>
        <w:t>Ozanimod as Induction and Maintenance Therapy for Ulcerative Colitis.</w:t>
      </w:r>
      <w:proofErr w:type="gramEnd"/>
      <w:r>
        <w:rPr>
          <w:rFonts w:ascii="Book Antiqua" w:eastAsia="Book Antiqua" w:hAnsi="Book Antiqua" w:cs="Book Antiqua"/>
        </w:rPr>
        <w:t xml:space="preserve"> </w:t>
      </w:r>
      <w:r>
        <w:rPr>
          <w:rFonts w:ascii="Book Antiqua" w:eastAsia="Book Antiqua" w:hAnsi="Book Antiqua" w:cs="Book Antiqua"/>
          <w:i/>
          <w:iCs/>
        </w:rPr>
        <w:t>N Engl J Med</w:t>
      </w:r>
      <w:r>
        <w:rPr>
          <w:rFonts w:ascii="Book Antiqua" w:eastAsia="Book Antiqua" w:hAnsi="Book Antiqua" w:cs="Book Antiqua"/>
        </w:rPr>
        <w:t xml:space="preserve"> 2021; </w:t>
      </w:r>
      <w:r>
        <w:rPr>
          <w:rFonts w:ascii="Book Antiqua" w:eastAsia="Book Antiqua" w:hAnsi="Book Antiqua" w:cs="Book Antiqua"/>
          <w:b/>
          <w:bCs/>
        </w:rPr>
        <w:t>385</w:t>
      </w:r>
      <w:r>
        <w:rPr>
          <w:rFonts w:ascii="Book Antiqua" w:eastAsia="Book Antiqua" w:hAnsi="Book Antiqua" w:cs="Book Antiqua"/>
        </w:rPr>
        <w:t>: 1280-1291 [PMID: 34587385 DOI: 10.1056/NEJMoa2033617]</w:t>
      </w:r>
    </w:p>
    <w:p w14:paraId="4AC810B5" w14:textId="77777777" w:rsidR="00A77B3E" w:rsidRDefault="00CC2EF4">
      <w:pPr>
        <w:spacing w:line="360" w:lineRule="auto"/>
        <w:jc w:val="both"/>
      </w:pPr>
      <w:r>
        <w:rPr>
          <w:rFonts w:ascii="Book Antiqua" w:eastAsia="Book Antiqua" w:hAnsi="Book Antiqua" w:cs="Book Antiqua"/>
        </w:rPr>
        <w:t xml:space="preserve">76 </w:t>
      </w:r>
      <w:r>
        <w:rPr>
          <w:rFonts w:ascii="Book Antiqua" w:eastAsia="Book Antiqua" w:hAnsi="Book Antiqua" w:cs="Book Antiqua"/>
          <w:b/>
          <w:bCs/>
        </w:rPr>
        <w:t>Feagan BG</w:t>
      </w:r>
      <w:r>
        <w:rPr>
          <w:rFonts w:ascii="Book Antiqua" w:eastAsia="Book Antiqua" w:hAnsi="Book Antiqua" w:cs="Book Antiqua"/>
        </w:rPr>
        <w:t xml:space="preserve">, Sandborn WJ, Danese S, Wolf DC, Liu WJ, Hua SY, Minton N, Olson A, D'Haens G. Ozanimod induction therapy for patients with moderate to severe Crohn's disease: a single-arm, phase 2, prospective observer-blinded endpoint study. </w:t>
      </w:r>
      <w:r>
        <w:rPr>
          <w:rFonts w:ascii="Book Antiqua" w:eastAsia="Book Antiqua" w:hAnsi="Book Antiqua" w:cs="Book Antiqua"/>
          <w:i/>
          <w:iCs/>
        </w:rPr>
        <w:t>Lancet Gastroenterol Hepatol</w:t>
      </w:r>
      <w:r>
        <w:rPr>
          <w:rFonts w:ascii="Book Antiqua" w:eastAsia="Book Antiqua" w:hAnsi="Book Antiqua" w:cs="Book Antiqua"/>
        </w:rPr>
        <w:t xml:space="preserve"> 2020; </w:t>
      </w:r>
      <w:r>
        <w:rPr>
          <w:rFonts w:ascii="Book Antiqua" w:eastAsia="Book Antiqua" w:hAnsi="Book Antiqua" w:cs="Book Antiqua"/>
          <w:b/>
          <w:bCs/>
        </w:rPr>
        <w:t>5</w:t>
      </w:r>
      <w:r>
        <w:rPr>
          <w:rFonts w:ascii="Book Antiqua" w:eastAsia="Book Antiqua" w:hAnsi="Book Antiqua" w:cs="Book Antiqua"/>
        </w:rPr>
        <w:t>: 819-828 [PMID: 32553149 DOI: 10.1016/S2468-1253(20)30188-6]</w:t>
      </w:r>
    </w:p>
    <w:p w14:paraId="7835CA7D" w14:textId="77777777" w:rsidR="00A77B3E" w:rsidRDefault="00CC2EF4">
      <w:pPr>
        <w:spacing w:line="360" w:lineRule="auto"/>
        <w:jc w:val="both"/>
      </w:pPr>
      <w:r>
        <w:rPr>
          <w:rFonts w:ascii="Book Antiqua" w:eastAsia="Book Antiqua" w:hAnsi="Book Antiqua" w:cs="Book Antiqua"/>
        </w:rPr>
        <w:t xml:space="preserve">77 </w:t>
      </w:r>
      <w:r>
        <w:rPr>
          <w:rFonts w:ascii="Book Antiqua" w:eastAsia="Book Antiqua" w:hAnsi="Book Antiqua" w:cs="Book Antiqua"/>
          <w:b/>
          <w:bCs/>
        </w:rPr>
        <w:t>Mizushima T</w:t>
      </w:r>
      <w:r>
        <w:rPr>
          <w:rFonts w:ascii="Book Antiqua" w:eastAsia="Book Antiqua" w:hAnsi="Book Antiqua" w:cs="Book Antiqua"/>
        </w:rPr>
        <w:t xml:space="preserve">, Ito T, Kishi D, Kai Y, Tamagawa H, Nezu R, Kiyono H, Matsuda H. Therapeutic effects of a new lymphocyte homing reagent FTY720 in interleukin-10 gene-deficient mice with colitis. </w:t>
      </w:r>
      <w:r>
        <w:rPr>
          <w:rFonts w:ascii="Book Antiqua" w:eastAsia="Book Antiqua" w:hAnsi="Book Antiqua" w:cs="Book Antiqua"/>
          <w:i/>
          <w:iCs/>
        </w:rPr>
        <w:t>Inflamm Bowel Dis</w:t>
      </w:r>
      <w:r>
        <w:rPr>
          <w:rFonts w:ascii="Book Antiqua" w:eastAsia="Book Antiqua" w:hAnsi="Book Antiqua" w:cs="Book Antiqua"/>
        </w:rPr>
        <w:t xml:space="preserve"> 2004; </w:t>
      </w:r>
      <w:r>
        <w:rPr>
          <w:rFonts w:ascii="Book Antiqua" w:eastAsia="Book Antiqua" w:hAnsi="Book Antiqua" w:cs="Book Antiqua"/>
          <w:b/>
          <w:bCs/>
        </w:rPr>
        <w:t>10</w:t>
      </w:r>
      <w:r>
        <w:rPr>
          <w:rFonts w:ascii="Book Antiqua" w:eastAsia="Book Antiqua" w:hAnsi="Book Antiqua" w:cs="Book Antiqua"/>
        </w:rPr>
        <w:t>: 182-192 [PMID: 15290910 DOI: 10.1097/00054725-200405000-00002]</w:t>
      </w:r>
    </w:p>
    <w:p w14:paraId="42A61C57" w14:textId="77777777" w:rsidR="00A77B3E" w:rsidRDefault="00CC2EF4">
      <w:pPr>
        <w:spacing w:line="360" w:lineRule="auto"/>
        <w:jc w:val="both"/>
      </w:pPr>
      <w:r>
        <w:rPr>
          <w:rFonts w:ascii="Book Antiqua" w:eastAsia="Book Antiqua" w:hAnsi="Book Antiqua" w:cs="Book Antiqua"/>
        </w:rPr>
        <w:t xml:space="preserve">78 </w:t>
      </w:r>
      <w:r>
        <w:rPr>
          <w:rFonts w:ascii="Book Antiqua" w:eastAsia="Book Antiqua" w:hAnsi="Book Antiqua" w:cs="Book Antiqua"/>
          <w:b/>
          <w:bCs/>
        </w:rPr>
        <w:t>Czepielewski RS</w:t>
      </w:r>
      <w:r>
        <w:rPr>
          <w:rFonts w:ascii="Book Antiqua" w:eastAsia="Book Antiqua" w:hAnsi="Book Antiqua" w:cs="Book Antiqua"/>
        </w:rPr>
        <w:t xml:space="preserve">, Erlich EC, Onufer EJ, Young S, Saunders BT, Han YH, Wohltmann M, Wang PL, Kim KW, Kumar S, Hsieh CS, Scallan JP, Yang Y, Zinselmeyer BH, Davis </w:t>
      </w:r>
      <w:r>
        <w:rPr>
          <w:rFonts w:ascii="Book Antiqua" w:eastAsia="Book Antiqua" w:hAnsi="Book Antiqua" w:cs="Book Antiqua"/>
        </w:rPr>
        <w:lastRenderedPageBreak/>
        <w:t xml:space="preserve">MJ, Randolph GJ. Ileitis-associated tertiary lymphoid organs arise at lymphatic valves and impede mesenteric lymph flow in response to tumor necrosis factor. </w:t>
      </w:r>
      <w:r>
        <w:rPr>
          <w:rFonts w:ascii="Book Antiqua" w:eastAsia="Book Antiqua" w:hAnsi="Book Antiqua" w:cs="Book Antiqua"/>
          <w:i/>
          <w:iCs/>
        </w:rPr>
        <w:t>Immunity</w:t>
      </w:r>
      <w:r>
        <w:rPr>
          <w:rFonts w:ascii="Book Antiqua" w:eastAsia="Book Antiqua" w:hAnsi="Book Antiqua" w:cs="Book Antiqua"/>
        </w:rPr>
        <w:t xml:space="preserve"> 2021; </w:t>
      </w:r>
      <w:r>
        <w:rPr>
          <w:rFonts w:ascii="Book Antiqua" w:eastAsia="Book Antiqua" w:hAnsi="Book Antiqua" w:cs="Book Antiqua"/>
          <w:b/>
          <w:bCs/>
        </w:rPr>
        <w:t>54</w:t>
      </w:r>
      <w:r>
        <w:rPr>
          <w:rFonts w:ascii="Book Antiqua" w:eastAsia="Book Antiqua" w:hAnsi="Book Antiqua" w:cs="Book Antiqua"/>
        </w:rPr>
        <w:t>: 2795-2811.e9 [PMID: 34788601 DOI: 10.1016/j.immuni.2021.10.003]</w:t>
      </w:r>
    </w:p>
    <w:p w14:paraId="799A040D" w14:textId="77777777" w:rsidR="00A77B3E" w:rsidRDefault="00CC2EF4">
      <w:pPr>
        <w:spacing w:line="360" w:lineRule="auto"/>
        <w:jc w:val="both"/>
      </w:pPr>
      <w:r>
        <w:rPr>
          <w:rFonts w:ascii="Book Antiqua" w:eastAsia="Book Antiqua" w:hAnsi="Book Antiqua" w:cs="Book Antiqua"/>
        </w:rPr>
        <w:t xml:space="preserve">79 </w:t>
      </w:r>
      <w:r>
        <w:rPr>
          <w:rFonts w:ascii="Book Antiqua" w:eastAsia="Book Antiqua" w:hAnsi="Book Antiqua" w:cs="Book Antiqua"/>
          <w:b/>
          <w:bCs/>
        </w:rPr>
        <w:t>Gröger M</w:t>
      </w:r>
      <w:r>
        <w:rPr>
          <w:rFonts w:ascii="Book Antiqua" w:eastAsia="Book Antiqua" w:hAnsi="Book Antiqua" w:cs="Book Antiqua"/>
        </w:rPr>
        <w:t xml:space="preserve">, Loewe R, Holnthoner W, Embacher R, Pillinger M, Herron GS, Wolff K, Petzelbauer P. IL-3 induces expression of lymphatic markers Prox-1 and podoplanin in human endothelial cells. </w:t>
      </w:r>
      <w:r>
        <w:rPr>
          <w:rFonts w:ascii="Book Antiqua" w:eastAsia="Book Antiqua" w:hAnsi="Book Antiqua" w:cs="Book Antiqua"/>
          <w:i/>
          <w:iCs/>
        </w:rPr>
        <w:t>J Immunol</w:t>
      </w:r>
      <w:r>
        <w:rPr>
          <w:rFonts w:ascii="Book Antiqua" w:eastAsia="Book Antiqua" w:hAnsi="Book Antiqua" w:cs="Book Antiqua"/>
        </w:rPr>
        <w:t xml:space="preserve"> 2004; </w:t>
      </w:r>
      <w:r>
        <w:rPr>
          <w:rFonts w:ascii="Book Antiqua" w:eastAsia="Book Antiqua" w:hAnsi="Book Antiqua" w:cs="Book Antiqua"/>
          <w:b/>
          <w:bCs/>
        </w:rPr>
        <w:t>173</w:t>
      </w:r>
      <w:r>
        <w:rPr>
          <w:rFonts w:ascii="Book Antiqua" w:eastAsia="Book Antiqua" w:hAnsi="Book Antiqua" w:cs="Book Antiqua"/>
        </w:rPr>
        <w:t>: 7161-7169 [PMID: 15585837 DOI: 10.4049/jimmunol.173.12.7161]</w:t>
      </w:r>
    </w:p>
    <w:p w14:paraId="249A6DBF" w14:textId="77777777" w:rsidR="00A77B3E" w:rsidRDefault="00CC2EF4">
      <w:pPr>
        <w:spacing w:line="360" w:lineRule="auto"/>
        <w:jc w:val="both"/>
      </w:pPr>
      <w:r>
        <w:rPr>
          <w:rFonts w:ascii="Book Antiqua" w:eastAsia="Book Antiqua" w:hAnsi="Book Antiqua" w:cs="Book Antiqua"/>
        </w:rPr>
        <w:t xml:space="preserve">80 </w:t>
      </w:r>
      <w:r>
        <w:rPr>
          <w:rFonts w:ascii="Book Antiqua" w:eastAsia="Book Antiqua" w:hAnsi="Book Antiqua" w:cs="Book Antiqua"/>
          <w:b/>
          <w:bCs/>
        </w:rPr>
        <w:t>Waldner MJ</w:t>
      </w:r>
      <w:r>
        <w:rPr>
          <w:rFonts w:ascii="Book Antiqua" w:eastAsia="Book Antiqua" w:hAnsi="Book Antiqua" w:cs="Book Antiqua"/>
        </w:rPr>
        <w:t xml:space="preserve">, Neurath MF. Master regulator of intestinal disease: IL-6 in chronic inflammation and cancer development. </w:t>
      </w:r>
      <w:r>
        <w:rPr>
          <w:rFonts w:ascii="Book Antiqua" w:eastAsia="Book Antiqua" w:hAnsi="Book Antiqua" w:cs="Book Antiqua"/>
          <w:i/>
          <w:iCs/>
        </w:rPr>
        <w:t>Semin Immunol</w:t>
      </w:r>
      <w:r>
        <w:rPr>
          <w:rFonts w:ascii="Book Antiqua" w:eastAsia="Book Antiqua" w:hAnsi="Book Antiqua" w:cs="Book Antiqua"/>
        </w:rPr>
        <w:t xml:space="preserve"> 2014; </w:t>
      </w:r>
      <w:r>
        <w:rPr>
          <w:rFonts w:ascii="Book Antiqua" w:eastAsia="Book Antiqua" w:hAnsi="Book Antiqua" w:cs="Book Antiqua"/>
          <w:b/>
          <w:bCs/>
        </w:rPr>
        <w:t>26</w:t>
      </w:r>
      <w:r>
        <w:rPr>
          <w:rFonts w:ascii="Book Antiqua" w:eastAsia="Book Antiqua" w:hAnsi="Book Antiqua" w:cs="Book Antiqua"/>
        </w:rPr>
        <w:t>: 75-79 [PMID: 24447345 DOI: 10.1016/j.smim.2013.12.003]</w:t>
      </w:r>
    </w:p>
    <w:p w14:paraId="5370F826" w14:textId="77777777" w:rsidR="00A77B3E" w:rsidRDefault="00CC2EF4">
      <w:pPr>
        <w:spacing w:line="360" w:lineRule="auto"/>
        <w:jc w:val="both"/>
      </w:pPr>
      <w:r>
        <w:rPr>
          <w:rFonts w:ascii="Book Antiqua" w:eastAsia="Book Antiqua" w:hAnsi="Book Antiqua" w:cs="Book Antiqua"/>
        </w:rPr>
        <w:t xml:space="preserve">81 </w:t>
      </w:r>
      <w:r>
        <w:rPr>
          <w:rFonts w:ascii="Book Antiqua" w:eastAsia="Book Antiqua" w:hAnsi="Book Antiqua" w:cs="Book Antiqua"/>
          <w:b/>
          <w:bCs/>
        </w:rPr>
        <w:t>Wigle JT</w:t>
      </w:r>
      <w:r>
        <w:rPr>
          <w:rFonts w:ascii="Book Antiqua" w:eastAsia="Book Antiqua" w:hAnsi="Book Antiqua" w:cs="Book Antiqua"/>
        </w:rPr>
        <w:t xml:space="preserve">, Oliver G. Prox1 function is required for the development of the murine lymphatic system. </w:t>
      </w:r>
      <w:r>
        <w:rPr>
          <w:rFonts w:ascii="Book Antiqua" w:eastAsia="Book Antiqua" w:hAnsi="Book Antiqua" w:cs="Book Antiqua"/>
          <w:i/>
          <w:iCs/>
        </w:rPr>
        <w:t>Cell</w:t>
      </w:r>
      <w:r>
        <w:rPr>
          <w:rFonts w:ascii="Book Antiqua" w:eastAsia="Book Antiqua" w:hAnsi="Book Antiqua" w:cs="Book Antiqua"/>
        </w:rPr>
        <w:t xml:space="preserve"> 1999; </w:t>
      </w:r>
      <w:r>
        <w:rPr>
          <w:rFonts w:ascii="Book Antiqua" w:eastAsia="Book Antiqua" w:hAnsi="Book Antiqua" w:cs="Book Antiqua"/>
          <w:b/>
          <w:bCs/>
        </w:rPr>
        <w:t>98</w:t>
      </w:r>
      <w:r>
        <w:rPr>
          <w:rFonts w:ascii="Book Antiqua" w:eastAsia="Book Antiqua" w:hAnsi="Book Antiqua" w:cs="Book Antiqua"/>
        </w:rPr>
        <w:t>: 769-778 [PMID: 10499794 DOI: 10.1016/s0092-8674(00)81511-1]</w:t>
      </w:r>
    </w:p>
    <w:p w14:paraId="2FECB9C0" w14:textId="77777777" w:rsidR="00A77B3E" w:rsidRDefault="00CC2EF4">
      <w:pPr>
        <w:spacing w:line="360" w:lineRule="auto"/>
        <w:jc w:val="both"/>
      </w:pPr>
      <w:r>
        <w:rPr>
          <w:rFonts w:ascii="Book Antiqua" w:eastAsia="Book Antiqua" w:hAnsi="Book Antiqua" w:cs="Book Antiqua"/>
        </w:rPr>
        <w:t xml:space="preserve">82 </w:t>
      </w:r>
      <w:r>
        <w:rPr>
          <w:rFonts w:ascii="Book Antiqua" w:eastAsia="Book Antiqua" w:hAnsi="Book Antiqua" w:cs="Book Antiqua"/>
          <w:b/>
          <w:bCs/>
        </w:rPr>
        <w:t>Shen W</w:t>
      </w:r>
      <w:r>
        <w:rPr>
          <w:rFonts w:ascii="Book Antiqua" w:eastAsia="Book Antiqua" w:hAnsi="Book Antiqua" w:cs="Book Antiqua"/>
        </w:rPr>
        <w:t xml:space="preserve">, Li Y, Cao L, Cai X, Ge Y, Zhu W. Decreased Expression of Prox1 Is Associated With Postoperative Recurrence in Crohn's Disease. </w:t>
      </w:r>
      <w:r>
        <w:rPr>
          <w:rFonts w:ascii="Book Antiqua" w:eastAsia="Book Antiqua" w:hAnsi="Book Antiqua" w:cs="Book Antiqua"/>
          <w:i/>
          <w:iCs/>
        </w:rPr>
        <w:t>J Crohns Colitis</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1210-1218 [PMID: 29947772 DOI: 10.1093/ecco-jcc/jjy091]</w:t>
      </w:r>
    </w:p>
    <w:p w14:paraId="279EBC77" w14:textId="77777777" w:rsidR="00A77B3E" w:rsidRDefault="00CC2EF4">
      <w:pPr>
        <w:spacing w:line="360" w:lineRule="auto"/>
        <w:jc w:val="both"/>
      </w:pPr>
      <w:proofErr w:type="gramStart"/>
      <w:r>
        <w:rPr>
          <w:rFonts w:ascii="Book Antiqua" w:eastAsia="Book Antiqua" w:hAnsi="Book Antiqua" w:cs="Book Antiqua"/>
        </w:rPr>
        <w:t xml:space="preserve">83 </w:t>
      </w:r>
      <w:r>
        <w:rPr>
          <w:rFonts w:ascii="Book Antiqua" w:eastAsia="Book Antiqua" w:hAnsi="Book Antiqua" w:cs="Book Antiqua"/>
          <w:b/>
          <w:bCs/>
        </w:rPr>
        <w:t>Martinez de la Torre Y</w:t>
      </w:r>
      <w:r>
        <w:rPr>
          <w:rFonts w:ascii="Book Antiqua" w:eastAsia="Book Antiqua" w:hAnsi="Book Antiqua" w:cs="Book Antiqua"/>
        </w:rPr>
        <w:t>, Locati M, Buracchi C, Dupor J, Cook DN, Bonecchi R, Nebuloni M, Rukavina D, Vago L, Vecchi A, Lira SA, Mantovani A. Increased inflammation in mice deficient for the chemokine decoy receptor D6.</w:t>
      </w:r>
      <w:proofErr w:type="gramEnd"/>
      <w:r>
        <w:rPr>
          <w:rFonts w:ascii="Book Antiqua" w:eastAsia="Book Antiqua" w:hAnsi="Book Antiqua" w:cs="Book Antiqua"/>
        </w:rPr>
        <w:t xml:space="preserve"> </w:t>
      </w:r>
      <w:r>
        <w:rPr>
          <w:rFonts w:ascii="Book Antiqua" w:eastAsia="Book Antiqua" w:hAnsi="Book Antiqua" w:cs="Book Antiqua"/>
          <w:i/>
          <w:iCs/>
        </w:rPr>
        <w:t>Eur J Immunol</w:t>
      </w:r>
      <w:r>
        <w:rPr>
          <w:rFonts w:ascii="Book Antiqua" w:eastAsia="Book Antiqua" w:hAnsi="Book Antiqua" w:cs="Book Antiqua"/>
        </w:rPr>
        <w:t xml:space="preserve"> 2005; </w:t>
      </w:r>
      <w:r>
        <w:rPr>
          <w:rFonts w:ascii="Book Antiqua" w:eastAsia="Book Antiqua" w:hAnsi="Book Antiqua" w:cs="Book Antiqua"/>
          <w:b/>
          <w:bCs/>
        </w:rPr>
        <w:t>35</w:t>
      </w:r>
      <w:r>
        <w:rPr>
          <w:rFonts w:ascii="Book Antiqua" w:eastAsia="Book Antiqua" w:hAnsi="Book Antiqua" w:cs="Book Antiqua"/>
        </w:rPr>
        <w:t>: 1342-1346 [PMID: 15789340 DOI: 10.1002/eji.200526114]</w:t>
      </w:r>
    </w:p>
    <w:p w14:paraId="0FB0E02C" w14:textId="77777777" w:rsidR="00A77B3E" w:rsidRDefault="00CC2EF4">
      <w:pPr>
        <w:spacing w:line="360" w:lineRule="auto"/>
        <w:jc w:val="both"/>
      </w:pPr>
      <w:r>
        <w:rPr>
          <w:rFonts w:ascii="Book Antiqua" w:eastAsia="Book Antiqua" w:hAnsi="Book Antiqua" w:cs="Book Antiqua"/>
        </w:rPr>
        <w:t xml:space="preserve">84 </w:t>
      </w:r>
      <w:r>
        <w:rPr>
          <w:rFonts w:ascii="Book Antiqua" w:eastAsia="Book Antiqua" w:hAnsi="Book Antiqua" w:cs="Book Antiqua"/>
          <w:b/>
          <w:bCs/>
        </w:rPr>
        <w:t>Lu WJ</w:t>
      </w:r>
      <w:r>
        <w:rPr>
          <w:rFonts w:ascii="Book Antiqua" w:eastAsia="Book Antiqua" w:hAnsi="Book Antiqua" w:cs="Book Antiqua"/>
        </w:rPr>
        <w:t xml:space="preserve">, Yang Q, Sun W, Woods SC, D'Alessio D, Tso P. </w:t>
      </w:r>
      <w:proofErr w:type="gramStart"/>
      <w:r>
        <w:rPr>
          <w:rFonts w:ascii="Book Antiqua" w:eastAsia="Book Antiqua" w:hAnsi="Book Antiqua" w:cs="Book Antiqua"/>
        </w:rPr>
        <w:t>The regulation of the lymphatic secretion of glucagon-like peptide-1 (GLP-1) by intestinal absorption of fat and carbohydrate.</w:t>
      </w:r>
      <w:proofErr w:type="gramEnd"/>
      <w:r>
        <w:rPr>
          <w:rFonts w:ascii="Book Antiqua" w:eastAsia="Book Antiqua" w:hAnsi="Book Antiqua" w:cs="Book Antiqua"/>
        </w:rPr>
        <w:t xml:space="preserve"> </w:t>
      </w:r>
      <w:r>
        <w:rPr>
          <w:rFonts w:ascii="Book Antiqua" w:eastAsia="Book Antiqua" w:hAnsi="Book Antiqua" w:cs="Book Antiqua"/>
          <w:i/>
          <w:iCs/>
        </w:rPr>
        <w:t>Am J Physiol Gastrointest Liver Physiol</w:t>
      </w:r>
      <w:r>
        <w:rPr>
          <w:rFonts w:ascii="Book Antiqua" w:eastAsia="Book Antiqua" w:hAnsi="Book Antiqua" w:cs="Book Antiqua"/>
        </w:rPr>
        <w:t xml:space="preserve"> 2007; </w:t>
      </w:r>
      <w:r>
        <w:rPr>
          <w:rFonts w:ascii="Book Antiqua" w:eastAsia="Book Antiqua" w:hAnsi="Book Antiqua" w:cs="Book Antiqua"/>
          <w:b/>
          <w:bCs/>
        </w:rPr>
        <w:t>293</w:t>
      </w:r>
      <w:r>
        <w:rPr>
          <w:rFonts w:ascii="Book Antiqua" w:eastAsia="Book Antiqua" w:hAnsi="Book Antiqua" w:cs="Book Antiqua"/>
        </w:rPr>
        <w:t>: G963-G971 [PMID: 17761836 DOI: 10.1152/ajpgi.00146.2007]</w:t>
      </w:r>
    </w:p>
    <w:p w14:paraId="0F94C1A4" w14:textId="77777777" w:rsidR="00A77B3E" w:rsidRDefault="00CC2EF4">
      <w:pPr>
        <w:spacing w:line="360" w:lineRule="auto"/>
        <w:jc w:val="both"/>
      </w:pPr>
      <w:r>
        <w:rPr>
          <w:rFonts w:ascii="Book Antiqua" w:eastAsia="Book Antiqua" w:hAnsi="Book Antiqua" w:cs="Book Antiqua"/>
        </w:rPr>
        <w:t xml:space="preserve">85 </w:t>
      </w:r>
      <w:r>
        <w:rPr>
          <w:rFonts w:ascii="Book Antiqua" w:eastAsia="Book Antiqua" w:hAnsi="Book Antiqua" w:cs="Book Antiqua"/>
          <w:b/>
          <w:bCs/>
        </w:rPr>
        <w:t>Lucotti P</w:t>
      </w:r>
      <w:r>
        <w:rPr>
          <w:rFonts w:ascii="Book Antiqua" w:eastAsia="Book Antiqua" w:hAnsi="Book Antiqua" w:cs="Book Antiqua"/>
        </w:rPr>
        <w:t xml:space="preserve">, Lovati E, Lenti MV, Valvo B, Sprio E, Aronico N, Giuffrida P, Dell'Aera D, Pasini A, Ubezio C, Delliponti M, Tinelli C, Corazza GR, Di Sabatino A. Abnormal post-prandial glucagon-like peptide release in patients with Crohn's disease. </w:t>
      </w:r>
      <w:r>
        <w:rPr>
          <w:rFonts w:ascii="Book Antiqua" w:eastAsia="Book Antiqua" w:hAnsi="Book Antiqua" w:cs="Book Antiqua"/>
          <w:i/>
          <w:iCs/>
        </w:rPr>
        <w:t>Clin Res Hepatol Gastroenterol</w:t>
      </w:r>
      <w:r>
        <w:rPr>
          <w:rFonts w:ascii="Book Antiqua" w:eastAsia="Book Antiqua" w:hAnsi="Book Antiqua" w:cs="Book Antiqua"/>
        </w:rPr>
        <w:t xml:space="preserve"> 2021; </w:t>
      </w:r>
      <w:r>
        <w:rPr>
          <w:rFonts w:ascii="Book Antiqua" w:eastAsia="Book Antiqua" w:hAnsi="Book Antiqua" w:cs="Book Antiqua"/>
          <w:b/>
          <w:bCs/>
        </w:rPr>
        <w:t>45</w:t>
      </w:r>
      <w:r>
        <w:rPr>
          <w:rFonts w:ascii="Book Antiqua" w:eastAsia="Book Antiqua" w:hAnsi="Book Antiqua" w:cs="Book Antiqua"/>
        </w:rPr>
        <w:t>: 101533 [PMID: 33036955 DOI: 10.1016/j.clinre.2020.08.011]</w:t>
      </w:r>
    </w:p>
    <w:p w14:paraId="58D57942" w14:textId="77777777" w:rsidR="00A77B3E" w:rsidRDefault="00CC2EF4">
      <w:pPr>
        <w:spacing w:line="360" w:lineRule="auto"/>
        <w:jc w:val="both"/>
      </w:pPr>
      <w:r>
        <w:rPr>
          <w:rFonts w:ascii="Book Antiqua" w:eastAsia="Book Antiqua" w:hAnsi="Book Antiqua" w:cs="Book Antiqua"/>
        </w:rPr>
        <w:lastRenderedPageBreak/>
        <w:t xml:space="preserve">86 </w:t>
      </w:r>
      <w:r>
        <w:rPr>
          <w:rFonts w:ascii="Book Antiqua" w:eastAsia="Book Antiqua" w:hAnsi="Book Antiqua" w:cs="Book Antiqua"/>
          <w:b/>
          <w:bCs/>
        </w:rPr>
        <w:t>Gallagher K</w:t>
      </w:r>
      <w:r>
        <w:rPr>
          <w:rFonts w:ascii="Book Antiqua" w:eastAsia="Book Antiqua" w:hAnsi="Book Antiqua" w:cs="Book Antiqua"/>
        </w:rPr>
        <w:t xml:space="preserve">, Catesson A, Griffin JL, Holmes E, Williams HRT. Metabolomic Analysis in Inflammatory Bowel Disease: A Systematic Review. </w:t>
      </w:r>
      <w:r>
        <w:rPr>
          <w:rFonts w:ascii="Book Antiqua" w:eastAsia="Book Antiqua" w:hAnsi="Book Antiqua" w:cs="Book Antiqua"/>
          <w:i/>
          <w:iCs/>
        </w:rPr>
        <w:t>J Crohns Colitis</w:t>
      </w:r>
      <w:r>
        <w:rPr>
          <w:rFonts w:ascii="Book Antiqua" w:eastAsia="Book Antiqua" w:hAnsi="Book Antiqua" w:cs="Book Antiqua"/>
        </w:rPr>
        <w:t xml:space="preserve"> 2021; </w:t>
      </w:r>
      <w:r>
        <w:rPr>
          <w:rFonts w:ascii="Book Antiqua" w:eastAsia="Book Antiqua" w:hAnsi="Book Antiqua" w:cs="Book Antiqua"/>
          <w:b/>
          <w:bCs/>
        </w:rPr>
        <w:t>15</w:t>
      </w:r>
      <w:r>
        <w:rPr>
          <w:rFonts w:ascii="Book Antiqua" w:eastAsia="Book Antiqua" w:hAnsi="Book Antiqua" w:cs="Book Antiqua"/>
        </w:rPr>
        <w:t>: 813-826 [PMID: 33175138 DOI: 10.1093/ecco-jcc/jjaa227]</w:t>
      </w:r>
    </w:p>
    <w:p w14:paraId="1099BA29" w14:textId="77777777" w:rsidR="00A77B3E" w:rsidRDefault="00CC2EF4">
      <w:pPr>
        <w:spacing w:line="360" w:lineRule="auto"/>
        <w:jc w:val="both"/>
      </w:pPr>
      <w:r>
        <w:rPr>
          <w:rFonts w:ascii="Book Antiqua" w:eastAsia="Book Antiqua" w:hAnsi="Book Antiqua" w:cs="Book Antiqua"/>
        </w:rPr>
        <w:t xml:space="preserve">87 </w:t>
      </w:r>
      <w:r>
        <w:rPr>
          <w:rFonts w:ascii="Book Antiqua" w:eastAsia="Book Antiqua" w:hAnsi="Book Antiqua" w:cs="Book Antiqua"/>
          <w:b/>
          <w:bCs/>
        </w:rPr>
        <w:t>Thomas JP</w:t>
      </w:r>
      <w:r>
        <w:rPr>
          <w:rFonts w:ascii="Book Antiqua" w:eastAsia="Book Antiqua" w:hAnsi="Book Antiqua" w:cs="Book Antiqua"/>
        </w:rPr>
        <w:t xml:space="preserve">, Modos D, Rushbrook SM, Powell N, Korcsmaros T. </w:t>
      </w:r>
      <w:proofErr w:type="gramStart"/>
      <w:r>
        <w:rPr>
          <w:rFonts w:ascii="Book Antiqua" w:eastAsia="Book Antiqua" w:hAnsi="Book Antiqua" w:cs="Book Antiqua"/>
        </w:rPr>
        <w:t>The Emerging Role of Bile Acids in the Pathogenesis of Inflammatory Bowel Disease.</w:t>
      </w:r>
      <w:proofErr w:type="gramEnd"/>
      <w:r>
        <w:rPr>
          <w:rFonts w:ascii="Book Antiqua" w:eastAsia="Book Antiqua" w:hAnsi="Book Antiqua" w:cs="Book Antiqua"/>
        </w:rPr>
        <w:t xml:space="preserve">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829525 [PMID: 35185922 DOI: 10.3389/fimmu.2022.829525]</w:t>
      </w:r>
    </w:p>
    <w:p w14:paraId="748780EC" w14:textId="77777777" w:rsidR="00A77B3E" w:rsidRDefault="00CC2EF4">
      <w:pPr>
        <w:spacing w:line="360" w:lineRule="auto"/>
        <w:jc w:val="both"/>
      </w:pPr>
      <w:r>
        <w:rPr>
          <w:rFonts w:ascii="Book Antiqua" w:eastAsia="Book Antiqua" w:hAnsi="Book Antiqua" w:cs="Book Antiqua"/>
        </w:rPr>
        <w:t xml:space="preserve">88 </w:t>
      </w:r>
      <w:r>
        <w:rPr>
          <w:rFonts w:ascii="Book Antiqua" w:eastAsia="Book Antiqua" w:hAnsi="Book Antiqua" w:cs="Book Antiqua"/>
          <w:b/>
          <w:bCs/>
        </w:rPr>
        <w:t>Piotrowska M</w:t>
      </w:r>
      <w:r>
        <w:rPr>
          <w:rFonts w:ascii="Book Antiqua" w:eastAsia="Book Antiqua" w:hAnsi="Book Antiqua" w:cs="Book Antiqua"/>
        </w:rPr>
        <w:t xml:space="preserve">, Binienda A, Fichna J. </w:t>
      </w:r>
      <w:proofErr w:type="gramStart"/>
      <w:r>
        <w:rPr>
          <w:rFonts w:ascii="Book Antiqua" w:eastAsia="Book Antiqua" w:hAnsi="Book Antiqua" w:cs="Book Antiqua"/>
        </w:rPr>
        <w:t>The role of fatty acids in Crohn's disease pathophysiology - An overview.</w:t>
      </w:r>
      <w:proofErr w:type="gramEnd"/>
      <w:r>
        <w:rPr>
          <w:rFonts w:ascii="Book Antiqua" w:eastAsia="Book Antiqua" w:hAnsi="Book Antiqua" w:cs="Book Antiqua"/>
        </w:rPr>
        <w:t xml:space="preserve"> </w:t>
      </w:r>
      <w:r>
        <w:rPr>
          <w:rFonts w:ascii="Book Antiqua" w:eastAsia="Book Antiqua" w:hAnsi="Book Antiqua" w:cs="Book Antiqua"/>
          <w:i/>
          <w:iCs/>
        </w:rPr>
        <w:t>Mol Cell Endocrinol</w:t>
      </w:r>
      <w:r>
        <w:rPr>
          <w:rFonts w:ascii="Book Antiqua" w:eastAsia="Book Antiqua" w:hAnsi="Book Antiqua" w:cs="Book Antiqua"/>
        </w:rPr>
        <w:t xml:space="preserve"> 2021; </w:t>
      </w:r>
      <w:r>
        <w:rPr>
          <w:rFonts w:ascii="Book Antiqua" w:eastAsia="Book Antiqua" w:hAnsi="Book Antiqua" w:cs="Book Antiqua"/>
          <w:b/>
          <w:bCs/>
        </w:rPr>
        <w:t>538</w:t>
      </w:r>
      <w:r>
        <w:rPr>
          <w:rFonts w:ascii="Book Antiqua" w:eastAsia="Book Antiqua" w:hAnsi="Book Antiqua" w:cs="Book Antiqua"/>
        </w:rPr>
        <w:t>: 111448 [PMID: 34480991 DOI: 10.1016/j.mce.2021.111448]</w:t>
      </w:r>
    </w:p>
    <w:p w14:paraId="0D69C943" w14:textId="77777777" w:rsidR="00A77B3E" w:rsidRDefault="00CC2EF4">
      <w:pPr>
        <w:spacing w:line="360" w:lineRule="auto"/>
        <w:jc w:val="both"/>
      </w:pPr>
      <w:proofErr w:type="gramStart"/>
      <w:r>
        <w:rPr>
          <w:rFonts w:ascii="Book Antiqua" w:eastAsia="Book Antiqua" w:hAnsi="Book Antiqua" w:cs="Book Antiqua"/>
        </w:rPr>
        <w:t xml:space="preserve">89 </w:t>
      </w:r>
      <w:r>
        <w:rPr>
          <w:rFonts w:ascii="Book Antiqua" w:eastAsia="Book Antiqua" w:hAnsi="Book Antiqua" w:cs="Book Antiqua"/>
          <w:b/>
          <w:bCs/>
        </w:rPr>
        <w:t>Randolph GJ</w:t>
      </w:r>
      <w:r>
        <w:rPr>
          <w:rFonts w:ascii="Book Antiqua" w:eastAsia="Book Antiqua" w:hAnsi="Book Antiqua" w:cs="Book Antiqua"/>
        </w:rPr>
        <w:t>, Miller NE. Lymphatic transport of high-density lipoproteins and chylomicrons.</w:t>
      </w:r>
      <w:proofErr w:type="gramEnd"/>
      <w:r>
        <w:rPr>
          <w:rFonts w:ascii="Book Antiqua" w:eastAsia="Book Antiqua" w:hAnsi="Book Antiqua" w:cs="Book Antiqua"/>
        </w:rPr>
        <w:t xml:space="preserve"> </w:t>
      </w:r>
      <w:r>
        <w:rPr>
          <w:rFonts w:ascii="Book Antiqua" w:eastAsia="Book Antiqua" w:hAnsi="Book Antiqua" w:cs="Book Antiqua"/>
          <w:i/>
          <w:iCs/>
        </w:rPr>
        <w:t>J Clin Invest</w:t>
      </w:r>
      <w:r>
        <w:rPr>
          <w:rFonts w:ascii="Book Antiqua" w:eastAsia="Book Antiqua" w:hAnsi="Book Antiqua" w:cs="Book Antiqua"/>
        </w:rPr>
        <w:t xml:space="preserve"> 2014; </w:t>
      </w:r>
      <w:r>
        <w:rPr>
          <w:rFonts w:ascii="Book Antiqua" w:eastAsia="Book Antiqua" w:hAnsi="Book Antiqua" w:cs="Book Antiqua"/>
          <w:b/>
          <w:bCs/>
        </w:rPr>
        <w:t>124</w:t>
      </w:r>
      <w:r>
        <w:rPr>
          <w:rFonts w:ascii="Book Antiqua" w:eastAsia="Book Antiqua" w:hAnsi="Book Antiqua" w:cs="Book Antiqua"/>
        </w:rPr>
        <w:t>: 929-935 [PMID: 24590278 DOI: 10.1172/JCI71610]</w:t>
      </w:r>
    </w:p>
    <w:p w14:paraId="2E5AB5A1" w14:textId="77777777" w:rsidR="00A77B3E" w:rsidRDefault="00CC2EF4">
      <w:pPr>
        <w:spacing w:line="360" w:lineRule="auto"/>
        <w:jc w:val="both"/>
      </w:pPr>
      <w:r>
        <w:rPr>
          <w:rFonts w:ascii="Book Antiqua" w:eastAsia="Book Antiqua" w:hAnsi="Book Antiqua" w:cs="Book Antiqua"/>
        </w:rPr>
        <w:t xml:space="preserve">90 </w:t>
      </w:r>
      <w:r>
        <w:rPr>
          <w:rFonts w:ascii="Book Antiqua" w:eastAsia="Book Antiqua" w:hAnsi="Book Antiqua" w:cs="Book Antiqua"/>
          <w:b/>
          <w:bCs/>
        </w:rPr>
        <w:t>Hrabovský V</w:t>
      </w:r>
      <w:r>
        <w:rPr>
          <w:rFonts w:ascii="Book Antiqua" w:eastAsia="Book Antiqua" w:hAnsi="Book Antiqua" w:cs="Book Antiqua"/>
        </w:rPr>
        <w:t xml:space="preserve">, Zadák Z, Bláha V, Hyspler R, Karlík T, Martínek A, Mendlová A. Cholesterol metabolism in active Crohn's disease. </w:t>
      </w:r>
      <w:r>
        <w:rPr>
          <w:rFonts w:ascii="Book Antiqua" w:eastAsia="Book Antiqua" w:hAnsi="Book Antiqua" w:cs="Book Antiqua"/>
          <w:i/>
          <w:iCs/>
        </w:rPr>
        <w:t>Wien Klin Wochenschr</w:t>
      </w:r>
      <w:r>
        <w:rPr>
          <w:rFonts w:ascii="Book Antiqua" w:eastAsia="Book Antiqua" w:hAnsi="Book Antiqua" w:cs="Book Antiqua"/>
        </w:rPr>
        <w:t xml:space="preserve"> 2009; </w:t>
      </w:r>
      <w:r>
        <w:rPr>
          <w:rFonts w:ascii="Book Antiqua" w:eastAsia="Book Antiqua" w:hAnsi="Book Antiqua" w:cs="Book Antiqua"/>
          <w:b/>
          <w:bCs/>
        </w:rPr>
        <w:t>121</w:t>
      </w:r>
      <w:r>
        <w:rPr>
          <w:rFonts w:ascii="Book Antiqua" w:eastAsia="Book Antiqua" w:hAnsi="Book Antiqua" w:cs="Book Antiqua"/>
        </w:rPr>
        <w:t>: 270-275 [PMID: 19562284 DOI: 10.1007/s00508-009-1150-6]</w:t>
      </w:r>
    </w:p>
    <w:p w14:paraId="68F6B45B" w14:textId="77777777" w:rsidR="00A77B3E" w:rsidRDefault="00CC2EF4">
      <w:pPr>
        <w:spacing w:line="360" w:lineRule="auto"/>
        <w:jc w:val="both"/>
      </w:pPr>
      <w:r>
        <w:rPr>
          <w:rFonts w:ascii="Book Antiqua" w:eastAsia="Book Antiqua" w:hAnsi="Book Antiqua" w:cs="Book Antiqua"/>
        </w:rPr>
        <w:t xml:space="preserve">91 </w:t>
      </w:r>
      <w:r>
        <w:rPr>
          <w:rFonts w:ascii="Book Antiqua" w:eastAsia="Book Antiqua" w:hAnsi="Book Antiqua" w:cs="Book Antiqua"/>
          <w:b/>
          <w:bCs/>
        </w:rPr>
        <w:t>Gerster R</w:t>
      </w:r>
      <w:r>
        <w:rPr>
          <w:rFonts w:ascii="Book Antiqua" w:eastAsia="Book Antiqua" w:hAnsi="Book Antiqua" w:cs="Book Antiqua"/>
        </w:rPr>
        <w:t xml:space="preserve">, Eloranta JJ, Hausmann M, Ruiz PA, Cosin-Roger J, Terhalle A, Ziegler U, Kullak-Ublick GA, von Eckardstein A, Rogler G. Anti-inflammatory Function of High-Density Lipoproteins </w:t>
      </w:r>
      <w:r>
        <w:rPr>
          <w:rFonts w:ascii="Book Antiqua" w:eastAsia="Book Antiqua" w:hAnsi="Book Antiqua" w:cs="Book Antiqua"/>
          <w:i/>
          <w:iCs/>
        </w:rPr>
        <w:t>via</w:t>
      </w:r>
      <w:r>
        <w:rPr>
          <w:rFonts w:ascii="Book Antiqua" w:eastAsia="Book Antiqua" w:hAnsi="Book Antiqua" w:cs="Book Antiqua"/>
        </w:rPr>
        <w:t xml:space="preserve"> Autophagy of IκB Kinase. </w:t>
      </w:r>
      <w:r>
        <w:rPr>
          <w:rFonts w:ascii="Book Antiqua" w:eastAsia="Book Antiqua" w:hAnsi="Book Antiqua" w:cs="Book Antiqua"/>
          <w:i/>
          <w:iCs/>
        </w:rPr>
        <w:t>Cell Mol Gastroenterol Hepatol</w:t>
      </w:r>
      <w:r>
        <w:rPr>
          <w:rFonts w:ascii="Book Antiqua" w:eastAsia="Book Antiqua" w:hAnsi="Book Antiqua" w:cs="Book Antiqua"/>
        </w:rPr>
        <w:t xml:space="preserve"> 2015; </w:t>
      </w:r>
      <w:r>
        <w:rPr>
          <w:rFonts w:ascii="Book Antiqua" w:eastAsia="Book Antiqua" w:hAnsi="Book Antiqua" w:cs="Book Antiqua"/>
          <w:b/>
          <w:bCs/>
        </w:rPr>
        <w:t>1</w:t>
      </w:r>
      <w:r>
        <w:rPr>
          <w:rFonts w:ascii="Book Antiqua" w:eastAsia="Book Antiqua" w:hAnsi="Book Antiqua" w:cs="Book Antiqua"/>
        </w:rPr>
        <w:t>: 171-187.e1 [PMID: 28247863 DOI: 10.1016/j.jcmgh.2014.12.006]</w:t>
      </w:r>
    </w:p>
    <w:p w14:paraId="5B720337" w14:textId="77777777" w:rsidR="00A77B3E" w:rsidRDefault="00CC2EF4">
      <w:pPr>
        <w:spacing w:line="360" w:lineRule="auto"/>
        <w:jc w:val="both"/>
      </w:pPr>
      <w:r>
        <w:rPr>
          <w:rFonts w:ascii="Book Antiqua" w:eastAsia="Book Antiqua" w:hAnsi="Book Antiqua" w:cs="Book Antiqua"/>
        </w:rPr>
        <w:t xml:space="preserve">92 </w:t>
      </w:r>
      <w:r>
        <w:rPr>
          <w:rFonts w:ascii="Book Antiqua" w:eastAsia="Book Antiqua" w:hAnsi="Book Antiqua" w:cs="Book Antiqua"/>
          <w:b/>
          <w:bCs/>
        </w:rPr>
        <w:t>Mao R</w:t>
      </w:r>
      <w:r>
        <w:rPr>
          <w:rFonts w:ascii="Book Antiqua" w:eastAsia="Book Antiqua" w:hAnsi="Book Antiqua" w:cs="Book Antiqua"/>
        </w:rPr>
        <w:t xml:space="preserve">, Kurada S, Gordon IO, Baker ME, Gandhi N, McDonald C, Coffey JC, Rieder F. The Mesenteric Fat and Intestinal Muscle Interface: Creeping Fat Influencing Stricture Formation in Crohn's Disease. </w:t>
      </w:r>
      <w:r>
        <w:rPr>
          <w:rFonts w:ascii="Book Antiqua" w:eastAsia="Book Antiqua" w:hAnsi="Book Antiqua" w:cs="Book Antiqua"/>
          <w:i/>
          <w:iCs/>
        </w:rPr>
        <w:t>Inflamm Bowel Dis</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421-426 [PMID: 30346528 DOI: 10.1093/ibd/izy331]</w:t>
      </w:r>
    </w:p>
    <w:p w14:paraId="3FF22DFF" w14:textId="77777777" w:rsidR="00A77B3E" w:rsidRDefault="00CC2EF4">
      <w:pPr>
        <w:spacing w:line="360" w:lineRule="auto"/>
        <w:jc w:val="both"/>
      </w:pPr>
      <w:r>
        <w:rPr>
          <w:rFonts w:ascii="Book Antiqua" w:eastAsia="Book Antiqua" w:hAnsi="Book Antiqua" w:cs="Book Antiqua"/>
        </w:rPr>
        <w:t xml:space="preserve">93 </w:t>
      </w:r>
      <w:r>
        <w:rPr>
          <w:rFonts w:ascii="Book Antiqua" w:eastAsia="Book Antiqua" w:hAnsi="Book Antiqua" w:cs="Book Antiqua"/>
          <w:b/>
          <w:bCs/>
        </w:rPr>
        <w:t>Shen W</w:t>
      </w:r>
      <w:r>
        <w:rPr>
          <w:rFonts w:ascii="Book Antiqua" w:eastAsia="Book Antiqua" w:hAnsi="Book Antiqua" w:cs="Book Antiqua"/>
        </w:rPr>
        <w:t xml:space="preserve">, Li Y, Zou Y, Cao L, Cai X, Gong J, Xu Y, Zhu W. Mesenteric Adipose Tissue Alterations in Crohn's Disease Are Associated With the Lymphatic System. </w:t>
      </w:r>
      <w:r>
        <w:rPr>
          <w:rFonts w:ascii="Book Antiqua" w:eastAsia="Book Antiqua" w:hAnsi="Book Antiqua" w:cs="Book Antiqua"/>
          <w:i/>
          <w:iCs/>
        </w:rPr>
        <w:t>Inflamm Bowel Dis</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283-293 [PMID: 30295909 DOI: 10.1093/ibd/izy306]</w:t>
      </w:r>
    </w:p>
    <w:p w14:paraId="48DB6162" w14:textId="77777777" w:rsidR="00A77B3E" w:rsidRDefault="00CC2EF4">
      <w:pPr>
        <w:spacing w:line="360" w:lineRule="auto"/>
        <w:jc w:val="both"/>
      </w:pPr>
      <w:r>
        <w:rPr>
          <w:rFonts w:ascii="Book Antiqua" w:eastAsia="Book Antiqua" w:hAnsi="Book Antiqua" w:cs="Book Antiqua"/>
        </w:rPr>
        <w:t xml:space="preserve">94 </w:t>
      </w:r>
      <w:r>
        <w:rPr>
          <w:rFonts w:ascii="Book Antiqua" w:eastAsia="Book Antiqua" w:hAnsi="Book Antiqua" w:cs="Book Antiqua"/>
          <w:b/>
          <w:bCs/>
        </w:rPr>
        <w:t>Westcott ED</w:t>
      </w:r>
      <w:r>
        <w:rPr>
          <w:rFonts w:ascii="Book Antiqua" w:eastAsia="Book Antiqua" w:hAnsi="Book Antiqua" w:cs="Book Antiqua"/>
        </w:rPr>
        <w:t xml:space="preserve">, Mattacks CA, Windsor AC, Knight SC, Pond CM. Perinodal adipose tissue and fatty acid composition of lymphoid tissues in patients with and without Crohn's disease and their implications for the etiology and treatment of CD. </w:t>
      </w:r>
      <w:r>
        <w:rPr>
          <w:rFonts w:ascii="Book Antiqua" w:eastAsia="Book Antiqua" w:hAnsi="Book Antiqua" w:cs="Book Antiqua"/>
          <w:i/>
          <w:iCs/>
        </w:rPr>
        <w:t>Ann N Y Acad Sci</w:t>
      </w:r>
      <w:r>
        <w:rPr>
          <w:rFonts w:ascii="Book Antiqua" w:eastAsia="Book Antiqua" w:hAnsi="Book Antiqua" w:cs="Book Antiqua"/>
        </w:rPr>
        <w:t xml:space="preserve"> 2006; </w:t>
      </w:r>
      <w:r>
        <w:rPr>
          <w:rFonts w:ascii="Book Antiqua" w:eastAsia="Book Antiqua" w:hAnsi="Book Antiqua" w:cs="Book Antiqua"/>
          <w:b/>
          <w:bCs/>
        </w:rPr>
        <w:t>1072</w:t>
      </w:r>
      <w:r>
        <w:rPr>
          <w:rFonts w:ascii="Book Antiqua" w:eastAsia="Book Antiqua" w:hAnsi="Book Antiqua" w:cs="Book Antiqua"/>
        </w:rPr>
        <w:t>: 395-400 [PMID: 17057221 DOI: 10.1196/annals.1326.034]</w:t>
      </w:r>
    </w:p>
    <w:p w14:paraId="2333CCF6" w14:textId="77777777" w:rsidR="00A77B3E" w:rsidRDefault="00CC2EF4">
      <w:pPr>
        <w:spacing w:line="360" w:lineRule="auto"/>
        <w:jc w:val="both"/>
      </w:pPr>
      <w:r>
        <w:rPr>
          <w:rFonts w:ascii="Book Antiqua" w:eastAsia="Book Antiqua" w:hAnsi="Book Antiqua" w:cs="Book Antiqua"/>
        </w:rPr>
        <w:lastRenderedPageBreak/>
        <w:t xml:space="preserve">95 </w:t>
      </w:r>
      <w:r>
        <w:rPr>
          <w:rFonts w:ascii="Book Antiqua" w:eastAsia="Book Antiqua" w:hAnsi="Book Antiqua" w:cs="Book Antiqua"/>
          <w:b/>
          <w:bCs/>
        </w:rPr>
        <w:t>Caputa G</w:t>
      </w:r>
      <w:r>
        <w:rPr>
          <w:rFonts w:ascii="Book Antiqua" w:eastAsia="Book Antiqua" w:hAnsi="Book Antiqua" w:cs="Book Antiqua"/>
        </w:rPr>
        <w:t xml:space="preserve">, Matsushita M, Sanin DE, Kabat AM, Edwards-Hicks J, Grzes KM, Pohlmeyer R, Stanczak MA, Castoldi A, Cupovic J, Forde AJ, Apostolova P, Seidl M, van Teijlingen Bakker N, Villa M, Baixauli F, Quintana A, Hackl A, Flachsmann L, Hässler F, Curtis JD, Patterson AE, Henneke P, Pearce EL, Pearce EJ. Intracellular infection and immune system cues rewire adipocytes to acquire immune function. </w:t>
      </w:r>
      <w:r>
        <w:rPr>
          <w:rFonts w:ascii="Book Antiqua" w:eastAsia="Book Antiqua" w:hAnsi="Book Antiqua" w:cs="Book Antiqua"/>
          <w:i/>
          <w:iCs/>
        </w:rPr>
        <w:t>Cell Metab</w:t>
      </w:r>
      <w:r>
        <w:rPr>
          <w:rFonts w:ascii="Book Antiqua" w:eastAsia="Book Antiqua" w:hAnsi="Book Antiqua" w:cs="Book Antiqua"/>
        </w:rPr>
        <w:t xml:space="preserve"> 2022; </w:t>
      </w:r>
      <w:r>
        <w:rPr>
          <w:rFonts w:ascii="Book Antiqua" w:eastAsia="Book Antiqua" w:hAnsi="Book Antiqua" w:cs="Book Antiqua"/>
          <w:b/>
          <w:bCs/>
        </w:rPr>
        <w:t>34</w:t>
      </w:r>
      <w:r>
        <w:rPr>
          <w:rFonts w:ascii="Book Antiqua" w:eastAsia="Book Antiqua" w:hAnsi="Book Antiqua" w:cs="Book Antiqua"/>
        </w:rPr>
        <w:t>: 747-760.e6 [PMID: 35508110 DOI: 10.1016/j.cmet.2022.04.008]</w:t>
      </w:r>
    </w:p>
    <w:p w14:paraId="154AC379" w14:textId="77777777" w:rsidR="00A77B3E" w:rsidRDefault="00CC2EF4">
      <w:pPr>
        <w:spacing w:line="360" w:lineRule="auto"/>
        <w:jc w:val="both"/>
      </w:pPr>
      <w:r>
        <w:rPr>
          <w:rFonts w:ascii="Book Antiqua" w:eastAsia="Book Antiqua" w:hAnsi="Book Antiqua" w:cs="Book Antiqua"/>
        </w:rPr>
        <w:t xml:space="preserve">96 </w:t>
      </w:r>
      <w:r>
        <w:rPr>
          <w:rFonts w:ascii="Book Antiqua" w:eastAsia="Book Antiqua" w:hAnsi="Book Antiqua" w:cs="Book Antiqua"/>
          <w:b/>
          <w:bCs/>
        </w:rPr>
        <w:t>Di Vincenzo F</w:t>
      </w:r>
      <w:r>
        <w:rPr>
          <w:rFonts w:ascii="Book Antiqua" w:eastAsia="Book Antiqua" w:hAnsi="Book Antiqua" w:cs="Book Antiqua"/>
        </w:rPr>
        <w:t xml:space="preserve">, Puca P, Lopetuso LR, Petito V, Masi L, Bartocci B, Murgiano M, De Felice M, Petronio L, Gasbarrini A, Scaldaferri F. Bile Acid-Related Regulation of Mucosal Inflammation and Intestinal Motility: From Pathogenesis to Therapeutic Application in IBD and Microscopic Colitis. </w:t>
      </w:r>
      <w:r>
        <w:rPr>
          <w:rFonts w:ascii="Book Antiqua" w:eastAsia="Book Antiqua" w:hAnsi="Book Antiqua" w:cs="Book Antiqua"/>
          <w:i/>
          <w:iCs/>
        </w:rPr>
        <w:t>Nutrients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35807844 DOI: 10.3390/nu14132664]</w:t>
      </w:r>
    </w:p>
    <w:p w14:paraId="7039C515" w14:textId="77777777" w:rsidR="00A77B3E" w:rsidRDefault="00CC2EF4">
      <w:pPr>
        <w:spacing w:line="360" w:lineRule="auto"/>
        <w:jc w:val="both"/>
      </w:pPr>
      <w:r>
        <w:rPr>
          <w:rFonts w:ascii="Book Antiqua" w:eastAsia="Book Antiqua" w:hAnsi="Book Antiqua" w:cs="Book Antiqua"/>
        </w:rPr>
        <w:t xml:space="preserve">97 </w:t>
      </w:r>
      <w:r>
        <w:rPr>
          <w:rFonts w:ascii="Book Antiqua" w:eastAsia="Book Antiqua" w:hAnsi="Book Antiqua" w:cs="Book Antiqua"/>
          <w:b/>
          <w:bCs/>
        </w:rPr>
        <w:t>Gadaleta RM</w:t>
      </w:r>
      <w:r>
        <w:rPr>
          <w:rFonts w:ascii="Book Antiqua" w:eastAsia="Book Antiqua" w:hAnsi="Book Antiqua" w:cs="Book Antiqua"/>
        </w:rPr>
        <w:t xml:space="preserve">, van Erpecum KJ, Oldenburg B, Willemsen EC, Renooij W, Murzilli S, Klomp LW, Siersema PD, Schipper ME, Danese S, Penna G, Laverny G, Adorini L, Moschetta A, van Mil SW. Farnesoid X receptor activation inhibits inflammation and preserves the intestinal barrier in inflammatory bowel disease. </w:t>
      </w:r>
      <w:r>
        <w:rPr>
          <w:rFonts w:ascii="Book Antiqua" w:eastAsia="Book Antiqua" w:hAnsi="Book Antiqua" w:cs="Book Antiqua"/>
          <w:i/>
          <w:iCs/>
        </w:rPr>
        <w:t>Gut</w:t>
      </w:r>
      <w:r>
        <w:rPr>
          <w:rFonts w:ascii="Book Antiqua" w:eastAsia="Book Antiqua" w:hAnsi="Book Antiqua" w:cs="Book Antiqua"/>
        </w:rPr>
        <w:t xml:space="preserve"> 2011; </w:t>
      </w:r>
      <w:r>
        <w:rPr>
          <w:rFonts w:ascii="Book Antiqua" w:eastAsia="Book Antiqua" w:hAnsi="Book Antiqua" w:cs="Book Antiqua"/>
          <w:b/>
          <w:bCs/>
        </w:rPr>
        <w:t>60</w:t>
      </w:r>
      <w:r>
        <w:rPr>
          <w:rFonts w:ascii="Book Antiqua" w:eastAsia="Book Antiqua" w:hAnsi="Book Antiqua" w:cs="Book Antiqua"/>
        </w:rPr>
        <w:t>: 463-472 [PMID: 21242261 DOI: 10.1136/gut.2010.212159]</w:t>
      </w:r>
    </w:p>
    <w:p w14:paraId="734AA572" w14:textId="77777777" w:rsidR="00A77B3E" w:rsidRDefault="00CC2EF4">
      <w:pPr>
        <w:spacing w:line="360" w:lineRule="auto"/>
        <w:jc w:val="both"/>
      </w:pPr>
      <w:proofErr w:type="gramStart"/>
      <w:r>
        <w:rPr>
          <w:rFonts w:ascii="Book Antiqua" w:eastAsia="Book Antiqua" w:hAnsi="Book Antiqua" w:cs="Book Antiqua"/>
        </w:rPr>
        <w:t xml:space="preserve">98 </w:t>
      </w:r>
      <w:r>
        <w:rPr>
          <w:rFonts w:ascii="Book Antiqua" w:eastAsia="Book Antiqua" w:hAnsi="Book Antiqua" w:cs="Book Antiqua"/>
          <w:b/>
          <w:bCs/>
        </w:rPr>
        <w:t>Grunwald DJ</w:t>
      </w:r>
      <w:r>
        <w:rPr>
          <w:rFonts w:ascii="Book Antiqua" w:eastAsia="Book Antiqua" w:hAnsi="Book Antiqua" w:cs="Book Antiqua"/>
        </w:rPr>
        <w:t>, Eisen JS.</w:t>
      </w:r>
      <w:proofErr w:type="gramEnd"/>
      <w:r>
        <w:rPr>
          <w:rFonts w:ascii="Book Antiqua" w:eastAsia="Book Antiqua" w:hAnsi="Book Antiqua" w:cs="Book Antiqua"/>
        </w:rPr>
        <w:t xml:space="preserve"> </w:t>
      </w:r>
      <w:proofErr w:type="gramStart"/>
      <w:r>
        <w:rPr>
          <w:rFonts w:ascii="Book Antiqua" w:eastAsia="Book Antiqua" w:hAnsi="Book Antiqua" w:cs="Book Antiqua"/>
        </w:rPr>
        <w:t>Headwaters of the zebrafish -- emergence of a new model vertebrate.</w:t>
      </w:r>
      <w:proofErr w:type="gramEnd"/>
      <w:r>
        <w:rPr>
          <w:rFonts w:ascii="Book Antiqua" w:eastAsia="Book Antiqua" w:hAnsi="Book Antiqua" w:cs="Book Antiqua"/>
        </w:rPr>
        <w:t xml:space="preserve"> </w:t>
      </w:r>
      <w:r>
        <w:rPr>
          <w:rFonts w:ascii="Book Antiqua" w:eastAsia="Book Antiqua" w:hAnsi="Book Antiqua" w:cs="Book Antiqua"/>
          <w:i/>
          <w:iCs/>
        </w:rPr>
        <w:t>Nat Rev Genet</w:t>
      </w:r>
      <w:r>
        <w:rPr>
          <w:rFonts w:ascii="Book Antiqua" w:eastAsia="Book Antiqua" w:hAnsi="Book Antiqua" w:cs="Book Antiqua"/>
        </w:rPr>
        <w:t xml:space="preserve"> 2002; </w:t>
      </w:r>
      <w:r>
        <w:rPr>
          <w:rFonts w:ascii="Book Antiqua" w:eastAsia="Book Antiqua" w:hAnsi="Book Antiqua" w:cs="Book Antiqua"/>
          <w:b/>
          <w:bCs/>
        </w:rPr>
        <w:t>3</w:t>
      </w:r>
      <w:r>
        <w:rPr>
          <w:rFonts w:ascii="Book Antiqua" w:eastAsia="Book Antiqua" w:hAnsi="Book Antiqua" w:cs="Book Antiqua"/>
        </w:rPr>
        <w:t>: 717-724 [PMID: 12209146 DOI: 10.1038/nrg892]</w:t>
      </w:r>
    </w:p>
    <w:p w14:paraId="11B9F922" w14:textId="77777777" w:rsidR="00A77B3E" w:rsidRDefault="00CC2EF4">
      <w:pPr>
        <w:spacing w:line="360" w:lineRule="auto"/>
        <w:jc w:val="both"/>
      </w:pPr>
      <w:r>
        <w:rPr>
          <w:rFonts w:ascii="Book Antiqua" w:eastAsia="Book Antiqua" w:hAnsi="Book Antiqua" w:cs="Book Antiqua"/>
        </w:rPr>
        <w:t xml:space="preserve">99 </w:t>
      </w:r>
      <w:r>
        <w:rPr>
          <w:rFonts w:ascii="Book Antiqua" w:eastAsia="Book Antiqua" w:hAnsi="Book Antiqua" w:cs="Book Antiqua"/>
          <w:b/>
          <w:bCs/>
        </w:rPr>
        <w:t>Kuil LE</w:t>
      </w:r>
      <w:r>
        <w:rPr>
          <w:rFonts w:ascii="Book Antiqua" w:eastAsia="Book Antiqua" w:hAnsi="Book Antiqua" w:cs="Book Antiqua"/>
        </w:rPr>
        <w:t xml:space="preserve">, Chauhan RK, Cheng WW, Hofstra RMW, Alves MM. Zebrafish: A Model Organism for Studying Enteric Nervous System Development and Disease. </w:t>
      </w:r>
      <w:r>
        <w:rPr>
          <w:rFonts w:ascii="Book Antiqua" w:eastAsia="Book Antiqua" w:hAnsi="Book Antiqua" w:cs="Book Antiqua"/>
          <w:i/>
          <w:iCs/>
        </w:rPr>
        <w:t>Front Cell Dev Biol</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629073 [PMID: 33553169 DOI: 10.3389/fcell.2020.629073]</w:t>
      </w:r>
    </w:p>
    <w:p w14:paraId="2697446D" w14:textId="77777777" w:rsidR="00A77B3E" w:rsidRDefault="00CC2EF4">
      <w:pPr>
        <w:spacing w:line="360" w:lineRule="auto"/>
        <w:jc w:val="both"/>
      </w:pPr>
      <w:r>
        <w:rPr>
          <w:rFonts w:ascii="Book Antiqua" w:eastAsia="Book Antiqua" w:hAnsi="Book Antiqua" w:cs="Book Antiqua"/>
        </w:rPr>
        <w:t xml:space="preserve">100 </w:t>
      </w:r>
      <w:r>
        <w:rPr>
          <w:rFonts w:ascii="Book Antiqua" w:eastAsia="Book Antiqua" w:hAnsi="Book Antiqua" w:cs="Book Antiqua"/>
          <w:b/>
          <w:bCs/>
        </w:rPr>
        <w:t>Kim JD</w:t>
      </w:r>
      <w:r>
        <w:rPr>
          <w:rFonts w:ascii="Book Antiqua" w:eastAsia="Book Antiqua" w:hAnsi="Book Antiqua" w:cs="Book Antiqua"/>
        </w:rPr>
        <w:t xml:space="preserve">, Jin SW. A tale of two models: mouse and zebrafish as complementary models for lymphatic studies. </w:t>
      </w:r>
      <w:r>
        <w:rPr>
          <w:rFonts w:ascii="Book Antiqua" w:eastAsia="Book Antiqua" w:hAnsi="Book Antiqua" w:cs="Book Antiqua"/>
          <w:i/>
          <w:iCs/>
        </w:rPr>
        <w:t>Mol Cells</w:t>
      </w:r>
      <w:r>
        <w:rPr>
          <w:rFonts w:ascii="Book Antiqua" w:eastAsia="Book Antiqua" w:hAnsi="Book Antiqua" w:cs="Book Antiqua"/>
        </w:rPr>
        <w:t xml:space="preserve"> 2014; </w:t>
      </w:r>
      <w:r>
        <w:rPr>
          <w:rFonts w:ascii="Book Antiqua" w:eastAsia="Book Antiqua" w:hAnsi="Book Antiqua" w:cs="Book Antiqua"/>
          <w:b/>
          <w:bCs/>
        </w:rPr>
        <w:t>37</w:t>
      </w:r>
      <w:r>
        <w:rPr>
          <w:rFonts w:ascii="Book Antiqua" w:eastAsia="Book Antiqua" w:hAnsi="Book Antiqua" w:cs="Book Antiqua"/>
        </w:rPr>
        <w:t>: 503-510 [PMID: 24854860 DOI: 10.14348/molcells.2014.0108]</w:t>
      </w:r>
    </w:p>
    <w:p w14:paraId="1428D07C" w14:textId="77777777" w:rsidR="00A77B3E" w:rsidRDefault="00CC2EF4">
      <w:pPr>
        <w:spacing w:line="360" w:lineRule="auto"/>
        <w:jc w:val="both"/>
      </w:pPr>
      <w:proofErr w:type="gramStart"/>
      <w:r>
        <w:rPr>
          <w:rFonts w:ascii="Book Antiqua" w:eastAsia="Book Antiqua" w:hAnsi="Book Antiqua" w:cs="Book Antiqua"/>
        </w:rPr>
        <w:t xml:space="preserve">101 </w:t>
      </w:r>
      <w:r>
        <w:rPr>
          <w:rFonts w:ascii="Book Antiqua" w:eastAsia="Book Antiqua" w:hAnsi="Book Antiqua" w:cs="Book Antiqua"/>
          <w:b/>
          <w:bCs/>
        </w:rPr>
        <w:t>Xie Y</w:t>
      </w:r>
      <w:r>
        <w:rPr>
          <w:rFonts w:ascii="Book Antiqua" w:eastAsia="Book Antiqua" w:hAnsi="Book Antiqua" w:cs="Book Antiqua"/>
        </w:rPr>
        <w:t>, Meijer AH, Schaaf MJM.</w:t>
      </w:r>
      <w:proofErr w:type="gramEnd"/>
      <w:r>
        <w:rPr>
          <w:rFonts w:ascii="Book Antiqua" w:eastAsia="Book Antiqua" w:hAnsi="Book Antiqua" w:cs="Book Antiqua"/>
        </w:rPr>
        <w:t xml:space="preserve"> </w:t>
      </w:r>
      <w:proofErr w:type="gramStart"/>
      <w:r>
        <w:rPr>
          <w:rFonts w:ascii="Book Antiqua" w:eastAsia="Book Antiqua" w:hAnsi="Book Antiqua" w:cs="Book Antiqua"/>
        </w:rPr>
        <w:t>Modeling Inflammation in Zebrafish for the Development of Anti-inflammatory Drugs.</w:t>
      </w:r>
      <w:proofErr w:type="gramEnd"/>
      <w:r>
        <w:rPr>
          <w:rFonts w:ascii="Book Antiqua" w:eastAsia="Book Antiqua" w:hAnsi="Book Antiqua" w:cs="Book Antiqua"/>
        </w:rPr>
        <w:t xml:space="preserve"> </w:t>
      </w:r>
      <w:r>
        <w:rPr>
          <w:rFonts w:ascii="Book Antiqua" w:eastAsia="Book Antiqua" w:hAnsi="Book Antiqua" w:cs="Book Antiqua"/>
          <w:i/>
          <w:iCs/>
        </w:rPr>
        <w:t>Front Cell Dev Biol</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620984 [PMID: 33520995 DOI: 10.3389/fcell.2020.620984]</w:t>
      </w:r>
    </w:p>
    <w:p w14:paraId="7CD2D213" w14:textId="77777777" w:rsidR="00A77B3E" w:rsidRDefault="00CC2EF4">
      <w:pPr>
        <w:spacing w:line="360" w:lineRule="auto"/>
        <w:jc w:val="both"/>
      </w:pPr>
      <w:r>
        <w:rPr>
          <w:rFonts w:ascii="Book Antiqua" w:eastAsia="Book Antiqua" w:hAnsi="Book Antiqua" w:cs="Book Antiqua"/>
        </w:rPr>
        <w:t xml:space="preserve">102 </w:t>
      </w:r>
      <w:r>
        <w:rPr>
          <w:rFonts w:ascii="Book Antiqua" w:eastAsia="Book Antiqua" w:hAnsi="Book Antiqua" w:cs="Book Antiqua"/>
          <w:b/>
          <w:bCs/>
        </w:rPr>
        <w:t>Li YF</w:t>
      </w:r>
      <w:r>
        <w:rPr>
          <w:rFonts w:ascii="Book Antiqua" w:eastAsia="Book Antiqua" w:hAnsi="Book Antiqua" w:cs="Book Antiqua"/>
        </w:rPr>
        <w:t xml:space="preserve">, Cheng T, Zhang YJ, Fu XX, Mo J, Zhao GQ, Xue MG, Zhuo DH, Xing YY, Huang Y, Sun XZ, Wang D, Liu X, Dong Y, Zhu XS, He F, Ma J, Chen D, Jin X, Xu PF. </w:t>
      </w:r>
      <w:r>
        <w:rPr>
          <w:rFonts w:ascii="Book Antiqua" w:eastAsia="Book Antiqua" w:hAnsi="Book Antiqua" w:cs="Book Antiqua"/>
        </w:rPr>
        <w:lastRenderedPageBreak/>
        <w:t xml:space="preserve">Mycn regulates intestinal development through ribosomal biogenesis in a zebrafish model of Feingold syndrome 1. </w:t>
      </w:r>
      <w:r>
        <w:rPr>
          <w:rFonts w:ascii="Book Antiqua" w:eastAsia="Book Antiqua" w:hAnsi="Book Antiqua" w:cs="Book Antiqua"/>
          <w:i/>
          <w:iCs/>
        </w:rPr>
        <w:t>PLoS Biol</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e3001856 [PMID: 36318514 DOI: 10.1371/journal.pbio.3001856]</w:t>
      </w:r>
    </w:p>
    <w:p w14:paraId="3ED22979" w14:textId="77777777" w:rsidR="00A77B3E" w:rsidRDefault="00CC2EF4">
      <w:pPr>
        <w:spacing w:line="360" w:lineRule="auto"/>
        <w:jc w:val="both"/>
      </w:pPr>
      <w:r>
        <w:rPr>
          <w:rFonts w:ascii="Book Antiqua" w:eastAsia="Book Antiqua" w:hAnsi="Book Antiqua" w:cs="Book Antiqua"/>
        </w:rPr>
        <w:t xml:space="preserve">103 </w:t>
      </w:r>
      <w:r>
        <w:rPr>
          <w:rFonts w:ascii="Book Antiqua" w:eastAsia="Book Antiqua" w:hAnsi="Book Antiqua" w:cs="Book Antiqua"/>
          <w:b/>
          <w:bCs/>
        </w:rPr>
        <w:t>Bates JM</w:t>
      </w:r>
      <w:r>
        <w:rPr>
          <w:rFonts w:ascii="Book Antiqua" w:eastAsia="Book Antiqua" w:hAnsi="Book Antiqua" w:cs="Book Antiqua"/>
        </w:rPr>
        <w:t xml:space="preserve">, Akerlund J, Mittge E, Guillemin K. Intestinal alkaline phosphatase detoxifies lipopolysaccharide and prevents inflammation in zebrafish in response to the gut microbiota. </w:t>
      </w:r>
      <w:r>
        <w:rPr>
          <w:rFonts w:ascii="Book Antiqua" w:eastAsia="Book Antiqua" w:hAnsi="Book Antiqua" w:cs="Book Antiqua"/>
          <w:i/>
          <w:iCs/>
        </w:rPr>
        <w:t>Cell Host Microbe</w:t>
      </w:r>
      <w:r>
        <w:rPr>
          <w:rFonts w:ascii="Book Antiqua" w:eastAsia="Book Antiqua" w:hAnsi="Book Antiqua" w:cs="Book Antiqua"/>
        </w:rPr>
        <w:t xml:space="preserve"> 2007; </w:t>
      </w:r>
      <w:r>
        <w:rPr>
          <w:rFonts w:ascii="Book Antiqua" w:eastAsia="Book Antiqua" w:hAnsi="Book Antiqua" w:cs="Book Antiqua"/>
          <w:b/>
          <w:bCs/>
        </w:rPr>
        <w:t>2</w:t>
      </w:r>
      <w:r>
        <w:rPr>
          <w:rFonts w:ascii="Book Antiqua" w:eastAsia="Book Antiqua" w:hAnsi="Book Antiqua" w:cs="Book Antiqua"/>
        </w:rPr>
        <w:t>: 371-382 [PMID: 18078689 DOI: 10.1016/j.chom.2007.10.010]</w:t>
      </w:r>
    </w:p>
    <w:p w14:paraId="1F8DE97D" w14:textId="77777777" w:rsidR="00A77B3E" w:rsidRDefault="00CC2EF4">
      <w:pPr>
        <w:spacing w:line="360" w:lineRule="auto"/>
        <w:jc w:val="both"/>
      </w:pPr>
      <w:proofErr w:type="gramStart"/>
      <w:r>
        <w:rPr>
          <w:rFonts w:ascii="Book Antiqua" w:eastAsia="Book Antiqua" w:hAnsi="Book Antiqua" w:cs="Book Antiqua"/>
        </w:rPr>
        <w:t xml:space="preserve">104 </w:t>
      </w:r>
      <w:r>
        <w:rPr>
          <w:rFonts w:ascii="Book Antiqua" w:eastAsia="Book Antiqua" w:hAnsi="Book Antiqua" w:cs="Book Antiqua"/>
          <w:b/>
          <w:bCs/>
        </w:rPr>
        <w:t>Zhao X</w:t>
      </w:r>
      <w:r>
        <w:rPr>
          <w:rFonts w:ascii="Book Antiqua" w:eastAsia="Book Antiqua" w:hAnsi="Book Antiqua" w:cs="Book Antiqua"/>
        </w:rPr>
        <w:t>, Pack M. Modeling intestinal disorders using zebrafish.</w:t>
      </w:r>
      <w:proofErr w:type="gramEnd"/>
      <w:r>
        <w:rPr>
          <w:rFonts w:ascii="Book Antiqua" w:eastAsia="Book Antiqua" w:hAnsi="Book Antiqua" w:cs="Book Antiqua"/>
        </w:rPr>
        <w:t xml:space="preserve"> </w:t>
      </w:r>
      <w:r>
        <w:rPr>
          <w:rFonts w:ascii="Book Antiqua" w:eastAsia="Book Antiqua" w:hAnsi="Book Antiqua" w:cs="Book Antiqua"/>
          <w:i/>
          <w:iCs/>
        </w:rPr>
        <w:t>Methods Cell Biol</w:t>
      </w:r>
      <w:r>
        <w:rPr>
          <w:rFonts w:ascii="Book Antiqua" w:eastAsia="Book Antiqua" w:hAnsi="Book Antiqua" w:cs="Book Antiqua"/>
        </w:rPr>
        <w:t xml:space="preserve"> 2017; </w:t>
      </w:r>
      <w:r>
        <w:rPr>
          <w:rFonts w:ascii="Book Antiqua" w:eastAsia="Book Antiqua" w:hAnsi="Book Antiqua" w:cs="Book Antiqua"/>
          <w:b/>
          <w:bCs/>
        </w:rPr>
        <w:t>138</w:t>
      </w:r>
      <w:r>
        <w:rPr>
          <w:rFonts w:ascii="Book Antiqua" w:eastAsia="Book Antiqua" w:hAnsi="Book Antiqua" w:cs="Book Antiqua"/>
        </w:rPr>
        <w:t>: 241-270 [PMID: 28129846 DOI: 10.1016/bs.mcb.2016.11.006]</w:t>
      </w:r>
    </w:p>
    <w:p w14:paraId="224334C8" w14:textId="77777777" w:rsidR="00A77B3E" w:rsidRDefault="00CC2EF4">
      <w:pPr>
        <w:spacing w:line="360" w:lineRule="auto"/>
        <w:jc w:val="both"/>
      </w:pPr>
      <w:r>
        <w:rPr>
          <w:rFonts w:ascii="Book Antiqua" w:eastAsia="Book Antiqua" w:hAnsi="Book Antiqua" w:cs="Book Antiqua"/>
        </w:rPr>
        <w:t xml:space="preserve">105 </w:t>
      </w:r>
      <w:r>
        <w:rPr>
          <w:rFonts w:ascii="Book Antiqua" w:eastAsia="Book Antiqua" w:hAnsi="Book Antiqua" w:cs="Book Antiqua"/>
          <w:b/>
          <w:bCs/>
        </w:rPr>
        <w:t>Witte M</w:t>
      </w:r>
      <w:r>
        <w:rPr>
          <w:rFonts w:ascii="Book Antiqua" w:eastAsia="Book Antiqua" w:hAnsi="Book Antiqua" w:cs="Book Antiqua"/>
        </w:rPr>
        <w:t xml:space="preserve">, Huitema LF, Nieuwenhuis EE, Brugman S. Deficiency in macrophage-stimulating protein results in spontaneous intestinal inflammation and increased susceptibility toward epithelial damage in zebrafish. </w:t>
      </w:r>
      <w:r>
        <w:rPr>
          <w:rFonts w:ascii="Book Antiqua" w:eastAsia="Book Antiqua" w:hAnsi="Book Antiqua" w:cs="Book Antiqua"/>
          <w:i/>
          <w:iCs/>
        </w:rPr>
        <w:t>Zebrafish</w:t>
      </w:r>
      <w:r>
        <w:rPr>
          <w:rFonts w:ascii="Book Antiqua" w:eastAsia="Book Antiqua" w:hAnsi="Book Antiqua" w:cs="Book Antiqua"/>
        </w:rPr>
        <w:t xml:space="preserve"> 2014; </w:t>
      </w:r>
      <w:r>
        <w:rPr>
          <w:rFonts w:ascii="Book Antiqua" w:eastAsia="Book Antiqua" w:hAnsi="Book Antiqua" w:cs="Book Antiqua"/>
          <w:b/>
          <w:bCs/>
        </w:rPr>
        <w:t>11</w:t>
      </w:r>
      <w:r>
        <w:rPr>
          <w:rFonts w:ascii="Book Antiqua" w:eastAsia="Book Antiqua" w:hAnsi="Book Antiqua" w:cs="Book Antiqua"/>
        </w:rPr>
        <w:t>: 542-550 [PMID: 25353089 DOI: 10.1089/zeb.2014.1023]</w:t>
      </w:r>
    </w:p>
    <w:p w14:paraId="074CA45E" w14:textId="77777777" w:rsidR="00A77B3E" w:rsidRDefault="00CC2EF4">
      <w:pPr>
        <w:spacing w:line="360" w:lineRule="auto"/>
        <w:jc w:val="both"/>
      </w:pPr>
      <w:r>
        <w:rPr>
          <w:rFonts w:ascii="Book Antiqua" w:eastAsia="Book Antiqua" w:hAnsi="Book Antiqua" w:cs="Book Antiqua"/>
        </w:rPr>
        <w:t xml:space="preserve">106 </w:t>
      </w:r>
      <w:r>
        <w:rPr>
          <w:rFonts w:ascii="Book Antiqua" w:eastAsia="Book Antiqua" w:hAnsi="Book Antiqua" w:cs="Book Antiqua"/>
          <w:b/>
          <w:bCs/>
        </w:rPr>
        <w:t>Zhao S</w:t>
      </w:r>
      <w:r>
        <w:rPr>
          <w:rFonts w:ascii="Book Antiqua" w:eastAsia="Book Antiqua" w:hAnsi="Book Antiqua" w:cs="Book Antiqua"/>
        </w:rPr>
        <w:t xml:space="preserve">, Xia J, Wu X, Zhang L, Wang P, Wang H, Li H, Wang X, Chen Y, Agnetti J, Li Y, Pei D, Shu X. Deficiency in class III PI3-kinase confers postnatal lethality with IBD-like features in zebrafish. </w:t>
      </w:r>
      <w:r>
        <w:rPr>
          <w:rFonts w:ascii="Book Antiqua" w:eastAsia="Book Antiqua" w:hAnsi="Book Antiqua" w:cs="Book Antiqua"/>
          <w:i/>
          <w:iCs/>
        </w:rPr>
        <w:t>Nat Commun</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2639 [PMID: 29980668 DOI: 10.1038/s41467-018-05105-8]</w:t>
      </w:r>
    </w:p>
    <w:p w14:paraId="224A571C" w14:textId="77777777" w:rsidR="00A77B3E" w:rsidRDefault="00CC2EF4">
      <w:pPr>
        <w:spacing w:line="360" w:lineRule="auto"/>
        <w:jc w:val="both"/>
      </w:pPr>
      <w:r>
        <w:rPr>
          <w:rFonts w:ascii="Book Antiqua" w:eastAsia="Book Antiqua" w:hAnsi="Book Antiqua" w:cs="Book Antiqua"/>
        </w:rPr>
        <w:t xml:space="preserve">107 </w:t>
      </w:r>
      <w:r>
        <w:rPr>
          <w:rFonts w:ascii="Book Antiqua" w:eastAsia="Book Antiqua" w:hAnsi="Book Antiqua" w:cs="Book Antiqua"/>
          <w:b/>
          <w:bCs/>
        </w:rPr>
        <w:t>Zhao Q</w:t>
      </w:r>
      <w:r>
        <w:rPr>
          <w:rFonts w:ascii="Book Antiqua" w:eastAsia="Book Antiqua" w:hAnsi="Book Antiqua" w:cs="Book Antiqua"/>
        </w:rPr>
        <w:t xml:space="preserve">, Chang H, Zheng J, Li P, Ye L, Pan R, Li D, Shao JZ, Zhao RC, Chen Y. </w:t>
      </w:r>
      <w:proofErr w:type="gramStart"/>
      <w:r>
        <w:rPr>
          <w:rFonts w:ascii="Book Antiqua" w:eastAsia="Book Antiqua" w:hAnsi="Book Antiqua" w:cs="Book Antiqua"/>
        </w:rPr>
        <w:t>A novel Trmt5-deficient zebrafish model with spontaneous inflammatory bowel disease-like phenotype.</w:t>
      </w:r>
      <w:proofErr w:type="gramEnd"/>
      <w:r>
        <w:rPr>
          <w:rFonts w:ascii="Book Antiqua" w:eastAsia="Book Antiqua" w:hAnsi="Book Antiqua" w:cs="Book Antiqua"/>
        </w:rPr>
        <w:t xml:space="preserve"> </w:t>
      </w:r>
      <w:r>
        <w:rPr>
          <w:rFonts w:ascii="Book Antiqua" w:eastAsia="Book Antiqua" w:hAnsi="Book Antiqua" w:cs="Book Antiqua"/>
          <w:i/>
          <w:iCs/>
        </w:rPr>
        <w:t>Signal Transduct Target Ther</w:t>
      </w:r>
      <w:r>
        <w:rPr>
          <w:rFonts w:ascii="Book Antiqua" w:eastAsia="Book Antiqua" w:hAnsi="Book Antiqua" w:cs="Book Antiqua"/>
        </w:rPr>
        <w:t xml:space="preserve"> 2023; </w:t>
      </w:r>
      <w:r>
        <w:rPr>
          <w:rFonts w:ascii="Book Antiqua" w:eastAsia="Book Antiqua" w:hAnsi="Book Antiqua" w:cs="Book Antiqua"/>
          <w:b/>
          <w:bCs/>
        </w:rPr>
        <w:t>8</w:t>
      </w:r>
      <w:r>
        <w:rPr>
          <w:rFonts w:ascii="Book Antiqua" w:eastAsia="Book Antiqua" w:hAnsi="Book Antiqua" w:cs="Book Antiqua"/>
        </w:rPr>
        <w:t>: 86 [PMID: 36849517 DOI: 10.1038/s41392-023-01318-6]</w:t>
      </w:r>
    </w:p>
    <w:p w14:paraId="18FC800D" w14:textId="77777777" w:rsidR="00A77B3E" w:rsidRDefault="00CC2EF4">
      <w:pPr>
        <w:spacing w:line="360" w:lineRule="auto"/>
        <w:jc w:val="both"/>
      </w:pPr>
      <w:r>
        <w:rPr>
          <w:rFonts w:ascii="Book Antiqua" w:eastAsia="Book Antiqua" w:hAnsi="Book Antiqua" w:cs="Book Antiqua"/>
        </w:rPr>
        <w:t xml:space="preserve">108 </w:t>
      </w:r>
      <w:r>
        <w:rPr>
          <w:rFonts w:ascii="Book Antiqua" w:eastAsia="Book Antiqua" w:hAnsi="Book Antiqua" w:cs="Book Antiqua"/>
          <w:b/>
          <w:bCs/>
        </w:rPr>
        <w:t>Sanmarco LM</w:t>
      </w:r>
      <w:r>
        <w:rPr>
          <w:rFonts w:ascii="Book Antiqua" w:eastAsia="Book Antiqua" w:hAnsi="Book Antiqua" w:cs="Book Antiqua"/>
        </w:rPr>
        <w:t xml:space="preserve">, Chao CC, Wang YC, Kenison JE, Li Z, Rone JM, Rejano-Gordillo CM, Polonio CM, Gutierrez-Vazquez C, Piester G, Plasencia A, Li L, Giovannoni F, Lee HG, Faust Akl C, Wheeler MA, Mascanfroni I, Jaronen M, Alsuwailm M, Hewson P, Yeste A, Andersen BM, Franks DG, Huang CJ, Ekwudo M, Tjon EC, Rothhammer V, Takenaka M, de Lima KA, Linnerbauer M, Guo L, Covacu R, Queva H, Fonseca-Castro PH, Bladi MA, Cox LM, Hodgetts KJ, Hahn ME, Mildner A, Korzenik J, Hauser R, Snapper SB, Quintana FJ. </w:t>
      </w:r>
      <w:proofErr w:type="gramStart"/>
      <w:r>
        <w:rPr>
          <w:rFonts w:ascii="Book Antiqua" w:eastAsia="Book Antiqua" w:hAnsi="Book Antiqua" w:cs="Book Antiqua"/>
        </w:rPr>
        <w:t xml:space="preserve">Identification of environmental factors that promote intestinal </w:t>
      </w:r>
      <w:r>
        <w:rPr>
          <w:rFonts w:ascii="Book Antiqua" w:eastAsia="Book Antiqua" w:hAnsi="Book Antiqua" w:cs="Book Antiqua"/>
        </w:rPr>
        <w:lastRenderedPageBreak/>
        <w:t>inflammation.</w:t>
      </w:r>
      <w:proofErr w:type="gramEnd"/>
      <w:r>
        <w:rPr>
          <w:rFonts w:ascii="Book Antiqua" w:eastAsia="Book Antiqua" w:hAnsi="Book Antiqua" w:cs="Book Antiqua"/>
        </w:rPr>
        <w:t xml:space="preserve"> </w:t>
      </w:r>
      <w:r>
        <w:rPr>
          <w:rFonts w:ascii="Book Antiqua" w:eastAsia="Book Antiqua" w:hAnsi="Book Antiqua" w:cs="Book Antiqua"/>
          <w:i/>
          <w:iCs/>
        </w:rPr>
        <w:t>Nature</w:t>
      </w:r>
      <w:r>
        <w:rPr>
          <w:rFonts w:ascii="Book Antiqua" w:eastAsia="Book Antiqua" w:hAnsi="Book Antiqua" w:cs="Book Antiqua"/>
        </w:rPr>
        <w:t xml:space="preserve"> 2022; </w:t>
      </w:r>
      <w:r>
        <w:rPr>
          <w:rFonts w:ascii="Book Antiqua" w:eastAsia="Book Antiqua" w:hAnsi="Book Antiqua" w:cs="Book Antiqua"/>
          <w:b/>
          <w:bCs/>
        </w:rPr>
        <w:t>611</w:t>
      </w:r>
      <w:r>
        <w:rPr>
          <w:rFonts w:ascii="Book Antiqua" w:eastAsia="Book Antiqua" w:hAnsi="Book Antiqua" w:cs="Book Antiqua"/>
        </w:rPr>
        <w:t>: 801-809 [PMID: 36266581 DOI: 10.1038/s41586-022-05308-6]</w:t>
      </w:r>
    </w:p>
    <w:p w14:paraId="29C93303" w14:textId="77777777" w:rsidR="00A77B3E" w:rsidRDefault="00CC2EF4">
      <w:pPr>
        <w:spacing w:line="360" w:lineRule="auto"/>
        <w:jc w:val="both"/>
      </w:pPr>
      <w:r>
        <w:rPr>
          <w:rFonts w:ascii="Book Antiqua" w:eastAsia="Book Antiqua" w:hAnsi="Book Antiqua" w:cs="Book Antiqua"/>
        </w:rPr>
        <w:t xml:space="preserve">109 </w:t>
      </w:r>
      <w:r>
        <w:rPr>
          <w:rFonts w:ascii="Book Antiqua" w:eastAsia="Book Antiqua" w:hAnsi="Book Antiqua" w:cs="Book Antiqua"/>
          <w:b/>
          <w:bCs/>
        </w:rPr>
        <w:t>Lee AS</w:t>
      </w:r>
      <w:r>
        <w:rPr>
          <w:rFonts w:ascii="Book Antiqua" w:eastAsia="Book Antiqua" w:hAnsi="Book Antiqua" w:cs="Book Antiqua"/>
        </w:rPr>
        <w:t xml:space="preserve">, Sung MJ, Kim W, Jung YJ. COMP-angiopoietin-1 ameliorates inflammation-induced lymphangiogenesis in dextran sulfate sodium (DSS)-induced colitis model. </w:t>
      </w:r>
      <w:r>
        <w:rPr>
          <w:rFonts w:ascii="Book Antiqua" w:eastAsia="Book Antiqua" w:hAnsi="Book Antiqua" w:cs="Book Antiqua"/>
          <w:i/>
          <w:iCs/>
        </w:rPr>
        <w:t>J Mol Med (Berl)</w:t>
      </w:r>
      <w:r>
        <w:rPr>
          <w:rFonts w:ascii="Book Antiqua" w:eastAsia="Book Antiqua" w:hAnsi="Book Antiqua" w:cs="Book Antiqua"/>
        </w:rPr>
        <w:t xml:space="preserve"> 2018; </w:t>
      </w:r>
      <w:r>
        <w:rPr>
          <w:rFonts w:ascii="Book Antiqua" w:eastAsia="Book Antiqua" w:hAnsi="Book Antiqua" w:cs="Book Antiqua"/>
          <w:b/>
          <w:bCs/>
        </w:rPr>
        <w:t>96</w:t>
      </w:r>
      <w:r>
        <w:rPr>
          <w:rFonts w:ascii="Book Antiqua" w:eastAsia="Book Antiqua" w:hAnsi="Book Antiqua" w:cs="Book Antiqua"/>
        </w:rPr>
        <w:t>: 459-467 [PMID: 29610929 DOI: 10.1007/s00109-018-1633-x]</w:t>
      </w:r>
    </w:p>
    <w:p w14:paraId="26B6CE16" w14:textId="77777777" w:rsidR="00A77B3E" w:rsidRDefault="00CC2EF4">
      <w:pPr>
        <w:spacing w:line="360" w:lineRule="auto"/>
        <w:jc w:val="both"/>
      </w:pPr>
      <w:r>
        <w:rPr>
          <w:rFonts w:ascii="Book Antiqua" w:eastAsia="Book Antiqua" w:hAnsi="Book Antiqua" w:cs="Book Antiqua"/>
        </w:rPr>
        <w:t xml:space="preserve">110 </w:t>
      </w:r>
      <w:r>
        <w:rPr>
          <w:rFonts w:ascii="Book Antiqua" w:eastAsia="Book Antiqua" w:hAnsi="Book Antiqua" w:cs="Book Antiqua"/>
          <w:b/>
          <w:bCs/>
        </w:rPr>
        <w:t>Lee AS</w:t>
      </w:r>
      <w:r>
        <w:rPr>
          <w:rFonts w:ascii="Book Antiqua" w:eastAsia="Book Antiqua" w:hAnsi="Book Antiqua" w:cs="Book Antiqua"/>
        </w:rPr>
        <w:t xml:space="preserve">, Hur HJ, Sung MJ. </w:t>
      </w:r>
      <w:proofErr w:type="gramStart"/>
      <w:r>
        <w:rPr>
          <w:rFonts w:ascii="Book Antiqua" w:eastAsia="Book Antiqua" w:hAnsi="Book Antiqua" w:cs="Book Antiqua"/>
        </w:rPr>
        <w:t>The Effect of Artemisinin on Inflammation-Associated Lymphangiogenesis in Experimental Acute Colitis.</w:t>
      </w:r>
      <w:proofErr w:type="gramEnd"/>
      <w:r>
        <w:rPr>
          <w:rFonts w:ascii="Book Antiqua" w:eastAsia="Book Antiqua" w:hAnsi="Book Antiqua" w:cs="Book Antiqua"/>
        </w:rPr>
        <w:t xml:space="preserve">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xml:space="preserve"> [PMID: 33138094 DOI: 10.3390/ijms21218068]</w:t>
      </w:r>
    </w:p>
    <w:p w14:paraId="4E0CED38" w14:textId="77777777" w:rsidR="00A77B3E" w:rsidRDefault="00CC2EF4">
      <w:pPr>
        <w:spacing w:line="360" w:lineRule="auto"/>
        <w:jc w:val="both"/>
      </w:pPr>
      <w:r>
        <w:rPr>
          <w:rFonts w:ascii="Book Antiqua" w:eastAsia="Book Antiqua" w:hAnsi="Book Antiqua" w:cs="Book Antiqua"/>
        </w:rPr>
        <w:t xml:space="preserve">111 </w:t>
      </w:r>
      <w:r>
        <w:rPr>
          <w:rFonts w:ascii="Book Antiqua" w:eastAsia="Book Antiqua" w:hAnsi="Book Antiqua" w:cs="Book Antiqua"/>
          <w:b/>
          <w:bCs/>
        </w:rPr>
        <w:t>Vermeire S</w:t>
      </w:r>
      <w:r>
        <w:rPr>
          <w:rFonts w:ascii="Book Antiqua" w:eastAsia="Book Antiqua" w:hAnsi="Book Antiqua" w:cs="Book Antiqua"/>
        </w:rPr>
        <w:t xml:space="preserve">, Schreiber S, Petryka R, Kuehbacher T, Hebuterne X, Roblin X, Klopocka M, Goldis A, Wisniewska-Jarosinska M, Baranovsky A, Sike R, Stoyanova K, Tasset C, Van der Aa A, Harrison P. Clinical remission in patients with moderate-to-severe Crohn's disease treated with filgotinib (the FITZROY study): results from a phase 2, double-blind, randomised, placebo-controlled trial. </w:t>
      </w:r>
      <w:r>
        <w:rPr>
          <w:rFonts w:ascii="Book Antiqua" w:eastAsia="Book Antiqua" w:hAnsi="Book Antiqua" w:cs="Book Antiqua"/>
          <w:i/>
          <w:iCs/>
        </w:rPr>
        <w:t>Lancet</w:t>
      </w:r>
      <w:r>
        <w:rPr>
          <w:rFonts w:ascii="Book Antiqua" w:eastAsia="Book Antiqua" w:hAnsi="Book Antiqua" w:cs="Book Antiqua"/>
        </w:rPr>
        <w:t xml:space="preserve"> 2017; </w:t>
      </w:r>
      <w:r>
        <w:rPr>
          <w:rFonts w:ascii="Book Antiqua" w:eastAsia="Book Antiqua" w:hAnsi="Book Antiqua" w:cs="Book Antiqua"/>
          <w:b/>
          <w:bCs/>
        </w:rPr>
        <w:t>389</w:t>
      </w:r>
      <w:r>
        <w:rPr>
          <w:rFonts w:ascii="Book Antiqua" w:eastAsia="Book Antiqua" w:hAnsi="Book Antiqua" w:cs="Book Antiqua"/>
        </w:rPr>
        <w:t>: 266-275 [PMID: 27988142 DOI: 10.1016/S0140-6736(16)32537-5]</w:t>
      </w:r>
    </w:p>
    <w:p w14:paraId="60F56545" w14:textId="77777777" w:rsidR="00A77B3E" w:rsidRDefault="00CC2EF4">
      <w:pPr>
        <w:spacing w:line="360" w:lineRule="auto"/>
        <w:jc w:val="both"/>
      </w:pPr>
      <w:r>
        <w:rPr>
          <w:rFonts w:ascii="Book Antiqua" w:eastAsia="Book Antiqua" w:hAnsi="Book Antiqua" w:cs="Book Antiqua"/>
        </w:rPr>
        <w:t xml:space="preserve">112 </w:t>
      </w:r>
      <w:r>
        <w:rPr>
          <w:rFonts w:ascii="Book Antiqua" w:eastAsia="Book Antiqua" w:hAnsi="Book Antiqua" w:cs="Book Antiqua"/>
          <w:b/>
          <w:bCs/>
        </w:rPr>
        <w:t>Halpert G</w:t>
      </w:r>
      <w:r>
        <w:rPr>
          <w:rFonts w:ascii="Book Antiqua" w:eastAsia="Book Antiqua" w:hAnsi="Book Antiqua" w:cs="Book Antiqua"/>
        </w:rPr>
        <w:t xml:space="preserve">, Eitan T, Voronov E, Apte RN, Rath-Wolfson L, Albeck M, Kalechman Y, Sredni B. Multifunctional activity of a small tellurium redox immunomodulator compound, AS101, on dextran sodium sulfate-induced murine colitis. </w:t>
      </w:r>
      <w:r>
        <w:rPr>
          <w:rFonts w:ascii="Book Antiqua" w:eastAsia="Book Antiqua" w:hAnsi="Book Antiqua" w:cs="Book Antiqua"/>
          <w:i/>
          <w:iCs/>
        </w:rPr>
        <w:t>J Biol Chem</w:t>
      </w:r>
      <w:r>
        <w:rPr>
          <w:rFonts w:ascii="Book Antiqua" w:eastAsia="Book Antiqua" w:hAnsi="Book Antiqua" w:cs="Book Antiqua"/>
        </w:rPr>
        <w:t xml:space="preserve"> 2014; </w:t>
      </w:r>
      <w:r>
        <w:rPr>
          <w:rFonts w:ascii="Book Antiqua" w:eastAsia="Book Antiqua" w:hAnsi="Book Antiqua" w:cs="Book Antiqua"/>
          <w:b/>
          <w:bCs/>
        </w:rPr>
        <w:t>289</w:t>
      </w:r>
      <w:r>
        <w:rPr>
          <w:rFonts w:ascii="Book Antiqua" w:eastAsia="Book Antiqua" w:hAnsi="Book Antiqua" w:cs="Book Antiqua"/>
        </w:rPr>
        <w:t>: 17215-17227 [PMID: 24764299 DOI: 10.1074/jbc.M113.536664]</w:t>
      </w:r>
    </w:p>
    <w:p w14:paraId="413ADF6F" w14:textId="77777777" w:rsidR="00A77B3E" w:rsidRDefault="00CC2EF4">
      <w:pPr>
        <w:spacing w:line="360" w:lineRule="auto"/>
        <w:jc w:val="both"/>
      </w:pPr>
      <w:r>
        <w:rPr>
          <w:rFonts w:ascii="Book Antiqua" w:eastAsia="Book Antiqua" w:hAnsi="Book Antiqua" w:cs="Book Antiqua"/>
        </w:rPr>
        <w:t xml:space="preserve">113 </w:t>
      </w:r>
      <w:r>
        <w:rPr>
          <w:rFonts w:ascii="Book Antiqua" w:eastAsia="Book Antiqua" w:hAnsi="Book Antiqua" w:cs="Book Antiqua"/>
          <w:b/>
          <w:bCs/>
        </w:rPr>
        <w:t>Sandborn WJ</w:t>
      </w:r>
      <w:r>
        <w:rPr>
          <w:rFonts w:ascii="Book Antiqua" w:eastAsia="Book Antiqua" w:hAnsi="Book Antiqua" w:cs="Book Antiqua"/>
        </w:rPr>
        <w:t xml:space="preserve">, Feagan BG, Rutgeerts P, Hanauer S, Colombel JF, Sands BE, Lukas M, Fedorak RN, Lee S, Bressler B, Fox I, Rosario M, Sankoh S, Xu J, Stephens K, Milch C, Parikh A; GEMINI 2 Study Group. </w:t>
      </w:r>
      <w:proofErr w:type="gramStart"/>
      <w:r>
        <w:rPr>
          <w:rFonts w:ascii="Book Antiqua" w:eastAsia="Book Antiqua" w:hAnsi="Book Antiqua" w:cs="Book Antiqua"/>
        </w:rPr>
        <w:t>Vedolizumab as induction and maintenance therapy for Crohn's disease.</w:t>
      </w:r>
      <w:proofErr w:type="gramEnd"/>
      <w:r>
        <w:rPr>
          <w:rFonts w:ascii="Book Antiqua" w:eastAsia="Book Antiqua" w:hAnsi="Book Antiqua" w:cs="Book Antiqua"/>
        </w:rPr>
        <w:t xml:space="preserve"> </w:t>
      </w:r>
      <w:r>
        <w:rPr>
          <w:rFonts w:ascii="Book Antiqua" w:eastAsia="Book Antiqua" w:hAnsi="Book Antiqua" w:cs="Book Antiqua"/>
          <w:i/>
          <w:iCs/>
        </w:rPr>
        <w:t>N Engl J Med</w:t>
      </w:r>
      <w:r>
        <w:rPr>
          <w:rFonts w:ascii="Book Antiqua" w:eastAsia="Book Antiqua" w:hAnsi="Book Antiqua" w:cs="Book Antiqua"/>
        </w:rPr>
        <w:t xml:space="preserve"> 2013; </w:t>
      </w:r>
      <w:r>
        <w:rPr>
          <w:rFonts w:ascii="Book Antiqua" w:eastAsia="Book Antiqua" w:hAnsi="Book Antiqua" w:cs="Book Antiqua"/>
          <w:b/>
          <w:bCs/>
        </w:rPr>
        <w:t>369</w:t>
      </w:r>
      <w:r>
        <w:rPr>
          <w:rFonts w:ascii="Book Antiqua" w:eastAsia="Book Antiqua" w:hAnsi="Book Antiqua" w:cs="Book Antiqua"/>
        </w:rPr>
        <w:t>: 711-721 [PMID: 23964933 DOI: 10.1056/NEJMoa1215739]</w:t>
      </w:r>
    </w:p>
    <w:p w14:paraId="0A9A7739" w14:textId="77777777" w:rsidR="00A77B3E" w:rsidRDefault="00CC2EF4">
      <w:pPr>
        <w:spacing w:line="360" w:lineRule="auto"/>
        <w:jc w:val="both"/>
      </w:pPr>
      <w:r>
        <w:rPr>
          <w:rFonts w:ascii="Book Antiqua" w:eastAsia="Book Antiqua" w:hAnsi="Book Antiqua" w:cs="Book Antiqua"/>
        </w:rPr>
        <w:t xml:space="preserve">114 </w:t>
      </w:r>
      <w:r>
        <w:rPr>
          <w:rFonts w:ascii="Book Antiqua" w:eastAsia="Book Antiqua" w:hAnsi="Book Antiqua" w:cs="Book Antiqua"/>
          <w:b/>
          <w:bCs/>
        </w:rPr>
        <w:t>Deepak P</w:t>
      </w:r>
      <w:r>
        <w:rPr>
          <w:rFonts w:ascii="Book Antiqua" w:eastAsia="Book Antiqua" w:hAnsi="Book Antiqua" w:cs="Book Antiqua"/>
        </w:rPr>
        <w:t xml:space="preserve">, Sandborn WJ. </w:t>
      </w:r>
      <w:proofErr w:type="gramStart"/>
      <w:r>
        <w:rPr>
          <w:rFonts w:ascii="Book Antiqua" w:eastAsia="Book Antiqua" w:hAnsi="Book Antiqua" w:cs="Book Antiqua"/>
        </w:rPr>
        <w:t>Ustekinumab and Anti-Interleukin-23 Agents in Crohn's Disease.</w:t>
      </w:r>
      <w:proofErr w:type="gramEnd"/>
      <w:r>
        <w:rPr>
          <w:rFonts w:ascii="Book Antiqua" w:eastAsia="Book Antiqua" w:hAnsi="Book Antiqua" w:cs="Book Antiqua"/>
        </w:rPr>
        <w:t xml:space="preserve"> </w:t>
      </w:r>
      <w:r>
        <w:rPr>
          <w:rFonts w:ascii="Book Antiqua" w:eastAsia="Book Antiqua" w:hAnsi="Book Antiqua" w:cs="Book Antiqua"/>
          <w:i/>
          <w:iCs/>
        </w:rPr>
        <w:t>Gastroenterol Clin North Am</w:t>
      </w:r>
      <w:r>
        <w:rPr>
          <w:rFonts w:ascii="Book Antiqua" w:eastAsia="Book Antiqua" w:hAnsi="Book Antiqua" w:cs="Book Antiqua"/>
        </w:rPr>
        <w:t xml:space="preserve"> 2017; </w:t>
      </w:r>
      <w:r>
        <w:rPr>
          <w:rFonts w:ascii="Book Antiqua" w:eastAsia="Book Antiqua" w:hAnsi="Book Antiqua" w:cs="Book Antiqua"/>
          <w:b/>
          <w:bCs/>
        </w:rPr>
        <w:t>46</w:t>
      </w:r>
      <w:r>
        <w:rPr>
          <w:rFonts w:ascii="Book Antiqua" w:eastAsia="Book Antiqua" w:hAnsi="Book Antiqua" w:cs="Book Antiqua"/>
        </w:rPr>
        <w:t>: 603-626 [PMID: 28838418 DOI: 10.1016/j.gtc.2017.05.013]</w:t>
      </w:r>
    </w:p>
    <w:p w14:paraId="62DC8DA3" w14:textId="77777777" w:rsidR="00A77B3E" w:rsidRDefault="00CC2EF4">
      <w:pPr>
        <w:spacing w:line="360" w:lineRule="auto"/>
        <w:jc w:val="both"/>
      </w:pPr>
      <w:r>
        <w:rPr>
          <w:rFonts w:ascii="Book Antiqua" w:eastAsia="Book Antiqua" w:hAnsi="Book Antiqua" w:cs="Book Antiqua"/>
        </w:rPr>
        <w:t xml:space="preserve">115 </w:t>
      </w:r>
      <w:r>
        <w:rPr>
          <w:rFonts w:ascii="Book Antiqua" w:eastAsia="Book Antiqua" w:hAnsi="Book Antiqua" w:cs="Book Antiqua"/>
          <w:b/>
          <w:bCs/>
        </w:rPr>
        <w:t>Feagan BG</w:t>
      </w:r>
      <w:r>
        <w:rPr>
          <w:rFonts w:ascii="Book Antiqua" w:eastAsia="Book Antiqua" w:hAnsi="Book Antiqua" w:cs="Book Antiqua"/>
        </w:rPr>
        <w:t xml:space="preserve">, Panés J, Ferrante M, Kaser A, D'Haens GR, Sandborn WJ, Louis E, Neurath MF, Franchimont D, Dewit O, Seidler U, Kim KJ, Selinger C, Padula SJ, </w:t>
      </w:r>
      <w:r>
        <w:rPr>
          <w:rFonts w:ascii="Book Antiqua" w:eastAsia="Book Antiqua" w:hAnsi="Book Antiqua" w:cs="Book Antiqua"/>
        </w:rPr>
        <w:lastRenderedPageBreak/>
        <w:t xml:space="preserve">Herichova I, Robinson AM, Wallace K, Zhao J, Minocha M, Othman AA, Soaita A, Visvanathan S, Hall DB, Böcher WO. Risankizumab in patients with moderate to severe Crohn's disease: an open-label extension study. </w:t>
      </w:r>
      <w:r>
        <w:rPr>
          <w:rFonts w:ascii="Book Antiqua" w:eastAsia="Book Antiqua" w:hAnsi="Book Antiqua" w:cs="Book Antiqua"/>
          <w:i/>
          <w:iCs/>
        </w:rPr>
        <w:t>Lancet Gastroenterol Hepatol</w:t>
      </w:r>
      <w:r>
        <w:rPr>
          <w:rFonts w:ascii="Book Antiqua" w:eastAsia="Book Antiqua" w:hAnsi="Book Antiqua" w:cs="Book Antiqua"/>
        </w:rPr>
        <w:t xml:space="preserve"> 2018; </w:t>
      </w:r>
      <w:r>
        <w:rPr>
          <w:rFonts w:ascii="Book Antiqua" w:eastAsia="Book Antiqua" w:hAnsi="Book Antiqua" w:cs="Book Antiqua"/>
          <w:b/>
          <w:bCs/>
        </w:rPr>
        <w:t>3</w:t>
      </w:r>
      <w:r>
        <w:rPr>
          <w:rFonts w:ascii="Book Antiqua" w:eastAsia="Book Antiqua" w:hAnsi="Book Antiqua" w:cs="Book Antiqua"/>
        </w:rPr>
        <w:t>: 671-680 [PMID: 30056030 DOI: 10.1016/S2468-1253(18)30233-4]</w:t>
      </w:r>
    </w:p>
    <w:p w14:paraId="42328E71" w14:textId="424C8C57" w:rsidR="00A77B3E" w:rsidRDefault="00CC2EF4">
      <w:pPr>
        <w:spacing w:line="360" w:lineRule="auto"/>
        <w:jc w:val="both"/>
      </w:pPr>
      <w:r>
        <w:rPr>
          <w:rFonts w:ascii="Book Antiqua" w:eastAsia="Book Antiqua" w:hAnsi="Book Antiqua" w:cs="Book Antiqua"/>
        </w:rPr>
        <w:t xml:space="preserve">116 </w:t>
      </w:r>
      <w:r>
        <w:rPr>
          <w:rFonts w:ascii="Book Antiqua" w:eastAsia="Book Antiqua" w:hAnsi="Book Antiqua" w:cs="Book Antiqua"/>
          <w:b/>
          <w:bCs/>
        </w:rPr>
        <w:t>Feagan BG</w:t>
      </w:r>
      <w:r>
        <w:rPr>
          <w:rFonts w:ascii="Book Antiqua" w:eastAsia="Book Antiqua" w:hAnsi="Book Antiqua" w:cs="Book Antiqua"/>
        </w:rPr>
        <w:t>, Sandborn WJ, Gasink C, Jacobstein D, Lang Y, Friedman JR, Blank MA, Johanns J, Gao LL, Miao Y, Adedokun OJ, Sands BE, Hanauer SB, Vermeire S, Targan S, Ghosh S, de Villiers WJ, Colombel JF, Tulassay Z, Seidler U, Salzberg BA, Desreumaux P, Lee SD, Loftus EV Jr, Dieleman LA, Katz S, Rutgeerts P; UNITI</w:t>
      </w:r>
      <w:r w:rsidR="00CC2107">
        <w:rPr>
          <w:rFonts w:ascii="Book Antiqua" w:hAnsi="Book Antiqua" w:cs="Book Antiqua" w:hint="eastAsia"/>
          <w:lang w:eastAsia="zh-CN"/>
        </w:rPr>
        <w:t>-</w:t>
      </w:r>
      <w:r>
        <w:rPr>
          <w:rFonts w:ascii="Book Antiqua" w:eastAsia="Book Antiqua" w:hAnsi="Book Antiqua" w:cs="Book Antiqua"/>
        </w:rPr>
        <w:t xml:space="preserve">IM-UNITI Study Group. </w:t>
      </w:r>
      <w:proofErr w:type="gramStart"/>
      <w:r>
        <w:rPr>
          <w:rFonts w:ascii="Book Antiqua" w:eastAsia="Book Antiqua" w:hAnsi="Book Antiqua" w:cs="Book Antiqua"/>
        </w:rPr>
        <w:t>Ustekinumab as Induction and Maintenance Therapy for Crohn's Disease.</w:t>
      </w:r>
      <w:proofErr w:type="gramEnd"/>
      <w:r>
        <w:rPr>
          <w:rFonts w:ascii="Book Antiqua" w:eastAsia="Book Antiqua" w:hAnsi="Book Antiqua" w:cs="Book Antiqua"/>
        </w:rPr>
        <w:t xml:space="preserve"> </w:t>
      </w:r>
      <w:r>
        <w:rPr>
          <w:rFonts w:ascii="Book Antiqua" w:eastAsia="Book Antiqua" w:hAnsi="Book Antiqua" w:cs="Book Antiqua"/>
          <w:i/>
          <w:iCs/>
        </w:rPr>
        <w:t>N Engl J Med</w:t>
      </w:r>
      <w:r>
        <w:rPr>
          <w:rFonts w:ascii="Book Antiqua" w:eastAsia="Book Antiqua" w:hAnsi="Book Antiqua" w:cs="Book Antiqua"/>
        </w:rPr>
        <w:t xml:space="preserve"> 2016; </w:t>
      </w:r>
      <w:r>
        <w:rPr>
          <w:rFonts w:ascii="Book Antiqua" w:eastAsia="Book Antiqua" w:hAnsi="Book Antiqua" w:cs="Book Antiqua"/>
          <w:b/>
          <w:bCs/>
        </w:rPr>
        <w:t>375</w:t>
      </w:r>
      <w:r>
        <w:rPr>
          <w:rFonts w:ascii="Book Antiqua" w:eastAsia="Book Antiqua" w:hAnsi="Book Antiqua" w:cs="Book Antiqua"/>
        </w:rPr>
        <w:t>: 1946-1960 [PMID: 27959607 DOI: 10.1056/NEJMoa1602773]</w:t>
      </w:r>
    </w:p>
    <w:p w14:paraId="288F51EE" w14:textId="77777777" w:rsidR="00A77B3E" w:rsidRDefault="00CC2EF4">
      <w:pPr>
        <w:spacing w:line="360" w:lineRule="auto"/>
        <w:jc w:val="both"/>
      </w:pPr>
      <w:r>
        <w:rPr>
          <w:rFonts w:ascii="Book Antiqua" w:eastAsia="Book Antiqua" w:hAnsi="Book Antiqua" w:cs="Book Antiqua"/>
        </w:rPr>
        <w:t xml:space="preserve">117 </w:t>
      </w:r>
      <w:r>
        <w:rPr>
          <w:rFonts w:ascii="Book Antiqua" w:eastAsia="Book Antiqua" w:hAnsi="Book Antiqua" w:cs="Book Antiqua"/>
          <w:b/>
          <w:bCs/>
        </w:rPr>
        <w:t>Wang X</w:t>
      </w:r>
      <w:r>
        <w:rPr>
          <w:rFonts w:ascii="Book Antiqua" w:eastAsia="Book Antiqua" w:hAnsi="Book Antiqua" w:cs="Book Antiqua"/>
        </w:rPr>
        <w:t xml:space="preserve">, Zhao J, Qin L. VEGF-C mediated enhancement of lymphatic drainage reduces intestinal inflammation by regulating IL-9/IL-17 balance and improving gut microbiota in experimental chronic colitis. </w:t>
      </w:r>
      <w:r>
        <w:rPr>
          <w:rFonts w:ascii="Book Antiqua" w:eastAsia="Book Antiqua" w:hAnsi="Book Antiqua" w:cs="Book Antiqua"/>
          <w:i/>
          <w:iCs/>
        </w:rPr>
        <w:t>Am J Transl Res</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4772-4784 [PMID: 29218079]</w:t>
      </w:r>
    </w:p>
    <w:p w14:paraId="1D46D8E0" w14:textId="07B55371" w:rsidR="00A77B3E" w:rsidRDefault="00CC2EF4">
      <w:pPr>
        <w:spacing w:line="360" w:lineRule="auto"/>
        <w:jc w:val="both"/>
      </w:pPr>
      <w:r>
        <w:rPr>
          <w:rFonts w:ascii="Book Antiqua" w:eastAsia="Book Antiqua" w:hAnsi="Book Antiqua" w:cs="Book Antiqua"/>
        </w:rPr>
        <w:t xml:space="preserve">118 </w:t>
      </w:r>
      <w:r>
        <w:rPr>
          <w:rFonts w:ascii="Book Antiqua" w:eastAsia="Book Antiqua" w:hAnsi="Book Antiqua" w:cs="Book Antiqua"/>
          <w:b/>
          <w:bCs/>
        </w:rPr>
        <w:t>Scott FL</w:t>
      </w:r>
      <w:r>
        <w:rPr>
          <w:rFonts w:ascii="Book Antiqua" w:eastAsia="Book Antiqua" w:hAnsi="Book Antiqua" w:cs="Book Antiqua"/>
        </w:rPr>
        <w:t>, Clemons B, Brooks J, Brahmachary E, Powell R, Dedman H, Desale HG, Timony GA, Martinborough E, Rosen H, Roberts E, Boehm MF, Peach RJ. Ozanimod (RPC1063) is a potent sphingosi</w:t>
      </w:r>
      <w:r w:rsidR="00B63B97">
        <w:rPr>
          <w:rFonts w:ascii="Book Antiqua" w:eastAsia="Book Antiqua" w:hAnsi="Book Antiqua" w:cs="Book Antiqua"/>
        </w:rPr>
        <w:t>ne-1-phosphate receptor-1 (S1P1</w:t>
      </w:r>
      <w:r>
        <w:rPr>
          <w:rFonts w:ascii="Book Antiqua" w:eastAsia="Book Antiqua" w:hAnsi="Book Antiqua" w:cs="Book Antiqua"/>
        </w:rPr>
        <w:t>) and receptor</w:t>
      </w:r>
      <w:r w:rsidR="00B63B97">
        <w:rPr>
          <w:rFonts w:ascii="Book Antiqua" w:eastAsia="Book Antiqua" w:hAnsi="Book Antiqua" w:cs="Book Antiqua"/>
        </w:rPr>
        <w:t>-5 (S1P5</w:t>
      </w:r>
      <w:r>
        <w:rPr>
          <w:rFonts w:ascii="Book Antiqua" w:eastAsia="Book Antiqua" w:hAnsi="Book Antiqua" w:cs="Book Antiqua"/>
        </w:rPr>
        <w:t xml:space="preserve">) agonist with autoimmune disease-modifying activity. </w:t>
      </w:r>
      <w:r>
        <w:rPr>
          <w:rFonts w:ascii="Book Antiqua" w:eastAsia="Book Antiqua" w:hAnsi="Book Antiqua" w:cs="Book Antiqua"/>
          <w:i/>
          <w:iCs/>
        </w:rPr>
        <w:t>Br J Pharmacol</w:t>
      </w:r>
      <w:r>
        <w:rPr>
          <w:rFonts w:ascii="Book Antiqua" w:eastAsia="Book Antiqua" w:hAnsi="Book Antiqua" w:cs="Book Antiqua"/>
        </w:rPr>
        <w:t xml:space="preserve"> 2016; </w:t>
      </w:r>
      <w:r>
        <w:rPr>
          <w:rFonts w:ascii="Book Antiqua" w:eastAsia="Book Antiqua" w:hAnsi="Book Antiqua" w:cs="Book Antiqua"/>
          <w:b/>
          <w:bCs/>
        </w:rPr>
        <w:t>173</w:t>
      </w:r>
      <w:r>
        <w:rPr>
          <w:rFonts w:ascii="Book Antiqua" w:eastAsia="Book Antiqua" w:hAnsi="Book Antiqua" w:cs="Book Antiqua"/>
        </w:rPr>
        <w:t>: 1778-1792 [PMID: 26990079 DOI: 10.1111/bph.13476]</w:t>
      </w:r>
    </w:p>
    <w:p w14:paraId="41FAD2CE" w14:textId="77777777" w:rsidR="00A77B3E" w:rsidRDefault="00CC2EF4">
      <w:pPr>
        <w:spacing w:line="360" w:lineRule="auto"/>
        <w:jc w:val="both"/>
      </w:pPr>
      <w:r>
        <w:rPr>
          <w:rFonts w:ascii="Book Antiqua" w:eastAsia="Book Antiqua" w:hAnsi="Book Antiqua" w:cs="Book Antiqua"/>
        </w:rPr>
        <w:t xml:space="preserve">119 </w:t>
      </w:r>
      <w:r>
        <w:rPr>
          <w:rFonts w:ascii="Book Antiqua" w:eastAsia="Book Antiqua" w:hAnsi="Book Antiqua" w:cs="Book Antiqua"/>
          <w:b/>
          <w:bCs/>
        </w:rPr>
        <w:t>Cromer W</w:t>
      </w:r>
      <w:r>
        <w:rPr>
          <w:rFonts w:ascii="Book Antiqua" w:eastAsia="Book Antiqua" w:hAnsi="Book Antiqua" w:cs="Book Antiqua"/>
        </w:rPr>
        <w:t xml:space="preserve">, Wang W, Zawieja SD, von der Weid PY, Newell-Rogers MK, Zawieja DC. Colonic Insult Impairs Lymph Flow, Increases Cellular Content of the Lymph, Alters Local Lymphatic Microenvironment, and Leads to Sustained Inflammation in the Rat Ileum. </w:t>
      </w:r>
      <w:r>
        <w:rPr>
          <w:rFonts w:ascii="Book Antiqua" w:eastAsia="Book Antiqua" w:hAnsi="Book Antiqua" w:cs="Book Antiqua"/>
          <w:i/>
          <w:iCs/>
        </w:rPr>
        <w:t>Inflamm Bowel Dis</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1553-1563 [PMID: 25939039 DOI: 10.1097/MIB.0000000000000402]</w:t>
      </w:r>
    </w:p>
    <w:bookmarkEnd w:id="181"/>
    <w:bookmarkEnd w:id="182"/>
    <w:bookmarkEnd w:id="183"/>
    <w:p w14:paraId="4E7602F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05CF801" w14:textId="77777777" w:rsidR="00A77B3E" w:rsidRDefault="00CC2EF4">
      <w:pPr>
        <w:spacing w:line="360" w:lineRule="auto"/>
        <w:jc w:val="both"/>
      </w:pPr>
      <w:r>
        <w:rPr>
          <w:rFonts w:ascii="Book Antiqua" w:eastAsia="Book Antiqua" w:hAnsi="Book Antiqua" w:cs="Book Antiqua"/>
          <w:b/>
          <w:color w:val="000000"/>
        </w:rPr>
        <w:lastRenderedPageBreak/>
        <w:t>Footnotes</w:t>
      </w:r>
    </w:p>
    <w:p w14:paraId="29A30745" w14:textId="77777777" w:rsidR="00A77B3E" w:rsidRDefault="00CC2EF4">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szCs w:val="21"/>
        </w:rPr>
        <w:t>All the authors report no relevant conflicts of interest for this article.</w:t>
      </w:r>
    </w:p>
    <w:p w14:paraId="6E5AB1CA" w14:textId="77777777" w:rsidR="00A77B3E" w:rsidRDefault="00A77B3E">
      <w:pPr>
        <w:spacing w:line="360" w:lineRule="auto"/>
        <w:jc w:val="both"/>
      </w:pPr>
    </w:p>
    <w:p w14:paraId="2863766A" w14:textId="77777777" w:rsidR="00A77B3E" w:rsidRDefault="00CC2EF4">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C286DE" w14:textId="77777777" w:rsidR="00A77B3E" w:rsidRDefault="00A77B3E">
      <w:pPr>
        <w:spacing w:line="360" w:lineRule="auto"/>
        <w:jc w:val="both"/>
      </w:pPr>
    </w:p>
    <w:p w14:paraId="63BCBBA0" w14:textId="77777777" w:rsidR="00A77B3E" w:rsidRDefault="00CC2EF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5A76E62E" w14:textId="77777777" w:rsidR="00A77B3E" w:rsidRDefault="00CC2EF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E69529F" w14:textId="77777777" w:rsidR="00A77B3E" w:rsidRDefault="00A77B3E">
      <w:pPr>
        <w:spacing w:line="360" w:lineRule="auto"/>
        <w:jc w:val="both"/>
      </w:pPr>
    </w:p>
    <w:p w14:paraId="4993646B" w14:textId="77777777" w:rsidR="00A77B3E" w:rsidRDefault="00CC2EF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27, 2023</w:t>
      </w:r>
    </w:p>
    <w:p w14:paraId="368041BA" w14:textId="77777777" w:rsidR="00A77B3E" w:rsidRDefault="00CC2EF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25, 2023</w:t>
      </w:r>
    </w:p>
    <w:p w14:paraId="716642C7" w14:textId="4FF066AE" w:rsidR="00A77B3E" w:rsidRDefault="00CC2EF4">
      <w:pPr>
        <w:spacing w:line="360" w:lineRule="auto"/>
        <w:jc w:val="both"/>
      </w:pPr>
      <w:r>
        <w:rPr>
          <w:rFonts w:ascii="Book Antiqua" w:eastAsia="Book Antiqua" w:hAnsi="Book Antiqua" w:cs="Book Antiqua"/>
          <w:b/>
          <w:color w:val="000000"/>
        </w:rPr>
        <w:t xml:space="preserve">Article in press: </w:t>
      </w:r>
      <w:r w:rsidR="00143E67" w:rsidRPr="00E0103E">
        <w:rPr>
          <w:rFonts w:ascii="Book Antiqua" w:hAnsi="Book Antiqua"/>
        </w:rPr>
        <w:t xml:space="preserve">December </w:t>
      </w:r>
      <w:r w:rsidR="00143E67">
        <w:rPr>
          <w:rFonts w:ascii="Book Antiqua" w:hAnsi="Book Antiqua"/>
        </w:rPr>
        <w:t>27</w:t>
      </w:r>
      <w:r w:rsidR="00143E67" w:rsidRPr="00E0103E">
        <w:rPr>
          <w:rFonts w:ascii="Book Antiqua" w:hAnsi="Book Antiqua"/>
        </w:rPr>
        <w:t>, 2023</w:t>
      </w:r>
    </w:p>
    <w:p w14:paraId="7B1CADB2" w14:textId="77777777" w:rsidR="00A77B3E" w:rsidRDefault="00A77B3E">
      <w:pPr>
        <w:spacing w:line="360" w:lineRule="auto"/>
        <w:jc w:val="both"/>
      </w:pPr>
    </w:p>
    <w:p w14:paraId="16408AF7" w14:textId="6634CAEC" w:rsidR="00A77B3E" w:rsidRDefault="00CC2EF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w:t>
      </w:r>
      <w:r w:rsidR="00B63B97">
        <w:rPr>
          <w:rFonts w:ascii="Book Antiqua" w:hAnsi="Book Antiqua" w:cs="Book Antiqua" w:hint="eastAsia"/>
          <w:lang w:eastAsia="zh-CN"/>
        </w:rPr>
        <w:t>and</w:t>
      </w:r>
      <w:r>
        <w:rPr>
          <w:rFonts w:ascii="Book Antiqua" w:eastAsia="Book Antiqua" w:hAnsi="Book Antiqua" w:cs="Book Antiqua"/>
        </w:rPr>
        <w:t xml:space="preserve"> </w:t>
      </w:r>
      <w:r w:rsidR="007207BD">
        <w:rPr>
          <w:rFonts w:ascii="Book Antiqua" w:eastAsia="Book Antiqua" w:hAnsi="Book Antiqua" w:cs="Book Antiqua"/>
        </w:rPr>
        <w:t>hepatology</w:t>
      </w:r>
    </w:p>
    <w:p w14:paraId="451FDE9A" w14:textId="77777777" w:rsidR="00A77B3E" w:rsidRDefault="00CC2EF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2AB8E9D" w14:textId="77777777" w:rsidR="00A77B3E" w:rsidRDefault="00CC2EF4">
      <w:pPr>
        <w:spacing w:line="360" w:lineRule="auto"/>
        <w:jc w:val="both"/>
      </w:pPr>
      <w:r>
        <w:rPr>
          <w:rFonts w:ascii="Book Antiqua" w:eastAsia="Book Antiqua" w:hAnsi="Book Antiqua" w:cs="Book Antiqua"/>
          <w:b/>
          <w:color w:val="000000"/>
        </w:rPr>
        <w:t>Peer-review report’s scientific quality classification</w:t>
      </w:r>
    </w:p>
    <w:p w14:paraId="3A8B009E" w14:textId="77777777" w:rsidR="00A77B3E" w:rsidRDefault="00CC2EF4">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01A37050" w14:textId="77777777" w:rsidR="00A77B3E" w:rsidRDefault="00CC2EF4">
      <w:pPr>
        <w:spacing w:line="360" w:lineRule="auto"/>
        <w:jc w:val="both"/>
      </w:pPr>
      <w:r>
        <w:rPr>
          <w:rFonts w:ascii="Book Antiqua" w:eastAsia="Book Antiqua" w:hAnsi="Book Antiqua" w:cs="Book Antiqua"/>
        </w:rPr>
        <w:t>Grade B (Very good): B</w:t>
      </w:r>
    </w:p>
    <w:p w14:paraId="76186867" w14:textId="77777777" w:rsidR="00A77B3E" w:rsidRDefault="00CC2EF4">
      <w:pPr>
        <w:spacing w:line="360" w:lineRule="auto"/>
        <w:jc w:val="both"/>
      </w:pPr>
      <w:r>
        <w:rPr>
          <w:rFonts w:ascii="Book Antiqua" w:eastAsia="Book Antiqua" w:hAnsi="Book Antiqua" w:cs="Book Antiqua"/>
        </w:rPr>
        <w:t>Grade C (Good): C</w:t>
      </w:r>
    </w:p>
    <w:p w14:paraId="216A323B" w14:textId="77777777" w:rsidR="00A77B3E" w:rsidRDefault="00CC2EF4">
      <w:pPr>
        <w:spacing w:line="360" w:lineRule="auto"/>
        <w:jc w:val="both"/>
      </w:pPr>
      <w:r>
        <w:rPr>
          <w:rFonts w:ascii="Book Antiqua" w:eastAsia="Book Antiqua" w:hAnsi="Book Antiqua" w:cs="Book Antiqua"/>
        </w:rPr>
        <w:t>Grade D (Fair): 0</w:t>
      </w:r>
    </w:p>
    <w:p w14:paraId="0215B55D" w14:textId="77777777" w:rsidR="00A77B3E" w:rsidRDefault="00CC2EF4">
      <w:pPr>
        <w:spacing w:line="360" w:lineRule="auto"/>
        <w:jc w:val="both"/>
      </w:pPr>
      <w:r>
        <w:rPr>
          <w:rFonts w:ascii="Book Antiqua" w:eastAsia="Book Antiqua" w:hAnsi="Book Antiqua" w:cs="Book Antiqua"/>
        </w:rPr>
        <w:t>Grade E (Poor): 0</w:t>
      </w:r>
    </w:p>
    <w:p w14:paraId="15DB5F8B" w14:textId="77777777" w:rsidR="00A77B3E" w:rsidRDefault="00A77B3E">
      <w:pPr>
        <w:spacing w:line="360" w:lineRule="auto"/>
        <w:jc w:val="both"/>
      </w:pPr>
    </w:p>
    <w:p w14:paraId="1BED182A" w14:textId="09BC2E28" w:rsidR="00A77B3E" w:rsidRPr="00143E67" w:rsidRDefault="00CC2EF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Ertan A, United States; Gravina AG, Italy</w:t>
      </w:r>
      <w:r>
        <w:rPr>
          <w:rFonts w:ascii="Book Antiqua" w:eastAsia="Book Antiqua" w:hAnsi="Book Antiqua" w:cs="Book Antiqua"/>
          <w:b/>
          <w:color w:val="000000"/>
        </w:rPr>
        <w:t xml:space="preserve"> S-Editor: </w:t>
      </w:r>
      <w:r w:rsidR="005B5D0D" w:rsidRPr="005B5D0D">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r w:rsidR="007207BD" w:rsidRPr="00FA58C5">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143E67" w:rsidRPr="00143E67">
        <w:rPr>
          <w:rFonts w:ascii="Book Antiqua" w:hAnsi="Book Antiqua" w:cs="Book Antiqua" w:hint="eastAsia"/>
          <w:color w:val="000000"/>
          <w:lang w:eastAsia="zh-CN"/>
        </w:rPr>
        <w:t>Yuan YY</w:t>
      </w:r>
    </w:p>
    <w:p w14:paraId="549FF9DA" w14:textId="77777777" w:rsidR="00143E67" w:rsidRPr="00143E67" w:rsidRDefault="00143E67">
      <w:pPr>
        <w:spacing w:line="360" w:lineRule="auto"/>
        <w:jc w:val="both"/>
        <w:rPr>
          <w:lang w:eastAsia="zh-CN"/>
        </w:rPr>
        <w:sectPr w:rsidR="00143E67" w:rsidRPr="00143E67">
          <w:pgSz w:w="12240" w:h="15840"/>
          <w:pgMar w:top="1440" w:right="1440" w:bottom="1440" w:left="1440" w:header="720" w:footer="720" w:gutter="0"/>
          <w:cols w:space="720"/>
          <w:docGrid w:linePitch="360"/>
        </w:sectPr>
      </w:pPr>
    </w:p>
    <w:p w14:paraId="71C4C45E" w14:textId="77777777" w:rsidR="00A77B3E" w:rsidRDefault="00CC2EF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B9BA98F" w14:textId="7A764085" w:rsidR="00E50D86" w:rsidRDefault="00E50D86">
      <w:pPr>
        <w:spacing w:line="360" w:lineRule="auto"/>
        <w:jc w:val="both"/>
      </w:pPr>
      <w:r>
        <w:rPr>
          <w:noProof/>
          <w:lang w:eastAsia="zh-CN"/>
        </w:rPr>
        <w:drawing>
          <wp:inline distT="0" distB="0" distL="0" distR="0" wp14:anchorId="25963617" wp14:editId="6F745F33">
            <wp:extent cx="8221980" cy="5336151"/>
            <wp:effectExtent l="0" t="0" r="7620" b="0"/>
            <wp:docPr id="1558088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88587" name=""/>
                    <pic:cNvPicPr/>
                  </pic:nvPicPr>
                  <pic:blipFill>
                    <a:blip r:embed="rId8">
                      <a:extLst>
                        <a:ext uri="{28A0092B-C50C-407E-A947-70E740481C1C}">
                          <a14:useLocalDpi xmlns:a14="http://schemas.microsoft.com/office/drawing/2010/main" val="0"/>
                        </a:ext>
                      </a:extLst>
                    </a:blip>
                    <a:stretch>
                      <a:fillRect/>
                    </a:stretch>
                  </pic:blipFill>
                  <pic:spPr>
                    <a:xfrm>
                      <a:off x="0" y="0"/>
                      <a:ext cx="8225229" cy="5338260"/>
                    </a:xfrm>
                    <a:prstGeom prst="rect">
                      <a:avLst/>
                    </a:prstGeom>
                  </pic:spPr>
                </pic:pic>
              </a:graphicData>
            </a:graphic>
          </wp:inline>
        </w:drawing>
      </w:r>
    </w:p>
    <w:p w14:paraId="24AE446F" w14:textId="449C2A38" w:rsidR="00A77B3E" w:rsidRDefault="00CC2EF4">
      <w:pPr>
        <w:spacing w:line="360" w:lineRule="auto"/>
        <w:jc w:val="both"/>
      </w:pPr>
      <w:r>
        <w:rPr>
          <w:rFonts w:ascii="Book Antiqua" w:eastAsia="Book Antiqua" w:hAnsi="Book Antiqua" w:cs="Book Antiqua"/>
          <w:b/>
          <w:bCs/>
        </w:rPr>
        <w:lastRenderedPageBreak/>
        <w:t>Figure 1</w:t>
      </w:r>
      <w:r>
        <w:rPr>
          <w:rFonts w:ascii="Book Antiqua" w:eastAsia="Book Antiqua" w:hAnsi="Book Antiqua" w:cs="Book Antiqua"/>
          <w:szCs w:val="21"/>
        </w:rPr>
        <w:t xml:space="preserve"> </w:t>
      </w:r>
      <w:r>
        <w:rPr>
          <w:rFonts w:ascii="Book Antiqua" w:eastAsia="Book Antiqua" w:hAnsi="Book Antiqua" w:cs="Book Antiqua"/>
          <w:b/>
          <w:bCs/>
        </w:rPr>
        <w:t xml:space="preserve">Flowchart for </w:t>
      </w:r>
      <w:r w:rsidR="008C7D58" w:rsidRPr="008C7D58">
        <w:rPr>
          <w:rFonts w:ascii="Book Antiqua" w:eastAsia="Book Antiqua" w:hAnsi="Book Antiqua" w:cs="Book Antiqua"/>
          <w:b/>
          <w:bCs/>
        </w:rPr>
        <w:t>Crohn’s disease</w:t>
      </w:r>
      <w:r>
        <w:rPr>
          <w:rFonts w:ascii="Book Antiqua" w:eastAsia="Book Antiqua" w:hAnsi="Book Antiqua" w:cs="Book Antiqua"/>
          <w:b/>
          <w:bCs/>
        </w:rPr>
        <w:t xml:space="preserve"> as the intestinal manifestation of pan-lymphatic dysfunction.</w:t>
      </w:r>
      <w:r w:rsidRPr="007E2E14">
        <w:rPr>
          <w:rFonts w:ascii="Book Antiqua" w:eastAsia="Book Antiqua" w:hAnsi="Book Antiqua" w:cs="Book Antiqua"/>
          <w:b/>
        </w:rPr>
        <w:t xml:space="preserve"> </w:t>
      </w:r>
      <w:r>
        <w:rPr>
          <w:rFonts w:ascii="Book Antiqua" w:eastAsia="Book Antiqua" w:hAnsi="Book Antiqua" w:cs="Book Antiqua"/>
        </w:rPr>
        <w:t>The following factors are considered: inside-out model, fatty acid/bile acid metabolism, cellular/molecular mechanisms, and zebrafish as a novel fine animal model. CD</w:t>
      </w:r>
      <w:r w:rsidR="008B583F">
        <w:rPr>
          <w:rFonts w:ascii="Book Antiqua" w:eastAsia="Book Antiqua" w:hAnsi="Book Antiqua" w:cs="Book Antiqua"/>
        </w:rPr>
        <w:t>:</w:t>
      </w:r>
      <w:r>
        <w:rPr>
          <w:rFonts w:ascii="Book Antiqua" w:eastAsia="Book Antiqua" w:hAnsi="Book Antiqua" w:cs="Book Antiqua"/>
        </w:rPr>
        <w:t xml:space="preserve"> Crohn’s disease; PBA</w:t>
      </w:r>
      <w:r w:rsidR="008B583F">
        <w:rPr>
          <w:rFonts w:ascii="Book Antiqua" w:eastAsia="Book Antiqua" w:hAnsi="Book Antiqua" w:cs="Book Antiqua"/>
        </w:rPr>
        <w:t>:</w:t>
      </w:r>
      <w:r>
        <w:rPr>
          <w:rFonts w:ascii="Book Antiqua" w:eastAsia="Book Antiqua" w:hAnsi="Book Antiqua" w:cs="Book Antiqua"/>
        </w:rPr>
        <w:t xml:space="preserve"> </w:t>
      </w:r>
      <w:r w:rsidR="008B583F">
        <w:rPr>
          <w:rFonts w:ascii="Book Antiqua" w:eastAsia="Book Antiqua" w:hAnsi="Book Antiqua" w:cs="Book Antiqua"/>
        </w:rPr>
        <w:t>P</w:t>
      </w:r>
      <w:r>
        <w:rPr>
          <w:rFonts w:ascii="Book Antiqua" w:eastAsia="Book Antiqua" w:hAnsi="Book Antiqua" w:cs="Book Antiqua"/>
        </w:rPr>
        <w:t>rimary bile acid; SBA</w:t>
      </w:r>
      <w:r w:rsidR="008B583F">
        <w:rPr>
          <w:rFonts w:ascii="Book Antiqua" w:eastAsia="Book Antiqua" w:hAnsi="Book Antiqua" w:cs="Book Antiqua"/>
        </w:rPr>
        <w:t>:</w:t>
      </w:r>
      <w:r>
        <w:rPr>
          <w:rFonts w:ascii="Book Antiqua" w:eastAsia="Book Antiqua" w:hAnsi="Book Antiqua" w:cs="Book Antiqua"/>
        </w:rPr>
        <w:t xml:space="preserve"> </w:t>
      </w:r>
      <w:r w:rsidR="008B583F">
        <w:rPr>
          <w:rFonts w:ascii="Book Antiqua" w:eastAsia="Book Antiqua" w:hAnsi="Book Antiqua" w:cs="Book Antiqua"/>
        </w:rPr>
        <w:t>S</w:t>
      </w:r>
      <w:r>
        <w:rPr>
          <w:rFonts w:ascii="Book Antiqua" w:eastAsia="Book Antiqua" w:hAnsi="Book Antiqua" w:cs="Book Antiqua"/>
        </w:rPr>
        <w:t>econd bile acid.</w:t>
      </w:r>
    </w:p>
    <w:p w14:paraId="4C841A95" w14:textId="69EECABA" w:rsidR="00A77B3E" w:rsidRDefault="00E50D86">
      <w:pPr>
        <w:spacing w:line="360" w:lineRule="auto"/>
        <w:jc w:val="both"/>
      </w:pPr>
      <w:r>
        <w:br w:type="page"/>
      </w:r>
    </w:p>
    <w:p w14:paraId="09039DF3" w14:textId="56DB4CE2" w:rsidR="00CA496B" w:rsidRDefault="00CA496B">
      <w:pPr>
        <w:spacing w:line="360" w:lineRule="auto"/>
        <w:jc w:val="both"/>
      </w:pPr>
      <w:r w:rsidRPr="00CA496B">
        <w:rPr>
          <w:noProof/>
          <w:lang w:eastAsia="zh-CN"/>
        </w:rPr>
        <w:lastRenderedPageBreak/>
        <w:drawing>
          <wp:inline distT="0" distB="0" distL="0" distR="0" wp14:anchorId="362152E4" wp14:editId="7FECA1BD">
            <wp:extent cx="8221980" cy="4355004"/>
            <wp:effectExtent l="0" t="0" r="7620" b="7620"/>
            <wp:docPr id="1593127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2720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0815" cy="4354387"/>
                    </a:xfrm>
                    <a:prstGeom prst="rect">
                      <a:avLst/>
                    </a:prstGeom>
                  </pic:spPr>
                </pic:pic>
              </a:graphicData>
            </a:graphic>
          </wp:inline>
        </w:drawing>
      </w:r>
    </w:p>
    <w:p w14:paraId="02FCB22E" w14:textId="2C9D3D86" w:rsidR="00A77B3E" w:rsidRDefault="00CC2EF4">
      <w:pPr>
        <w:spacing w:line="360" w:lineRule="auto"/>
        <w:jc w:val="both"/>
      </w:pPr>
      <w:r>
        <w:rPr>
          <w:rFonts w:ascii="Book Antiqua" w:eastAsia="Book Antiqua" w:hAnsi="Book Antiqua" w:cs="Book Antiqua"/>
          <w:b/>
          <w:bCs/>
        </w:rPr>
        <w:t xml:space="preserve">Figure 2 Inside-out model of </w:t>
      </w:r>
      <w:r w:rsidR="008B583F" w:rsidRPr="008B583F">
        <w:rPr>
          <w:rFonts w:ascii="Book Antiqua" w:eastAsia="Book Antiqua" w:hAnsi="Book Antiqua" w:cs="Book Antiqua"/>
          <w:b/>
          <w:bCs/>
        </w:rPr>
        <w:t>Crohn’s disease</w:t>
      </w:r>
      <w:r>
        <w:rPr>
          <w:rFonts w:ascii="Book Antiqua" w:eastAsia="Book Antiqua" w:hAnsi="Book Antiqua" w:cs="Book Antiqua"/>
          <w:b/>
          <w:bCs/>
        </w:rPr>
        <w:t xml:space="preserve"> pathogenesis. </w:t>
      </w:r>
      <w:r>
        <w:rPr>
          <w:rFonts w:ascii="Book Antiqua" w:eastAsia="Book Antiqua" w:hAnsi="Book Antiqua" w:cs="Book Antiqua"/>
        </w:rPr>
        <w:t xml:space="preserve">A: </w:t>
      </w:r>
      <w:proofErr w:type="gramStart"/>
      <w:r>
        <w:rPr>
          <w:rFonts w:ascii="Book Antiqua" w:eastAsia="Book Antiqua" w:hAnsi="Book Antiqua" w:cs="Book Antiqua"/>
        </w:rPr>
        <w:t>Phase</w:t>
      </w:r>
      <w:proofErr w:type="gramEnd"/>
      <w:r>
        <w:rPr>
          <w:rFonts w:ascii="Book Antiqua" w:eastAsia="Book Antiqua" w:hAnsi="Book Antiqua" w:cs="Book Antiqua"/>
        </w:rPr>
        <w:t xml:space="preserve"> I, intracellular bacteria infect into lymphatic system with few signs of intestinal mucosal injury</w:t>
      </w:r>
      <w:r w:rsidR="008B583F">
        <w:rPr>
          <w:rFonts w:ascii="Book Antiqua" w:eastAsia="Book Antiqua" w:hAnsi="Book Antiqua" w:cs="Book Antiqua"/>
        </w:rPr>
        <w:t>;</w:t>
      </w:r>
      <w:r>
        <w:rPr>
          <w:rFonts w:ascii="Book Antiqua" w:eastAsia="Book Antiqua" w:hAnsi="Book Antiqua" w:cs="Book Antiqua"/>
        </w:rPr>
        <w:t xml:space="preserve"> B: Phase II, Pathogens infect and persist in intestinal lymphatic tissues, which causes an ‘immunological scar’ in the intestinal lymphatic system. The impaired transport function, lymphangitis, lymphadenopathy, loss of button-like junctions, bacteria translocation to </w:t>
      </w:r>
      <w:r w:rsidR="008B583F">
        <w:rPr>
          <w:rFonts w:ascii="Book Antiqua" w:eastAsia="Book Antiqua" w:hAnsi="Book Antiqua" w:cs="Book Antiqua"/>
        </w:rPr>
        <w:t>mesenteric lymph nodes</w:t>
      </w:r>
      <w:r>
        <w:rPr>
          <w:rFonts w:ascii="Book Antiqua" w:eastAsia="Book Antiqua" w:hAnsi="Book Antiqua" w:cs="Book Antiqua"/>
        </w:rPr>
        <w:t xml:space="preserve"> and </w:t>
      </w:r>
      <w:r w:rsidR="008B583F">
        <w:rPr>
          <w:rFonts w:ascii="Book Antiqua" w:eastAsia="Book Antiqua" w:hAnsi="Book Antiqua" w:cs="Book Antiqua"/>
        </w:rPr>
        <w:t>Peyer’s patches</w:t>
      </w:r>
      <w:r>
        <w:rPr>
          <w:rFonts w:ascii="Book Antiqua" w:eastAsia="Book Antiqua" w:hAnsi="Book Antiqua" w:cs="Book Antiqua"/>
        </w:rPr>
        <w:t xml:space="preserve">, and mesenteric adipose tissue formation have been found in the pathogenesis of </w:t>
      </w:r>
      <w:bookmarkStart w:id="184" w:name="_Hlk153658617"/>
      <w:r w:rsidR="008B583F">
        <w:rPr>
          <w:rFonts w:ascii="Book Antiqua" w:eastAsia="Book Antiqua" w:hAnsi="Book Antiqua" w:cs="Book Antiqua"/>
        </w:rPr>
        <w:t>Crohn’s disease (</w:t>
      </w:r>
      <w:r>
        <w:rPr>
          <w:rFonts w:ascii="Book Antiqua" w:eastAsia="Book Antiqua" w:hAnsi="Book Antiqua" w:cs="Book Antiqua"/>
        </w:rPr>
        <w:t>CD</w:t>
      </w:r>
      <w:r w:rsidR="008B583F">
        <w:rPr>
          <w:rFonts w:ascii="Book Antiqua" w:eastAsia="Book Antiqua" w:hAnsi="Book Antiqua" w:cs="Book Antiqua"/>
        </w:rPr>
        <w:t>)</w:t>
      </w:r>
      <w:bookmarkEnd w:id="184"/>
      <w:r w:rsidR="008B583F">
        <w:rPr>
          <w:rFonts w:ascii="Book Antiqua" w:eastAsia="Book Antiqua" w:hAnsi="Book Antiqua" w:cs="Book Antiqua"/>
        </w:rPr>
        <w:t>;</w:t>
      </w:r>
      <w:r>
        <w:rPr>
          <w:rFonts w:ascii="Book Antiqua" w:eastAsia="Book Antiqua" w:hAnsi="Book Antiqua" w:cs="Book Antiqua"/>
        </w:rPr>
        <w:t xml:space="preserve"> C: Phase III, </w:t>
      </w:r>
      <w:r>
        <w:rPr>
          <w:rFonts w:ascii="Book Antiqua" w:eastAsia="Book Antiqua" w:hAnsi="Book Antiqua" w:cs="Book Antiqua"/>
        </w:rPr>
        <w:lastRenderedPageBreak/>
        <w:t xml:space="preserve">Mucosal injury as the terminal event of CD. Lymphatic dysfunction, including impaired clearance, defective </w:t>
      </w:r>
      <w:r w:rsidR="005415C4">
        <w:rPr>
          <w:rFonts w:ascii="Book Antiqua" w:eastAsia="Book Antiqua" w:hAnsi="Book Antiqua" w:cs="Book Antiqua"/>
        </w:rPr>
        <w:t>dendritic cells</w:t>
      </w:r>
      <w:r>
        <w:rPr>
          <w:rFonts w:ascii="Book Antiqua" w:eastAsia="Book Antiqua" w:hAnsi="Book Antiqua" w:cs="Book Antiqua"/>
        </w:rPr>
        <w:t xml:space="preserve"> migration, and obstruction, provides opportunities for bacteria and their by-products flowing back to the draining lymphatic vessels and causing mucosal lesions.</w:t>
      </w:r>
      <w:r w:rsidR="008B583F">
        <w:rPr>
          <w:rFonts w:ascii="Book Antiqua" w:eastAsia="Book Antiqua" w:hAnsi="Book Antiqua" w:cs="Book Antiqua"/>
        </w:rPr>
        <w:t xml:space="preserve"> </w:t>
      </w:r>
      <w:r>
        <w:rPr>
          <w:rFonts w:ascii="Book Antiqua" w:eastAsia="Book Antiqua" w:hAnsi="Book Antiqua" w:cs="Book Antiqua"/>
        </w:rPr>
        <w:t>DC</w:t>
      </w:r>
      <w:r w:rsidR="008B583F">
        <w:rPr>
          <w:rFonts w:ascii="Book Antiqua" w:eastAsia="Book Antiqua" w:hAnsi="Book Antiqua" w:cs="Book Antiqua"/>
        </w:rPr>
        <w:t>:</w:t>
      </w:r>
      <w:r>
        <w:rPr>
          <w:rFonts w:ascii="Book Antiqua" w:eastAsia="Book Antiqua" w:hAnsi="Book Antiqua" w:cs="Book Antiqua"/>
        </w:rPr>
        <w:t xml:space="preserve"> </w:t>
      </w:r>
      <w:r w:rsidR="008B583F">
        <w:rPr>
          <w:rFonts w:ascii="Book Antiqua" w:eastAsia="Book Antiqua" w:hAnsi="Book Antiqua" w:cs="Book Antiqua"/>
        </w:rPr>
        <w:t>D</w:t>
      </w:r>
      <w:r>
        <w:rPr>
          <w:rFonts w:ascii="Book Antiqua" w:eastAsia="Book Antiqua" w:hAnsi="Book Antiqua" w:cs="Book Antiqua"/>
        </w:rPr>
        <w:t>endritic cells; MLN</w:t>
      </w:r>
      <w:r w:rsidR="008B583F">
        <w:rPr>
          <w:rFonts w:ascii="Book Antiqua" w:eastAsia="Book Antiqua" w:hAnsi="Book Antiqua" w:cs="Book Antiqua"/>
        </w:rPr>
        <w:t>:</w:t>
      </w:r>
      <w:r>
        <w:rPr>
          <w:rFonts w:ascii="Book Antiqua" w:eastAsia="Book Antiqua" w:hAnsi="Book Antiqua" w:cs="Book Antiqua"/>
        </w:rPr>
        <w:t xml:space="preserve"> </w:t>
      </w:r>
      <w:r w:rsidR="008B583F">
        <w:rPr>
          <w:rFonts w:ascii="Book Antiqua" w:eastAsia="Book Antiqua" w:hAnsi="Book Antiqua" w:cs="Book Antiqua"/>
        </w:rPr>
        <w:t>M</w:t>
      </w:r>
      <w:r>
        <w:rPr>
          <w:rFonts w:ascii="Book Antiqua" w:eastAsia="Book Antiqua" w:hAnsi="Book Antiqua" w:cs="Book Antiqua"/>
        </w:rPr>
        <w:t>esenteric lymph nodes;</w:t>
      </w:r>
      <w:r w:rsidR="008B583F">
        <w:rPr>
          <w:rFonts w:ascii="Book Antiqua" w:eastAsia="Book Antiqua" w:hAnsi="Book Antiqua" w:cs="Book Antiqua"/>
        </w:rPr>
        <w:t xml:space="preserve"> </w:t>
      </w:r>
      <w:r>
        <w:rPr>
          <w:rFonts w:ascii="Book Antiqua" w:eastAsia="Book Antiqua" w:hAnsi="Book Antiqua" w:cs="Book Antiqua"/>
        </w:rPr>
        <w:t>PPs</w:t>
      </w:r>
      <w:r w:rsidR="008B583F">
        <w:rPr>
          <w:rFonts w:ascii="Book Antiqua" w:eastAsia="Book Antiqua" w:hAnsi="Book Antiqua" w:cs="Book Antiqua"/>
        </w:rPr>
        <w:t>:</w:t>
      </w:r>
      <w:r>
        <w:rPr>
          <w:rFonts w:ascii="Book Antiqua" w:eastAsia="Book Antiqua" w:hAnsi="Book Antiqua" w:cs="Book Antiqua"/>
        </w:rPr>
        <w:t xml:space="preserve"> Peyer’s patches.</w:t>
      </w:r>
    </w:p>
    <w:p w14:paraId="334C3F57" w14:textId="37E3EF8E" w:rsidR="00A77B3E" w:rsidRDefault="00E50D86">
      <w:pPr>
        <w:spacing w:line="360" w:lineRule="auto"/>
        <w:jc w:val="both"/>
      </w:pPr>
      <w:r>
        <w:br w:type="page"/>
      </w:r>
      <w:r>
        <w:rPr>
          <w:noProof/>
          <w:lang w:eastAsia="zh-CN"/>
        </w:rPr>
        <w:lastRenderedPageBreak/>
        <w:drawing>
          <wp:inline distT="0" distB="0" distL="0" distR="0" wp14:anchorId="3E69EBBC" wp14:editId="0FC39D0C">
            <wp:extent cx="8206740" cy="5007644"/>
            <wp:effectExtent l="0" t="0" r="3810" b="2540"/>
            <wp:docPr id="1053737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3749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10519" cy="5009950"/>
                    </a:xfrm>
                    <a:prstGeom prst="rect">
                      <a:avLst/>
                    </a:prstGeom>
                  </pic:spPr>
                </pic:pic>
              </a:graphicData>
            </a:graphic>
          </wp:inline>
        </w:drawing>
      </w:r>
    </w:p>
    <w:p w14:paraId="0F26C208" w14:textId="66B7A4BF" w:rsidR="00A77B3E" w:rsidRDefault="00CC2EF4">
      <w:pPr>
        <w:spacing w:line="360" w:lineRule="auto"/>
        <w:jc w:val="both"/>
      </w:pPr>
      <w:r>
        <w:rPr>
          <w:rFonts w:ascii="Book Antiqua" w:eastAsia="Book Antiqua" w:hAnsi="Book Antiqua" w:cs="Book Antiqua"/>
          <w:b/>
          <w:bCs/>
        </w:rPr>
        <w:t>Figure 3</w:t>
      </w:r>
      <w:r>
        <w:rPr>
          <w:rFonts w:ascii="Book Antiqua" w:eastAsia="Book Antiqua" w:hAnsi="Book Antiqua" w:cs="Book Antiqua"/>
          <w:szCs w:val="21"/>
        </w:rPr>
        <w:t xml:space="preserve"> </w:t>
      </w:r>
      <w:r>
        <w:rPr>
          <w:rFonts w:ascii="Book Antiqua" w:eastAsia="Book Antiqua" w:hAnsi="Book Antiqua" w:cs="Book Antiqua"/>
          <w:b/>
          <w:bCs/>
        </w:rPr>
        <w:t xml:space="preserve">Dysregulated cells, cytokines, and enhanced cell plasticity in the lymphatic system in </w:t>
      </w:r>
      <w:r w:rsidR="00A6102B" w:rsidRPr="00A6102B">
        <w:rPr>
          <w:rFonts w:ascii="Book Antiqua" w:eastAsia="Book Antiqua" w:hAnsi="Book Antiqua" w:cs="Book Antiqua"/>
          <w:b/>
          <w:bCs/>
        </w:rPr>
        <w:t>Crohn’s disease</w:t>
      </w:r>
      <w:r>
        <w:rPr>
          <w:rFonts w:ascii="Book Antiqua" w:eastAsia="Book Antiqua" w:hAnsi="Book Antiqua" w:cs="Book Antiqua"/>
          <w:b/>
          <w:bCs/>
        </w:rPr>
        <w:t xml:space="preserve">. </w:t>
      </w:r>
      <w:r>
        <w:rPr>
          <w:rFonts w:ascii="Book Antiqua" w:eastAsia="Book Antiqua" w:hAnsi="Book Antiqua" w:cs="Book Antiqua"/>
        </w:rPr>
        <w:t>T cells are polarized to</w:t>
      </w:r>
      <w:r>
        <w:rPr>
          <w:rFonts w:ascii="Book Antiqua" w:eastAsia="Book Antiqua" w:hAnsi="Book Antiqua" w:cs="Book Antiqua"/>
          <w:b/>
          <w:bCs/>
        </w:rPr>
        <w:t xml:space="preserve"> </w:t>
      </w:r>
      <w:r>
        <w:rPr>
          <w:rFonts w:ascii="Book Antiqua" w:eastAsia="Book Antiqua" w:hAnsi="Book Antiqua" w:cs="Book Antiqua"/>
        </w:rPr>
        <w:t xml:space="preserve">Th1 and Th17 cells in response to pro-inflammatory cytokines produced by macrophages and </w:t>
      </w:r>
      <w:r w:rsidR="005415C4">
        <w:rPr>
          <w:rFonts w:ascii="Book Antiqua" w:eastAsia="Book Antiqua" w:hAnsi="Book Antiqua" w:cs="Book Antiqua"/>
        </w:rPr>
        <w:t>dendritic cells (</w:t>
      </w:r>
      <w:r>
        <w:rPr>
          <w:rFonts w:ascii="Book Antiqua" w:eastAsia="Book Antiqua" w:hAnsi="Book Antiqua" w:cs="Book Antiqua"/>
        </w:rPr>
        <w:t>DCs</w:t>
      </w:r>
      <w:r w:rsidR="005415C4">
        <w:rPr>
          <w:rFonts w:ascii="Book Antiqua" w:eastAsia="Book Antiqua" w:hAnsi="Book Antiqua" w:cs="Book Antiqua"/>
        </w:rPr>
        <w:t>)</w:t>
      </w:r>
      <w:r>
        <w:rPr>
          <w:rFonts w:ascii="Book Antiqua" w:eastAsia="Book Antiqua" w:hAnsi="Book Antiqua" w:cs="Book Antiqua"/>
        </w:rPr>
        <w:t xml:space="preserve">. Several cytokines play roles in Th17-Th1 and Treg-Th17 trans-differentiation. DCs, macrophages, T cells, and </w:t>
      </w:r>
      <w:r>
        <w:rPr>
          <w:rFonts w:ascii="Book Antiqua" w:eastAsia="Book Antiqua" w:hAnsi="Book Antiqua" w:cs="Book Antiqua"/>
        </w:rPr>
        <w:lastRenderedPageBreak/>
        <w:t xml:space="preserve">B cells contribute to lymphangiogenesis by mediating the expression of lymphangiogenic factors. Impaired lymphatic function and dysregulated chemokines lead mature DCs and T cells away from their usual </w:t>
      </w:r>
      <w:r w:rsidR="005415C4">
        <w:rPr>
          <w:rFonts w:ascii="Book Antiqua" w:eastAsia="Book Antiqua" w:hAnsi="Book Antiqua" w:cs="Book Antiqua"/>
        </w:rPr>
        <w:t>mesenteric lymph nodes</w:t>
      </w:r>
      <w:r>
        <w:rPr>
          <w:rFonts w:ascii="Book Antiqua" w:eastAsia="Book Antiqua" w:hAnsi="Book Antiqua" w:cs="Book Antiqua"/>
        </w:rPr>
        <w:t xml:space="preserve">. </w:t>
      </w:r>
      <w:r w:rsidR="005415C4">
        <w:rPr>
          <w:rFonts w:ascii="Book Antiqua" w:eastAsia="Book Antiqua" w:hAnsi="Book Antiqua" w:cs="Book Antiqua"/>
          <w:color w:val="000000"/>
        </w:rPr>
        <w:t>Innate lymphoid cells (ILCs)</w:t>
      </w:r>
      <w:r>
        <w:rPr>
          <w:rFonts w:ascii="Book Antiqua" w:eastAsia="Book Antiqua" w:hAnsi="Book Antiqua" w:cs="Book Antiqua"/>
        </w:rPr>
        <w:t xml:space="preserve"> also contribute to </w:t>
      </w:r>
      <w:r w:rsidR="00A6102B">
        <w:rPr>
          <w:rFonts w:ascii="Book Antiqua" w:eastAsia="Book Antiqua" w:hAnsi="Book Antiqua" w:cs="Book Antiqua"/>
        </w:rPr>
        <w:t>Crohn’s disease (CD)</w:t>
      </w:r>
      <w:r>
        <w:rPr>
          <w:rFonts w:ascii="Book Antiqua" w:eastAsia="Book Antiqua" w:hAnsi="Book Antiqua" w:cs="Book Antiqua"/>
        </w:rPr>
        <w:t xml:space="preserve"> pathogenesis and enhanced plasticity between ILC1 and ILC3 has been observed. Several signaling pathways involved in the lymphatic system actively participate in the CD pathogenesis. </w:t>
      </w:r>
      <w:r w:rsidR="005415C4">
        <w:rPr>
          <w:rFonts w:ascii="Book Antiqua" w:eastAsia="Book Antiqua" w:hAnsi="Book Antiqua" w:cs="Book Antiqua"/>
          <w:color w:val="000000"/>
        </w:rPr>
        <w:t xml:space="preserve">Nuclear factor-kappa B </w:t>
      </w:r>
      <w:r>
        <w:rPr>
          <w:rFonts w:ascii="Book Antiqua" w:eastAsia="Book Antiqua" w:hAnsi="Book Antiqua" w:cs="Book Antiqua"/>
        </w:rPr>
        <w:t xml:space="preserve">is involved in lymphatic remodeling by directly up-regulating the expression of VEGFR-3 and Prox-1. The mTOR signaling affects leukocyte trafficking through the lymphatic barrier in CD. </w:t>
      </w:r>
      <w:r w:rsidR="005415C4">
        <w:rPr>
          <w:rFonts w:ascii="Book Antiqua" w:eastAsia="Book Antiqua" w:hAnsi="Book Antiqua" w:cs="Book Antiqua"/>
        </w:rPr>
        <w:t xml:space="preserve">CD: </w:t>
      </w:r>
      <w:r>
        <w:rPr>
          <w:rFonts w:ascii="Book Antiqua" w:eastAsia="Book Antiqua" w:hAnsi="Book Antiqua" w:cs="Book Antiqua"/>
        </w:rPr>
        <w:t>Crohn’s disease; DC</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D</w:t>
      </w:r>
      <w:r>
        <w:rPr>
          <w:rFonts w:ascii="Book Antiqua" w:eastAsia="Book Antiqua" w:hAnsi="Book Antiqua" w:cs="Book Antiqua"/>
        </w:rPr>
        <w:t>endritic cells; IFN</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I</w:t>
      </w:r>
      <w:r>
        <w:rPr>
          <w:rFonts w:ascii="Book Antiqua" w:eastAsia="Book Antiqua" w:hAnsi="Book Antiqua" w:cs="Book Antiqua"/>
        </w:rPr>
        <w:t>nterferon; IL</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I</w:t>
      </w:r>
      <w:r>
        <w:rPr>
          <w:rFonts w:ascii="Book Antiqua" w:eastAsia="Book Antiqua" w:hAnsi="Book Antiqua" w:cs="Book Antiqua"/>
        </w:rPr>
        <w:t>nterleukin; ILC</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I</w:t>
      </w:r>
      <w:r>
        <w:rPr>
          <w:rFonts w:ascii="Book Antiqua" w:eastAsia="Book Antiqua" w:hAnsi="Book Antiqua" w:cs="Book Antiqua"/>
        </w:rPr>
        <w:t>nnate lymphoid cell; NF-κB</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color w:val="000000"/>
        </w:rPr>
        <w:t>Nuclear factor-kappa B</w:t>
      </w:r>
      <w:r>
        <w:rPr>
          <w:rFonts w:ascii="Book Antiqua" w:eastAsia="Book Antiqua" w:hAnsi="Book Antiqua" w:cs="Book Antiqua"/>
        </w:rPr>
        <w:t>; Prox-1</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P</w:t>
      </w:r>
      <w:r>
        <w:rPr>
          <w:rFonts w:ascii="Book Antiqua" w:eastAsia="Book Antiqua" w:hAnsi="Book Antiqua" w:cs="Book Antiqua"/>
        </w:rPr>
        <w:t>rospero homeobox protein 1; Th</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 xml:space="preserve">T </w:t>
      </w:r>
      <w:r>
        <w:rPr>
          <w:rFonts w:ascii="Book Antiqua" w:eastAsia="Book Antiqua" w:hAnsi="Book Antiqua" w:cs="Book Antiqua"/>
        </w:rPr>
        <w:t>helper; TLO</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T</w:t>
      </w:r>
      <w:r>
        <w:rPr>
          <w:rFonts w:ascii="Book Antiqua" w:eastAsia="Book Antiqua" w:hAnsi="Book Antiqua" w:cs="Book Antiqua"/>
        </w:rPr>
        <w:t>ertiary lymphoid organ; TLR4</w:t>
      </w:r>
      <w:r w:rsidR="005415C4">
        <w:rPr>
          <w:rFonts w:ascii="Book Antiqua" w:eastAsia="Book Antiqua" w:hAnsi="Book Antiqua" w:cs="Book Antiqua"/>
        </w:rPr>
        <w:t>:</w:t>
      </w:r>
      <w:r>
        <w:rPr>
          <w:rFonts w:ascii="Book Antiqua" w:eastAsia="Book Antiqua" w:hAnsi="Book Antiqua" w:cs="Book Antiqua"/>
        </w:rPr>
        <w:t xml:space="preserve"> Toll-like receptor 4; TNF</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T</w:t>
      </w:r>
      <w:r>
        <w:rPr>
          <w:rFonts w:ascii="Book Antiqua" w:eastAsia="Book Antiqua" w:hAnsi="Book Antiqua" w:cs="Book Antiqua"/>
        </w:rPr>
        <w:t>umor necrosis factor; Treg</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R</w:t>
      </w:r>
      <w:r>
        <w:rPr>
          <w:rFonts w:ascii="Book Antiqua" w:eastAsia="Book Antiqua" w:hAnsi="Book Antiqua" w:cs="Book Antiqua"/>
        </w:rPr>
        <w:t>egulatory T cell; VEGF</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V</w:t>
      </w:r>
      <w:r>
        <w:rPr>
          <w:rFonts w:ascii="Book Antiqua" w:eastAsia="Book Antiqua" w:hAnsi="Book Antiqua" w:cs="Book Antiqua"/>
        </w:rPr>
        <w:t>ascular endothelial growth factor; VEGFR</w:t>
      </w:r>
      <w:r w:rsidR="00DD4F35">
        <w:rPr>
          <w:rFonts w:ascii="Book Antiqua" w:eastAsia="Book Antiqua" w:hAnsi="Book Antiqua" w:cs="Book Antiqua"/>
        </w:rPr>
        <w:t>:</w:t>
      </w:r>
      <w:r>
        <w:rPr>
          <w:rFonts w:ascii="Book Antiqua" w:eastAsia="Book Antiqua" w:hAnsi="Book Antiqua" w:cs="Book Antiqua"/>
        </w:rPr>
        <w:t xml:space="preserve"> </w:t>
      </w:r>
      <w:r w:rsidR="00DD4F35">
        <w:rPr>
          <w:rFonts w:ascii="Book Antiqua" w:eastAsia="Book Antiqua" w:hAnsi="Book Antiqua" w:cs="Book Antiqua"/>
        </w:rPr>
        <w:t>V</w:t>
      </w:r>
      <w:r>
        <w:rPr>
          <w:rFonts w:ascii="Book Antiqua" w:eastAsia="Book Antiqua" w:hAnsi="Book Antiqua" w:cs="Book Antiqua"/>
        </w:rPr>
        <w:t>ascular endothelial growth factor receptor; MAT</w:t>
      </w:r>
      <w:r w:rsidR="00DD4F35">
        <w:rPr>
          <w:rFonts w:ascii="Book Antiqua" w:eastAsia="Book Antiqua" w:hAnsi="Book Antiqua" w:cs="Book Antiqua"/>
        </w:rPr>
        <w:t>:</w:t>
      </w:r>
      <w:r>
        <w:rPr>
          <w:rFonts w:ascii="Book Antiqua" w:eastAsia="Book Antiqua" w:hAnsi="Book Antiqua" w:cs="Book Antiqua"/>
        </w:rPr>
        <w:t xml:space="preserve"> </w:t>
      </w:r>
      <w:r w:rsidR="00DD4F35">
        <w:rPr>
          <w:rFonts w:ascii="Book Antiqua" w:eastAsia="Book Antiqua" w:hAnsi="Book Antiqua" w:cs="Book Antiqua"/>
        </w:rPr>
        <w:t>M</w:t>
      </w:r>
      <w:r>
        <w:rPr>
          <w:rFonts w:ascii="Book Antiqua" w:eastAsia="Book Antiqua" w:hAnsi="Book Antiqua" w:cs="Book Antiqua"/>
        </w:rPr>
        <w:t>esenteric adipose tissue.</w:t>
      </w:r>
    </w:p>
    <w:p w14:paraId="5CEE53B8" w14:textId="5EA5372A" w:rsidR="00A77B3E" w:rsidRDefault="00E50D86">
      <w:pPr>
        <w:spacing w:line="360" w:lineRule="auto"/>
        <w:jc w:val="both"/>
      </w:pPr>
      <w:r>
        <w:br w:type="page"/>
      </w:r>
      <w:r>
        <w:rPr>
          <w:noProof/>
          <w:lang w:eastAsia="zh-CN"/>
        </w:rPr>
        <w:lastRenderedPageBreak/>
        <w:drawing>
          <wp:inline distT="0" distB="0" distL="0" distR="0" wp14:anchorId="03423D9F" wp14:editId="32EAA215">
            <wp:extent cx="4572000" cy="5954676"/>
            <wp:effectExtent l="0" t="0" r="0" b="8255"/>
            <wp:docPr id="1566416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1632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4667" cy="5958149"/>
                    </a:xfrm>
                    <a:prstGeom prst="rect">
                      <a:avLst/>
                    </a:prstGeom>
                  </pic:spPr>
                </pic:pic>
              </a:graphicData>
            </a:graphic>
          </wp:inline>
        </w:drawing>
      </w:r>
    </w:p>
    <w:p w14:paraId="3E0E9721" w14:textId="5035E6A0" w:rsidR="00A77B3E" w:rsidRDefault="00CC2EF4">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4 Zebrafish as a good candidate model for the study of </w:t>
      </w:r>
      <w:r w:rsidR="00DD4F35" w:rsidRPr="00A6102B">
        <w:rPr>
          <w:rFonts w:ascii="Book Antiqua" w:eastAsia="Book Antiqua" w:hAnsi="Book Antiqua" w:cs="Book Antiqua"/>
          <w:b/>
          <w:bCs/>
        </w:rPr>
        <w:t>Crohn’s disease</w:t>
      </w:r>
      <w:r>
        <w:rPr>
          <w:rFonts w:ascii="Book Antiqua" w:eastAsia="Book Antiqua" w:hAnsi="Book Antiqua" w:cs="Book Antiqua"/>
          <w:b/>
          <w:bCs/>
        </w:rPr>
        <w:t xml:space="preserve">. </w:t>
      </w:r>
      <w:r>
        <w:rPr>
          <w:rFonts w:ascii="Book Antiqua" w:eastAsia="Book Antiqua" w:hAnsi="Book Antiqua" w:cs="Book Antiqua"/>
        </w:rPr>
        <w:t>A: Schematic diagram showing the morphology of zebrafish embryo at 5 dpf. The solid yellow line indicates the intestine of the embryo</w:t>
      </w:r>
      <w:r w:rsidR="00DD4F35">
        <w:rPr>
          <w:rFonts w:ascii="Book Antiqua" w:eastAsia="Book Antiqua" w:hAnsi="Book Antiqua" w:cs="Book Antiqua"/>
        </w:rPr>
        <w:t>;</w:t>
      </w:r>
      <w:r>
        <w:rPr>
          <w:rFonts w:ascii="Book Antiqua" w:eastAsia="Book Antiqua" w:hAnsi="Book Antiqua" w:cs="Book Antiqua"/>
        </w:rPr>
        <w:t xml:space="preserve"> B: Morphology of zebrafish embryo visualized by hematoxylin and eosin staining of embryonic sections at 5 dpf. Sections were cut along the sagittal plane. The dotted line indicates the whole intestine</w:t>
      </w:r>
      <w:r w:rsidR="00DD4F35">
        <w:rPr>
          <w:rFonts w:ascii="Book Antiqua" w:eastAsia="Book Antiqua" w:hAnsi="Book Antiqua" w:cs="Book Antiqua"/>
        </w:rPr>
        <w:t>;</w:t>
      </w:r>
      <w:r>
        <w:rPr>
          <w:rFonts w:ascii="Book Antiqua" w:eastAsia="Book Antiqua" w:hAnsi="Book Antiqua" w:cs="Book Antiqua"/>
        </w:rPr>
        <w:t xml:space="preserve"> C: Fluorescence signals of ET33J1: enhanced green fluorescent protein zebrafish reporter (top) and dichloro-dihydro-fluorescein diacetate treatment (bottom) showing the morphology of the whole intestines at 5 dpf (top) and 7 dpf (bottom). Scale bar: 200 µm. </w:t>
      </w:r>
      <w:r w:rsidR="00B93178" w:rsidRPr="00B93178">
        <w:rPr>
          <w:rFonts w:ascii="Book Antiqua" w:eastAsia="Book Antiqua" w:hAnsi="Book Antiqua" w:cs="Book Antiqua"/>
        </w:rPr>
        <w:t>d</w:t>
      </w:r>
      <w:r w:rsidRPr="00B93178">
        <w:rPr>
          <w:rFonts w:ascii="Book Antiqua" w:eastAsia="Book Antiqua" w:hAnsi="Book Antiqua" w:cs="Book Antiqua"/>
        </w:rPr>
        <w:t>pf</w:t>
      </w:r>
      <w:r w:rsidR="00DD4F35" w:rsidRPr="00B93178">
        <w:rPr>
          <w:rFonts w:ascii="Book Antiqua" w:eastAsia="Book Antiqua" w:hAnsi="Book Antiqua" w:cs="Book Antiqua"/>
        </w:rPr>
        <w:t>:</w:t>
      </w:r>
      <w:r w:rsidRPr="00B93178">
        <w:rPr>
          <w:rFonts w:ascii="Book Antiqua" w:eastAsia="Book Antiqua" w:hAnsi="Book Antiqua" w:cs="Book Antiqua"/>
        </w:rPr>
        <w:t xml:space="preserve"> </w:t>
      </w:r>
      <w:r w:rsidR="00DD4F35" w:rsidRPr="00B93178">
        <w:rPr>
          <w:rFonts w:ascii="Book Antiqua" w:eastAsia="Book Antiqua" w:hAnsi="Book Antiqua" w:cs="Book Antiqua"/>
        </w:rPr>
        <w:t>D</w:t>
      </w:r>
      <w:r w:rsidRPr="00B93178">
        <w:rPr>
          <w:rFonts w:ascii="Book Antiqua" w:eastAsia="Book Antiqua" w:hAnsi="Book Antiqua" w:cs="Book Antiqua"/>
        </w:rPr>
        <w:t>ays post fertilization.</w:t>
      </w:r>
    </w:p>
    <w:p w14:paraId="60F841AD" w14:textId="2EFC7033" w:rsidR="00D144F4" w:rsidRDefault="00D144F4" w:rsidP="00E50D86">
      <w:pPr>
        <w:snapToGrid w:val="0"/>
        <w:spacing w:line="360" w:lineRule="auto"/>
        <w:rPr>
          <w:rFonts w:ascii="Book Antiqua" w:eastAsia="Book Antiqua" w:hAnsi="Book Antiqua" w:cs="Book Antiqua"/>
        </w:rPr>
        <w:sectPr w:rsidR="00D144F4" w:rsidSect="001F2315">
          <w:pgSz w:w="15840" w:h="12240" w:orient="landscape"/>
          <w:pgMar w:top="1440" w:right="1440" w:bottom="1440" w:left="1440" w:header="720" w:footer="720" w:gutter="0"/>
          <w:cols w:space="720"/>
          <w:docGrid w:linePitch="360"/>
        </w:sectPr>
      </w:pPr>
      <w:bookmarkStart w:id="185" w:name="_Hlk150120472"/>
    </w:p>
    <w:p w14:paraId="5517544C" w14:textId="19AE89B5" w:rsidR="00E50D86" w:rsidRPr="00E50D86" w:rsidRDefault="00E50D86" w:rsidP="00D144F4">
      <w:pPr>
        <w:snapToGrid w:val="0"/>
        <w:spacing w:line="360" w:lineRule="auto"/>
        <w:jc w:val="both"/>
        <w:rPr>
          <w:rFonts w:ascii="Book Antiqua" w:eastAsia="Times New Roman" w:hAnsi="Book Antiqua"/>
          <w:b/>
        </w:rPr>
      </w:pPr>
      <w:r w:rsidRPr="00E50D86">
        <w:rPr>
          <w:rFonts w:ascii="Book Antiqua" w:eastAsia="Times New Roman" w:hAnsi="Book Antiqua"/>
          <w:b/>
        </w:rPr>
        <w:lastRenderedPageBreak/>
        <w:t>Table 1 Current studies (published articles and finished/on-going clinical trials) investigating the effect of targeting lymphatic circulation and related pathophysiology processes, providing strong evidence to support our hypothesis</w:t>
      </w:r>
    </w:p>
    <w:tbl>
      <w:tblPr>
        <w:tblStyle w:val="a5"/>
        <w:tblW w:w="1428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5"/>
        <w:gridCol w:w="1435"/>
        <w:gridCol w:w="2835"/>
        <w:gridCol w:w="2268"/>
        <w:gridCol w:w="3828"/>
        <w:gridCol w:w="1842"/>
      </w:tblGrid>
      <w:tr w:rsidR="008560A0" w:rsidRPr="00E50D86" w14:paraId="2EC6F935" w14:textId="77777777" w:rsidTr="007E2E14">
        <w:trPr>
          <w:trHeight w:val="437"/>
        </w:trPr>
        <w:tc>
          <w:tcPr>
            <w:tcW w:w="2075" w:type="dxa"/>
            <w:tcBorders>
              <w:top w:val="single" w:sz="4" w:space="0" w:color="auto"/>
              <w:bottom w:val="single" w:sz="4" w:space="0" w:color="auto"/>
            </w:tcBorders>
          </w:tcPr>
          <w:p w14:paraId="7B09CF62"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Agent class</w:t>
            </w:r>
          </w:p>
        </w:tc>
        <w:tc>
          <w:tcPr>
            <w:tcW w:w="1435" w:type="dxa"/>
            <w:tcBorders>
              <w:top w:val="single" w:sz="4" w:space="0" w:color="auto"/>
              <w:bottom w:val="single" w:sz="4" w:space="0" w:color="auto"/>
            </w:tcBorders>
          </w:tcPr>
          <w:p w14:paraId="4265D265"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Agent</w:t>
            </w:r>
          </w:p>
        </w:tc>
        <w:tc>
          <w:tcPr>
            <w:tcW w:w="2835" w:type="dxa"/>
            <w:tcBorders>
              <w:top w:val="single" w:sz="4" w:space="0" w:color="auto"/>
              <w:bottom w:val="single" w:sz="4" w:space="0" w:color="auto"/>
            </w:tcBorders>
          </w:tcPr>
          <w:p w14:paraId="574546D4"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Mechanism/pathway</w:t>
            </w:r>
          </w:p>
        </w:tc>
        <w:tc>
          <w:tcPr>
            <w:tcW w:w="2268" w:type="dxa"/>
            <w:tcBorders>
              <w:top w:val="single" w:sz="4" w:space="0" w:color="auto"/>
              <w:bottom w:val="single" w:sz="4" w:space="0" w:color="auto"/>
            </w:tcBorders>
          </w:tcPr>
          <w:p w14:paraId="17BB2090" w14:textId="1F35F3CA"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 xml:space="preserve">Drug </w:t>
            </w:r>
            <w:r w:rsidR="008560A0" w:rsidRPr="00D85F03">
              <w:rPr>
                <w:rFonts w:ascii="Book Antiqua" w:eastAsia="Times New Roman" w:hAnsi="Book Antiqua" w:cs="Times New Roman"/>
                <w:b/>
                <w:bCs/>
              </w:rPr>
              <w:t>s</w:t>
            </w:r>
            <w:r w:rsidRPr="00D85F03">
              <w:rPr>
                <w:rFonts w:ascii="Book Antiqua" w:eastAsia="Times New Roman" w:hAnsi="Book Antiqua" w:cs="Times New Roman"/>
                <w:b/>
                <w:bCs/>
              </w:rPr>
              <w:t>tage</w:t>
            </w:r>
          </w:p>
        </w:tc>
        <w:tc>
          <w:tcPr>
            <w:tcW w:w="3828" w:type="dxa"/>
            <w:tcBorders>
              <w:top w:val="single" w:sz="4" w:space="0" w:color="auto"/>
              <w:bottom w:val="single" w:sz="4" w:space="0" w:color="auto"/>
            </w:tcBorders>
          </w:tcPr>
          <w:p w14:paraId="00DCFD39"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Efficacy</w:t>
            </w:r>
          </w:p>
        </w:tc>
        <w:tc>
          <w:tcPr>
            <w:tcW w:w="1842" w:type="dxa"/>
            <w:tcBorders>
              <w:top w:val="single" w:sz="4" w:space="0" w:color="auto"/>
              <w:bottom w:val="single" w:sz="4" w:space="0" w:color="auto"/>
            </w:tcBorders>
          </w:tcPr>
          <w:p w14:paraId="38EB1D11" w14:textId="7CEC91A2"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Ref</w:t>
            </w:r>
            <w:r w:rsidR="008560A0" w:rsidRPr="00D85F03">
              <w:rPr>
                <w:rFonts w:ascii="Book Antiqua" w:eastAsia="Times New Roman" w:hAnsi="Book Antiqua" w:cs="Times New Roman"/>
                <w:b/>
                <w:bCs/>
              </w:rPr>
              <w:t>.</w:t>
            </w:r>
          </w:p>
        </w:tc>
      </w:tr>
      <w:tr w:rsidR="008560A0" w:rsidRPr="00E50D86" w14:paraId="1B8FBB0D" w14:textId="77777777" w:rsidTr="007E2E14">
        <w:trPr>
          <w:trHeight w:val="862"/>
        </w:trPr>
        <w:tc>
          <w:tcPr>
            <w:tcW w:w="2075" w:type="dxa"/>
            <w:vMerge w:val="restart"/>
            <w:tcBorders>
              <w:top w:val="single" w:sz="4" w:space="0" w:color="auto"/>
            </w:tcBorders>
          </w:tcPr>
          <w:p w14:paraId="22533801"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Targets of lymphangiogenic factors</w:t>
            </w:r>
          </w:p>
        </w:tc>
        <w:tc>
          <w:tcPr>
            <w:tcW w:w="1435" w:type="dxa"/>
            <w:tcBorders>
              <w:top w:val="single" w:sz="4" w:space="0" w:color="auto"/>
            </w:tcBorders>
          </w:tcPr>
          <w:p w14:paraId="03B6EB88" w14:textId="1A9BFAF3"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VEGFC/Ad-hVEGF-C</w:t>
            </w:r>
          </w:p>
        </w:tc>
        <w:tc>
          <w:tcPr>
            <w:tcW w:w="2835" w:type="dxa"/>
            <w:tcBorders>
              <w:top w:val="single" w:sz="4" w:space="0" w:color="auto"/>
            </w:tcBorders>
          </w:tcPr>
          <w:p w14:paraId="1B76663F"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VEGFC-VEGFR3 signaling pathway; increase lymph drainage and bacteria antigen clearance</w:t>
            </w:r>
          </w:p>
        </w:tc>
        <w:tc>
          <w:tcPr>
            <w:tcW w:w="2268" w:type="dxa"/>
            <w:tcBorders>
              <w:top w:val="single" w:sz="4" w:space="0" w:color="auto"/>
            </w:tcBorders>
          </w:tcPr>
          <w:p w14:paraId="283D4E5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3828" w:type="dxa"/>
            <w:tcBorders>
              <w:top w:val="single" w:sz="4" w:space="0" w:color="auto"/>
            </w:tcBorders>
          </w:tcPr>
          <w:p w14:paraId="52F21B3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Reduced severity of chronic colitis in terms of histological examination, body weight, endoscopic evaluation, and CDAI than control group</w:t>
            </w:r>
          </w:p>
        </w:tc>
        <w:tc>
          <w:tcPr>
            <w:tcW w:w="1842" w:type="dxa"/>
            <w:tcBorders>
              <w:top w:val="single" w:sz="4" w:space="0" w:color="auto"/>
            </w:tcBorders>
          </w:tcPr>
          <w:p w14:paraId="2D0B0A1D"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[60]</w:t>
            </w:r>
          </w:p>
        </w:tc>
      </w:tr>
      <w:tr w:rsidR="008560A0" w:rsidRPr="00E50D86" w14:paraId="57C4744B" w14:textId="77777777" w:rsidTr="007E2E14">
        <w:trPr>
          <w:trHeight w:val="425"/>
        </w:trPr>
        <w:tc>
          <w:tcPr>
            <w:tcW w:w="2075" w:type="dxa"/>
            <w:vMerge/>
            <w:tcBorders>
              <w:bottom w:val="nil"/>
            </w:tcBorders>
          </w:tcPr>
          <w:p w14:paraId="7407A442" w14:textId="77777777" w:rsidR="00E50D86" w:rsidRPr="00E50D86" w:rsidRDefault="00E50D86" w:rsidP="00D144F4">
            <w:pPr>
              <w:snapToGrid w:val="0"/>
              <w:spacing w:line="360" w:lineRule="auto"/>
              <w:jc w:val="both"/>
              <w:rPr>
                <w:rFonts w:ascii="Book Antiqua" w:hAnsi="Book Antiqua"/>
              </w:rPr>
            </w:pPr>
          </w:p>
        </w:tc>
        <w:tc>
          <w:tcPr>
            <w:tcW w:w="1435" w:type="dxa"/>
            <w:tcBorders>
              <w:bottom w:val="nil"/>
            </w:tcBorders>
          </w:tcPr>
          <w:p w14:paraId="64355D34" w14:textId="6CF702EF"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COMP-Ang1</w:t>
            </w:r>
          </w:p>
        </w:tc>
        <w:tc>
          <w:tcPr>
            <w:tcW w:w="2835" w:type="dxa"/>
            <w:tcBorders>
              <w:bottom w:val="nil"/>
            </w:tcBorders>
          </w:tcPr>
          <w:p w14:paraId="6E457D0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Reduce inflammation-induced lymphangiogenesis and M1 and M2 macrophage infiltration by inhibiting VEGF-C/D expression</w:t>
            </w:r>
          </w:p>
        </w:tc>
        <w:tc>
          <w:tcPr>
            <w:tcW w:w="2268" w:type="dxa"/>
            <w:tcBorders>
              <w:bottom w:val="nil"/>
            </w:tcBorders>
          </w:tcPr>
          <w:p w14:paraId="7AD9D63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3828" w:type="dxa"/>
            <w:tcBorders>
              <w:bottom w:val="nil"/>
            </w:tcBorders>
          </w:tcPr>
          <w:p w14:paraId="11FC258C"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Less weight loss, fewer clinical signs of colitis, and longer colons than control group</w:t>
            </w:r>
          </w:p>
        </w:tc>
        <w:tc>
          <w:tcPr>
            <w:tcW w:w="1842" w:type="dxa"/>
            <w:tcBorders>
              <w:bottom w:val="nil"/>
            </w:tcBorders>
          </w:tcPr>
          <w:p w14:paraId="1139217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[109]</w:t>
            </w:r>
          </w:p>
        </w:tc>
      </w:tr>
      <w:tr w:rsidR="008560A0" w:rsidRPr="00E50D86" w14:paraId="6E772BD9" w14:textId="77777777" w:rsidTr="007E2E14">
        <w:trPr>
          <w:trHeight w:val="437"/>
        </w:trPr>
        <w:tc>
          <w:tcPr>
            <w:tcW w:w="2075" w:type="dxa"/>
            <w:tcBorders>
              <w:top w:val="nil"/>
              <w:bottom w:val="nil"/>
            </w:tcBorders>
          </w:tcPr>
          <w:p w14:paraId="26AE3A56"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TLR4 inhibitor</w:t>
            </w:r>
          </w:p>
        </w:tc>
        <w:tc>
          <w:tcPr>
            <w:tcW w:w="1435" w:type="dxa"/>
            <w:tcBorders>
              <w:top w:val="nil"/>
              <w:bottom w:val="nil"/>
            </w:tcBorders>
          </w:tcPr>
          <w:p w14:paraId="0500CDF6"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C34</w:t>
            </w:r>
          </w:p>
        </w:tc>
        <w:tc>
          <w:tcPr>
            <w:tcW w:w="2835" w:type="dxa"/>
            <w:tcBorders>
              <w:top w:val="nil"/>
              <w:bottom w:val="nil"/>
            </w:tcBorders>
          </w:tcPr>
          <w:p w14:paraId="0AEA0C3F"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TLR4-PAMP/DAMP discriminatory mechanism</w:t>
            </w:r>
          </w:p>
        </w:tc>
        <w:tc>
          <w:tcPr>
            <w:tcW w:w="2268" w:type="dxa"/>
            <w:tcBorders>
              <w:top w:val="nil"/>
              <w:bottom w:val="nil"/>
            </w:tcBorders>
          </w:tcPr>
          <w:p w14:paraId="4FE4710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3828" w:type="dxa"/>
            <w:tcBorders>
              <w:top w:val="nil"/>
              <w:bottom w:val="nil"/>
            </w:tcBorders>
          </w:tcPr>
          <w:p w14:paraId="09CFFBF9"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Less weight loss, reduced disease activity score and reduced colon shortening in treatment group</w:t>
            </w:r>
          </w:p>
        </w:tc>
        <w:tc>
          <w:tcPr>
            <w:tcW w:w="1842" w:type="dxa"/>
            <w:tcBorders>
              <w:top w:val="nil"/>
              <w:bottom w:val="nil"/>
            </w:tcBorders>
          </w:tcPr>
          <w:p w14:paraId="0B02335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[71]</w:t>
            </w:r>
          </w:p>
        </w:tc>
      </w:tr>
      <w:tr w:rsidR="008560A0" w:rsidRPr="00E50D86" w14:paraId="62FFE30B" w14:textId="77777777" w:rsidTr="007E2E14">
        <w:trPr>
          <w:trHeight w:val="284"/>
        </w:trPr>
        <w:tc>
          <w:tcPr>
            <w:tcW w:w="2075" w:type="dxa"/>
            <w:vMerge w:val="restart"/>
            <w:tcBorders>
              <w:top w:val="nil"/>
              <w:bottom w:val="nil"/>
            </w:tcBorders>
          </w:tcPr>
          <w:p w14:paraId="5E28017B" w14:textId="5BCD914D"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Anti-trafficking</w:t>
            </w:r>
            <w:r w:rsidR="008560A0">
              <w:rPr>
                <w:rFonts w:ascii="Book Antiqua" w:hAnsi="Book Antiqua" w:cs="Times New Roman" w:hint="eastAsia"/>
              </w:rPr>
              <w:t xml:space="preserve"> </w:t>
            </w:r>
            <w:r w:rsidRPr="00E50D86">
              <w:rPr>
                <w:rFonts w:ascii="Book Antiqua" w:eastAsia="Times New Roman" w:hAnsi="Book Antiqua" w:cs="Times New Roman"/>
              </w:rPr>
              <w:t>therapies: S1P receptor</w:t>
            </w:r>
            <w:r w:rsidR="008560A0">
              <w:rPr>
                <w:rFonts w:ascii="Book Antiqua" w:hAnsi="Book Antiqua" w:cs="Times New Roman" w:hint="eastAsia"/>
              </w:rPr>
              <w:t xml:space="preserve"> </w:t>
            </w:r>
            <w:r w:rsidRPr="00E50D86">
              <w:rPr>
                <w:rFonts w:ascii="Book Antiqua" w:eastAsia="Times New Roman" w:hAnsi="Book Antiqua" w:cs="Times New Roman"/>
              </w:rPr>
              <w:lastRenderedPageBreak/>
              <w:t>modulators</w:t>
            </w:r>
          </w:p>
        </w:tc>
        <w:tc>
          <w:tcPr>
            <w:tcW w:w="1435" w:type="dxa"/>
            <w:vMerge w:val="restart"/>
            <w:tcBorders>
              <w:top w:val="nil"/>
              <w:bottom w:val="nil"/>
            </w:tcBorders>
          </w:tcPr>
          <w:p w14:paraId="3FCDA27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Ozanimod</w:t>
            </w:r>
          </w:p>
        </w:tc>
        <w:tc>
          <w:tcPr>
            <w:tcW w:w="2835" w:type="dxa"/>
            <w:vMerge w:val="restart"/>
            <w:tcBorders>
              <w:top w:val="nil"/>
              <w:bottom w:val="nil"/>
            </w:tcBorders>
          </w:tcPr>
          <w:p w14:paraId="4EDDFCA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S1P1/5 receptor modulator; induce internalization and </w:t>
            </w:r>
            <w:r w:rsidRPr="00E50D86">
              <w:rPr>
                <w:rFonts w:ascii="Book Antiqua" w:eastAsia="Times New Roman" w:hAnsi="Book Antiqua" w:cs="Times New Roman"/>
              </w:rPr>
              <w:lastRenderedPageBreak/>
              <w:t>degradation of S1P1/5 receptor subtypes</w:t>
            </w:r>
          </w:p>
        </w:tc>
        <w:tc>
          <w:tcPr>
            <w:tcW w:w="2268" w:type="dxa"/>
            <w:tcBorders>
              <w:top w:val="nil"/>
              <w:bottom w:val="nil"/>
            </w:tcBorders>
          </w:tcPr>
          <w:p w14:paraId="35327B9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Phase 2 clinical studies in patients with CD</w:t>
            </w:r>
          </w:p>
        </w:tc>
        <w:tc>
          <w:tcPr>
            <w:tcW w:w="3828" w:type="dxa"/>
            <w:tcBorders>
              <w:top w:val="nil"/>
              <w:bottom w:val="nil"/>
            </w:tcBorders>
          </w:tcPr>
          <w:p w14:paraId="6CBB4EE7" w14:textId="6D62CF10"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Endoscopic, histological, and clinical improvements within 12 wk of initiating ozanimod </w:t>
            </w:r>
            <w:r w:rsidRPr="00E50D86">
              <w:rPr>
                <w:rFonts w:ascii="Book Antiqua" w:eastAsia="Times New Roman" w:hAnsi="Book Antiqua" w:cs="Times New Roman"/>
              </w:rPr>
              <w:lastRenderedPageBreak/>
              <w:t>therapy in patients with moderate to severe CD</w:t>
            </w:r>
          </w:p>
        </w:tc>
        <w:tc>
          <w:tcPr>
            <w:tcW w:w="1842" w:type="dxa"/>
            <w:tcBorders>
              <w:top w:val="nil"/>
              <w:bottom w:val="nil"/>
            </w:tcBorders>
          </w:tcPr>
          <w:p w14:paraId="68CEDCF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[76]</w:t>
            </w:r>
          </w:p>
        </w:tc>
      </w:tr>
      <w:tr w:rsidR="008560A0" w:rsidRPr="00E50D86" w14:paraId="292B06B7" w14:textId="77777777" w:rsidTr="007E2E14">
        <w:trPr>
          <w:trHeight w:val="690"/>
        </w:trPr>
        <w:tc>
          <w:tcPr>
            <w:tcW w:w="2075" w:type="dxa"/>
            <w:vMerge/>
            <w:tcBorders>
              <w:top w:val="nil"/>
            </w:tcBorders>
          </w:tcPr>
          <w:p w14:paraId="0DB60BBE" w14:textId="77777777" w:rsidR="00E50D86" w:rsidRPr="00E50D86" w:rsidRDefault="00E50D86" w:rsidP="00D144F4">
            <w:pPr>
              <w:snapToGrid w:val="0"/>
              <w:spacing w:line="360" w:lineRule="auto"/>
              <w:jc w:val="both"/>
              <w:rPr>
                <w:rFonts w:ascii="Book Antiqua" w:hAnsi="Book Antiqua"/>
              </w:rPr>
            </w:pPr>
          </w:p>
        </w:tc>
        <w:tc>
          <w:tcPr>
            <w:tcW w:w="1435" w:type="dxa"/>
            <w:vMerge/>
            <w:tcBorders>
              <w:top w:val="nil"/>
            </w:tcBorders>
          </w:tcPr>
          <w:p w14:paraId="1BED3D56" w14:textId="77777777" w:rsidR="00E50D86" w:rsidRPr="00E50D86" w:rsidRDefault="00E50D86" w:rsidP="00D144F4">
            <w:pPr>
              <w:snapToGrid w:val="0"/>
              <w:spacing w:line="360" w:lineRule="auto"/>
              <w:jc w:val="both"/>
              <w:rPr>
                <w:rFonts w:ascii="Book Antiqua" w:hAnsi="Book Antiqua"/>
              </w:rPr>
            </w:pPr>
          </w:p>
        </w:tc>
        <w:tc>
          <w:tcPr>
            <w:tcW w:w="2835" w:type="dxa"/>
            <w:vMerge/>
            <w:tcBorders>
              <w:top w:val="nil"/>
            </w:tcBorders>
          </w:tcPr>
          <w:p w14:paraId="7756C064" w14:textId="77777777" w:rsidR="00E50D86" w:rsidRPr="00E50D86" w:rsidRDefault="00E50D86" w:rsidP="00D144F4">
            <w:pPr>
              <w:snapToGrid w:val="0"/>
              <w:spacing w:line="360" w:lineRule="auto"/>
              <w:jc w:val="both"/>
              <w:rPr>
                <w:rFonts w:ascii="Book Antiqua" w:hAnsi="Book Antiqua"/>
              </w:rPr>
            </w:pPr>
          </w:p>
        </w:tc>
        <w:tc>
          <w:tcPr>
            <w:tcW w:w="2268" w:type="dxa"/>
            <w:tcBorders>
              <w:top w:val="nil"/>
            </w:tcBorders>
          </w:tcPr>
          <w:p w14:paraId="561FA65A"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Phase 3 clinical studies</w:t>
            </w:r>
          </w:p>
        </w:tc>
        <w:tc>
          <w:tcPr>
            <w:tcW w:w="3828" w:type="dxa"/>
            <w:tcBorders>
              <w:top w:val="nil"/>
            </w:tcBorders>
          </w:tcPr>
          <w:p w14:paraId="173DA57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Recruiting</w:t>
            </w:r>
          </w:p>
        </w:tc>
        <w:tc>
          <w:tcPr>
            <w:tcW w:w="1842" w:type="dxa"/>
            <w:tcBorders>
              <w:top w:val="nil"/>
            </w:tcBorders>
          </w:tcPr>
          <w:p w14:paraId="6404D9F9" w14:textId="4768305F" w:rsidR="00E50D86" w:rsidRPr="008560A0"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NCT03440372</w:t>
            </w:r>
            <w:r w:rsidR="008560A0">
              <w:rPr>
                <w:rFonts w:ascii="Book Antiqua" w:hAnsi="Book Antiqua" w:cs="Times New Roman" w:hint="eastAsia"/>
              </w:rPr>
              <w:t>,</w:t>
            </w:r>
            <w:r w:rsidR="008560A0">
              <w:rPr>
                <w:rFonts w:ascii="Book Antiqua" w:hAnsi="Book Antiqua" w:cs="Times New Roman"/>
              </w:rPr>
              <w:t xml:space="preserve"> </w:t>
            </w:r>
            <w:r w:rsidRPr="00E50D86">
              <w:rPr>
                <w:rFonts w:ascii="Book Antiqua" w:eastAsia="Times New Roman" w:hAnsi="Book Antiqua" w:cs="Times New Roman"/>
                <w:color w:val="000000"/>
                <w:shd w:val="clear" w:color="auto" w:fill="FFFFFF"/>
              </w:rPr>
              <w:t>NCT03440385</w:t>
            </w:r>
            <w:r w:rsidR="008560A0">
              <w:rPr>
                <w:rFonts w:ascii="Book Antiqua" w:hAnsi="Book Antiqua" w:cs="Times New Roman" w:hint="eastAsia"/>
                <w:color w:val="000000"/>
                <w:shd w:val="clear" w:color="auto" w:fill="FFFFFF"/>
              </w:rPr>
              <w:t>,</w:t>
            </w:r>
            <w:r w:rsidR="008560A0">
              <w:rPr>
                <w:rFonts w:ascii="Book Antiqua" w:hAnsi="Book Antiqua" w:cs="Times New Roman"/>
                <w:color w:val="000000"/>
                <w:shd w:val="clear" w:color="auto" w:fill="FFFFFF"/>
              </w:rPr>
              <w:t xml:space="preserve"> </w:t>
            </w:r>
            <w:r w:rsidRPr="00E50D86">
              <w:rPr>
                <w:rFonts w:ascii="Book Antiqua" w:eastAsia="Times New Roman" w:hAnsi="Book Antiqua" w:cs="Times New Roman"/>
                <w:color w:val="000000"/>
                <w:shd w:val="clear" w:color="auto" w:fill="FFFFFF"/>
              </w:rPr>
              <w:t>NCT03464097</w:t>
            </w:r>
            <w:r w:rsidR="008560A0">
              <w:rPr>
                <w:rFonts w:ascii="Book Antiqua" w:hAnsi="Book Antiqua" w:cs="Times New Roman" w:hint="eastAsia"/>
                <w:color w:val="000000"/>
                <w:shd w:val="clear" w:color="auto" w:fill="FFFFFF"/>
              </w:rPr>
              <w:t>,</w:t>
            </w:r>
            <w:r w:rsidR="008560A0">
              <w:rPr>
                <w:rFonts w:ascii="Book Antiqua" w:hAnsi="Book Antiqua" w:cs="Times New Roman"/>
                <w:color w:val="000000"/>
                <w:shd w:val="clear" w:color="auto" w:fill="FFFFFF"/>
              </w:rPr>
              <w:t xml:space="preserve"> </w:t>
            </w:r>
            <w:r w:rsidRPr="00E50D86">
              <w:rPr>
                <w:rFonts w:ascii="Book Antiqua" w:hAnsi="Book Antiqua" w:cs="Times New Roman"/>
                <w:color w:val="000000"/>
                <w:shd w:val="clear" w:color="auto" w:fill="FFFFFF"/>
              </w:rPr>
              <w:t>NCT03467958</w:t>
            </w:r>
          </w:p>
        </w:tc>
      </w:tr>
      <w:tr w:rsidR="008560A0" w:rsidRPr="00E50D86" w14:paraId="0506D85B" w14:textId="77777777" w:rsidTr="007E2E14">
        <w:trPr>
          <w:trHeight w:val="425"/>
        </w:trPr>
        <w:tc>
          <w:tcPr>
            <w:tcW w:w="2075" w:type="dxa"/>
            <w:vMerge/>
          </w:tcPr>
          <w:p w14:paraId="72AD6B7A" w14:textId="77777777" w:rsidR="00E50D86" w:rsidRPr="00E50D86" w:rsidRDefault="00E50D86" w:rsidP="00D144F4">
            <w:pPr>
              <w:snapToGrid w:val="0"/>
              <w:spacing w:line="360" w:lineRule="auto"/>
              <w:jc w:val="both"/>
              <w:rPr>
                <w:rFonts w:ascii="Book Antiqua" w:hAnsi="Book Antiqua"/>
              </w:rPr>
            </w:pPr>
          </w:p>
        </w:tc>
        <w:tc>
          <w:tcPr>
            <w:tcW w:w="1435" w:type="dxa"/>
          </w:tcPr>
          <w:p w14:paraId="02010EBA"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Etrasimod</w:t>
            </w:r>
          </w:p>
        </w:tc>
        <w:tc>
          <w:tcPr>
            <w:tcW w:w="2835" w:type="dxa"/>
          </w:tcPr>
          <w:p w14:paraId="7D9E9C2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S1P1/4/5 receptor modulator</w:t>
            </w:r>
          </w:p>
        </w:tc>
        <w:tc>
          <w:tcPr>
            <w:tcW w:w="2268" w:type="dxa"/>
          </w:tcPr>
          <w:p w14:paraId="48D9994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Phase 2/3 clinical studies in patients with CD</w:t>
            </w:r>
          </w:p>
        </w:tc>
        <w:tc>
          <w:tcPr>
            <w:tcW w:w="3828" w:type="dxa"/>
          </w:tcPr>
          <w:p w14:paraId="5EDA152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Recruiting</w:t>
            </w:r>
          </w:p>
        </w:tc>
        <w:tc>
          <w:tcPr>
            <w:tcW w:w="1842" w:type="dxa"/>
          </w:tcPr>
          <w:p w14:paraId="6F6B5E2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NCT04173273</w:t>
            </w:r>
          </w:p>
        </w:tc>
      </w:tr>
      <w:tr w:rsidR="008560A0" w:rsidRPr="00E50D86" w14:paraId="1DA734D6" w14:textId="77777777" w:rsidTr="007E2E14">
        <w:trPr>
          <w:trHeight w:val="425"/>
        </w:trPr>
        <w:tc>
          <w:tcPr>
            <w:tcW w:w="2075" w:type="dxa"/>
            <w:tcBorders>
              <w:bottom w:val="nil"/>
            </w:tcBorders>
          </w:tcPr>
          <w:p w14:paraId="72A6CFB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Antiplatelet antibody</w:t>
            </w:r>
          </w:p>
        </w:tc>
        <w:tc>
          <w:tcPr>
            <w:tcW w:w="1435" w:type="dxa"/>
            <w:tcBorders>
              <w:bottom w:val="nil"/>
            </w:tcBorders>
          </w:tcPr>
          <w:p w14:paraId="047C2D6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GPIb inhibitor</w:t>
            </w:r>
          </w:p>
        </w:tc>
        <w:tc>
          <w:tcPr>
            <w:tcW w:w="2835" w:type="dxa"/>
            <w:tcBorders>
              <w:bottom w:val="nil"/>
            </w:tcBorders>
          </w:tcPr>
          <w:p w14:paraId="2AE579D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Promote lymphangiogenesis and increase lymphatic vessel densities</w:t>
            </w:r>
          </w:p>
        </w:tc>
        <w:tc>
          <w:tcPr>
            <w:tcW w:w="2268" w:type="dxa"/>
            <w:tcBorders>
              <w:bottom w:val="nil"/>
            </w:tcBorders>
          </w:tcPr>
          <w:p w14:paraId="40800F4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3828" w:type="dxa"/>
            <w:tcBorders>
              <w:bottom w:val="nil"/>
            </w:tcBorders>
          </w:tcPr>
          <w:p w14:paraId="0BD6553C"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Suppressed colitis with reduced thickness of the submucosal layer, reduced inflammatory cell infiltration, and reduced histological score</w:t>
            </w:r>
          </w:p>
        </w:tc>
        <w:tc>
          <w:tcPr>
            <w:tcW w:w="1842" w:type="dxa"/>
            <w:tcBorders>
              <w:bottom w:val="nil"/>
            </w:tcBorders>
          </w:tcPr>
          <w:p w14:paraId="389094BF"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[55]</w:t>
            </w:r>
          </w:p>
        </w:tc>
      </w:tr>
      <w:tr w:rsidR="008560A0" w:rsidRPr="00E50D86" w14:paraId="74B73184" w14:textId="77777777" w:rsidTr="007E2E14">
        <w:trPr>
          <w:trHeight w:val="425"/>
        </w:trPr>
        <w:tc>
          <w:tcPr>
            <w:tcW w:w="2075" w:type="dxa"/>
            <w:vMerge w:val="restart"/>
            <w:tcBorders>
              <w:top w:val="nil"/>
              <w:bottom w:val="nil"/>
            </w:tcBorders>
          </w:tcPr>
          <w:p w14:paraId="32A2BA3A"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Anti-bacterial and its related metabolites or secretions</w:t>
            </w:r>
            <w:r w:rsidRPr="00E50D86">
              <w:rPr>
                <w:rFonts w:ascii="Book Antiqua" w:eastAsia="Times New Roman" w:hAnsi="Book Antiqua" w:cs="Times New Roman"/>
                <w:vertAlign w:val="superscript"/>
              </w:rPr>
              <w:t>1</w:t>
            </w:r>
          </w:p>
        </w:tc>
        <w:tc>
          <w:tcPr>
            <w:tcW w:w="1435" w:type="dxa"/>
            <w:tcBorders>
              <w:top w:val="nil"/>
              <w:bottom w:val="nil"/>
            </w:tcBorders>
          </w:tcPr>
          <w:p w14:paraId="27CF1DA9"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EB8018</w:t>
            </w:r>
          </w:p>
        </w:tc>
        <w:tc>
          <w:tcPr>
            <w:tcW w:w="2835" w:type="dxa"/>
            <w:tcBorders>
              <w:top w:val="nil"/>
              <w:bottom w:val="nil"/>
            </w:tcBorders>
          </w:tcPr>
          <w:p w14:paraId="4FB1A706"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Inhibit bacterial lectin (FimH) to stop the activation of TLR4 and ensuing TNF-α production</w:t>
            </w:r>
          </w:p>
        </w:tc>
        <w:tc>
          <w:tcPr>
            <w:tcW w:w="2268" w:type="dxa"/>
            <w:tcBorders>
              <w:top w:val="nil"/>
              <w:bottom w:val="nil"/>
            </w:tcBorders>
          </w:tcPr>
          <w:p w14:paraId="6D6167B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Open-label, multicenter, pharmacokinetic Study</w:t>
            </w:r>
          </w:p>
        </w:tc>
        <w:tc>
          <w:tcPr>
            <w:tcW w:w="3828" w:type="dxa"/>
            <w:tcBorders>
              <w:top w:val="nil"/>
              <w:bottom w:val="nil"/>
            </w:tcBorders>
          </w:tcPr>
          <w:p w14:paraId="4CD4F62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Finished without results disclosure</w:t>
            </w:r>
          </w:p>
        </w:tc>
        <w:tc>
          <w:tcPr>
            <w:tcW w:w="1842" w:type="dxa"/>
            <w:tcBorders>
              <w:top w:val="nil"/>
              <w:bottom w:val="nil"/>
            </w:tcBorders>
          </w:tcPr>
          <w:p w14:paraId="20F511C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NCT03709628</w:t>
            </w:r>
          </w:p>
        </w:tc>
      </w:tr>
      <w:tr w:rsidR="008560A0" w:rsidRPr="00E50D86" w14:paraId="7AB91B02" w14:textId="77777777" w:rsidTr="007E2E14">
        <w:trPr>
          <w:trHeight w:val="425"/>
        </w:trPr>
        <w:tc>
          <w:tcPr>
            <w:tcW w:w="2075" w:type="dxa"/>
            <w:vMerge/>
            <w:tcBorders>
              <w:top w:val="nil"/>
              <w:bottom w:val="nil"/>
            </w:tcBorders>
          </w:tcPr>
          <w:p w14:paraId="32F38054" w14:textId="77777777" w:rsidR="00E50D86" w:rsidRPr="00E50D86" w:rsidRDefault="00E50D86" w:rsidP="00D144F4">
            <w:pPr>
              <w:snapToGrid w:val="0"/>
              <w:spacing w:line="360" w:lineRule="auto"/>
              <w:jc w:val="both"/>
              <w:rPr>
                <w:rFonts w:ascii="Book Antiqua" w:hAnsi="Book Antiqua"/>
              </w:rPr>
            </w:pPr>
          </w:p>
        </w:tc>
        <w:tc>
          <w:tcPr>
            <w:tcW w:w="1435" w:type="dxa"/>
            <w:vMerge w:val="restart"/>
            <w:tcBorders>
              <w:top w:val="nil"/>
              <w:bottom w:val="nil"/>
            </w:tcBorders>
          </w:tcPr>
          <w:p w14:paraId="428ED53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RHB-104</w:t>
            </w:r>
          </w:p>
        </w:tc>
        <w:tc>
          <w:tcPr>
            <w:tcW w:w="2835" w:type="dxa"/>
            <w:vMerge w:val="restart"/>
            <w:tcBorders>
              <w:top w:val="nil"/>
              <w:bottom w:val="nil"/>
            </w:tcBorders>
          </w:tcPr>
          <w:p w14:paraId="7C97138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Anti-MAP </w:t>
            </w:r>
            <w:r w:rsidRPr="00E50D86">
              <w:rPr>
                <w:rFonts w:ascii="Book Antiqua" w:eastAsia="Times New Roman" w:hAnsi="Book Antiqua" w:cs="Times New Roman"/>
              </w:rPr>
              <w:lastRenderedPageBreak/>
              <w:t>(Mycobacterium Avium Ssp. Paratuberculosis</w:t>
            </w:r>
          </w:p>
        </w:tc>
        <w:tc>
          <w:tcPr>
            <w:tcW w:w="2268" w:type="dxa"/>
            <w:tcBorders>
              <w:top w:val="nil"/>
              <w:bottom w:val="nil"/>
            </w:tcBorders>
          </w:tcPr>
          <w:p w14:paraId="4AD5B6E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 xml:space="preserve">Phase 3 study to </w:t>
            </w:r>
            <w:r w:rsidRPr="00E50D86">
              <w:rPr>
                <w:rFonts w:ascii="Book Antiqua" w:eastAsia="Times New Roman" w:hAnsi="Book Antiqua" w:cs="Times New Roman"/>
              </w:rPr>
              <w:lastRenderedPageBreak/>
              <w:t xml:space="preserve">assess the efficacy and safety of fixed-dose combination RHB-104 </w:t>
            </w:r>
          </w:p>
        </w:tc>
        <w:tc>
          <w:tcPr>
            <w:tcW w:w="3828" w:type="dxa"/>
            <w:tcBorders>
              <w:top w:val="nil"/>
              <w:bottom w:val="nil"/>
            </w:tcBorders>
          </w:tcPr>
          <w:p w14:paraId="03D69C0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 xml:space="preserve">Number of patients in remission </w:t>
            </w:r>
            <w:r w:rsidRPr="00E50D86">
              <w:rPr>
                <w:rFonts w:ascii="Book Antiqua" w:eastAsia="Times New Roman" w:hAnsi="Book Antiqua" w:cs="Times New Roman"/>
              </w:rPr>
              <w:lastRenderedPageBreak/>
              <w:t xml:space="preserve">at week 16 was higher in RHB-104 compared with placebo </w:t>
            </w:r>
          </w:p>
        </w:tc>
        <w:tc>
          <w:tcPr>
            <w:tcW w:w="1842" w:type="dxa"/>
            <w:tcBorders>
              <w:top w:val="nil"/>
              <w:bottom w:val="nil"/>
            </w:tcBorders>
          </w:tcPr>
          <w:p w14:paraId="5B2D7A49"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NCT03009396</w:t>
            </w:r>
          </w:p>
        </w:tc>
      </w:tr>
      <w:tr w:rsidR="008560A0" w:rsidRPr="00E50D86" w14:paraId="2DC5BC6A" w14:textId="77777777" w:rsidTr="007E2E14">
        <w:trPr>
          <w:trHeight w:val="425"/>
        </w:trPr>
        <w:tc>
          <w:tcPr>
            <w:tcW w:w="2075" w:type="dxa"/>
            <w:vMerge/>
            <w:tcBorders>
              <w:top w:val="nil"/>
            </w:tcBorders>
          </w:tcPr>
          <w:p w14:paraId="2A4E096C" w14:textId="77777777" w:rsidR="00E50D86" w:rsidRPr="00E50D86" w:rsidRDefault="00E50D86" w:rsidP="00D144F4">
            <w:pPr>
              <w:snapToGrid w:val="0"/>
              <w:spacing w:line="360" w:lineRule="auto"/>
              <w:jc w:val="both"/>
              <w:rPr>
                <w:rFonts w:ascii="Book Antiqua" w:hAnsi="Book Antiqua"/>
              </w:rPr>
            </w:pPr>
          </w:p>
        </w:tc>
        <w:tc>
          <w:tcPr>
            <w:tcW w:w="1435" w:type="dxa"/>
            <w:vMerge/>
            <w:tcBorders>
              <w:top w:val="nil"/>
            </w:tcBorders>
          </w:tcPr>
          <w:p w14:paraId="0ECC4B14" w14:textId="77777777" w:rsidR="00E50D86" w:rsidRPr="00E50D86" w:rsidRDefault="00E50D86" w:rsidP="00D144F4">
            <w:pPr>
              <w:snapToGrid w:val="0"/>
              <w:spacing w:line="360" w:lineRule="auto"/>
              <w:jc w:val="both"/>
              <w:rPr>
                <w:rFonts w:ascii="Book Antiqua" w:hAnsi="Book Antiqua"/>
              </w:rPr>
            </w:pPr>
          </w:p>
        </w:tc>
        <w:tc>
          <w:tcPr>
            <w:tcW w:w="2835" w:type="dxa"/>
            <w:vMerge/>
            <w:tcBorders>
              <w:top w:val="nil"/>
            </w:tcBorders>
          </w:tcPr>
          <w:p w14:paraId="4E6905BF" w14:textId="77777777" w:rsidR="00E50D86" w:rsidRPr="00E50D86" w:rsidRDefault="00E50D86" w:rsidP="00D144F4">
            <w:pPr>
              <w:snapToGrid w:val="0"/>
              <w:spacing w:line="360" w:lineRule="auto"/>
              <w:jc w:val="both"/>
              <w:rPr>
                <w:rFonts w:ascii="Book Antiqua" w:hAnsi="Book Antiqua"/>
              </w:rPr>
            </w:pPr>
          </w:p>
        </w:tc>
        <w:tc>
          <w:tcPr>
            <w:tcW w:w="2268" w:type="dxa"/>
            <w:tcBorders>
              <w:top w:val="nil"/>
            </w:tcBorders>
          </w:tcPr>
          <w:p w14:paraId="2E0E552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 randomized, double blind, placebo-controlled, multicenter, parallel group study</w:t>
            </w:r>
          </w:p>
        </w:tc>
        <w:tc>
          <w:tcPr>
            <w:tcW w:w="3828" w:type="dxa"/>
            <w:tcBorders>
              <w:top w:val="nil"/>
            </w:tcBorders>
          </w:tcPr>
          <w:p w14:paraId="76E611DC"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Reduction of the total CDAI score to less than 150 at week 26 was significantly higher in RHB-104 than placebo</w:t>
            </w:r>
          </w:p>
        </w:tc>
        <w:tc>
          <w:tcPr>
            <w:tcW w:w="1842" w:type="dxa"/>
            <w:tcBorders>
              <w:top w:val="nil"/>
            </w:tcBorders>
          </w:tcPr>
          <w:p w14:paraId="73480A7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NCT01951326</w:t>
            </w:r>
          </w:p>
        </w:tc>
      </w:tr>
      <w:tr w:rsidR="008560A0" w:rsidRPr="00E50D86" w14:paraId="7AD1FABF" w14:textId="77777777" w:rsidTr="007E2E14">
        <w:trPr>
          <w:trHeight w:val="425"/>
        </w:trPr>
        <w:tc>
          <w:tcPr>
            <w:tcW w:w="2075" w:type="dxa"/>
          </w:tcPr>
          <w:p w14:paraId="15D9F1DF"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Chemical compound</w:t>
            </w:r>
          </w:p>
        </w:tc>
        <w:tc>
          <w:tcPr>
            <w:tcW w:w="1435" w:type="dxa"/>
          </w:tcPr>
          <w:p w14:paraId="6520B6CD"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Artemisinin</w:t>
            </w:r>
          </w:p>
        </w:tc>
        <w:tc>
          <w:tcPr>
            <w:tcW w:w="2835" w:type="dxa"/>
          </w:tcPr>
          <w:p w14:paraId="3311B88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Ameliorate inflammation-driven lymphangiogenesis </w:t>
            </w:r>
            <w:r w:rsidRPr="00D85F03">
              <w:rPr>
                <w:rFonts w:ascii="Book Antiqua" w:eastAsia="Times New Roman" w:hAnsi="Book Antiqua" w:cs="Times New Roman"/>
                <w:i/>
                <w:iCs/>
              </w:rPr>
              <w:t>via</w:t>
            </w:r>
            <w:r w:rsidRPr="00E50D86">
              <w:rPr>
                <w:rFonts w:ascii="Book Antiqua" w:eastAsia="Times New Roman" w:hAnsi="Book Antiqua" w:cs="Times New Roman"/>
              </w:rPr>
              <w:t xml:space="preserve"> the VEGFC/VEGFR3 signaling pathway</w:t>
            </w:r>
          </w:p>
        </w:tc>
        <w:tc>
          <w:tcPr>
            <w:tcW w:w="2268" w:type="dxa"/>
          </w:tcPr>
          <w:p w14:paraId="49E1F08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3828" w:type="dxa"/>
          </w:tcPr>
          <w:p w14:paraId="7BD48BA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Reduced symptoms of colitis with improved tissue histology, relieved inflammatory edema, and decreased infiltration of inflammatory cells</w:t>
            </w:r>
          </w:p>
        </w:tc>
        <w:tc>
          <w:tcPr>
            <w:tcW w:w="1842" w:type="dxa"/>
          </w:tcPr>
          <w:p w14:paraId="23FEA37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[110]</w:t>
            </w:r>
          </w:p>
        </w:tc>
      </w:tr>
    </w:tbl>
    <w:p w14:paraId="7F23FA56" w14:textId="77777777" w:rsidR="007E2E14" w:rsidRDefault="00E50D86" w:rsidP="00D144F4">
      <w:pPr>
        <w:snapToGrid w:val="0"/>
        <w:spacing w:line="360" w:lineRule="auto"/>
        <w:jc w:val="both"/>
        <w:rPr>
          <w:rFonts w:ascii="Book Antiqua" w:hAnsi="Book Antiqua"/>
          <w:lang w:eastAsia="zh-CN"/>
        </w:rPr>
      </w:pPr>
      <w:r w:rsidRPr="00E50D86">
        <w:rPr>
          <w:rFonts w:ascii="Book Antiqua" w:eastAsia="Times New Roman" w:hAnsi="Book Antiqua"/>
          <w:vertAlign w:val="superscript"/>
        </w:rPr>
        <w:t>1</w:t>
      </w:r>
      <w:r w:rsidRPr="00E50D86">
        <w:rPr>
          <w:rFonts w:ascii="Book Antiqua" w:eastAsia="Times New Roman" w:hAnsi="Book Antiqua"/>
        </w:rPr>
        <w:t xml:space="preserve">These studies specifically support the inside-out model of the pathogenesis of </w:t>
      </w:r>
      <w:r w:rsidR="008560A0" w:rsidRPr="00E50D86">
        <w:rPr>
          <w:rFonts w:ascii="Book Antiqua" w:eastAsia="Times New Roman" w:hAnsi="Book Antiqua"/>
        </w:rPr>
        <w:t>Crohn’s disease</w:t>
      </w:r>
      <w:r w:rsidRPr="00E50D86">
        <w:rPr>
          <w:rFonts w:ascii="Book Antiqua" w:eastAsia="Times New Roman" w:hAnsi="Book Antiqua"/>
        </w:rPr>
        <w:t>.</w:t>
      </w:r>
      <w:r w:rsidR="008560A0">
        <w:rPr>
          <w:rFonts w:ascii="Book Antiqua" w:hAnsi="Book Antiqua" w:hint="eastAsia"/>
          <w:lang w:eastAsia="zh-CN"/>
        </w:rPr>
        <w:t xml:space="preserve"> </w:t>
      </w:r>
    </w:p>
    <w:p w14:paraId="20902FD4" w14:textId="22479FDE" w:rsidR="00AD76F2" w:rsidRDefault="00E50D86" w:rsidP="00D144F4">
      <w:pPr>
        <w:snapToGrid w:val="0"/>
        <w:spacing w:line="360" w:lineRule="auto"/>
        <w:jc w:val="both"/>
        <w:rPr>
          <w:rFonts w:ascii="Book Antiqua" w:eastAsia="Times New Roman" w:hAnsi="Book Antiqua"/>
        </w:rPr>
      </w:pPr>
      <w:r w:rsidRPr="00E50D86">
        <w:rPr>
          <w:rFonts w:ascii="Book Antiqua" w:eastAsia="Times New Roman" w:hAnsi="Book Antiqua"/>
        </w:rPr>
        <w:t>CD</w:t>
      </w:r>
      <w:r w:rsidR="008560A0">
        <w:rPr>
          <w:rFonts w:ascii="Book Antiqua" w:eastAsia="Times New Roman" w:hAnsi="Book Antiqua"/>
        </w:rPr>
        <w:t>:</w:t>
      </w:r>
      <w:r w:rsidRPr="00E50D86">
        <w:rPr>
          <w:rFonts w:ascii="Book Antiqua" w:eastAsia="Times New Roman" w:hAnsi="Book Antiqua"/>
        </w:rPr>
        <w:t xml:space="preserve"> Crohn’s disease; CDAI</w:t>
      </w:r>
      <w:r w:rsidR="008560A0">
        <w:rPr>
          <w:rFonts w:ascii="Book Antiqua" w:eastAsia="Times New Roman" w:hAnsi="Book Antiqua"/>
        </w:rPr>
        <w:t>:</w:t>
      </w:r>
      <w:r w:rsidRPr="00E50D86">
        <w:rPr>
          <w:rFonts w:ascii="Book Antiqua" w:eastAsia="Times New Roman" w:hAnsi="Book Antiqua"/>
        </w:rPr>
        <w:t xml:space="preserve"> Crohn’s disease activity index; COMP-Ang1</w:t>
      </w:r>
      <w:r w:rsidR="008560A0">
        <w:rPr>
          <w:rFonts w:ascii="Book Antiqua" w:eastAsia="Times New Roman" w:hAnsi="Book Antiqua"/>
        </w:rPr>
        <w:t>:</w:t>
      </w:r>
      <w:r w:rsidRPr="00E50D86">
        <w:rPr>
          <w:rFonts w:ascii="Book Antiqua" w:eastAsia="Times New Roman" w:hAnsi="Book Antiqua"/>
        </w:rPr>
        <w:t xml:space="preserve"> Cartilage Oligomeric Matrix Protein – Angiopoietin-1; DAMP</w:t>
      </w:r>
      <w:r w:rsidR="008560A0">
        <w:rPr>
          <w:rFonts w:ascii="Book Antiqua" w:eastAsia="Times New Roman" w:hAnsi="Book Antiqua"/>
        </w:rPr>
        <w:t>:</w:t>
      </w:r>
      <w:r w:rsidRPr="00E50D86">
        <w:rPr>
          <w:rFonts w:ascii="Book Antiqua" w:eastAsia="Times New Roman" w:hAnsi="Book Antiqua"/>
        </w:rPr>
        <w:t xml:space="preserve"> damage-associated molecular pattern; PAMP</w:t>
      </w:r>
      <w:r w:rsidR="008560A0">
        <w:rPr>
          <w:rFonts w:ascii="Book Antiqua" w:eastAsia="Times New Roman" w:hAnsi="Book Antiqua"/>
        </w:rPr>
        <w:t>:</w:t>
      </w:r>
      <w:r w:rsidRPr="00E50D86">
        <w:rPr>
          <w:rFonts w:ascii="Book Antiqua" w:eastAsia="Times New Roman" w:hAnsi="Book Antiqua"/>
        </w:rPr>
        <w:t xml:space="preserve"> </w:t>
      </w:r>
      <w:r w:rsidR="008560A0" w:rsidRPr="00E50D86">
        <w:rPr>
          <w:rFonts w:ascii="Book Antiqua" w:eastAsia="Times New Roman" w:hAnsi="Book Antiqua"/>
        </w:rPr>
        <w:t>P</w:t>
      </w:r>
      <w:r w:rsidRPr="00E50D86">
        <w:rPr>
          <w:rFonts w:ascii="Book Antiqua" w:eastAsia="Times New Roman" w:hAnsi="Book Antiqua"/>
        </w:rPr>
        <w:t>athogen-associated molecular pattern; S1P</w:t>
      </w:r>
      <w:r w:rsidR="008560A0">
        <w:rPr>
          <w:rFonts w:ascii="Book Antiqua" w:eastAsia="Times New Roman" w:hAnsi="Book Antiqua"/>
        </w:rPr>
        <w:t>:</w:t>
      </w:r>
      <w:r w:rsidRPr="00E50D86">
        <w:rPr>
          <w:rFonts w:ascii="Book Antiqua" w:eastAsia="Times New Roman" w:hAnsi="Book Antiqua"/>
        </w:rPr>
        <w:t xml:space="preserve"> </w:t>
      </w:r>
      <w:r w:rsidR="008560A0" w:rsidRPr="00E50D86">
        <w:rPr>
          <w:rFonts w:ascii="Book Antiqua" w:eastAsia="Times New Roman" w:hAnsi="Book Antiqua"/>
        </w:rPr>
        <w:t>S</w:t>
      </w:r>
      <w:r w:rsidRPr="00E50D86">
        <w:rPr>
          <w:rFonts w:ascii="Book Antiqua" w:eastAsia="Times New Roman" w:hAnsi="Book Antiqua"/>
        </w:rPr>
        <w:t>phingosine-1-phosphate; TLR</w:t>
      </w:r>
      <w:r w:rsidR="00AD76F2">
        <w:rPr>
          <w:rFonts w:ascii="Book Antiqua" w:eastAsia="Times New Roman" w:hAnsi="Book Antiqua"/>
        </w:rPr>
        <w:t>:</w:t>
      </w:r>
      <w:r w:rsidRPr="00E50D86">
        <w:rPr>
          <w:rFonts w:ascii="Book Antiqua" w:eastAsia="Times New Roman" w:hAnsi="Book Antiqua"/>
        </w:rPr>
        <w:t xml:space="preserve"> Toll-like receptor; TNF</w:t>
      </w:r>
      <w:r w:rsidR="00AD76F2">
        <w:rPr>
          <w:rFonts w:ascii="Book Antiqua" w:eastAsia="Times New Roman" w:hAnsi="Book Antiqua"/>
        </w:rPr>
        <w:t>:</w:t>
      </w:r>
      <w:r w:rsidRPr="00E50D86">
        <w:rPr>
          <w:rFonts w:ascii="Book Antiqua" w:eastAsia="Times New Roman" w:hAnsi="Book Antiqua"/>
        </w:rPr>
        <w:t xml:space="preserve"> </w:t>
      </w:r>
      <w:r w:rsidR="00AD76F2" w:rsidRPr="00E50D86">
        <w:rPr>
          <w:rFonts w:ascii="Book Antiqua" w:eastAsia="Times New Roman" w:hAnsi="Book Antiqua"/>
        </w:rPr>
        <w:t>T</w:t>
      </w:r>
      <w:r w:rsidRPr="00E50D86">
        <w:rPr>
          <w:rFonts w:ascii="Book Antiqua" w:eastAsia="Times New Roman" w:hAnsi="Book Antiqua"/>
        </w:rPr>
        <w:t>umor necrosis factor; VEGF</w:t>
      </w:r>
      <w:r w:rsidR="00AD76F2">
        <w:rPr>
          <w:rFonts w:ascii="Book Antiqua" w:eastAsia="Times New Roman" w:hAnsi="Book Antiqua"/>
        </w:rPr>
        <w:t>:</w:t>
      </w:r>
      <w:r w:rsidRPr="00E50D86">
        <w:rPr>
          <w:rFonts w:ascii="Book Antiqua" w:eastAsia="Times New Roman" w:hAnsi="Book Antiqua"/>
        </w:rPr>
        <w:t xml:space="preserve"> </w:t>
      </w:r>
      <w:r w:rsidR="00AD76F2" w:rsidRPr="00E50D86">
        <w:rPr>
          <w:rFonts w:ascii="Book Antiqua" w:eastAsia="Times New Roman" w:hAnsi="Book Antiqua"/>
        </w:rPr>
        <w:t>V</w:t>
      </w:r>
      <w:r w:rsidRPr="00E50D86">
        <w:rPr>
          <w:rFonts w:ascii="Book Antiqua" w:eastAsia="Times New Roman" w:hAnsi="Book Antiqua"/>
        </w:rPr>
        <w:t>ascular endothelial growth factor; VEGFR</w:t>
      </w:r>
      <w:r w:rsidR="00AD76F2">
        <w:rPr>
          <w:rFonts w:ascii="Book Antiqua" w:eastAsia="Times New Roman" w:hAnsi="Book Antiqua"/>
        </w:rPr>
        <w:t>:</w:t>
      </w:r>
      <w:r w:rsidRPr="00E50D86">
        <w:rPr>
          <w:rFonts w:ascii="Book Antiqua" w:eastAsia="Times New Roman" w:hAnsi="Book Antiqua"/>
        </w:rPr>
        <w:t xml:space="preserve"> </w:t>
      </w:r>
      <w:r w:rsidR="00AD76F2" w:rsidRPr="00E50D86">
        <w:rPr>
          <w:rFonts w:ascii="Book Antiqua" w:eastAsia="Times New Roman" w:hAnsi="Book Antiqua"/>
        </w:rPr>
        <w:t>V</w:t>
      </w:r>
      <w:r w:rsidRPr="00E50D86">
        <w:rPr>
          <w:rFonts w:ascii="Book Antiqua" w:eastAsia="Times New Roman" w:hAnsi="Book Antiqua"/>
        </w:rPr>
        <w:t>ascular endothelial growth factor receptor.</w:t>
      </w:r>
    </w:p>
    <w:p w14:paraId="3F2701A8" w14:textId="03747772" w:rsidR="00E50D86" w:rsidRPr="00D144F4" w:rsidRDefault="00E50D86" w:rsidP="00D144F4">
      <w:pPr>
        <w:snapToGrid w:val="0"/>
        <w:spacing w:line="360" w:lineRule="auto"/>
        <w:jc w:val="both"/>
        <w:rPr>
          <w:rFonts w:ascii="Book Antiqua" w:eastAsia="Times New Roman" w:hAnsi="Book Antiqua"/>
        </w:rPr>
      </w:pPr>
      <w:r w:rsidRPr="00E50D86">
        <w:rPr>
          <w:rFonts w:ascii="Book Antiqua" w:eastAsia="Times New Roman" w:hAnsi="Book Antiqua"/>
        </w:rPr>
        <w:br w:type="page"/>
      </w:r>
      <w:r w:rsidRPr="00E50D86">
        <w:rPr>
          <w:rFonts w:ascii="Book Antiqua" w:eastAsia="Times New Roman" w:hAnsi="Book Antiqua"/>
          <w:b/>
        </w:rPr>
        <w:lastRenderedPageBreak/>
        <w:t>Table 2 Current studies (published articles and finished/on-going clinical trials) investigating the effect of targeting lymphatic circulation and related pathophysiology processes, providing moderately strong evidence to support our hypothesis</w:t>
      </w:r>
    </w:p>
    <w:tbl>
      <w:tblPr>
        <w:tblStyle w:val="a5"/>
        <w:tblW w:w="14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6"/>
        <w:gridCol w:w="1184"/>
        <w:gridCol w:w="3402"/>
        <w:gridCol w:w="3025"/>
        <w:gridCol w:w="3212"/>
        <w:gridCol w:w="1843"/>
      </w:tblGrid>
      <w:tr w:rsidR="00D85F03" w:rsidRPr="00E50D86" w14:paraId="66E37F82" w14:textId="77777777" w:rsidTr="007E2E14">
        <w:trPr>
          <w:trHeight w:val="437"/>
        </w:trPr>
        <w:tc>
          <w:tcPr>
            <w:tcW w:w="1476" w:type="dxa"/>
            <w:tcBorders>
              <w:top w:val="single" w:sz="4" w:space="0" w:color="auto"/>
              <w:bottom w:val="single" w:sz="4" w:space="0" w:color="auto"/>
            </w:tcBorders>
          </w:tcPr>
          <w:p w14:paraId="56776704"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Agent class</w:t>
            </w:r>
          </w:p>
        </w:tc>
        <w:tc>
          <w:tcPr>
            <w:tcW w:w="1184" w:type="dxa"/>
            <w:tcBorders>
              <w:top w:val="single" w:sz="4" w:space="0" w:color="auto"/>
              <w:bottom w:val="single" w:sz="4" w:space="0" w:color="auto"/>
            </w:tcBorders>
          </w:tcPr>
          <w:p w14:paraId="3DB7EE41"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Agent</w:t>
            </w:r>
          </w:p>
        </w:tc>
        <w:tc>
          <w:tcPr>
            <w:tcW w:w="3402" w:type="dxa"/>
            <w:tcBorders>
              <w:top w:val="single" w:sz="4" w:space="0" w:color="auto"/>
              <w:bottom w:val="single" w:sz="4" w:space="0" w:color="auto"/>
            </w:tcBorders>
          </w:tcPr>
          <w:p w14:paraId="543BF95F"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Mechanism/pathway</w:t>
            </w:r>
          </w:p>
        </w:tc>
        <w:tc>
          <w:tcPr>
            <w:tcW w:w="3025" w:type="dxa"/>
            <w:tcBorders>
              <w:top w:val="single" w:sz="4" w:space="0" w:color="auto"/>
              <w:bottom w:val="single" w:sz="4" w:space="0" w:color="auto"/>
            </w:tcBorders>
          </w:tcPr>
          <w:p w14:paraId="1BDA8F79" w14:textId="5C2B116E"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 xml:space="preserve">Drug </w:t>
            </w:r>
            <w:r w:rsidR="00D85F03" w:rsidRPr="00D85F03">
              <w:rPr>
                <w:rFonts w:ascii="Book Antiqua" w:eastAsia="Times New Roman" w:hAnsi="Book Antiqua" w:cs="Times New Roman"/>
                <w:b/>
                <w:bCs/>
              </w:rPr>
              <w:t>s</w:t>
            </w:r>
            <w:r w:rsidRPr="00D85F03">
              <w:rPr>
                <w:rFonts w:ascii="Book Antiqua" w:eastAsia="Times New Roman" w:hAnsi="Book Antiqua" w:cs="Times New Roman"/>
                <w:b/>
                <w:bCs/>
              </w:rPr>
              <w:t>tage</w:t>
            </w:r>
          </w:p>
        </w:tc>
        <w:tc>
          <w:tcPr>
            <w:tcW w:w="3212" w:type="dxa"/>
            <w:tcBorders>
              <w:top w:val="single" w:sz="4" w:space="0" w:color="auto"/>
              <w:bottom w:val="single" w:sz="4" w:space="0" w:color="auto"/>
            </w:tcBorders>
          </w:tcPr>
          <w:p w14:paraId="2ABEE641"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Efficacy</w:t>
            </w:r>
          </w:p>
        </w:tc>
        <w:tc>
          <w:tcPr>
            <w:tcW w:w="1843" w:type="dxa"/>
            <w:tcBorders>
              <w:top w:val="single" w:sz="4" w:space="0" w:color="auto"/>
              <w:bottom w:val="single" w:sz="4" w:space="0" w:color="auto"/>
            </w:tcBorders>
          </w:tcPr>
          <w:p w14:paraId="78942885" w14:textId="157E5265"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Ref</w:t>
            </w:r>
            <w:r w:rsidR="007207BD">
              <w:rPr>
                <w:rFonts w:ascii="Book Antiqua" w:eastAsia="Times New Roman" w:hAnsi="Book Antiqua" w:cs="Times New Roman"/>
                <w:b/>
                <w:bCs/>
              </w:rPr>
              <w:t>.</w:t>
            </w:r>
          </w:p>
        </w:tc>
      </w:tr>
      <w:tr w:rsidR="00D85F03" w:rsidRPr="00E50D86" w14:paraId="3619C065" w14:textId="77777777" w:rsidTr="007E2E14">
        <w:trPr>
          <w:trHeight w:val="742"/>
        </w:trPr>
        <w:tc>
          <w:tcPr>
            <w:tcW w:w="1476" w:type="dxa"/>
            <w:vMerge w:val="restart"/>
            <w:tcBorders>
              <w:top w:val="single" w:sz="4" w:space="0" w:color="auto"/>
            </w:tcBorders>
          </w:tcPr>
          <w:p w14:paraId="409F8E8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JAK inhibitors</w:t>
            </w:r>
          </w:p>
        </w:tc>
        <w:tc>
          <w:tcPr>
            <w:tcW w:w="1184" w:type="dxa"/>
            <w:vMerge w:val="restart"/>
            <w:tcBorders>
              <w:top w:val="single" w:sz="4" w:space="0" w:color="auto"/>
            </w:tcBorders>
          </w:tcPr>
          <w:p w14:paraId="442C4F0D" w14:textId="7B488D23"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Filgotinib/GLPG0634</w:t>
            </w:r>
          </w:p>
        </w:tc>
        <w:tc>
          <w:tcPr>
            <w:tcW w:w="3402" w:type="dxa"/>
            <w:vMerge w:val="restart"/>
            <w:tcBorders>
              <w:top w:val="single" w:sz="4" w:space="0" w:color="auto"/>
            </w:tcBorders>
          </w:tcPr>
          <w:p w14:paraId="72E1766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Selective JAK1 inhibitor; inhibiting JAK-STAT pathway</w:t>
            </w:r>
          </w:p>
        </w:tc>
        <w:tc>
          <w:tcPr>
            <w:tcW w:w="3025" w:type="dxa"/>
            <w:tcBorders>
              <w:top w:val="single" w:sz="4" w:space="0" w:color="auto"/>
            </w:tcBorders>
          </w:tcPr>
          <w:p w14:paraId="4E88D8C3" w14:textId="30CCCD68" w:rsidR="00E50D86" w:rsidRPr="007E2E14" w:rsidRDefault="00E50D86" w:rsidP="00D144F4">
            <w:pPr>
              <w:snapToGrid w:val="0"/>
              <w:spacing w:line="360" w:lineRule="auto"/>
              <w:jc w:val="both"/>
              <w:rPr>
                <w:rFonts w:ascii="Book Antiqua" w:hAnsi="Book Antiqua" w:cs="Times New Roman"/>
              </w:rPr>
            </w:pPr>
            <w:r w:rsidRPr="00E50D86">
              <w:rPr>
                <w:rFonts w:ascii="Book Antiqua" w:eastAsia="Times New Roman" w:hAnsi="Book Antiqua" w:cs="Times New Roman"/>
              </w:rPr>
              <w:t>Phase 2 clinical studies in patients with CD</w:t>
            </w:r>
          </w:p>
        </w:tc>
        <w:tc>
          <w:tcPr>
            <w:tcW w:w="3212" w:type="dxa"/>
            <w:tcBorders>
              <w:top w:val="single" w:sz="4" w:space="0" w:color="auto"/>
            </w:tcBorders>
          </w:tcPr>
          <w:p w14:paraId="72F08E46"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Filgotinib induced clinical remission in significantly more patients with active CD compared with placebo (47% </w:t>
            </w:r>
            <w:r w:rsidRPr="00D85F03">
              <w:rPr>
                <w:rFonts w:ascii="Book Antiqua" w:eastAsia="Times New Roman" w:hAnsi="Book Antiqua" w:cs="Times New Roman"/>
                <w:i/>
                <w:iCs/>
              </w:rPr>
              <w:t>vs</w:t>
            </w:r>
            <w:r w:rsidRPr="00E50D86">
              <w:rPr>
                <w:rFonts w:ascii="Book Antiqua" w:eastAsia="Times New Roman" w:hAnsi="Book Antiqua" w:cs="Times New Roman"/>
              </w:rPr>
              <w:t xml:space="preserve"> 23%)</w:t>
            </w:r>
          </w:p>
        </w:tc>
        <w:tc>
          <w:tcPr>
            <w:tcW w:w="1843" w:type="dxa"/>
            <w:tcBorders>
              <w:top w:val="single" w:sz="4" w:space="0" w:color="auto"/>
            </w:tcBorders>
          </w:tcPr>
          <w:p w14:paraId="118F00AE" w14:textId="77777777" w:rsidR="00E50D86" w:rsidRPr="00E50D86" w:rsidRDefault="00E50D86" w:rsidP="00D144F4">
            <w:pPr>
              <w:snapToGrid w:val="0"/>
              <w:spacing w:line="360" w:lineRule="auto"/>
              <w:jc w:val="both"/>
              <w:rPr>
                <w:rFonts w:ascii="Book Antiqua" w:eastAsia="宋体" w:hAnsi="Book Antiqua" w:cs="宋体"/>
              </w:rPr>
            </w:pPr>
            <w:r w:rsidRPr="00E50D86">
              <w:rPr>
                <w:rFonts w:ascii="Book Antiqua" w:eastAsia="Times New Roman" w:hAnsi="Book Antiqua" w:cs="Times New Roman"/>
              </w:rPr>
              <w:t>[111]</w:t>
            </w:r>
          </w:p>
        </w:tc>
      </w:tr>
      <w:tr w:rsidR="00D85F03" w:rsidRPr="00E50D86" w14:paraId="66C177EB" w14:textId="77777777" w:rsidTr="007B3CFE">
        <w:trPr>
          <w:trHeight w:val="822"/>
        </w:trPr>
        <w:tc>
          <w:tcPr>
            <w:tcW w:w="1476" w:type="dxa"/>
            <w:vMerge/>
          </w:tcPr>
          <w:p w14:paraId="14F6AA7A" w14:textId="77777777" w:rsidR="00E50D86" w:rsidRPr="00E50D86" w:rsidRDefault="00E50D86" w:rsidP="00D144F4">
            <w:pPr>
              <w:snapToGrid w:val="0"/>
              <w:spacing w:line="360" w:lineRule="auto"/>
              <w:jc w:val="both"/>
              <w:rPr>
                <w:rFonts w:ascii="Book Antiqua" w:hAnsi="Book Antiqua"/>
              </w:rPr>
            </w:pPr>
          </w:p>
        </w:tc>
        <w:tc>
          <w:tcPr>
            <w:tcW w:w="1184" w:type="dxa"/>
            <w:vMerge/>
          </w:tcPr>
          <w:p w14:paraId="55F6BE3F" w14:textId="77777777" w:rsidR="00E50D86" w:rsidRPr="00E50D86" w:rsidRDefault="00E50D86" w:rsidP="00D144F4">
            <w:pPr>
              <w:snapToGrid w:val="0"/>
              <w:spacing w:line="360" w:lineRule="auto"/>
              <w:jc w:val="both"/>
              <w:rPr>
                <w:rFonts w:ascii="Book Antiqua" w:hAnsi="Book Antiqua"/>
              </w:rPr>
            </w:pPr>
          </w:p>
        </w:tc>
        <w:tc>
          <w:tcPr>
            <w:tcW w:w="3402" w:type="dxa"/>
            <w:vMerge/>
          </w:tcPr>
          <w:p w14:paraId="75ED4C01" w14:textId="77777777" w:rsidR="00E50D86" w:rsidRPr="00E50D86" w:rsidRDefault="00E50D86" w:rsidP="00D144F4">
            <w:pPr>
              <w:snapToGrid w:val="0"/>
              <w:spacing w:line="360" w:lineRule="auto"/>
              <w:jc w:val="both"/>
              <w:rPr>
                <w:rFonts w:ascii="Book Antiqua" w:hAnsi="Book Antiqua"/>
              </w:rPr>
            </w:pPr>
          </w:p>
        </w:tc>
        <w:tc>
          <w:tcPr>
            <w:tcW w:w="3025" w:type="dxa"/>
          </w:tcPr>
          <w:p w14:paraId="2B89A964" w14:textId="3BF0ECBE" w:rsidR="00E50D86" w:rsidRPr="007E2E14" w:rsidRDefault="00E50D86" w:rsidP="00D144F4">
            <w:pPr>
              <w:snapToGrid w:val="0"/>
              <w:spacing w:line="360" w:lineRule="auto"/>
              <w:jc w:val="both"/>
              <w:rPr>
                <w:rFonts w:ascii="Book Antiqua" w:hAnsi="Book Antiqua" w:cs="Times New Roman"/>
              </w:rPr>
            </w:pPr>
            <w:r w:rsidRPr="00E50D86">
              <w:rPr>
                <w:rFonts w:ascii="Book Antiqua" w:eastAsia="Times New Roman" w:hAnsi="Book Antiqua" w:cs="Times New Roman"/>
              </w:rPr>
              <w:t>Phase 3 clinical studies</w:t>
            </w:r>
          </w:p>
        </w:tc>
        <w:tc>
          <w:tcPr>
            <w:tcW w:w="3212" w:type="dxa"/>
          </w:tcPr>
          <w:p w14:paraId="5B3431E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Recruiting or finished without result disclosure</w:t>
            </w:r>
          </w:p>
        </w:tc>
        <w:tc>
          <w:tcPr>
            <w:tcW w:w="1843" w:type="dxa"/>
          </w:tcPr>
          <w:p w14:paraId="1BE62260" w14:textId="5A975685"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NCT02914600</w:t>
            </w:r>
            <w:r w:rsidR="00D85F03">
              <w:rPr>
                <w:rFonts w:ascii="Book Antiqua" w:hAnsi="Book Antiqua" w:cs="Times New Roman" w:hint="eastAsia"/>
              </w:rPr>
              <w:t>,</w:t>
            </w:r>
            <w:r w:rsidR="00D85F03">
              <w:rPr>
                <w:rFonts w:ascii="Book Antiqua" w:hAnsi="Book Antiqua" w:cs="Times New Roman"/>
              </w:rPr>
              <w:t xml:space="preserve"> </w:t>
            </w:r>
            <w:r w:rsidRPr="00E50D86">
              <w:rPr>
                <w:rFonts w:ascii="Book Antiqua" w:eastAsia="Times New Roman" w:hAnsi="Book Antiqua" w:cs="Times New Roman"/>
              </w:rPr>
              <w:t>NCT02914561</w:t>
            </w:r>
            <w:r w:rsidR="00D85F03">
              <w:rPr>
                <w:rFonts w:ascii="Book Antiqua" w:hAnsi="Book Antiqua" w:cs="Times New Roman" w:hint="eastAsia"/>
              </w:rPr>
              <w:t>,</w:t>
            </w:r>
            <w:r w:rsidR="00D85F03">
              <w:rPr>
                <w:rFonts w:ascii="Book Antiqua" w:hAnsi="Book Antiqua" w:cs="Times New Roman"/>
              </w:rPr>
              <w:t xml:space="preserve"> </w:t>
            </w:r>
            <w:r w:rsidRPr="00E50D86">
              <w:rPr>
                <w:rFonts w:ascii="Book Antiqua" w:eastAsia="Times New Roman" w:hAnsi="Book Antiqua" w:cs="Times New Roman"/>
              </w:rPr>
              <w:t>NCT02048618</w:t>
            </w:r>
          </w:p>
        </w:tc>
      </w:tr>
      <w:tr w:rsidR="00D85F03" w:rsidRPr="00E50D86" w14:paraId="566F069B" w14:textId="77777777" w:rsidTr="007B3CFE">
        <w:trPr>
          <w:trHeight w:val="425"/>
        </w:trPr>
        <w:tc>
          <w:tcPr>
            <w:tcW w:w="1476" w:type="dxa"/>
            <w:vMerge/>
            <w:tcBorders>
              <w:bottom w:val="nil"/>
            </w:tcBorders>
          </w:tcPr>
          <w:p w14:paraId="2722514F" w14:textId="77777777" w:rsidR="00E50D86" w:rsidRPr="00E50D86" w:rsidRDefault="00E50D86" w:rsidP="00D144F4">
            <w:pPr>
              <w:snapToGrid w:val="0"/>
              <w:spacing w:line="360" w:lineRule="auto"/>
              <w:jc w:val="both"/>
              <w:rPr>
                <w:rFonts w:ascii="Book Antiqua" w:hAnsi="Book Antiqua"/>
              </w:rPr>
            </w:pPr>
          </w:p>
        </w:tc>
        <w:tc>
          <w:tcPr>
            <w:tcW w:w="1184" w:type="dxa"/>
            <w:tcBorders>
              <w:bottom w:val="nil"/>
            </w:tcBorders>
          </w:tcPr>
          <w:p w14:paraId="6A95FC7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MT-1303</w:t>
            </w:r>
          </w:p>
        </w:tc>
        <w:tc>
          <w:tcPr>
            <w:tcW w:w="3402" w:type="dxa"/>
            <w:tcBorders>
              <w:bottom w:val="nil"/>
            </w:tcBorders>
          </w:tcPr>
          <w:p w14:paraId="170461D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Selective JAK1 inhibitor; inhibiting JAK-STAT pathway</w:t>
            </w:r>
          </w:p>
        </w:tc>
        <w:tc>
          <w:tcPr>
            <w:tcW w:w="3025" w:type="dxa"/>
            <w:tcBorders>
              <w:bottom w:val="nil"/>
            </w:tcBorders>
          </w:tcPr>
          <w:p w14:paraId="1E2A367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Phase II, open-label, multicenter studies for moderate to severe active CD</w:t>
            </w:r>
          </w:p>
        </w:tc>
        <w:tc>
          <w:tcPr>
            <w:tcW w:w="3212" w:type="dxa"/>
            <w:tcBorders>
              <w:bottom w:val="nil"/>
            </w:tcBorders>
          </w:tcPr>
          <w:p w14:paraId="547775E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Finished without results disclosure</w:t>
            </w:r>
          </w:p>
        </w:tc>
        <w:tc>
          <w:tcPr>
            <w:tcW w:w="1843" w:type="dxa"/>
            <w:tcBorders>
              <w:bottom w:val="nil"/>
            </w:tcBorders>
          </w:tcPr>
          <w:p w14:paraId="2DA96406" w14:textId="0368A801"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NCT02389790</w:t>
            </w:r>
            <w:r w:rsidR="00D85F03">
              <w:rPr>
                <w:rFonts w:ascii="Book Antiqua" w:hAnsi="Book Antiqua" w:cs="Times New Roman" w:hint="eastAsia"/>
              </w:rPr>
              <w:t>,</w:t>
            </w:r>
            <w:r w:rsidR="00D85F03">
              <w:rPr>
                <w:rFonts w:ascii="Book Antiqua" w:hAnsi="Book Antiqua" w:cs="Times New Roman"/>
              </w:rPr>
              <w:t xml:space="preserve"> </w:t>
            </w:r>
            <w:r w:rsidRPr="00E50D86">
              <w:rPr>
                <w:rFonts w:ascii="Book Antiqua" w:eastAsia="Times New Roman" w:hAnsi="Book Antiqua" w:cs="Times New Roman"/>
              </w:rPr>
              <w:t>NCT02378688</w:t>
            </w:r>
          </w:p>
        </w:tc>
      </w:tr>
      <w:tr w:rsidR="00D85F03" w:rsidRPr="00E50D86" w14:paraId="1B5F6B93" w14:textId="77777777" w:rsidTr="007B3CFE">
        <w:trPr>
          <w:trHeight w:val="425"/>
        </w:trPr>
        <w:tc>
          <w:tcPr>
            <w:tcW w:w="1476" w:type="dxa"/>
            <w:vMerge/>
            <w:tcBorders>
              <w:top w:val="nil"/>
              <w:bottom w:val="nil"/>
            </w:tcBorders>
          </w:tcPr>
          <w:p w14:paraId="7C5D4CA2" w14:textId="77777777" w:rsidR="00E50D86" w:rsidRPr="00E50D86" w:rsidRDefault="00E50D86" w:rsidP="00D144F4">
            <w:pPr>
              <w:snapToGrid w:val="0"/>
              <w:spacing w:line="360" w:lineRule="auto"/>
              <w:jc w:val="both"/>
              <w:rPr>
                <w:rFonts w:ascii="Book Antiqua" w:hAnsi="Book Antiqua"/>
              </w:rPr>
            </w:pPr>
          </w:p>
        </w:tc>
        <w:tc>
          <w:tcPr>
            <w:tcW w:w="1184" w:type="dxa"/>
            <w:tcBorders>
              <w:top w:val="nil"/>
              <w:bottom w:val="nil"/>
            </w:tcBorders>
          </w:tcPr>
          <w:p w14:paraId="2251EB6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Upadacitinib</w:t>
            </w:r>
            <w:r w:rsidRPr="00E50D86">
              <w:rPr>
                <w:rFonts w:ascii="Book Antiqua" w:eastAsia="Times New Roman" w:hAnsi="Book Antiqua" w:cs="Times New Roman"/>
                <w:vertAlign w:val="superscript"/>
              </w:rPr>
              <w:t>1</w:t>
            </w:r>
          </w:p>
        </w:tc>
        <w:tc>
          <w:tcPr>
            <w:tcW w:w="3402" w:type="dxa"/>
            <w:tcBorders>
              <w:top w:val="nil"/>
              <w:bottom w:val="nil"/>
            </w:tcBorders>
          </w:tcPr>
          <w:p w14:paraId="3BBF738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Selective JAK1 inhibitor; Inhibiting JAK-STAT pathway</w:t>
            </w:r>
          </w:p>
        </w:tc>
        <w:tc>
          <w:tcPr>
            <w:tcW w:w="3025" w:type="dxa"/>
            <w:tcBorders>
              <w:top w:val="nil"/>
              <w:bottom w:val="nil"/>
            </w:tcBorders>
          </w:tcPr>
          <w:p w14:paraId="3AC0D279"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Multicenter, randomized, double-blind, placebo-controlled induction study of its efficacy and </w:t>
            </w:r>
            <w:r w:rsidRPr="00E50D86">
              <w:rPr>
                <w:rFonts w:ascii="Book Antiqua" w:eastAsia="Times New Roman" w:hAnsi="Book Antiqua" w:cs="Times New Roman"/>
              </w:rPr>
              <w:lastRenderedPageBreak/>
              <w:t>safety in moderate to severe active patients with CD</w:t>
            </w:r>
          </w:p>
        </w:tc>
        <w:tc>
          <w:tcPr>
            <w:tcW w:w="3212" w:type="dxa"/>
            <w:tcBorders>
              <w:top w:val="nil"/>
              <w:bottom w:val="nil"/>
            </w:tcBorders>
          </w:tcPr>
          <w:p w14:paraId="1257352A"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 xml:space="preserve">Upadacitinib induced CDAI remission at week 12 in significantly more patients with active CD </w:t>
            </w:r>
            <w:r w:rsidRPr="00E50D86">
              <w:rPr>
                <w:rFonts w:ascii="Book Antiqua" w:eastAsia="Times New Roman" w:hAnsi="Book Antiqua" w:cs="Times New Roman"/>
              </w:rPr>
              <w:lastRenderedPageBreak/>
              <w:t xml:space="preserve">compared with placebo (49.5% </w:t>
            </w:r>
            <w:r w:rsidRPr="00D85F03">
              <w:rPr>
                <w:rFonts w:ascii="Book Antiqua" w:eastAsia="Times New Roman" w:hAnsi="Book Antiqua" w:cs="Times New Roman"/>
                <w:i/>
                <w:iCs/>
              </w:rPr>
              <w:t>vs</w:t>
            </w:r>
            <w:r w:rsidRPr="00E50D86">
              <w:rPr>
                <w:rFonts w:ascii="Book Antiqua" w:eastAsia="Times New Roman" w:hAnsi="Book Antiqua" w:cs="Times New Roman"/>
              </w:rPr>
              <w:t xml:space="preserve"> 29.1%)</w:t>
            </w:r>
          </w:p>
        </w:tc>
        <w:tc>
          <w:tcPr>
            <w:tcW w:w="1843" w:type="dxa"/>
            <w:tcBorders>
              <w:top w:val="nil"/>
              <w:bottom w:val="nil"/>
            </w:tcBorders>
          </w:tcPr>
          <w:p w14:paraId="19062252" w14:textId="35F9E0AB"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NCT03345849</w:t>
            </w:r>
            <w:r w:rsidR="00D85F03">
              <w:rPr>
                <w:rFonts w:ascii="Book Antiqua" w:hAnsi="Book Antiqua" w:cs="Times New Roman" w:hint="eastAsia"/>
              </w:rPr>
              <w:t>,</w:t>
            </w:r>
            <w:r w:rsidR="00D85F03">
              <w:rPr>
                <w:rFonts w:ascii="Book Antiqua" w:hAnsi="Book Antiqua" w:cs="Times New Roman"/>
              </w:rPr>
              <w:t xml:space="preserve"> </w:t>
            </w:r>
            <w:r w:rsidRPr="00E50D86">
              <w:rPr>
                <w:rFonts w:ascii="Book Antiqua" w:eastAsia="Times New Roman" w:hAnsi="Book Antiqua" w:cs="Times New Roman"/>
              </w:rPr>
              <w:t>NCT03345836</w:t>
            </w:r>
          </w:p>
        </w:tc>
      </w:tr>
      <w:tr w:rsidR="00D85F03" w:rsidRPr="00E50D86" w14:paraId="5DE4483C" w14:textId="77777777" w:rsidTr="007B3CFE">
        <w:trPr>
          <w:trHeight w:val="425"/>
        </w:trPr>
        <w:tc>
          <w:tcPr>
            <w:tcW w:w="1476" w:type="dxa"/>
            <w:vMerge w:val="restart"/>
            <w:tcBorders>
              <w:top w:val="nil"/>
            </w:tcBorders>
          </w:tcPr>
          <w:p w14:paraId="760BF6E0" w14:textId="197D92E4" w:rsidR="00D85F03" w:rsidRPr="00D85F03" w:rsidRDefault="00D85F03" w:rsidP="00D144F4">
            <w:pPr>
              <w:snapToGrid w:val="0"/>
              <w:spacing w:line="360" w:lineRule="auto"/>
              <w:jc w:val="both"/>
              <w:rPr>
                <w:rFonts w:ascii="Book Antiqua" w:hAnsi="Book Antiqua" w:cs="Times New Roman"/>
              </w:rPr>
            </w:pPr>
            <w:r w:rsidRPr="00E50D86">
              <w:rPr>
                <w:rFonts w:ascii="Book Antiqua" w:eastAsia="Times New Roman" w:hAnsi="Book Antiqua" w:cs="Times New Roman"/>
              </w:rPr>
              <w:lastRenderedPageBreak/>
              <w:t>Anti-trafficking</w:t>
            </w:r>
            <w:r>
              <w:rPr>
                <w:rFonts w:ascii="Book Antiqua" w:hAnsi="Book Antiqua" w:cs="Times New Roman" w:hint="eastAsia"/>
              </w:rPr>
              <w:t xml:space="preserve"> </w:t>
            </w:r>
            <w:r w:rsidRPr="00E50D86">
              <w:rPr>
                <w:rFonts w:ascii="Book Antiqua" w:eastAsia="Times New Roman" w:hAnsi="Book Antiqua" w:cs="Times New Roman"/>
              </w:rPr>
              <w:t>therapies: target of adhesion molecules</w:t>
            </w:r>
          </w:p>
        </w:tc>
        <w:tc>
          <w:tcPr>
            <w:tcW w:w="1184" w:type="dxa"/>
            <w:tcBorders>
              <w:top w:val="nil"/>
            </w:tcBorders>
          </w:tcPr>
          <w:p w14:paraId="440AE636"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AS101</w:t>
            </w:r>
          </w:p>
        </w:tc>
        <w:tc>
          <w:tcPr>
            <w:tcW w:w="3402" w:type="dxa"/>
            <w:tcBorders>
              <w:top w:val="nil"/>
            </w:tcBorders>
          </w:tcPr>
          <w:p w14:paraId="712E82C0"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Inhibit lymphocyte trafficking by blocking ligand for α4β</w:t>
            </w:r>
            <w:r w:rsidRPr="00E50D86">
              <w:rPr>
                <w:rFonts w:ascii="Book Antiqua" w:eastAsia="Times New Roman" w:hAnsi="Book Antiqua" w:cs="Times New Roman"/>
              </w:rPr>
              <w:br w:type="page"/>
              <w:t xml:space="preserve">7 integrin, MAdCAM-1 and Il-1β. Regulate the intestinal epithelial barrier by the PI3K/AKT pathway </w:t>
            </w:r>
          </w:p>
        </w:tc>
        <w:tc>
          <w:tcPr>
            <w:tcW w:w="3025" w:type="dxa"/>
            <w:tcBorders>
              <w:top w:val="nil"/>
            </w:tcBorders>
          </w:tcPr>
          <w:p w14:paraId="205AF77D"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3212" w:type="dxa"/>
            <w:tcBorders>
              <w:top w:val="nil"/>
            </w:tcBorders>
          </w:tcPr>
          <w:p w14:paraId="5CD53413"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Suppressed colitis with reduced colonic inflammatory cytokine levels, reduced histopathology score and fewer clinical symptoms</w:t>
            </w:r>
          </w:p>
        </w:tc>
        <w:tc>
          <w:tcPr>
            <w:tcW w:w="1843" w:type="dxa"/>
            <w:tcBorders>
              <w:top w:val="nil"/>
            </w:tcBorders>
          </w:tcPr>
          <w:p w14:paraId="7A3BA98C"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[112]</w:t>
            </w:r>
          </w:p>
        </w:tc>
      </w:tr>
      <w:tr w:rsidR="00D85F03" w:rsidRPr="00E50D86" w14:paraId="5CEFD145" w14:textId="77777777" w:rsidTr="007E2E14">
        <w:trPr>
          <w:trHeight w:val="425"/>
        </w:trPr>
        <w:tc>
          <w:tcPr>
            <w:tcW w:w="1476" w:type="dxa"/>
            <w:vMerge/>
          </w:tcPr>
          <w:p w14:paraId="19B400B0" w14:textId="77777777" w:rsidR="00D85F03" w:rsidRPr="00E50D86" w:rsidRDefault="00D85F03" w:rsidP="00D144F4">
            <w:pPr>
              <w:snapToGrid w:val="0"/>
              <w:spacing w:line="360" w:lineRule="auto"/>
              <w:jc w:val="both"/>
              <w:rPr>
                <w:rFonts w:ascii="Book Antiqua" w:hAnsi="Book Antiqua"/>
              </w:rPr>
            </w:pPr>
          </w:p>
        </w:tc>
        <w:tc>
          <w:tcPr>
            <w:tcW w:w="1184" w:type="dxa"/>
          </w:tcPr>
          <w:p w14:paraId="298B2014"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shd w:val="clear" w:color="auto" w:fill="FFFFFF"/>
              </w:rPr>
              <w:t>Vedolizumab</w:t>
            </w:r>
          </w:p>
        </w:tc>
        <w:tc>
          <w:tcPr>
            <w:tcW w:w="3402" w:type="dxa"/>
          </w:tcPr>
          <w:p w14:paraId="595A6553"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Inhibit lymphocyte trafficking by block the ligand for α4β7 integrin, MAdCAM-1</w:t>
            </w:r>
          </w:p>
        </w:tc>
        <w:tc>
          <w:tcPr>
            <w:tcW w:w="3025" w:type="dxa"/>
          </w:tcPr>
          <w:p w14:paraId="7BEDF49E"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Induction and maintenance study for active CD</w:t>
            </w:r>
          </w:p>
        </w:tc>
        <w:tc>
          <w:tcPr>
            <w:tcW w:w="3212" w:type="dxa"/>
          </w:tcPr>
          <w:p w14:paraId="72CE5EEF" w14:textId="1ABBF8BD"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The rate of clinical remission is significantly higher in treatment group (300</w:t>
            </w:r>
            <w:r>
              <w:rPr>
                <w:rFonts w:ascii="Book Antiqua" w:eastAsia="Times New Roman" w:hAnsi="Book Antiqua" w:cs="Times New Roman"/>
              </w:rPr>
              <w:t xml:space="preserve"> </w:t>
            </w:r>
            <w:r w:rsidRPr="00E50D86">
              <w:rPr>
                <w:rFonts w:ascii="Book Antiqua" w:eastAsia="Times New Roman" w:hAnsi="Book Antiqua" w:cs="Times New Roman"/>
              </w:rPr>
              <w:t>mg) at week 6</w:t>
            </w:r>
          </w:p>
        </w:tc>
        <w:tc>
          <w:tcPr>
            <w:tcW w:w="1843" w:type="dxa"/>
          </w:tcPr>
          <w:p w14:paraId="721CFBAB"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[113]</w:t>
            </w:r>
          </w:p>
        </w:tc>
      </w:tr>
      <w:tr w:rsidR="00D85F03" w:rsidRPr="00E50D86" w14:paraId="09C31C60" w14:textId="77777777" w:rsidTr="007E2E14">
        <w:trPr>
          <w:trHeight w:val="425"/>
        </w:trPr>
        <w:tc>
          <w:tcPr>
            <w:tcW w:w="1476" w:type="dxa"/>
            <w:vMerge/>
          </w:tcPr>
          <w:p w14:paraId="773C3189" w14:textId="77777777" w:rsidR="00D85F03" w:rsidRPr="00E50D86" w:rsidRDefault="00D85F03" w:rsidP="00D144F4">
            <w:pPr>
              <w:snapToGrid w:val="0"/>
              <w:spacing w:line="360" w:lineRule="auto"/>
              <w:jc w:val="both"/>
              <w:rPr>
                <w:rFonts w:ascii="Book Antiqua" w:hAnsi="Book Antiqua"/>
              </w:rPr>
            </w:pPr>
          </w:p>
        </w:tc>
        <w:tc>
          <w:tcPr>
            <w:tcW w:w="1184" w:type="dxa"/>
          </w:tcPr>
          <w:p w14:paraId="5B453D12"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color w:val="000000"/>
              </w:rPr>
              <w:t>Firategrast</w:t>
            </w:r>
          </w:p>
        </w:tc>
        <w:tc>
          <w:tcPr>
            <w:tcW w:w="3402" w:type="dxa"/>
          </w:tcPr>
          <w:p w14:paraId="0A44AF63"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α4β</w:t>
            </w:r>
            <w:r w:rsidRPr="00E50D86">
              <w:rPr>
                <w:rFonts w:ascii="Book Antiqua" w:eastAsia="Times New Roman" w:hAnsi="Book Antiqua" w:cs="Times New Roman"/>
              </w:rPr>
              <w:br w:type="page"/>
              <w:t>7 and α1β</w:t>
            </w:r>
            <w:r w:rsidRPr="00E50D86">
              <w:rPr>
                <w:rFonts w:ascii="Book Antiqua" w:eastAsia="Times New Roman" w:hAnsi="Book Antiqua" w:cs="Times New Roman"/>
              </w:rPr>
              <w:br w:type="page"/>
              <w:t>7 inhibitor</w:t>
            </w:r>
          </w:p>
        </w:tc>
        <w:tc>
          <w:tcPr>
            <w:tcW w:w="3025" w:type="dxa"/>
          </w:tcPr>
          <w:p w14:paraId="08092643"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Randomized, double-blind, placebo-controlled, parallel-group study</w:t>
            </w:r>
          </w:p>
        </w:tc>
        <w:tc>
          <w:tcPr>
            <w:tcW w:w="3212" w:type="dxa"/>
          </w:tcPr>
          <w:p w14:paraId="620D7BC7"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Finished without results disclosure</w:t>
            </w:r>
          </w:p>
        </w:tc>
        <w:tc>
          <w:tcPr>
            <w:tcW w:w="1843" w:type="dxa"/>
          </w:tcPr>
          <w:p w14:paraId="3A527E46"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NCT00101946</w:t>
            </w:r>
          </w:p>
        </w:tc>
      </w:tr>
      <w:tr w:rsidR="00D85F03" w:rsidRPr="00E50D86" w14:paraId="07BDC3FE" w14:textId="77777777" w:rsidTr="007B3CFE">
        <w:trPr>
          <w:trHeight w:val="425"/>
        </w:trPr>
        <w:tc>
          <w:tcPr>
            <w:tcW w:w="1476" w:type="dxa"/>
            <w:vMerge/>
            <w:tcBorders>
              <w:bottom w:val="nil"/>
            </w:tcBorders>
          </w:tcPr>
          <w:p w14:paraId="1D24334B" w14:textId="77777777" w:rsidR="00D85F03" w:rsidRPr="00E50D86" w:rsidRDefault="00D85F03" w:rsidP="00D144F4">
            <w:pPr>
              <w:snapToGrid w:val="0"/>
              <w:spacing w:line="360" w:lineRule="auto"/>
              <w:jc w:val="both"/>
              <w:rPr>
                <w:rFonts w:ascii="Book Antiqua" w:hAnsi="Book Antiqua"/>
              </w:rPr>
            </w:pPr>
          </w:p>
        </w:tc>
        <w:tc>
          <w:tcPr>
            <w:tcW w:w="1184" w:type="dxa"/>
            <w:tcBorders>
              <w:bottom w:val="nil"/>
            </w:tcBorders>
          </w:tcPr>
          <w:p w14:paraId="10D0825D" w14:textId="77777777" w:rsidR="00D85F03" w:rsidRPr="00E50D86" w:rsidRDefault="00D85F03" w:rsidP="00D144F4">
            <w:pPr>
              <w:snapToGrid w:val="0"/>
              <w:spacing w:line="360" w:lineRule="auto"/>
              <w:jc w:val="both"/>
              <w:rPr>
                <w:rFonts w:ascii="Book Antiqua" w:eastAsia="Times New Roman" w:hAnsi="Book Antiqua" w:cs="Times New Roman"/>
                <w:color w:val="000000"/>
              </w:rPr>
            </w:pPr>
            <w:r w:rsidRPr="00E50D86">
              <w:rPr>
                <w:rFonts w:ascii="Book Antiqua" w:eastAsia="Times New Roman" w:hAnsi="Book Antiqua" w:cs="Times New Roman"/>
                <w:color w:val="000000"/>
              </w:rPr>
              <w:t>Abrilumab</w:t>
            </w:r>
          </w:p>
        </w:tc>
        <w:tc>
          <w:tcPr>
            <w:tcW w:w="3402" w:type="dxa"/>
            <w:tcBorders>
              <w:bottom w:val="nil"/>
            </w:tcBorders>
          </w:tcPr>
          <w:p w14:paraId="2A25F384"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Inhibit lymphocyte trafficking by blocking the ligand for α4β</w:t>
            </w:r>
            <w:r w:rsidRPr="00E50D86">
              <w:rPr>
                <w:rFonts w:ascii="Book Antiqua" w:eastAsia="Times New Roman" w:hAnsi="Book Antiqua" w:cs="Times New Roman"/>
              </w:rPr>
              <w:br w:type="page"/>
              <w:t>7 integrin, MAdCAM-1</w:t>
            </w:r>
          </w:p>
        </w:tc>
        <w:tc>
          <w:tcPr>
            <w:tcW w:w="3025" w:type="dxa"/>
            <w:tcBorders>
              <w:bottom w:val="nil"/>
            </w:tcBorders>
          </w:tcPr>
          <w:p w14:paraId="0CFBDE9B"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Phase 1, randomized, double-blind, placebo-controlled, ascending multiple dose study</w:t>
            </w:r>
          </w:p>
        </w:tc>
        <w:tc>
          <w:tcPr>
            <w:tcW w:w="3212" w:type="dxa"/>
            <w:tcBorders>
              <w:bottom w:val="nil"/>
            </w:tcBorders>
          </w:tcPr>
          <w:p w14:paraId="35979702"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Finished without results disclosure</w:t>
            </w:r>
          </w:p>
        </w:tc>
        <w:tc>
          <w:tcPr>
            <w:tcW w:w="1843" w:type="dxa"/>
            <w:tcBorders>
              <w:bottom w:val="nil"/>
            </w:tcBorders>
          </w:tcPr>
          <w:p w14:paraId="1388F222"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NCT01290042</w:t>
            </w:r>
          </w:p>
        </w:tc>
      </w:tr>
      <w:tr w:rsidR="00D85F03" w:rsidRPr="00E50D86" w14:paraId="502F2E43" w14:textId="77777777" w:rsidTr="007B3CFE">
        <w:trPr>
          <w:trHeight w:val="425"/>
        </w:trPr>
        <w:tc>
          <w:tcPr>
            <w:tcW w:w="1476" w:type="dxa"/>
            <w:vMerge/>
            <w:tcBorders>
              <w:top w:val="nil"/>
              <w:bottom w:val="nil"/>
            </w:tcBorders>
          </w:tcPr>
          <w:p w14:paraId="16149F3F" w14:textId="77777777" w:rsidR="00D85F03" w:rsidRPr="00E50D86" w:rsidRDefault="00D85F03" w:rsidP="00D144F4">
            <w:pPr>
              <w:snapToGrid w:val="0"/>
              <w:spacing w:line="360" w:lineRule="auto"/>
              <w:jc w:val="both"/>
              <w:rPr>
                <w:rFonts w:ascii="Book Antiqua" w:hAnsi="Book Antiqua"/>
              </w:rPr>
            </w:pPr>
          </w:p>
        </w:tc>
        <w:tc>
          <w:tcPr>
            <w:tcW w:w="1184" w:type="dxa"/>
            <w:tcBorders>
              <w:top w:val="nil"/>
              <w:bottom w:val="nil"/>
            </w:tcBorders>
          </w:tcPr>
          <w:p w14:paraId="302E01AA"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color w:val="000000"/>
              </w:rPr>
              <w:t>CCX282-B</w:t>
            </w:r>
          </w:p>
        </w:tc>
        <w:tc>
          <w:tcPr>
            <w:tcW w:w="3402" w:type="dxa"/>
            <w:tcBorders>
              <w:top w:val="nil"/>
              <w:bottom w:val="nil"/>
            </w:tcBorders>
          </w:tcPr>
          <w:p w14:paraId="70029F10"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Anti CCR9 and its related Ca</w:t>
            </w:r>
            <w:r w:rsidRPr="00E50D86">
              <w:rPr>
                <w:rFonts w:ascii="Book Antiqua" w:eastAsia="Times New Roman" w:hAnsi="Book Antiqua" w:cs="Times New Roman"/>
                <w:vertAlign w:val="superscript"/>
              </w:rPr>
              <w:t>2+</w:t>
            </w:r>
            <w:r w:rsidRPr="00E50D86">
              <w:rPr>
                <w:rFonts w:ascii="Book Antiqua" w:eastAsia="Times New Roman" w:hAnsi="Book Antiqua" w:cs="Times New Roman"/>
              </w:rPr>
              <w:t xml:space="preserve"> mobilization and inflammatory cell attraction</w:t>
            </w:r>
          </w:p>
        </w:tc>
        <w:tc>
          <w:tcPr>
            <w:tcW w:w="3025" w:type="dxa"/>
            <w:tcBorders>
              <w:top w:val="nil"/>
              <w:bottom w:val="nil"/>
            </w:tcBorders>
          </w:tcPr>
          <w:p w14:paraId="2F9D0D84"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Pilot, double-blind, placebo-controlled, parallel group study </w:t>
            </w:r>
          </w:p>
        </w:tc>
        <w:tc>
          <w:tcPr>
            <w:tcW w:w="3212" w:type="dxa"/>
            <w:tcBorders>
              <w:top w:val="nil"/>
              <w:bottom w:val="nil"/>
            </w:tcBorders>
          </w:tcPr>
          <w:p w14:paraId="371C5F97"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Finished without results disclosure</w:t>
            </w:r>
          </w:p>
        </w:tc>
        <w:tc>
          <w:tcPr>
            <w:tcW w:w="1843" w:type="dxa"/>
            <w:tcBorders>
              <w:top w:val="nil"/>
              <w:bottom w:val="nil"/>
            </w:tcBorders>
          </w:tcPr>
          <w:p w14:paraId="568BE724"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NCT00102921</w:t>
            </w:r>
          </w:p>
        </w:tc>
      </w:tr>
      <w:tr w:rsidR="00D85F03" w:rsidRPr="00E50D86" w14:paraId="4113283B" w14:textId="77777777" w:rsidTr="007B3CFE">
        <w:trPr>
          <w:trHeight w:val="385"/>
        </w:trPr>
        <w:tc>
          <w:tcPr>
            <w:tcW w:w="1476" w:type="dxa"/>
            <w:vMerge/>
            <w:tcBorders>
              <w:top w:val="nil"/>
            </w:tcBorders>
          </w:tcPr>
          <w:p w14:paraId="3D0EA68B" w14:textId="77777777" w:rsidR="00D85F03" w:rsidRPr="00E50D86" w:rsidRDefault="00D85F03" w:rsidP="00D144F4">
            <w:pPr>
              <w:snapToGrid w:val="0"/>
              <w:spacing w:line="360" w:lineRule="auto"/>
              <w:jc w:val="both"/>
              <w:rPr>
                <w:rFonts w:ascii="Book Antiqua" w:hAnsi="Book Antiqua"/>
              </w:rPr>
            </w:pPr>
          </w:p>
        </w:tc>
        <w:tc>
          <w:tcPr>
            <w:tcW w:w="1184" w:type="dxa"/>
            <w:vMerge w:val="restart"/>
            <w:tcBorders>
              <w:top w:val="nil"/>
            </w:tcBorders>
          </w:tcPr>
          <w:p w14:paraId="7617F30B"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Risankizumab</w:t>
            </w:r>
          </w:p>
        </w:tc>
        <w:tc>
          <w:tcPr>
            <w:tcW w:w="3402" w:type="dxa"/>
            <w:vMerge w:val="restart"/>
            <w:tcBorders>
              <w:top w:val="nil"/>
            </w:tcBorders>
          </w:tcPr>
          <w:p w14:paraId="0FD3D0F4"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Monoclonal antibody against the p19 subunit of IL-23</w:t>
            </w:r>
          </w:p>
        </w:tc>
        <w:tc>
          <w:tcPr>
            <w:tcW w:w="3025" w:type="dxa"/>
            <w:vMerge w:val="restart"/>
            <w:tcBorders>
              <w:top w:val="nil"/>
            </w:tcBorders>
          </w:tcPr>
          <w:p w14:paraId="4C03E01B"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Phase 2 clinical studies in patients with CD </w:t>
            </w:r>
          </w:p>
        </w:tc>
        <w:tc>
          <w:tcPr>
            <w:tcW w:w="3212" w:type="dxa"/>
            <w:vMerge w:val="restart"/>
            <w:tcBorders>
              <w:top w:val="nil"/>
            </w:tcBorders>
          </w:tcPr>
          <w:p w14:paraId="4BB93FE1"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Effective in clinical remission, response, and endoscopic remission at week 12 compared to placebo</w:t>
            </w:r>
          </w:p>
        </w:tc>
        <w:tc>
          <w:tcPr>
            <w:tcW w:w="1843" w:type="dxa"/>
            <w:tcBorders>
              <w:top w:val="nil"/>
            </w:tcBorders>
          </w:tcPr>
          <w:p w14:paraId="1C63F0A2" w14:textId="54D5837D"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[114,115]</w:t>
            </w:r>
          </w:p>
        </w:tc>
      </w:tr>
      <w:tr w:rsidR="00D85F03" w:rsidRPr="00E50D86" w14:paraId="5D14BD45" w14:textId="77777777" w:rsidTr="007B3CFE">
        <w:trPr>
          <w:trHeight w:val="762"/>
        </w:trPr>
        <w:tc>
          <w:tcPr>
            <w:tcW w:w="1476" w:type="dxa"/>
            <w:vMerge/>
          </w:tcPr>
          <w:p w14:paraId="5FC5F4EC" w14:textId="77777777" w:rsidR="00D85F03" w:rsidRPr="00E50D86" w:rsidRDefault="00D85F03" w:rsidP="00D144F4">
            <w:pPr>
              <w:snapToGrid w:val="0"/>
              <w:spacing w:line="360" w:lineRule="auto"/>
              <w:jc w:val="both"/>
              <w:rPr>
                <w:rFonts w:ascii="Book Antiqua" w:hAnsi="Book Antiqua"/>
              </w:rPr>
            </w:pPr>
          </w:p>
        </w:tc>
        <w:tc>
          <w:tcPr>
            <w:tcW w:w="1184" w:type="dxa"/>
            <w:vMerge/>
          </w:tcPr>
          <w:p w14:paraId="4851FAAB" w14:textId="77777777" w:rsidR="00D85F03" w:rsidRPr="00E50D86" w:rsidRDefault="00D85F03" w:rsidP="00D144F4">
            <w:pPr>
              <w:snapToGrid w:val="0"/>
              <w:spacing w:line="360" w:lineRule="auto"/>
              <w:jc w:val="both"/>
              <w:rPr>
                <w:rFonts w:ascii="Book Antiqua" w:eastAsia="Times New Roman" w:hAnsi="Book Antiqua"/>
              </w:rPr>
            </w:pPr>
          </w:p>
        </w:tc>
        <w:tc>
          <w:tcPr>
            <w:tcW w:w="3402" w:type="dxa"/>
            <w:vMerge/>
          </w:tcPr>
          <w:p w14:paraId="0C0A5268" w14:textId="77777777" w:rsidR="00D85F03" w:rsidRPr="00E50D86" w:rsidRDefault="00D85F03" w:rsidP="00D144F4">
            <w:pPr>
              <w:snapToGrid w:val="0"/>
              <w:spacing w:line="360" w:lineRule="auto"/>
              <w:jc w:val="both"/>
              <w:rPr>
                <w:rFonts w:ascii="Book Antiqua" w:eastAsia="Times New Roman" w:hAnsi="Book Antiqua"/>
              </w:rPr>
            </w:pPr>
          </w:p>
        </w:tc>
        <w:tc>
          <w:tcPr>
            <w:tcW w:w="3025" w:type="dxa"/>
            <w:vMerge/>
          </w:tcPr>
          <w:p w14:paraId="030822EC" w14:textId="77777777" w:rsidR="00D85F03" w:rsidRPr="00E50D86" w:rsidRDefault="00D85F03" w:rsidP="00D144F4">
            <w:pPr>
              <w:snapToGrid w:val="0"/>
              <w:spacing w:line="360" w:lineRule="auto"/>
              <w:jc w:val="both"/>
              <w:rPr>
                <w:rFonts w:ascii="Book Antiqua" w:eastAsia="Times New Roman" w:hAnsi="Book Antiqua"/>
              </w:rPr>
            </w:pPr>
          </w:p>
        </w:tc>
        <w:tc>
          <w:tcPr>
            <w:tcW w:w="3212" w:type="dxa"/>
            <w:vMerge/>
          </w:tcPr>
          <w:p w14:paraId="6A30619E" w14:textId="77777777" w:rsidR="00D85F03" w:rsidRPr="00E50D86" w:rsidRDefault="00D85F03" w:rsidP="00D144F4">
            <w:pPr>
              <w:snapToGrid w:val="0"/>
              <w:spacing w:line="360" w:lineRule="auto"/>
              <w:jc w:val="both"/>
              <w:rPr>
                <w:rFonts w:ascii="Book Antiqua" w:eastAsia="Times New Roman" w:hAnsi="Book Antiqua"/>
              </w:rPr>
            </w:pPr>
          </w:p>
        </w:tc>
        <w:tc>
          <w:tcPr>
            <w:tcW w:w="1843" w:type="dxa"/>
          </w:tcPr>
          <w:p w14:paraId="5D1DD8D8" w14:textId="77777777" w:rsidR="00D85F03" w:rsidRPr="00E50D86" w:rsidRDefault="00D85F03" w:rsidP="00D85F03">
            <w:pPr>
              <w:snapToGrid w:val="0"/>
              <w:spacing w:line="360" w:lineRule="auto"/>
              <w:jc w:val="both"/>
              <w:rPr>
                <w:rFonts w:ascii="Book Antiqua" w:eastAsia="Times New Roman" w:hAnsi="Book Antiqua"/>
              </w:rPr>
            </w:pPr>
            <w:r w:rsidRPr="00E50D86">
              <w:rPr>
                <w:rFonts w:ascii="Book Antiqua" w:eastAsia="Times New Roman" w:hAnsi="Book Antiqua" w:cs="Times New Roman"/>
              </w:rPr>
              <w:t>NCT03105128</w:t>
            </w:r>
          </w:p>
        </w:tc>
      </w:tr>
      <w:tr w:rsidR="00D85F03" w:rsidRPr="00E50D86" w14:paraId="02DBA874" w14:textId="77777777" w:rsidTr="007E2E14">
        <w:trPr>
          <w:trHeight w:val="425"/>
        </w:trPr>
        <w:tc>
          <w:tcPr>
            <w:tcW w:w="1476" w:type="dxa"/>
            <w:vMerge w:val="restart"/>
          </w:tcPr>
          <w:p w14:paraId="16FB2DD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IL-23 inhibitors</w:t>
            </w:r>
          </w:p>
        </w:tc>
        <w:tc>
          <w:tcPr>
            <w:tcW w:w="1184" w:type="dxa"/>
          </w:tcPr>
          <w:p w14:paraId="3D1937E4"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Ustekinumab</w:t>
            </w:r>
          </w:p>
        </w:tc>
        <w:tc>
          <w:tcPr>
            <w:tcW w:w="3402" w:type="dxa"/>
          </w:tcPr>
          <w:p w14:paraId="0B81E991"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Monoclonal antibody against p40 subunit of IL-12/IL-23</w:t>
            </w:r>
          </w:p>
        </w:tc>
        <w:tc>
          <w:tcPr>
            <w:tcW w:w="3025" w:type="dxa"/>
          </w:tcPr>
          <w:p w14:paraId="11EA1AF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Induction and maintenance study for active CD</w:t>
            </w:r>
          </w:p>
        </w:tc>
        <w:tc>
          <w:tcPr>
            <w:tcW w:w="3212" w:type="dxa"/>
          </w:tcPr>
          <w:p w14:paraId="5D18836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Rate of response was significantly higher in treatment group (dosage as 130 mg or 6 mg/kg) in both UNITI 1 and UNITI</w:t>
            </w:r>
          </w:p>
        </w:tc>
        <w:tc>
          <w:tcPr>
            <w:tcW w:w="1843" w:type="dxa"/>
          </w:tcPr>
          <w:p w14:paraId="10756621"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hAnsi="Book Antiqua" w:cs="Times New Roman"/>
              </w:rPr>
              <w:t>[116]</w:t>
            </w:r>
          </w:p>
        </w:tc>
      </w:tr>
      <w:tr w:rsidR="00D85F03" w:rsidRPr="00E50D86" w14:paraId="05B999C2" w14:textId="77777777" w:rsidTr="007E2E14">
        <w:trPr>
          <w:trHeight w:val="425"/>
        </w:trPr>
        <w:tc>
          <w:tcPr>
            <w:tcW w:w="1476" w:type="dxa"/>
            <w:vMerge/>
          </w:tcPr>
          <w:p w14:paraId="3FDA20EA" w14:textId="77777777" w:rsidR="00E50D86" w:rsidRPr="00E50D86" w:rsidRDefault="00E50D86" w:rsidP="00D144F4">
            <w:pPr>
              <w:snapToGrid w:val="0"/>
              <w:spacing w:line="360" w:lineRule="auto"/>
              <w:jc w:val="both"/>
              <w:rPr>
                <w:rFonts w:ascii="Book Antiqua" w:hAnsi="Book Antiqua"/>
              </w:rPr>
            </w:pPr>
          </w:p>
        </w:tc>
        <w:tc>
          <w:tcPr>
            <w:tcW w:w="1184" w:type="dxa"/>
          </w:tcPr>
          <w:p w14:paraId="2E2D826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Brazikumab</w:t>
            </w:r>
          </w:p>
        </w:tc>
        <w:tc>
          <w:tcPr>
            <w:tcW w:w="3402" w:type="dxa"/>
          </w:tcPr>
          <w:p w14:paraId="22EFBE1F"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Monoclonal antibody against the p19 subunit of IL-23</w:t>
            </w:r>
          </w:p>
        </w:tc>
        <w:tc>
          <w:tcPr>
            <w:tcW w:w="3025" w:type="dxa"/>
          </w:tcPr>
          <w:p w14:paraId="625D80E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Phase 1 clinical trial in healthy people</w:t>
            </w:r>
          </w:p>
        </w:tc>
        <w:tc>
          <w:tcPr>
            <w:tcW w:w="3212" w:type="dxa"/>
          </w:tcPr>
          <w:p w14:paraId="38270F5C"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Finished without results disclosure</w:t>
            </w:r>
          </w:p>
        </w:tc>
        <w:tc>
          <w:tcPr>
            <w:tcW w:w="1843" w:type="dxa"/>
          </w:tcPr>
          <w:p w14:paraId="4D851669" w14:textId="77777777" w:rsidR="00E50D86" w:rsidRPr="00E50D86" w:rsidRDefault="00E50D86" w:rsidP="00D144F4">
            <w:pPr>
              <w:snapToGrid w:val="0"/>
              <w:spacing w:line="360" w:lineRule="auto"/>
              <w:jc w:val="both"/>
              <w:rPr>
                <w:rFonts w:ascii="Book Antiqua" w:hAnsi="Book Antiqua" w:cs="Times New Roman"/>
              </w:rPr>
            </w:pPr>
            <w:r w:rsidRPr="00E50D86">
              <w:rPr>
                <w:rFonts w:ascii="Book Antiqua" w:eastAsia="Times New Roman" w:hAnsi="Book Antiqua" w:cs="Times New Roman"/>
              </w:rPr>
              <w:t>NCT05033431</w:t>
            </w:r>
          </w:p>
        </w:tc>
      </w:tr>
      <w:tr w:rsidR="00D87BA4" w:rsidRPr="00E50D86" w14:paraId="04EF19CA" w14:textId="77777777" w:rsidTr="007E2E14">
        <w:trPr>
          <w:trHeight w:val="425"/>
        </w:trPr>
        <w:tc>
          <w:tcPr>
            <w:tcW w:w="1476" w:type="dxa"/>
          </w:tcPr>
          <w:p w14:paraId="672A9457" w14:textId="77777777" w:rsidR="00D87BA4" w:rsidRPr="00D85F03" w:rsidRDefault="00D87BA4" w:rsidP="00D87BA4">
            <w:pPr>
              <w:snapToGrid w:val="0"/>
              <w:spacing w:line="360" w:lineRule="auto"/>
              <w:jc w:val="both"/>
              <w:rPr>
                <w:rFonts w:ascii="Book Antiqua" w:eastAsia="Times New Roman" w:hAnsi="Book Antiqua" w:cs="Times New Roman"/>
                <w:highlight w:val="yellow"/>
              </w:rPr>
            </w:pPr>
            <w:r w:rsidRPr="00B87682">
              <w:rPr>
                <w:rFonts w:ascii="Book Antiqua" w:eastAsia="Times New Roman" w:hAnsi="Book Antiqua" w:cs="Times New Roman"/>
              </w:rPr>
              <w:t>Other IL inhibitors</w:t>
            </w:r>
          </w:p>
        </w:tc>
        <w:tc>
          <w:tcPr>
            <w:tcW w:w="1184" w:type="dxa"/>
          </w:tcPr>
          <w:p w14:paraId="6789B754" w14:textId="5B198792" w:rsidR="00D87BA4" w:rsidRPr="00D85F03" w:rsidRDefault="00D87BA4" w:rsidP="00D87BA4">
            <w:pPr>
              <w:snapToGrid w:val="0"/>
              <w:spacing w:line="360" w:lineRule="auto"/>
              <w:jc w:val="both"/>
              <w:rPr>
                <w:rFonts w:ascii="Book Antiqua" w:eastAsia="Times New Roman" w:hAnsi="Book Antiqua" w:cs="Times New Roman"/>
                <w:highlight w:val="yellow"/>
              </w:rPr>
            </w:pPr>
            <w:r w:rsidRPr="00E50D86">
              <w:rPr>
                <w:rFonts w:ascii="Book Antiqua" w:eastAsia="Times New Roman" w:hAnsi="Book Antiqua" w:cs="Times New Roman"/>
              </w:rPr>
              <w:t>Semapimod</w:t>
            </w:r>
          </w:p>
        </w:tc>
        <w:tc>
          <w:tcPr>
            <w:tcW w:w="3402" w:type="dxa"/>
          </w:tcPr>
          <w:p w14:paraId="294AF6AC" w14:textId="1C45FCB8" w:rsidR="00D87BA4" w:rsidRPr="00D85F03" w:rsidRDefault="00D87BA4" w:rsidP="00D87BA4">
            <w:pPr>
              <w:snapToGrid w:val="0"/>
              <w:spacing w:line="360" w:lineRule="auto"/>
              <w:jc w:val="both"/>
              <w:rPr>
                <w:rFonts w:ascii="Book Antiqua" w:eastAsia="Times New Roman" w:hAnsi="Book Antiqua" w:cs="Times New Roman"/>
                <w:highlight w:val="yellow"/>
              </w:rPr>
            </w:pPr>
            <w:r w:rsidRPr="00E50D86">
              <w:rPr>
                <w:rFonts w:ascii="Book Antiqua" w:eastAsia="Times New Roman" w:hAnsi="Book Antiqua" w:cs="Times New Roman"/>
              </w:rPr>
              <w:t>IL-1β/IL-6 inhibitors</w:t>
            </w:r>
          </w:p>
        </w:tc>
        <w:tc>
          <w:tcPr>
            <w:tcW w:w="3025" w:type="dxa"/>
          </w:tcPr>
          <w:p w14:paraId="3BE5E034" w14:textId="7A705267" w:rsidR="00D87BA4" w:rsidRPr="00D85F03" w:rsidRDefault="00D87BA4" w:rsidP="00D87BA4">
            <w:pPr>
              <w:snapToGrid w:val="0"/>
              <w:spacing w:line="360" w:lineRule="auto"/>
              <w:jc w:val="both"/>
              <w:rPr>
                <w:rFonts w:ascii="Book Antiqua" w:eastAsia="Times New Roman" w:hAnsi="Book Antiqua" w:cs="Times New Roman"/>
                <w:highlight w:val="yellow"/>
              </w:rPr>
            </w:pPr>
            <w:r w:rsidRPr="00E50D86">
              <w:rPr>
                <w:rFonts w:ascii="Book Antiqua" w:eastAsia="Times New Roman" w:hAnsi="Book Antiqua" w:cs="Times New Roman"/>
              </w:rPr>
              <w:t>Open label single arm study for CD</w:t>
            </w:r>
          </w:p>
        </w:tc>
        <w:tc>
          <w:tcPr>
            <w:tcW w:w="3212" w:type="dxa"/>
          </w:tcPr>
          <w:p w14:paraId="7CD6FBCF" w14:textId="6B6C856B" w:rsidR="00D87BA4" w:rsidRPr="00D85F03" w:rsidRDefault="00D87BA4" w:rsidP="00D87BA4">
            <w:pPr>
              <w:snapToGrid w:val="0"/>
              <w:spacing w:line="360" w:lineRule="auto"/>
              <w:jc w:val="both"/>
              <w:rPr>
                <w:rFonts w:ascii="Book Antiqua" w:eastAsia="Times New Roman" w:hAnsi="Book Antiqua" w:cs="Times New Roman"/>
                <w:highlight w:val="yellow"/>
              </w:rPr>
            </w:pPr>
            <w:r w:rsidRPr="00E50D86">
              <w:rPr>
                <w:rFonts w:ascii="Book Antiqua" w:eastAsia="Times New Roman" w:hAnsi="Book Antiqua" w:cs="Times New Roman"/>
              </w:rPr>
              <w:t>Finished without results disclosure</w:t>
            </w:r>
          </w:p>
        </w:tc>
        <w:tc>
          <w:tcPr>
            <w:tcW w:w="1843" w:type="dxa"/>
          </w:tcPr>
          <w:p w14:paraId="5E873AFE" w14:textId="602F738B" w:rsidR="00D87BA4" w:rsidRPr="00D85F03" w:rsidRDefault="00D87BA4" w:rsidP="00D87BA4">
            <w:pPr>
              <w:snapToGrid w:val="0"/>
              <w:spacing w:line="360" w:lineRule="auto"/>
              <w:jc w:val="both"/>
              <w:rPr>
                <w:rFonts w:ascii="Book Antiqua" w:eastAsia="Times New Roman" w:hAnsi="Book Antiqua" w:cs="Times New Roman"/>
                <w:highlight w:val="yellow"/>
              </w:rPr>
            </w:pPr>
            <w:r w:rsidRPr="00E50D86">
              <w:rPr>
                <w:rFonts w:ascii="Book Antiqua" w:eastAsia="Times New Roman" w:hAnsi="Book Antiqua" w:cs="Times New Roman"/>
              </w:rPr>
              <w:t>NCT00740103</w:t>
            </w:r>
          </w:p>
        </w:tc>
      </w:tr>
    </w:tbl>
    <w:p w14:paraId="24B70653" w14:textId="77777777" w:rsidR="007E2E14" w:rsidRDefault="00E50D86" w:rsidP="00D144F4">
      <w:pPr>
        <w:snapToGrid w:val="0"/>
        <w:spacing w:line="360" w:lineRule="auto"/>
        <w:jc w:val="both"/>
        <w:rPr>
          <w:rFonts w:ascii="Book Antiqua" w:hAnsi="Book Antiqua"/>
          <w:lang w:eastAsia="zh-CN"/>
        </w:rPr>
      </w:pPr>
      <w:r w:rsidRPr="00E50D86">
        <w:rPr>
          <w:rFonts w:ascii="Book Antiqua" w:eastAsia="Times New Roman" w:hAnsi="Book Antiqua"/>
          <w:vertAlign w:val="superscript"/>
        </w:rPr>
        <w:t>1</w:t>
      </w:r>
      <w:r w:rsidRPr="00E50D86">
        <w:rPr>
          <w:rFonts w:ascii="Book Antiqua" w:eastAsia="Times New Roman" w:hAnsi="Book Antiqua"/>
        </w:rPr>
        <w:t xml:space="preserve">There are two clinical trials on upadacitinib from the same leading team but with different designs and recruiting patient numbers. For the word limitations of this article, please refer to the relative number of clinical trials required. </w:t>
      </w:r>
    </w:p>
    <w:p w14:paraId="40492938" w14:textId="2A42EFF1" w:rsidR="00825C93" w:rsidRDefault="00E50D86" w:rsidP="00825C93">
      <w:pPr>
        <w:snapToGrid w:val="0"/>
        <w:spacing w:line="360" w:lineRule="auto"/>
        <w:jc w:val="both"/>
        <w:rPr>
          <w:rFonts w:ascii="Book Antiqua" w:eastAsia="Times New Roman" w:hAnsi="Book Antiqua"/>
        </w:rPr>
      </w:pPr>
      <w:r w:rsidRPr="00E50D86">
        <w:rPr>
          <w:rFonts w:ascii="Book Antiqua" w:eastAsia="Times New Roman" w:hAnsi="Book Antiqua"/>
        </w:rPr>
        <w:t>CD</w:t>
      </w:r>
      <w:r w:rsidR="00D85F03">
        <w:rPr>
          <w:rFonts w:ascii="Book Antiqua" w:eastAsia="Times New Roman" w:hAnsi="Book Antiqua"/>
        </w:rPr>
        <w:t>:</w:t>
      </w:r>
      <w:r w:rsidRPr="00E50D86">
        <w:rPr>
          <w:rFonts w:ascii="Book Antiqua" w:eastAsia="Times New Roman" w:hAnsi="Book Antiqua"/>
        </w:rPr>
        <w:t xml:space="preserve"> Crohn’s disease; CDAI</w:t>
      </w:r>
      <w:r w:rsidR="00D85F03">
        <w:rPr>
          <w:rFonts w:ascii="Book Antiqua" w:eastAsia="Times New Roman" w:hAnsi="Book Antiqua"/>
        </w:rPr>
        <w:t>:</w:t>
      </w:r>
      <w:r w:rsidRPr="00E50D86">
        <w:rPr>
          <w:rFonts w:ascii="Book Antiqua" w:eastAsia="Times New Roman" w:hAnsi="Book Antiqua"/>
        </w:rPr>
        <w:t xml:space="preserve"> Crohn’s disease activity index; IL</w:t>
      </w:r>
      <w:r w:rsidR="00D85F03">
        <w:rPr>
          <w:rFonts w:ascii="Book Antiqua" w:eastAsia="Times New Roman" w:hAnsi="Book Antiqua"/>
        </w:rPr>
        <w:t>:</w:t>
      </w:r>
      <w:r w:rsidRPr="00E50D86">
        <w:rPr>
          <w:rFonts w:ascii="Book Antiqua" w:eastAsia="Times New Roman" w:hAnsi="Book Antiqua"/>
        </w:rPr>
        <w:t xml:space="preserve"> </w:t>
      </w:r>
      <w:r w:rsidR="00D85F03" w:rsidRPr="00E50D86">
        <w:rPr>
          <w:rFonts w:ascii="Book Antiqua" w:eastAsia="Times New Roman" w:hAnsi="Book Antiqua"/>
        </w:rPr>
        <w:t>I</w:t>
      </w:r>
      <w:r w:rsidRPr="00E50D86">
        <w:rPr>
          <w:rFonts w:ascii="Book Antiqua" w:eastAsia="Times New Roman" w:hAnsi="Book Antiqua"/>
        </w:rPr>
        <w:t>nterleukin; JAK</w:t>
      </w:r>
      <w:r w:rsidR="00D85F03">
        <w:rPr>
          <w:rFonts w:ascii="Book Antiqua" w:eastAsia="Times New Roman" w:hAnsi="Book Antiqua"/>
        </w:rPr>
        <w:t>:</w:t>
      </w:r>
      <w:r w:rsidRPr="00E50D86">
        <w:rPr>
          <w:rFonts w:ascii="Book Antiqua" w:eastAsia="Times New Roman" w:hAnsi="Book Antiqua"/>
        </w:rPr>
        <w:t xml:space="preserve"> Janus kinase; MAdCAM</w:t>
      </w:r>
      <w:r w:rsidR="00D85F03">
        <w:rPr>
          <w:rFonts w:ascii="Book Antiqua" w:eastAsia="Times New Roman" w:hAnsi="Book Antiqua"/>
        </w:rPr>
        <w:t>:</w:t>
      </w:r>
      <w:r w:rsidRPr="00E50D86">
        <w:rPr>
          <w:rFonts w:ascii="Book Antiqua" w:eastAsia="Times New Roman" w:hAnsi="Book Antiqua"/>
        </w:rPr>
        <w:t xml:space="preserve"> </w:t>
      </w:r>
      <w:r w:rsidR="00D85F03" w:rsidRPr="00E50D86">
        <w:rPr>
          <w:rFonts w:ascii="Book Antiqua" w:eastAsia="Times New Roman" w:hAnsi="Book Antiqua"/>
        </w:rPr>
        <w:t>M</w:t>
      </w:r>
      <w:r w:rsidRPr="00E50D86">
        <w:rPr>
          <w:rFonts w:ascii="Book Antiqua" w:eastAsia="Times New Roman" w:hAnsi="Book Antiqua"/>
        </w:rPr>
        <w:t>ucosal vascular addressin cell adhesion molecule; PI3K</w:t>
      </w:r>
      <w:r w:rsidR="00D85F03">
        <w:rPr>
          <w:rFonts w:ascii="Book Antiqua" w:eastAsia="Times New Roman" w:hAnsi="Book Antiqua"/>
        </w:rPr>
        <w:t>:</w:t>
      </w:r>
      <w:r w:rsidRPr="00E50D86">
        <w:rPr>
          <w:rFonts w:ascii="Book Antiqua" w:eastAsia="Times New Roman" w:hAnsi="Book Antiqua"/>
        </w:rPr>
        <w:t xml:space="preserve"> </w:t>
      </w:r>
      <w:r w:rsidR="00D85F03" w:rsidRPr="00E50D86">
        <w:rPr>
          <w:rFonts w:ascii="Book Antiqua" w:eastAsia="Times New Roman" w:hAnsi="Book Antiqua"/>
        </w:rPr>
        <w:t>P</w:t>
      </w:r>
      <w:r w:rsidRPr="00E50D86">
        <w:rPr>
          <w:rFonts w:ascii="Book Antiqua" w:eastAsia="Times New Roman" w:hAnsi="Book Antiqua"/>
        </w:rPr>
        <w:t>hosphoinositide 3-kinase.</w:t>
      </w:r>
      <w:bookmarkEnd w:id="185"/>
      <w:r w:rsidR="00825C93">
        <w:rPr>
          <w:rFonts w:ascii="Book Antiqua" w:eastAsia="Times New Roman" w:hAnsi="Book Antiqua"/>
        </w:rPr>
        <w:br w:type="page"/>
      </w:r>
    </w:p>
    <w:p w14:paraId="25DE8174" w14:textId="77777777" w:rsidR="00825C93" w:rsidRDefault="00825C93" w:rsidP="00825C93">
      <w:pPr>
        <w:jc w:val="center"/>
        <w:rPr>
          <w:rFonts w:ascii="Book Antiqua" w:hAnsi="Book Antiqua"/>
        </w:rPr>
      </w:pPr>
    </w:p>
    <w:p w14:paraId="64190DD0" w14:textId="77777777" w:rsidR="00825C93" w:rsidRDefault="00825C93" w:rsidP="00825C93">
      <w:pPr>
        <w:jc w:val="center"/>
        <w:rPr>
          <w:rFonts w:ascii="Book Antiqua" w:hAnsi="Book Antiqua"/>
        </w:rPr>
      </w:pPr>
    </w:p>
    <w:p w14:paraId="3033DA20" w14:textId="77777777" w:rsidR="00825C93" w:rsidRDefault="00825C93" w:rsidP="00825C93">
      <w:pPr>
        <w:jc w:val="center"/>
        <w:rPr>
          <w:rFonts w:ascii="Book Antiqua" w:hAnsi="Book Antiqua"/>
        </w:rPr>
      </w:pPr>
      <w:r>
        <w:rPr>
          <w:rFonts w:ascii="Book Antiqua" w:hAnsi="Book Antiqua"/>
          <w:noProof/>
          <w:lang w:eastAsia="zh-CN"/>
        </w:rPr>
        <w:drawing>
          <wp:inline distT="0" distB="0" distL="0" distR="0" wp14:anchorId="707DDFE9" wp14:editId="2803F3D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43D73D" w14:textId="77777777" w:rsidR="00825C93" w:rsidRDefault="00825C93" w:rsidP="00825C93">
      <w:pPr>
        <w:jc w:val="center"/>
        <w:rPr>
          <w:rFonts w:ascii="Book Antiqua" w:hAnsi="Book Antiqua"/>
        </w:rPr>
      </w:pPr>
    </w:p>
    <w:p w14:paraId="55A5224A" w14:textId="77777777" w:rsidR="00825C93" w:rsidRPr="00763D22" w:rsidRDefault="00825C93" w:rsidP="00825C9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B2156A3" w14:textId="77777777" w:rsidR="00825C93" w:rsidRPr="00763D22" w:rsidRDefault="00825C93" w:rsidP="00825C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057852" w14:textId="77777777" w:rsidR="00825C93" w:rsidRPr="00763D22" w:rsidRDefault="00825C93" w:rsidP="00825C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1E591BF" w14:textId="77777777" w:rsidR="00825C93" w:rsidRPr="00763D22" w:rsidRDefault="00825C93" w:rsidP="00825C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F150974" w14:textId="77777777" w:rsidR="00825C93" w:rsidRPr="00763D22" w:rsidRDefault="00825C93" w:rsidP="00825C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5188266" w14:textId="77777777" w:rsidR="00825C93" w:rsidRPr="00763D22" w:rsidRDefault="00825C93" w:rsidP="00825C9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84F8C66" w14:textId="77777777" w:rsidR="00825C93" w:rsidRDefault="00825C93" w:rsidP="00825C93">
      <w:pPr>
        <w:jc w:val="center"/>
        <w:rPr>
          <w:rFonts w:ascii="Book Antiqua" w:hAnsi="Book Antiqua"/>
        </w:rPr>
      </w:pPr>
    </w:p>
    <w:p w14:paraId="15F9AC3B" w14:textId="77777777" w:rsidR="00825C93" w:rsidRDefault="00825C93" w:rsidP="00825C93">
      <w:pPr>
        <w:jc w:val="center"/>
        <w:rPr>
          <w:rFonts w:ascii="Book Antiqua" w:hAnsi="Book Antiqua"/>
        </w:rPr>
      </w:pPr>
    </w:p>
    <w:p w14:paraId="2650FE85" w14:textId="77777777" w:rsidR="00825C93" w:rsidRDefault="00825C93" w:rsidP="00825C93">
      <w:pPr>
        <w:jc w:val="center"/>
        <w:rPr>
          <w:rFonts w:ascii="Book Antiqua" w:hAnsi="Book Antiqua"/>
        </w:rPr>
      </w:pPr>
      <w:r>
        <w:rPr>
          <w:rFonts w:ascii="Book Antiqua" w:hAnsi="Book Antiqua"/>
          <w:noProof/>
          <w:lang w:eastAsia="zh-CN"/>
        </w:rPr>
        <w:drawing>
          <wp:inline distT="0" distB="0" distL="0" distR="0" wp14:anchorId="3AAE653C" wp14:editId="4F6E786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40F8CE" w14:textId="77777777" w:rsidR="00825C93" w:rsidRDefault="00825C93" w:rsidP="00825C93">
      <w:pPr>
        <w:jc w:val="center"/>
        <w:rPr>
          <w:rFonts w:ascii="Book Antiqua" w:hAnsi="Book Antiqua"/>
        </w:rPr>
      </w:pPr>
    </w:p>
    <w:p w14:paraId="06133132" w14:textId="77777777" w:rsidR="00825C93" w:rsidRDefault="00825C93" w:rsidP="00825C93">
      <w:pPr>
        <w:jc w:val="center"/>
        <w:rPr>
          <w:rFonts w:ascii="Book Antiqua" w:hAnsi="Book Antiqua"/>
        </w:rPr>
      </w:pPr>
    </w:p>
    <w:p w14:paraId="00523A97" w14:textId="77777777" w:rsidR="00825C93" w:rsidRPr="00763D22" w:rsidRDefault="00825C93" w:rsidP="00825C93">
      <w:pPr>
        <w:jc w:val="right"/>
        <w:rPr>
          <w:rFonts w:ascii="Book Antiqua" w:hAnsi="Book Antiqua"/>
          <w:color w:val="000000" w:themeColor="text1"/>
        </w:rPr>
      </w:pPr>
    </w:p>
    <w:p w14:paraId="19AF3580" w14:textId="264ACBAD" w:rsidR="00E50D86" w:rsidRPr="00825C93" w:rsidRDefault="00825C93" w:rsidP="00825C9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sidR="00976814">
        <w:rPr>
          <w:rFonts w:ascii="Book Antiqua" w:eastAsia="BookAntiqua-Bold" w:hAnsi="Book Antiqua" w:cs="BookAntiqua-Bold" w:hint="eastAsia"/>
          <w:b/>
          <w:bCs/>
          <w:color w:val="000000" w:themeColor="text1"/>
          <w:lang w:eastAsia="zh-CN"/>
        </w:rPr>
        <w:t>4</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E50D86" w:rsidRPr="00825C93" w:rsidSect="00D144F4">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C27D1" w14:textId="77777777" w:rsidR="00C361BE" w:rsidRDefault="00C361BE" w:rsidP="00E50D86">
      <w:r>
        <w:separator/>
      </w:r>
    </w:p>
  </w:endnote>
  <w:endnote w:type="continuationSeparator" w:id="0">
    <w:p w14:paraId="4BAC6FF7" w14:textId="77777777" w:rsidR="00C361BE" w:rsidRDefault="00C361BE" w:rsidP="00E50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09019"/>
      <w:docPartObj>
        <w:docPartGallery w:val="Page Numbers (Bottom of Page)"/>
        <w:docPartUnique/>
      </w:docPartObj>
    </w:sdtPr>
    <w:sdtEndPr/>
    <w:sdtContent>
      <w:sdt>
        <w:sdtPr>
          <w:id w:val="-1705238520"/>
          <w:docPartObj>
            <w:docPartGallery w:val="Page Numbers (Top of Page)"/>
            <w:docPartUnique/>
          </w:docPartObj>
        </w:sdtPr>
        <w:sdtEndPr/>
        <w:sdtContent>
          <w:p w14:paraId="1CB73F72" w14:textId="2F4D6D1E" w:rsidR="00DC6BFD" w:rsidRDefault="00DC6BFD" w:rsidP="00DC6BFD">
            <w:pPr>
              <w:pStyle w:val="a4"/>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B7E26">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B7E26">
              <w:rPr>
                <w:b/>
                <w:bCs/>
                <w:noProof/>
              </w:rPr>
              <w:t>53</w:t>
            </w:r>
            <w:r>
              <w:rPr>
                <w:b/>
                <w:bCs/>
                <w:sz w:val="24"/>
                <w:szCs w:val="24"/>
              </w:rPr>
              <w:fldChar w:fldCharType="end"/>
            </w:r>
          </w:p>
        </w:sdtContent>
      </w:sdt>
    </w:sdtContent>
  </w:sdt>
  <w:p w14:paraId="3E4403ED" w14:textId="77777777" w:rsidR="00DC6BFD" w:rsidRDefault="00DC6BF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3CBFB" w14:textId="77777777" w:rsidR="00C361BE" w:rsidRDefault="00C361BE" w:rsidP="00E50D86">
      <w:r>
        <w:separator/>
      </w:r>
    </w:p>
  </w:footnote>
  <w:footnote w:type="continuationSeparator" w:id="0">
    <w:p w14:paraId="7BE01FE1" w14:textId="77777777" w:rsidR="00C361BE" w:rsidRDefault="00C361BE" w:rsidP="00E50D8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C46"/>
    <w:rsid w:val="000049AD"/>
    <w:rsid w:val="0000527B"/>
    <w:rsid w:val="000949A0"/>
    <w:rsid w:val="000F6D1F"/>
    <w:rsid w:val="00114F88"/>
    <w:rsid w:val="00143E67"/>
    <w:rsid w:val="0017767F"/>
    <w:rsid w:val="001A0BC4"/>
    <w:rsid w:val="001D0E51"/>
    <w:rsid w:val="001F2315"/>
    <w:rsid w:val="001F7C46"/>
    <w:rsid w:val="002229D3"/>
    <w:rsid w:val="0028311E"/>
    <w:rsid w:val="0033133B"/>
    <w:rsid w:val="003C267B"/>
    <w:rsid w:val="00411D8F"/>
    <w:rsid w:val="0049678E"/>
    <w:rsid w:val="005264BB"/>
    <w:rsid w:val="005415C4"/>
    <w:rsid w:val="00567054"/>
    <w:rsid w:val="005B5D0D"/>
    <w:rsid w:val="005C75EE"/>
    <w:rsid w:val="005C7808"/>
    <w:rsid w:val="00617E07"/>
    <w:rsid w:val="00635992"/>
    <w:rsid w:val="00637F4D"/>
    <w:rsid w:val="006D1987"/>
    <w:rsid w:val="007207BD"/>
    <w:rsid w:val="00730494"/>
    <w:rsid w:val="007A077F"/>
    <w:rsid w:val="007B3CFE"/>
    <w:rsid w:val="007B7E26"/>
    <w:rsid w:val="007E2E14"/>
    <w:rsid w:val="00806195"/>
    <w:rsid w:val="00825C93"/>
    <w:rsid w:val="008560A0"/>
    <w:rsid w:val="00887CD0"/>
    <w:rsid w:val="008B583F"/>
    <w:rsid w:val="008C7D58"/>
    <w:rsid w:val="008E4494"/>
    <w:rsid w:val="00902A4C"/>
    <w:rsid w:val="00965869"/>
    <w:rsid w:val="00972691"/>
    <w:rsid w:val="009731E0"/>
    <w:rsid w:val="00976814"/>
    <w:rsid w:val="00A6102B"/>
    <w:rsid w:val="00A77B3E"/>
    <w:rsid w:val="00AD76F2"/>
    <w:rsid w:val="00B2373C"/>
    <w:rsid w:val="00B63B97"/>
    <w:rsid w:val="00B87682"/>
    <w:rsid w:val="00B93178"/>
    <w:rsid w:val="00BB593A"/>
    <w:rsid w:val="00C35562"/>
    <w:rsid w:val="00C361BE"/>
    <w:rsid w:val="00C421B1"/>
    <w:rsid w:val="00CA2A55"/>
    <w:rsid w:val="00CA496B"/>
    <w:rsid w:val="00CA5523"/>
    <w:rsid w:val="00CC1E45"/>
    <w:rsid w:val="00CC2107"/>
    <w:rsid w:val="00CC2EF4"/>
    <w:rsid w:val="00CC782A"/>
    <w:rsid w:val="00D144F4"/>
    <w:rsid w:val="00D718C5"/>
    <w:rsid w:val="00D82096"/>
    <w:rsid w:val="00D85F03"/>
    <w:rsid w:val="00D87BA4"/>
    <w:rsid w:val="00D938E4"/>
    <w:rsid w:val="00DC6BFD"/>
    <w:rsid w:val="00DD4F35"/>
    <w:rsid w:val="00DF780F"/>
    <w:rsid w:val="00E50D86"/>
    <w:rsid w:val="00E60DD4"/>
    <w:rsid w:val="00F41D4C"/>
    <w:rsid w:val="00F551CB"/>
    <w:rsid w:val="00FA5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158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50D86"/>
    <w:pPr>
      <w:tabs>
        <w:tab w:val="center" w:pos="4153"/>
        <w:tab w:val="right" w:pos="8306"/>
      </w:tabs>
      <w:snapToGrid w:val="0"/>
      <w:jc w:val="center"/>
    </w:pPr>
    <w:rPr>
      <w:sz w:val="18"/>
      <w:szCs w:val="18"/>
    </w:rPr>
  </w:style>
  <w:style w:type="character" w:customStyle="1" w:styleId="Char">
    <w:name w:val="页眉 Char"/>
    <w:basedOn w:val="a0"/>
    <w:link w:val="a3"/>
    <w:rsid w:val="00E50D86"/>
    <w:rPr>
      <w:sz w:val="18"/>
      <w:szCs w:val="18"/>
    </w:rPr>
  </w:style>
  <w:style w:type="paragraph" w:styleId="a4">
    <w:name w:val="footer"/>
    <w:basedOn w:val="a"/>
    <w:link w:val="Char0"/>
    <w:uiPriority w:val="99"/>
    <w:rsid w:val="00E50D86"/>
    <w:pPr>
      <w:tabs>
        <w:tab w:val="center" w:pos="4153"/>
        <w:tab w:val="right" w:pos="8306"/>
      </w:tabs>
      <w:snapToGrid w:val="0"/>
    </w:pPr>
    <w:rPr>
      <w:sz w:val="18"/>
      <w:szCs w:val="18"/>
    </w:rPr>
  </w:style>
  <w:style w:type="character" w:customStyle="1" w:styleId="Char0">
    <w:name w:val="页脚 Char"/>
    <w:basedOn w:val="a0"/>
    <w:link w:val="a4"/>
    <w:uiPriority w:val="99"/>
    <w:rsid w:val="00E50D86"/>
    <w:rPr>
      <w:sz w:val="18"/>
      <w:szCs w:val="18"/>
    </w:rPr>
  </w:style>
  <w:style w:type="table" w:styleId="a5">
    <w:name w:val="Table Grid"/>
    <w:basedOn w:val="a1"/>
    <w:rsid w:val="00E50D86"/>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rsid w:val="00411D8F"/>
    <w:rPr>
      <w:sz w:val="21"/>
      <w:szCs w:val="21"/>
    </w:rPr>
  </w:style>
  <w:style w:type="paragraph" w:styleId="a7">
    <w:name w:val="annotation text"/>
    <w:basedOn w:val="a"/>
    <w:link w:val="Char1"/>
    <w:rsid w:val="00411D8F"/>
  </w:style>
  <w:style w:type="character" w:customStyle="1" w:styleId="Char1">
    <w:name w:val="批注文字 Char"/>
    <w:basedOn w:val="a0"/>
    <w:link w:val="a7"/>
    <w:rsid w:val="00411D8F"/>
    <w:rPr>
      <w:sz w:val="24"/>
      <w:szCs w:val="24"/>
    </w:rPr>
  </w:style>
  <w:style w:type="paragraph" w:styleId="a8">
    <w:name w:val="annotation subject"/>
    <w:basedOn w:val="a7"/>
    <w:next w:val="a7"/>
    <w:link w:val="Char2"/>
    <w:rsid w:val="00411D8F"/>
    <w:rPr>
      <w:b/>
      <w:bCs/>
    </w:rPr>
  </w:style>
  <w:style w:type="character" w:customStyle="1" w:styleId="Char2">
    <w:name w:val="批注主题 Char"/>
    <w:basedOn w:val="Char1"/>
    <w:link w:val="a8"/>
    <w:rsid w:val="00411D8F"/>
    <w:rPr>
      <w:b/>
      <w:bCs/>
      <w:sz w:val="24"/>
      <w:szCs w:val="24"/>
    </w:rPr>
  </w:style>
  <w:style w:type="paragraph" w:styleId="a9">
    <w:name w:val="Balloon Text"/>
    <w:basedOn w:val="a"/>
    <w:link w:val="Char3"/>
    <w:rsid w:val="00617E07"/>
    <w:rPr>
      <w:sz w:val="18"/>
      <w:szCs w:val="18"/>
    </w:rPr>
  </w:style>
  <w:style w:type="character" w:customStyle="1" w:styleId="Char3">
    <w:name w:val="批注框文本 Char"/>
    <w:basedOn w:val="a0"/>
    <w:link w:val="a9"/>
    <w:rsid w:val="00617E07"/>
    <w:rPr>
      <w:sz w:val="18"/>
      <w:szCs w:val="18"/>
    </w:rPr>
  </w:style>
  <w:style w:type="paragraph" w:styleId="aa">
    <w:name w:val="Revision"/>
    <w:hidden/>
    <w:uiPriority w:val="99"/>
    <w:semiHidden/>
    <w:rsid w:val="00D87BA4"/>
    <w:rPr>
      <w:sz w:val="24"/>
      <w:szCs w:val="24"/>
    </w:rPr>
  </w:style>
  <w:style w:type="character" w:styleId="ab">
    <w:name w:val="Hyperlink"/>
    <w:basedOn w:val="a0"/>
    <w:rsid w:val="00D718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50D86"/>
    <w:pPr>
      <w:tabs>
        <w:tab w:val="center" w:pos="4153"/>
        <w:tab w:val="right" w:pos="8306"/>
      </w:tabs>
      <w:snapToGrid w:val="0"/>
      <w:jc w:val="center"/>
    </w:pPr>
    <w:rPr>
      <w:sz w:val="18"/>
      <w:szCs w:val="18"/>
    </w:rPr>
  </w:style>
  <w:style w:type="character" w:customStyle="1" w:styleId="Char">
    <w:name w:val="页眉 Char"/>
    <w:basedOn w:val="a0"/>
    <w:link w:val="a3"/>
    <w:rsid w:val="00E50D86"/>
    <w:rPr>
      <w:sz w:val="18"/>
      <w:szCs w:val="18"/>
    </w:rPr>
  </w:style>
  <w:style w:type="paragraph" w:styleId="a4">
    <w:name w:val="footer"/>
    <w:basedOn w:val="a"/>
    <w:link w:val="Char0"/>
    <w:uiPriority w:val="99"/>
    <w:rsid w:val="00E50D86"/>
    <w:pPr>
      <w:tabs>
        <w:tab w:val="center" w:pos="4153"/>
        <w:tab w:val="right" w:pos="8306"/>
      </w:tabs>
      <w:snapToGrid w:val="0"/>
    </w:pPr>
    <w:rPr>
      <w:sz w:val="18"/>
      <w:szCs w:val="18"/>
    </w:rPr>
  </w:style>
  <w:style w:type="character" w:customStyle="1" w:styleId="Char0">
    <w:name w:val="页脚 Char"/>
    <w:basedOn w:val="a0"/>
    <w:link w:val="a4"/>
    <w:uiPriority w:val="99"/>
    <w:rsid w:val="00E50D86"/>
    <w:rPr>
      <w:sz w:val="18"/>
      <w:szCs w:val="18"/>
    </w:rPr>
  </w:style>
  <w:style w:type="table" w:styleId="a5">
    <w:name w:val="Table Grid"/>
    <w:basedOn w:val="a1"/>
    <w:rsid w:val="00E50D86"/>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rsid w:val="00411D8F"/>
    <w:rPr>
      <w:sz w:val="21"/>
      <w:szCs w:val="21"/>
    </w:rPr>
  </w:style>
  <w:style w:type="paragraph" w:styleId="a7">
    <w:name w:val="annotation text"/>
    <w:basedOn w:val="a"/>
    <w:link w:val="Char1"/>
    <w:rsid w:val="00411D8F"/>
  </w:style>
  <w:style w:type="character" w:customStyle="1" w:styleId="Char1">
    <w:name w:val="批注文字 Char"/>
    <w:basedOn w:val="a0"/>
    <w:link w:val="a7"/>
    <w:rsid w:val="00411D8F"/>
    <w:rPr>
      <w:sz w:val="24"/>
      <w:szCs w:val="24"/>
    </w:rPr>
  </w:style>
  <w:style w:type="paragraph" w:styleId="a8">
    <w:name w:val="annotation subject"/>
    <w:basedOn w:val="a7"/>
    <w:next w:val="a7"/>
    <w:link w:val="Char2"/>
    <w:rsid w:val="00411D8F"/>
    <w:rPr>
      <w:b/>
      <w:bCs/>
    </w:rPr>
  </w:style>
  <w:style w:type="character" w:customStyle="1" w:styleId="Char2">
    <w:name w:val="批注主题 Char"/>
    <w:basedOn w:val="Char1"/>
    <w:link w:val="a8"/>
    <w:rsid w:val="00411D8F"/>
    <w:rPr>
      <w:b/>
      <w:bCs/>
      <w:sz w:val="24"/>
      <w:szCs w:val="24"/>
    </w:rPr>
  </w:style>
  <w:style w:type="paragraph" w:styleId="a9">
    <w:name w:val="Balloon Text"/>
    <w:basedOn w:val="a"/>
    <w:link w:val="Char3"/>
    <w:rsid w:val="00617E07"/>
    <w:rPr>
      <w:sz w:val="18"/>
      <w:szCs w:val="18"/>
    </w:rPr>
  </w:style>
  <w:style w:type="character" w:customStyle="1" w:styleId="Char3">
    <w:name w:val="批注框文本 Char"/>
    <w:basedOn w:val="a0"/>
    <w:link w:val="a9"/>
    <w:rsid w:val="00617E07"/>
    <w:rPr>
      <w:sz w:val="18"/>
      <w:szCs w:val="18"/>
    </w:rPr>
  </w:style>
  <w:style w:type="paragraph" w:styleId="aa">
    <w:name w:val="Revision"/>
    <w:hidden/>
    <w:uiPriority w:val="99"/>
    <w:semiHidden/>
    <w:rsid w:val="00D87BA4"/>
    <w:rPr>
      <w:sz w:val="24"/>
      <w:szCs w:val="24"/>
    </w:rPr>
  </w:style>
  <w:style w:type="character" w:styleId="ab">
    <w:name w:val="Hyperlink"/>
    <w:basedOn w:val="a0"/>
    <w:rsid w:val="00D718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90820">
      <w:bodyDiv w:val="1"/>
      <w:marLeft w:val="0"/>
      <w:marRight w:val="0"/>
      <w:marTop w:val="0"/>
      <w:marBottom w:val="0"/>
      <w:divBdr>
        <w:top w:val="none" w:sz="0" w:space="0" w:color="auto"/>
        <w:left w:val="none" w:sz="0" w:space="0" w:color="auto"/>
        <w:bottom w:val="none" w:sz="0" w:space="0" w:color="auto"/>
        <w:right w:val="none" w:sz="0" w:space="0" w:color="auto"/>
      </w:divBdr>
    </w:div>
    <w:div w:id="177349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810</TotalTime>
  <Pages>53</Pages>
  <Words>12502</Words>
  <Characters>71262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Yuwei Chou</dc:creator>
  <cp:lastModifiedBy>HP</cp:lastModifiedBy>
  <cp:revision>38</cp:revision>
  <dcterms:created xsi:type="dcterms:W3CDTF">2023-12-18T03:45:00Z</dcterms:created>
  <dcterms:modified xsi:type="dcterms:W3CDTF">2024-01-06T08:49:00Z</dcterms:modified>
</cp:coreProperties>
</file>