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eastAsia="Book Antiqua" w:cs="Book Antiqua"/>
        </w:rPr>
      </w:pPr>
      <w:r>
        <w:rPr>
          <w:rFonts w:ascii="Book Antiqua" w:hAnsi="Book Antiqua"/>
          <w:b/>
          <w:bCs/>
        </w:rPr>
        <w:t xml:space="preserve">Name of Journal: </w:t>
      </w:r>
      <w:r>
        <w:rPr>
          <w:rFonts w:ascii="Book Antiqua" w:hAnsi="Book Antiqua"/>
          <w:i/>
          <w:iCs/>
        </w:rPr>
        <w:t>World Journal of Clinical Cases</w:t>
      </w:r>
    </w:p>
    <w:p>
      <w:pPr>
        <w:spacing w:line="360" w:lineRule="auto"/>
        <w:jc w:val="both"/>
        <w:rPr>
          <w:rFonts w:ascii="Book Antiqua" w:hAnsi="Book Antiqua" w:eastAsia="Book Antiqua" w:cs="Book Antiqua"/>
        </w:rPr>
      </w:pPr>
      <w:r>
        <w:rPr>
          <w:rFonts w:ascii="Book Antiqua" w:hAnsi="Book Antiqua"/>
          <w:b/>
          <w:bCs/>
        </w:rPr>
        <w:t xml:space="preserve">Manuscript NO: </w:t>
      </w:r>
      <w:r>
        <w:rPr>
          <w:rFonts w:ascii="Book Antiqua" w:hAnsi="Book Antiqua"/>
        </w:rPr>
        <w:t>88595</w:t>
      </w:r>
    </w:p>
    <w:p>
      <w:pPr>
        <w:spacing w:line="360" w:lineRule="auto"/>
        <w:jc w:val="both"/>
        <w:rPr>
          <w:rFonts w:ascii="Book Antiqua" w:hAnsi="Book Antiqua" w:eastAsia="Book Antiqua" w:cs="Book Antiqua"/>
        </w:rPr>
      </w:pPr>
      <w:r>
        <w:rPr>
          <w:rFonts w:ascii="Book Antiqua" w:hAnsi="Book Antiqua"/>
          <w:b/>
          <w:bCs/>
        </w:rPr>
        <w:t xml:space="preserve">Manuscript Type: </w:t>
      </w:r>
      <w:r>
        <w:rPr>
          <w:rFonts w:ascii="Book Antiqua" w:hAnsi="Book Antiqua"/>
        </w:rPr>
        <w:t>EDITORIAL</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bookmarkStart w:id="0" w:name="OLE_LINK2"/>
      <w:bookmarkStart w:id="1" w:name="OLE_LINK1"/>
      <w:r>
        <w:rPr>
          <w:rFonts w:ascii="Book Antiqua" w:hAnsi="Book Antiqua"/>
          <w:b/>
          <w:bCs/>
        </w:rPr>
        <w:t>Post-trans-arterial chemoembolization hepatic necrosis and biliary stenosis: Clinical charateristics and endoscopic approach</w:t>
      </w:r>
    </w:p>
    <w:bookmarkEnd w:id="0"/>
    <w:bookmarkEnd w:id="1"/>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rPr>
        <w:t xml:space="preserve">Cocca S </w:t>
      </w:r>
      <w:r>
        <w:rPr>
          <w:rFonts w:ascii="Book Antiqua" w:hAnsi="Book Antiqua"/>
          <w:i/>
          <w:iCs/>
        </w:rPr>
        <w:t>et al</w:t>
      </w:r>
      <w:r>
        <w:rPr>
          <w:rFonts w:ascii="Book Antiqua" w:hAnsi="Book Antiqua"/>
        </w:rPr>
        <w:t>. Bile duct necrosis after post-trans-arterial chemoembolization</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rPr>
        <w:t>Silvia Cocca, Lorenzo Carloni, Margherita Marocchi, Giuseppe Grande, Marcello Bianchini, Antonio Colecchia, Rita Conigliaro, Helga Bertani</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Silvia Cocca, Margherita Marocchi, Giuseppe Grande, Rita Conigliaro, Helga Bertani, </w:t>
      </w:r>
      <w:r>
        <w:rPr>
          <w:rFonts w:ascii="Book Antiqua" w:hAnsi="Book Antiqua"/>
        </w:rPr>
        <w:t>Gastroenterology and Endoscopy Unit, Azienda Ospedaliero Universitaria Policlinico di Modena, Modena 41121, Italy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Lorenzo Carloni, </w:t>
      </w:r>
      <w:r>
        <w:rPr>
          <w:rFonts w:ascii="Book Antiqua" w:hAnsi="Book Antiqua"/>
        </w:rPr>
        <w:t>Department of Medical and Surgical Sciences, IRCCS Azienda Ospedaliero-Universitaria di Bologna, Bologna 00100, Italy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Marcello Bianchini, Antonio Colecchia, </w:t>
      </w:r>
      <w:r>
        <w:rPr>
          <w:rFonts w:ascii="Book Antiqua" w:hAnsi="Book Antiqua"/>
        </w:rPr>
        <w:t>Department of Internal Medicine, Azienda Ospedaliero Universitaria Policlinico di Modena, Modena 41121, Italy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Author contributions: </w:t>
      </w:r>
      <w:r>
        <w:rPr>
          <w:rFonts w:ascii="Book Antiqua" w:hAnsi="Book Antiqua"/>
        </w:rPr>
        <w:t>Cocca S contributed to conceptualization and writing - original draft; Carloni L, Marocchi M, Bertani H, Bianchini M, Colecchia A contributed to contributed to writing - review &amp; editing; Bertani H contributed to supervision; Marocchi M and Grande G contributed to review and figures editing; Conigliaro R contributed to supervision and conceptualization; All authors have read and approved the final manuscript.</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Corresponding author: Silvia Cocca, MD, PhD, Staff Physician, </w:t>
      </w:r>
      <w:r>
        <w:rPr>
          <w:rFonts w:ascii="Book Antiqua" w:hAnsi="Book Antiqua"/>
        </w:rPr>
        <w:t>Gastroenterology and Endoscopy Unit, Azienda Ospedaliero Universitaria Policlinico di Modena, Via Pietro Giardini 1355, Modena 41121, Italy. silvia.cocca@gmail.com</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Received: </w:t>
      </w:r>
      <w:r>
        <w:rPr>
          <w:rFonts w:ascii="Book Antiqua" w:hAnsi="Book Antiqua"/>
        </w:rPr>
        <w:t>November 9, 2023</w:t>
      </w:r>
    </w:p>
    <w:p>
      <w:pPr>
        <w:spacing w:line="360" w:lineRule="auto"/>
        <w:jc w:val="both"/>
        <w:rPr>
          <w:rFonts w:ascii="Book Antiqua" w:hAnsi="Book Antiqua" w:eastAsia="Book Antiqua" w:cs="Book Antiqua"/>
        </w:rPr>
      </w:pPr>
      <w:r>
        <w:rPr>
          <w:rFonts w:ascii="Book Antiqua" w:hAnsi="Book Antiqua"/>
          <w:b/>
          <w:bCs/>
        </w:rPr>
        <w:t xml:space="preserve">Revised: </w:t>
      </w:r>
      <w:r>
        <w:rPr>
          <w:rFonts w:ascii="Book Antiqua" w:hAnsi="Book Antiqua"/>
        </w:rPr>
        <w:t>December 1, 2023</w:t>
      </w:r>
    </w:p>
    <w:p>
      <w:pPr>
        <w:spacing w:line="360" w:lineRule="auto"/>
        <w:jc w:val="both"/>
        <w:rPr>
          <w:rFonts w:ascii="Book Antiqua" w:hAnsi="Book Antiqua" w:eastAsia="Book Antiqua" w:cs="Book Antiqua"/>
        </w:rPr>
      </w:pPr>
      <w:r>
        <w:rPr>
          <w:rFonts w:ascii="Book Antiqua" w:hAnsi="Book Antiqua"/>
          <w:b/>
          <w:bCs/>
        </w:rPr>
        <w:t xml:space="preserve">Accepted: </w:t>
      </w:r>
      <w:r>
        <w:rPr>
          <w:rFonts w:ascii="Book Antiqua" w:hAnsi="Book Antiqua"/>
        </w:rPr>
        <w:t>December 6, 2023</w:t>
      </w:r>
    </w:p>
    <w:p>
      <w:pPr>
        <w:spacing w:line="360" w:lineRule="auto"/>
        <w:jc w:val="both"/>
        <w:rPr>
          <w:rFonts w:ascii="Book Antiqua" w:hAnsi="Book Antiqua" w:eastAsia="Book Antiqua" w:cs="Book Antiqua"/>
        </w:rPr>
      </w:pPr>
      <w:r>
        <w:rPr>
          <w:rFonts w:ascii="Book Antiqua" w:hAnsi="Book Antiqua"/>
          <w:b/>
          <w:bCs/>
        </w:rPr>
        <w:t xml:space="preserve">Published online: </w:t>
      </w:r>
      <w:r>
        <w:rPr>
          <w:rFonts w:hint="eastAsia" w:ascii="Book Antiqua" w:hAnsi="Book Antiqua"/>
          <w:b w:val="0"/>
          <w:bCs w:val="0"/>
        </w:rPr>
        <w:t>December 26, 2023</w:t>
      </w:r>
    </w:p>
    <w:p>
      <w:pPr>
        <w:spacing w:line="360" w:lineRule="auto"/>
        <w:jc w:val="both"/>
        <w:sectPr>
          <w:footerReference r:id="rId3" w:type="default"/>
          <w:pgSz w:w="12240" w:h="15840"/>
          <w:pgMar w:top="1440" w:right="1440" w:bottom="1440" w:left="1440" w:header="720" w:footer="720" w:gutter="0"/>
          <w:cols w:space="720" w:num="1"/>
        </w:sectPr>
      </w:pPr>
    </w:p>
    <w:p>
      <w:pPr>
        <w:spacing w:line="360" w:lineRule="auto"/>
        <w:jc w:val="both"/>
        <w:rPr>
          <w:rFonts w:ascii="Book Antiqua" w:hAnsi="Book Antiqua" w:eastAsia="Book Antiqua" w:cs="Book Antiqua"/>
        </w:rPr>
      </w:pPr>
      <w:r>
        <w:rPr>
          <w:rFonts w:ascii="Book Antiqua" w:hAnsi="Book Antiqua"/>
          <w:b/>
          <w:bCs/>
        </w:rPr>
        <w:t>Abstract</w:t>
      </w:r>
    </w:p>
    <w:p>
      <w:pPr>
        <w:spacing w:line="360" w:lineRule="auto"/>
        <w:jc w:val="both"/>
        <w:rPr>
          <w:rFonts w:ascii="Book Antiqua" w:hAnsi="Book Antiqua" w:eastAsia="Book Antiqua" w:cs="Book Antiqua"/>
        </w:rPr>
      </w:pPr>
      <w:r>
        <w:rPr>
          <w:rFonts w:ascii="Book Antiqua" w:hAnsi="Book Antiqua"/>
        </w:rPr>
        <w:t xml:space="preserve">Liver cancer is the fifth most common tumor and the second highest death-related cancer in the world. Hepatocarcinoma (HCC) represents 90% of liver cancers. According to the Barcelona Clinic Liver Cancer group, different treatment options could be offered to patients in consideration of tumor burden, liver function, patient performance status and biochemical marker serum concentration such as alpha-fetoprotein. Trans-arterial chemoembolization (TACE) is the treatment of choice in patients with diagnosis of unresectable HCC not eligible for liver transplantation, and preserved arterial supply. TACE is known to be safe and its complications are generally mild such as post-TACE syndrome, a self-resolving adverse event that occurs in about 90% of patients after the procedure. However, albeit rarely, more severe adverse events such as biloma, sepsis, hepatic failure, </w:t>
      </w:r>
      <w:r>
        <w:rPr>
          <w:rFonts w:hint="eastAsia" w:ascii="Book Antiqua" w:hAnsi="Book Antiqua"/>
        </w:rPr>
        <w:t>chemoagents induced toxicities</w:t>
      </w:r>
      <w:r>
        <w:rPr>
          <w:rFonts w:ascii="Book Antiqua" w:hAnsi="Book Antiqua"/>
        </w:rPr>
        <w:t>, and post-TACE liver necrosis can occur. A prompt diagnosis of these clinical conditions is fundamental to prevent further complications. As a result, biliary stenosis could be a rare post-TACE necrosis complication and can be difficult to manage. Complications from untreated biliary strictures include recurring infections, jaundice, chronic cholestasis, and secondary biliary cirrhosis.</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Key Words: </w:t>
      </w:r>
      <w:r>
        <w:rPr>
          <w:rFonts w:ascii="Book Antiqua" w:hAnsi="Book Antiqua"/>
        </w:rPr>
        <w:t>Hepatocarcinoma; Trans-arterial Chemoembolization; Biliary stenosis; Multistenting</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rPr>
      </w:pPr>
      <w:r>
        <w:rPr>
          <w:rFonts w:hint="eastAsia" w:ascii="Book Antiqua" w:hAnsi="Book Antiqua"/>
          <w:b/>
          <w:bCs/>
          <w:lang w:val="en-US" w:eastAsia="zh-CN"/>
        </w:rPr>
        <w:t>Citation</w:t>
      </w:r>
      <w:r>
        <w:rPr>
          <w:rFonts w:hint="eastAsia" w:ascii="Book Antiqua" w:hAnsi="Book Antiqua"/>
          <w:lang w:val="en-US" w:eastAsia="zh-CN"/>
        </w:rPr>
        <w:t xml:space="preserve">: </w:t>
      </w:r>
      <w:r>
        <w:rPr>
          <w:rFonts w:ascii="Book Antiqua" w:hAnsi="Book Antiqua"/>
        </w:rPr>
        <w:t xml:space="preserve">Cocca S, Carloni L, Marocchi M, Grande G, Bianchini M, Colecchia A, Conigliaro R, Bertani H. Post-trans-arterial chemoembolization hepatic necrosis and biliary stenosis: Clinical charateristics and endoscopic approach. </w:t>
      </w:r>
      <w:r>
        <w:rPr>
          <w:rFonts w:ascii="Book Antiqua" w:hAnsi="Book Antiqua"/>
          <w:i/>
          <w:iCs/>
        </w:rPr>
        <w:t>World J Clin Cases</w:t>
      </w:r>
      <w:r>
        <w:rPr>
          <w:rFonts w:ascii="Book Antiqua" w:hAnsi="Book Antiqua"/>
        </w:rPr>
        <w:t xml:space="preserve"> 2023; </w:t>
      </w:r>
      <w:r>
        <w:rPr>
          <w:rFonts w:hint="eastAsia" w:ascii="Book Antiqua" w:hAnsi="Book Antiqua"/>
        </w:rPr>
        <w:t xml:space="preserve">11(36): </w:t>
      </w:r>
      <w:r>
        <w:rPr>
          <w:rStyle w:val="19"/>
          <w:rFonts w:hint="default" w:ascii="Book Antiqua" w:hAnsi="Book Antiqua" w:eastAsia="宋体" w:cs="Book Antiqua"/>
          <w:sz w:val="24"/>
          <w:szCs w:val="24"/>
          <w:lang w:val="en-US" w:eastAsia="zh-CN" w:bidi="ar"/>
        </w:rPr>
        <w:t>8434-8439</w:t>
      </w:r>
      <w:r>
        <w:rPr>
          <w:rFonts w:hint="eastAsia" w:ascii="Book Antiqua" w:hAnsi="Book Antiqua"/>
        </w:rPr>
        <w:t xml:space="preserve"> </w:t>
      </w:r>
    </w:p>
    <w:p>
      <w:pPr>
        <w:spacing w:line="360" w:lineRule="auto"/>
        <w:jc w:val="both"/>
        <w:rPr>
          <w:rFonts w:hint="eastAsia" w:ascii="Book Antiqua" w:hAnsi="Book Antiqua"/>
        </w:rPr>
      </w:pPr>
      <w:r>
        <w:rPr>
          <w:rFonts w:hint="eastAsia" w:ascii="Book Antiqua" w:hAnsi="Book Antiqua"/>
          <w:b/>
          <w:bCs/>
        </w:rPr>
        <w:t>URL</w:t>
      </w:r>
      <w:r>
        <w:rPr>
          <w:rFonts w:hint="eastAsia" w:ascii="Book Antiqua" w:hAnsi="Book Antiqua"/>
        </w:rPr>
        <w:t>: https://www.wjgnet.com/2307-8960/full/v11/i36/</w:t>
      </w:r>
      <w:r>
        <w:rPr>
          <w:rStyle w:val="19"/>
          <w:rFonts w:hint="default" w:ascii="Book Antiqua" w:hAnsi="Book Antiqua" w:eastAsia="宋体" w:cs="Book Antiqua"/>
          <w:sz w:val="24"/>
          <w:szCs w:val="24"/>
          <w:lang w:val="en-US" w:eastAsia="zh-CN" w:bidi="ar"/>
        </w:rPr>
        <w:t>8434</w:t>
      </w:r>
      <w:r>
        <w:rPr>
          <w:rFonts w:hint="eastAsia" w:ascii="Book Antiqua" w:hAnsi="Book Antiqua"/>
        </w:rPr>
        <w:t xml:space="preserve">.htm </w:t>
      </w:r>
    </w:p>
    <w:p>
      <w:pPr>
        <w:spacing w:line="360" w:lineRule="auto"/>
        <w:jc w:val="both"/>
        <w:rPr>
          <w:rFonts w:ascii="Book Antiqua" w:hAnsi="Book Antiqua" w:eastAsia="Book Antiqua" w:cs="Book Antiqua"/>
        </w:rPr>
      </w:pPr>
      <w:r>
        <w:rPr>
          <w:rFonts w:hint="eastAsia" w:ascii="Book Antiqua" w:hAnsi="Book Antiqua"/>
          <w:b/>
          <w:bCs/>
        </w:rPr>
        <w:t>DOI</w:t>
      </w:r>
      <w:r>
        <w:rPr>
          <w:rFonts w:hint="eastAsia" w:ascii="Book Antiqua" w:hAnsi="Book Antiqua"/>
        </w:rPr>
        <w:t>: https://dx.doi.org/10.12998/wjcc.v11.i36.</w:t>
      </w:r>
      <w:r>
        <w:rPr>
          <w:rStyle w:val="19"/>
          <w:rFonts w:hint="default" w:ascii="Book Antiqua" w:hAnsi="Book Antiqua" w:eastAsia="宋体" w:cs="Book Antiqua"/>
          <w:sz w:val="24"/>
          <w:szCs w:val="24"/>
          <w:lang w:val="en-US" w:eastAsia="zh-CN" w:bidi="ar"/>
        </w:rPr>
        <w:t>8434</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rPr>
        <w:t xml:space="preserve">Core Tip: </w:t>
      </w:r>
      <w:r>
        <w:rPr>
          <w:rFonts w:ascii="Book Antiqua" w:hAnsi="Book Antiqua"/>
        </w:rPr>
        <w:t>Multifocal hepatocarcinoma (HCC) can benefit from local treatments with curative or down-staging purposes. Trans-arterial chemoembolization (TACE) is the treatment of choice in patients with a diagnosis of HCC not eligible for surgery (resection or liver transplantation) and ablation. TACE is known to be a safe procedure but can lead to both self-limiting mild adverse events and, albeit rarely, severe hepatic and biliary damage due to extensive hepatic ischemia.</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b/>
          <w:bCs/>
          <w:caps/>
          <w:u w:val="single"/>
        </w:rPr>
        <w:t>INTRODUCTION</w:t>
      </w:r>
    </w:p>
    <w:p>
      <w:pPr>
        <w:spacing w:line="360" w:lineRule="auto"/>
        <w:jc w:val="both"/>
        <w:rPr>
          <w:rStyle w:val="13"/>
          <w:rFonts w:ascii="Book Antiqua" w:hAnsi="Book Antiqua" w:eastAsia="Book Antiqua" w:cs="Book Antiqua"/>
        </w:rPr>
      </w:pPr>
      <w:r>
        <w:rPr>
          <w:rFonts w:ascii="Book Antiqua" w:hAnsi="Book Antiqua"/>
        </w:rPr>
        <w:t>Hepatocarcinoma (HCC) is the fifth most common and the second highest death-related cancer. It represents almost the totality of liver cancers and its incidence is increasing worldwide, mostly in Eastern countries and Africa</w:t>
      </w:r>
      <w:r>
        <w:rPr>
          <w:rFonts w:ascii="Book Antiqua" w:hAnsi="Book Antiqua"/>
          <w:vertAlign w:val="superscript"/>
        </w:rPr>
        <w:t>[1]</w:t>
      </w:r>
      <w:r>
        <w:rPr>
          <w:rFonts w:ascii="Book Antiqua" w:hAnsi="Book Antiqua"/>
        </w:rPr>
        <w:t>. Chronic liver disease, whatever the etiology, represents the major risk factor for HCC occurrence. Ultrasound (US), abdomen magnetic resonance imaging, and serum biochemical marker evaluation represent the validated diagnostic tools for early HCC detection in patients with advanced chronic liver disease</w:t>
      </w:r>
      <w:r>
        <w:fldChar w:fldCharType="begin"/>
      </w:r>
      <w:r>
        <w:instrText xml:space="preserve"> HYPERLINK "https://www.zotero.org/google-docs/?MdDxxV" </w:instrText>
      </w:r>
      <w:r>
        <w:fldChar w:fldCharType="separate"/>
      </w:r>
      <w:r>
        <w:rPr>
          <w:rStyle w:val="14"/>
        </w:rPr>
        <w:t>[1]</w:t>
      </w:r>
      <w:r>
        <w:rPr>
          <w:rStyle w:val="14"/>
        </w:rPr>
        <w:fldChar w:fldCharType="end"/>
      </w:r>
      <w:r>
        <w:rPr>
          <w:rStyle w:val="13"/>
          <w:rFonts w:ascii="Book Antiqua" w:hAnsi="Book Antiqua"/>
        </w:rPr>
        <w:t xml:space="preserve">. According to tumor burden, liver function, and patient features (performance status, biomarker concentration, and prognostic score value such as Albumin-Bilirubin </w:t>
      </w:r>
      <w:r>
        <w:rPr>
          <w:rStyle w:val="13"/>
          <w:rFonts w:hint="eastAsia" w:ascii="Book Antiqua" w:hAnsi="Book Antiqua"/>
          <w:lang w:val="en-US" w:eastAsia="zh-CN"/>
        </w:rPr>
        <w:t>[</w:t>
      </w:r>
      <w:r>
        <w:rPr>
          <w:rStyle w:val="13"/>
          <w:rFonts w:ascii="Book Antiqua" w:hAnsi="Book Antiqua"/>
        </w:rPr>
        <w:t>ALBI</w:t>
      </w:r>
      <w:r>
        <w:rPr>
          <w:rStyle w:val="13"/>
          <w:rFonts w:hint="eastAsia" w:ascii="Book Antiqua" w:hAnsi="Book Antiqua"/>
          <w:lang w:val="en-US" w:eastAsia="zh-CN"/>
        </w:rPr>
        <w:t>])</w:t>
      </w:r>
      <w:r>
        <w:rPr>
          <w:rStyle w:val="13"/>
          <w:rFonts w:ascii="Book Antiqua" w:hAnsi="Book Antiqua"/>
        </w:rPr>
        <w:t xml:space="preserve"> Grade and Child-Pugh/MELD scores, several treatment options could be proposed to the patient</w:t>
      </w:r>
      <w:r>
        <w:fldChar w:fldCharType="begin"/>
      </w:r>
      <w:r>
        <w:instrText xml:space="preserve"> HYPERLINK "https://www.zotero.org/google-docs/?FV8swR" </w:instrText>
      </w:r>
      <w:r>
        <w:fldChar w:fldCharType="separate"/>
      </w:r>
      <w:r>
        <w:rPr>
          <w:rStyle w:val="14"/>
        </w:rPr>
        <w:t>[2]</w:t>
      </w:r>
      <w:r>
        <w:rPr>
          <w:rStyle w:val="14"/>
        </w:rPr>
        <w:fldChar w:fldCharType="end"/>
      </w:r>
      <w:r>
        <w:rPr>
          <w:rStyle w:val="13"/>
          <w:rFonts w:ascii="Book Antiqua" w:hAnsi="Book Antiqua"/>
        </w:rPr>
        <w:t>. Based to the latest Barcelona Clinic Liver Cancer update, liver transplantation (LT) is the treatment of choice when Milan Criteria are met or are achieved after disease down-staging</w:t>
      </w:r>
      <w:r>
        <w:fldChar w:fldCharType="begin"/>
      </w:r>
      <w:r>
        <w:instrText xml:space="preserve"> HYPERLINK "https://www.zotero.org/google-docs/?A70ioM" </w:instrText>
      </w:r>
      <w:r>
        <w:fldChar w:fldCharType="separate"/>
      </w:r>
      <w:r>
        <w:rPr>
          <w:rStyle w:val="14"/>
        </w:rPr>
        <w:t>[2,3]</w:t>
      </w:r>
      <w:r>
        <w:rPr>
          <w:rStyle w:val="14"/>
        </w:rPr>
        <w:fldChar w:fldCharType="end"/>
      </w:r>
      <w:r>
        <w:rPr>
          <w:rStyle w:val="13"/>
          <w:rFonts w:ascii="Book Antiqua" w:hAnsi="Book Antiqua"/>
        </w:rPr>
        <w:t>. In the case of focal HCC, surgery or local treatments [</w:t>
      </w:r>
      <w:r>
        <w:rPr>
          <w:rStyle w:val="13"/>
          <w:rFonts w:ascii="Book Antiqua" w:hAnsi="Book Antiqua"/>
          <w:i/>
          <w:iCs/>
        </w:rPr>
        <w:t>i.e.</w:t>
      </w:r>
      <w:r>
        <w:rPr>
          <w:rStyle w:val="13"/>
          <w:rFonts w:ascii="Book Antiqua" w:hAnsi="Book Antiqua"/>
        </w:rPr>
        <w:t xml:space="preserve"> radiofrequency ablation, RFA, or microwave ablation (MWA)] could be proposed in consideration of patient surgical fitness. Whereas, in the case of multiple/diffuse HCC, local approaches [</w:t>
      </w:r>
      <w:r>
        <w:rPr>
          <w:rStyle w:val="13"/>
          <w:rFonts w:ascii="Book Antiqua" w:hAnsi="Book Antiqua"/>
          <w:i/>
          <w:iCs/>
        </w:rPr>
        <w:t>i.e.</w:t>
      </w:r>
      <w:r>
        <w:rPr>
          <w:rStyle w:val="13"/>
          <w:rFonts w:ascii="Book Antiqua" w:hAnsi="Book Antiqua"/>
        </w:rPr>
        <w:t xml:space="preserve"> trans-arterial chemoembolization (TACE)] or immune/chemotherapy represent the best treatment options. Through the embolization of the feeding hepatic artery branches following the injection of multiple chemotherapy drugs, TACE robs tumors of their sustenance (</w:t>
      </w:r>
      <w:r>
        <w:rPr>
          <w:rStyle w:val="13"/>
          <w:rFonts w:ascii="Book Antiqua" w:hAnsi="Book Antiqua"/>
          <w:i/>
          <w:iCs/>
        </w:rPr>
        <w:t>i.e.</w:t>
      </w:r>
      <w:r>
        <w:rPr>
          <w:rStyle w:val="13"/>
          <w:rFonts w:ascii="Book Antiqua" w:hAnsi="Book Antiqua"/>
        </w:rPr>
        <w:t xml:space="preserve"> ethiodized oil, gelatin powder, particles, and beads)</w:t>
      </w:r>
      <w:r>
        <w:fldChar w:fldCharType="begin"/>
      </w:r>
      <w:r>
        <w:instrText xml:space="preserve"> HYPERLINK "https://www.zotero.org/google-docs/?gTc0wJ" </w:instrText>
      </w:r>
      <w:r>
        <w:fldChar w:fldCharType="separate"/>
      </w:r>
      <w:r>
        <w:rPr>
          <w:rStyle w:val="14"/>
        </w:rPr>
        <w:t>[4]</w:t>
      </w:r>
      <w:r>
        <w:rPr>
          <w:rStyle w:val="14"/>
        </w:rPr>
        <w:fldChar w:fldCharType="end"/>
      </w:r>
      <w:r>
        <w:rPr>
          <w:rStyle w:val="13"/>
          <w:rFonts w:ascii="Book Antiqua" w:hAnsi="Book Antiqua"/>
        </w:rPr>
        <w:t>. The procedure is usually carried out through a right femoral approach: the catheter is advanced to the coeliac trifurcation where the common hepatic artery is catheterized and tumor arterial branches are reached up. Subsequently, chemo-agents are used to embolize neoplastic vasculature and lead to tumor necrosis. TACE is considered to be safe as well as effective for HCC, but nonvascular and vascular AE have been reported</w:t>
      </w:r>
      <w:r>
        <w:fldChar w:fldCharType="begin"/>
      </w:r>
      <w:r>
        <w:instrText xml:space="preserve"> HYPERLINK "https://www.zotero.org/google-docs/?7J9QpS" </w:instrText>
      </w:r>
      <w:r>
        <w:fldChar w:fldCharType="separate"/>
      </w:r>
      <w:r>
        <w:rPr>
          <w:rStyle w:val="14"/>
        </w:rPr>
        <w:t>[1]</w:t>
      </w:r>
      <w:r>
        <w:rPr>
          <w:rStyle w:val="14"/>
        </w:rPr>
        <w:fldChar w:fldCharType="end"/>
      </w:r>
      <w:r>
        <w:rPr>
          <w:rStyle w:val="13"/>
          <w:rFonts w:ascii="Book Antiqua" w:hAnsi="Book Antiqua"/>
        </w:rPr>
        <w:t>. Among non-vascular complications, post-TACE syndrome presents in almost the totality of cases. Other nonvascular complications such as biloma, hepatic abscess, hepatic and renal failure, sepsis, pancreatitis, and toxicities induced by chemo-agents are possible</w:t>
      </w:r>
      <w:r>
        <w:fldChar w:fldCharType="begin"/>
      </w:r>
      <w:r>
        <w:instrText xml:space="preserve"> HYPERLINK "https://www.zotero.org/google-docs/?BTXj4f" </w:instrText>
      </w:r>
      <w:r>
        <w:fldChar w:fldCharType="separate"/>
      </w:r>
      <w:r>
        <w:rPr>
          <w:rStyle w:val="14"/>
        </w:rPr>
        <w:t>[5,6]</w:t>
      </w:r>
      <w:r>
        <w:rPr>
          <w:rStyle w:val="14"/>
        </w:rPr>
        <w:fldChar w:fldCharType="end"/>
      </w:r>
      <w:r>
        <w:rPr>
          <w:rStyle w:val="13"/>
          <w:rFonts w:ascii="Book Antiqua" w:hAnsi="Book Antiqua"/>
        </w:rPr>
        <w:t>. Among the vascular AE, instead, post-TACE bile duct necrosis (BDN) and perforation have been reported</w:t>
      </w:r>
      <w:r>
        <w:fldChar w:fldCharType="begin"/>
      </w:r>
      <w:r>
        <w:instrText xml:space="preserve"> HYPERLINK "https://www.zotero.org/google-docs/?5m00Tc" </w:instrText>
      </w:r>
      <w:r>
        <w:fldChar w:fldCharType="separate"/>
      </w:r>
      <w:r>
        <w:rPr>
          <w:rStyle w:val="14"/>
        </w:rPr>
        <w:t>[7]</w:t>
      </w:r>
      <w:r>
        <w:rPr>
          <w:rStyle w:val="14"/>
        </w:rPr>
        <w:fldChar w:fldCharType="end"/>
      </w:r>
      <w:r>
        <w:rPr>
          <w:rStyle w:val="13"/>
          <w:rFonts w:ascii="Book Antiqua" w:hAnsi="Book Antiqua"/>
        </w:rPr>
        <w:t>.</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b/>
          <w:bCs/>
          <w:u w:val="single"/>
        </w:rPr>
      </w:pPr>
      <w:r>
        <w:rPr>
          <w:rStyle w:val="13"/>
          <w:rFonts w:ascii="Book Antiqua" w:hAnsi="Book Antiqua"/>
          <w:b/>
          <w:bCs/>
          <w:u w:val="single"/>
        </w:rPr>
        <w:t>CASE DESCRIPTION OF POST-TACE NECROSIS</w:t>
      </w:r>
    </w:p>
    <w:p>
      <w:pPr>
        <w:spacing w:line="360" w:lineRule="auto"/>
        <w:jc w:val="both"/>
        <w:rPr>
          <w:rStyle w:val="13"/>
          <w:rFonts w:ascii="Book Antiqua" w:hAnsi="Book Antiqua" w:eastAsia="Book Antiqua" w:cs="Book Antiqua"/>
        </w:rPr>
      </w:pPr>
      <w:r>
        <w:rPr>
          <w:rStyle w:val="13"/>
          <w:rFonts w:ascii="Book Antiqua" w:hAnsi="Book Antiqua"/>
        </w:rPr>
        <w:t>We report a case of a 79-year-old woman with post-TACE hepatic hilar necrosis which resulted in serrated biliary stenosis. The patient was affected by hepatitis C virus related liver cirrhosis (Child-Pugh B7) complicated by hepatic encephalopathy, portal thrombosis, and multifocal HCC. Sustained virological response was achieved in 2016. In January 2023, for unresectable HCC recurrence in the caudate lobe, the patient underwent TACE. One month later, she was admitted to our hospital for persistent fever, abdominal pain, and jaundice. Abdominal imaging (US and CT) showed a cirrhotic liver with intrahepatic biliary dilation with solid tissue at the level of hilar bifurcation with substenosis. An endoscopic retrograde cholangiopancreatography (ERCP) and choledoscopy with Spyglass II was planned to study and characterize the biliary substenosis suitable for recurrence or necrosis and to treat the hilar stenosis. Biliary stenosis were seen during ERCP (Figure 1) and choledoscopy with Spyglass II revealed the presence of firm tissue strongly adherent to the biliary tree in the hepatic hilum (Figure 2). The histology report showed peri-bile duct tissue with necrotic change</w:t>
      </w:r>
      <w:r>
        <w:rPr>
          <w:rStyle w:val="13"/>
          <w:rFonts w:hint="eastAsia" w:ascii="Book Antiqua" w:hAnsi="Book Antiqua"/>
          <w:lang w:val="en-US" w:eastAsia="zh-CN"/>
        </w:rPr>
        <w:t>s</w:t>
      </w:r>
      <w:r>
        <w:rPr>
          <w:rStyle w:val="13"/>
          <w:rFonts w:ascii="Book Antiqua" w:hAnsi="Book Antiqua"/>
        </w:rPr>
        <w:t>, including coagulation necrosis and fibrinoid necrosis of the bile duct. After mechanical (Soehendra Biliary Dilation Catheter 4-6 Fr) and pneumatic dilatation (6 mm) of the intrahepatic ducts, two plastic stents (7 Fr × 15 cm) were placed in the left and right intrahepatic ducts to achieve proper biliary drainage</w:t>
      </w:r>
      <w:r>
        <w:rPr>
          <w:rStyle w:val="13"/>
          <w:rFonts w:hint="eastAsia" w:ascii="Book Antiqua" w:hAnsi="Book Antiqua"/>
          <w:lang w:val="en-US" w:eastAsia="zh-CN"/>
        </w:rPr>
        <w:t>.</w:t>
      </w:r>
      <w:r>
        <w:rPr>
          <w:rStyle w:val="13"/>
          <w:rFonts w:ascii="Book Antiqua" w:hAnsi="Book Antiqua"/>
        </w:rPr>
        <w:t xml:space="preserve"> </w:t>
      </w:r>
      <w:r>
        <w:rPr>
          <w:rStyle w:val="13"/>
          <w:rFonts w:hint="eastAsia" w:ascii="Book Antiqua" w:hAnsi="Book Antiqua"/>
          <w:lang w:val="en-US" w:eastAsia="zh-CN"/>
        </w:rPr>
        <w:t>Moreover</w:t>
      </w:r>
      <w:r>
        <w:rPr>
          <w:rStyle w:val="13"/>
          <w:rFonts w:ascii="Book Antiqua" w:hAnsi="Book Antiqua"/>
        </w:rPr>
        <w:t xml:space="preserve"> progressive pneumatic dilations (up to 8 mm) associated to multiple stenting replacement (up to 8.5 Fr × 12 cm) were subsequently performed to avoid jaundice recurrence and in the attempt to improve hilar stenosis. During follow-up the endoscopic treatment proved to be unsuccessful</w:t>
      </w:r>
      <w:r>
        <w:rPr>
          <w:rStyle w:val="13"/>
          <w:rFonts w:hint="eastAsia" w:ascii="Book Antiqua" w:hAnsi="Book Antiqua"/>
          <w:lang w:val="en-US" w:eastAsia="zh-CN"/>
        </w:rPr>
        <w:t>,</w:t>
      </w:r>
      <w:r>
        <w:rPr>
          <w:rStyle w:val="13"/>
          <w:rFonts w:ascii="Book Antiqua" w:hAnsi="Book Antiqua"/>
        </w:rPr>
        <w:t xml:space="preserve"> given the persistence of biliary strictures together with the intrahepatic biliary dilation (Figure 3), suggesting permanent ischemic biliary damage. However, in light of the already compromised liver function and given the extent of the biliary damage, the patient was not eligible for other therapeutic options. The subsequent clinical, laboratory and radiological evaluations showed a stationary condition, and the patient showed no signs of obstructive jaundice at follow up.</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b/>
          <w:bCs/>
          <w:u w:val="single"/>
        </w:rPr>
      </w:pPr>
      <w:r>
        <w:rPr>
          <w:rStyle w:val="13"/>
          <w:rFonts w:ascii="Book Antiqua" w:hAnsi="Book Antiqua"/>
          <w:b/>
          <w:bCs/>
          <w:u w:val="single"/>
        </w:rPr>
        <w:t>CLINICAL CHARACTERISTIC OF POST-TACE NECROSIS AND SUBSEQUENT BILIARY STRICTURE</w:t>
      </w:r>
    </w:p>
    <w:p>
      <w:pPr>
        <w:spacing w:line="360" w:lineRule="auto"/>
        <w:jc w:val="both"/>
        <w:rPr>
          <w:rStyle w:val="13"/>
          <w:rFonts w:ascii="Book Antiqua" w:hAnsi="Book Antiqua" w:eastAsia="Book Antiqua" w:cs="Book Antiqua"/>
        </w:rPr>
      </w:pPr>
      <w:r>
        <w:rPr>
          <w:rStyle w:val="13"/>
          <w:rFonts w:ascii="Book Antiqua" w:hAnsi="Book Antiqua"/>
        </w:rPr>
        <w:t>TACE is considered to be safe as well as effective for HCC, but, as already said, nonvascular and vascular AE have been reported</w:t>
      </w:r>
      <w:r>
        <w:rPr>
          <w:rStyle w:val="14"/>
        </w:rPr>
        <w:t>[5]</w:t>
      </w:r>
      <w:r>
        <w:rPr>
          <w:rStyle w:val="13"/>
          <w:rFonts w:ascii="Book Antiqua" w:hAnsi="Book Antiqua"/>
        </w:rPr>
        <w:t>. Among the non-vascular complications, post-TACE syndrome presents in almost the totality of cases. It is characterized by fever, hypertransaminasemia, and right upper abdominal pain, but it is a clinical self-limiting condition lasting &lt; 48 h. Beside post-TACE syndrome, other nonvascular complications such as biloma, hepatic and renal failure, sepsis, pancreatitis, and toxicities induced by chemo-agents can occur. Vascular AE include post-TACE hepatic necrosis and perforation. In particular</w:t>
      </w:r>
      <w:r>
        <w:rPr>
          <w:rStyle w:val="13"/>
          <w:rFonts w:ascii="Book Antiqua" w:hAnsi="Book Antiqua"/>
          <w:lang w:val="it-IT"/>
        </w:rPr>
        <w:t>, a</w:t>
      </w:r>
      <w:r>
        <w:rPr>
          <w:rStyle w:val="13"/>
          <w:rFonts w:ascii="Book Antiqua" w:hAnsi="Book Antiqua"/>
        </w:rPr>
        <w:t xml:space="preserve"> rare occurrence of hepatic necrosis in a </w:t>
      </w:r>
      <w:r>
        <w:rPr>
          <w:rStyle w:val="13"/>
          <w:rFonts w:ascii="Book Antiqua" w:hAnsi="Book Antiqua"/>
          <w:lang w:val="it-IT"/>
        </w:rPr>
        <w:t>patient</w:t>
      </w:r>
      <w:r>
        <w:rPr>
          <w:rStyle w:val="13"/>
          <w:rFonts w:ascii="Book Antiqua" w:hAnsi="Book Antiqua"/>
        </w:rPr>
        <w:t xml:space="preserve"> with a metastatic neuroendocrine tumor (NET) was reported by </w:t>
      </w:r>
      <w:r>
        <w:rPr>
          <w:rStyle w:val="13"/>
          <w:rFonts w:ascii="Book Antiqua" w:hAnsi="Book Antiqua"/>
          <w:iCs/>
        </w:rPr>
        <w:t>Micallef</w:t>
      </w:r>
      <w:r>
        <w:rPr>
          <w:rStyle w:val="13"/>
          <w:rFonts w:ascii="Book Antiqua" w:hAnsi="Book Antiqua"/>
          <w:i/>
          <w:iCs/>
        </w:rPr>
        <w:t xml:space="preserve"> et al</w:t>
      </w:r>
      <w:r>
        <w:fldChar w:fldCharType="begin"/>
      </w:r>
      <w:r>
        <w:instrText xml:space="preserve"> HYPERLINK "https://www.zotero.org/google-docs/?Lu8wGy" </w:instrText>
      </w:r>
      <w:r>
        <w:fldChar w:fldCharType="separate"/>
      </w:r>
      <w:r>
        <w:rPr>
          <w:rStyle w:val="15"/>
        </w:rPr>
        <w:t>[4]</w:t>
      </w:r>
      <w:r>
        <w:rPr>
          <w:rStyle w:val="15"/>
        </w:rPr>
        <w:fldChar w:fldCharType="end"/>
      </w:r>
      <w:r>
        <w:rPr>
          <w:rStyle w:val="13"/>
          <w:rFonts w:ascii="Book Antiqua" w:hAnsi="Book Antiqua"/>
        </w:rPr>
        <w:t xml:space="preserve">. Kim </w:t>
      </w:r>
      <w:r>
        <w:rPr>
          <w:rStyle w:val="13"/>
          <w:rFonts w:ascii="Book Antiqua" w:hAnsi="Book Antiqua"/>
          <w:i/>
          <w:iCs/>
        </w:rPr>
        <w:t>et al</w:t>
      </w:r>
      <w:r>
        <w:fldChar w:fldCharType="begin"/>
      </w:r>
      <w:r>
        <w:instrText xml:space="preserve"> HYPERLINK "https://www.zotero.org/google-docs/?Lu8wGy" </w:instrText>
      </w:r>
      <w:r>
        <w:fldChar w:fldCharType="separate"/>
      </w:r>
      <w:r>
        <w:rPr>
          <w:rStyle w:val="14"/>
        </w:rPr>
        <w:t>[7]</w:t>
      </w:r>
      <w:r>
        <w:rPr>
          <w:rStyle w:val="14"/>
        </w:rPr>
        <w:fldChar w:fldCharType="end"/>
      </w:r>
      <w:r>
        <w:rPr>
          <w:rStyle w:val="13"/>
          <w:rFonts w:ascii="Book Antiqua" w:hAnsi="Book Antiqua"/>
        </w:rPr>
        <w:t xml:space="preserve"> reported post-TACE duodenal perforation and esophageal ischemia in a man with unresectable HCC. Vascular thrombosis was detected on Doppler ultrasound and computed tomography scan (CT) in both reports, likely due to chemo-agents/arterial embolization induced ischemia, which probably plays a pivotal role in post-TACE necrosis and can lead to subsequent irreversible biliary stenosis.</w:t>
      </w:r>
    </w:p>
    <w:p>
      <w:pPr>
        <w:spacing w:line="360" w:lineRule="auto"/>
        <w:ind w:firstLine="480"/>
        <w:jc w:val="both"/>
        <w:rPr>
          <w:rStyle w:val="13"/>
          <w:rFonts w:ascii="Book Antiqua" w:hAnsi="Book Antiqua" w:eastAsia="Book Antiqua" w:cs="Book Antiqua"/>
        </w:rPr>
      </w:pPr>
      <w:r>
        <w:rPr>
          <w:rStyle w:val="13"/>
          <w:rFonts w:ascii="Book Antiqua" w:hAnsi="Book Antiqua"/>
        </w:rPr>
        <w:t>Hepatic arteries are the only blood vessels that supply the bile ducts. When the peribiliary vascular plexus or the tiny hepatic arteries are damaged, or when all arterial blood supplies are cut off, as in the case of a transplanted liver with hepatic artery thrombosis, an ischemic bile duct injury may result. Most causes of bile duct ischemia are iatrogenic: benign biliary stricture (BBS) represents the most frequently observed post-LT biliary complication</w:t>
      </w:r>
      <w:r>
        <w:fldChar w:fldCharType="begin"/>
      </w:r>
      <w:r>
        <w:instrText xml:space="preserve"> HYPERLINK "https://www.zotero.org/google-docs/?Dh3vdU" </w:instrText>
      </w:r>
      <w:r>
        <w:fldChar w:fldCharType="separate"/>
      </w:r>
      <w:r>
        <w:rPr>
          <w:rStyle w:val="14"/>
        </w:rPr>
        <w:t>[3]</w:t>
      </w:r>
      <w:r>
        <w:rPr>
          <w:rStyle w:val="14"/>
        </w:rPr>
        <w:fldChar w:fldCharType="end"/>
      </w:r>
      <w:r>
        <w:rPr>
          <w:rStyle w:val="13"/>
          <w:rFonts w:ascii="Book Antiqua" w:hAnsi="Book Antiqua"/>
        </w:rPr>
        <w:t xml:space="preserve">. However, liver necrosis and subsequent BS is a very rare complication after TACE, as the liver parenchyma receives a dual blood supply </w:t>
      </w:r>
      <w:r>
        <w:rPr>
          <w:rStyle w:val="13"/>
          <w:rFonts w:ascii="Book Antiqua" w:hAnsi="Book Antiqua"/>
          <w:i/>
          <w:iCs/>
        </w:rPr>
        <w:t>via</w:t>
      </w:r>
      <w:r>
        <w:rPr>
          <w:rStyle w:val="13"/>
          <w:rFonts w:ascii="Book Antiqua" w:hAnsi="Book Antiqua"/>
        </w:rPr>
        <w:t xml:space="preserve"> the hepatic arteries and the hepatic portal veins</w:t>
      </w:r>
      <w:r>
        <w:fldChar w:fldCharType="begin"/>
      </w:r>
      <w:r>
        <w:instrText xml:space="preserve"> HYPERLINK "https://www.zotero.org/google-docs/?xEuxKM" </w:instrText>
      </w:r>
      <w:r>
        <w:fldChar w:fldCharType="separate"/>
      </w:r>
      <w:r>
        <w:rPr>
          <w:rStyle w:val="14"/>
        </w:rPr>
        <w:t>[2]</w:t>
      </w:r>
      <w:r>
        <w:rPr>
          <w:rStyle w:val="14"/>
        </w:rPr>
        <w:fldChar w:fldCharType="end"/>
      </w:r>
      <w:r>
        <w:rPr>
          <w:rStyle w:val="13"/>
          <w:rFonts w:ascii="Book Antiqua" w:hAnsi="Book Antiqua"/>
        </w:rPr>
        <w:t>. It has only been reported in a few cases</w:t>
      </w:r>
      <w:r>
        <w:fldChar w:fldCharType="begin"/>
      </w:r>
      <w:r>
        <w:instrText xml:space="preserve"> HYPERLINK "https://www.zotero.org/google-docs/?1PDyEC" </w:instrText>
      </w:r>
      <w:r>
        <w:fldChar w:fldCharType="separate"/>
      </w:r>
      <w:r>
        <w:rPr>
          <w:rStyle w:val="14"/>
        </w:rPr>
        <w:t>[8,9]</w:t>
      </w:r>
      <w:r>
        <w:rPr>
          <w:rStyle w:val="14"/>
        </w:rPr>
        <w:fldChar w:fldCharType="end"/>
      </w:r>
      <w:r>
        <w:rPr>
          <w:rStyle w:val="13"/>
          <w:rFonts w:ascii="Book Antiqua" w:hAnsi="Book Antiqua"/>
        </w:rPr>
        <w:t>, therefore its incidence has not been clearly estimated. In the anecdotal cases found in the literature the most common outcome was death.</w:t>
      </w:r>
    </w:p>
    <w:p>
      <w:pPr>
        <w:spacing w:line="360" w:lineRule="auto"/>
        <w:ind w:firstLine="480"/>
        <w:jc w:val="both"/>
        <w:rPr>
          <w:rStyle w:val="13"/>
          <w:rFonts w:ascii="Book Antiqua" w:hAnsi="Book Antiqua" w:eastAsia="Book Antiqua" w:cs="Book Antiqua"/>
        </w:rPr>
      </w:pPr>
      <w:r>
        <w:rPr>
          <w:rStyle w:val="13"/>
          <w:rFonts w:ascii="Book Antiqua" w:hAnsi="Book Antiqua"/>
        </w:rPr>
        <w:t>TACE should be suggested in patients with unresectable HCC</w:t>
      </w:r>
      <w:r>
        <w:fldChar w:fldCharType="begin"/>
      </w:r>
      <w:r>
        <w:instrText xml:space="preserve"> HYPERLINK "https://www.zotero.org/google-docs/?79V9OE" </w:instrText>
      </w:r>
      <w:r>
        <w:fldChar w:fldCharType="separate"/>
      </w:r>
      <w:r>
        <w:rPr>
          <w:rStyle w:val="14"/>
        </w:rPr>
        <w:t>[2]</w:t>
      </w:r>
      <w:r>
        <w:rPr>
          <w:rStyle w:val="14"/>
        </w:rPr>
        <w:fldChar w:fldCharType="end"/>
      </w:r>
      <w:r>
        <w:rPr>
          <w:rStyle w:val="13"/>
          <w:rFonts w:ascii="Book Antiqua" w:hAnsi="Book Antiqua"/>
        </w:rPr>
        <w:t xml:space="preserve"> not eligible for LT and it is considered a safe procedure. However, in the described case, we have shown how TACE could be linked to severe vascular complications such as hepatic necrosis resulting in biliary tree stenosis. Although this AE is rare and unexpected, it may result in severe sequelae (</w:t>
      </w:r>
      <w:r>
        <w:rPr>
          <w:rStyle w:val="13"/>
          <w:rFonts w:ascii="Book Antiqua" w:hAnsi="Book Antiqua"/>
          <w:i/>
          <w:iCs/>
        </w:rPr>
        <w:t>i.e.</w:t>
      </w:r>
      <w:r>
        <w:rPr>
          <w:rStyle w:val="13"/>
          <w:rFonts w:ascii="Book Antiqua" w:hAnsi="Book Antiqua"/>
        </w:rPr>
        <w:t xml:space="preserve"> jaundice, sepsis). That is why it should be considered if fever and abdominal pain are not self-limiting within 48 h and/or continue after analgesics administration</w:t>
      </w:r>
      <w:r>
        <w:rPr>
          <w:rStyle w:val="14"/>
        </w:rPr>
        <w:t>[4,5]</w:t>
      </w:r>
      <w:r>
        <w:rPr>
          <w:rStyle w:val="13"/>
          <w:rFonts w:ascii="Book Antiqua" w:hAnsi="Book Antiqua"/>
        </w:rPr>
        <w:t>. Post-TACE biliary strictures can be diagnosed when signs and symptoms of biliary obstruction (abnormal liver function tests, jaundice, abdominal pain, and cholangitis) occur and in case of biliary dilatation on imaging. Localization and confirmation of the BS ultimately depends on cholangiography, either contrast-enhanced or magnetic resonance cholangiopancreatography (MRCP)</w:t>
      </w:r>
      <w:r>
        <w:fldChar w:fldCharType="begin"/>
      </w:r>
      <w:r>
        <w:instrText xml:space="preserve"> HYPERLINK "https://www.zotero.org/google-docs/?g21DoQ" </w:instrText>
      </w:r>
      <w:r>
        <w:fldChar w:fldCharType="separate"/>
      </w:r>
      <w:r>
        <w:rPr>
          <w:rStyle w:val="14"/>
        </w:rPr>
        <w:t>[10]</w:t>
      </w:r>
      <w:r>
        <w:rPr>
          <w:rStyle w:val="14"/>
        </w:rPr>
        <w:fldChar w:fldCharType="end"/>
      </w:r>
      <w:r>
        <w:rPr>
          <w:rStyle w:val="13"/>
          <w:rFonts w:ascii="Book Antiqua" w:hAnsi="Book Antiqua"/>
        </w:rPr>
        <w:t>.</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b/>
          <w:bCs/>
          <w:u w:val="single"/>
        </w:rPr>
      </w:pPr>
      <w:r>
        <w:rPr>
          <w:rStyle w:val="13"/>
          <w:rFonts w:ascii="Book Antiqua" w:hAnsi="Book Antiqua"/>
          <w:b/>
          <w:bCs/>
          <w:u w:val="single"/>
        </w:rPr>
        <w:t>ENDOSCOPIC TREATMENT OF BENIGN BILIARY STENOSIS</w:t>
      </w:r>
    </w:p>
    <w:p>
      <w:pPr>
        <w:spacing w:line="360" w:lineRule="auto"/>
        <w:jc w:val="both"/>
        <w:rPr>
          <w:rStyle w:val="13"/>
          <w:rFonts w:ascii="Book Antiqua" w:hAnsi="Book Antiqua" w:eastAsia="Book Antiqua" w:cs="Book Antiqua"/>
        </w:rPr>
      </w:pPr>
      <w:r>
        <w:rPr>
          <w:rStyle w:val="13"/>
          <w:rFonts w:ascii="Book Antiqua" w:hAnsi="Book Antiqua"/>
        </w:rPr>
        <w:t>Endoscopy has become the preferred option for treating BBS, of which 85% are located in the common bile duct</w:t>
      </w:r>
      <w:r>
        <w:fldChar w:fldCharType="begin"/>
      </w:r>
      <w:r>
        <w:instrText xml:space="preserve"> HYPERLINK "https://www.zotero.org/google-docs/?ZWVHEx" </w:instrText>
      </w:r>
      <w:r>
        <w:fldChar w:fldCharType="separate"/>
      </w:r>
      <w:r>
        <w:rPr>
          <w:rStyle w:val="14"/>
        </w:rPr>
        <w:t>[11]</w:t>
      </w:r>
      <w:r>
        <w:rPr>
          <w:rStyle w:val="14"/>
        </w:rPr>
        <w:fldChar w:fldCharType="end"/>
      </w:r>
      <w:r>
        <w:rPr>
          <w:rStyle w:val="13"/>
          <w:rFonts w:ascii="Book Antiqua" w:hAnsi="Book Antiqua"/>
        </w:rPr>
        <w:t>. Unacceptably high adverse event rates and poor long-term results have led to the discontinuation of BBSs therapy with a single plastic stent or uncovered SEMS</w:t>
      </w:r>
      <w:r>
        <w:fldChar w:fldCharType="begin"/>
      </w:r>
      <w:r>
        <w:instrText xml:space="preserve"> HYPERLINK "https://www.zotero.org/google-docs/?qO044x" </w:instrText>
      </w:r>
      <w:r>
        <w:fldChar w:fldCharType="separate"/>
      </w:r>
      <w:r>
        <w:rPr>
          <w:rStyle w:val="14"/>
        </w:rPr>
        <w:t>[11,12]</w:t>
      </w:r>
      <w:r>
        <w:rPr>
          <w:rStyle w:val="14"/>
        </w:rPr>
        <w:fldChar w:fldCharType="end"/>
      </w:r>
      <w:r>
        <w:rPr>
          <w:rStyle w:val="13"/>
          <w:rFonts w:ascii="Book Antiqua" w:hAnsi="Book Antiqua"/>
        </w:rPr>
        <w:t>. Therefore, the use of a single plastic stent as a first line of treatment should only be considered in very specific cases before engaging definite strategies.</w:t>
      </w:r>
    </w:p>
    <w:p>
      <w:pPr>
        <w:spacing w:line="360" w:lineRule="auto"/>
        <w:ind w:firstLine="480"/>
        <w:jc w:val="both"/>
        <w:rPr>
          <w:rStyle w:val="13"/>
          <w:rFonts w:ascii="Book Antiqua" w:hAnsi="Book Antiqua" w:eastAsia="Book Antiqua" w:cs="Book Antiqua"/>
        </w:rPr>
      </w:pPr>
      <w:r>
        <w:rPr>
          <w:rStyle w:val="13"/>
          <w:rFonts w:ascii="Book Antiqua" w:hAnsi="Book Antiqua"/>
        </w:rPr>
        <w:t xml:space="preserve">Endoscopic treatment consists in multiple plastic stent (MPS) placement, balloon dilation, or a combination of these two techniques. The guidelines of the European Society of Gastrointestinal Endoscopy (ESGE) suggest inserting as many stents as feasible every 3 months for a total </w:t>
      </w:r>
      <w:r>
        <w:rPr>
          <w:rStyle w:val="13"/>
          <w:rFonts w:ascii="Book Antiqua" w:hAnsi="Book Antiqua"/>
          <w:lang w:val="it-IT"/>
        </w:rPr>
        <w:t xml:space="preserve">period </w:t>
      </w:r>
      <w:r>
        <w:rPr>
          <w:rStyle w:val="13"/>
          <w:rFonts w:ascii="Book Antiqua" w:hAnsi="Book Antiqua"/>
        </w:rPr>
        <w:t>of 12 mo</w:t>
      </w:r>
      <w:r>
        <w:rPr>
          <w:rStyle w:val="13"/>
          <w:rFonts w:hint="eastAsia" w:ascii="Book Antiqua" w:hAnsi="Book Antiqua"/>
          <w:lang w:val="en-US" w:eastAsia="zh-CN"/>
        </w:rPr>
        <w:t>nths</w:t>
      </w:r>
      <w:r>
        <w:rPr>
          <w:rStyle w:val="14"/>
        </w:rPr>
        <w:fldChar w:fldCharType="begin"/>
      </w:r>
      <w:r>
        <w:rPr>
          <w:rStyle w:val="14"/>
        </w:rPr>
        <w:instrText xml:space="preserve"> HYPERLINK "https://www.zotero.org/google-docs/?KL58jD" </w:instrText>
      </w:r>
      <w:r>
        <w:rPr>
          <w:rStyle w:val="14"/>
        </w:rPr>
        <w:fldChar w:fldCharType="separate"/>
      </w:r>
      <w:r>
        <w:rPr>
          <w:rStyle w:val="14"/>
        </w:rPr>
        <w:t>[11]</w:t>
      </w:r>
      <w:r>
        <w:rPr>
          <w:rStyle w:val="14"/>
        </w:rPr>
        <w:fldChar w:fldCharType="end"/>
      </w:r>
      <w:r>
        <w:rPr>
          <w:rStyle w:val="13"/>
          <w:rFonts w:ascii="Book Antiqua" w:hAnsi="Book Antiqua"/>
        </w:rPr>
        <w:t xml:space="preserve">. Plastic stents remain the </w:t>
      </w:r>
      <w:r>
        <w:rPr>
          <w:rStyle w:val="13"/>
          <w:rFonts w:ascii="Book Antiqua" w:hAnsi="Book Antiqua"/>
          <w:lang w:val="it-IT"/>
        </w:rPr>
        <w:t xml:space="preserve">gold </w:t>
      </w:r>
      <w:r>
        <w:rPr>
          <w:rStyle w:val="13"/>
          <w:rFonts w:ascii="Book Antiqua" w:hAnsi="Book Antiqua"/>
        </w:rPr>
        <w:t>standard for management of benign biliary strictures despite recent data demonstrating good and equal effectiveness of fully covered metal stents (FC-SEMS) in selected clinical scenarios</w:t>
      </w:r>
      <w:r>
        <w:fldChar w:fldCharType="begin"/>
      </w:r>
      <w:r>
        <w:instrText xml:space="preserve"> HYPERLINK "https://www.zotero.org/google-docs/?Bf64pW" </w:instrText>
      </w:r>
      <w:r>
        <w:fldChar w:fldCharType="separate"/>
      </w:r>
      <w:r>
        <w:rPr>
          <w:rStyle w:val="14"/>
        </w:rPr>
        <w:t>[13,14]</w:t>
      </w:r>
      <w:r>
        <w:rPr>
          <w:rStyle w:val="14"/>
        </w:rPr>
        <w:fldChar w:fldCharType="end"/>
      </w:r>
      <w:r>
        <w:rPr>
          <w:rStyle w:val="13"/>
          <w:rFonts w:ascii="Book Antiqua" w:hAnsi="Book Antiqua"/>
        </w:rPr>
        <w:t xml:space="preserve">. With their larger diameters (10 mm </w:t>
      </w:r>
      <w:r>
        <w:rPr>
          <w:rStyle w:val="13"/>
          <w:rFonts w:ascii="Book Antiqua" w:hAnsi="Book Antiqua"/>
          <w:i/>
        </w:rPr>
        <w:t>vs</w:t>
      </w:r>
      <w:r>
        <w:rPr>
          <w:rStyle w:val="13"/>
          <w:rFonts w:ascii="Book Antiqua" w:hAnsi="Book Antiqua"/>
        </w:rPr>
        <w:t xml:space="preserve"> 3.3 mm, respectively) and technical advantages—they are simpler to insert and take less time to place than MPS—they may be able to overcome some of the drawbacks of plastic stents</w:t>
      </w:r>
      <w:r>
        <w:fldChar w:fldCharType="begin"/>
      </w:r>
      <w:r>
        <w:instrText xml:space="preserve"> HYPERLINK "https://www.zotero.org/google-docs/?jE9bPm" </w:instrText>
      </w:r>
      <w:r>
        <w:fldChar w:fldCharType="separate"/>
      </w:r>
      <w:r>
        <w:rPr>
          <w:rStyle w:val="14"/>
        </w:rPr>
        <w:t>[15]</w:t>
      </w:r>
      <w:r>
        <w:rPr>
          <w:rStyle w:val="14"/>
        </w:rPr>
        <w:fldChar w:fldCharType="end"/>
      </w:r>
      <w:r>
        <w:rPr>
          <w:rStyle w:val="13"/>
          <w:rFonts w:ascii="Book Antiqua" w:hAnsi="Book Antiqua"/>
        </w:rPr>
        <w:t xml:space="preserve">. However, using FC-SEMS </w:t>
      </w:r>
      <w:r>
        <w:rPr>
          <w:rStyle w:val="13"/>
          <w:rFonts w:ascii="Book Antiqua" w:hAnsi="Book Antiqua"/>
          <w:lang w:val="it-IT"/>
        </w:rPr>
        <w:t>presents</w:t>
      </w:r>
      <w:r>
        <w:rPr>
          <w:rStyle w:val="13"/>
          <w:rFonts w:ascii="Book Antiqua" w:hAnsi="Book Antiqua"/>
        </w:rPr>
        <w:t xml:space="preserve"> a high risk of stent migration (around 9%), which varies significantly depending on the cause of the stenosis</w:t>
      </w:r>
      <w:r>
        <w:fldChar w:fldCharType="begin"/>
      </w:r>
      <w:r>
        <w:instrText xml:space="preserve"> HYPERLINK "https://www.zotero.org/google-docs/?hNFnza" </w:instrText>
      </w:r>
      <w:r>
        <w:fldChar w:fldCharType="separate"/>
      </w:r>
      <w:r>
        <w:rPr>
          <w:rStyle w:val="14"/>
        </w:rPr>
        <w:t>[14]</w:t>
      </w:r>
      <w:r>
        <w:rPr>
          <w:rStyle w:val="14"/>
        </w:rPr>
        <w:fldChar w:fldCharType="end"/>
      </w:r>
      <w:r>
        <w:rPr>
          <w:rStyle w:val="13"/>
          <w:rFonts w:ascii="Book Antiqua" w:hAnsi="Book Antiqua"/>
        </w:rPr>
        <w:t>.</w:t>
      </w:r>
    </w:p>
    <w:p>
      <w:pPr>
        <w:spacing w:line="360" w:lineRule="auto"/>
        <w:ind w:firstLine="480"/>
        <w:jc w:val="both"/>
        <w:rPr>
          <w:rStyle w:val="13"/>
          <w:rFonts w:ascii="Book Antiqua" w:hAnsi="Book Antiqua" w:eastAsia="Book Antiqua" w:cs="Book Antiqua"/>
        </w:rPr>
      </w:pPr>
      <w:r>
        <w:rPr>
          <w:rStyle w:val="13"/>
          <w:rFonts w:ascii="Book Antiqua" w:hAnsi="Book Antiqua"/>
        </w:rPr>
        <w:t xml:space="preserve">Technically speaking, hepatic and hilary strictures </w:t>
      </w:r>
      <w:r>
        <w:rPr>
          <w:rStyle w:val="13"/>
          <w:rFonts w:ascii="Book Antiqua" w:hAnsi="Book Antiqua"/>
          <w:lang w:val="it-IT"/>
        </w:rPr>
        <w:t>re</w:t>
      </w:r>
      <w:r>
        <w:rPr>
          <w:rStyle w:val="13"/>
          <w:rFonts w:ascii="Book Antiqua" w:hAnsi="Book Antiqua"/>
        </w:rPr>
        <w:t>present greater challenges for endoscopists. Percutaneous transhepatic cholangiography is one of the extra treatments that may be needed for the management of these strictures</w:t>
      </w:r>
      <w:r>
        <w:fldChar w:fldCharType="begin"/>
      </w:r>
      <w:r>
        <w:instrText xml:space="preserve"> HYPERLINK "https://www.zotero.org/google-docs/?giDO3B" </w:instrText>
      </w:r>
      <w:r>
        <w:fldChar w:fldCharType="separate"/>
      </w:r>
      <w:r>
        <w:rPr>
          <w:rStyle w:val="14"/>
        </w:rPr>
        <w:t>[10,11]</w:t>
      </w:r>
      <w:r>
        <w:rPr>
          <w:rStyle w:val="14"/>
        </w:rPr>
        <w:fldChar w:fldCharType="end"/>
      </w:r>
      <w:r>
        <w:rPr>
          <w:rStyle w:val="13"/>
          <w:rFonts w:ascii="Book Antiqua" w:hAnsi="Book Antiqua"/>
        </w:rPr>
        <w:t xml:space="preserve">. These </w:t>
      </w:r>
      <w:r>
        <w:rPr>
          <w:rStyle w:val="13"/>
          <w:rFonts w:ascii="Book Antiqua" w:hAnsi="Book Antiqua"/>
          <w:lang w:val="it-IT"/>
        </w:rPr>
        <w:t xml:space="preserve">kind of </w:t>
      </w:r>
      <w:r>
        <w:rPr>
          <w:rStyle w:val="13"/>
          <w:rFonts w:ascii="Book Antiqua" w:hAnsi="Book Antiqua"/>
        </w:rPr>
        <w:t>strictures are more common in individuals with primary sclerosing cholangitis (PSC). Short-term stents were not better than balloon dilatation in the first and only randomized trial of individuals with PSC with a prominent intrahepatic or hilar stricture, and they might even be harmful. Consequently, a very high rate of treatment-related adverse events, such as cholangitis, post-ERCP pancreatitis, and cholecystitis, necessitated the study's termination.</w:t>
      </w:r>
      <w:r>
        <w:rPr>
          <w:rStyle w:val="13"/>
          <w:rFonts w:ascii="Book Antiqua" w:hAnsi="Book Antiqua"/>
          <w:lang w:val="it-IT"/>
        </w:rPr>
        <w:t xml:space="preserve"> Therefore</w:t>
      </w:r>
      <w:r>
        <w:rPr>
          <w:rStyle w:val="13"/>
          <w:rFonts w:ascii="Book Antiqua" w:hAnsi="Book Antiqua"/>
        </w:rPr>
        <w:t xml:space="preserve">, </w:t>
      </w:r>
      <w:r>
        <w:rPr>
          <w:rStyle w:val="13"/>
          <w:rFonts w:ascii="Book Antiqua" w:hAnsi="Book Antiqua"/>
          <w:lang w:val="it-IT"/>
        </w:rPr>
        <w:t xml:space="preserve"> d</w:t>
      </w:r>
      <w:r>
        <w:rPr>
          <w:rStyle w:val="13"/>
          <w:rFonts w:ascii="Book Antiqua" w:hAnsi="Book Antiqua"/>
        </w:rPr>
        <w:t>ue to its ability to lower cholestasis, balloon dilatation ought to be the first treatment option for benign intrahepatic and hilar strictures</w:t>
      </w:r>
      <w:r>
        <w:fldChar w:fldCharType="begin"/>
      </w:r>
      <w:r>
        <w:instrText xml:space="preserve"> HYPERLINK "https://www.zotero.org/google-docs/?v9E0G2" </w:instrText>
      </w:r>
      <w:r>
        <w:fldChar w:fldCharType="separate"/>
      </w:r>
      <w:r>
        <w:rPr>
          <w:rStyle w:val="14"/>
        </w:rPr>
        <w:t>[15,16]</w:t>
      </w:r>
      <w:r>
        <w:rPr>
          <w:rStyle w:val="14"/>
        </w:rPr>
        <w:fldChar w:fldCharType="end"/>
      </w:r>
      <w:r>
        <w:rPr>
          <w:rStyle w:val="13"/>
          <w:rFonts w:ascii="Book Antiqua" w:hAnsi="Book Antiqua"/>
        </w:rPr>
        <w:t>.</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rPr>
      </w:pPr>
      <w:r>
        <w:rPr>
          <w:rStyle w:val="13"/>
          <w:rFonts w:ascii="Book Antiqua" w:hAnsi="Book Antiqua"/>
          <w:b/>
          <w:bCs/>
          <w:caps/>
          <w:u w:val="single"/>
        </w:rPr>
        <w:t>CONCLUSION</w:t>
      </w:r>
    </w:p>
    <w:p>
      <w:pPr>
        <w:spacing w:line="360" w:lineRule="auto"/>
        <w:jc w:val="both"/>
        <w:rPr>
          <w:rStyle w:val="13"/>
          <w:rFonts w:ascii="Book Antiqua" w:hAnsi="Book Antiqua" w:eastAsia="Book Antiqua" w:cs="Book Antiqua"/>
        </w:rPr>
      </w:pPr>
      <w:r>
        <w:rPr>
          <w:rStyle w:val="13"/>
          <w:rFonts w:ascii="Book Antiqua" w:hAnsi="Book Antiqua"/>
        </w:rPr>
        <w:t xml:space="preserve">For patients with intermediate-stage HCC with maintained liver function, TACE is currently the recommended type of treatment. It is a safe procedure that involves inserting synthetic materials and chemotherapy into a blood artery that feeds a tumor in order to interrupt </w:t>
      </w:r>
      <w:r>
        <w:rPr>
          <w:rStyle w:val="13"/>
          <w:rFonts w:ascii="Book Antiqua" w:hAnsi="Book Antiqua"/>
          <w:lang w:val="it-IT"/>
        </w:rPr>
        <w:t>it</w:t>
      </w:r>
      <w:r>
        <w:rPr>
          <w:rStyle w:val="13"/>
          <w:rFonts w:ascii="Book Antiqua" w:hAnsi="Book Antiqua"/>
        </w:rPr>
        <w:t>'s blood supply and trap the chemotherapy inside the tumor. However, TACE is associated with vascular and non-vascular adverse events. Non-vascular complications are biloma, hepatic and renal failure, sepsis, pancreatitis, and toxicities induced by chemo-agents; these adverse events are rare but extremely severe and can lead to patient death. The most common vascular AE is post-TACE syndrome which includes self-limiting fever, hypertransaminasemia, and right upper abdominal pain; post-TACE necrosis and perforation have been reported as well, and represent rare but severe vascular AE. We reported the first case of a severe biliary stricture induced by extensive post-TACE hepatic necrosis. Ischemic bile duct injury may occur when small hepatic arteries or the peribiliary vascular plexus are injured, or when all arterial blood supplies are interrupted, for example in transplanted liver with hepatic artery thrombosis. The clinical and biochemical examination (abnormal liver function tests, jaundice, abdominal discomfort, and cholangitis) together with biliary dilatation on imaging are part of the diagnostic workup of post-TACE biliary strictures. Cholangiography—either contrast-enhanced or MRCP—is eventually necessary for the localization and confirmation of the BS</w:t>
      </w:r>
      <w:r>
        <w:fldChar w:fldCharType="begin"/>
      </w:r>
      <w:r>
        <w:instrText xml:space="preserve"> HYPERLINK "https://www.zotero.org/google-docs/?eyvkye" </w:instrText>
      </w:r>
      <w:r>
        <w:fldChar w:fldCharType="separate"/>
      </w:r>
      <w:r>
        <w:rPr>
          <w:rStyle w:val="14"/>
        </w:rPr>
        <w:t>[10]</w:t>
      </w:r>
      <w:r>
        <w:rPr>
          <w:rStyle w:val="14"/>
        </w:rPr>
        <w:fldChar w:fldCharType="end"/>
      </w:r>
      <w:r>
        <w:rPr>
          <w:rStyle w:val="13"/>
          <w:rFonts w:ascii="Book Antiqua" w:hAnsi="Book Antiqua"/>
        </w:rPr>
        <w:t>. Endoscopic balloon dilation and multistenting treatment either with plastic or metallic stents represents the treatment of choice; however, in case of serrated stenosis, endoscopic treatment can be unsuccessful and may require radiological permanent biliary drainage or a surgical treatment.</w:t>
      </w:r>
    </w:p>
    <w:p>
      <w:pPr>
        <w:spacing w:line="360" w:lineRule="auto"/>
        <w:ind w:firstLine="480"/>
        <w:jc w:val="both"/>
        <w:rPr>
          <w:rStyle w:val="13"/>
          <w:rFonts w:ascii="Book Antiqua" w:hAnsi="Book Antiqua" w:eastAsia="Book Antiqua" w:cs="Book Antiqua"/>
        </w:rPr>
      </w:pPr>
      <w:r>
        <w:rPr>
          <w:rStyle w:val="13"/>
          <w:rFonts w:ascii="Book Antiqua" w:hAnsi="Book Antiqua"/>
        </w:rPr>
        <w:t>BDN is a stage that precedes overt biloma. When treated promptly, most intrahepatic bilomas have an excellent outcome. Patients who develop bilomas following TACE have a mortality incidence of between 5% and 10%</w:t>
      </w:r>
      <w:r>
        <w:fldChar w:fldCharType="begin"/>
      </w:r>
      <w:r>
        <w:instrText xml:space="preserve"> HYPERLINK "https://www.zotero.org/google-docs/?IUMy5k" </w:instrText>
      </w:r>
      <w:r>
        <w:fldChar w:fldCharType="separate"/>
      </w:r>
      <w:r>
        <w:rPr>
          <w:rStyle w:val="14"/>
        </w:rPr>
        <w:t>[17]</w:t>
      </w:r>
      <w:r>
        <w:rPr>
          <w:rStyle w:val="14"/>
        </w:rPr>
        <w:fldChar w:fldCharType="end"/>
      </w:r>
      <w:r>
        <w:rPr>
          <w:rStyle w:val="13"/>
          <w:rFonts w:ascii="Book Antiqua" w:hAnsi="Book Antiqua"/>
        </w:rPr>
        <w:t xml:space="preserve">. Therefore, early detection of BDN and biloma on imaging and extra careful management might be mandatory to improve patient prognosis </w:t>
      </w:r>
      <w:r>
        <w:rPr>
          <w:rStyle w:val="13"/>
          <w:rFonts w:ascii="Book Antiqua" w:hAnsi="Book Antiqua"/>
          <w:lang w:val="it-IT"/>
        </w:rPr>
        <w:t>after</w:t>
      </w:r>
      <w:r>
        <w:rPr>
          <w:rStyle w:val="13"/>
          <w:rFonts w:ascii="Book Antiqua" w:hAnsi="Book Antiqua"/>
        </w:rPr>
        <w:t xml:space="preserve"> repeated TACE for liver tumors.</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rPr>
      </w:pPr>
      <w:r>
        <w:rPr>
          <w:rStyle w:val="13"/>
          <w:rFonts w:ascii="Book Antiqua" w:hAnsi="Book Antiqua"/>
          <w:b/>
          <w:bCs/>
        </w:rPr>
        <w:t>REFERENCES</w:t>
      </w:r>
    </w:p>
    <w:p>
      <w:pPr>
        <w:spacing w:line="360" w:lineRule="auto"/>
        <w:jc w:val="both"/>
        <w:rPr>
          <w:rStyle w:val="13"/>
          <w:rFonts w:ascii="Book Antiqua" w:hAnsi="Book Antiqua" w:eastAsia="Book Antiqua" w:cs="Book Antiqua"/>
        </w:rPr>
      </w:pPr>
      <w:r>
        <w:rPr>
          <w:rStyle w:val="13"/>
          <w:rFonts w:ascii="Book Antiqua" w:hAnsi="Book Antiqua"/>
        </w:rPr>
        <w:t xml:space="preserve">1 </w:t>
      </w:r>
      <w:r>
        <w:rPr>
          <w:rStyle w:val="13"/>
          <w:rFonts w:ascii="Book Antiqua" w:hAnsi="Book Antiqua"/>
          <w:b/>
          <w:bCs/>
        </w:rPr>
        <w:t xml:space="preserve">European Association for the Study of the Liver. </w:t>
      </w:r>
      <w:r>
        <w:rPr>
          <w:rStyle w:val="13"/>
          <w:rFonts w:ascii="Book Antiqua" w:hAnsi="Book Antiqua"/>
        </w:rPr>
        <w:t xml:space="preserve">EASL Clinical Practice Guidelines: Management of hepatocellular carcinoma. </w:t>
      </w:r>
      <w:r>
        <w:rPr>
          <w:rStyle w:val="13"/>
          <w:rFonts w:ascii="Book Antiqua" w:hAnsi="Book Antiqua"/>
          <w:i/>
          <w:iCs/>
        </w:rPr>
        <w:t>J Hepatol</w:t>
      </w:r>
      <w:r>
        <w:rPr>
          <w:rStyle w:val="13"/>
          <w:rFonts w:ascii="Book Antiqua" w:hAnsi="Book Antiqua"/>
        </w:rPr>
        <w:t xml:space="preserve"> 2018; </w:t>
      </w:r>
      <w:r>
        <w:rPr>
          <w:rStyle w:val="13"/>
          <w:rFonts w:ascii="Book Antiqua" w:hAnsi="Book Antiqua"/>
          <w:b/>
          <w:bCs/>
        </w:rPr>
        <w:t>69</w:t>
      </w:r>
      <w:r>
        <w:rPr>
          <w:rStyle w:val="13"/>
          <w:rFonts w:ascii="Book Antiqua" w:hAnsi="Book Antiqua"/>
        </w:rPr>
        <w:t>: 182-236 [PMID: 29628281 DOI: 10.1016/j.jhep.2018.03.019]</w:t>
      </w:r>
    </w:p>
    <w:p>
      <w:pPr>
        <w:spacing w:line="360" w:lineRule="auto"/>
        <w:jc w:val="both"/>
        <w:rPr>
          <w:rStyle w:val="13"/>
          <w:rFonts w:ascii="Book Antiqua" w:hAnsi="Book Antiqua" w:eastAsia="Book Antiqua" w:cs="Book Antiqua"/>
        </w:rPr>
      </w:pPr>
      <w:r>
        <w:rPr>
          <w:rStyle w:val="13"/>
          <w:rFonts w:ascii="Book Antiqua" w:hAnsi="Book Antiqua"/>
        </w:rPr>
        <w:t xml:space="preserve">2 </w:t>
      </w:r>
      <w:r>
        <w:rPr>
          <w:rStyle w:val="13"/>
          <w:rFonts w:ascii="Book Antiqua" w:hAnsi="Book Antiqua"/>
          <w:b/>
          <w:bCs/>
        </w:rPr>
        <w:t>Reig M</w:t>
      </w:r>
      <w:r>
        <w:rPr>
          <w:rStyle w:val="13"/>
          <w:rFonts w:ascii="Book Antiqua" w:hAnsi="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Pr>
          <w:rStyle w:val="13"/>
          <w:rFonts w:ascii="Book Antiqua" w:hAnsi="Book Antiqua"/>
          <w:i/>
          <w:iCs/>
        </w:rPr>
        <w:t>J Hepatol</w:t>
      </w:r>
      <w:r>
        <w:rPr>
          <w:rStyle w:val="13"/>
          <w:rFonts w:ascii="Book Antiqua" w:hAnsi="Book Antiqua"/>
        </w:rPr>
        <w:t xml:space="preserve"> 2022; </w:t>
      </w:r>
      <w:r>
        <w:rPr>
          <w:rStyle w:val="13"/>
          <w:rFonts w:ascii="Book Antiqua" w:hAnsi="Book Antiqua"/>
          <w:b/>
          <w:bCs/>
        </w:rPr>
        <w:t>76</w:t>
      </w:r>
      <w:r>
        <w:rPr>
          <w:rStyle w:val="13"/>
          <w:rFonts w:ascii="Book Antiqua" w:hAnsi="Book Antiqua"/>
        </w:rPr>
        <w:t>: 681-693 [PMID: 34801630 DOI: 10.1016/j.jhep.2021.11.018]</w:t>
      </w:r>
    </w:p>
    <w:p>
      <w:pPr>
        <w:spacing w:line="360" w:lineRule="auto"/>
        <w:jc w:val="both"/>
        <w:rPr>
          <w:rStyle w:val="13"/>
          <w:rFonts w:ascii="Book Antiqua" w:hAnsi="Book Antiqua" w:eastAsia="Book Antiqua" w:cs="Book Antiqua"/>
        </w:rPr>
      </w:pPr>
      <w:r>
        <w:rPr>
          <w:rStyle w:val="13"/>
          <w:rFonts w:ascii="Book Antiqua" w:hAnsi="Book Antiqua"/>
        </w:rPr>
        <w:t xml:space="preserve">3 </w:t>
      </w:r>
      <w:r>
        <w:rPr>
          <w:rStyle w:val="13"/>
          <w:rFonts w:ascii="Book Antiqua" w:hAnsi="Book Antiqua"/>
          <w:b/>
          <w:bCs/>
        </w:rPr>
        <w:t>Mehta N</w:t>
      </w:r>
      <w:r>
        <w:rPr>
          <w:rStyle w:val="13"/>
          <w:rFonts w:ascii="Book Antiqua" w:hAnsi="Book Antiqua"/>
        </w:rPr>
        <w:t xml:space="preserve">, Bhangui P, Yao FY, Mazzaferro V, Toso C, Akamatsu N, Durand F, Ijzermans J, Polak W, Zheng S, Roberts JP, Sapisochin G, Hibi T, Kwan NM, Ghobrial M, Soin A. Liver Transplantation for Hepatocellular Carcinoma. Working Group Report from the ILTS Transplant Oncology Consensus Conference. </w:t>
      </w:r>
      <w:r>
        <w:rPr>
          <w:rStyle w:val="13"/>
          <w:rFonts w:ascii="Book Antiqua" w:hAnsi="Book Antiqua"/>
          <w:i/>
          <w:iCs/>
        </w:rPr>
        <w:t>Transplantation</w:t>
      </w:r>
      <w:r>
        <w:rPr>
          <w:rStyle w:val="13"/>
          <w:rFonts w:ascii="Book Antiqua" w:hAnsi="Book Antiqua"/>
        </w:rPr>
        <w:t xml:space="preserve"> 2020; </w:t>
      </w:r>
      <w:r>
        <w:rPr>
          <w:rStyle w:val="13"/>
          <w:rFonts w:ascii="Book Antiqua" w:hAnsi="Book Antiqua"/>
          <w:b/>
          <w:bCs/>
        </w:rPr>
        <w:t>104</w:t>
      </w:r>
      <w:r>
        <w:rPr>
          <w:rStyle w:val="13"/>
          <w:rFonts w:ascii="Book Antiqua" w:hAnsi="Book Antiqua"/>
        </w:rPr>
        <w:t>: 1136-1142 [PMID: 32217938 DOI: 10.1097/TP.0000000000003174]</w:t>
      </w:r>
    </w:p>
    <w:p>
      <w:pPr>
        <w:spacing w:line="360" w:lineRule="auto"/>
        <w:jc w:val="both"/>
        <w:rPr>
          <w:rStyle w:val="13"/>
          <w:rFonts w:ascii="Book Antiqua" w:hAnsi="Book Antiqua" w:eastAsia="Book Antiqua" w:cs="Book Antiqua"/>
        </w:rPr>
      </w:pPr>
      <w:r>
        <w:rPr>
          <w:rStyle w:val="13"/>
          <w:rFonts w:ascii="Book Antiqua" w:hAnsi="Book Antiqua"/>
        </w:rPr>
        <w:t xml:space="preserve">4 </w:t>
      </w:r>
      <w:r>
        <w:rPr>
          <w:rStyle w:val="13"/>
          <w:rFonts w:ascii="Book Antiqua" w:hAnsi="Book Antiqua"/>
          <w:b/>
          <w:bCs/>
        </w:rPr>
        <w:t>Micallef S</w:t>
      </w:r>
      <w:r>
        <w:rPr>
          <w:rStyle w:val="13"/>
          <w:rFonts w:ascii="Book Antiqua" w:hAnsi="Book Antiqua"/>
        </w:rPr>
        <w:t xml:space="preserve">, Cortis K, Magri C. Hepatic Necrosis after Trans-Arterial Embolization of Metastatic Neuroendocrine Tumour. </w:t>
      </w:r>
      <w:r>
        <w:rPr>
          <w:rStyle w:val="13"/>
          <w:rFonts w:ascii="Book Antiqua" w:hAnsi="Book Antiqua"/>
          <w:i/>
          <w:iCs/>
        </w:rPr>
        <w:t>Eur J Case Rep Intern Med</w:t>
      </w:r>
      <w:r>
        <w:rPr>
          <w:rStyle w:val="13"/>
          <w:rFonts w:ascii="Book Antiqua" w:hAnsi="Book Antiqua"/>
        </w:rPr>
        <w:t xml:space="preserve"> 2020; </w:t>
      </w:r>
      <w:r>
        <w:rPr>
          <w:rStyle w:val="13"/>
          <w:rFonts w:ascii="Book Antiqua" w:hAnsi="Book Antiqua"/>
          <w:b/>
          <w:bCs/>
        </w:rPr>
        <w:t>7</w:t>
      </w:r>
      <w:r>
        <w:rPr>
          <w:rStyle w:val="13"/>
          <w:rFonts w:ascii="Book Antiqua" w:hAnsi="Book Antiqua"/>
        </w:rPr>
        <w:t>: 001530 [PMID: 32399442 DOI: 10.12890/2020_001530]</w:t>
      </w:r>
    </w:p>
    <w:p>
      <w:pPr>
        <w:spacing w:line="360" w:lineRule="auto"/>
        <w:jc w:val="both"/>
        <w:rPr>
          <w:rStyle w:val="13"/>
          <w:rFonts w:ascii="Book Antiqua" w:hAnsi="Book Antiqua" w:eastAsia="Book Antiqua" w:cs="Book Antiqua"/>
        </w:rPr>
      </w:pPr>
      <w:r>
        <w:rPr>
          <w:rStyle w:val="13"/>
          <w:rFonts w:ascii="Book Antiqua" w:hAnsi="Book Antiqua"/>
        </w:rPr>
        <w:t xml:space="preserve">5 </w:t>
      </w:r>
      <w:r>
        <w:rPr>
          <w:rStyle w:val="13"/>
          <w:rFonts w:ascii="Book Antiqua" w:hAnsi="Book Antiqua"/>
          <w:b/>
          <w:bCs/>
        </w:rPr>
        <w:t>Sun W</w:t>
      </w:r>
      <w:r>
        <w:rPr>
          <w:rStyle w:val="13"/>
          <w:rFonts w:ascii="Book Antiqua" w:hAnsi="Book Antiqua"/>
        </w:rPr>
        <w:t xml:space="preserve">, Xu F, Li X, Li CR. A Case Series of Liver Abscess Formation after Transcatheter Arterial Chemoembolization for Hepatic Tumors. </w:t>
      </w:r>
      <w:r>
        <w:rPr>
          <w:rStyle w:val="13"/>
          <w:rFonts w:ascii="Book Antiqua" w:hAnsi="Book Antiqua"/>
          <w:i/>
          <w:iCs/>
        </w:rPr>
        <w:t>Chin Med J (Engl)</w:t>
      </w:r>
      <w:r>
        <w:rPr>
          <w:rStyle w:val="13"/>
          <w:rFonts w:ascii="Book Antiqua" w:hAnsi="Book Antiqua"/>
        </w:rPr>
        <w:t xml:space="preserve"> 2017; </w:t>
      </w:r>
      <w:r>
        <w:rPr>
          <w:rStyle w:val="13"/>
          <w:rFonts w:ascii="Book Antiqua" w:hAnsi="Book Antiqua"/>
          <w:b/>
          <w:bCs/>
        </w:rPr>
        <w:t>130</w:t>
      </w:r>
      <w:r>
        <w:rPr>
          <w:rStyle w:val="13"/>
          <w:rFonts w:ascii="Book Antiqua" w:hAnsi="Book Antiqua"/>
        </w:rPr>
        <w:t>: 1314-1319 [PMID: 28524831 DOI: 10.4103/0366-6999.206345]</w:t>
      </w:r>
    </w:p>
    <w:p>
      <w:pPr>
        <w:spacing w:line="360" w:lineRule="auto"/>
        <w:jc w:val="both"/>
        <w:rPr>
          <w:rStyle w:val="13"/>
          <w:rFonts w:ascii="Book Antiqua" w:hAnsi="Book Antiqua" w:eastAsia="Book Antiqua" w:cs="Book Antiqua"/>
        </w:rPr>
      </w:pPr>
      <w:r>
        <w:rPr>
          <w:rStyle w:val="13"/>
          <w:rFonts w:ascii="Book Antiqua" w:hAnsi="Book Antiqua"/>
        </w:rPr>
        <w:t xml:space="preserve">6 </w:t>
      </w:r>
      <w:r>
        <w:rPr>
          <w:rStyle w:val="13"/>
          <w:rFonts w:ascii="Book Antiqua" w:hAnsi="Book Antiqua"/>
          <w:b/>
          <w:bCs/>
        </w:rPr>
        <w:t>Lo YC</w:t>
      </w:r>
      <w:r>
        <w:rPr>
          <w:rStyle w:val="13"/>
          <w:rFonts w:ascii="Book Antiqua" w:hAnsi="Book Antiqua"/>
        </w:rPr>
        <w:t xml:space="preserve">, Hsu PW, Chew FY, Chen HY. Special presentation of bronchobiliary fistula after transcatheter arterial chemoembolization: A case report. </w:t>
      </w:r>
      <w:r>
        <w:rPr>
          <w:rStyle w:val="13"/>
          <w:rFonts w:ascii="Book Antiqua" w:hAnsi="Book Antiqua"/>
          <w:i/>
          <w:iCs/>
        </w:rPr>
        <w:t>Medicine (Baltimore)</w:t>
      </w:r>
      <w:r>
        <w:rPr>
          <w:rStyle w:val="13"/>
          <w:rFonts w:ascii="Book Antiqua" w:hAnsi="Book Antiqua"/>
        </w:rPr>
        <w:t xml:space="preserve"> 2022; </w:t>
      </w:r>
      <w:r>
        <w:rPr>
          <w:rStyle w:val="13"/>
          <w:rFonts w:ascii="Book Antiqua" w:hAnsi="Book Antiqua"/>
          <w:b/>
          <w:bCs/>
        </w:rPr>
        <w:t>101</w:t>
      </w:r>
      <w:r>
        <w:rPr>
          <w:rStyle w:val="13"/>
          <w:rFonts w:ascii="Book Antiqua" w:hAnsi="Book Antiqua"/>
        </w:rPr>
        <w:t>: e31596 [PMID: 36401479 DOI: 10.1097/MD.0000000000031596]</w:t>
      </w:r>
    </w:p>
    <w:p>
      <w:pPr>
        <w:spacing w:line="360" w:lineRule="auto"/>
        <w:jc w:val="both"/>
        <w:rPr>
          <w:rStyle w:val="13"/>
          <w:rFonts w:ascii="Book Antiqua" w:hAnsi="Book Antiqua" w:eastAsia="Book Antiqua" w:cs="Book Antiqua"/>
        </w:rPr>
      </w:pPr>
      <w:r>
        <w:rPr>
          <w:rStyle w:val="13"/>
          <w:rFonts w:ascii="Book Antiqua" w:hAnsi="Book Antiqua"/>
        </w:rPr>
        <w:t xml:space="preserve">7 </w:t>
      </w:r>
      <w:r>
        <w:rPr>
          <w:rStyle w:val="13"/>
          <w:rFonts w:ascii="Book Antiqua" w:hAnsi="Book Antiqua"/>
          <w:b/>
          <w:bCs/>
        </w:rPr>
        <w:t>Kim SI</w:t>
      </w:r>
      <w:r>
        <w:rPr>
          <w:rStyle w:val="13"/>
          <w:rFonts w:ascii="Book Antiqua" w:hAnsi="Book Antiqua"/>
        </w:rPr>
        <w:t xml:space="preserve">, Jin YJ, Cho SG, Shin WY, Kim JM, Lee JW. Duodenal perforation and esophageal ischemia following transarterial chemoembolization for hepatocellular carcinoma: A case report. </w:t>
      </w:r>
      <w:r>
        <w:rPr>
          <w:rStyle w:val="13"/>
          <w:rFonts w:ascii="Book Antiqua" w:hAnsi="Book Antiqua"/>
          <w:i/>
          <w:iCs/>
        </w:rPr>
        <w:t>Medicine (Baltimore)</w:t>
      </w:r>
      <w:r>
        <w:rPr>
          <w:rStyle w:val="13"/>
          <w:rFonts w:ascii="Book Antiqua" w:hAnsi="Book Antiqua"/>
        </w:rPr>
        <w:t xml:space="preserve"> 2016; </w:t>
      </w:r>
      <w:r>
        <w:rPr>
          <w:rStyle w:val="13"/>
          <w:rFonts w:ascii="Book Antiqua" w:hAnsi="Book Antiqua"/>
          <w:b/>
          <w:bCs/>
        </w:rPr>
        <w:t>95</w:t>
      </w:r>
      <w:r>
        <w:rPr>
          <w:rStyle w:val="13"/>
          <w:rFonts w:ascii="Book Antiqua" w:hAnsi="Book Antiqua"/>
        </w:rPr>
        <w:t>: e3987 [PMID: 27399074 DOI: 10.1097/MD.0000000000003987]</w:t>
      </w:r>
    </w:p>
    <w:p>
      <w:pPr>
        <w:spacing w:line="360" w:lineRule="auto"/>
        <w:jc w:val="both"/>
        <w:rPr>
          <w:rStyle w:val="13"/>
          <w:rFonts w:ascii="Book Antiqua" w:hAnsi="Book Antiqua" w:eastAsia="Book Antiqua" w:cs="Book Antiqua"/>
        </w:rPr>
      </w:pPr>
      <w:r>
        <w:rPr>
          <w:rStyle w:val="13"/>
          <w:rFonts w:ascii="Book Antiqua" w:hAnsi="Book Antiqua"/>
        </w:rPr>
        <w:t xml:space="preserve">8 </w:t>
      </w:r>
      <w:r>
        <w:rPr>
          <w:rStyle w:val="13"/>
          <w:rFonts w:ascii="Book Antiqua" w:hAnsi="Book Antiqua"/>
          <w:b/>
          <w:bCs/>
        </w:rPr>
        <w:t>Abdelrahman H</w:t>
      </w:r>
      <w:r>
        <w:rPr>
          <w:rStyle w:val="13"/>
          <w:rFonts w:ascii="Book Antiqua" w:hAnsi="Book Antiqua"/>
        </w:rPr>
        <w:t xml:space="preserve">, Ajaj A, Atique S, El-Menyar A, Al-Thani H. Conservative management of major liver necrosis after angioembolization in a patient with blunt trauma. </w:t>
      </w:r>
      <w:r>
        <w:rPr>
          <w:rStyle w:val="13"/>
          <w:rFonts w:ascii="Book Antiqua" w:hAnsi="Book Antiqua"/>
          <w:i/>
          <w:iCs/>
        </w:rPr>
        <w:t>Case Rep Surg</w:t>
      </w:r>
      <w:r>
        <w:rPr>
          <w:rStyle w:val="13"/>
          <w:rFonts w:ascii="Book Antiqua" w:hAnsi="Book Antiqua"/>
        </w:rPr>
        <w:t xml:space="preserve"> 2013; </w:t>
      </w:r>
      <w:r>
        <w:rPr>
          <w:rStyle w:val="13"/>
          <w:rFonts w:ascii="Book Antiqua" w:hAnsi="Book Antiqua"/>
          <w:b/>
          <w:bCs/>
        </w:rPr>
        <w:t>2013</w:t>
      </w:r>
      <w:r>
        <w:rPr>
          <w:rStyle w:val="13"/>
          <w:rFonts w:ascii="Book Antiqua" w:hAnsi="Book Antiqua"/>
        </w:rPr>
        <w:t>: 954050 [PMID: 24455392 DOI: 10.1155/2013/954050]</w:t>
      </w:r>
    </w:p>
    <w:p>
      <w:pPr>
        <w:spacing w:line="360" w:lineRule="auto"/>
        <w:jc w:val="both"/>
        <w:rPr>
          <w:rStyle w:val="13"/>
          <w:rFonts w:ascii="Book Antiqua" w:hAnsi="Book Antiqua" w:eastAsia="Book Antiqua" w:cs="Book Antiqua"/>
        </w:rPr>
      </w:pPr>
      <w:r>
        <w:rPr>
          <w:rStyle w:val="13"/>
          <w:rFonts w:ascii="Book Antiqua" w:hAnsi="Book Antiqua"/>
        </w:rPr>
        <w:t xml:space="preserve">9 </w:t>
      </w:r>
      <w:r>
        <w:rPr>
          <w:rStyle w:val="13"/>
          <w:rFonts w:ascii="Book Antiqua" w:hAnsi="Book Antiqua"/>
          <w:b/>
          <w:bCs/>
        </w:rPr>
        <w:t>Loewe C</w:t>
      </w:r>
      <w:r>
        <w:rPr>
          <w:rStyle w:val="13"/>
          <w:rFonts w:ascii="Book Antiqua" w:hAnsi="Book Antiqua"/>
        </w:rPr>
        <w:t xml:space="preserve">, Schindl M, Cejna M, Niederle B, Lammer J, Thurnher S. Permanent transarterial embolization of neuroendocrine metastases of the liver using cyanoacrylate and lipiodol: assessment of mid- and long-term results. </w:t>
      </w:r>
      <w:r>
        <w:rPr>
          <w:rStyle w:val="13"/>
          <w:rFonts w:ascii="Book Antiqua" w:hAnsi="Book Antiqua"/>
          <w:i/>
          <w:iCs/>
        </w:rPr>
        <w:t>AJR Am J Roentgenol</w:t>
      </w:r>
      <w:r>
        <w:rPr>
          <w:rStyle w:val="13"/>
          <w:rFonts w:ascii="Book Antiqua" w:hAnsi="Book Antiqua"/>
        </w:rPr>
        <w:t xml:space="preserve"> 2003; </w:t>
      </w:r>
      <w:r>
        <w:rPr>
          <w:rStyle w:val="13"/>
          <w:rFonts w:ascii="Book Antiqua" w:hAnsi="Book Antiqua"/>
          <w:b/>
          <w:bCs/>
        </w:rPr>
        <w:t>180</w:t>
      </w:r>
      <w:r>
        <w:rPr>
          <w:rStyle w:val="13"/>
          <w:rFonts w:ascii="Book Antiqua" w:hAnsi="Book Antiqua"/>
        </w:rPr>
        <w:t>: 1379-1384 [PMID: 12704055 DOI: 10.2214/ajr.180.5.1801379]</w:t>
      </w:r>
    </w:p>
    <w:p>
      <w:pPr>
        <w:spacing w:line="360" w:lineRule="auto"/>
        <w:jc w:val="both"/>
        <w:rPr>
          <w:rStyle w:val="13"/>
          <w:rFonts w:ascii="Book Antiqua" w:hAnsi="Book Antiqua" w:eastAsia="Book Antiqua" w:cs="Book Antiqua"/>
        </w:rPr>
      </w:pPr>
      <w:r>
        <w:rPr>
          <w:rStyle w:val="13"/>
          <w:rFonts w:ascii="Book Antiqua" w:hAnsi="Book Antiqua"/>
        </w:rPr>
        <w:t xml:space="preserve">10 </w:t>
      </w:r>
      <w:r>
        <w:rPr>
          <w:rStyle w:val="13"/>
          <w:rFonts w:ascii="Book Antiqua" w:hAnsi="Book Antiqua"/>
          <w:b/>
          <w:bCs/>
        </w:rPr>
        <w:t>Chan CH</w:t>
      </w:r>
      <w:r>
        <w:rPr>
          <w:rStyle w:val="13"/>
          <w:rFonts w:ascii="Book Antiqua" w:hAnsi="Book Antiqua"/>
        </w:rPr>
        <w:t xml:space="preserve">, Telford JJ. Endoscopic management of benign biliary strictures. </w:t>
      </w:r>
      <w:r>
        <w:rPr>
          <w:rStyle w:val="13"/>
          <w:rFonts w:ascii="Book Antiqua" w:hAnsi="Book Antiqua"/>
          <w:i/>
          <w:iCs/>
        </w:rPr>
        <w:t>Gastrointest Endosc Clin N Am</w:t>
      </w:r>
      <w:r>
        <w:rPr>
          <w:rStyle w:val="13"/>
          <w:rFonts w:ascii="Book Antiqua" w:hAnsi="Book Antiqua"/>
        </w:rPr>
        <w:t xml:space="preserve"> 2012; </w:t>
      </w:r>
      <w:r>
        <w:rPr>
          <w:rStyle w:val="13"/>
          <w:rFonts w:ascii="Book Antiqua" w:hAnsi="Book Antiqua"/>
          <w:b/>
          <w:bCs/>
        </w:rPr>
        <w:t>22</w:t>
      </w:r>
      <w:r>
        <w:rPr>
          <w:rStyle w:val="13"/>
          <w:rFonts w:ascii="Book Antiqua" w:hAnsi="Book Antiqua"/>
        </w:rPr>
        <w:t>: 511-537 [PMID: 22748246 DOI: 10.1016/j.giec.2012.05.005]</w:t>
      </w:r>
    </w:p>
    <w:p>
      <w:pPr>
        <w:spacing w:line="360" w:lineRule="auto"/>
        <w:jc w:val="both"/>
        <w:rPr>
          <w:rStyle w:val="13"/>
          <w:rFonts w:ascii="Book Antiqua" w:hAnsi="Book Antiqua" w:eastAsia="Book Antiqua" w:cs="Book Antiqua"/>
        </w:rPr>
      </w:pPr>
      <w:r>
        <w:rPr>
          <w:rStyle w:val="13"/>
          <w:rFonts w:ascii="Book Antiqua" w:hAnsi="Book Antiqua"/>
        </w:rPr>
        <w:t xml:space="preserve">11 </w:t>
      </w:r>
      <w:r>
        <w:rPr>
          <w:rStyle w:val="13"/>
          <w:rFonts w:ascii="Book Antiqua" w:hAnsi="Book Antiqua"/>
          <w:b/>
          <w:bCs/>
        </w:rPr>
        <w:t>Dumonceau JM</w:t>
      </w:r>
      <w:r>
        <w:rPr>
          <w:rStyle w:val="13"/>
          <w:rFonts w:ascii="Book Antiqua" w:hAnsi="Book Antiqua"/>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Pr>
          <w:rStyle w:val="13"/>
          <w:rFonts w:ascii="Book Antiqua" w:hAnsi="Book Antiqua"/>
          <w:i/>
          <w:iCs/>
        </w:rPr>
        <w:t>Endoscopy</w:t>
      </w:r>
      <w:r>
        <w:rPr>
          <w:rStyle w:val="13"/>
          <w:rFonts w:ascii="Book Antiqua" w:hAnsi="Book Antiqua"/>
        </w:rPr>
        <w:t xml:space="preserve"> 2018; </w:t>
      </w:r>
      <w:r>
        <w:rPr>
          <w:rStyle w:val="13"/>
          <w:rFonts w:ascii="Book Antiqua" w:hAnsi="Book Antiqua"/>
          <w:b/>
          <w:bCs/>
        </w:rPr>
        <w:t>50</w:t>
      </w:r>
      <w:r>
        <w:rPr>
          <w:rStyle w:val="13"/>
          <w:rFonts w:ascii="Book Antiqua" w:hAnsi="Book Antiqua"/>
        </w:rPr>
        <w:t>: 910-930 [PMID: 30086596 DOI: 10.1055/a-0659-9864]</w:t>
      </w:r>
    </w:p>
    <w:p>
      <w:pPr>
        <w:spacing w:line="360" w:lineRule="auto"/>
        <w:jc w:val="both"/>
        <w:rPr>
          <w:rStyle w:val="13"/>
          <w:rFonts w:ascii="Book Antiqua" w:hAnsi="Book Antiqua" w:eastAsia="Book Antiqua" w:cs="Book Antiqua"/>
        </w:rPr>
      </w:pPr>
      <w:r>
        <w:rPr>
          <w:rStyle w:val="13"/>
          <w:rFonts w:ascii="Book Antiqua" w:hAnsi="Book Antiqua"/>
        </w:rPr>
        <w:t xml:space="preserve">12 </w:t>
      </w:r>
      <w:r>
        <w:rPr>
          <w:rStyle w:val="13"/>
          <w:rFonts w:ascii="Book Antiqua" w:hAnsi="Book Antiqua"/>
          <w:b/>
          <w:bCs/>
        </w:rPr>
        <w:t>Kaffes A</w:t>
      </w:r>
      <w:r>
        <w:rPr>
          <w:rStyle w:val="13"/>
          <w:rFonts w:ascii="Book Antiqua" w:hAnsi="Book Antiqua"/>
        </w:rPr>
        <w:t xml:space="preserve">. Benign biliary strictures: how we are evolving to the perfect endoscopic strategy. </w:t>
      </w:r>
      <w:r>
        <w:rPr>
          <w:rStyle w:val="13"/>
          <w:rFonts w:ascii="Book Antiqua" w:hAnsi="Book Antiqua"/>
          <w:i/>
          <w:iCs/>
        </w:rPr>
        <w:t>Endoscopy</w:t>
      </w:r>
      <w:r>
        <w:rPr>
          <w:rStyle w:val="13"/>
          <w:rFonts w:ascii="Book Antiqua" w:hAnsi="Book Antiqua"/>
        </w:rPr>
        <w:t xml:space="preserve"> 2019; </w:t>
      </w:r>
      <w:r>
        <w:rPr>
          <w:rStyle w:val="13"/>
          <w:rFonts w:ascii="Book Antiqua" w:hAnsi="Book Antiqua"/>
          <w:b/>
          <w:bCs/>
        </w:rPr>
        <w:t>51</w:t>
      </w:r>
      <w:r>
        <w:rPr>
          <w:rStyle w:val="13"/>
          <w:rFonts w:ascii="Book Antiqua" w:hAnsi="Book Antiqua"/>
        </w:rPr>
        <w:t>: 1115-1116 [PMID: 31775164 DOI: 10.1055/a-0981-6180]</w:t>
      </w:r>
    </w:p>
    <w:p>
      <w:pPr>
        <w:spacing w:line="360" w:lineRule="auto"/>
        <w:jc w:val="both"/>
        <w:rPr>
          <w:rStyle w:val="13"/>
          <w:rFonts w:ascii="Book Antiqua" w:hAnsi="Book Antiqua" w:eastAsia="Book Antiqua" w:cs="Book Antiqua"/>
        </w:rPr>
      </w:pPr>
      <w:r>
        <w:rPr>
          <w:rStyle w:val="13"/>
          <w:rFonts w:ascii="Book Antiqua" w:hAnsi="Book Antiqua"/>
        </w:rPr>
        <w:t xml:space="preserve">13 </w:t>
      </w:r>
      <w:r>
        <w:rPr>
          <w:rStyle w:val="13"/>
          <w:rFonts w:ascii="Book Antiqua" w:hAnsi="Book Antiqua"/>
          <w:b/>
          <w:bCs/>
        </w:rPr>
        <w:t>Bill JG</w:t>
      </w:r>
      <w:r>
        <w:rPr>
          <w:rStyle w:val="13"/>
          <w:rFonts w:ascii="Book Antiqua" w:hAnsi="Book Antiqua"/>
        </w:rPr>
        <w:t xml:space="preserve">, Mullady DK. Stenting for Benign and Malignant Biliary Strictures. </w:t>
      </w:r>
      <w:r>
        <w:rPr>
          <w:rStyle w:val="13"/>
          <w:rFonts w:ascii="Book Antiqua" w:hAnsi="Book Antiqua"/>
          <w:i/>
          <w:iCs/>
        </w:rPr>
        <w:t>Gastrointest Endosc Clin N Am</w:t>
      </w:r>
      <w:r>
        <w:rPr>
          <w:rStyle w:val="13"/>
          <w:rFonts w:ascii="Book Antiqua" w:hAnsi="Book Antiqua"/>
        </w:rPr>
        <w:t xml:space="preserve"> 2019; </w:t>
      </w:r>
      <w:r>
        <w:rPr>
          <w:rStyle w:val="13"/>
          <w:rFonts w:ascii="Book Antiqua" w:hAnsi="Book Antiqua"/>
          <w:b/>
          <w:bCs/>
        </w:rPr>
        <w:t>29</w:t>
      </w:r>
      <w:r>
        <w:rPr>
          <w:rStyle w:val="13"/>
          <w:rFonts w:ascii="Book Antiqua" w:hAnsi="Book Antiqua"/>
        </w:rPr>
        <w:t>: 215-235 [PMID: 30846150 DOI: 10.1016/j.giec.2018.12.001]</w:t>
      </w:r>
    </w:p>
    <w:p>
      <w:pPr>
        <w:spacing w:line="360" w:lineRule="auto"/>
        <w:jc w:val="both"/>
        <w:rPr>
          <w:rStyle w:val="13"/>
          <w:rFonts w:ascii="Book Antiqua" w:hAnsi="Book Antiqua" w:eastAsia="Book Antiqua" w:cs="Book Antiqua"/>
        </w:rPr>
      </w:pPr>
      <w:r>
        <w:rPr>
          <w:rStyle w:val="13"/>
          <w:rFonts w:ascii="Book Antiqua" w:hAnsi="Book Antiqua"/>
        </w:rPr>
        <w:t xml:space="preserve">14 </w:t>
      </w:r>
      <w:r>
        <w:rPr>
          <w:rStyle w:val="13"/>
          <w:rFonts w:ascii="Book Antiqua" w:hAnsi="Book Antiqua"/>
          <w:b/>
          <w:bCs/>
        </w:rPr>
        <w:t>Coté GA</w:t>
      </w:r>
      <w:r>
        <w:rPr>
          <w:rStyle w:val="13"/>
          <w:rFonts w:ascii="Book Antiqua" w:hAnsi="Book Antiqua"/>
        </w:rPr>
        <w:t xml:space="preserve">, Slivka A, Tarnasky P, Mullady DK, Elmunzer BJ, Elta G, Fogel E, Lehman G, McHenry L, Romagnuolo J, Menon S, Siddiqui UD, Watkins J, Lynch S, Denski C, Xu H, Sherman S. Effect of Covered Metallic Stents Compared With Plastic Stents on Benign Biliary Stricture Resolution: A Randomized Clinical Trial. </w:t>
      </w:r>
      <w:r>
        <w:rPr>
          <w:rStyle w:val="13"/>
          <w:rFonts w:ascii="Book Antiqua" w:hAnsi="Book Antiqua"/>
          <w:i/>
          <w:iCs/>
        </w:rPr>
        <w:t>JAMA</w:t>
      </w:r>
      <w:r>
        <w:rPr>
          <w:rStyle w:val="13"/>
          <w:rFonts w:ascii="Book Antiqua" w:hAnsi="Book Antiqua"/>
        </w:rPr>
        <w:t xml:space="preserve"> 2016; </w:t>
      </w:r>
      <w:r>
        <w:rPr>
          <w:rStyle w:val="13"/>
          <w:rFonts w:ascii="Book Antiqua" w:hAnsi="Book Antiqua"/>
          <w:b/>
          <w:bCs/>
        </w:rPr>
        <w:t>315</w:t>
      </w:r>
      <w:r>
        <w:rPr>
          <w:rStyle w:val="13"/>
          <w:rFonts w:ascii="Book Antiqua" w:hAnsi="Book Antiqua"/>
        </w:rPr>
        <w:t>: 1250-1257 [PMID: 27002446 DOI: 10.1001/jama.2016.2619]</w:t>
      </w:r>
    </w:p>
    <w:p>
      <w:pPr>
        <w:spacing w:line="360" w:lineRule="auto"/>
        <w:jc w:val="both"/>
        <w:rPr>
          <w:rStyle w:val="13"/>
          <w:rFonts w:ascii="Book Antiqua" w:hAnsi="Book Antiqua" w:eastAsia="Book Antiqua" w:cs="Book Antiqua"/>
        </w:rPr>
      </w:pPr>
      <w:r>
        <w:rPr>
          <w:rStyle w:val="13"/>
          <w:rFonts w:ascii="Book Antiqua" w:hAnsi="Book Antiqua"/>
        </w:rPr>
        <w:t xml:space="preserve">15 </w:t>
      </w:r>
      <w:r>
        <w:rPr>
          <w:rStyle w:val="13"/>
          <w:rFonts w:ascii="Book Antiqua" w:hAnsi="Book Antiqua"/>
          <w:b/>
          <w:bCs/>
        </w:rPr>
        <w:t>Wong MY</w:t>
      </w:r>
      <w:r>
        <w:rPr>
          <w:rStyle w:val="13"/>
          <w:rFonts w:ascii="Book Antiqua" w:hAnsi="Book Antiqua"/>
        </w:rPr>
        <w:t xml:space="preserve">, Saxena P, Kaffes AJ. Benign Biliary Strictures: A Systematic Review on Endoscopic Treatment Options. </w:t>
      </w:r>
      <w:r>
        <w:rPr>
          <w:rStyle w:val="13"/>
          <w:rFonts w:ascii="Book Antiqua" w:hAnsi="Book Antiqua"/>
          <w:i/>
          <w:iCs/>
        </w:rPr>
        <w:t>Diagnostics (Basel)</w:t>
      </w:r>
      <w:r>
        <w:rPr>
          <w:rStyle w:val="13"/>
          <w:rFonts w:ascii="Book Antiqua" w:hAnsi="Book Antiqua"/>
        </w:rPr>
        <w:t xml:space="preserve"> 2020; </w:t>
      </w:r>
      <w:r>
        <w:rPr>
          <w:rStyle w:val="13"/>
          <w:rFonts w:ascii="Book Antiqua" w:hAnsi="Book Antiqua"/>
          <w:b/>
          <w:bCs/>
        </w:rPr>
        <w:t>10</w:t>
      </w:r>
      <w:r>
        <w:rPr>
          <w:rStyle w:val="13"/>
          <w:rFonts w:ascii="Book Antiqua" w:hAnsi="Book Antiqua"/>
        </w:rPr>
        <w:t xml:space="preserve"> [PMID: 32326542 DOI: 10.3390/diagnostics10040221]</w:t>
      </w:r>
    </w:p>
    <w:p>
      <w:pPr>
        <w:spacing w:line="360" w:lineRule="auto"/>
        <w:jc w:val="both"/>
        <w:rPr>
          <w:rStyle w:val="13"/>
          <w:rFonts w:ascii="Book Antiqua" w:hAnsi="Book Antiqua" w:eastAsia="Book Antiqua" w:cs="Book Antiqua"/>
        </w:rPr>
      </w:pPr>
      <w:r>
        <w:rPr>
          <w:rStyle w:val="13"/>
          <w:rFonts w:ascii="Book Antiqua" w:hAnsi="Book Antiqua"/>
        </w:rPr>
        <w:t xml:space="preserve">16 </w:t>
      </w:r>
      <w:r>
        <w:rPr>
          <w:rStyle w:val="13"/>
          <w:rFonts w:ascii="Book Antiqua" w:hAnsi="Book Antiqua"/>
          <w:b/>
          <w:bCs/>
        </w:rPr>
        <w:t>Ponsioen CY</w:t>
      </w:r>
      <w:r>
        <w:rPr>
          <w:rStyle w:val="13"/>
          <w:rFonts w:ascii="Book Antiqua" w:hAnsi="Book Antiqua"/>
        </w:rPr>
        <w:t xml:space="preserve">, Arnelo U, Bergquist A, Rauws EA, Paulsen V, Cantú P, Parzanese I, De Vries EM, van Munster KN, Said K, Chazouillères O, Desaint B, Kemgang A, Färkkilä M, Van der Merwe S, Van Steenbergen W, Marschall HU, Stotzer PO, Thorburn D, Pereira SP, Aabakken L. No Superiority of Stents </w:t>
      </w:r>
      <w:r>
        <w:rPr>
          <w:rStyle w:val="13"/>
          <w:rFonts w:ascii="Book Antiqua" w:hAnsi="Book Antiqua"/>
          <w:i/>
          <w:iCs/>
        </w:rPr>
        <w:t>vs</w:t>
      </w:r>
      <w:r>
        <w:rPr>
          <w:rStyle w:val="13"/>
          <w:rFonts w:ascii="Book Antiqua" w:hAnsi="Book Antiqua"/>
        </w:rPr>
        <w:t xml:space="preserve"> Balloon Dilatation for Dominant Strictures in Patients With Primary Sclerosing Cholangitis. </w:t>
      </w:r>
      <w:r>
        <w:rPr>
          <w:rStyle w:val="13"/>
          <w:rFonts w:ascii="Book Antiqua" w:hAnsi="Book Antiqua"/>
          <w:i/>
          <w:iCs/>
        </w:rPr>
        <w:t>Gastroenterology</w:t>
      </w:r>
      <w:r>
        <w:rPr>
          <w:rStyle w:val="13"/>
          <w:rFonts w:ascii="Book Antiqua" w:hAnsi="Book Antiqua"/>
        </w:rPr>
        <w:t xml:space="preserve"> 2018; </w:t>
      </w:r>
      <w:r>
        <w:rPr>
          <w:rStyle w:val="13"/>
          <w:rFonts w:ascii="Book Antiqua" w:hAnsi="Book Antiqua"/>
          <w:b/>
          <w:bCs/>
        </w:rPr>
        <w:t>155</w:t>
      </w:r>
      <w:r>
        <w:rPr>
          <w:rStyle w:val="13"/>
          <w:rFonts w:ascii="Book Antiqua" w:hAnsi="Book Antiqua"/>
        </w:rPr>
        <w:t>: 752-759.e5 [PMID: 29803836 DOI: 10.1053/j.gastro.2018.05.034]</w:t>
      </w:r>
    </w:p>
    <w:p>
      <w:pPr>
        <w:spacing w:line="360" w:lineRule="auto"/>
        <w:jc w:val="both"/>
        <w:rPr>
          <w:rStyle w:val="13"/>
          <w:rFonts w:ascii="Book Antiqua" w:hAnsi="Book Antiqua" w:eastAsia="Book Antiqua" w:cs="Book Antiqua"/>
        </w:rPr>
      </w:pPr>
      <w:r>
        <w:rPr>
          <w:rStyle w:val="13"/>
          <w:rFonts w:ascii="Book Antiqua" w:hAnsi="Book Antiqua"/>
        </w:rPr>
        <w:t xml:space="preserve">17 </w:t>
      </w:r>
      <w:r>
        <w:rPr>
          <w:rStyle w:val="13"/>
          <w:rFonts w:ascii="Book Antiqua" w:hAnsi="Book Antiqua"/>
          <w:b/>
          <w:bCs/>
        </w:rPr>
        <w:t>Kobayashi S</w:t>
      </w:r>
      <w:r>
        <w:rPr>
          <w:rStyle w:val="13"/>
          <w:rFonts w:ascii="Book Antiqua" w:hAnsi="Book Antiqua"/>
        </w:rPr>
        <w:t xml:space="preserve">, Kozaka K, Gabata T, Matsui O, Koda W, Okuda M, Okumura K, Sugiura T, Ogi T. Pathophysiology and Imaging Findings of Bile Duct Necrosis: A Rare but Serious Complication of Transarterial Therapy for Liver Tumors. </w:t>
      </w:r>
      <w:r>
        <w:rPr>
          <w:rStyle w:val="13"/>
          <w:rFonts w:ascii="Book Antiqua" w:hAnsi="Book Antiqua"/>
          <w:i/>
          <w:iCs/>
        </w:rPr>
        <w:t>Cancers (Basel)</w:t>
      </w:r>
      <w:r>
        <w:rPr>
          <w:rStyle w:val="13"/>
          <w:rFonts w:ascii="Book Antiqua" w:hAnsi="Book Antiqua"/>
        </w:rPr>
        <w:t xml:space="preserve"> 2020; </w:t>
      </w:r>
      <w:r>
        <w:rPr>
          <w:rStyle w:val="13"/>
          <w:rFonts w:ascii="Book Antiqua" w:hAnsi="Book Antiqua"/>
          <w:b/>
          <w:bCs/>
        </w:rPr>
        <w:t>12</w:t>
      </w:r>
      <w:r>
        <w:rPr>
          <w:rStyle w:val="13"/>
          <w:rFonts w:ascii="Book Antiqua" w:hAnsi="Book Antiqua"/>
        </w:rPr>
        <w:t xml:space="preserve"> [PMID: 32932894 DOI: 10.3390/cancers12092596]</w:t>
      </w:r>
    </w:p>
    <w:p>
      <w:pPr>
        <w:spacing w:line="360" w:lineRule="auto"/>
        <w:jc w:val="both"/>
        <w:sectPr>
          <w:headerReference r:id="rId4" w:type="default"/>
          <w:pgSz w:w="12240" w:h="15840"/>
          <w:pgMar w:top="1440" w:right="1440" w:bottom="1440" w:left="1440" w:header="720" w:footer="720" w:gutter="0"/>
          <w:cols w:space="720" w:num="1"/>
        </w:sectPr>
      </w:pPr>
    </w:p>
    <w:p>
      <w:pPr>
        <w:spacing w:line="360" w:lineRule="auto"/>
        <w:jc w:val="both"/>
        <w:rPr>
          <w:rStyle w:val="13"/>
          <w:rFonts w:ascii="Book Antiqua" w:hAnsi="Book Antiqua" w:eastAsia="Book Antiqua" w:cs="Book Antiqua"/>
        </w:rPr>
      </w:pPr>
      <w:r>
        <w:rPr>
          <w:rStyle w:val="13"/>
          <w:rFonts w:ascii="Book Antiqua" w:hAnsi="Book Antiqua"/>
          <w:b/>
          <w:bCs/>
        </w:rPr>
        <w:t>Footnotes</w:t>
      </w:r>
    </w:p>
    <w:p>
      <w:pPr>
        <w:spacing w:line="360" w:lineRule="auto"/>
        <w:jc w:val="both"/>
        <w:rPr>
          <w:rStyle w:val="13"/>
          <w:rFonts w:ascii="Book Antiqua" w:hAnsi="Book Antiqua" w:eastAsia="Book Antiqua" w:cs="Book Antiqua"/>
        </w:rPr>
      </w:pPr>
      <w:r>
        <w:rPr>
          <w:rStyle w:val="13"/>
          <w:rFonts w:ascii="Book Antiqua" w:hAnsi="Book Antiqua"/>
          <w:b/>
          <w:bCs/>
        </w:rPr>
        <w:t xml:space="preserve">Conflict-of-interest statement: </w:t>
      </w:r>
      <w:r>
        <w:rPr>
          <w:rStyle w:val="13"/>
          <w:rFonts w:ascii="Book Antiqua" w:hAnsi="Book Antiqua"/>
        </w:rPr>
        <w:t xml:space="preserve">All the authors declare no conflicts of interest. </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rPr>
      </w:pPr>
      <w:r>
        <w:rPr>
          <w:rStyle w:val="13"/>
          <w:rFonts w:ascii="Book Antiqua" w:hAnsi="Book Antiqua"/>
          <w:b/>
          <w:bCs/>
        </w:rPr>
        <w:t xml:space="preserve">Open-Access: </w:t>
      </w:r>
      <w:r>
        <w:rPr>
          <w:rStyle w:val="13"/>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rPr>
      </w:pPr>
      <w:r>
        <w:rPr>
          <w:rStyle w:val="13"/>
          <w:rFonts w:ascii="Book Antiqua" w:hAnsi="Book Antiqua"/>
          <w:b/>
          <w:bCs/>
        </w:rPr>
        <w:t xml:space="preserve">Provenance and peer review: </w:t>
      </w:r>
      <w:r>
        <w:rPr>
          <w:rStyle w:val="13"/>
          <w:rFonts w:ascii="Book Antiqua" w:hAnsi="Book Antiqua"/>
        </w:rPr>
        <w:t>Invited article; Externally peer reviewed.</w:t>
      </w:r>
    </w:p>
    <w:p>
      <w:pPr>
        <w:spacing w:line="360" w:lineRule="auto"/>
        <w:jc w:val="both"/>
        <w:rPr>
          <w:rStyle w:val="13"/>
          <w:rFonts w:ascii="Book Antiqua" w:hAnsi="Book Antiqua" w:eastAsia="Book Antiqua" w:cs="Book Antiqua"/>
        </w:rPr>
      </w:pPr>
      <w:r>
        <w:rPr>
          <w:rStyle w:val="13"/>
          <w:rFonts w:ascii="Book Antiqua" w:hAnsi="Book Antiqua"/>
          <w:b/>
          <w:bCs/>
        </w:rPr>
        <w:t xml:space="preserve">Peer-review model: </w:t>
      </w:r>
      <w:r>
        <w:rPr>
          <w:rStyle w:val="13"/>
          <w:rFonts w:ascii="Book Antiqua" w:hAnsi="Book Antiqua"/>
        </w:rPr>
        <w:t>Single blind</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rPr>
      </w:pPr>
      <w:r>
        <w:rPr>
          <w:rStyle w:val="13"/>
          <w:rFonts w:ascii="Book Antiqua" w:hAnsi="Book Antiqua"/>
          <w:b/>
          <w:bCs/>
        </w:rPr>
        <w:t xml:space="preserve">Peer-review started: </w:t>
      </w:r>
      <w:r>
        <w:rPr>
          <w:rStyle w:val="13"/>
          <w:rFonts w:ascii="Book Antiqua" w:hAnsi="Book Antiqua"/>
        </w:rPr>
        <w:t>November 9, 2023</w:t>
      </w:r>
    </w:p>
    <w:p>
      <w:pPr>
        <w:spacing w:line="360" w:lineRule="auto"/>
        <w:jc w:val="both"/>
        <w:rPr>
          <w:rStyle w:val="13"/>
          <w:rFonts w:ascii="Book Antiqua" w:hAnsi="Book Antiqua" w:eastAsia="Book Antiqua" w:cs="Book Antiqua"/>
        </w:rPr>
      </w:pPr>
      <w:r>
        <w:rPr>
          <w:rStyle w:val="13"/>
          <w:rFonts w:ascii="Book Antiqua" w:hAnsi="Book Antiqua"/>
          <w:b/>
          <w:bCs/>
        </w:rPr>
        <w:t xml:space="preserve">First decision: </w:t>
      </w:r>
      <w:r>
        <w:rPr>
          <w:rStyle w:val="13"/>
          <w:rFonts w:ascii="Book Antiqua" w:hAnsi="Book Antiqua"/>
        </w:rPr>
        <w:t>November 22, 2023</w:t>
      </w:r>
    </w:p>
    <w:p>
      <w:pPr>
        <w:spacing w:line="360" w:lineRule="auto"/>
        <w:jc w:val="both"/>
        <w:rPr>
          <w:rStyle w:val="13"/>
          <w:rFonts w:ascii="Book Antiqua" w:hAnsi="Book Antiqua" w:eastAsia="Book Antiqua" w:cs="Book Antiqua"/>
        </w:rPr>
      </w:pPr>
      <w:r>
        <w:rPr>
          <w:rStyle w:val="13"/>
          <w:rFonts w:ascii="Book Antiqua" w:hAnsi="Book Antiqua"/>
          <w:b/>
          <w:bCs/>
        </w:rPr>
        <w:t xml:space="preserve">Article in press: </w:t>
      </w:r>
      <w:r>
        <w:rPr>
          <w:rFonts w:ascii="Book Antiqua" w:hAnsi="Book Antiqua"/>
        </w:rPr>
        <w:t>December 6, 2023</w:t>
      </w:r>
    </w:p>
    <w:p>
      <w:pPr>
        <w:spacing w:line="360" w:lineRule="auto"/>
        <w:jc w:val="both"/>
        <w:rPr>
          <w:rStyle w:val="13"/>
          <w:rFonts w:ascii="Book Antiqua" w:hAnsi="Book Antiqua" w:eastAsia="Book Antiqua" w:cs="Book Antiqua"/>
        </w:rPr>
      </w:pPr>
    </w:p>
    <w:p>
      <w:pPr>
        <w:spacing w:line="360" w:lineRule="auto"/>
        <w:jc w:val="both"/>
        <w:rPr>
          <w:rStyle w:val="13"/>
          <w:rFonts w:ascii="Book Antiqua" w:hAnsi="Book Antiqua" w:eastAsia="Book Antiqua" w:cs="Book Antiqua"/>
        </w:rPr>
      </w:pPr>
      <w:r>
        <w:rPr>
          <w:rStyle w:val="13"/>
          <w:rFonts w:ascii="Book Antiqua" w:hAnsi="Book Antiqua"/>
          <w:b/>
          <w:bCs/>
        </w:rPr>
        <w:t xml:space="preserve">Specialty type: </w:t>
      </w:r>
      <w:r>
        <w:rPr>
          <w:rStyle w:val="13"/>
          <w:rFonts w:ascii="Book Antiqua" w:hAnsi="Book Antiqua"/>
        </w:rPr>
        <w:t xml:space="preserve">Gastroenterology </w:t>
      </w:r>
      <w:r>
        <w:rPr>
          <w:rStyle w:val="13"/>
          <w:rFonts w:hint="eastAsia" w:ascii="Book Antiqua" w:hAnsi="Book Antiqua"/>
          <w:lang w:val="en-US" w:eastAsia="zh-CN"/>
        </w:rPr>
        <w:t>and</w:t>
      </w:r>
      <w:r>
        <w:rPr>
          <w:rStyle w:val="13"/>
          <w:rFonts w:ascii="Book Antiqua" w:hAnsi="Book Antiqua"/>
        </w:rPr>
        <w:t xml:space="preserve"> hepatology</w:t>
      </w:r>
    </w:p>
    <w:p>
      <w:pPr>
        <w:spacing w:line="360" w:lineRule="auto"/>
        <w:jc w:val="both"/>
        <w:rPr>
          <w:rStyle w:val="13"/>
          <w:rFonts w:ascii="Book Antiqua" w:hAnsi="Book Antiqua" w:eastAsia="Book Antiqua" w:cs="Book Antiqua"/>
        </w:rPr>
      </w:pPr>
      <w:r>
        <w:rPr>
          <w:rStyle w:val="13"/>
          <w:rFonts w:ascii="Book Antiqua" w:hAnsi="Book Antiqua"/>
          <w:b/>
          <w:bCs/>
        </w:rPr>
        <w:t xml:space="preserve">Country/Territory of origin: </w:t>
      </w:r>
      <w:r>
        <w:rPr>
          <w:rStyle w:val="13"/>
          <w:rFonts w:ascii="Book Antiqua" w:hAnsi="Book Antiqua"/>
        </w:rPr>
        <w:t>Italy</w:t>
      </w:r>
    </w:p>
    <w:p>
      <w:pPr>
        <w:spacing w:line="360" w:lineRule="auto"/>
        <w:jc w:val="both"/>
        <w:rPr>
          <w:rStyle w:val="13"/>
          <w:rFonts w:ascii="Book Antiqua" w:hAnsi="Book Antiqua" w:eastAsia="Book Antiqua" w:cs="Book Antiqua"/>
        </w:rPr>
      </w:pPr>
      <w:r>
        <w:rPr>
          <w:rStyle w:val="13"/>
          <w:rFonts w:ascii="Book Antiqua" w:hAnsi="Book Antiqua"/>
          <w:b/>
          <w:bCs/>
        </w:rPr>
        <w:t>Peer-review report’s scientific quality classification</w:t>
      </w:r>
    </w:p>
    <w:p>
      <w:pPr>
        <w:spacing w:line="360" w:lineRule="auto"/>
        <w:jc w:val="both"/>
        <w:rPr>
          <w:rStyle w:val="13"/>
          <w:rFonts w:ascii="Book Antiqua" w:hAnsi="Book Antiqua" w:eastAsia="Book Antiqua" w:cs="Book Antiqua"/>
        </w:rPr>
      </w:pPr>
      <w:r>
        <w:rPr>
          <w:rStyle w:val="13"/>
          <w:rFonts w:ascii="Book Antiqua" w:hAnsi="Book Antiqua"/>
        </w:rPr>
        <w:t>Grade A (Excellent): 0</w:t>
      </w:r>
    </w:p>
    <w:p>
      <w:pPr>
        <w:spacing w:line="360" w:lineRule="auto"/>
        <w:jc w:val="both"/>
        <w:rPr>
          <w:rStyle w:val="13"/>
          <w:rFonts w:ascii="Book Antiqua" w:hAnsi="Book Antiqua" w:eastAsia="Book Antiqua" w:cs="Book Antiqua"/>
        </w:rPr>
      </w:pPr>
      <w:r>
        <w:rPr>
          <w:rStyle w:val="13"/>
          <w:rFonts w:ascii="Book Antiqua" w:hAnsi="Book Antiqua"/>
        </w:rPr>
        <w:t>Grade B (Very good): 0</w:t>
      </w:r>
    </w:p>
    <w:p>
      <w:pPr>
        <w:spacing w:line="360" w:lineRule="auto"/>
        <w:jc w:val="both"/>
        <w:rPr>
          <w:rStyle w:val="13"/>
          <w:rFonts w:ascii="Book Antiqua" w:hAnsi="Book Antiqua" w:eastAsia="Book Antiqua" w:cs="Book Antiqua"/>
        </w:rPr>
      </w:pPr>
      <w:r>
        <w:rPr>
          <w:rStyle w:val="13"/>
          <w:rFonts w:ascii="Book Antiqua" w:hAnsi="Book Antiqua"/>
        </w:rPr>
        <w:t>Grade C (Good): C</w:t>
      </w:r>
    </w:p>
    <w:p>
      <w:pPr>
        <w:spacing w:line="360" w:lineRule="auto"/>
        <w:jc w:val="both"/>
        <w:rPr>
          <w:rStyle w:val="13"/>
          <w:rFonts w:ascii="Book Antiqua" w:hAnsi="Book Antiqua" w:eastAsia="Book Antiqua" w:cs="Book Antiqua"/>
        </w:rPr>
      </w:pPr>
      <w:r>
        <w:rPr>
          <w:rStyle w:val="13"/>
          <w:rFonts w:ascii="Book Antiqua" w:hAnsi="Book Antiqua"/>
        </w:rPr>
        <w:t>Grade D (Fair): 0</w:t>
      </w:r>
    </w:p>
    <w:p>
      <w:pPr>
        <w:spacing w:line="360" w:lineRule="auto"/>
        <w:jc w:val="both"/>
        <w:rPr>
          <w:rStyle w:val="13"/>
          <w:rFonts w:ascii="Book Antiqua" w:hAnsi="Book Antiqua" w:eastAsia="Book Antiqua" w:cs="Book Antiqua"/>
        </w:rPr>
      </w:pPr>
      <w:r>
        <w:rPr>
          <w:rStyle w:val="13"/>
          <w:rFonts w:ascii="Book Antiqua" w:hAnsi="Book Antiqua"/>
        </w:rPr>
        <w:t>Grade E (Poor): 0</w:t>
      </w:r>
    </w:p>
    <w:p>
      <w:pPr>
        <w:spacing w:line="360" w:lineRule="auto"/>
        <w:jc w:val="both"/>
        <w:rPr>
          <w:rStyle w:val="13"/>
          <w:rFonts w:ascii="Book Antiqua" w:hAnsi="Book Antiqua" w:eastAsia="Book Antiqua" w:cs="Book Antiqua"/>
        </w:rPr>
      </w:pPr>
    </w:p>
    <w:p>
      <w:pPr>
        <w:spacing w:line="360" w:lineRule="auto"/>
        <w:jc w:val="both"/>
        <w:rPr>
          <w:rFonts w:hint="default" w:eastAsia="Arial Unicode MS"/>
          <w:lang w:val="en-US" w:eastAsia="zh-CN"/>
        </w:rPr>
        <w:sectPr>
          <w:headerReference r:id="rId5" w:type="default"/>
          <w:pgSz w:w="12240" w:h="15840"/>
          <w:pgMar w:top="1440" w:right="1440" w:bottom="1440" w:left="1440" w:header="720" w:footer="720" w:gutter="0"/>
          <w:cols w:space="720" w:num="1"/>
        </w:sectPr>
      </w:pPr>
      <w:r>
        <w:rPr>
          <w:rStyle w:val="13"/>
          <w:rFonts w:ascii="Book Antiqua" w:hAnsi="Book Antiqua"/>
          <w:b/>
          <w:bCs/>
        </w:rPr>
        <w:t xml:space="preserve">P-Reviewer: </w:t>
      </w:r>
      <w:r>
        <w:rPr>
          <w:rStyle w:val="13"/>
          <w:rFonts w:ascii="Book Antiqua" w:hAnsi="Book Antiqua"/>
        </w:rPr>
        <w:t>Long X, China</w:t>
      </w:r>
      <w:r>
        <w:rPr>
          <w:rStyle w:val="13"/>
          <w:rFonts w:ascii="Book Antiqua" w:hAnsi="Book Antiqua"/>
          <w:b/>
          <w:bCs/>
        </w:rPr>
        <w:t xml:space="preserve"> S-Editor: </w:t>
      </w:r>
      <w:r>
        <w:rPr>
          <w:rStyle w:val="13"/>
          <w:rFonts w:ascii="Book Antiqua" w:hAnsi="Book Antiqua"/>
        </w:rPr>
        <w:t>Liu JH</w:t>
      </w:r>
      <w:r>
        <w:rPr>
          <w:rStyle w:val="13"/>
          <w:rFonts w:ascii="Book Antiqua" w:hAnsi="Book Antiqua"/>
          <w:b/>
          <w:bCs/>
        </w:rPr>
        <w:t xml:space="preserve"> L-Editor: </w:t>
      </w:r>
      <w:r>
        <w:rPr>
          <w:rStyle w:val="13"/>
          <w:rFonts w:ascii="Book Antiqua" w:hAnsi="Book Antiqua"/>
        </w:rPr>
        <w:t>A</w:t>
      </w:r>
      <w:r>
        <w:rPr>
          <w:rStyle w:val="13"/>
          <w:rFonts w:ascii="Book Antiqua" w:hAnsi="Book Antiqua"/>
          <w:b/>
          <w:bCs/>
        </w:rPr>
        <w:t xml:space="preserve"> P-Editor: </w:t>
      </w:r>
      <w:r>
        <w:rPr>
          <w:rStyle w:val="13"/>
          <w:rFonts w:hint="eastAsia" w:ascii="Book Antiqua" w:hAnsi="Book Antiqua"/>
          <w:b w:val="0"/>
          <w:bCs w:val="0"/>
          <w:lang w:val="en-US" w:eastAsia="zh-CN"/>
        </w:rPr>
        <w:t>Xu ZH</w:t>
      </w:r>
    </w:p>
    <w:p>
      <w:pPr>
        <w:spacing w:line="360" w:lineRule="auto"/>
        <w:jc w:val="both"/>
        <w:rPr>
          <w:rStyle w:val="13"/>
          <w:rFonts w:ascii="Book Antiqua" w:hAnsi="Book Antiqua" w:eastAsia="Book Antiqua" w:cs="Book Antiqua"/>
        </w:rPr>
      </w:pPr>
      <w:r>
        <w:rPr>
          <w:rStyle w:val="13"/>
          <w:rFonts w:ascii="Book Antiqua" w:hAnsi="Book Antiqua"/>
          <w:b/>
          <w:bCs/>
        </w:rPr>
        <w:t>Figure Legends</w:t>
      </w:r>
    </w:p>
    <w:p>
      <w:pPr>
        <w:spacing w:line="360" w:lineRule="auto"/>
        <w:jc w:val="both"/>
        <w:rPr>
          <w:rStyle w:val="13"/>
          <w:rFonts w:hint="eastAsia" w:ascii="Book Antiqua" w:hAnsi="Book Antiqua" w:eastAsia="宋体" w:cs="Book Antiqua"/>
          <w:lang w:eastAsia="zh-CN"/>
        </w:rPr>
      </w:pPr>
      <w:r>
        <w:rPr>
          <w:rStyle w:val="13"/>
          <w:rFonts w:hint="eastAsia" w:ascii="Book Antiqua" w:hAnsi="Book Antiqua" w:eastAsia="宋体" w:cs="Book Antiqua"/>
          <w:lang w:eastAsia="zh-CN"/>
        </w:rPr>
        <w:drawing>
          <wp:inline distT="0" distB="0" distL="114300" distR="114300">
            <wp:extent cx="2933700" cy="3074035"/>
            <wp:effectExtent l="0" t="0" r="0" b="2540"/>
            <wp:docPr id="1" name="图片 1" descr="WJCC-11-843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8434-g001"/>
                    <pic:cNvPicPr>
                      <a:picLocks noChangeAspect="1"/>
                    </pic:cNvPicPr>
                  </pic:nvPicPr>
                  <pic:blipFill>
                    <a:blip r:embed="rId8"/>
                    <a:stretch>
                      <a:fillRect/>
                    </a:stretch>
                  </pic:blipFill>
                  <pic:spPr>
                    <a:xfrm>
                      <a:off x="0" y="0"/>
                      <a:ext cx="2933700" cy="3074035"/>
                    </a:xfrm>
                    <a:prstGeom prst="rect">
                      <a:avLst/>
                    </a:prstGeom>
                  </pic:spPr>
                </pic:pic>
              </a:graphicData>
            </a:graphic>
          </wp:inline>
        </w:drawing>
      </w:r>
    </w:p>
    <w:p>
      <w:pPr>
        <w:spacing w:line="360" w:lineRule="auto"/>
        <w:jc w:val="both"/>
        <w:rPr>
          <w:rStyle w:val="13"/>
          <w:rFonts w:ascii="Book Antiqua" w:hAnsi="Book Antiqua" w:eastAsia="Book Antiqua" w:cs="Book Antiqua"/>
          <w:b/>
          <w:bCs/>
        </w:rPr>
      </w:pPr>
      <w:r>
        <w:rPr>
          <w:rStyle w:val="13"/>
          <w:rFonts w:ascii="Book Antiqua" w:hAnsi="Book Antiqua"/>
          <w:b/>
          <w:bCs/>
        </w:rPr>
        <w:t>Figure 1 Endoscopic retrograde cholangiopancreatography performed at admission to clarify the radiological findings showed a serrated biliary hilar stenosis (</w:t>
      </w:r>
      <w:r>
        <w:rPr>
          <w:rStyle w:val="13"/>
          <w:rFonts w:hint="eastAsia" w:ascii="Book Antiqua" w:hAnsi="Book Antiqua"/>
          <w:b/>
          <w:bCs/>
          <w:lang w:val="en-US" w:eastAsia="zh-CN"/>
        </w:rPr>
        <w:t>orange</w:t>
      </w:r>
      <w:r>
        <w:rPr>
          <w:rStyle w:val="13"/>
          <w:rFonts w:ascii="Book Antiqua" w:hAnsi="Book Antiqua"/>
          <w:b/>
          <w:bCs/>
        </w:rPr>
        <w:t xml:space="preserve"> circle) and dilatation of intrahepatic bile ducts.</w:t>
      </w:r>
    </w:p>
    <w:p>
      <w:r>
        <w:rPr>
          <w:rStyle w:val="13"/>
          <w:rFonts w:ascii="Arial Unicode MS" w:hAnsi="Arial Unicode MS"/>
        </w:rPr>
        <w:br w:type="page"/>
      </w:r>
    </w:p>
    <w:p>
      <w:pPr>
        <w:spacing w:line="360" w:lineRule="auto"/>
        <w:jc w:val="both"/>
        <w:rPr>
          <w:rStyle w:val="13"/>
          <w:rFonts w:hint="eastAsia" w:ascii="Book Antiqua" w:hAnsi="Book Antiqua" w:eastAsia="宋体" w:cs="Book Antiqua"/>
          <w:b/>
          <w:bCs/>
          <w:lang w:eastAsia="zh-CN"/>
        </w:rPr>
      </w:pPr>
      <w:r>
        <w:rPr>
          <w:rStyle w:val="13"/>
          <w:rFonts w:hint="eastAsia" w:ascii="Book Antiqua" w:hAnsi="Book Antiqua" w:eastAsia="宋体" w:cs="Book Antiqua"/>
          <w:b/>
          <w:bCs/>
          <w:lang w:eastAsia="zh-CN"/>
        </w:rPr>
        <w:drawing>
          <wp:inline distT="0" distB="0" distL="114300" distR="114300">
            <wp:extent cx="2933700" cy="3009900"/>
            <wp:effectExtent l="0" t="0" r="0" b="0"/>
            <wp:docPr id="2" name="图片 2" descr="WJCC-11-843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8434-g002"/>
                    <pic:cNvPicPr>
                      <a:picLocks noChangeAspect="1"/>
                    </pic:cNvPicPr>
                  </pic:nvPicPr>
                  <pic:blipFill>
                    <a:blip r:embed="rId9"/>
                    <a:stretch>
                      <a:fillRect/>
                    </a:stretch>
                  </pic:blipFill>
                  <pic:spPr>
                    <a:xfrm>
                      <a:off x="0" y="0"/>
                      <a:ext cx="2933700" cy="3009900"/>
                    </a:xfrm>
                    <a:prstGeom prst="rect">
                      <a:avLst/>
                    </a:prstGeom>
                  </pic:spPr>
                </pic:pic>
              </a:graphicData>
            </a:graphic>
          </wp:inline>
        </w:drawing>
      </w:r>
    </w:p>
    <w:p>
      <w:pPr>
        <w:spacing w:line="360" w:lineRule="auto"/>
        <w:jc w:val="both"/>
        <w:rPr>
          <w:rStyle w:val="13"/>
          <w:rFonts w:ascii="Book Antiqua" w:hAnsi="Book Antiqua" w:eastAsia="Book Antiqua" w:cs="Book Antiqua"/>
        </w:rPr>
      </w:pPr>
      <w:r>
        <w:rPr>
          <w:rStyle w:val="13"/>
          <w:rFonts w:ascii="Book Antiqua" w:hAnsi="Book Antiqua"/>
          <w:b/>
          <w:bCs/>
        </w:rPr>
        <w:t>Figure 2 Choledoscopy with Spyglass II revealed the presence of fixed tissue in the hepatic hilum causing bile duct stenosis.</w:t>
      </w:r>
    </w:p>
    <w:p>
      <w:r>
        <w:rPr>
          <w:rStyle w:val="13"/>
          <w:rFonts w:ascii="Arial Unicode MS" w:hAnsi="Arial Unicode MS"/>
        </w:rPr>
        <w:br w:type="page"/>
      </w:r>
    </w:p>
    <w:p>
      <w:pPr>
        <w:spacing w:line="360" w:lineRule="auto"/>
        <w:jc w:val="both"/>
        <w:rPr>
          <w:rStyle w:val="13"/>
          <w:rFonts w:hint="eastAsia" w:ascii="Book Antiqua" w:hAnsi="Book Antiqua" w:eastAsia="宋体" w:cs="Book Antiqua"/>
          <w:lang w:eastAsia="zh-CN"/>
        </w:rPr>
      </w:pPr>
      <w:r>
        <w:rPr>
          <w:rStyle w:val="13"/>
          <w:rFonts w:hint="eastAsia" w:ascii="Book Antiqua" w:hAnsi="Book Antiqua" w:eastAsia="宋体" w:cs="Book Antiqua"/>
          <w:lang w:eastAsia="zh-CN"/>
        </w:rPr>
        <w:drawing>
          <wp:inline distT="0" distB="0" distL="114300" distR="114300">
            <wp:extent cx="2933700" cy="2807335"/>
            <wp:effectExtent l="0" t="0" r="0" b="2540"/>
            <wp:docPr id="4" name="图片 4" descr="WJCC-11-843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8434-g003"/>
                    <pic:cNvPicPr>
                      <a:picLocks noChangeAspect="1"/>
                    </pic:cNvPicPr>
                  </pic:nvPicPr>
                  <pic:blipFill>
                    <a:blip r:embed="rId10"/>
                    <a:stretch>
                      <a:fillRect/>
                    </a:stretch>
                  </pic:blipFill>
                  <pic:spPr>
                    <a:xfrm>
                      <a:off x="0" y="0"/>
                      <a:ext cx="2933700" cy="2807335"/>
                    </a:xfrm>
                    <a:prstGeom prst="rect">
                      <a:avLst/>
                    </a:prstGeom>
                  </pic:spPr>
                </pic:pic>
              </a:graphicData>
            </a:graphic>
          </wp:inline>
        </w:drawing>
      </w:r>
      <w:bookmarkStart w:id="2" w:name="_GoBack"/>
      <w:bookmarkEnd w:id="2"/>
    </w:p>
    <w:p>
      <w:pPr>
        <w:spacing w:line="360" w:lineRule="auto"/>
        <w:jc w:val="both"/>
        <w:rPr>
          <w:rStyle w:val="13"/>
          <w:rFonts w:ascii="Book Antiqua" w:hAnsi="Book Antiqua"/>
          <w:b/>
          <w:bCs/>
        </w:rPr>
        <w:sectPr>
          <w:headerReference r:id="rId6" w:type="default"/>
          <w:pgSz w:w="12240" w:h="15840"/>
          <w:pgMar w:top="1440" w:right="1440" w:bottom="1440" w:left="1440" w:header="720" w:footer="720" w:gutter="0"/>
          <w:cols w:space="720" w:num="1"/>
        </w:sectPr>
      </w:pPr>
      <w:r>
        <w:rPr>
          <w:rStyle w:val="13"/>
          <w:rFonts w:ascii="Book Antiqua" w:hAnsi="Book Antiqua"/>
          <w:b/>
          <w:bCs/>
        </w:rPr>
        <w:t>Figure</w:t>
      </w:r>
      <w:r>
        <w:rPr>
          <w:rStyle w:val="13"/>
          <w:rFonts w:ascii="Book Antiqua" w:hAnsi="Book Antiqua"/>
        </w:rPr>
        <w:t xml:space="preserve"> </w:t>
      </w:r>
      <w:r>
        <w:rPr>
          <w:rStyle w:val="13"/>
          <w:rFonts w:ascii="Book Antiqua" w:hAnsi="Book Antiqua"/>
          <w:b/>
          <w:bCs/>
        </w:rPr>
        <w:t>3 Magnetic resonance imaging cholangiopancreatography showing persistence of bile duct and intrahepatic biliary dilation after endoscopic treatment.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Style w:val="13"/>
          <w:rFonts w:ascii="Book Antiqua" w:hAnsi="Book Antiqu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ascii="Book Antiqua" w:hAnsi="Book Antiqua"/>
        <w:sz w:val="24"/>
        <w:szCs w:val="24"/>
        <w:lang w:val="zh-TW" w:eastAsia="zh-TW"/>
      </w:rPr>
      <w:t xml:space="preserve"> </w:t>
    </w:r>
    <w:r>
      <w:rPr>
        <w:rFonts w:ascii="Book Antiqua" w:hAnsi="Book Antiqua" w:eastAsia="Book Antiqua" w:cs="Book Antiqua"/>
        <w:b/>
        <w:bCs/>
        <w:sz w:val="24"/>
        <w:szCs w:val="24"/>
      </w:rPr>
      <w:fldChar w:fldCharType="begin"/>
    </w:r>
    <w:r>
      <w:rPr>
        <w:rFonts w:ascii="Book Antiqua" w:hAnsi="Book Antiqua" w:eastAsia="Book Antiqua" w:cs="Book Antiqua"/>
        <w:b/>
        <w:bCs/>
        <w:sz w:val="24"/>
        <w:szCs w:val="24"/>
      </w:rPr>
      <w:instrText xml:space="preserve"> PAGE </w:instrText>
    </w:r>
    <w:r>
      <w:rPr>
        <w:rFonts w:ascii="Book Antiqua" w:hAnsi="Book Antiqua" w:eastAsia="Book Antiqua" w:cs="Book Antiqua"/>
        <w:b/>
        <w:bCs/>
        <w:sz w:val="24"/>
        <w:szCs w:val="24"/>
      </w:rPr>
      <w:fldChar w:fldCharType="separate"/>
    </w:r>
    <w:r>
      <w:rPr>
        <w:rFonts w:ascii="Book Antiqua" w:hAnsi="Book Antiqua" w:eastAsia="Book Antiqua" w:cs="Book Antiqua"/>
        <w:b/>
        <w:bCs/>
        <w:sz w:val="24"/>
        <w:szCs w:val="24"/>
      </w:rPr>
      <w:t>15</w:t>
    </w:r>
    <w:r>
      <w:rPr>
        <w:rFonts w:ascii="Book Antiqua" w:hAnsi="Book Antiqua" w:eastAsia="Book Antiqua" w:cs="Book Antiqua"/>
        <w:b/>
        <w:bCs/>
        <w:sz w:val="24"/>
        <w:szCs w:val="24"/>
      </w:rPr>
      <w:fldChar w:fldCharType="end"/>
    </w:r>
    <w:r>
      <w:rPr>
        <w:rFonts w:ascii="Book Antiqua" w:hAnsi="Book Antiqua"/>
        <w:sz w:val="24"/>
        <w:szCs w:val="24"/>
        <w:lang w:val="zh-TW" w:eastAsia="zh-TW"/>
      </w:rPr>
      <w:t xml:space="preserve"> / </w:t>
    </w:r>
    <w:r>
      <w:rPr>
        <w:rFonts w:ascii="Book Antiqua" w:hAnsi="Book Antiqua" w:eastAsia="Book Antiqua" w:cs="Book Antiqua"/>
        <w:b/>
        <w:bCs/>
        <w:sz w:val="24"/>
        <w:szCs w:val="24"/>
      </w:rPr>
      <w:fldChar w:fldCharType="begin"/>
    </w:r>
    <w:r>
      <w:rPr>
        <w:rFonts w:ascii="Book Antiqua" w:hAnsi="Book Antiqua" w:eastAsia="Book Antiqua" w:cs="Book Antiqua"/>
        <w:b/>
        <w:bCs/>
        <w:sz w:val="24"/>
        <w:szCs w:val="24"/>
      </w:rPr>
      <w:instrText xml:space="preserve"> NUMPAGES </w:instrText>
    </w:r>
    <w:r>
      <w:rPr>
        <w:rFonts w:ascii="Book Antiqua" w:hAnsi="Book Antiqua" w:eastAsia="Book Antiqua" w:cs="Book Antiqua"/>
        <w:b/>
        <w:bCs/>
        <w:sz w:val="24"/>
        <w:szCs w:val="24"/>
      </w:rPr>
      <w:fldChar w:fldCharType="separate"/>
    </w:r>
    <w:r>
      <w:rPr>
        <w:rFonts w:ascii="Book Antiqua" w:hAnsi="Book Antiqua" w:eastAsia="Book Antiqua" w:cs="Book Antiqua"/>
        <w:b/>
        <w:bCs/>
        <w:sz w:val="24"/>
        <w:szCs w:val="24"/>
      </w:rPr>
      <w:t>15</w:t>
    </w:r>
    <w:r>
      <w:rPr>
        <w:rFonts w:ascii="Book Antiqua" w:hAnsi="Book Antiqua" w:eastAsia="Book Antiqua" w:cs="Book Antiqua"/>
        <w:b/>
        <w:bCs/>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3A166F"/>
    <w:rsid w:val="000C1B9A"/>
    <w:rsid w:val="00150B78"/>
    <w:rsid w:val="0038763F"/>
    <w:rsid w:val="003A166F"/>
    <w:rsid w:val="00454B54"/>
    <w:rsid w:val="005E0337"/>
    <w:rsid w:val="006A0267"/>
    <w:rsid w:val="008C0E1B"/>
    <w:rsid w:val="00CE01F1"/>
    <w:rsid w:val="00D1253E"/>
    <w:rsid w:val="00F24112"/>
    <w:rsid w:val="00FE5F7C"/>
    <w:rsid w:val="256920B5"/>
    <w:rsid w:val="2C97081C"/>
    <w:rsid w:val="386C5926"/>
    <w:rsid w:val="3A487182"/>
    <w:rsid w:val="529839B6"/>
    <w:rsid w:val="5470542F"/>
    <w:rsid w:val="76FE3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color="000000"/>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style>
  <w:style w:type="paragraph" w:styleId="3">
    <w:name w:val="Balloon Text"/>
    <w:basedOn w:val="1"/>
    <w:link w:val="17"/>
    <w:semiHidden/>
    <w:unhideWhenUsed/>
    <w:qFormat/>
    <w:uiPriority w:val="99"/>
    <w:rPr>
      <w:sz w:val="18"/>
      <w:szCs w:val="18"/>
    </w:rPr>
  </w:style>
  <w:style w:type="paragraph" w:styleId="4">
    <w:name w:val="footer"/>
    <w:qFormat/>
    <w:uiPriority w:val="0"/>
    <w:pPr>
      <w:pBdr>
        <w:top w:val="none" w:color="auto" w:sz="0" w:space="0"/>
        <w:left w:val="none" w:color="auto" w:sz="0" w:space="0"/>
        <w:bottom w:val="none" w:color="auto" w:sz="0" w:space="0"/>
        <w:right w:val="none" w:color="auto" w:sz="0" w:space="0"/>
        <w:between w:val="none" w:color="auto" w:sz="0" w:space="0"/>
      </w:pBdr>
      <w:tabs>
        <w:tab w:val="center" w:pos="4153"/>
        <w:tab w:val="right" w:pos="8306"/>
      </w:tabs>
    </w:pPr>
    <w:rPr>
      <w:rFonts w:ascii="Times New Roman" w:hAnsi="Times New Roman" w:eastAsia="Arial Unicode MS" w:cs="Arial Unicode MS"/>
      <w:color w:val="000000"/>
      <w:sz w:val="18"/>
      <w:szCs w:val="18"/>
      <w:u w:color="000000"/>
      <w:lang w:val="en-US" w:eastAsia="zh-CN" w:bidi="ar-SA"/>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Hyperlink"/>
    <w:qFormat/>
    <w:uiPriority w:val="0"/>
    <w:rPr>
      <w:u w:val="single"/>
    </w:rPr>
  </w:style>
  <w:style w:type="character" w:styleId="9">
    <w:name w:val="annotation reference"/>
    <w:basedOn w:val="7"/>
    <w:semiHidden/>
    <w:unhideWhenUsed/>
    <w:qFormat/>
    <w:uiPriority w:val="99"/>
    <w:rPr>
      <w:sz w:val="21"/>
      <w:szCs w:val="21"/>
    </w:rPr>
  </w:style>
  <w:style w:type="table" w:customStyle="1" w:styleId="10">
    <w:name w:val="Table Normal"/>
    <w:qFormat/>
    <w:uiPriority w:val="0"/>
    <w:tblPr>
      <w:tblCellMar>
        <w:top w:w="0" w:type="dxa"/>
        <w:left w:w="0" w:type="dxa"/>
        <w:bottom w:w="0" w:type="dxa"/>
        <w:right w:w="0" w:type="dxa"/>
      </w:tblCellMar>
    </w:tblPr>
  </w:style>
  <w:style w:type="paragraph" w:customStyle="1" w:styleId="11">
    <w:name w:val="Intestazione e piè di pagina"/>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2">
    <w:name w:val="Di default"/>
    <w:qFormat/>
    <w:uiPriority w:val="0"/>
    <w:pPr>
      <w:pBdr>
        <w:top w:val="none" w:color="auto" w:sz="0" w:space="0"/>
        <w:left w:val="none" w:color="auto" w:sz="0" w:space="0"/>
        <w:bottom w:val="none" w:color="auto" w:sz="0" w:space="0"/>
        <w:right w:val="none" w:color="auto" w:sz="0" w:space="0"/>
        <w:between w:val="none" w:color="auto" w:sz="0" w:space="0"/>
      </w:pBdr>
      <w:spacing w:before="160" w:line="288" w:lineRule="auto"/>
    </w:pPr>
    <w:rPr>
      <w:rFonts w:ascii="Helvetica Neue" w:hAnsi="Helvetica Neue" w:eastAsia="Helvetica Neue" w:cs="Helvetica Neue"/>
      <w:color w:val="000000"/>
      <w:sz w:val="24"/>
      <w:szCs w:val="24"/>
      <w:lang w:val="en-US" w:eastAsia="zh-CN" w:bidi="ar-SA"/>
    </w:rPr>
  </w:style>
  <w:style w:type="character" w:customStyle="1" w:styleId="13">
    <w:name w:val="Nessuno"/>
    <w:qFormat/>
    <w:uiPriority w:val="0"/>
  </w:style>
  <w:style w:type="character" w:customStyle="1" w:styleId="14">
    <w:name w:val="Hyperlink.0"/>
    <w:basedOn w:val="13"/>
    <w:qFormat/>
    <w:uiPriority w:val="0"/>
    <w:rPr>
      <w:rFonts w:ascii="Book Antiqua" w:hAnsi="Book Antiqua" w:eastAsia="Book Antiqua" w:cs="Book Antiqua"/>
      <w:color w:val="000000"/>
      <w:u w:color="000000"/>
      <w:vertAlign w:val="superscript"/>
    </w:rPr>
  </w:style>
  <w:style w:type="character" w:customStyle="1" w:styleId="15">
    <w:name w:val="Hyperlink.1"/>
    <w:basedOn w:val="13"/>
    <w:qFormat/>
    <w:uiPriority w:val="0"/>
    <w:rPr>
      <w:rFonts w:ascii="Book Antiqua" w:hAnsi="Book Antiqua" w:eastAsia="Book Antiqua" w:cs="Book Antiqua"/>
      <w:vertAlign w:val="superscript"/>
    </w:rPr>
  </w:style>
  <w:style w:type="character" w:customStyle="1" w:styleId="16">
    <w:name w:val="批注文字 字符"/>
    <w:basedOn w:val="7"/>
    <w:link w:val="2"/>
    <w:semiHidden/>
    <w:qFormat/>
    <w:uiPriority w:val="99"/>
    <w:rPr>
      <w:rFonts w:cs="Arial Unicode MS"/>
      <w:color w:val="000000"/>
      <w:sz w:val="24"/>
      <w:szCs w:val="24"/>
      <w:u w:color="000000"/>
    </w:rPr>
  </w:style>
  <w:style w:type="character" w:customStyle="1" w:styleId="17">
    <w:name w:val="批注框文本 字符"/>
    <w:basedOn w:val="7"/>
    <w:link w:val="3"/>
    <w:semiHidden/>
    <w:qFormat/>
    <w:uiPriority w:val="99"/>
    <w:rPr>
      <w:rFonts w:eastAsia="Arial Unicode MS" w:cs="Arial Unicode MS"/>
      <w:color w:val="000000"/>
      <w:sz w:val="18"/>
      <w:szCs w:val="18"/>
      <w:u w:color="000000"/>
    </w:rPr>
  </w:style>
  <w:style w:type="paragraph" w:customStyle="1" w:styleId="18">
    <w:name w:val="Revision"/>
    <w:hidden/>
    <w:semiHidden/>
    <w:qFormat/>
    <w:uiPriority w:val="99"/>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color="000000"/>
      <w:lang w:val="en-US" w:eastAsia="zh-CN" w:bidi="ar-SA"/>
    </w:rPr>
  </w:style>
  <w:style w:type="character" w:customStyle="1" w:styleId="19">
    <w:name w:val="font31"/>
    <w:basedOn w:val="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Template>
  <Company>HP</Company>
  <Pages>1</Pages>
  <Words>3572</Words>
  <Characters>20362</Characters>
  <Lines>169</Lines>
  <Paragraphs>47</Paragraphs>
  <TotalTime>3</TotalTime>
  <ScaleCrop>false</ScaleCrop>
  <LinksUpToDate>false</LinksUpToDate>
  <CharactersWithSpaces>23887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2023-12-06T01:25:00Z</dcterms:created>
  <dc:creator>百世登</dc:creator>
  <cp:lastModifiedBy>xzh</cp:lastModifiedBy>
  <dcterms:modified xsi:type="dcterms:W3CDTF">2023-12-22T04:11:51Z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621DFFDCAC6842B5A2806EB20076BC52_12</vt:lpwstr>
  </property>
</Properties>
</file>