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9BE0A"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0EBC646C"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88620</w:t>
      </w:r>
    </w:p>
    <w:p w14:paraId="6C652E17"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00A624AA" w14:textId="77777777" w:rsidR="000A3061" w:rsidRDefault="000A3061">
      <w:pPr>
        <w:spacing w:line="360" w:lineRule="auto"/>
        <w:jc w:val="both"/>
        <w:rPr>
          <w:rFonts w:ascii="Book Antiqua" w:hAnsi="Book Antiqua"/>
        </w:rPr>
      </w:pPr>
    </w:p>
    <w:p w14:paraId="00D94E6D" w14:textId="77777777" w:rsidR="000A3061" w:rsidRDefault="00000000">
      <w:pPr>
        <w:spacing w:line="360" w:lineRule="auto"/>
        <w:jc w:val="both"/>
        <w:rPr>
          <w:rFonts w:ascii="Book Antiqua" w:hAnsi="Book Antiqua"/>
        </w:rPr>
      </w:pPr>
      <w:r>
        <w:rPr>
          <w:rFonts w:ascii="Book Antiqua" w:eastAsia="Book Antiqua" w:hAnsi="Book Antiqua" w:cs="Book Antiqua"/>
          <w:b/>
        </w:rPr>
        <w:t>Biological factors driving colorectal cancer metastasis</w:t>
      </w:r>
    </w:p>
    <w:p w14:paraId="2BA255B6" w14:textId="77777777" w:rsidR="000A3061" w:rsidRDefault="000A3061">
      <w:pPr>
        <w:spacing w:line="360" w:lineRule="auto"/>
        <w:jc w:val="both"/>
        <w:rPr>
          <w:rFonts w:ascii="Book Antiqua" w:hAnsi="Book Antiqua"/>
        </w:rPr>
      </w:pPr>
    </w:p>
    <w:p w14:paraId="0DBEE93E" w14:textId="77777777" w:rsidR="000A3061" w:rsidRDefault="00000000">
      <w:pPr>
        <w:spacing w:line="360" w:lineRule="auto"/>
        <w:jc w:val="both"/>
        <w:rPr>
          <w:rFonts w:ascii="Book Antiqua" w:hAnsi="Book Antiqua"/>
        </w:rPr>
      </w:pPr>
      <w:r>
        <w:rPr>
          <w:rFonts w:ascii="Book Antiqua" w:eastAsia="Book Antiqua" w:hAnsi="Book Antiqua" w:cs="Book Antiqua"/>
        </w:rPr>
        <w:t xml:space="preserve">An SX </w:t>
      </w:r>
      <w:r>
        <w:rPr>
          <w:rFonts w:ascii="Book Antiqua" w:eastAsia="Book Antiqua" w:hAnsi="Book Antiqua" w:cs="Book Antiqua"/>
          <w:i/>
          <w:iCs/>
        </w:rPr>
        <w:t>et al</w:t>
      </w:r>
      <w:r>
        <w:rPr>
          <w:rFonts w:ascii="Book Antiqua" w:eastAsia="Book Antiqua" w:hAnsi="Book Antiqua" w:cs="Book Antiqua"/>
        </w:rPr>
        <w:t>. Leading colorectal cancer metastasis</w:t>
      </w:r>
    </w:p>
    <w:p w14:paraId="7006AA9A" w14:textId="77777777" w:rsidR="000A3061" w:rsidRDefault="000A3061">
      <w:pPr>
        <w:spacing w:line="360" w:lineRule="auto"/>
        <w:jc w:val="both"/>
        <w:rPr>
          <w:rFonts w:ascii="Book Antiqua" w:hAnsi="Book Antiqua"/>
        </w:rPr>
      </w:pPr>
    </w:p>
    <w:p w14:paraId="4ACBCB8C" w14:textId="77777777" w:rsidR="000A3061" w:rsidRDefault="00000000">
      <w:pPr>
        <w:spacing w:line="360" w:lineRule="auto"/>
        <w:jc w:val="both"/>
        <w:rPr>
          <w:rFonts w:ascii="Book Antiqua" w:hAnsi="Book Antiqua"/>
        </w:rPr>
      </w:pPr>
      <w:r>
        <w:rPr>
          <w:rFonts w:ascii="Book Antiqua" w:eastAsia="Book Antiqua" w:hAnsi="Book Antiqua" w:cs="Book Antiqua"/>
        </w:rPr>
        <w:t>Shuai-Xing An, Zhao-Jin Yu, Chen Fu, Min-Jie Wei, Long-Hai Shen</w:t>
      </w:r>
    </w:p>
    <w:p w14:paraId="074C83D1" w14:textId="77777777" w:rsidR="000A3061" w:rsidRDefault="000A3061">
      <w:pPr>
        <w:spacing w:line="360" w:lineRule="auto"/>
        <w:jc w:val="both"/>
        <w:rPr>
          <w:rFonts w:ascii="Book Antiqua" w:hAnsi="Book Antiqua"/>
        </w:rPr>
      </w:pPr>
    </w:p>
    <w:p w14:paraId="1D69A71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Shuai-Xing An, Zhao-Jin Yu, Chen Fu, Min-Jie Wei, </w:t>
      </w:r>
      <w:r>
        <w:rPr>
          <w:rFonts w:ascii="Book Antiqua" w:eastAsia="Book Antiqua" w:hAnsi="Book Antiqua" w:cs="Book Antiqua"/>
        </w:rPr>
        <w:t>Department of Pharmacology, School of Pharmacy, China Medical University, Shenyang 110122, Liaoning Province, China</w:t>
      </w:r>
    </w:p>
    <w:p w14:paraId="793CFA98" w14:textId="77777777" w:rsidR="000A3061" w:rsidRDefault="000A3061">
      <w:pPr>
        <w:spacing w:line="360" w:lineRule="auto"/>
        <w:jc w:val="both"/>
        <w:rPr>
          <w:rFonts w:ascii="Book Antiqua" w:eastAsia="Book Antiqua" w:hAnsi="Book Antiqua" w:cs="Book Antiqua"/>
          <w:b/>
          <w:bCs/>
        </w:rPr>
      </w:pPr>
    </w:p>
    <w:p w14:paraId="33668B1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Shuai-Xing An, Zhao-Jin Yu, Chen Fu, Min-Jie Wei, </w:t>
      </w:r>
      <w:r>
        <w:rPr>
          <w:rFonts w:ascii="Book Antiqua" w:eastAsia="Book Antiqua" w:hAnsi="Book Antiqua" w:cs="Book Antiqua"/>
        </w:rPr>
        <w:t>Liaoning Key Laboratory of Molecular Targeted Antitumor Drug Development and Evaluation, Liaoning Cancer Immune Peptide Drug Engineering Technology Research Center, Key Laboratory of Precision Diagnosis and Treatment of Gastrointestinal Tumors (China Medical University), Ministry of Education, Shenyang 110122, Liaoning Province, China</w:t>
      </w:r>
    </w:p>
    <w:p w14:paraId="7FF38E9B" w14:textId="77777777" w:rsidR="000A3061" w:rsidRDefault="000A3061">
      <w:pPr>
        <w:spacing w:line="360" w:lineRule="auto"/>
        <w:jc w:val="both"/>
        <w:rPr>
          <w:rFonts w:ascii="Book Antiqua" w:eastAsia="Book Antiqua" w:hAnsi="Book Antiqua" w:cs="Book Antiqua"/>
          <w:b/>
          <w:bCs/>
        </w:rPr>
      </w:pPr>
    </w:p>
    <w:p w14:paraId="3DB2BD8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Shuai-Xing An, </w:t>
      </w:r>
      <w:r>
        <w:rPr>
          <w:rFonts w:ascii="Book Antiqua" w:eastAsia="Book Antiqua" w:hAnsi="Book Antiqua" w:cs="Book Antiqua"/>
        </w:rPr>
        <w:t>BD Department, Greenpine Pharma Group Co., Ltd, Tianjin 300020, China</w:t>
      </w:r>
    </w:p>
    <w:p w14:paraId="0D1EC3FC" w14:textId="77777777" w:rsidR="000A3061" w:rsidRDefault="000A3061">
      <w:pPr>
        <w:spacing w:line="360" w:lineRule="auto"/>
        <w:jc w:val="both"/>
        <w:rPr>
          <w:rFonts w:ascii="Book Antiqua" w:eastAsia="Book Antiqua" w:hAnsi="Book Antiqua" w:cs="Book Antiqua"/>
          <w:b/>
          <w:bCs/>
        </w:rPr>
      </w:pPr>
    </w:p>
    <w:p w14:paraId="70515464" w14:textId="77777777" w:rsidR="000A3061"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Long-Hai Shen, </w:t>
      </w:r>
      <w:r>
        <w:rPr>
          <w:rFonts w:ascii="Book Antiqua" w:eastAsia="Book Antiqua" w:hAnsi="Book Antiqua" w:cs="Book Antiqua"/>
        </w:rPr>
        <w:t>Center of Oncology, Genertec Liaoyou Gem Flower Hospital, PanJin 124010, Liaoning Province, China</w:t>
      </w:r>
    </w:p>
    <w:p w14:paraId="7B1F62DB" w14:textId="77777777" w:rsidR="000A3061" w:rsidRDefault="000A3061">
      <w:pPr>
        <w:spacing w:line="360" w:lineRule="auto"/>
        <w:jc w:val="both"/>
        <w:rPr>
          <w:rFonts w:ascii="Book Antiqua" w:hAnsi="Book Antiqua"/>
        </w:rPr>
      </w:pPr>
    </w:p>
    <w:p w14:paraId="7E20665D"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rPr>
        <w:t>An SX and Yu ZJ designed the article; An SX and Fu C performed the literature search and drafted the work; Shen LH and Wei MJ revised the work</w:t>
      </w:r>
      <w:r>
        <w:rPr>
          <w:rFonts w:ascii="Book Antiqua" w:hAnsi="Book Antiqua"/>
        </w:rPr>
        <w:t xml:space="preserve">; and all </w:t>
      </w:r>
      <w:r>
        <w:rPr>
          <w:rFonts w:ascii="Book Antiqua" w:eastAsia="Book Antiqua" w:hAnsi="Book Antiqua" w:cs="Book Antiqua"/>
        </w:rPr>
        <w:t>authors are responsible for obtaining written permission to use any copyrighted text and/or illustrations.</w:t>
      </w:r>
    </w:p>
    <w:p w14:paraId="3C03F2E6" w14:textId="77777777" w:rsidR="000A3061" w:rsidRDefault="000A3061">
      <w:pPr>
        <w:spacing w:line="360" w:lineRule="auto"/>
        <w:jc w:val="both"/>
        <w:rPr>
          <w:rFonts w:ascii="Book Antiqua" w:hAnsi="Book Antiqua"/>
        </w:rPr>
      </w:pPr>
    </w:p>
    <w:p w14:paraId="7E8A37CB"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Corresponding author: Long-Hai Shen, MD, Chief Doctor, </w:t>
      </w:r>
      <w:r>
        <w:rPr>
          <w:rFonts w:ascii="Book Antiqua" w:eastAsia="Book Antiqua" w:hAnsi="Book Antiqua" w:cs="Book Antiqua"/>
        </w:rPr>
        <w:t>Center of Oncology, Genertec Liaoyou Gem Flower Hospital, No. 26 Yingbin Road, Zhenxing Street, Xinglongtai District, PanJin 124010, Liaoning Province, China. 154571964@qq.com</w:t>
      </w:r>
    </w:p>
    <w:p w14:paraId="178B6993" w14:textId="77777777" w:rsidR="000A3061" w:rsidRDefault="000A3061">
      <w:pPr>
        <w:spacing w:line="360" w:lineRule="auto"/>
        <w:jc w:val="both"/>
        <w:rPr>
          <w:rFonts w:ascii="Book Antiqua" w:hAnsi="Book Antiqua"/>
        </w:rPr>
      </w:pPr>
    </w:p>
    <w:p w14:paraId="5A5DE56C"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 2023</w:t>
      </w:r>
    </w:p>
    <w:p w14:paraId="5F3742D7"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23, 2023</w:t>
      </w:r>
    </w:p>
    <w:p w14:paraId="660C0D71"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January 8, 2024</w:t>
      </w:r>
    </w:p>
    <w:p w14:paraId="776C91FF" w14:textId="4BF5E6AC" w:rsidR="000A3061"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sidR="00D74CB2" w:rsidRPr="002F132C">
        <w:rPr>
          <w:rFonts w:ascii="Book Antiqua" w:eastAsia="Book Antiqua" w:hAnsi="Book Antiqua" w:cs="Book Antiqua"/>
        </w:rPr>
        <w:t>February 15,</w:t>
      </w:r>
      <w:r w:rsidR="00D74CB2">
        <w:rPr>
          <w:rFonts w:ascii="Book Antiqua" w:eastAsia="Book Antiqua" w:hAnsi="Book Antiqua" w:cs="Book Antiqua"/>
        </w:rPr>
        <w:t xml:space="preserve"> </w:t>
      </w:r>
      <w:r w:rsidR="00D74CB2" w:rsidRPr="002F132C">
        <w:rPr>
          <w:rFonts w:ascii="Book Antiqua" w:eastAsia="Book Antiqua" w:hAnsi="Book Antiqua" w:cs="Book Antiqua"/>
        </w:rPr>
        <w:t>2024</w:t>
      </w:r>
    </w:p>
    <w:p w14:paraId="1B29DDB3" w14:textId="77777777" w:rsidR="000A3061" w:rsidRDefault="000A3061">
      <w:pPr>
        <w:spacing w:line="360" w:lineRule="auto"/>
        <w:jc w:val="both"/>
        <w:rPr>
          <w:rFonts w:ascii="Book Antiqua" w:hAnsi="Book Antiqua"/>
        </w:rPr>
        <w:sectPr w:rsidR="000A3061" w:rsidSect="00E17E67">
          <w:footerReference w:type="default" r:id="rId7"/>
          <w:pgSz w:w="12240" w:h="15840"/>
          <w:pgMar w:top="1440" w:right="1440" w:bottom="1440" w:left="1440" w:header="720" w:footer="720" w:gutter="0"/>
          <w:cols w:space="720"/>
          <w:docGrid w:linePitch="360"/>
        </w:sectPr>
      </w:pPr>
    </w:p>
    <w:p w14:paraId="302ACB75" w14:textId="77777777" w:rsidR="000A3061"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74CC2084" w14:textId="77777777" w:rsidR="000A3061" w:rsidRDefault="00000000">
      <w:pPr>
        <w:spacing w:line="360" w:lineRule="auto"/>
        <w:jc w:val="both"/>
        <w:rPr>
          <w:rFonts w:ascii="Book Antiqua" w:hAnsi="Book Antiqua"/>
        </w:rPr>
      </w:pPr>
      <w:r>
        <w:rPr>
          <w:rFonts w:ascii="Book Antiqua" w:eastAsia="Book Antiqua" w:hAnsi="Book Antiqua" w:cs="Book Antiqua"/>
        </w:rPr>
        <w:t>Approximately 20% of colorectal cancer (CRC) patients present with metastasis at diagnosis. Among Stage I-III CRC patients who undergo surgical resection, 18% typically suffer from distal metastasis within the first three years following initial treatment. The median survival duration after the diagnosis of metastatic CRC (mCRC) is only 9 mo. mCRC is traditionally considered to be an advanced stage malignancy or is thought to be caused by incomplete resection of tumor tissue, allowing cancer cells to spread from primary to distant organs; however, increasing evidence suggests that the mCRC process can begin early in tumor development. CRC patients present with high heterogeneity and diverse cancer phenotypes that are classified on the basis of molecular and morphological alterations. Different genomic and nongenomic events can induce subclone diversity, which leads to cancer and metastasis. Throughout the course of mCRC, metastatic cascades are associated with invasive cancer cell migration through the circulatory system, extravasation, distal seeding, dormancy, and reactivation, with each step requiring specific molecular functions. However, cancer cells presenting neoantigens can be recognized and eliminated by the immune system. In this review, we explain the biological factors that drive CRC metastasis, namely, genomic instability, epigenetic instability, the metastatic cascade, the cancer-immunity cycle, and external lifestyle factors. Despite remarkable progress in CRC research, the role of molecular classification in therapeutic intervention remains unclear. This review shows the driving factors of mCRC which may help in identifying potential candidate biomarkers that can improve the diagnosis and early detection of mCRC cases.</w:t>
      </w:r>
    </w:p>
    <w:p w14:paraId="56086010" w14:textId="77777777" w:rsidR="000A3061" w:rsidRDefault="000A3061">
      <w:pPr>
        <w:spacing w:line="360" w:lineRule="auto"/>
        <w:jc w:val="both"/>
        <w:rPr>
          <w:rFonts w:ascii="Book Antiqua" w:hAnsi="Book Antiqua"/>
        </w:rPr>
      </w:pPr>
    </w:p>
    <w:p w14:paraId="1A5A263F"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Colorectal cancer; Metastasis cascade; Cancer immunity; Genomic variation; Epigenetic instability; Lifestyle factor</w:t>
      </w:r>
    </w:p>
    <w:p w14:paraId="0F7A0FF6" w14:textId="77777777" w:rsidR="000A3061" w:rsidRDefault="000A3061">
      <w:pPr>
        <w:spacing w:line="360" w:lineRule="auto"/>
        <w:jc w:val="both"/>
        <w:rPr>
          <w:rFonts w:ascii="Book Antiqua" w:hAnsi="Book Antiqua"/>
        </w:rPr>
      </w:pPr>
    </w:p>
    <w:p w14:paraId="6C79959E" w14:textId="77777777" w:rsidR="00A83516" w:rsidRDefault="00A83516" w:rsidP="00A8351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1EDD7B9" w14:textId="77777777" w:rsidR="00A83516" w:rsidRDefault="00A83516">
      <w:pPr>
        <w:spacing w:line="360" w:lineRule="auto"/>
        <w:jc w:val="both"/>
        <w:rPr>
          <w:rFonts w:ascii="Book Antiqua" w:hAnsi="Book Antiqua"/>
        </w:rPr>
      </w:pPr>
    </w:p>
    <w:p w14:paraId="38D26895" w14:textId="44C6426F" w:rsidR="00A83516" w:rsidRDefault="00A83516">
      <w:pPr>
        <w:spacing w:line="360" w:lineRule="auto"/>
        <w:jc w:val="both"/>
        <w:rPr>
          <w:rFonts w:ascii="Book Antiqua" w:hAnsi="Book Antiqua" w:cs="Book Antiqua"/>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An SX, Yu ZJ, Fu C, Wei MJ, Shen LH. Biological factors driving colorectal cancer metastasis. </w:t>
      </w:r>
      <w:r>
        <w:rPr>
          <w:rFonts w:ascii="Book Antiqua" w:eastAsia="Book Antiqua" w:hAnsi="Book Antiqua" w:cs="Book Antiqua"/>
          <w:i/>
          <w:iCs/>
        </w:rPr>
        <w:t>World J Gastrointest Oncol</w:t>
      </w:r>
      <w:r>
        <w:rPr>
          <w:rFonts w:ascii="Book Antiqua" w:eastAsia="Book Antiqua" w:hAnsi="Book Antiqua" w:cs="Book Antiqua"/>
        </w:rPr>
        <w:t xml:space="preserve"> 202</w:t>
      </w:r>
      <w:r>
        <w:rPr>
          <w:rFonts w:ascii="Book Antiqua" w:hAnsi="Book Antiqua" w:cs="Book Antiqua"/>
        </w:rPr>
        <w:t>4</w:t>
      </w:r>
      <w:r>
        <w:rPr>
          <w:rFonts w:ascii="Book Antiqua" w:eastAsia="Book Antiqua" w:hAnsi="Book Antiqua" w:cs="Book Antiqua"/>
        </w:rPr>
        <w:t xml:space="preserve">; </w:t>
      </w:r>
      <w:r>
        <w:rPr>
          <w:rFonts w:ascii="Book Antiqua" w:eastAsia="Book Antiqua" w:hAnsi="Book Antiqua" w:cs="Book Antiqua" w:hint="eastAsia"/>
        </w:rPr>
        <w:t>16(</w:t>
      </w:r>
      <w:r>
        <w:rPr>
          <w:rFonts w:ascii="Book Antiqua" w:hAnsi="Book Antiqua" w:cs="Book Antiqua" w:hint="eastAsia"/>
        </w:rPr>
        <w:t>2</w:t>
      </w:r>
      <w:r>
        <w:rPr>
          <w:rFonts w:ascii="Book Antiqua" w:eastAsia="Book Antiqua" w:hAnsi="Book Antiqua" w:cs="Book Antiqua" w:hint="eastAsia"/>
        </w:rPr>
        <w:t xml:space="preserve">): </w:t>
      </w:r>
      <w:r w:rsidRPr="003B59F2">
        <w:rPr>
          <w:rFonts w:ascii="Book Antiqua" w:eastAsia="Book Antiqua" w:hAnsi="Book Antiqua" w:cs="Book Antiqua"/>
          <w:lang w:eastAsia="en-US"/>
        </w:rPr>
        <w:t>259-272</w:t>
      </w:r>
    </w:p>
    <w:p w14:paraId="2458F6BE" w14:textId="182CA13E" w:rsidR="00A83516" w:rsidRDefault="00000000">
      <w:pPr>
        <w:spacing w:line="360" w:lineRule="auto"/>
        <w:jc w:val="both"/>
        <w:rPr>
          <w:rFonts w:ascii="Book Antiqua" w:hAnsi="Book Antiqua" w:cs="Book Antiqua"/>
        </w:rPr>
      </w:pPr>
      <w:r w:rsidRPr="00A83516">
        <w:rPr>
          <w:rFonts w:ascii="Book Antiqua" w:eastAsia="Book Antiqua" w:hAnsi="Book Antiqua" w:cs="Book Antiqua" w:hint="eastAsia"/>
          <w:b/>
          <w:bCs/>
        </w:rPr>
        <w:t>URL</w:t>
      </w:r>
      <w:r>
        <w:rPr>
          <w:rFonts w:ascii="Book Antiqua" w:eastAsia="Book Antiqua" w:hAnsi="Book Antiqua" w:cs="Book Antiqua" w:hint="eastAsia"/>
        </w:rPr>
        <w:t>: https://www.wjgnet.com/1948-5204/full/v16/i</w:t>
      </w:r>
      <w:r>
        <w:rPr>
          <w:rFonts w:ascii="Book Antiqua" w:hAnsi="Book Antiqua" w:cs="Book Antiqua" w:hint="eastAsia"/>
        </w:rPr>
        <w:t>2</w:t>
      </w:r>
      <w:r>
        <w:rPr>
          <w:rFonts w:ascii="Book Antiqua" w:eastAsia="Book Antiqua" w:hAnsi="Book Antiqua" w:cs="Book Antiqua" w:hint="eastAsia"/>
        </w:rPr>
        <w:t>/</w:t>
      </w:r>
      <w:r w:rsidR="00A83516" w:rsidRPr="003B59F2">
        <w:rPr>
          <w:rFonts w:ascii="Book Antiqua" w:eastAsia="Book Antiqua" w:hAnsi="Book Antiqua" w:cs="Book Antiqua"/>
          <w:lang w:eastAsia="en-US"/>
        </w:rPr>
        <w:t>259</w:t>
      </w:r>
      <w:r>
        <w:rPr>
          <w:rFonts w:ascii="Book Antiqua" w:eastAsia="Book Antiqua" w:hAnsi="Book Antiqua" w:cs="Book Antiqua" w:hint="eastAsia"/>
        </w:rPr>
        <w:t>.htm</w:t>
      </w:r>
    </w:p>
    <w:p w14:paraId="58C3185F" w14:textId="12A3D60D" w:rsidR="000A3061" w:rsidRDefault="00000000">
      <w:pPr>
        <w:spacing w:line="360" w:lineRule="auto"/>
        <w:jc w:val="both"/>
        <w:rPr>
          <w:rFonts w:ascii="Book Antiqua" w:hAnsi="Book Antiqua"/>
        </w:rPr>
      </w:pPr>
      <w:r w:rsidRPr="00A83516">
        <w:rPr>
          <w:rFonts w:ascii="Book Antiqua" w:eastAsia="Book Antiqua" w:hAnsi="Book Antiqua" w:cs="Book Antiqua" w:hint="eastAsia"/>
          <w:b/>
          <w:bCs/>
        </w:rPr>
        <w:t>DOI</w:t>
      </w:r>
      <w:r>
        <w:rPr>
          <w:rFonts w:ascii="Book Antiqua" w:eastAsia="Book Antiqua" w:hAnsi="Book Antiqua" w:cs="Book Antiqua" w:hint="eastAsia"/>
        </w:rPr>
        <w:t>: https://dx.doi.org/10.4251/wjgo.v16.i</w:t>
      </w:r>
      <w:r>
        <w:rPr>
          <w:rFonts w:ascii="Book Antiqua" w:hAnsi="Book Antiqua" w:cs="Book Antiqua" w:hint="eastAsia"/>
        </w:rPr>
        <w:t>2</w:t>
      </w:r>
      <w:r>
        <w:rPr>
          <w:rFonts w:ascii="Book Antiqua" w:eastAsia="Book Antiqua" w:hAnsi="Book Antiqua" w:cs="Book Antiqua" w:hint="eastAsia"/>
        </w:rPr>
        <w:t>.</w:t>
      </w:r>
      <w:r w:rsidR="00A83516" w:rsidRPr="003B59F2">
        <w:rPr>
          <w:rFonts w:ascii="Book Antiqua" w:eastAsia="Book Antiqua" w:hAnsi="Book Antiqua" w:cs="Book Antiqua"/>
          <w:lang w:eastAsia="en-US"/>
        </w:rPr>
        <w:t>259</w:t>
      </w:r>
    </w:p>
    <w:p w14:paraId="4F8AE3B4" w14:textId="77777777" w:rsidR="000A3061" w:rsidRDefault="000A3061">
      <w:pPr>
        <w:spacing w:line="360" w:lineRule="auto"/>
        <w:jc w:val="both"/>
        <w:rPr>
          <w:rFonts w:ascii="Book Antiqua" w:hAnsi="Book Antiqua"/>
        </w:rPr>
      </w:pPr>
    </w:p>
    <w:p w14:paraId="1E4E5F83"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Metastatic colorectal cancer (CRC) is traditionally considered to be an advanced stage malignancy or is thought to be caused by incomplete resection of tumor tissue, allowing cancer cells to spread from primary to distant organs; however, increasing evidence suggests that this process can begin early during tumor development. CRC patients exhibit high heterogeneity and diverse cancer phenotypes that are classified based on molecular and morphological alterations. Different genomic and non-genomic events can induce sub-clone diversity, which leads to cancer and metastasis.</w:t>
      </w:r>
    </w:p>
    <w:p w14:paraId="3FB2E661" w14:textId="77777777" w:rsidR="000A3061" w:rsidRDefault="000A3061">
      <w:pPr>
        <w:spacing w:line="360" w:lineRule="auto"/>
        <w:jc w:val="both"/>
        <w:rPr>
          <w:rFonts w:ascii="Book Antiqua" w:hAnsi="Book Antiqua"/>
        </w:rPr>
      </w:pPr>
    </w:p>
    <w:p w14:paraId="4D3CDD25" w14:textId="77777777" w:rsidR="000A3061"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32FCC057" w14:textId="77777777" w:rsidR="000A3061" w:rsidRDefault="00000000">
      <w:pPr>
        <w:spacing w:line="360" w:lineRule="auto"/>
        <w:jc w:val="both"/>
        <w:rPr>
          <w:rFonts w:ascii="Book Antiqua" w:hAnsi="Book Antiqua"/>
        </w:rPr>
      </w:pPr>
      <w:r>
        <w:rPr>
          <w:rFonts w:ascii="Book Antiqua" w:eastAsia="Book Antiqua" w:hAnsi="Book Antiqua" w:cs="Book Antiqua"/>
        </w:rPr>
        <w:t>Colorectal cancer (CRC) is the second leading cause of cancer-related mortality and the third most common malignancy worldwide</w:t>
      </w:r>
      <w:r>
        <w:rPr>
          <w:rFonts w:ascii="Book Antiqua" w:eastAsia="Book Antiqua" w:hAnsi="Book Antiqua" w:cs="Book Antiqua"/>
          <w:vertAlign w:val="superscript"/>
        </w:rPr>
        <w:t>[1]</w:t>
      </w:r>
      <w:r>
        <w:rPr>
          <w:rFonts w:ascii="Book Antiqua" w:eastAsia="Book Antiqua" w:hAnsi="Book Antiqua" w:cs="Book Antiqua"/>
        </w:rPr>
        <w:t>. Aging and an unhealthy diet and lifestyle are risk factors for CRC</w:t>
      </w:r>
      <w:r>
        <w:rPr>
          <w:rFonts w:ascii="Book Antiqua" w:eastAsia="Book Antiqua" w:hAnsi="Book Antiqua" w:cs="Book Antiqua"/>
          <w:vertAlign w:val="superscript"/>
        </w:rPr>
        <w:t>[2]</w:t>
      </w:r>
      <w:r>
        <w:rPr>
          <w:rFonts w:ascii="Book Antiqua" w:eastAsia="Book Antiqua" w:hAnsi="Book Antiqua" w:cs="Book Antiqua"/>
        </w:rPr>
        <w:t>. In all metastatic CRC (mCRC) patients, the most common metastasis is found in the liver, followed by the lung and peritoneum, while metastases are found less frequently in the brain</w:t>
      </w:r>
      <w:r>
        <w:rPr>
          <w:rFonts w:ascii="Book Antiqua" w:eastAsia="Book Antiqua" w:hAnsi="Book Antiqua" w:cs="Book Antiqua"/>
          <w:vertAlign w:val="superscript"/>
        </w:rPr>
        <w:t>[3]</w:t>
      </w:r>
      <w:r>
        <w:rPr>
          <w:rFonts w:ascii="Book Antiqua" w:eastAsia="Book Antiqua" w:hAnsi="Book Antiqua" w:cs="Book Antiqua"/>
        </w:rPr>
        <w:t>. The median survival duration after diagnosis of mCRC patients is only 9 mo. Although mCRC is traditionally considered to be caused by incomplete resection of tumor tissue or late-stage malignancy-related events, increasing evidence has demonstrated that the mCRC process can begin early during tumor development and that the genomic characteristics of these metastases typically impact cancer treatment. CRC patients exhibit high heterogeneity that manifests as different cancer phenotypes, which are classified in terms of morphological and molecular variations</w:t>
      </w:r>
      <w:r>
        <w:rPr>
          <w:rFonts w:ascii="Book Antiqua" w:eastAsia="Book Antiqua" w:hAnsi="Book Antiqua" w:cs="Book Antiqua"/>
          <w:vertAlign w:val="superscript"/>
        </w:rPr>
        <w:t>[4]</w:t>
      </w:r>
      <w:r>
        <w:rPr>
          <w:rFonts w:ascii="Book Antiqua" w:eastAsia="Book Antiqua" w:hAnsi="Book Antiqua" w:cs="Book Antiqua"/>
        </w:rPr>
        <w:t xml:space="preserve">. Continuous accumulation of mutations leads to genotype diversity and promotes cancer evolution. Genomic variation, including driving point mutations, putative copy number alterations (CNVs), structural gene variants, and epigenetic instability, affects transcription factor expression, disrupts DNA methylation, </w:t>
      </w:r>
      <w:r>
        <w:rPr>
          <w:rFonts w:ascii="Book Antiqua" w:eastAsia="Book Antiqua" w:hAnsi="Book Antiqua" w:cs="Book Antiqua"/>
        </w:rPr>
        <w:lastRenderedPageBreak/>
        <w:t>and alters chromatin accessibility, which can lead to subclone divergence and thus supply energy for cancer evolution and metastasis (Figure 1). Through metastatic cascades, circulating cancer cells can move from an original tumor site to distant organs in the body and develop metastases</w:t>
      </w:r>
      <w:r>
        <w:rPr>
          <w:rFonts w:ascii="Book Antiqua" w:eastAsia="Book Antiqua" w:hAnsi="Book Antiqua" w:cs="Book Antiqua"/>
          <w:vertAlign w:val="superscript"/>
        </w:rPr>
        <w:t>[5]</w:t>
      </w:r>
      <w:r>
        <w:rPr>
          <w:rFonts w:ascii="Book Antiqua" w:eastAsia="Book Antiqua" w:hAnsi="Book Antiqua" w:cs="Book Antiqua"/>
        </w:rPr>
        <w:t>. Therefore, identifying the driving biological factors of mCRC and measuring them as biomarkers or potential treatment targets for early intervention to prevent metastasis and even for late-stage treatment of advanced mCRC are extremely important.</w:t>
      </w:r>
    </w:p>
    <w:p w14:paraId="256B92AA" w14:textId="77777777" w:rsidR="000A3061" w:rsidRDefault="000A3061">
      <w:pPr>
        <w:spacing w:line="360" w:lineRule="auto"/>
        <w:jc w:val="both"/>
        <w:rPr>
          <w:rFonts w:ascii="Book Antiqua" w:hAnsi="Book Antiqua"/>
        </w:rPr>
      </w:pPr>
    </w:p>
    <w:p w14:paraId="2AE63B0E" w14:textId="77777777" w:rsidR="000A3061" w:rsidRDefault="00000000">
      <w:pPr>
        <w:spacing w:line="360" w:lineRule="auto"/>
        <w:jc w:val="both"/>
        <w:rPr>
          <w:rFonts w:ascii="Book Antiqua" w:hAnsi="Book Antiqua"/>
          <w:u w:val="single"/>
        </w:rPr>
      </w:pPr>
      <w:r>
        <w:rPr>
          <w:rFonts w:ascii="Book Antiqua" w:eastAsia="Book Antiqua" w:hAnsi="Book Antiqua" w:cs="Book Antiqua"/>
          <w:b/>
          <w:bCs/>
          <w:u w:val="single"/>
        </w:rPr>
        <w:t>GENOMIC VARIATION OF MCRC</w:t>
      </w:r>
    </w:p>
    <w:p w14:paraId="5D7463D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Abundant molecular data on genomic variations have been obtained from both nonmCRC and mCRC samples, and some studies have focused on characterizing the molecular abnormalities in mCRC.</w:t>
      </w:r>
    </w:p>
    <w:p w14:paraId="55284F68" w14:textId="77777777" w:rsidR="000A3061" w:rsidRDefault="000A3061">
      <w:pPr>
        <w:spacing w:line="360" w:lineRule="auto"/>
        <w:jc w:val="both"/>
        <w:rPr>
          <w:rFonts w:ascii="Book Antiqua" w:hAnsi="Book Antiqua"/>
        </w:rPr>
      </w:pPr>
    </w:p>
    <w:p w14:paraId="067B2A1E"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Driving mutations in mCRC</w:t>
      </w:r>
    </w:p>
    <w:p w14:paraId="3E0B7280" w14:textId="77777777" w:rsidR="000A3061" w:rsidRDefault="00000000">
      <w:pPr>
        <w:spacing w:line="360" w:lineRule="auto"/>
        <w:jc w:val="both"/>
        <w:rPr>
          <w:rFonts w:ascii="Book Antiqua" w:hAnsi="Book Antiqua"/>
        </w:rPr>
      </w:pPr>
      <w:r>
        <w:rPr>
          <w:rFonts w:ascii="Book Antiqua" w:eastAsia="Book Antiqua" w:hAnsi="Book Antiqua" w:cs="Book Antiqua"/>
        </w:rPr>
        <w:t>The mutational patterns and overall mutational burdens of primary and metastatic cancers are largely consistent, as shown by comparisons of CRC cohorts</w:t>
      </w:r>
      <w:r>
        <w:rPr>
          <w:rFonts w:ascii="Book Antiqua" w:eastAsia="Book Antiqua" w:hAnsi="Book Antiqua" w:cs="Book Antiqua"/>
          <w:vertAlign w:val="superscript"/>
        </w:rPr>
        <w:t>[6]</w:t>
      </w:r>
      <w:r>
        <w:rPr>
          <w:rFonts w:ascii="Book Antiqua" w:eastAsia="Book Antiqua" w:hAnsi="Book Antiqua" w:cs="Book Antiqua"/>
        </w:rPr>
        <w:t>. Analysis of the mutation frequencies of certain genes in early stage tumors, mCRC tumors, and metastatic mCRC tumors from distal organs revealed that most of these mutations did not lead to significant differences, but a few were associated with tumor stage</w:t>
      </w:r>
      <w:r>
        <w:rPr>
          <w:rFonts w:ascii="Book Antiqua" w:eastAsia="Book Antiqua" w:hAnsi="Book Antiqua" w:cs="Book Antiqua"/>
          <w:vertAlign w:val="superscript"/>
        </w:rPr>
        <w:t>[4]</w:t>
      </w:r>
      <w:r>
        <w:rPr>
          <w:rFonts w:ascii="Book Antiqua" w:eastAsia="Book Antiqua" w:hAnsi="Book Antiqua" w:cs="Book Antiqua"/>
        </w:rPr>
        <w:t>. Indeed, the accumulated alterations in these oncogenes play a crucial role in mCRC tumorigenesis and progression. However, whether mutations in these key oncogenes affect CRC metastasis remains unclear.</w:t>
      </w:r>
    </w:p>
    <w:p w14:paraId="58347BC7"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To identify oncogenes associated with the progression of metastases, Yaeger </w:t>
      </w:r>
      <w:r>
        <w:rPr>
          <w:rFonts w:ascii="Book Antiqua" w:eastAsia="Book Antiqua" w:hAnsi="Book Antiqua" w:cs="Book Antiqua"/>
          <w:i/>
          <w:iCs/>
        </w:rPr>
        <w:t>et al</w:t>
      </w:r>
      <w:r>
        <w:rPr>
          <w:rFonts w:ascii="Book Antiqua" w:eastAsia="Book Antiqua" w:hAnsi="Book Antiqua" w:cs="Book Antiqua"/>
          <w:vertAlign w:val="superscript"/>
        </w:rPr>
        <w:t>[7]</w:t>
      </w:r>
      <w:r>
        <w:rPr>
          <w:rFonts w:ascii="Book Antiqua" w:eastAsia="Book Antiqua" w:hAnsi="Book Antiqua" w:cs="Book Antiqua"/>
        </w:rPr>
        <w:t xml:space="preserve"> compared the frequency of oncogenic variations in primary CRC tumors that did or did not develop metastasis in the TCGA and Memorial Sloan Kettering cohorts and identified 42 genes that were recurrently mutated to a significant degree in these cohorts. Alterations in TP53 were the only genomic mutations significantly enriched in mCRC samples, while alterations in FBXW7 were enriched in the early stage compared with mCRC samples, suggesting a potential protective role for FBXW7. A similar result was found by Vakiani </w:t>
      </w:r>
      <w:r>
        <w:rPr>
          <w:rFonts w:ascii="Book Antiqua" w:eastAsia="Book Antiqua" w:hAnsi="Book Antiqua" w:cs="Book Antiqua"/>
          <w:i/>
          <w:iCs/>
        </w:rPr>
        <w:t>et al</w:t>
      </w:r>
      <w:r>
        <w:rPr>
          <w:rFonts w:ascii="Book Antiqua" w:eastAsia="Book Antiqua" w:hAnsi="Book Antiqua" w:cs="Book Antiqua"/>
          <w:vertAlign w:val="superscript"/>
        </w:rPr>
        <w:t>[8]</w:t>
      </w:r>
      <w:r>
        <w:rPr>
          <w:rFonts w:ascii="Book Antiqua" w:eastAsia="Book Antiqua" w:hAnsi="Book Antiqua" w:cs="Book Antiqua"/>
        </w:rPr>
        <w:t xml:space="preserve"> Among mCRC patients, TP53 mutations were notably </w:t>
      </w:r>
      <w:r>
        <w:rPr>
          <w:rFonts w:ascii="Book Antiqua" w:eastAsia="Book Antiqua" w:hAnsi="Book Antiqua" w:cs="Book Antiqua"/>
        </w:rPr>
        <w:lastRenderedPageBreak/>
        <w:t xml:space="preserve">more frequent, while BRAF mutations were less frequent. The frequencies of KRAS and PIK3CA mutations were not significantly different between primary CRC and mCRC samples. Li </w:t>
      </w:r>
      <w:r>
        <w:rPr>
          <w:rFonts w:ascii="Book Antiqua" w:eastAsia="Book Antiqua" w:hAnsi="Book Antiqua" w:cs="Book Antiqua"/>
          <w:i/>
          <w:iCs/>
        </w:rPr>
        <w:t>et al</w:t>
      </w:r>
      <w:r>
        <w:rPr>
          <w:rFonts w:ascii="Book Antiqua" w:eastAsia="Book Antiqua" w:hAnsi="Book Antiqua" w:cs="Book Antiqua"/>
          <w:vertAlign w:val="superscript"/>
        </w:rPr>
        <w:t>[9]</w:t>
      </w:r>
      <w:r>
        <w:rPr>
          <w:rFonts w:ascii="Book Antiqua" w:eastAsia="Book Antiqua" w:hAnsi="Book Antiqua" w:cs="Book Antiqua"/>
        </w:rPr>
        <w:t xml:space="preserve"> conducted a study comparing a Chinese CRC (CCRC) patient dataset with a TCGA CRC dataset. Among CCRC patients, the proportion of mCRC patients was much greater than that in the TCGA CRC dataset (47.9% </w:t>
      </w:r>
      <w:r>
        <w:rPr>
          <w:rFonts w:ascii="Book Antiqua" w:eastAsia="Book Antiqua" w:hAnsi="Book Antiqua" w:cs="Book Antiqua"/>
          <w:i/>
          <w:iCs/>
        </w:rPr>
        <w:t>vs</w:t>
      </w:r>
      <w:r>
        <w:rPr>
          <w:rFonts w:ascii="Book Antiqua" w:eastAsia="Book Antiqua" w:hAnsi="Book Antiqua" w:cs="Book Antiqua"/>
        </w:rPr>
        <w:t xml:space="preserve"> 14.4%), and uniquely, SMAD4, a pivotal factor in the TGF-beta signaling pathway, tended to promote distant metastasis of CRC tumors</w:t>
      </w:r>
      <w:r>
        <w:rPr>
          <w:rFonts w:ascii="Book Antiqua" w:eastAsia="Book Antiqua" w:hAnsi="Book Antiqua" w:cs="Book Antiqua"/>
          <w:vertAlign w:val="superscript"/>
        </w:rPr>
        <w:t>[10]</w:t>
      </w:r>
      <w:r>
        <w:rPr>
          <w:rFonts w:ascii="Book Antiqua" w:eastAsia="Book Antiqua" w:hAnsi="Book Antiqua" w:cs="Book Antiqua"/>
        </w:rPr>
        <w:t xml:space="preserve"> and was significantly more common in mCRC patients in the CCRC dataset than in mCRC patients in the TCGA dataset (20.0% </w:t>
      </w:r>
      <w:r>
        <w:rPr>
          <w:rFonts w:ascii="Book Antiqua" w:eastAsia="Book Antiqua" w:hAnsi="Book Antiqua" w:cs="Book Antiqua"/>
          <w:i/>
          <w:iCs/>
        </w:rPr>
        <w:t>vs</w:t>
      </w:r>
      <w:r>
        <w:rPr>
          <w:rFonts w:ascii="Book Antiqua" w:eastAsia="Book Antiqua" w:hAnsi="Book Antiqua" w:cs="Book Antiqua"/>
        </w:rPr>
        <w:t xml:space="preserve"> 6.6%; </w:t>
      </w:r>
      <w:r>
        <w:rPr>
          <w:rFonts w:ascii="Book Antiqua" w:eastAsia="Book Antiqua" w:hAnsi="Book Antiqua" w:cs="Book Antiqua"/>
          <w:i/>
          <w:iCs/>
        </w:rPr>
        <w:t>P</w:t>
      </w:r>
      <w:r>
        <w:rPr>
          <w:rFonts w:ascii="Book Antiqua" w:eastAsia="Book Antiqua" w:hAnsi="Book Antiqua" w:cs="Book Antiqua"/>
        </w:rPr>
        <w:t xml:space="preserve"> = 0.015)</w:t>
      </w:r>
      <w:r>
        <w:rPr>
          <w:rFonts w:ascii="Book Antiqua" w:eastAsia="Book Antiqua" w:hAnsi="Book Antiqua" w:cs="Book Antiqua"/>
          <w:vertAlign w:val="superscript"/>
        </w:rPr>
        <w:t>[9]</w:t>
      </w:r>
      <w:r>
        <w:rPr>
          <w:rFonts w:ascii="Book Antiqua" w:eastAsia="Book Antiqua" w:hAnsi="Book Antiqua" w:cs="Book Antiqua"/>
        </w:rPr>
        <w:t xml:space="preserve">. A study by Huang </w:t>
      </w:r>
      <w:r>
        <w:rPr>
          <w:rFonts w:ascii="Book Antiqua" w:eastAsia="Book Antiqua" w:hAnsi="Book Antiqua" w:cs="Book Antiqua"/>
          <w:i/>
          <w:iCs/>
        </w:rPr>
        <w:t>et al</w:t>
      </w:r>
      <w:r>
        <w:rPr>
          <w:rFonts w:ascii="Book Antiqua" w:eastAsia="Book Antiqua" w:hAnsi="Book Antiqua" w:cs="Book Antiqua"/>
          <w:vertAlign w:val="superscript"/>
        </w:rPr>
        <w:t>[10]</w:t>
      </w:r>
      <w:r>
        <w:rPr>
          <w:rFonts w:ascii="Book Antiqua" w:eastAsia="Book Antiqua" w:hAnsi="Book Antiqua" w:cs="Book Antiqua"/>
        </w:rPr>
        <w:t xml:space="preserve"> revealed no significant associations between mutations in APC or PIK3CA in mCRC patients. Subgroup analyses stratified by ethnicity showed that in Asian populations, KRAS, BRAF, and TP53 mutations, including lymph node and distant metastasis, were associated with mCRC, whereas only TP53 mutations promoted mCRC in Caucasians. Jo </w:t>
      </w:r>
      <w:r>
        <w:rPr>
          <w:rFonts w:ascii="Book Antiqua" w:eastAsia="Book Antiqua" w:hAnsi="Book Antiqua" w:cs="Book Antiqua"/>
          <w:i/>
          <w:iCs/>
        </w:rPr>
        <w:t>et al</w:t>
      </w:r>
      <w:r>
        <w:rPr>
          <w:rFonts w:ascii="Book Antiqua" w:eastAsia="Book Antiqua" w:hAnsi="Book Antiqua" w:cs="Book Antiqua"/>
          <w:vertAlign w:val="superscript"/>
        </w:rPr>
        <w:t>[11]</w:t>
      </w:r>
      <w:r>
        <w:rPr>
          <w:rFonts w:ascii="Book Antiqua" w:eastAsia="Book Antiqua" w:hAnsi="Book Antiqua" w:cs="Book Antiqua"/>
        </w:rPr>
        <w:t xml:space="preserve"> investigated the difference between mCRC primary tumors and mCRC metastatic tissues and identified a significant concordance of KRAS mutation status in 81.18% (9/11) of patients (</w:t>
      </w:r>
      <w:r>
        <w:rPr>
          <w:rFonts w:ascii="Book Antiqua" w:eastAsia="Book Antiqua" w:hAnsi="Book Antiqua" w:cs="Book Antiqua"/>
          <w:i/>
          <w:iCs/>
        </w:rPr>
        <w:t>P</w:t>
      </w:r>
      <w:r>
        <w:rPr>
          <w:rFonts w:ascii="Book Antiqua" w:eastAsia="Book Antiqua" w:hAnsi="Book Antiqua" w:cs="Book Antiqua"/>
        </w:rPr>
        <w:t xml:space="preserve"> = 0.03271). Only two patients showed intertumor heterogeneity. This intertumoral heterogeneity may be attributable to KRAS mutations early in disease progression from colorectal adenoma to malignant disease, leading to a continuous tumor growth advantage, whereas TP53 is mutated relatively late during CRC progression</w:t>
      </w:r>
      <w:r>
        <w:rPr>
          <w:rFonts w:ascii="Book Antiqua" w:eastAsia="Book Antiqua" w:hAnsi="Book Antiqua" w:cs="Book Antiqua"/>
          <w:vertAlign w:val="superscript"/>
        </w:rPr>
        <w:t>[12]</w:t>
      </w:r>
      <w:r>
        <w:rPr>
          <w:rFonts w:ascii="Book Antiqua" w:eastAsia="Book Antiqua" w:hAnsi="Book Antiqua" w:cs="Book Antiqua"/>
        </w:rPr>
        <w:t>.</w:t>
      </w:r>
    </w:p>
    <w:p w14:paraId="707D74FB" w14:textId="77777777" w:rsidR="000A3061" w:rsidRDefault="000A3061">
      <w:pPr>
        <w:spacing w:line="360" w:lineRule="auto"/>
        <w:ind w:firstLineChars="100" w:firstLine="240"/>
        <w:jc w:val="both"/>
        <w:rPr>
          <w:rFonts w:ascii="Book Antiqua" w:hAnsi="Book Antiqua"/>
        </w:rPr>
      </w:pPr>
    </w:p>
    <w:p w14:paraId="17FDAC69"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CNVs and mCRC</w:t>
      </w:r>
    </w:p>
    <w:p w14:paraId="79CBE8E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Increased CNVs, indicative of chromosomal instability (CIN), are strongly correlated with metastatic burden, and some chromosomes are significantly more unstable in some tumor metastases</w:t>
      </w:r>
      <w:r>
        <w:rPr>
          <w:rFonts w:ascii="Book Antiqua" w:eastAsia="Book Antiqua" w:hAnsi="Book Antiqua" w:cs="Book Antiqua"/>
          <w:vertAlign w:val="superscript"/>
        </w:rPr>
        <w:t>[13]</w:t>
      </w:r>
      <w:r>
        <w:rPr>
          <w:rFonts w:ascii="Book Antiqua" w:eastAsia="Book Antiqua" w:hAnsi="Book Antiqua" w:cs="Book Antiqua"/>
        </w:rPr>
        <w:t xml:space="preserve">. However, in CRC, Nguye </w:t>
      </w:r>
      <w:r>
        <w:rPr>
          <w:rFonts w:ascii="Book Antiqua" w:eastAsia="Book Antiqua" w:hAnsi="Book Antiqua" w:cs="Book Antiqua"/>
          <w:i/>
          <w:iCs/>
        </w:rPr>
        <w:t>et al</w:t>
      </w:r>
      <w:r>
        <w:rPr>
          <w:rFonts w:ascii="Book Antiqua" w:eastAsia="Book Antiqua" w:hAnsi="Book Antiqua" w:cs="Book Antiqua"/>
          <w:vertAlign w:val="superscript"/>
        </w:rPr>
        <w:t>[13]</w:t>
      </w:r>
      <w:r>
        <w:rPr>
          <w:rFonts w:ascii="Book Antiqua" w:eastAsia="Book Antiqua" w:hAnsi="Book Antiqua" w:cs="Book Antiqua"/>
        </w:rPr>
        <w:t xml:space="preserve"> showed that CNV was not correlated with metastatic burden in colorectal adenocarcinoma. Similarly, another study showed that the most frequent CNV did not differ between mCRC and nonmCRC samples</w:t>
      </w:r>
      <w:r>
        <w:rPr>
          <w:rFonts w:ascii="Book Antiqua" w:eastAsia="Book Antiqua" w:hAnsi="Book Antiqua" w:cs="Book Antiqua"/>
          <w:vertAlign w:val="superscript"/>
        </w:rPr>
        <w:t>[9]</w:t>
      </w:r>
      <w:r>
        <w:rPr>
          <w:rFonts w:ascii="Book Antiqua" w:eastAsia="Book Antiqua" w:hAnsi="Book Antiqua" w:cs="Book Antiqua"/>
        </w:rPr>
        <w:t xml:space="preserve">. However, several studies have reported exceptions; for example, a study by Casimiro </w:t>
      </w:r>
      <w:r>
        <w:rPr>
          <w:rFonts w:ascii="Book Antiqua" w:eastAsia="Book Antiqua" w:hAnsi="Book Antiqua" w:cs="Book Antiqua"/>
          <w:i/>
          <w:iCs/>
        </w:rPr>
        <w:t>et al</w:t>
      </w:r>
      <w:r>
        <w:rPr>
          <w:rFonts w:ascii="Book Antiqua" w:eastAsia="Book Antiqua" w:hAnsi="Book Antiqua" w:cs="Book Antiqua"/>
          <w:vertAlign w:val="superscript"/>
        </w:rPr>
        <w:t>[14]</w:t>
      </w:r>
      <w:r>
        <w:rPr>
          <w:rFonts w:ascii="Book Antiqua" w:eastAsia="Book Antiqua" w:hAnsi="Book Antiqua" w:cs="Book Antiqua"/>
        </w:rPr>
        <w:t xml:space="preserve"> showed a greater frequency of MTDH amplification (copy number &gt; 1.8) in mCRC patients with lung metastasis than in nonmCRC patients (17.4% </w:t>
      </w:r>
      <w:r>
        <w:rPr>
          <w:rFonts w:ascii="Book Antiqua" w:eastAsia="Book Antiqua" w:hAnsi="Book Antiqua" w:cs="Book Antiqua"/>
          <w:i/>
          <w:iCs/>
        </w:rPr>
        <w:t>vs</w:t>
      </w:r>
      <w:r>
        <w:rPr>
          <w:rFonts w:ascii="Book Antiqua" w:eastAsia="Book Antiqua" w:hAnsi="Book Antiqua" w:cs="Book Antiqua"/>
        </w:rPr>
        <w:t xml:space="preserve"> 100.0%, </w:t>
      </w:r>
      <w:r>
        <w:rPr>
          <w:rFonts w:ascii="Book Antiqua" w:eastAsia="Book Antiqua" w:hAnsi="Book Antiqua" w:cs="Book Antiqua"/>
          <w:i/>
          <w:iCs/>
        </w:rPr>
        <w:t>P</w:t>
      </w:r>
      <w:r>
        <w:rPr>
          <w:rFonts w:ascii="Book Antiqua" w:eastAsia="Book Antiqua" w:hAnsi="Book Antiqua" w:cs="Book Antiqua"/>
        </w:rPr>
        <w:t xml:space="preserve"> &lt; 0.001). Another prospective study showed that MYC was strongly </w:t>
      </w:r>
      <w:r>
        <w:rPr>
          <w:rFonts w:ascii="Book Antiqua" w:eastAsia="Book Antiqua" w:hAnsi="Book Antiqua" w:cs="Book Antiqua"/>
        </w:rPr>
        <w:lastRenderedPageBreak/>
        <w:t>amplified in mCRC patients with microsatellite stable (MSS) disease</w:t>
      </w:r>
      <w:r>
        <w:rPr>
          <w:rFonts w:ascii="Book Antiqua" w:eastAsia="Book Antiqua" w:hAnsi="Book Antiqua" w:cs="Book Antiqua"/>
          <w:vertAlign w:val="superscript"/>
        </w:rPr>
        <w:t>[13]</w:t>
      </w:r>
      <w:r>
        <w:rPr>
          <w:rFonts w:ascii="Book Antiqua" w:eastAsia="Book Antiqua" w:hAnsi="Book Antiqua" w:cs="Book Antiqua"/>
        </w:rPr>
        <w:t xml:space="preserve">. A study by Liu </w:t>
      </w:r>
      <w:r>
        <w:rPr>
          <w:rFonts w:ascii="Book Antiqua" w:eastAsia="Book Antiqua" w:hAnsi="Book Antiqua" w:cs="Book Antiqua"/>
          <w:i/>
          <w:iCs/>
        </w:rPr>
        <w:t>et al</w:t>
      </w:r>
      <w:r>
        <w:rPr>
          <w:rFonts w:ascii="Book Antiqua" w:eastAsia="Book Antiqua" w:hAnsi="Book Antiqua" w:cs="Book Antiqua"/>
          <w:vertAlign w:val="superscript"/>
        </w:rPr>
        <w:t>[15]</w:t>
      </w:r>
      <w:r>
        <w:rPr>
          <w:rFonts w:ascii="Book Antiqua" w:eastAsia="Book Antiqua" w:hAnsi="Book Antiqua" w:cs="Book Antiqua"/>
        </w:rPr>
        <w:t xml:space="preserve"> did not directly show CNV differences but classified chromosomal stable (CS) and CIN. The ratio of CIN to CS was found to be significantly increased in Stage III and Stage IV samples, which may explain why high-level CNV causes CIN and thus leads to CRC metastasis.</w:t>
      </w:r>
    </w:p>
    <w:p w14:paraId="1EB38917" w14:textId="77777777" w:rsidR="000A3061" w:rsidRDefault="000A3061">
      <w:pPr>
        <w:spacing w:line="360" w:lineRule="auto"/>
        <w:jc w:val="both"/>
        <w:rPr>
          <w:rFonts w:ascii="Book Antiqua" w:hAnsi="Book Antiqua"/>
        </w:rPr>
      </w:pPr>
    </w:p>
    <w:p w14:paraId="689F0BA6" w14:textId="77777777" w:rsidR="000A3061" w:rsidRDefault="00000000">
      <w:pPr>
        <w:spacing w:line="360" w:lineRule="auto"/>
        <w:jc w:val="both"/>
        <w:rPr>
          <w:rFonts w:ascii="Book Antiqua" w:hAnsi="Book Antiqua"/>
          <w:u w:val="single"/>
        </w:rPr>
      </w:pPr>
      <w:r>
        <w:rPr>
          <w:rFonts w:ascii="Book Antiqua" w:eastAsia="Book Antiqua" w:hAnsi="Book Antiqua" w:cs="Book Antiqua"/>
          <w:b/>
          <w:bCs/>
          <w:u w:val="single"/>
        </w:rPr>
        <w:t xml:space="preserve">EPIGENETIC INSTABILITY IN MCRC </w:t>
      </w:r>
    </w:p>
    <w:p w14:paraId="388EC66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Together, epigenetic instability and genetic alterations function to drive the progression of normal cells into cancer cells. Epigenetic instability is caused by several mechanisms, such as DNA methylation of cytosine bases in CG-rich sequences, which results in aberrant transcription of target genes; regulation of noncoding RNA, which can alter the transcription of oncogenic gene targets; and posttranslational modifications of histones, which regulate structural changes in packed DNA known as chromatin</w:t>
      </w:r>
      <w:r>
        <w:rPr>
          <w:rFonts w:ascii="Book Antiqua" w:eastAsia="Book Antiqua" w:hAnsi="Book Antiqua" w:cs="Book Antiqua"/>
          <w:vertAlign w:val="superscript"/>
        </w:rPr>
        <w:t>[16]</w:t>
      </w:r>
      <w:r>
        <w:rPr>
          <w:rFonts w:ascii="Book Antiqua" w:eastAsia="Book Antiqua" w:hAnsi="Book Antiqua" w:cs="Book Antiqua"/>
        </w:rPr>
        <w:t>.</w:t>
      </w:r>
    </w:p>
    <w:p w14:paraId="585E5B39" w14:textId="77777777" w:rsidR="000A3061" w:rsidRDefault="000A3061">
      <w:pPr>
        <w:spacing w:line="360" w:lineRule="auto"/>
        <w:jc w:val="both"/>
        <w:rPr>
          <w:rFonts w:ascii="Book Antiqua" w:hAnsi="Book Antiqua"/>
        </w:rPr>
      </w:pPr>
    </w:p>
    <w:p w14:paraId="36DE7293"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Methylation and mCRC</w:t>
      </w:r>
    </w:p>
    <w:p w14:paraId="0EDE3537" w14:textId="77777777" w:rsidR="000A3061" w:rsidRDefault="00000000">
      <w:pPr>
        <w:spacing w:line="360" w:lineRule="auto"/>
        <w:jc w:val="both"/>
        <w:rPr>
          <w:rFonts w:ascii="Book Antiqua" w:hAnsi="Book Antiqua"/>
        </w:rPr>
      </w:pPr>
      <w:r>
        <w:rPr>
          <w:rFonts w:ascii="Book Antiqua" w:eastAsia="Book Antiqua" w:hAnsi="Book Antiqua" w:cs="Book Antiqua"/>
        </w:rPr>
        <w:t>Many studies have attempted to identify genomic metastasis-promoting mutations. However, few metastasis-associated mutations have been found, and those that have been reported to date exhibit largely concordant mutation patterns and mutation burdens in both primary and metastatic cancers. Therefore, genomic mutations are not mediators of cascade-related metastatic progression</w:t>
      </w:r>
      <w:r>
        <w:rPr>
          <w:rFonts w:ascii="Book Antiqua" w:eastAsia="Book Antiqua" w:hAnsi="Book Antiqua" w:cs="Book Antiqua"/>
          <w:vertAlign w:val="superscript"/>
        </w:rPr>
        <w:t>[6]</w:t>
      </w:r>
      <w:r>
        <w:rPr>
          <w:rFonts w:ascii="Book Antiqua" w:eastAsia="Book Antiqua" w:hAnsi="Book Antiqua" w:cs="Book Antiqua"/>
        </w:rPr>
        <w:t>. However, several studies have shown unique features of a significantly greater frequency of CpG island hypermethylation in gastrointestinal (GI) adenocarcinomas than in non-GI adenocarcinomas</w:t>
      </w:r>
      <w:r>
        <w:rPr>
          <w:rFonts w:ascii="Book Antiqua" w:eastAsia="Book Antiqua" w:hAnsi="Book Antiqua" w:cs="Book Antiqua"/>
          <w:vertAlign w:val="superscript"/>
        </w:rPr>
        <w:t>[15]</w:t>
      </w:r>
      <w:r>
        <w:rPr>
          <w:rFonts w:ascii="Book Antiqua" w:eastAsia="Book Antiqua" w:hAnsi="Book Antiqua" w:cs="Book Antiqua"/>
        </w:rPr>
        <w:t xml:space="preserve">, and marked differences in methylation were found in CRC patients. Therefore, Toyota </w:t>
      </w:r>
      <w:r>
        <w:rPr>
          <w:rFonts w:ascii="Book Antiqua" w:eastAsia="Book Antiqua" w:hAnsi="Book Antiqua" w:cs="Book Antiqua"/>
          <w:i/>
          <w:iCs/>
        </w:rPr>
        <w:t>et al</w:t>
      </w:r>
      <w:r>
        <w:rPr>
          <w:rFonts w:ascii="Book Antiqua" w:eastAsia="Book Antiqua" w:hAnsi="Book Antiqua" w:cs="Book Antiqua"/>
          <w:vertAlign w:val="superscript"/>
        </w:rPr>
        <w:t>[16]</w:t>
      </w:r>
      <w:r>
        <w:rPr>
          <w:rFonts w:ascii="Book Antiqua" w:eastAsia="Book Antiqua" w:hAnsi="Book Antiqua" w:cs="Book Antiqua"/>
        </w:rPr>
        <w:t xml:space="preserve"> named one CRC type, CpG island methylated subphenotype (CIMP), after observing its association with a unique molecular pathogenesis. It is widely accepted that aberrant gene hypermethylation is associated with tumor suppressor gene silencing, which leads to cancer formation </w:t>
      </w:r>
      <w:r>
        <w:rPr>
          <w:rFonts w:ascii="Book Antiqua" w:eastAsia="Book Antiqua" w:hAnsi="Book Antiqua" w:cs="Book Antiqua"/>
          <w:i/>
          <w:iCs/>
        </w:rPr>
        <w:t>via</w:t>
      </w:r>
      <w:r>
        <w:rPr>
          <w:rFonts w:ascii="Book Antiqua" w:eastAsia="Book Antiqua" w:hAnsi="Book Antiqua" w:cs="Book Antiqua"/>
        </w:rPr>
        <w:t xml:space="preserve"> transcriptional repression of these genes</w:t>
      </w:r>
      <w:r>
        <w:rPr>
          <w:rFonts w:ascii="Book Antiqua" w:eastAsia="Book Antiqua" w:hAnsi="Book Antiqua" w:cs="Book Antiqua"/>
          <w:vertAlign w:val="superscript"/>
        </w:rPr>
        <w:t>[17]</w:t>
      </w:r>
      <w:r>
        <w:rPr>
          <w:rFonts w:ascii="Book Antiqua" w:eastAsia="Book Antiqua" w:hAnsi="Book Antiqua" w:cs="Book Antiqua"/>
        </w:rPr>
        <w:t xml:space="preserve">. Studying mCRC, Ju </w:t>
      </w:r>
      <w:r>
        <w:rPr>
          <w:rFonts w:ascii="Book Antiqua" w:eastAsia="Book Antiqua" w:hAnsi="Book Antiqua" w:cs="Book Antiqua"/>
          <w:i/>
          <w:iCs/>
        </w:rPr>
        <w:t>et al</w:t>
      </w:r>
      <w:r>
        <w:rPr>
          <w:rFonts w:ascii="Book Antiqua" w:eastAsia="Book Antiqua" w:hAnsi="Book Antiqua" w:cs="Book Antiqua"/>
          <w:vertAlign w:val="superscript"/>
        </w:rPr>
        <w:t>[18]</w:t>
      </w:r>
      <w:r>
        <w:rPr>
          <w:rFonts w:ascii="Book Antiqua" w:eastAsia="Book Antiqua" w:hAnsi="Book Antiqua" w:cs="Book Antiqua"/>
        </w:rPr>
        <w:t xml:space="preserve"> showed that the number of methylated genes was markedly greater in Stage I-III CRC than in the other two stage groups, namely, the stage IV primary mCRC and liver metastasis groups. </w:t>
      </w:r>
      <w:r>
        <w:rPr>
          <w:rFonts w:ascii="Book Antiqua" w:eastAsia="Book Antiqua" w:hAnsi="Book Antiqua" w:cs="Book Antiqua"/>
        </w:rPr>
        <w:lastRenderedPageBreak/>
        <w:t>However, when several studies compared primary CRC tumors and CRC liver metastases, the methylated phenotype was similar to that of primary cancer, which led researchers to conclude that most of the key DNA hypermethylation events associated with colorectal carcinogenesis likely occur before cancer cells spread to metastatic organs</w:t>
      </w:r>
      <w:r>
        <w:rPr>
          <w:rFonts w:ascii="Book Antiqua" w:eastAsia="Book Antiqua" w:hAnsi="Book Antiqua" w:cs="Book Antiqua"/>
          <w:vertAlign w:val="superscript"/>
        </w:rPr>
        <w:t>[19-21]</w:t>
      </w:r>
      <w:r>
        <w:rPr>
          <w:rFonts w:ascii="Book Antiqua" w:eastAsia="Book Antiqua" w:hAnsi="Book Antiqua" w:cs="Book Antiqua"/>
        </w:rPr>
        <w:t>.</w:t>
      </w:r>
    </w:p>
    <w:p w14:paraId="7DAC4137"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Furthermore, several studies have shown that differentially methylated genes, such as hypermethylated MGMT, which repairs alkylated DNA</w:t>
      </w:r>
      <w:r>
        <w:rPr>
          <w:rFonts w:ascii="Book Antiqua" w:eastAsia="Book Antiqua" w:hAnsi="Book Antiqua" w:cs="Book Antiqua"/>
          <w:vertAlign w:val="superscript"/>
        </w:rPr>
        <w:t>[19]</w:t>
      </w:r>
      <w:r>
        <w:rPr>
          <w:rFonts w:ascii="Book Antiqua" w:eastAsia="Book Antiqua" w:hAnsi="Book Antiqua" w:cs="Book Antiqua"/>
        </w:rPr>
        <w:t>; hypermethylated TIMP3, which increases the EGFR signaling pathway by inhibiting MMPs and increasing the TNF signaling pathway by inhibiting ADAM</w:t>
      </w:r>
      <w:r>
        <w:rPr>
          <w:rFonts w:ascii="Book Antiqua" w:eastAsia="Book Antiqua" w:hAnsi="Book Antiqua" w:cs="Book Antiqua"/>
          <w:vertAlign w:val="superscript"/>
        </w:rPr>
        <w:t>[21]</w:t>
      </w:r>
      <w:r>
        <w:rPr>
          <w:rFonts w:ascii="Book Antiqua" w:eastAsia="Book Antiqua" w:hAnsi="Book Antiqua" w:cs="Book Antiqua"/>
        </w:rPr>
        <w:t>; and hypomethylated nuclear element-1 (LINE-1) enables the inadvertent activation of methylation-silenced proto-oncogenes in mCRC</w:t>
      </w:r>
      <w:r>
        <w:rPr>
          <w:rFonts w:ascii="Book Antiqua" w:eastAsia="Book Antiqua" w:hAnsi="Book Antiqua" w:cs="Book Antiqua"/>
          <w:vertAlign w:val="superscript"/>
        </w:rPr>
        <w:t>[20,22]</w:t>
      </w:r>
      <w:r>
        <w:rPr>
          <w:rFonts w:ascii="Book Antiqua" w:eastAsia="Book Antiqua" w:hAnsi="Book Antiqua" w:cs="Book Antiqua"/>
        </w:rPr>
        <w:t>. In summary, aberrantly methylated genes play important roles in the initiation and progression of mCRC and can even interfere with drug responses</w:t>
      </w:r>
      <w:r>
        <w:rPr>
          <w:rFonts w:ascii="Book Antiqua" w:eastAsia="Book Antiqua" w:hAnsi="Book Antiqua" w:cs="Book Antiqua"/>
          <w:vertAlign w:val="superscript"/>
        </w:rPr>
        <w:t>[15]</w:t>
      </w:r>
      <w:r>
        <w:rPr>
          <w:rFonts w:ascii="Book Antiqua" w:eastAsia="Book Antiqua" w:hAnsi="Book Antiqua" w:cs="Book Antiqua"/>
        </w:rPr>
        <w:t>.</w:t>
      </w:r>
    </w:p>
    <w:p w14:paraId="544ECAB3" w14:textId="77777777" w:rsidR="000A3061" w:rsidRDefault="000A3061">
      <w:pPr>
        <w:spacing w:line="360" w:lineRule="auto"/>
        <w:jc w:val="both"/>
        <w:rPr>
          <w:rFonts w:ascii="Book Antiqua" w:hAnsi="Book Antiqua"/>
        </w:rPr>
      </w:pPr>
    </w:p>
    <w:p w14:paraId="6DC30845" w14:textId="77777777" w:rsidR="000A3061" w:rsidRDefault="00000000">
      <w:pPr>
        <w:spacing w:line="360" w:lineRule="auto"/>
        <w:jc w:val="both"/>
        <w:rPr>
          <w:rFonts w:ascii="Book Antiqua" w:hAnsi="Book Antiqua"/>
          <w:b/>
          <w:bCs/>
          <w:i/>
          <w:iCs/>
        </w:rPr>
      </w:pPr>
      <w:r>
        <w:rPr>
          <w:rFonts w:ascii="Book Antiqua" w:eastAsia="Book Antiqua" w:hAnsi="Book Antiqua" w:cs="Book Antiqua"/>
          <w:b/>
          <w:bCs/>
          <w:i/>
          <w:iCs/>
        </w:rPr>
        <w:t>Noncoding RNAs and mCRC</w:t>
      </w:r>
    </w:p>
    <w:p w14:paraId="6E2137B3" w14:textId="77777777" w:rsidR="000A3061" w:rsidRDefault="00000000">
      <w:pPr>
        <w:spacing w:line="360" w:lineRule="auto"/>
        <w:jc w:val="both"/>
        <w:rPr>
          <w:rFonts w:ascii="Book Antiqua" w:hAnsi="Book Antiqua"/>
        </w:rPr>
      </w:pPr>
      <w:r>
        <w:rPr>
          <w:rFonts w:ascii="Book Antiqua" w:eastAsia="Book Antiqua" w:hAnsi="Book Antiqua" w:cs="Book Antiqua"/>
        </w:rPr>
        <w:t>Previously, 98% of noncoding sequences were considered useless, but increasing evidence has shown that these RNA transcripts strongly impact different physiological and pathological processes</w:t>
      </w:r>
      <w:r>
        <w:rPr>
          <w:rFonts w:ascii="Book Antiqua" w:eastAsia="Book Antiqua" w:hAnsi="Book Antiqua" w:cs="Book Antiqua"/>
          <w:vertAlign w:val="superscript"/>
        </w:rPr>
        <w:t>[23]</w:t>
      </w:r>
      <w:r>
        <w:rPr>
          <w:rFonts w:ascii="Book Antiqua" w:eastAsia="Book Antiqua" w:hAnsi="Book Antiqua" w:cs="Book Antiqua"/>
        </w:rPr>
        <w:t>. To date, more than 1400 miRNAs have been identified, accounting for 2%-5% of the entire human genome and regulating 30% of human gene expression</w:t>
      </w:r>
      <w:r>
        <w:rPr>
          <w:rFonts w:ascii="Book Antiqua" w:eastAsia="Book Antiqua" w:hAnsi="Book Antiqua" w:cs="Book Antiqua"/>
          <w:vertAlign w:val="superscript"/>
        </w:rPr>
        <w:t>[24]</w:t>
      </w:r>
      <w:r>
        <w:rPr>
          <w:rFonts w:ascii="Book Antiqua" w:eastAsia="Book Antiqua" w:hAnsi="Book Antiqua" w:cs="Book Antiqua"/>
        </w:rPr>
        <w:t>. Recently, several studies have been performed to determine the regulatory roles of noncoding RNAs (ncRNAs) in different steps of the colorectal metastasis cascade and how ncRNAs coordinate a series of pathological events.</w:t>
      </w:r>
    </w:p>
    <w:p w14:paraId="0B62B8CE" w14:textId="77777777" w:rsidR="000A3061"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A study by Mokutani </w:t>
      </w:r>
      <w:r>
        <w:rPr>
          <w:rFonts w:ascii="Book Antiqua" w:eastAsia="Book Antiqua" w:hAnsi="Book Antiqua" w:cs="Book Antiqua"/>
          <w:i/>
          <w:iCs/>
        </w:rPr>
        <w:t>et al</w:t>
      </w:r>
      <w:r>
        <w:rPr>
          <w:rFonts w:ascii="Book Antiqua" w:eastAsia="Book Antiqua" w:hAnsi="Book Antiqua" w:cs="Book Antiqua"/>
          <w:vertAlign w:val="superscript"/>
        </w:rPr>
        <w:t>[25]</w:t>
      </w:r>
      <w:r>
        <w:rPr>
          <w:rFonts w:ascii="Book Antiqua" w:eastAsia="Book Antiqua" w:hAnsi="Book Antiqua" w:cs="Book Antiqua"/>
        </w:rPr>
        <w:t xml:space="preserve"> showed that downregulation of miR-132 by targeting downstream ANO1, which is a key oncogenic factor, contributed to the CRC metastatic cascade. A study by Hu </w:t>
      </w:r>
      <w:r>
        <w:rPr>
          <w:rFonts w:ascii="Book Antiqua" w:eastAsia="Book Antiqua" w:hAnsi="Book Antiqua" w:cs="Book Antiqua"/>
          <w:i/>
          <w:iCs/>
        </w:rPr>
        <w:t>et al</w:t>
      </w:r>
      <w:r>
        <w:rPr>
          <w:rFonts w:ascii="Book Antiqua" w:eastAsia="Book Antiqua" w:hAnsi="Book Antiqua" w:cs="Book Antiqua"/>
          <w:vertAlign w:val="superscript"/>
        </w:rPr>
        <w:t>[26]</w:t>
      </w:r>
      <w:r>
        <w:rPr>
          <w:rFonts w:ascii="Book Antiqua" w:eastAsia="Book Antiqua" w:hAnsi="Book Antiqua" w:cs="Book Antiqua"/>
        </w:rPr>
        <w:t xml:space="preserve"> showed that low expression of miR-744, which is a target of Notch1, was positively correlated with TNM stage; in contrast, overexpression of miR-744 significantly inhibited the proliferation and invasion of CRC cells. A study by Yan </w:t>
      </w:r>
      <w:r>
        <w:rPr>
          <w:rFonts w:ascii="Book Antiqua" w:eastAsia="Book Antiqua" w:hAnsi="Book Antiqua" w:cs="Book Antiqua"/>
          <w:i/>
          <w:iCs/>
        </w:rPr>
        <w:t>et al</w:t>
      </w:r>
      <w:r>
        <w:rPr>
          <w:rFonts w:ascii="Book Antiqua" w:eastAsia="Book Antiqua" w:hAnsi="Book Antiqua" w:cs="Book Antiqua"/>
          <w:vertAlign w:val="superscript"/>
        </w:rPr>
        <w:t>[27]</w:t>
      </w:r>
      <w:r>
        <w:rPr>
          <w:rFonts w:ascii="Book Antiqua" w:eastAsia="Book Antiqua" w:hAnsi="Book Antiqua" w:cs="Book Antiqua"/>
        </w:rPr>
        <w:t xml:space="preserve"> indicated that miR-520d-5p was significantly downregulated by targeting CTHRC1, which is involved in the progression and metastasis of CRC. Additionally, it is regulated by SP1 and affects the epithelial-mesenchymal transition (EMT) by inactivating the phosphorylation of Erk1/2. A study indicated that significantly upregulated miR-425 and miR-576, which target PTEN, were key factors in CRC liver metastasis</w:t>
      </w:r>
      <w:r>
        <w:rPr>
          <w:rFonts w:ascii="Book Antiqua" w:hAnsi="Book Antiqua"/>
          <w:vertAlign w:val="superscript"/>
        </w:rPr>
        <w:t>[26,28]</w:t>
      </w:r>
      <w:r>
        <w:rPr>
          <w:rFonts w:ascii="Book Antiqua" w:eastAsia="Book Antiqua" w:hAnsi="Book Antiqua" w:cs="Book Antiqua"/>
        </w:rPr>
        <w:t>.</w:t>
      </w:r>
    </w:p>
    <w:p w14:paraId="6558642A"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Liang </w:t>
      </w:r>
      <w:r>
        <w:rPr>
          <w:rFonts w:ascii="Book Antiqua" w:eastAsia="Book Antiqua" w:hAnsi="Book Antiqua" w:cs="Book Antiqua"/>
          <w:i/>
          <w:iCs/>
        </w:rPr>
        <w:t>et al</w:t>
      </w:r>
      <w:r>
        <w:rPr>
          <w:rFonts w:ascii="Book Antiqua" w:eastAsia="Book Antiqua" w:hAnsi="Book Antiqua" w:cs="Book Antiqua"/>
          <w:vertAlign w:val="superscript"/>
        </w:rPr>
        <w:t>[29]</w:t>
      </w:r>
      <w:r>
        <w:rPr>
          <w:rFonts w:ascii="Book Antiqua" w:eastAsia="Book Antiqua" w:hAnsi="Book Antiqua" w:cs="Book Antiqua"/>
        </w:rPr>
        <w:t xml:space="preserve"> reported that the long non-coding RNA (lncRNA) RPPH1 was markedly upregulated in CRC tissues and RPPH1 overexpression induced EMT in CRC cells by interacting with TUB3 to prevent its ubiquitination, an outcome that has been associated with advanced TNM stage and poor prognosis.</w:t>
      </w:r>
      <w:r>
        <w:rPr>
          <w:rFonts w:ascii="Book Antiqua" w:eastAsia="Book Antiqua" w:hAnsi="Book Antiqua" w:cs="Book Antiqua"/>
          <w:b/>
          <w:bCs/>
        </w:rPr>
        <w:t xml:space="preserve"> </w:t>
      </w:r>
      <w:r>
        <w:rPr>
          <w:rFonts w:ascii="Book Antiqua" w:eastAsia="Book Antiqua" w:hAnsi="Book Antiqua" w:cs="Book Antiqua"/>
        </w:rPr>
        <w:t xml:space="preserve">Two studies identified functional roles for CYTOR (a lncRNA also known as LINC00152) in CRC progression. The first of these two studies, conducted by Wang </w:t>
      </w:r>
      <w:r>
        <w:rPr>
          <w:rFonts w:ascii="Book Antiqua" w:eastAsia="Book Antiqua" w:hAnsi="Book Antiqua" w:cs="Book Antiqua"/>
          <w:i/>
          <w:iCs/>
        </w:rPr>
        <w:t>et al</w:t>
      </w:r>
      <w:r>
        <w:rPr>
          <w:rFonts w:ascii="Book Antiqua" w:eastAsia="Book Antiqua" w:hAnsi="Book Antiqua" w:cs="Book Antiqua"/>
          <w:vertAlign w:val="superscript"/>
        </w:rPr>
        <w:t>[30]</w:t>
      </w:r>
      <w:r>
        <w:rPr>
          <w:rFonts w:ascii="Book Antiqua" w:eastAsia="Book Antiqua" w:hAnsi="Book Antiqua" w:cs="Book Antiqua"/>
        </w:rPr>
        <w:t>,</w:t>
      </w:r>
      <w:r>
        <w:rPr>
          <w:rFonts w:ascii="Book Antiqua" w:eastAsia="Book Antiqua" w:hAnsi="Book Antiqua" w:cs="Book Antiqua"/>
          <w:vertAlign w:val="superscript"/>
        </w:rPr>
        <w:t xml:space="preserve"> </w:t>
      </w:r>
      <w:r>
        <w:rPr>
          <w:rFonts w:ascii="Book Antiqua" w:eastAsia="Book Antiqua" w:hAnsi="Book Antiqua" w:cs="Book Antiqua"/>
        </w:rPr>
        <w:t>showed that CYTOR forms a heterotrimeric complex with the RNA-binding proteins NCL and Sam68 through EXON1, which activates the NF-κB signaling pathway, thus promoting EMT and CRC metastasis. The second study, conducted by Lv</w:t>
      </w:r>
      <w:r>
        <w:rPr>
          <w:rFonts w:ascii="Book Antiqua" w:eastAsia="Book Antiqua" w:hAnsi="Book Antiqua" w:cs="Book Antiqua"/>
          <w:i/>
          <w:iCs/>
        </w:rPr>
        <w:t xml:space="preserve"> et al</w:t>
      </w:r>
      <w:r>
        <w:rPr>
          <w:rFonts w:ascii="Book Antiqua" w:eastAsia="Book Antiqua" w:hAnsi="Book Antiqua" w:cs="Book Antiqua"/>
          <w:vertAlign w:val="superscript"/>
        </w:rPr>
        <w:t>[31]</w:t>
      </w:r>
      <w:r>
        <w:rPr>
          <w:rFonts w:ascii="Book Antiqua" w:eastAsia="Book Antiqua" w:hAnsi="Book Antiqua" w:cs="Book Antiqua"/>
        </w:rPr>
        <w:t>, showed that CYTOR mediates the binding of ENO2 to large tumor suppressor 1 (LATS1) and competitively inhibits the phosphorylation of Yes-associated protein 1 (YAP1), which ultimately triggers the EMT and CRC metastasis.</w:t>
      </w:r>
    </w:p>
    <w:p w14:paraId="0B079B58" w14:textId="77777777" w:rsidR="000A3061" w:rsidRDefault="000A3061">
      <w:pPr>
        <w:spacing w:line="360" w:lineRule="auto"/>
        <w:jc w:val="both"/>
        <w:rPr>
          <w:rFonts w:ascii="Book Antiqua" w:hAnsi="Book Antiqua"/>
        </w:rPr>
      </w:pPr>
    </w:p>
    <w:p w14:paraId="3DDF2AA7"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MSI and mCRC</w:t>
      </w:r>
    </w:p>
    <w:p w14:paraId="35741E89" w14:textId="77777777" w:rsidR="000A3061" w:rsidRDefault="00000000">
      <w:pPr>
        <w:spacing w:line="360" w:lineRule="auto"/>
        <w:jc w:val="both"/>
        <w:rPr>
          <w:rFonts w:ascii="Book Antiqua" w:hAnsi="Book Antiqua"/>
        </w:rPr>
      </w:pPr>
      <w:r>
        <w:rPr>
          <w:rFonts w:ascii="Book Antiqua" w:eastAsia="Book Antiqua" w:hAnsi="Book Antiqua" w:cs="Book Antiqua"/>
        </w:rPr>
        <w:t>A series of studies led to the understanding that deficient DNA mismatch repair (dMMR) causes microsatellite instability (MSI); importantly, most sporadic MSI-type CRCs are derived from CIMP-type CRC</w:t>
      </w:r>
      <w:r>
        <w:rPr>
          <w:rFonts w:ascii="Book Antiqua" w:eastAsia="Book Antiqua" w:hAnsi="Book Antiqua" w:cs="Book Antiqua"/>
          <w:vertAlign w:val="superscript"/>
        </w:rPr>
        <w:t>[15]</w:t>
      </w:r>
      <w:r>
        <w:rPr>
          <w:rFonts w:ascii="Book Antiqua" w:eastAsia="Book Antiqua" w:hAnsi="Book Antiqua" w:cs="Book Antiqua"/>
        </w:rPr>
        <w:t xml:space="preserve">. A study by </w:t>
      </w:r>
      <w:r>
        <w:rPr>
          <w:rFonts w:ascii="Book Antiqua" w:eastAsia="Book Antiqua" w:hAnsi="Book Antiqua" w:cs="Book Antiqua"/>
          <w:shd w:val="clear" w:color="auto" w:fill="FFFFFF"/>
        </w:rPr>
        <w:t>Tieng</w:t>
      </w:r>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[32]</w:t>
      </w:r>
      <w:r>
        <w:rPr>
          <w:rFonts w:ascii="Book Antiqua" w:eastAsia="Book Antiqua" w:hAnsi="Book Antiqua" w:cs="Book Antiqua"/>
        </w:rPr>
        <w:t xml:space="preserve"> showed that only 4% of mCRC patients exhibited the MSI genotype, a significantly lower frequency than that reported for nonmCRC patients, which can be explained by the MSI subtype showing a much lower tendency to metastasize. More detailed data from the study by Liu </w:t>
      </w:r>
      <w:r>
        <w:rPr>
          <w:rFonts w:ascii="Book Antiqua" w:eastAsia="Book Antiqua" w:hAnsi="Book Antiqua" w:cs="Book Antiqua"/>
          <w:i/>
          <w:iCs/>
        </w:rPr>
        <w:t>et al</w:t>
      </w:r>
      <w:r>
        <w:rPr>
          <w:rFonts w:ascii="Book Antiqua" w:eastAsia="Book Antiqua" w:hAnsi="Book Antiqua" w:cs="Book Antiqua"/>
          <w:vertAlign w:val="superscript"/>
        </w:rPr>
        <w:t>[15]</w:t>
      </w:r>
      <w:r>
        <w:rPr>
          <w:rFonts w:ascii="Book Antiqua" w:eastAsia="Book Antiqua" w:hAnsi="Book Antiqua" w:cs="Book Antiqua"/>
        </w:rPr>
        <w:t xml:space="preserve"> showed that in patients with Stage IV CRC, the percentage of patients with MSI was 28%, and that of patients with MSS was 72%, with the same ratio of MSI-to-MSS in patients with Stage III CRC. These ratios were significantly different from those identified in patients with Stage I or II CRC; 42% presented with the MSI type, and 58% presented with the MSS type. Accordingly, MSI-type patients, including mCRC and nonmCRC patients, exhibited a longer OS</w:t>
      </w:r>
      <w:r>
        <w:rPr>
          <w:rFonts w:ascii="Book Antiqua" w:eastAsia="Book Antiqua" w:hAnsi="Book Antiqua" w:cs="Book Antiqua"/>
          <w:vertAlign w:val="superscript"/>
        </w:rPr>
        <w:t>[15]</w:t>
      </w:r>
      <w:r>
        <w:rPr>
          <w:rFonts w:ascii="Book Antiqua" w:eastAsia="Book Antiqua" w:hAnsi="Book Antiqua" w:cs="Book Antiqua"/>
        </w:rPr>
        <w:t>. Moreover, in the lower GI tract, CIMP-H- and MSI-type tumors were largely absent in the descending colon compared with their incidence in the upper GI tract</w:t>
      </w:r>
      <w:r>
        <w:rPr>
          <w:rFonts w:ascii="Book Antiqua" w:eastAsia="Book Antiqua" w:hAnsi="Book Antiqua" w:cs="Book Antiqua"/>
          <w:vertAlign w:val="superscript"/>
        </w:rPr>
        <w:t>[33]</w:t>
      </w:r>
      <w:r>
        <w:rPr>
          <w:rFonts w:ascii="Book Antiqua" w:eastAsia="Book Antiqua" w:hAnsi="Book Antiqua" w:cs="Book Antiqua"/>
        </w:rPr>
        <w:t>.</w:t>
      </w:r>
    </w:p>
    <w:p w14:paraId="42C44DC1" w14:textId="77777777" w:rsidR="000A3061" w:rsidRDefault="00000000">
      <w:pPr>
        <w:spacing w:line="360" w:lineRule="auto"/>
        <w:ind w:firstLineChars="100" w:firstLine="240"/>
        <w:jc w:val="both"/>
        <w:rPr>
          <w:rFonts w:ascii="Book Antiqua" w:hAnsi="Book Antiqua"/>
        </w:rPr>
      </w:pPr>
      <w:r>
        <w:rPr>
          <w:rFonts w:ascii="Book Antiqua" w:eastAsia="Book Antiqua" w:hAnsi="Book Antiqua" w:cs="Book Antiqua"/>
        </w:rPr>
        <w:t>Recent studies showing the efficacy of immune checkpoint inhibitor therapy in dMMR-MSI-high CRC patients have indicated promising effects, but its use in patients with the MSS subtype has either been unsuccessful or not widely explored</w:t>
      </w:r>
      <w:r>
        <w:rPr>
          <w:rFonts w:ascii="Book Antiqua" w:eastAsia="Book Antiqua" w:hAnsi="Book Antiqua" w:cs="Book Antiqua"/>
          <w:vertAlign w:val="superscript"/>
        </w:rPr>
        <w:t>[34]</w:t>
      </w:r>
      <w:r>
        <w:rPr>
          <w:rFonts w:ascii="Book Antiqua" w:eastAsia="Book Antiqua" w:hAnsi="Book Antiqua" w:cs="Book Antiqua"/>
        </w:rPr>
        <w:t>. The likely explanation for the discriminative efficacy of this approach in patients with the MSI genotype is because it is associated with the next-highest IFN</w:t>
      </w:r>
      <w:r>
        <w:rPr>
          <w:rFonts w:ascii="Book Antiqua" w:hAnsi="Book Antiqua" w:cs="Book Antiqua"/>
        </w:rPr>
        <w:t>-</w:t>
      </w:r>
      <w:r>
        <w:rPr>
          <w:rFonts w:ascii="Book Antiqua" w:eastAsia="Book Antiqua" w:hAnsi="Book Antiqua" w:cs="Book Antiqua"/>
        </w:rPr>
        <w:t>γ expression signature</w:t>
      </w:r>
      <w:r>
        <w:rPr>
          <w:rFonts w:ascii="Book Antiqua" w:eastAsia="Book Antiqua" w:hAnsi="Book Antiqua" w:cs="Book Antiqua"/>
          <w:vertAlign w:val="superscript"/>
        </w:rPr>
        <w:t>[35]</w:t>
      </w:r>
      <w:r>
        <w:rPr>
          <w:rFonts w:ascii="Book Antiqua" w:eastAsia="Book Antiqua" w:hAnsi="Book Antiqua" w:cs="Book Antiqua"/>
        </w:rPr>
        <w:t>, and diverse immune signatures, such as high expression levels of the checkpoint protein CD276</w:t>
      </w:r>
      <w:r>
        <w:rPr>
          <w:rFonts w:ascii="Book Antiqua" w:eastAsia="Book Antiqua" w:hAnsi="Book Antiqua" w:cs="Book Antiqua"/>
          <w:vertAlign w:val="superscript"/>
        </w:rPr>
        <w:t>[15]</w:t>
      </w:r>
      <w:r>
        <w:rPr>
          <w:rFonts w:ascii="Book Antiqua" w:eastAsia="Book Antiqua" w:hAnsi="Book Antiqua" w:cs="Book Antiqua"/>
        </w:rPr>
        <w:t>, can lead to the accumulation of mutations and subsequent immunogenic neoantigens</w:t>
      </w:r>
      <w:r>
        <w:rPr>
          <w:rFonts w:ascii="Book Antiqua" w:eastAsia="Book Antiqua" w:hAnsi="Book Antiqua" w:cs="Book Antiqua"/>
          <w:vertAlign w:val="superscript"/>
        </w:rPr>
        <w:t>[36]</w:t>
      </w:r>
      <w:r>
        <w:rPr>
          <w:rFonts w:ascii="Book Antiqua" w:eastAsia="Book Antiqua" w:hAnsi="Book Antiqua" w:cs="Book Antiqua"/>
        </w:rPr>
        <w:t>, inducing high cytotoxic T cells (CTLs) engagement and better clinical outcomes</w:t>
      </w:r>
      <w:r>
        <w:rPr>
          <w:rFonts w:ascii="Book Antiqua" w:eastAsia="Book Antiqua" w:hAnsi="Book Antiqua" w:cs="Book Antiqua"/>
          <w:vertAlign w:val="superscript"/>
        </w:rPr>
        <w:t>[37]</w:t>
      </w:r>
      <w:r>
        <w:rPr>
          <w:rFonts w:ascii="Book Antiqua" w:eastAsia="Book Antiqua" w:hAnsi="Book Antiqua" w:cs="Book Antiqua"/>
        </w:rPr>
        <w:t>. Mechanistically, the group of patients with MSI-type CRC harbored lower WNT expression signatures than did the other CRC groups, a finding that may have been attributable to reduced metastasis</w:t>
      </w:r>
      <w:r>
        <w:rPr>
          <w:rFonts w:ascii="Book Antiqua" w:eastAsia="Book Antiqua" w:hAnsi="Book Antiqua" w:cs="Book Antiqua"/>
          <w:vertAlign w:val="superscript"/>
        </w:rPr>
        <w:t>[15]</w:t>
      </w:r>
      <w:r>
        <w:rPr>
          <w:rFonts w:ascii="Book Antiqua" w:eastAsia="Book Antiqua" w:hAnsi="Book Antiqua" w:cs="Book Antiqua"/>
        </w:rPr>
        <w:t>. Our understanding is that among mCRC patients, a much greater incidence of the MSS subtype was identified, and patients with this subtype exhibited a lower immune response (Figure 2).</w:t>
      </w:r>
    </w:p>
    <w:p w14:paraId="7FE7B2BC" w14:textId="77777777" w:rsidR="000A3061" w:rsidRDefault="000A3061">
      <w:pPr>
        <w:spacing w:line="360" w:lineRule="auto"/>
        <w:jc w:val="both"/>
        <w:rPr>
          <w:rFonts w:ascii="Book Antiqua" w:hAnsi="Book Antiqua"/>
        </w:rPr>
      </w:pPr>
    </w:p>
    <w:p w14:paraId="76C0DD64" w14:textId="77777777" w:rsidR="000A3061" w:rsidRDefault="00000000">
      <w:pPr>
        <w:spacing w:line="360" w:lineRule="auto"/>
        <w:jc w:val="both"/>
        <w:rPr>
          <w:rFonts w:ascii="Book Antiqua" w:hAnsi="Book Antiqua"/>
          <w:u w:val="single"/>
        </w:rPr>
      </w:pPr>
      <w:r>
        <w:rPr>
          <w:rFonts w:ascii="Book Antiqua" w:eastAsia="Book Antiqua" w:hAnsi="Book Antiqua" w:cs="Book Antiqua"/>
          <w:b/>
          <w:bCs/>
          <w:u w:val="single"/>
        </w:rPr>
        <w:t>MCRC AND METASTATIC CASCADES</w:t>
      </w:r>
    </w:p>
    <w:p w14:paraId="5FFA325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To metastasize, a series of metastatic cascades, such as invasive migration </w:t>
      </w:r>
      <w:r>
        <w:rPr>
          <w:rFonts w:ascii="Book Antiqua" w:eastAsia="Book Antiqua" w:hAnsi="Book Antiqua" w:cs="Book Antiqua"/>
          <w:i/>
          <w:iCs/>
        </w:rPr>
        <w:t>via</w:t>
      </w:r>
      <w:r>
        <w:rPr>
          <w:rFonts w:ascii="Book Antiqua" w:eastAsia="Book Antiqua" w:hAnsi="Book Antiqua" w:cs="Book Antiqua"/>
        </w:rPr>
        <w:t xml:space="preserve"> the circulatory system, extravasation, distal cell seeding, dormancy and reactivation, characterize cancer cells, with each step triggered by specific functions. In these cascades, EMT, angiogenesis, hypoxia, and circulating tumor cells (CTC) and exosomes are the key factors (Figure 2).</w:t>
      </w:r>
    </w:p>
    <w:p w14:paraId="1C6A6543" w14:textId="77777777" w:rsidR="000A3061" w:rsidRDefault="000A3061">
      <w:pPr>
        <w:spacing w:line="360" w:lineRule="auto"/>
        <w:jc w:val="both"/>
        <w:rPr>
          <w:rFonts w:ascii="Book Antiqua" w:hAnsi="Book Antiqua"/>
        </w:rPr>
      </w:pPr>
    </w:p>
    <w:p w14:paraId="38BB8884"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EMT</w:t>
      </w:r>
    </w:p>
    <w:p w14:paraId="0D710D3E" w14:textId="77777777" w:rsidR="000A3061" w:rsidRDefault="00000000">
      <w:pPr>
        <w:spacing w:line="360" w:lineRule="auto"/>
        <w:jc w:val="both"/>
        <w:rPr>
          <w:rFonts w:ascii="Book Antiqua" w:hAnsi="Book Antiqua"/>
        </w:rPr>
      </w:pPr>
      <w:r>
        <w:rPr>
          <w:rFonts w:ascii="Book Antiqua" w:eastAsia="Book Antiqua" w:hAnsi="Book Antiqua" w:cs="Book Antiqua"/>
        </w:rPr>
        <w:t>The EMT is a critical process during cancer metastasis in which epithelial cells acquire the phenotype of mesenchymal stem cells. Cells undergoing the EMT are at the invasive front of a cancerous tumor, and the EMT drives cancer cell migration, invasion, and metastatic spread</w:t>
      </w:r>
      <w:r>
        <w:rPr>
          <w:rFonts w:ascii="Book Antiqua" w:eastAsia="Book Antiqua" w:hAnsi="Book Antiqua" w:cs="Book Antiqua"/>
          <w:vertAlign w:val="superscript"/>
        </w:rPr>
        <w:t>[38]</w:t>
      </w:r>
      <w:r>
        <w:rPr>
          <w:rFonts w:ascii="Book Antiqua" w:eastAsia="Book Antiqua" w:hAnsi="Book Antiqua" w:cs="Book Antiqua"/>
        </w:rPr>
        <w:t>. Multiple signaling pathways, such as the TGF-β, BMP, RTK, Wnt/β-catenin, Notch, Hedgehog, and STAT3 pathways as well as ECM-mediated and hypoxia-regulated pathways, are involved in the EMT</w:t>
      </w:r>
      <w:r>
        <w:rPr>
          <w:rFonts w:ascii="Book Antiqua" w:eastAsia="Book Antiqua" w:hAnsi="Book Antiqua" w:cs="Book Antiqua"/>
          <w:vertAlign w:val="superscript"/>
        </w:rPr>
        <w:t>[39]</w:t>
      </w:r>
      <w:r>
        <w:rPr>
          <w:rFonts w:ascii="Book Antiqua" w:eastAsia="Book Antiqua" w:hAnsi="Book Antiqua" w:cs="Book Antiqua"/>
        </w:rPr>
        <w:t>. Members of the Snail family of transcriptional regulators, namely, Snail1 and Snail2, and the zinc finger transcription factors Zeb1 and Zeb2 also make critical regulatory contributions to the EMT</w:t>
      </w:r>
      <w:r>
        <w:rPr>
          <w:rFonts w:ascii="Book Antiqua" w:eastAsia="Book Antiqua" w:hAnsi="Book Antiqua" w:cs="Book Antiqua"/>
          <w:vertAlign w:val="superscript"/>
        </w:rPr>
        <w:t>[40]</w:t>
      </w:r>
      <w:r>
        <w:rPr>
          <w:rFonts w:ascii="Book Antiqua" w:eastAsia="Book Antiqua" w:hAnsi="Book Antiqua" w:cs="Book Antiqua"/>
        </w:rPr>
        <w:t>.</w:t>
      </w:r>
    </w:p>
    <w:p w14:paraId="4515BC78" w14:textId="77777777" w:rsidR="000A3061" w:rsidRDefault="00000000">
      <w:pPr>
        <w:spacing w:line="360" w:lineRule="auto"/>
        <w:ind w:firstLineChars="100" w:firstLine="240"/>
        <w:jc w:val="both"/>
        <w:rPr>
          <w:rFonts w:ascii="Book Antiqua" w:hAnsi="Book Antiqua"/>
        </w:rPr>
      </w:pPr>
      <w:r>
        <w:rPr>
          <w:rFonts w:ascii="Book Antiqua" w:eastAsia="Book Antiqua" w:hAnsi="Book Antiqua" w:cs="Book Antiqua"/>
        </w:rPr>
        <w:t>Several studies on mCRC have shown the impact of genetic and relevant signaling pathways on EMT and the role of EMT in cell migration from the original site to metastatic sites (Table 1)</w:t>
      </w:r>
      <w:r>
        <w:rPr>
          <w:rFonts w:ascii="Book Antiqua" w:eastAsia="Book Antiqua" w:hAnsi="Book Antiqua" w:cs="Book Antiqua"/>
          <w:vertAlign w:val="superscript"/>
        </w:rPr>
        <w:t>[41-49]</w:t>
      </w:r>
      <w:r>
        <w:rPr>
          <w:rFonts w:ascii="Book Antiqua" w:eastAsia="Book Antiqua" w:hAnsi="Book Antiqua" w:cs="Book Antiqua"/>
        </w:rPr>
        <w:t>.</w:t>
      </w:r>
    </w:p>
    <w:p w14:paraId="6DEC233B" w14:textId="77777777" w:rsidR="000A3061" w:rsidRDefault="000A3061">
      <w:pPr>
        <w:spacing w:line="360" w:lineRule="auto"/>
        <w:jc w:val="both"/>
        <w:rPr>
          <w:rFonts w:ascii="Book Antiqua" w:hAnsi="Book Antiqua"/>
        </w:rPr>
      </w:pPr>
    </w:p>
    <w:p w14:paraId="17106DE5"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angiogenesis</w:t>
      </w:r>
    </w:p>
    <w:p w14:paraId="6C54AD66" w14:textId="77777777" w:rsidR="000A3061" w:rsidRDefault="00000000">
      <w:pPr>
        <w:spacing w:line="360" w:lineRule="auto"/>
        <w:jc w:val="both"/>
        <w:rPr>
          <w:rFonts w:ascii="Book Antiqua" w:hAnsi="Book Antiqua"/>
        </w:rPr>
      </w:pPr>
      <w:r>
        <w:rPr>
          <w:rFonts w:ascii="Book Antiqua" w:eastAsia="Book Antiqua" w:hAnsi="Book Antiqua" w:cs="Book Antiqua"/>
        </w:rPr>
        <w:t>Angiogenesis is a hallmark of cancer and is closely related to tumor growth, cancer cell metastasis and invasion, prognosis, and recurrence. Angiogenesis, which involves the formation of new vessels from preexisting vessels, is critical for the progression of both primary and metastatic cancer</w:t>
      </w:r>
      <w:r>
        <w:rPr>
          <w:rFonts w:ascii="Book Antiqua" w:eastAsia="Book Antiqua" w:hAnsi="Book Antiqua" w:cs="Book Antiqua"/>
          <w:vertAlign w:val="superscript"/>
        </w:rPr>
        <w:t>[50]</w:t>
      </w:r>
      <w:r>
        <w:rPr>
          <w:rFonts w:ascii="Book Antiqua" w:eastAsia="Book Antiqua" w:hAnsi="Book Antiqua" w:cs="Book Antiqua"/>
        </w:rPr>
        <w:t>. At metastatic sites, angiogenesis enables malignant cells to repeat the entire sequence of events required for further metastasis</w:t>
      </w:r>
      <w:r>
        <w:rPr>
          <w:rFonts w:ascii="Book Antiqua" w:eastAsia="Book Antiqua" w:hAnsi="Book Antiqua" w:cs="Book Antiqua"/>
          <w:vertAlign w:val="superscript"/>
        </w:rPr>
        <w:t>[51]</w:t>
      </w:r>
      <w:r>
        <w:rPr>
          <w:rFonts w:ascii="Book Antiqua" w:eastAsia="Book Antiqua" w:hAnsi="Book Antiqua" w:cs="Book Antiqua"/>
        </w:rPr>
        <w:t>.</w:t>
      </w:r>
    </w:p>
    <w:p w14:paraId="078D1FA3"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Vascular endothelial growth factor A is a major proangiogenic factor that is associated with metastasis formation and poor prognosis in CRC patients</w:t>
      </w:r>
      <w:r>
        <w:rPr>
          <w:rFonts w:ascii="Book Antiqua" w:eastAsia="Book Antiqua" w:hAnsi="Book Antiqua" w:cs="Book Antiqua"/>
          <w:vertAlign w:val="superscript"/>
        </w:rPr>
        <w:t>[52]</w:t>
      </w:r>
      <w:r>
        <w:rPr>
          <w:rFonts w:ascii="Book Antiqua" w:eastAsia="Book Antiqua" w:hAnsi="Book Antiqua" w:cs="Book Antiqua"/>
        </w:rPr>
        <w:t xml:space="preserve">. Many studies have shown that the VEGF signaling pathway has high therapeutic value because it regulates angiogenesis in CRC patients. Nogués </w:t>
      </w:r>
      <w:r>
        <w:rPr>
          <w:rFonts w:ascii="Book Antiqua" w:eastAsia="Book Antiqua" w:hAnsi="Book Antiqua" w:cs="Book Antiqua"/>
          <w:i/>
          <w:iCs/>
        </w:rPr>
        <w:t>et al</w:t>
      </w:r>
      <w:r>
        <w:rPr>
          <w:rFonts w:ascii="Book Antiqua" w:eastAsia="Book Antiqua" w:hAnsi="Book Antiqua" w:cs="Book Antiqua"/>
          <w:vertAlign w:val="superscript"/>
        </w:rPr>
        <w:t>[53]</w:t>
      </w:r>
      <w:r>
        <w:rPr>
          <w:rFonts w:ascii="Book Antiqua" w:eastAsia="Book Antiqua" w:hAnsi="Book Antiqua" w:cs="Book Antiqua"/>
        </w:rPr>
        <w:t xml:space="preserve"> reported that VEGF serum levels in mCRC patients before surgery were significantly greater than those in nonmCRC patients. Therefore, antiangiogenic therapeutic strategies are important and effective tools for improving outcomes in patients diagnosed with mCRC in specific settings</w:t>
      </w:r>
      <w:r>
        <w:rPr>
          <w:rFonts w:ascii="Book Antiqua" w:eastAsia="Book Antiqua" w:hAnsi="Book Antiqua" w:cs="Book Antiqua"/>
          <w:vertAlign w:val="superscript"/>
        </w:rPr>
        <w:t>[54]</w:t>
      </w:r>
      <w:r>
        <w:rPr>
          <w:rFonts w:ascii="Book Antiqua" w:eastAsia="Book Antiqua" w:hAnsi="Book Antiqua" w:cs="Book Antiqua"/>
        </w:rPr>
        <w:t>. Many drugs targeting VEGF, platelet-derived growth factor, fibroblast growth factor, and their receptors are marketed or are under development</w:t>
      </w:r>
      <w:r>
        <w:rPr>
          <w:rFonts w:ascii="Book Antiqua" w:eastAsia="Book Antiqua" w:hAnsi="Book Antiqua" w:cs="Book Antiqua"/>
          <w:vertAlign w:val="superscript"/>
        </w:rPr>
        <w:t>[55]</w:t>
      </w:r>
      <w:r>
        <w:rPr>
          <w:rFonts w:ascii="Book Antiqua" w:eastAsia="Book Antiqua" w:hAnsi="Book Antiqua" w:cs="Book Antiqua"/>
        </w:rPr>
        <w:t>.</w:t>
      </w:r>
    </w:p>
    <w:p w14:paraId="4C03742D" w14:textId="77777777" w:rsidR="000A3061" w:rsidRDefault="000A3061">
      <w:pPr>
        <w:spacing w:line="360" w:lineRule="auto"/>
        <w:jc w:val="both"/>
        <w:rPr>
          <w:rFonts w:ascii="Book Antiqua" w:hAnsi="Book Antiqua"/>
        </w:rPr>
      </w:pPr>
    </w:p>
    <w:p w14:paraId="3B8CB286"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hypoxia</w:t>
      </w:r>
    </w:p>
    <w:p w14:paraId="1FA97FCB" w14:textId="77777777" w:rsidR="000A3061" w:rsidRDefault="00000000">
      <w:pPr>
        <w:spacing w:line="360" w:lineRule="auto"/>
        <w:jc w:val="both"/>
        <w:rPr>
          <w:rFonts w:ascii="Book Antiqua" w:hAnsi="Book Antiqua"/>
        </w:rPr>
      </w:pPr>
      <w:r>
        <w:rPr>
          <w:rFonts w:ascii="Book Antiqua" w:eastAsia="Book Antiqua" w:hAnsi="Book Antiqua" w:cs="Book Antiqua"/>
        </w:rPr>
        <w:t>The metastatic process exerts strong selective pressure on cancer cells, and metastatic cancer cells develop high oxidative stress. However, the Warburg effect helps cancer cells minimize oxidative stress by inhibiting mitochondrial oxidative metabolism, thereby promoting metastatic spread</w:t>
      </w:r>
      <w:r>
        <w:rPr>
          <w:rFonts w:ascii="Book Antiqua" w:eastAsia="Book Antiqua" w:hAnsi="Book Antiqua" w:cs="Book Antiqua"/>
          <w:vertAlign w:val="superscript"/>
        </w:rPr>
        <w:t>[56]</w:t>
      </w:r>
      <w:r>
        <w:rPr>
          <w:rFonts w:ascii="Book Antiqua" w:eastAsia="Book Antiqua" w:hAnsi="Book Antiqua" w:cs="Book Antiqua"/>
        </w:rPr>
        <w:t>. As a hallmark of cancer, the Warburg effect facilitates CRC metastasis by promoting angiogenesis, promoting cancer-associated fibroblast formation, and suppressing the immune system, and it can also lead to drug resistance</w:t>
      </w:r>
      <w:r>
        <w:rPr>
          <w:rFonts w:ascii="Book Antiqua" w:eastAsia="Book Antiqua" w:hAnsi="Book Antiqua" w:cs="Book Antiqua"/>
          <w:vertAlign w:val="superscript"/>
        </w:rPr>
        <w:t>[57,58]</w:t>
      </w:r>
      <w:r>
        <w:rPr>
          <w:rFonts w:ascii="Book Antiqua" w:eastAsia="Book Antiqua" w:hAnsi="Book Antiqua" w:cs="Book Antiqua"/>
        </w:rPr>
        <w:t>.</w:t>
      </w:r>
    </w:p>
    <w:p w14:paraId="449862AA"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Qi </w:t>
      </w:r>
      <w:r>
        <w:rPr>
          <w:rFonts w:ascii="Book Antiqua" w:eastAsia="Book Antiqua" w:hAnsi="Book Antiqua" w:cs="Book Antiqua"/>
          <w:i/>
          <w:iCs/>
        </w:rPr>
        <w:t>et al</w:t>
      </w:r>
      <w:r>
        <w:rPr>
          <w:rFonts w:ascii="Book Antiqua" w:eastAsia="Book Antiqua" w:hAnsi="Book Antiqua" w:cs="Book Antiqua"/>
          <w:vertAlign w:val="superscript"/>
        </w:rPr>
        <w:t>[59]</w:t>
      </w:r>
      <w:r>
        <w:rPr>
          <w:rFonts w:ascii="Book Antiqua" w:eastAsia="Book Antiqua" w:hAnsi="Book Antiqua" w:cs="Book Antiqua"/>
        </w:rPr>
        <w:t xml:space="preserve"> analyzed a total of 1730 CRC samples and were able to classify most of them into two subgroups: a hypoxia subgroup and a normoxia subgroup. They found that hypoxia was associated with poor prognosis in CRC and was closely associated with activation of the RAS signaling pathway independent of KRAS mutation. Furthermore, hypoxia promoted M2 macrophage infiltration and was associated with poor outcomes</w:t>
      </w:r>
      <w:r>
        <w:rPr>
          <w:rFonts w:ascii="Book Antiqua" w:eastAsia="Book Antiqua" w:hAnsi="Book Antiqua" w:cs="Book Antiqua"/>
          <w:vertAlign w:val="superscript"/>
        </w:rPr>
        <w:t>[59]</w:t>
      </w:r>
      <w:r>
        <w:rPr>
          <w:rFonts w:ascii="Book Antiqua" w:eastAsia="Book Antiqua" w:hAnsi="Book Antiqua" w:cs="Book Antiqua"/>
        </w:rPr>
        <w:t>. In addition, other researchers have shown that hypoxic cell-derived miR-135a-5p exosomes promote CRC liver metastasis by suppressing the kinase 2-</w:t>
      </w:r>
      <w:r>
        <w:rPr>
          <w:rFonts w:ascii="Book Antiqua" w:hAnsi="Book Antiqua"/>
        </w:rPr>
        <w:t xml:space="preserve"> </w:t>
      </w:r>
      <w:r>
        <w:rPr>
          <w:rFonts w:ascii="Book Antiqua" w:eastAsia="Book Antiqua" w:hAnsi="Book Antiqua" w:cs="Book Antiqua"/>
        </w:rPr>
        <w:t>YAP1-matrix metalloproteinase 7 axis</w:t>
      </w:r>
      <w:r>
        <w:rPr>
          <w:rFonts w:ascii="Book Antiqua" w:eastAsia="Book Antiqua" w:hAnsi="Book Antiqua" w:cs="Book Antiqua"/>
          <w:vertAlign w:val="superscript"/>
        </w:rPr>
        <w:t>[60]</w:t>
      </w:r>
      <w:r>
        <w:rPr>
          <w:rFonts w:ascii="Book Antiqua" w:eastAsia="Book Antiqua" w:hAnsi="Book Antiqua" w:cs="Book Antiqua"/>
        </w:rPr>
        <w:t>, and hypoxic cell-derived circ-133 exosomes promote cancer metastasis by acting on the miR-133a/GEF-H1/RhoA axis</w:t>
      </w:r>
      <w:r>
        <w:rPr>
          <w:rFonts w:ascii="Book Antiqua" w:eastAsia="Book Antiqua" w:hAnsi="Book Antiqua" w:cs="Book Antiqua"/>
          <w:vertAlign w:val="superscript"/>
        </w:rPr>
        <w:t>[61]</w:t>
      </w:r>
      <w:r>
        <w:rPr>
          <w:rFonts w:ascii="Book Antiqua" w:eastAsia="Book Antiqua" w:hAnsi="Book Antiqua" w:cs="Book Antiqua"/>
        </w:rPr>
        <w:t>.</w:t>
      </w:r>
    </w:p>
    <w:p w14:paraId="250DFE62" w14:textId="77777777" w:rsidR="000A3061" w:rsidRDefault="000A3061">
      <w:pPr>
        <w:spacing w:line="360" w:lineRule="auto"/>
        <w:jc w:val="both"/>
        <w:rPr>
          <w:rFonts w:ascii="Book Antiqua" w:hAnsi="Book Antiqua"/>
        </w:rPr>
      </w:pPr>
    </w:p>
    <w:p w14:paraId="24E4BB49"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CTCs and exosomes</w:t>
      </w:r>
    </w:p>
    <w:p w14:paraId="75F1B682" w14:textId="77777777" w:rsidR="000A3061" w:rsidRDefault="00000000">
      <w:pPr>
        <w:spacing w:line="360" w:lineRule="auto"/>
        <w:jc w:val="both"/>
        <w:rPr>
          <w:rFonts w:ascii="Book Antiqua" w:hAnsi="Book Antiqua"/>
        </w:rPr>
      </w:pPr>
      <w:r>
        <w:rPr>
          <w:rFonts w:ascii="Book Antiqua" w:eastAsia="Book Antiqua" w:hAnsi="Book Antiqua" w:cs="Book Antiqua"/>
        </w:rPr>
        <w:t>Clearly, only a small portion of CTCs can undergo metastasis, while multiple mechanisms in heterogeneous CTCs facilitate their metastatic potential by driving CTC interactions with immune and stromal cells</w:t>
      </w:r>
      <w:r>
        <w:rPr>
          <w:rFonts w:ascii="Book Antiqua" w:eastAsia="Book Antiqua" w:hAnsi="Book Antiqua" w:cs="Book Antiqua"/>
          <w:vertAlign w:val="superscript"/>
        </w:rPr>
        <w:t>[62]</w:t>
      </w:r>
      <w:r>
        <w:rPr>
          <w:rFonts w:ascii="Book Antiqua" w:eastAsia="Book Antiqua" w:hAnsi="Book Antiqua" w:cs="Book Antiqua"/>
        </w:rPr>
        <w:t xml:space="preserve">. First, Chiu </w:t>
      </w:r>
      <w:r>
        <w:rPr>
          <w:rFonts w:ascii="Book Antiqua" w:eastAsia="Book Antiqua" w:hAnsi="Book Antiqua" w:cs="Book Antiqua"/>
          <w:i/>
          <w:iCs/>
        </w:rPr>
        <w:t>et al</w:t>
      </w:r>
      <w:r>
        <w:rPr>
          <w:rFonts w:ascii="Book Antiqua" w:eastAsia="Book Antiqua" w:hAnsi="Book Antiqua" w:cs="Book Antiqua"/>
          <w:vertAlign w:val="superscript"/>
        </w:rPr>
        <w:t>[63]</w:t>
      </w:r>
      <w:r>
        <w:rPr>
          <w:rFonts w:ascii="Book Antiqua" w:eastAsia="Book Antiqua" w:hAnsi="Book Antiqua" w:cs="Book Antiqua"/>
        </w:rPr>
        <w:t xml:space="preserve"> showed that, compared with carcinoembryonic antigen (CEA) alone, CTC detection increases the power of the area under the receiver operating characteristic curve for predicting mCRC (0.7800 </w:t>
      </w:r>
      <w:r>
        <w:rPr>
          <w:rFonts w:ascii="Book Antiqua" w:eastAsia="Book Antiqua" w:hAnsi="Book Antiqua" w:cs="Book Antiqua"/>
          <w:i/>
          <w:iCs/>
        </w:rPr>
        <w:t>vs</w:t>
      </w:r>
      <w:r>
        <w:rPr>
          <w:rFonts w:ascii="Book Antiqua" w:eastAsia="Book Antiqua" w:hAnsi="Book Antiqua" w:cs="Book Antiqua"/>
        </w:rPr>
        <w:t xml:space="preserve"> 0.8378). Surprisingly, Le </w:t>
      </w:r>
      <w:r>
        <w:rPr>
          <w:rFonts w:ascii="Book Antiqua" w:eastAsia="Book Antiqua" w:hAnsi="Book Antiqua" w:cs="Book Antiqua"/>
          <w:i/>
          <w:iCs/>
        </w:rPr>
        <w:t>et al</w:t>
      </w:r>
      <w:r>
        <w:rPr>
          <w:rFonts w:ascii="Book Antiqua" w:eastAsia="Book Antiqua" w:hAnsi="Book Antiqua" w:cs="Book Antiqua"/>
          <w:vertAlign w:val="superscript"/>
        </w:rPr>
        <w:t>[64]</w:t>
      </w:r>
      <w:r>
        <w:rPr>
          <w:rFonts w:ascii="Book Antiqua" w:eastAsia="Book Antiqua" w:hAnsi="Book Antiqua" w:cs="Book Antiqua"/>
        </w:rPr>
        <w:t xml:space="preserve"> showed that CTCs were not associated with the size or number of metastases, as determined after previously administered drug therapy, or disease-free survival (DFS). Only tumor marker-positive thoracic lymph nodes were associated with the presence of CTCs in pulmonary venous blood, and CTCs were present in all patients (Fisher’s exact test, </w:t>
      </w:r>
      <w:r>
        <w:rPr>
          <w:rFonts w:ascii="Book Antiqua" w:eastAsia="Book Antiqua" w:hAnsi="Book Antiqua" w:cs="Book Antiqua"/>
          <w:i/>
          <w:iCs/>
        </w:rPr>
        <w:t>P</w:t>
      </w:r>
      <w:r>
        <w:rPr>
          <w:rFonts w:ascii="Book Antiqua" w:eastAsia="Book Antiqua" w:hAnsi="Book Antiqua" w:cs="Book Antiqua"/>
        </w:rPr>
        <w:t xml:space="preserve"> = 0.02). Moreover, researchers have shown that the results of overall and DFS analyses are not different regardless of whether CTC marker expression or CTC number is considered</w:t>
      </w:r>
      <w:r>
        <w:rPr>
          <w:rFonts w:ascii="Book Antiqua" w:eastAsia="Book Antiqua" w:hAnsi="Book Antiqua" w:cs="Book Antiqua"/>
          <w:vertAlign w:val="superscript"/>
        </w:rPr>
        <w:t>[64]</w:t>
      </w:r>
      <w:r>
        <w:rPr>
          <w:rFonts w:ascii="Book Antiqua" w:eastAsia="Book Antiqua" w:hAnsi="Book Antiqua" w:cs="Book Antiqua"/>
        </w:rPr>
        <w:t xml:space="preserve">. However, some studies have shown that heterogeneous CTCs promote metastasis. Gkountela </w:t>
      </w:r>
      <w:r>
        <w:rPr>
          <w:rFonts w:ascii="Book Antiqua" w:eastAsia="Book Antiqua" w:hAnsi="Book Antiqua" w:cs="Book Antiqua"/>
          <w:i/>
          <w:iCs/>
        </w:rPr>
        <w:t>et al</w:t>
      </w:r>
      <w:r>
        <w:rPr>
          <w:rFonts w:ascii="Book Antiqua" w:eastAsia="Book Antiqua" w:hAnsi="Book Antiqua" w:cs="Book Antiqua"/>
          <w:vertAlign w:val="superscript"/>
        </w:rPr>
        <w:t>[65]</w:t>
      </w:r>
      <w:r>
        <w:rPr>
          <w:rFonts w:ascii="Book Antiqua" w:eastAsia="Book Antiqua" w:hAnsi="Book Antiqua" w:cs="Book Antiqua"/>
        </w:rPr>
        <w:t xml:space="preserve"> demonstrated that CTC clustering altered DNA methylation, specifically hypomethylation of the binding sites of OCT4, NANOG, SOX2, and SIN3A, which is similar to what has been observed in embryonic stem cells, and promoted stemness and metastasis. Hamid </w:t>
      </w:r>
      <w:r>
        <w:rPr>
          <w:rFonts w:ascii="Book Antiqua" w:eastAsia="Book Antiqua" w:hAnsi="Book Antiqua" w:cs="Book Antiqua"/>
          <w:i/>
          <w:iCs/>
        </w:rPr>
        <w:t>et al</w:t>
      </w:r>
      <w:r>
        <w:rPr>
          <w:rFonts w:ascii="Book Antiqua" w:eastAsia="Book Antiqua" w:hAnsi="Book Antiqua" w:cs="Book Antiqua"/>
          <w:vertAlign w:val="superscript"/>
        </w:rPr>
        <w:t>[66]</w:t>
      </w:r>
      <w:r>
        <w:rPr>
          <w:rFonts w:ascii="Book Antiqua" w:eastAsia="Book Antiqua" w:hAnsi="Book Antiqua" w:cs="Book Antiqua"/>
        </w:rPr>
        <w:t xml:space="preserve"> showed that the potential target gene AKT1 was expressed at a significantly (</w:t>
      </w:r>
      <w:r>
        <w:rPr>
          <w:rFonts w:ascii="Book Antiqua" w:eastAsia="Book Antiqua" w:hAnsi="Book Antiqua" w:cs="Book Antiqua"/>
          <w:i/>
          <w:iCs/>
        </w:rPr>
        <w:t>P</w:t>
      </w:r>
      <w:r>
        <w:rPr>
          <w:rFonts w:ascii="Book Antiqua" w:eastAsia="Book Antiqua" w:hAnsi="Book Antiqua" w:cs="Book Antiqua"/>
        </w:rPr>
        <w:t xml:space="preserve"> = 0.0129) greater level in single CTCs from Stage III or IV samples than in early stage samples.</w:t>
      </w:r>
    </w:p>
    <w:p w14:paraId="54F39502" w14:textId="77777777" w:rsidR="000A3061" w:rsidRDefault="00000000">
      <w:pPr>
        <w:spacing w:line="360" w:lineRule="auto"/>
        <w:ind w:firstLineChars="100" w:firstLine="240"/>
        <w:jc w:val="both"/>
        <w:rPr>
          <w:rFonts w:ascii="Book Antiqua" w:hAnsi="Book Antiqua"/>
        </w:rPr>
      </w:pPr>
      <w:r>
        <w:rPr>
          <w:rFonts w:ascii="Book Antiqua" w:eastAsia="Book Antiqua" w:hAnsi="Book Antiqua" w:cs="Book Antiqua"/>
        </w:rPr>
        <w:t>Exosomes, as primary communication mediators, are extracellular vesicles with multiple biological functions</w:t>
      </w:r>
      <w:r>
        <w:rPr>
          <w:rFonts w:ascii="Book Antiqua" w:eastAsia="Book Antiqua" w:hAnsi="Book Antiqua" w:cs="Book Antiqua"/>
          <w:vertAlign w:val="superscript"/>
        </w:rPr>
        <w:t>[67]</w:t>
      </w:r>
      <w:r>
        <w:rPr>
          <w:rFonts w:ascii="Book Antiqua" w:eastAsia="Book Antiqua" w:hAnsi="Book Antiqua" w:cs="Book Antiqua"/>
        </w:rPr>
        <w:t>.</w:t>
      </w:r>
      <w:r>
        <w:rPr>
          <w:rFonts w:ascii="Book Antiqua" w:eastAsia="Book Antiqua" w:hAnsi="Book Antiqua" w:cs="Book Antiqua"/>
          <w:b/>
          <w:bCs/>
        </w:rPr>
        <w:t xml:space="preserve"> </w:t>
      </w:r>
      <w:r>
        <w:rPr>
          <w:rFonts w:ascii="Book Antiqua" w:eastAsia="Book Antiqua" w:hAnsi="Book Antiqua" w:cs="Book Antiqua"/>
        </w:rPr>
        <w:t>Exosomes play important roles in the development of mCRC, including enhancing tumorigenicity; promoting angiogenesis, cancer cell proliferation, and endothelial cell migration; and establishing an immunosuppressive environment</w:t>
      </w:r>
      <w:r>
        <w:rPr>
          <w:rFonts w:ascii="Book Antiqua" w:eastAsia="Book Antiqua" w:hAnsi="Book Antiqua" w:cs="Book Antiqua"/>
          <w:vertAlign w:val="superscript"/>
        </w:rPr>
        <w:t>[68]</w:t>
      </w:r>
      <w:r>
        <w:rPr>
          <w:rFonts w:ascii="Book Antiqua" w:eastAsia="Book Antiqua" w:hAnsi="Book Antiqua" w:cs="Book Antiqua"/>
        </w:rPr>
        <w:t>. Several studies have demonstrated that tumor-derived exosomes and their functions in CRC metastasis. For example, miR-27b-3p-enriched exosomes increase the permeability of blood vessels and facilitate CTC generation</w:t>
      </w:r>
      <w:r>
        <w:rPr>
          <w:rFonts w:ascii="Book Antiqua" w:eastAsia="Book Antiqua" w:hAnsi="Book Antiqua" w:cs="Book Antiqua"/>
          <w:vertAlign w:val="superscript"/>
        </w:rPr>
        <w:t>[69]</w:t>
      </w:r>
      <w:r>
        <w:rPr>
          <w:rFonts w:ascii="Book Antiqua" w:eastAsia="Book Antiqua" w:hAnsi="Book Antiqua" w:cs="Book Antiqua"/>
        </w:rPr>
        <w:t>, and miR-25-3p-, miR-130b-3p-, miR-425-5p-, miR-934-, and RPPH1-enriched exosomes induce M2 polarization of macrophages and promote cancer metastasis</w:t>
      </w:r>
      <w:r>
        <w:rPr>
          <w:rFonts w:ascii="Book Antiqua" w:eastAsia="Book Antiqua" w:hAnsi="Book Antiqua" w:cs="Book Antiqua"/>
          <w:vertAlign w:val="superscript"/>
        </w:rPr>
        <w:t>[29,70,71]</w:t>
      </w:r>
      <w:r>
        <w:rPr>
          <w:rFonts w:ascii="Book Antiqua" w:eastAsia="Book Antiqua" w:hAnsi="Book Antiqua" w:cs="Book Antiqua"/>
        </w:rPr>
        <w:t>. In addition, miR-200b-enriched exosomes are transferred to a targeted cell to increase CRC cell proliferation by directly targeting the 3′-UTRs of p27 and RND3</w:t>
      </w:r>
      <w:r>
        <w:rPr>
          <w:rFonts w:ascii="Book Antiqua" w:eastAsia="Book Antiqua" w:hAnsi="Book Antiqua" w:cs="Book Antiqua"/>
          <w:vertAlign w:val="superscript"/>
        </w:rPr>
        <w:t>[72]</w:t>
      </w:r>
      <w:r>
        <w:rPr>
          <w:rFonts w:ascii="Book Antiqua" w:eastAsia="Book Antiqua" w:hAnsi="Book Antiqua" w:cs="Book Antiqua"/>
        </w:rPr>
        <w:t>, and ANGPTLI-enriched exosomes reprogram Kupffer cells and decrease MMP9 expression to hinder vascular leakiness in liver premetastatic niches</w:t>
      </w:r>
      <w:r>
        <w:rPr>
          <w:rFonts w:ascii="Book Antiqua" w:eastAsia="Book Antiqua" w:hAnsi="Book Antiqua" w:cs="Book Antiqua"/>
          <w:vertAlign w:val="superscript"/>
        </w:rPr>
        <w:t>[73]</w:t>
      </w:r>
      <w:r>
        <w:rPr>
          <w:rFonts w:ascii="Book Antiqua" w:eastAsia="Book Antiqua" w:hAnsi="Book Antiqua" w:cs="Book Antiqua"/>
        </w:rPr>
        <w:t>. HSPC11-enriched exosomes reprogram lipid metabolism in cancer-associated fibroblasts (CAFs) to facilitate premetastatic niche formation and liver metastasis</w:t>
      </w:r>
      <w:r>
        <w:rPr>
          <w:rFonts w:ascii="Book Antiqua" w:eastAsia="Book Antiqua" w:hAnsi="Book Antiqua" w:cs="Book Antiqua"/>
          <w:vertAlign w:val="superscript"/>
        </w:rPr>
        <w:t>[74]</w:t>
      </w:r>
      <w:r>
        <w:rPr>
          <w:rFonts w:ascii="Book Antiqua" w:eastAsia="Book Antiqua" w:hAnsi="Book Antiqua" w:cs="Book Antiqua"/>
        </w:rPr>
        <w:t>. circLONP2 exosomes modulate miR-17-5p intracellular maturation and intercellular transfer and are subsequently internalized by adjacent cells to increase their metastatic ability</w:t>
      </w:r>
      <w:r>
        <w:rPr>
          <w:rFonts w:ascii="Book Antiqua" w:eastAsia="Book Antiqua" w:hAnsi="Book Antiqua" w:cs="Book Antiqua"/>
          <w:vertAlign w:val="superscript"/>
        </w:rPr>
        <w:t>[75]</w:t>
      </w:r>
      <w:r>
        <w:rPr>
          <w:rFonts w:ascii="Book Antiqua" w:eastAsia="Book Antiqua" w:hAnsi="Book Antiqua" w:cs="Book Antiqua"/>
        </w:rPr>
        <w:t>, and circPACRGL exosomes play an oncogenic role in CRC proliferation and metastasis</w:t>
      </w:r>
      <w:r>
        <w:rPr>
          <w:rFonts w:ascii="Book Antiqua" w:eastAsia="Book Antiqua" w:hAnsi="Book Antiqua" w:cs="Book Antiqua"/>
          <w:vertAlign w:val="superscript"/>
        </w:rPr>
        <w:t>[76]</w:t>
      </w:r>
      <w:r>
        <w:rPr>
          <w:rFonts w:ascii="Book Antiqua" w:eastAsia="Book Antiqua" w:hAnsi="Book Antiqua" w:cs="Book Antiqua"/>
        </w:rPr>
        <w:t>.</w:t>
      </w:r>
    </w:p>
    <w:p w14:paraId="1FA84A44"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In addition to tumor cell-derived exosomes, nontumor cell-derived exosomes also play roles in CRC metastasis. Hu </w:t>
      </w:r>
      <w:r>
        <w:rPr>
          <w:rFonts w:ascii="Book Antiqua" w:eastAsia="Book Antiqua" w:hAnsi="Book Antiqua" w:cs="Book Antiqua"/>
          <w:i/>
          <w:iCs/>
        </w:rPr>
        <w:t>et al</w:t>
      </w:r>
      <w:r>
        <w:rPr>
          <w:rFonts w:ascii="Book Antiqua" w:eastAsia="Book Antiqua" w:hAnsi="Book Antiqua" w:cs="Book Antiqua"/>
          <w:vertAlign w:val="superscript"/>
        </w:rPr>
        <w:t>[77]</w:t>
      </w:r>
      <w:r>
        <w:rPr>
          <w:rFonts w:ascii="Book Antiqua" w:eastAsia="Book Antiqua" w:hAnsi="Book Antiqua" w:cs="Book Antiqua"/>
        </w:rPr>
        <w:t xml:space="preserve"> showed that CAF-derived miR-92a-3p exosomes promoted cell stemness, the EMT, metastasis and chemoresistance in CRC cells by activating the Wnt/beta-catenin signaling pathway and inhibiting mitochondrial apoptosis through FBXW7 and MOAP1 inhibition. Ren </w:t>
      </w:r>
      <w:r>
        <w:rPr>
          <w:rFonts w:ascii="Book Antiqua" w:eastAsia="Book Antiqua" w:hAnsi="Book Antiqua" w:cs="Book Antiqua"/>
          <w:i/>
          <w:iCs/>
        </w:rPr>
        <w:t>et al</w:t>
      </w:r>
      <w:r>
        <w:rPr>
          <w:rFonts w:ascii="Book Antiqua" w:eastAsia="Book Antiqua" w:hAnsi="Book Antiqua" w:cs="Book Antiqua"/>
          <w:vertAlign w:val="superscript"/>
        </w:rPr>
        <w:t>[78]</w:t>
      </w:r>
      <w:r>
        <w:rPr>
          <w:rFonts w:ascii="Book Antiqua" w:eastAsia="Book Antiqua" w:hAnsi="Book Antiqua" w:cs="Book Antiqua"/>
        </w:rPr>
        <w:t xml:space="preserve"> also showed the same functions in CAF-derived H19 exosomes by activating the Wnt/beta-catenin signaling pathway and acting as competing endogenous RNA sponges for miR-141, while miR-141 inhibited the stemness of CRC cells. In addition, several researchers have initiated exosome therapy studies with CRC samples. MiR-155-enriched exosomes, also called dendritic cell (DC) immunotherapy, induce antitumor immune responses and prolong survival in a CRC mouse model by increasing the expression of principal cytokines</w:t>
      </w:r>
      <w:r>
        <w:rPr>
          <w:rFonts w:ascii="Book Antiqua" w:eastAsia="Book Antiqua" w:hAnsi="Book Antiqua" w:cs="Book Antiqua"/>
          <w:vertAlign w:val="superscript"/>
        </w:rPr>
        <w:t>[79]</w:t>
      </w:r>
      <w:r>
        <w:rPr>
          <w:rFonts w:ascii="Book Antiqua" w:eastAsia="Book Antiqua" w:hAnsi="Book Antiqua" w:cs="Book Antiqua"/>
        </w:rPr>
        <w:t>.</w:t>
      </w:r>
    </w:p>
    <w:p w14:paraId="1635D2B2" w14:textId="77777777" w:rsidR="000A3061" w:rsidRDefault="000A3061">
      <w:pPr>
        <w:spacing w:line="360" w:lineRule="auto"/>
        <w:jc w:val="both"/>
        <w:rPr>
          <w:rFonts w:ascii="Book Antiqua" w:hAnsi="Book Antiqua"/>
        </w:rPr>
      </w:pPr>
    </w:p>
    <w:p w14:paraId="29E0AEC9" w14:textId="77777777" w:rsidR="000A3061" w:rsidRDefault="00000000">
      <w:pPr>
        <w:spacing w:line="360" w:lineRule="auto"/>
        <w:jc w:val="both"/>
        <w:rPr>
          <w:rFonts w:ascii="Book Antiqua" w:hAnsi="Book Antiqua"/>
          <w:u w:val="single"/>
        </w:rPr>
      </w:pPr>
      <w:r>
        <w:rPr>
          <w:rFonts w:ascii="Book Antiqua" w:eastAsia="Book Antiqua" w:hAnsi="Book Antiqua" w:cs="Book Antiqua"/>
          <w:b/>
          <w:bCs/>
          <w:u w:val="single"/>
        </w:rPr>
        <w:t>MCRC AND IMMUNITY</w:t>
      </w:r>
    </w:p>
    <w:p w14:paraId="2B9E30BC" w14:textId="77777777" w:rsidR="000A3061" w:rsidRDefault="00000000">
      <w:pPr>
        <w:spacing w:line="360" w:lineRule="auto"/>
        <w:jc w:val="both"/>
        <w:rPr>
          <w:rFonts w:ascii="Book Antiqua" w:hAnsi="Book Antiqua"/>
        </w:rPr>
      </w:pPr>
      <w:r>
        <w:rPr>
          <w:rFonts w:ascii="Book Antiqua" w:eastAsia="Book Antiqua" w:hAnsi="Book Antiqua" w:cs="Book Antiqua"/>
        </w:rPr>
        <w:t>The cancer-immunity cycle includes neoantigen generation during tumorigenesis, DC processing and antigen presentation, which activate effector T cells that respond to cancer antigens and kill targeted cancer cells (Figure 3). However, in cancer patients, the cancer-immunity cycle is not optimal due to low neoantigen levels and subsequent failure to activate T cells or suppress immunity</w:t>
      </w:r>
      <w:r>
        <w:rPr>
          <w:rFonts w:ascii="Book Antiqua" w:eastAsia="Book Antiqua" w:hAnsi="Book Antiqua" w:cs="Book Antiqua"/>
          <w:vertAlign w:val="superscript"/>
        </w:rPr>
        <w:t>[80]</w:t>
      </w:r>
      <w:r>
        <w:rPr>
          <w:rFonts w:ascii="Book Antiqua" w:eastAsia="Book Antiqua" w:hAnsi="Book Antiqua" w:cs="Book Antiqua"/>
        </w:rPr>
        <w:t>. It is widely accepted that immune cells in the tumor microenvironment (TME) significantly affect the progression of CRC at the primary tumor site and metastatic sites</w:t>
      </w:r>
      <w:r>
        <w:rPr>
          <w:rFonts w:ascii="Book Antiqua" w:eastAsia="Book Antiqua" w:hAnsi="Book Antiqua" w:cs="Book Antiqua"/>
          <w:vertAlign w:val="superscript"/>
        </w:rPr>
        <w:t>[81]</w:t>
      </w:r>
      <w:r>
        <w:rPr>
          <w:rFonts w:ascii="Book Antiqua" w:eastAsia="Book Antiqua" w:hAnsi="Book Antiqua" w:cs="Book Antiqua"/>
        </w:rPr>
        <w:t>. For CRC patients, the immunoscore, which is based on quantified immune cell infiltration, has been shown to be superior to the current staging system</w:t>
      </w:r>
      <w:r>
        <w:rPr>
          <w:rFonts w:ascii="Book Antiqua" w:eastAsia="Book Antiqua" w:hAnsi="Book Antiqua" w:cs="Book Antiqua"/>
          <w:vertAlign w:val="superscript"/>
        </w:rPr>
        <w:t>[82,83]</w:t>
      </w:r>
      <w:r>
        <w:rPr>
          <w:rFonts w:ascii="Book Antiqua" w:eastAsia="Book Antiqua" w:hAnsi="Book Antiqua" w:cs="Book Antiqua"/>
        </w:rPr>
        <w:t>, and immunoscore diagnostic kits have been approved for CRC patients</w:t>
      </w:r>
      <w:r>
        <w:rPr>
          <w:rFonts w:ascii="Book Antiqua" w:eastAsia="Book Antiqua" w:hAnsi="Book Antiqua" w:cs="Book Antiqua"/>
          <w:vertAlign w:val="superscript"/>
        </w:rPr>
        <w:t>[84]</w:t>
      </w:r>
      <w:r>
        <w:rPr>
          <w:rFonts w:ascii="Book Antiqua" w:eastAsia="Book Antiqua" w:hAnsi="Book Antiqua" w:cs="Book Antiqua"/>
        </w:rPr>
        <w:t xml:space="preserve"> (Figure 3).</w:t>
      </w:r>
    </w:p>
    <w:p w14:paraId="6EC05C5C" w14:textId="77777777" w:rsidR="000A3061" w:rsidRDefault="000A3061">
      <w:pPr>
        <w:spacing w:line="360" w:lineRule="auto"/>
        <w:jc w:val="both"/>
        <w:rPr>
          <w:rFonts w:ascii="Book Antiqua" w:hAnsi="Book Antiqua"/>
        </w:rPr>
      </w:pPr>
    </w:p>
    <w:p w14:paraId="64A41ADF"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innate immunity</w:t>
      </w:r>
    </w:p>
    <w:p w14:paraId="06A7DAF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M0 macrophages are polarized to the M1 subtype through the action of LPS and IFN-γ or to the M2 subtype after induction by IL-4, IL-10, and IL-13</w:t>
      </w:r>
      <w:r>
        <w:rPr>
          <w:rFonts w:ascii="Book Antiqua" w:eastAsia="Book Antiqua" w:hAnsi="Book Antiqua" w:cs="Book Antiqua"/>
          <w:vertAlign w:val="superscript"/>
        </w:rPr>
        <w:t>[85-87]</w:t>
      </w:r>
      <w:r>
        <w:rPr>
          <w:rFonts w:ascii="Book Antiqua" w:eastAsia="Book Antiqua" w:hAnsi="Book Antiqua" w:cs="Book Antiqua"/>
        </w:rPr>
        <w:t>. Studies have shown that the M1 subtype can increase immunity by recruiting CTLs and inducing cancer cell apoptosis through phagocytosis, antibody dependent cell mediated cytotoxicity, and the release of TNF and nitric oxide. In contrast, the M2 subtype leads to angiogenesis, the EMT, and immunosuppression to promote CRC metastasis</w:t>
      </w:r>
      <w:r>
        <w:rPr>
          <w:rFonts w:ascii="Book Antiqua" w:eastAsia="Book Antiqua" w:hAnsi="Book Antiqua" w:cs="Book Antiqua"/>
          <w:vertAlign w:val="superscript"/>
        </w:rPr>
        <w:t>[88]</w:t>
      </w:r>
      <w:r>
        <w:rPr>
          <w:rFonts w:ascii="Book Antiqua" w:eastAsia="Book Antiqua" w:hAnsi="Book Antiqua" w:cs="Book Antiqua"/>
        </w:rPr>
        <w:t>. Interestingly, the number of circulating or tumor-infiltrating NK cells is inversely associated with metastasis in CRC patients</w:t>
      </w:r>
      <w:r>
        <w:rPr>
          <w:rFonts w:ascii="Book Antiqua" w:eastAsia="Book Antiqua" w:hAnsi="Book Antiqua" w:cs="Book Antiqua"/>
          <w:vertAlign w:val="superscript"/>
        </w:rPr>
        <w:t>[89]</w:t>
      </w:r>
      <w:r>
        <w:rPr>
          <w:rFonts w:ascii="Book Antiqua" w:eastAsia="Book Antiqua" w:hAnsi="Book Antiqua" w:cs="Book Antiqua"/>
        </w:rPr>
        <w:t>. However, another study showed that NK cells rarely infiltrated tumors, but a high number of tumor-associated NK cells correlated with good clinical outcomes in CRC patients</w:t>
      </w:r>
      <w:r>
        <w:rPr>
          <w:rFonts w:ascii="Book Antiqua" w:eastAsia="Book Antiqua" w:hAnsi="Book Antiqua" w:cs="Book Antiqua"/>
          <w:vertAlign w:val="superscript"/>
        </w:rPr>
        <w:t>[90]</w:t>
      </w:r>
      <w:r>
        <w:rPr>
          <w:rFonts w:ascii="Book Antiqua" w:eastAsia="Book Antiqua" w:hAnsi="Book Antiqua" w:cs="Book Antiqua"/>
        </w:rPr>
        <w:t>. Moreover, the number of tumor-infiltrating NKT cells was positively correlated with good clinical outcomes in CRC patients</w:t>
      </w:r>
      <w:r>
        <w:rPr>
          <w:rFonts w:ascii="Book Antiqua" w:eastAsia="Book Antiqua" w:hAnsi="Book Antiqua" w:cs="Book Antiqua"/>
          <w:vertAlign w:val="superscript"/>
        </w:rPr>
        <w:t>[91]</w:t>
      </w:r>
      <w:r>
        <w:rPr>
          <w:rFonts w:ascii="Book Antiqua" w:eastAsia="Book Antiqua" w:hAnsi="Book Antiqua" w:cs="Book Antiqua"/>
        </w:rPr>
        <w:t>.</w:t>
      </w:r>
    </w:p>
    <w:p w14:paraId="70881C88" w14:textId="77777777" w:rsidR="000A3061" w:rsidRDefault="000A3061">
      <w:pPr>
        <w:spacing w:line="360" w:lineRule="auto"/>
        <w:jc w:val="both"/>
        <w:rPr>
          <w:rFonts w:ascii="Book Antiqua" w:hAnsi="Book Antiqua"/>
        </w:rPr>
      </w:pPr>
    </w:p>
    <w:p w14:paraId="30BB6F57"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adaptive immunity</w:t>
      </w:r>
    </w:p>
    <w:p w14:paraId="21AB1FAB" w14:textId="77777777" w:rsidR="000A3061" w:rsidRDefault="00000000">
      <w:pPr>
        <w:spacing w:line="360" w:lineRule="auto"/>
        <w:jc w:val="both"/>
        <w:rPr>
          <w:rFonts w:ascii="Book Antiqua" w:hAnsi="Book Antiqua"/>
        </w:rPr>
      </w:pPr>
      <w:r>
        <w:rPr>
          <w:rFonts w:ascii="Book Antiqua" w:eastAsia="Book Antiqua" w:hAnsi="Book Antiqua" w:cs="Book Antiqua"/>
        </w:rPr>
        <w:t>By presenting tumor antigens, DCs induce specific polarization of T lymphocytes into different subsets of cells. However, the mechanisms by which these DCs enhance invasion are unclear. However, as observed in CRC, tumor-infiltrating DCs exhibit distinct patterns of tumor infiltration according to their maturation status, which can partially explain their highly variable prognostic value</w:t>
      </w:r>
      <w:r>
        <w:rPr>
          <w:rFonts w:ascii="Book Antiqua" w:eastAsia="Book Antiqua" w:hAnsi="Book Antiqua" w:cs="Book Antiqua"/>
          <w:vertAlign w:val="superscript"/>
        </w:rPr>
        <w:t>[92]</w:t>
      </w:r>
      <w:r>
        <w:rPr>
          <w:rFonts w:ascii="Book Antiqua" w:eastAsia="Book Antiqua" w:hAnsi="Book Antiqua" w:cs="Book Antiqua"/>
        </w:rPr>
        <w:t>. One study showed DC-related outcomes in which an increased density of CD208-positive DCs was associated with worsened disease outcomes in CRC patients</w:t>
      </w:r>
      <w:r>
        <w:rPr>
          <w:rFonts w:ascii="Book Antiqua" w:eastAsia="Book Antiqua" w:hAnsi="Book Antiqua" w:cs="Book Antiqua"/>
          <w:vertAlign w:val="superscript"/>
        </w:rPr>
        <w:t>[83]</w:t>
      </w:r>
      <w:r>
        <w:rPr>
          <w:rFonts w:ascii="Book Antiqua" w:eastAsia="Book Antiqua" w:hAnsi="Book Antiqua" w:cs="Book Antiqua"/>
        </w:rPr>
        <w:t>.</w:t>
      </w:r>
    </w:p>
    <w:p w14:paraId="3CEAAC67" w14:textId="77777777" w:rsidR="000A3061" w:rsidRDefault="00000000">
      <w:pPr>
        <w:spacing w:line="360" w:lineRule="auto"/>
        <w:ind w:firstLineChars="100" w:firstLine="240"/>
        <w:jc w:val="both"/>
        <w:rPr>
          <w:rFonts w:ascii="Book Antiqua" w:hAnsi="Book Antiqua"/>
        </w:rPr>
      </w:pPr>
      <w:r>
        <w:rPr>
          <w:rFonts w:ascii="Book Antiqua" w:eastAsia="Book Antiqua" w:hAnsi="Book Antiqua" w:cs="Book Antiqua"/>
        </w:rPr>
        <w:t>CTLs are important components of antitumor immunity, and the number of CTLs among infiltrating cells correlates with low recurrence in CRC patients</w:t>
      </w:r>
      <w:r>
        <w:rPr>
          <w:rFonts w:ascii="Book Antiqua" w:eastAsia="Book Antiqua" w:hAnsi="Book Antiqua" w:cs="Book Antiqua"/>
          <w:vertAlign w:val="superscript"/>
        </w:rPr>
        <w:t>[93,94]</w:t>
      </w:r>
      <w:r>
        <w:rPr>
          <w:rFonts w:ascii="Book Antiqua" w:eastAsia="Book Antiqua" w:hAnsi="Book Antiqua" w:cs="Book Antiqua"/>
        </w:rPr>
        <w:t xml:space="preserve">. Similarly, Lazarus </w:t>
      </w:r>
      <w:r>
        <w:rPr>
          <w:rFonts w:ascii="Book Antiqua" w:eastAsia="Book Antiqua" w:hAnsi="Book Antiqua" w:cs="Book Antiqua"/>
          <w:i/>
          <w:iCs/>
        </w:rPr>
        <w:t>et al</w:t>
      </w:r>
      <w:r>
        <w:rPr>
          <w:rFonts w:ascii="Book Antiqua" w:eastAsia="Book Antiqua" w:hAnsi="Book Antiqua" w:cs="Book Antiqua"/>
          <w:vertAlign w:val="superscript"/>
        </w:rPr>
        <w:t>[95]</w:t>
      </w:r>
      <w:r>
        <w:rPr>
          <w:rFonts w:ascii="Book Antiqua" w:eastAsia="Book Antiqua" w:hAnsi="Book Antiqua" w:cs="Book Antiqua"/>
        </w:rPr>
        <w:t xml:space="preserve"> showed that an increased number of CTLs is more frequently associated with epithelial cells in the tumor microenvironment of MMR-deficient mCRC and prolongs overall survival. Bindea </w:t>
      </w:r>
      <w:r>
        <w:rPr>
          <w:rFonts w:ascii="Book Antiqua" w:eastAsia="Book Antiqua" w:hAnsi="Book Antiqua" w:cs="Book Antiqua"/>
          <w:i/>
          <w:iCs/>
        </w:rPr>
        <w:t>et al</w:t>
      </w:r>
      <w:r>
        <w:rPr>
          <w:rFonts w:ascii="Book Antiqua" w:eastAsia="Book Antiqua" w:hAnsi="Book Antiqua" w:cs="Book Antiqua"/>
          <w:vertAlign w:val="superscript"/>
        </w:rPr>
        <w:t>[96]</w:t>
      </w:r>
      <w:r>
        <w:rPr>
          <w:rFonts w:ascii="Book Antiqua" w:eastAsia="Book Antiqua" w:hAnsi="Book Antiqua" w:cs="Book Antiqua"/>
        </w:rPr>
        <w:t xml:space="preserve"> reported that increased T-cell infiltration was associated with reduced metastasis, which likely reflects ongoing adaptive immune pressure on tumor development and spread. In general, CD4+ helper T cells modulate the positive effects of the cancer immune response by secreting cytokines</w:t>
      </w:r>
      <w:r>
        <w:rPr>
          <w:rFonts w:ascii="Book Antiqua" w:eastAsia="Book Antiqua" w:hAnsi="Book Antiqua" w:cs="Book Antiqua"/>
          <w:vertAlign w:val="superscript"/>
        </w:rPr>
        <w:t>[97]</w:t>
      </w:r>
      <w:r>
        <w:rPr>
          <w:rFonts w:ascii="Book Antiqua" w:eastAsia="Book Antiqua" w:hAnsi="Book Antiqua" w:cs="Book Antiqua"/>
        </w:rPr>
        <w:t>. T-helper 1 (TH1) cells enhance CTL effectors, and T-helper 17 (TH17) cells exhibit immunosuppressive effects, leading to poor clinical outcomes</w:t>
      </w:r>
      <w:r>
        <w:rPr>
          <w:rFonts w:ascii="Book Antiqua" w:eastAsia="Book Antiqua" w:hAnsi="Book Antiqua" w:cs="Book Antiqua"/>
          <w:vertAlign w:val="superscript"/>
        </w:rPr>
        <w:t>[98]</w:t>
      </w:r>
      <w:r>
        <w:rPr>
          <w:rFonts w:ascii="Book Antiqua" w:eastAsia="Book Antiqua" w:hAnsi="Book Antiqua" w:cs="Book Antiqua"/>
        </w:rPr>
        <w:t xml:space="preserve">. Amicarella </w:t>
      </w:r>
      <w:r>
        <w:rPr>
          <w:rFonts w:ascii="Book Antiqua" w:eastAsia="Book Antiqua" w:hAnsi="Book Antiqua" w:cs="Book Antiqua"/>
          <w:i/>
          <w:iCs/>
        </w:rPr>
        <w:t>et al</w:t>
      </w:r>
      <w:r>
        <w:rPr>
          <w:rFonts w:ascii="Book Antiqua" w:eastAsia="Book Antiqua" w:hAnsi="Book Antiqua" w:cs="Book Antiqua"/>
          <w:vertAlign w:val="superscript"/>
        </w:rPr>
        <w:t>[99]</w:t>
      </w:r>
      <w:r>
        <w:rPr>
          <w:rFonts w:ascii="Book Antiqua" w:eastAsia="Book Antiqua" w:hAnsi="Book Antiqua" w:cs="Book Antiqua"/>
        </w:rPr>
        <w:t xml:space="preserve"> demonstrated that IL-17 derived from TH17 cells promoted the production of protumor genetic factors, while IL-8 derived from TH17 cells induced cytotoxic CCR5+CCR6+CD8+ T-cell infiltration into the CRC tumor microenvironment and recruited neutrophils, CC-chemokine ligand 5 (CCL5), and CCL20. Moreover, two studies have shown that, in mCRC samples, the T-cell density is lower and the B-cell density is greater than those in nonmCRC tumor microenvironments</w:t>
      </w:r>
      <w:r>
        <w:rPr>
          <w:rFonts w:ascii="Book Antiqua" w:eastAsia="Book Antiqua" w:hAnsi="Book Antiqua" w:cs="Book Antiqua"/>
          <w:vertAlign w:val="superscript"/>
        </w:rPr>
        <w:t>[100,101]</w:t>
      </w:r>
      <w:r>
        <w:rPr>
          <w:rFonts w:ascii="Book Antiqua" w:eastAsia="Book Antiqua" w:hAnsi="Book Antiqua" w:cs="Book Antiqua"/>
        </w:rPr>
        <w:t>.</w:t>
      </w:r>
    </w:p>
    <w:p w14:paraId="11E4B7A0" w14:textId="77777777" w:rsidR="000A3061"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Regulatory T cells (Tregs) characterized by CD25 and FoxP3 expression are considered potent mediators of immunosuppression. However, in CRC, Tregs have complex effects on the TME, and evidence suggests that their protumorigenic and antitumorigenic functions are context specific</w:t>
      </w:r>
      <w:r>
        <w:rPr>
          <w:rFonts w:ascii="Book Antiqua" w:eastAsia="Book Antiqua" w:hAnsi="Book Antiqua" w:cs="Book Antiqua"/>
          <w:vertAlign w:val="superscript"/>
        </w:rPr>
        <w:t>[81]</w:t>
      </w:r>
      <w:r>
        <w:rPr>
          <w:rFonts w:ascii="Book Antiqua" w:eastAsia="Book Antiqua" w:hAnsi="Book Antiqua" w:cs="Book Antiqua"/>
        </w:rPr>
        <w:t>. The number of myeloid-derived suppressor cells in peripheral blood was positively associated with cancer stage in CRC patients</w:t>
      </w:r>
      <w:r>
        <w:rPr>
          <w:rFonts w:ascii="Book Antiqua" w:eastAsia="Book Antiqua" w:hAnsi="Book Antiqua" w:cs="Book Antiqua"/>
          <w:vertAlign w:val="superscript"/>
        </w:rPr>
        <w:t>[102,103]</w:t>
      </w:r>
      <w:r>
        <w:rPr>
          <w:rFonts w:ascii="Book Antiqua" w:eastAsia="Book Antiqua" w:hAnsi="Book Antiqua" w:cs="Book Antiqua"/>
        </w:rPr>
        <w:t>. Furthermore, fully differentiated neutrophils with increased granule density and increased CD66b+ neutrophils were associated with better outcomes in CRC patients</w:t>
      </w:r>
      <w:r>
        <w:rPr>
          <w:rFonts w:ascii="Book Antiqua" w:eastAsia="Book Antiqua" w:hAnsi="Book Antiqua" w:cs="Book Antiqua"/>
          <w:vertAlign w:val="superscript"/>
        </w:rPr>
        <w:t>[104,105]</w:t>
      </w:r>
      <w:r>
        <w:rPr>
          <w:rFonts w:ascii="Book Antiqua" w:eastAsia="Book Antiqua" w:hAnsi="Book Antiqua" w:cs="Book Antiqua"/>
        </w:rPr>
        <w:t>.</w:t>
      </w:r>
    </w:p>
    <w:p w14:paraId="0E651E30" w14:textId="77777777" w:rsidR="000A3061" w:rsidRDefault="000A3061">
      <w:pPr>
        <w:spacing w:line="360" w:lineRule="auto"/>
        <w:ind w:firstLineChars="100" w:firstLine="240"/>
        <w:jc w:val="both"/>
        <w:rPr>
          <w:rFonts w:ascii="Book Antiqua" w:hAnsi="Book Antiqua"/>
        </w:rPr>
      </w:pPr>
    </w:p>
    <w:p w14:paraId="5843DF98" w14:textId="77777777" w:rsidR="000A3061" w:rsidRDefault="00000000">
      <w:pPr>
        <w:spacing w:line="360" w:lineRule="auto"/>
        <w:jc w:val="both"/>
        <w:rPr>
          <w:rFonts w:ascii="Book Antiqua" w:hAnsi="Book Antiqua"/>
          <w:u w:val="single"/>
        </w:rPr>
      </w:pPr>
      <w:r>
        <w:rPr>
          <w:rFonts w:ascii="Book Antiqua" w:eastAsia="Book Antiqua" w:hAnsi="Book Antiqua" w:cs="Book Antiqua"/>
          <w:b/>
          <w:bCs/>
          <w:u w:val="single"/>
        </w:rPr>
        <w:t>MCRC AND LIFESTYLE FACTORS</w:t>
      </w:r>
    </w:p>
    <w:p w14:paraId="3EE5A0F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In addition to internal biological factors, external lifestyle factors, such as overweight/obesity, physical inactivity, cigarette smoking, alcohol consumption and inappropriate dietary patterns, also influence metabolism, cell survival, tumor progression and metastasis in CRC patients</w:t>
      </w:r>
      <w:r>
        <w:rPr>
          <w:rFonts w:ascii="Book Antiqua" w:eastAsia="Book Antiqua" w:hAnsi="Book Antiqua" w:cs="Book Antiqua"/>
          <w:vertAlign w:val="superscript"/>
        </w:rPr>
        <w:t>[106]</w:t>
      </w:r>
      <w:r>
        <w:rPr>
          <w:rFonts w:ascii="Book Antiqua" w:eastAsia="Book Antiqua" w:hAnsi="Book Antiqua" w:cs="Book Antiqua"/>
        </w:rPr>
        <w:t>.</w:t>
      </w:r>
    </w:p>
    <w:p w14:paraId="0A5DCA6D" w14:textId="77777777" w:rsidR="000A3061" w:rsidRDefault="000A3061">
      <w:pPr>
        <w:spacing w:line="360" w:lineRule="auto"/>
        <w:jc w:val="both"/>
        <w:rPr>
          <w:rFonts w:ascii="Book Antiqua" w:hAnsi="Book Antiqua"/>
        </w:rPr>
      </w:pPr>
    </w:p>
    <w:p w14:paraId="4B2B7A22"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body mass index</w:t>
      </w:r>
    </w:p>
    <w:p w14:paraId="5DF94F9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A high body mass index (BMI) is a convincing risk factor for the development of CRC, and the overall CRC risk is estimated to increase by 3% for every five kilograms of weight gain</w:t>
      </w:r>
      <w:r>
        <w:rPr>
          <w:rFonts w:ascii="Book Antiqua" w:eastAsia="Book Antiqua" w:hAnsi="Book Antiqua" w:cs="Book Antiqua"/>
          <w:vertAlign w:val="superscript"/>
        </w:rPr>
        <w:t>[107]</w:t>
      </w:r>
      <w:r>
        <w:rPr>
          <w:rFonts w:ascii="Book Antiqua" w:eastAsia="Book Antiqua" w:hAnsi="Book Antiqua" w:cs="Book Antiqua"/>
        </w:rPr>
        <w:t>. Among the mCRC patient cohort, 63% and 27% were overweight with a BMI &gt; 25 kg/m</w:t>
      </w:r>
      <w:r>
        <w:rPr>
          <w:rFonts w:ascii="Book Antiqua" w:eastAsia="Book Antiqua" w:hAnsi="Book Antiqua" w:cs="Book Antiqua"/>
          <w:vertAlign w:val="superscript"/>
        </w:rPr>
        <w:t>2</w:t>
      </w:r>
      <w:r>
        <w:rPr>
          <w:rFonts w:ascii="Book Antiqua" w:eastAsia="Book Antiqua" w:hAnsi="Book Antiqua" w:cs="Book Antiqua"/>
        </w:rPr>
        <w:t xml:space="preserve"> and BMI &gt; 30 kg/m</w:t>
      </w:r>
      <w:r>
        <w:rPr>
          <w:rFonts w:ascii="Book Antiqua" w:eastAsia="Book Antiqua" w:hAnsi="Book Antiqua" w:cs="Book Antiqua"/>
          <w:vertAlign w:val="superscript"/>
        </w:rPr>
        <w:t>2</w:t>
      </w:r>
      <w:r>
        <w:rPr>
          <w:rFonts w:ascii="Book Antiqua" w:eastAsia="Book Antiqua" w:hAnsi="Book Antiqua" w:cs="Book Antiqua"/>
        </w:rPr>
        <w:t>, respectively</w:t>
      </w:r>
      <w:r>
        <w:rPr>
          <w:rFonts w:ascii="Book Antiqua" w:eastAsia="Book Antiqua" w:hAnsi="Book Antiqua" w:cs="Book Antiqua"/>
          <w:vertAlign w:val="superscript"/>
        </w:rPr>
        <w:t>[108]</w:t>
      </w:r>
      <w:r>
        <w:rPr>
          <w:rFonts w:ascii="Book Antiqua" w:eastAsia="Book Antiqua" w:hAnsi="Book Antiqua" w:cs="Book Antiqua"/>
        </w:rPr>
        <w:t>. Mechanistically, this could be explained by the fact that the adipose tissue of patients releases more unfavorable factors, such as TNF-α, IL-1, IL-6, IL-7, and IL-8, which inhibit apoptosis, promote oxidative stress, suppress the immune response, and reduce the activity of the IGF-1 axis; these factors are also associated with cancer development and progression</w:t>
      </w:r>
      <w:r>
        <w:rPr>
          <w:rFonts w:ascii="Book Antiqua" w:eastAsia="Book Antiqua" w:hAnsi="Book Antiqua" w:cs="Book Antiqua"/>
          <w:vertAlign w:val="superscript"/>
        </w:rPr>
        <w:t>[109]</w:t>
      </w:r>
      <w:r>
        <w:rPr>
          <w:rFonts w:ascii="Book Antiqua" w:eastAsia="Book Antiqua" w:hAnsi="Book Antiqua" w:cs="Book Antiqua"/>
        </w:rPr>
        <w:t>. Another study showed that overweight and obese mCRC patients who were receiving therapies targeting VEGF had poorer outcomes with bevacizumab</w:t>
      </w:r>
      <w:r>
        <w:rPr>
          <w:rFonts w:ascii="Book Antiqua" w:eastAsia="Book Antiqua" w:hAnsi="Book Antiqua" w:cs="Book Antiqua"/>
          <w:vertAlign w:val="superscript"/>
        </w:rPr>
        <w:t>[108]</w:t>
      </w:r>
      <w:r>
        <w:rPr>
          <w:rFonts w:ascii="Book Antiqua" w:eastAsia="Book Antiqua" w:hAnsi="Book Antiqua" w:cs="Book Antiqua"/>
        </w:rPr>
        <w:t>. However, a low BMI is associated with an increased risk of progression and death among the patients enrolled in mCRC trials, while there is no increased risk for an elevated BMI, in contrast to the adjuvant setting in mCRC patients</w:t>
      </w:r>
      <w:r>
        <w:rPr>
          <w:rFonts w:ascii="Book Antiqua" w:eastAsia="Book Antiqua" w:hAnsi="Book Antiqua" w:cs="Book Antiqua"/>
          <w:vertAlign w:val="superscript"/>
        </w:rPr>
        <w:t>[110]</w:t>
      </w:r>
      <w:r>
        <w:rPr>
          <w:rFonts w:ascii="Book Antiqua" w:eastAsia="Book Antiqua" w:hAnsi="Book Antiqua" w:cs="Book Antiqua"/>
        </w:rPr>
        <w:t>.</w:t>
      </w:r>
    </w:p>
    <w:p w14:paraId="406EC9D1" w14:textId="77777777" w:rsidR="000A3061" w:rsidRDefault="000A3061">
      <w:pPr>
        <w:spacing w:line="360" w:lineRule="auto"/>
        <w:jc w:val="both"/>
        <w:rPr>
          <w:rFonts w:ascii="Book Antiqua" w:hAnsi="Book Antiqua"/>
        </w:rPr>
      </w:pPr>
    </w:p>
    <w:p w14:paraId="754123B9"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dietary intake</w:t>
      </w:r>
    </w:p>
    <w:p w14:paraId="5F047760"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Studies have shown that regular consumption of red and processed meat is an important risk factor that may increase the risk of mCRC by approximately 17% for every 100 g portion of red meat and approximately 18% for every 50 g of processed meat eaten daily; moreover, it was shown that high consumption of dietary fiber could reduce the risk of CRC development by up to 50%</w:t>
      </w:r>
      <w:r>
        <w:rPr>
          <w:rFonts w:ascii="Book Antiqua" w:eastAsia="Book Antiqua" w:hAnsi="Book Antiqua" w:cs="Book Antiqua"/>
          <w:vertAlign w:val="superscript"/>
        </w:rPr>
        <w:t>[109]</w:t>
      </w:r>
      <w:r>
        <w:rPr>
          <w:rFonts w:ascii="Book Antiqua" w:eastAsia="Book Antiqua" w:hAnsi="Book Antiqua" w:cs="Book Antiqua"/>
        </w:rPr>
        <w:t>. However, more than 80% of Stage III and metastatic CRC patients fail to meet the US FDA recommended daily intake of vegetables, fruits, and milk products</w:t>
      </w:r>
      <w:r>
        <w:rPr>
          <w:rFonts w:ascii="Book Antiqua" w:eastAsia="Book Antiqua" w:hAnsi="Book Antiqua" w:cs="Book Antiqua"/>
          <w:vertAlign w:val="superscript"/>
        </w:rPr>
        <w:t>[107]</w:t>
      </w:r>
      <w:r>
        <w:rPr>
          <w:rFonts w:ascii="Book Antiqua" w:eastAsia="Book Antiqua" w:hAnsi="Book Antiqua" w:cs="Book Antiqua"/>
        </w:rPr>
        <w:t>. Mechanistically, harmful substances, such as heterocyclic amines and polycyclic aromatic hydrocarbons, generated from grilled and roasted meat have the potential to cause point mutations (deletions, insertions, and substitutions). Similarly, nitrosamines and nitrosamides are potent carcinogenic agents that can react with DNA. In contrast, the potential mechanism of the protective effect of fiber consumption on CRC development occurs through reducing contact between carcinogenic substances and the colonic epithelium as well as stimulating the growth of beneficial gut microbiota.</w:t>
      </w:r>
    </w:p>
    <w:p w14:paraId="496491CA" w14:textId="77777777" w:rsidR="000A3061" w:rsidRDefault="000A3061">
      <w:pPr>
        <w:spacing w:line="360" w:lineRule="auto"/>
        <w:jc w:val="both"/>
        <w:rPr>
          <w:rFonts w:ascii="Book Antiqua" w:hAnsi="Book Antiqua"/>
        </w:rPr>
      </w:pPr>
    </w:p>
    <w:p w14:paraId="3239CC26" w14:textId="77777777" w:rsidR="000A3061" w:rsidRDefault="00000000">
      <w:pPr>
        <w:spacing w:line="360" w:lineRule="auto"/>
        <w:jc w:val="both"/>
        <w:rPr>
          <w:rFonts w:ascii="Book Antiqua" w:hAnsi="Book Antiqua"/>
          <w:i/>
          <w:iCs/>
        </w:rPr>
      </w:pPr>
      <w:r>
        <w:rPr>
          <w:rFonts w:ascii="Book Antiqua" w:eastAsia="Book Antiqua" w:hAnsi="Book Antiqua" w:cs="Book Antiqua"/>
          <w:b/>
          <w:bCs/>
          <w:i/>
          <w:iCs/>
        </w:rPr>
        <w:t>mCRC and lifestyle habits</w:t>
      </w:r>
    </w:p>
    <w:p w14:paraId="6E599881" w14:textId="77777777" w:rsidR="000A3061" w:rsidRDefault="00000000">
      <w:pPr>
        <w:spacing w:line="360" w:lineRule="auto"/>
        <w:jc w:val="both"/>
        <w:rPr>
          <w:rFonts w:ascii="Book Antiqua" w:hAnsi="Book Antiqua"/>
        </w:rPr>
      </w:pPr>
      <w:r>
        <w:rPr>
          <w:rFonts w:ascii="Book Antiqua" w:eastAsia="Book Antiqua" w:hAnsi="Book Antiqua" w:cs="Book Antiqua"/>
        </w:rPr>
        <w:t>Tobacco smoke is an established risk factor for the development of many types of cancer, including CRC. Smoking cigarettes increases the risk of developing CRC by 2- to 3-fold compared with nonsmokers</w:t>
      </w:r>
      <w:r>
        <w:rPr>
          <w:rFonts w:ascii="Book Antiqua" w:eastAsia="Book Antiqua" w:hAnsi="Book Antiqua" w:cs="Book Antiqua"/>
          <w:vertAlign w:val="superscript"/>
        </w:rPr>
        <w:t>[111]</w:t>
      </w:r>
      <w:r>
        <w:rPr>
          <w:rFonts w:ascii="Book Antiqua" w:eastAsia="Book Antiqua" w:hAnsi="Book Antiqua" w:cs="Book Antiqua"/>
        </w:rPr>
        <w:t>. The mCRC cohort represented 9% of the smokers, while the Stage III cohort represented 10% of the smokers; these two cohorts were not significantly different</w:t>
      </w:r>
      <w:r>
        <w:rPr>
          <w:rFonts w:ascii="Book Antiqua" w:eastAsia="Book Antiqua" w:hAnsi="Book Antiqua" w:cs="Book Antiqua"/>
          <w:vertAlign w:val="superscript"/>
        </w:rPr>
        <w:t>[107]</w:t>
      </w:r>
      <w:r>
        <w:rPr>
          <w:rFonts w:ascii="Book Antiqua" w:eastAsia="Book Antiqua" w:hAnsi="Book Antiqua" w:cs="Book Antiqua"/>
        </w:rPr>
        <w:t>. Tobacco contains a mixture of thousands of chemicals, more than 60 of which are well-established carcinogens that are known to damage DNA and lead to mutations.</w:t>
      </w:r>
    </w:p>
    <w:p w14:paraId="7E3C90BC" w14:textId="77777777" w:rsidR="000A3061" w:rsidRDefault="00000000">
      <w:pPr>
        <w:spacing w:line="360" w:lineRule="auto"/>
        <w:ind w:firstLineChars="100" w:firstLine="240"/>
        <w:jc w:val="both"/>
        <w:rPr>
          <w:rFonts w:ascii="Book Antiqua" w:hAnsi="Book Antiqua"/>
        </w:rPr>
      </w:pPr>
      <w:r>
        <w:rPr>
          <w:rFonts w:ascii="Book Antiqua" w:eastAsia="Book Antiqua" w:hAnsi="Book Antiqua" w:cs="Book Antiqua"/>
        </w:rPr>
        <w:t>Alcohol intake is another contributor to CRC development. However, the data show that CRC risk has no significant correlation with light to moderate alcohol consumption</w:t>
      </w:r>
      <w:r>
        <w:rPr>
          <w:rFonts w:ascii="Book Antiqua" w:eastAsia="Book Antiqua" w:hAnsi="Book Antiqua" w:cs="Book Antiqua"/>
          <w:vertAlign w:val="superscript"/>
        </w:rPr>
        <w:t>[112]</w:t>
      </w:r>
      <w:r>
        <w:rPr>
          <w:rFonts w:ascii="Book Antiqua" w:eastAsia="Book Antiqua" w:hAnsi="Book Antiqua" w:cs="Book Antiqua"/>
        </w:rPr>
        <w:t>. Although approximately half of the patients in the two cohorts (47% of Stage III patients and 43% of metastatic patients) reported no alcohol intake during the 3 mo prior to questionnaire completion</w:t>
      </w:r>
      <w:r>
        <w:rPr>
          <w:rFonts w:ascii="Book Antiqua" w:eastAsia="Book Antiqua" w:hAnsi="Book Antiqua" w:cs="Book Antiqua"/>
          <w:vertAlign w:val="superscript"/>
        </w:rPr>
        <w:t>[108]</w:t>
      </w:r>
      <w:r>
        <w:rPr>
          <w:rFonts w:ascii="Book Antiqua" w:eastAsia="Book Antiqua" w:hAnsi="Book Antiqua" w:cs="Book Antiqua"/>
        </w:rPr>
        <w:t>, the risk of heavy drinking is remarkable, and people who drink more than 4 times have a 52% risk of developing CRC</w:t>
      </w:r>
      <w:r>
        <w:rPr>
          <w:rFonts w:ascii="Book Antiqua" w:eastAsia="Book Antiqua" w:hAnsi="Book Antiqua" w:cs="Book Antiqua"/>
          <w:vertAlign w:val="superscript"/>
        </w:rPr>
        <w:t>[113]</w:t>
      </w:r>
      <w:r>
        <w:rPr>
          <w:rFonts w:ascii="Book Antiqua" w:eastAsia="Book Antiqua" w:hAnsi="Book Antiqua" w:cs="Book Antiqua"/>
        </w:rPr>
        <w:t>. Furthermore, a Canadian study reported that among subjects who consumed an alcohol beverage at least once a week for 6 mo or longer, those with a BMI &gt; 30 had an overall CRC OR of 2.2</w:t>
      </w:r>
      <w:r>
        <w:rPr>
          <w:rFonts w:ascii="Book Antiqua" w:eastAsia="Book Antiqua" w:hAnsi="Book Antiqua" w:cs="Book Antiqua"/>
          <w:vertAlign w:val="superscript"/>
        </w:rPr>
        <w:t>[114]</w:t>
      </w:r>
      <w:r>
        <w:rPr>
          <w:rFonts w:ascii="Book Antiqua" w:eastAsia="Book Antiqua" w:hAnsi="Book Antiqua" w:cs="Book Antiqua"/>
        </w:rPr>
        <w:t>. Mechanically, alcohol oxidation and nonoxidative metabolism and the formation of byproducts, such as ROS and metabolites, can lead to a constellation of genetic, epigenetic, cell signaling, and immune processes</w:t>
      </w:r>
      <w:r>
        <w:rPr>
          <w:rFonts w:ascii="Book Antiqua" w:eastAsia="Book Antiqua" w:hAnsi="Book Antiqua" w:cs="Book Antiqua"/>
          <w:vertAlign w:val="superscript"/>
        </w:rPr>
        <w:t>[115]</w:t>
      </w:r>
      <w:r>
        <w:rPr>
          <w:rFonts w:ascii="Book Antiqua" w:eastAsia="Book Antiqua" w:hAnsi="Book Antiqua" w:cs="Book Antiqua"/>
        </w:rPr>
        <w:t>. Similarly, decreased miR-135 expression in response to ethanol exposure plays a role in colon carcinogenesis and enhances metastasis via APC suppression</w:t>
      </w:r>
      <w:r>
        <w:rPr>
          <w:rFonts w:ascii="Book Antiqua" w:eastAsia="Book Antiqua" w:hAnsi="Book Antiqua" w:cs="Book Antiqua"/>
          <w:vertAlign w:val="superscript"/>
        </w:rPr>
        <w:t>[116,117]</w:t>
      </w:r>
      <w:r>
        <w:rPr>
          <w:rFonts w:ascii="Book Antiqua" w:eastAsia="Book Antiqua" w:hAnsi="Book Antiqua" w:cs="Book Antiqua"/>
        </w:rPr>
        <w:t xml:space="preserve">. It has also been shown in an HCT116 cell model that ethanol inactivates GSK3β, leading to increased nuclear translocation of β-catenin and induction of cancer stem cell metastasis </w:t>
      </w:r>
      <w:r>
        <w:rPr>
          <w:rFonts w:ascii="Book Antiqua" w:eastAsia="Book Antiqua" w:hAnsi="Book Antiqua" w:cs="Book Antiqua"/>
          <w:i/>
          <w:iCs/>
        </w:rPr>
        <w:t>via</w:t>
      </w:r>
      <w:r>
        <w:rPr>
          <w:rFonts w:ascii="Book Antiqua" w:eastAsia="Book Antiqua" w:hAnsi="Book Antiqua" w:cs="Book Antiqua"/>
        </w:rPr>
        <w:t xml:space="preserve"> the production of MCP-1/CCR-2</w:t>
      </w:r>
      <w:r>
        <w:rPr>
          <w:rFonts w:ascii="Book Antiqua" w:eastAsia="Book Antiqua" w:hAnsi="Book Antiqua" w:cs="Book Antiqua"/>
          <w:vertAlign w:val="superscript"/>
        </w:rPr>
        <w:t>[118]</w:t>
      </w:r>
      <w:r>
        <w:rPr>
          <w:rFonts w:ascii="Book Antiqua" w:eastAsia="Book Antiqua" w:hAnsi="Book Antiqua" w:cs="Book Antiqua"/>
        </w:rPr>
        <w:t>.</w:t>
      </w:r>
    </w:p>
    <w:p w14:paraId="74897082" w14:textId="77777777" w:rsidR="000A3061" w:rsidRDefault="000A3061">
      <w:pPr>
        <w:spacing w:line="360" w:lineRule="auto"/>
        <w:jc w:val="both"/>
        <w:rPr>
          <w:rFonts w:ascii="Book Antiqua" w:hAnsi="Book Antiqua"/>
        </w:rPr>
      </w:pPr>
    </w:p>
    <w:p w14:paraId="57AE20F0" w14:textId="77777777" w:rsidR="000A3061"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4E327ED0" w14:textId="77777777" w:rsidR="000A3061" w:rsidRDefault="00000000">
      <w:pPr>
        <w:spacing w:line="360" w:lineRule="auto"/>
        <w:jc w:val="both"/>
        <w:rPr>
          <w:rFonts w:ascii="Book Antiqua" w:hAnsi="Book Antiqua"/>
        </w:rPr>
      </w:pPr>
      <w:r>
        <w:rPr>
          <w:rFonts w:ascii="Book Antiqua" w:eastAsia="Book Antiqua" w:hAnsi="Book Antiqua" w:cs="Book Antiqua"/>
        </w:rPr>
        <w:t>Despite remarkable progress in CRC research, the role of molecular classification in therapeutic intervention has not been fully elucidated. This review highlights the driving factors of mCRC and may help in identifying potential candidate biomarkers that can improve the diagnosis and early detection of mCRC, thereby prolonging the overall survival and clinical outcomes of CRC patients. Using molecular alterations to predict CRC risk is a promising approach, but further research is needed to determine whether aberrant mutations, methylation patterns, CNVs, epigenetic marks, immune cell infiltration, and lifestyle factors can be used as reliable and accurate indicators of mCRC risk.</w:t>
      </w:r>
    </w:p>
    <w:p w14:paraId="0237D36C" w14:textId="77777777" w:rsidR="000A3061" w:rsidRDefault="000A3061">
      <w:pPr>
        <w:spacing w:line="360" w:lineRule="auto"/>
        <w:jc w:val="both"/>
        <w:rPr>
          <w:rFonts w:ascii="Book Antiqua" w:hAnsi="Book Antiqua"/>
        </w:rPr>
      </w:pPr>
    </w:p>
    <w:p w14:paraId="32B69241" w14:textId="77777777" w:rsidR="000A3061" w:rsidRDefault="00000000">
      <w:pPr>
        <w:spacing w:line="360" w:lineRule="auto"/>
        <w:jc w:val="both"/>
        <w:rPr>
          <w:rFonts w:ascii="Book Antiqua" w:hAnsi="Book Antiqua"/>
        </w:rPr>
      </w:pPr>
      <w:r>
        <w:rPr>
          <w:rFonts w:ascii="Book Antiqua" w:eastAsia="Book Antiqua" w:hAnsi="Book Antiqua" w:cs="Book Antiqua"/>
          <w:b/>
        </w:rPr>
        <w:t>REFERENCES</w:t>
      </w:r>
    </w:p>
    <w:p w14:paraId="21158E0D"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Keum N</w:t>
      </w:r>
      <w:r>
        <w:rPr>
          <w:rFonts w:ascii="Book Antiqua" w:eastAsia="Book Antiqua" w:hAnsi="Book Antiqua" w:cs="Book Antiqua"/>
        </w:rPr>
        <w:t xml:space="preserve">, Giovannucci E. Global burden of colorectal cancer: emerging trends, risk factors and prevention strategies. </w:t>
      </w:r>
      <w:r>
        <w:rPr>
          <w:rFonts w:ascii="Book Antiqua" w:eastAsia="Book Antiqua" w:hAnsi="Book Antiqua" w:cs="Book Antiqua"/>
          <w:i/>
          <w:iCs/>
        </w:rPr>
        <w:t>Nat Rev Gastroenterol Hepatol</w:t>
      </w:r>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713-732 [PMID: 31455888 DOI: 10.1038/s41575-019-0189-8]</w:t>
      </w:r>
    </w:p>
    <w:p w14:paraId="52F7494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Dekker E</w:t>
      </w:r>
      <w:r>
        <w:rPr>
          <w:rFonts w:ascii="Book Antiqua" w:eastAsia="Book Antiqua" w:hAnsi="Book Antiqua" w:cs="Book Antiqua"/>
        </w:rPr>
        <w:t xml:space="preserve">, Tanis PJ, Vleugels JLA, Kasi PM, Wallace MB. Colorectal cancer. </w:t>
      </w:r>
      <w:r>
        <w:rPr>
          <w:rFonts w:ascii="Book Antiqua" w:eastAsia="Book Antiqua" w:hAnsi="Book Antiqua" w:cs="Book Antiqua"/>
          <w:i/>
          <w:iCs/>
        </w:rPr>
        <w:t>Lancet</w:t>
      </w:r>
      <w:r>
        <w:rPr>
          <w:rFonts w:ascii="Book Antiqua" w:eastAsia="Book Antiqua" w:hAnsi="Book Antiqua" w:cs="Book Antiqua"/>
        </w:rPr>
        <w:t xml:space="preserve"> 2019; </w:t>
      </w:r>
      <w:r>
        <w:rPr>
          <w:rFonts w:ascii="Book Antiqua" w:eastAsia="Book Antiqua" w:hAnsi="Book Antiqua" w:cs="Book Antiqua"/>
          <w:b/>
          <w:bCs/>
        </w:rPr>
        <w:t>394</w:t>
      </w:r>
      <w:r>
        <w:rPr>
          <w:rFonts w:ascii="Book Antiqua" w:eastAsia="Book Antiqua" w:hAnsi="Book Antiqua" w:cs="Book Antiqua"/>
        </w:rPr>
        <w:t>: 1467-1480 [PMID: 31631858 DOI: 10.1016/S0140-6736(19)32319-0]</w:t>
      </w:r>
    </w:p>
    <w:p w14:paraId="73C44B90"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Riihimäki M</w:t>
      </w:r>
      <w:r>
        <w:rPr>
          <w:rFonts w:ascii="Book Antiqua" w:eastAsia="Book Antiqua" w:hAnsi="Book Antiqua" w:cs="Book Antiqua"/>
        </w:rPr>
        <w:t xml:space="preserve">, Hemminki A, Sundquist J, Hemminki K. Patterns of metastasis in colon and rectal cancer. </w:t>
      </w:r>
      <w:r>
        <w:rPr>
          <w:rFonts w:ascii="Book Antiqua" w:eastAsia="Book Antiqua" w:hAnsi="Book Antiqua" w:cs="Book Antiqua"/>
          <w:i/>
          <w:iCs/>
        </w:rPr>
        <w:t>Sci Rep</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29765 [PMID: 27416752 DOI: 10.1038/srep29765]</w:t>
      </w:r>
    </w:p>
    <w:p w14:paraId="4C93DAC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Testa U</w:t>
      </w:r>
      <w:r>
        <w:rPr>
          <w:rFonts w:ascii="Book Antiqua" w:eastAsia="Book Antiqua" w:hAnsi="Book Antiqua" w:cs="Book Antiqua"/>
        </w:rPr>
        <w:t xml:space="preserve">, Castelli G, Pelosi E. Genetic Alterations of Metastatic Colorectal Cancer. </w:t>
      </w:r>
      <w:r>
        <w:rPr>
          <w:rFonts w:ascii="Book Antiqua" w:eastAsia="Book Antiqua" w:hAnsi="Book Antiqua" w:cs="Book Antiqua"/>
          <w:i/>
          <w:iCs/>
        </w:rPr>
        <w:t>Biomedicines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xml:space="preserve"> [PMID: 33066148 DOI: 10.3390/biomedicines8100414]</w:t>
      </w:r>
    </w:p>
    <w:p w14:paraId="5F3D141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Huebner A</w:t>
      </w:r>
      <w:r>
        <w:rPr>
          <w:rFonts w:ascii="Book Antiqua" w:eastAsia="Book Antiqua" w:hAnsi="Book Antiqua" w:cs="Book Antiqua"/>
        </w:rPr>
        <w:t xml:space="preserve">, Dietzen M, McGranahan N. SnapShot: Tumor evolution. </w:t>
      </w:r>
      <w:r>
        <w:rPr>
          <w:rFonts w:ascii="Book Antiqua" w:eastAsia="Book Antiqua" w:hAnsi="Book Antiqua" w:cs="Book Antiqua"/>
          <w:i/>
          <w:iCs/>
        </w:rPr>
        <w:t>Cell</w:t>
      </w:r>
      <w:r>
        <w:rPr>
          <w:rFonts w:ascii="Book Antiqua" w:eastAsia="Book Antiqua" w:hAnsi="Book Antiqua" w:cs="Book Antiqua"/>
        </w:rPr>
        <w:t xml:space="preserve"> 2021; </w:t>
      </w:r>
      <w:r>
        <w:rPr>
          <w:rFonts w:ascii="Book Antiqua" w:eastAsia="Book Antiqua" w:hAnsi="Book Antiqua" w:cs="Book Antiqua"/>
          <w:b/>
          <w:bCs/>
        </w:rPr>
        <w:t>184</w:t>
      </w:r>
      <w:r>
        <w:rPr>
          <w:rFonts w:ascii="Book Antiqua" w:eastAsia="Book Antiqua" w:hAnsi="Book Antiqua" w:cs="Book Antiqua"/>
        </w:rPr>
        <w:t>: 1650-1650.e1 [PMID: 33740457 DOI: 10.1016/j.cell.2021.02.024]</w:t>
      </w:r>
    </w:p>
    <w:p w14:paraId="453832E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Ganesh K</w:t>
      </w:r>
      <w:r>
        <w:rPr>
          <w:rFonts w:ascii="Book Antiqua" w:eastAsia="Book Antiqua" w:hAnsi="Book Antiqua" w:cs="Book Antiqua"/>
        </w:rPr>
        <w:t xml:space="preserve">, Massagué J. Targeting metastatic cancer. </w:t>
      </w:r>
      <w:r>
        <w:rPr>
          <w:rFonts w:ascii="Book Antiqua" w:eastAsia="Book Antiqua" w:hAnsi="Book Antiqua" w:cs="Book Antiqua"/>
          <w:i/>
          <w:iCs/>
        </w:rPr>
        <w:t>Nat Med</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34-44 [PMID: 33442008 DOI: 10.1038/s41591-020-01195-4]</w:t>
      </w:r>
    </w:p>
    <w:p w14:paraId="1805E0D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Yaeger R</w:t>
      </w:r>
      <w:r>
        <w:rPr>
          <w:rFonts w:ascii="Book Antiqua" w:eastAsia="Book Antiqua" w:hAnsi="Book Antiqua" w:cs="Book Antiqua"/>
        </w:rPr>
        <w:t xml:space="preserve">, Chatila WK, Lipsyc MD, Hechtman JF, Cercek A, Sanchez-Vega F, Jayakumaran G, Middha S, Zehir A, Donoghue MTA, You D, Viale A, Kemeny N, Segal NH, Stadler ZK, Varghese AM, Kundra R, Gao J, Syed A, Hyman DM, Vakiani E, Rosen N, Taylor BS, Ladanyi M, Berger MF, Solit DB, Shia J, Saltz L, Schultz N. Clinical Sequencing Defines the Genomic Landscape of Metastatic Colorectal Cancer. </w:t>
      </w:r>
      <w:r>
        <w:rPr>
          <w:rFonts w:ascii="Book Antiqua" w:eastAsia="Book Antiqua" w:hAnsi="Book Antiqua" w:cs="Book Antiqua"/>
          <w:i/>
          <w:iCs/>
        </w:rPr>
        <w:t>Cancer Cell</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125-136.e3 [PMID: 29316426 DOI: 10.1016/j.ccell.2017.12.004]</w:t>
      </w:r>
    </w:p>
    <w:p w14:paraId="348FB44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Vakiani E</w:t>
      </w:r>
      <w:r>
        <w:rPr>
          <w:rFonts w:ascii="Book Antiqua" w:eastAsia="Book Antiqua" w:hAnsi="Book Antiqua" w:cs="Book Antiqua"/>
        </w:rPr>
        <w:t xml:space="preserve">, Janakiraman M, Shen R, Sinha R, Zeng Z, Shia J, Cercek A, Kemeny N, D'Angelica M, Viale A, Heguy A, Paty P, Chan TA, Saltz LB, Weiser M, Solit DB. Comparative genomic analysis of primary versus metastatic colorectal carcinomas. </w:t>
      </w:r>
      <w:r>
        <w:rPr>
          <w:rFonts w:ascii="Book Antiqua" w:eastAsia="Book Antiqua" w:hAnsi="Book Antiqua" w:cs="Book Antiqua"/>
          <w:i/>
          <w:iCs/>
        </w:rPr>
        <w:t>J Clin Oncol</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2956-2962 [PMID: 22665543 DOI: 10.1200/JCO.2011.38.2994]</w:t>
      </w:r>
    </w:p>
    <w:p w14:paraId="08031023"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Li C</w:t>
      </w:r>
      <w:r>
        <w:rPr>
          <w:rFonts w:ascii="Book Antiqua" w:eastAsia="Book Antiqua" w:hAnsi="Book Antiqua" w:cs="Book Antiqua"/>
        </w:rPr>
        <w:t xml:space="preserve">, Sun YD, Yu GY, Cui JR, Lou Z, Zhang H, Huang Y, Bai CG, Deng LL, Liu P, Zheng K, Wang YH, Wang QQ, Li QR, Wu QQ, Liu Q, Shyr Y, Li YX, Chen LN, Wu JR, Zhang W, Zeng R. Integrated Omics of Metastatic Colorectal Cancer. </w:t>
      </w:r>
      <w:r>
        <w:rPr>
          <w:rFonts w:ascii="Book Antiqua" w:eastAsia="Book Antiqua" w:hAnsi="Book Antiqua" w:cs="Book Antiqua"/>
          <w:i/>
          <w:iCs/>
        </w:rPr>
        <w:t>Cancer Cell</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734-747.e9 [PMID: 32888432 DOI: 10.1016/j.ccell.2020.08.002]</w:t>
      </w:r>
    </w:p>
    <w:p w14:paraId="788EBF1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Huang D</w:t>
      </w:r>
      <w:r>
        <w:rPr>
          <w:rFonts w:ascii="Book Antiqua" w:eastAsia="Book Antiqua" w:hAnsi="Book Antiqua" w:cs="Book Antiqua"/>
        </w:rPr>
        <w:t xml:space="preserve">, Sun W, Zhou Y, Li P, Chen F, Chen H, Xia D, Xu E, Lai M, Wu Y, Zhang H. Mutations of key driver genes in colorectal cancer progression and metastasis. </w:t>
      </w:r>
      <w:r>
        <w:rPr>
          <w:rFonts w:ascii="Book Antiqua" w:eastAsia="Book Antiqua" w:hAnsi="Book Antiqua" w:cs="Book Antiqua"/>
          <w:i/>
          <w:iCs/>
        </w:rPr>
        <w:t>Cancer Metastasis Rev</w:t>
      </w:r>
      <w:r>
        <w:rPr>
          <w:rFonts w:ascii="Book Antiqua" w:eastAsia="Book Antiqua" w:hAnsi="Book Antiqua" w:cs="Book Antiqua"/>
        </w:rPr>
        <w:t xml:space="preserve"> 2018; </w:t>
      </w:r>
      <w:r>
        <w:rPr>
          <w:rFonts w:ascii="Book Antiqua" w:eastAsia="Book Antiqua" w:hAnsi="Book Antiqua" w:cs="Book Antiqua"/>
          <w:b/>
          <w:bCs/>
        </w:rPr>
        <w:t>37</w:t>
      </w:r>
      <w:r>
        <w:rPr>
          <w:rFonts w:ascii="Book Antiqua" w:eastAsia="Book Antiqua" w:hAnsi="Book Antiqua" w:cs="Book Antiqua"/>
        </w:rPr>
        <w:t>: 173-187 [PMID: 29322354 DOI: 10.1007/s10555-017-9726-5]</w:t>
      </w:r>
    </w:p>
    <w:p w14:paraId="1746C8C7"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Jo P</w:t>
      </w:r>
      <w:r>
        <w:rPr>
          <w:rFonts w:ascii="Book Antiqua" w:eastAsia="Book Antiqua" w:hAnsi="Book Antiqua" w:cs="Book Antiqua"/>
        </w:rPr>
        <w:t xml:space="preserve">, Bernhardt M, Nietert M, König A, Azizian A, Schirmer MA, Grade M, Kitz J, Reuter-Jessen K, Ghadimi M, Ströbel P, Schildhaus HU, Gaedcke J. KRAS mutation status concordance between the primary tumor and the corresponding metastasis in patients with rectal cancer. </w:t>
      </w:r>
      <w:r>
        <w:rPr>
          <w:rFonts w:ascii="Book Antiqua" w:eastAsia="Book Antiqua" w:hAnsi="Book Antiqua" w:cs="Book Antiqua"/>
          <w:i/>
          <w:iCs/>
        </w:rPr>
        <w:t>PLoS One</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e0239806 [PMID: 33002027 DOI: 10.1371/journal.pone.0239806]</w:t>
      </w:r>
    </w:p>
    <w:p w14:paraId="11913CE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Palomba G</w:t>
      </w:r>
      <w:r>
        <w:rPr>
          <w:rFonts w:ascii="Book Antiqua" w:eastAsia="Book Antiqua" w:hAnsi="Book Antiqua" w:cs="Book Antiqua"/>
        </w:rPr>
        <w:t xml:space="preserve">, Colombino M, Contu A, Massidda B, Baldino G, Pazzola A, Ionta M, Capelli F, Trova V, Sedda T, Sanna G, Tanda F, Budroni M; Sardinian Translational Oncology Group (STOG), Palmieri G, Cossu A, Contu M, Cuccu A, Farris A, Macciò A, Mameli G, Olmeo N, Ortu S, Petretto E, Pusceddu V, Virdis L. Prevalence of KRAS, BRAF, and PIK3CA somatic mutations in patients with colorectal carcinoma may vary in the same population: clues from Sardinia. </w:t>
      </w:r>
      <w:r>
        <w:rPr>
          <w:rFonts w:ascii="Book Antiqua" w:eastAsia="Book Antiqua" w:hAnsi="Book Antiqua" w:cs="Book Antiqua"/>
          <w:i/>
          <w:iCs/>
        </w:rPr>
        <w:t>J Transl Med</w:t>
      </w:r>
      <w:r>
        <w:rPr>
          <w:rFonts w:ascii="Book Antiqua" w:eastAsia="Book Antiqua" w:hAnsi="Book Antiqua" w:cs="Book Antiqua"/>
        </w:rPr>
        <w:t xml:space="preserve"> 2012; </w:t>
      </w:r>
      <w:r>
        <w:rPr>
          <w:rFonts w:ascii="Book Antiqua" w:eastAsia="Book Antiqua" w:hAnsi="Book Antiqua" w:cs="Book Antiqua"/>
          <w:b/>
          <w:bCs/>
        </w:rPr>
        <w:t>10</w:t>
      </w:r>
      <w:r>
        <w:rPr>
          <w:rFonts w:ascii="Book Antiqua" w:eastAsia="Book Antiqua" w:hAnsi="Book Antiqua" w:cs="Book Antiqua"/>
        </w:rPr>
        <w:t>: 178 [PMID: 22931052 DOI: 10.1186/1479-5876-10-178]</w:t>
      </w:r>
    </w:p>
    <w:p w14:paraId="0BDA561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Nguyen B</w:t>
      </w:r>
      <w:r>
        <w:rPr>
          <w:rFonts w:ascii="Book Antiqua" w:eastAsia="Book Antiqua" w:hAnsi="Book Antiqua" w:cs="Book Antiqua"/>
        </w:rPr>
        <w:t xml:space="preserve">, Fong C, Luthra A, Smith SA, DiNatale RG, Nandakumar S, Walch H, Chatila WK, Madupuri R, Kundra R, Bielski CM, Mastrogiacomo B, Donoghue MTA, Boire A, Chandarlapaty S, Ganesh K, Harding JJ, Iacobuzio-Donahue CA, Razavi P, Reznik E, Rudin CM, Zamarin D, Abida W, Abou-Alfa GK, Aghajanian C, Cercek A, Chi P, Feldman D, Ho AL, Iyer G, Janjigian YY, Morris M, Motzer RJ, O'Reilly EM, Postow MA, Raj NP, Riely GJ, Robson ME, Rosenberg JE, Safonov A, Shoushtari AN, Tap W, Teo MY, Varghese AM, Voss M, Yaeger R, Zauderer MG, Abu-Rustum N, Garcia-Aguilar J, Bochner B, Hakimi A, Jarnagin WR, Jones DR, Molena D, Morris L, Rios-Doria E, Russo P, Singer S, Strong VE, Chakravarty D, Ellenson LH, Gopalan A, Reis-Filho JS, Weigelt B, Ladanyi M, Gonen M, Shah SP, Massague J, Gao J, Zehir A, Berger MF, Solit DB, Bakhoum SF, Sanchez-Vega F, Schultz N. Genomic characterization of metastatic patterns from prospective clinical sequencing of 25,000 patients. </w:t>
      </w:r>
      <w:r>
        <w:rPr>
          <w:rFonts w:ascii="Book Antiqua" w:eastAsia="Book Antiqua" w:hAnsi="Book Antiqua" w:cs="Book Antiqua"/>
          <w:i/>
          <w:iCs/>
        </w:rPr>
        <w:t>Cell</w:t>
      </w:r>
      <w:r>
        <w:rPr>
          <w:rFonts w:ascii="Book Antiqua" w:eastAsia="Book Antiqua" w:hAnsi="Book Antiqua" w:cs="Book Antiqua"/>
        </w:rPr>
        <w:t xml:space="preserve"> 2022; </w:t>
      </w:r>
      <w:r>
        <w:rPr>
          <w:rFonts w:ascii="Book Antiqua" w:eastAsia="Book Antiqua" w:hAnsi="Book Antiqua" w:cs="Book Antiqua"/>
          <w:b/>
          <w:bCs/>
        </w:rPr>
        <w:t>185</w:t>
      </w:r>
      <w:r>
        <w:rPr>
          <w:rFonts w:ascii="Book Antiqua" w:eastAsia="Book Antiqua" w:hAnsi="Book Antiqua" w:cs="Book Antiqua"/>
        </w:rPr>
        <w:t>: 563-575.e11 [PMID: 35120664 DOI: 10.1016/j.cell.2022.01.003]</w:t>
      </w:r>
    </w:p>
    <w:p w14:paraId="52267B76"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Casimiro S</w:t>
      </w:r>
      <w:r>
        <w:rPr>
          <w:rFonts w:ascii="Book Antiqua" w:eastAsia="Book Antiqua" w:hAnsi="Book Antiqua" w:cs="Book Antiqua"/>
        </w:rPr>
        <w:t xml:space="preserve">, Fernandes A, Oliveira AG, Franco M, Pires R, Peres M, Matias M, Tato-Costa J, Guerra N, Ramos M, Cruz J, Costa L. Metadherin expression and lung relapse in patients with colorectal carcinoma. </w:t>
      </w:r>
      <w:r>
        <w:rPr>
          <w:rFonts w:ascii="Book Antiqua" w:eastAsia="Book Antiqua" w:hAnsi="Book Antiqua" w:cs="Book Antiqua"/>
          <w:i/>
          <w:iCs/>
        </w:rPr>
        <w:t>Clin Exp Metastasis</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689-696 [PMID: 24946951 DOI: 10.1007/s10585-014-9659-0]</w:t>
      </w:r>
    </w:p>
    <w:p w14:paraId="295B516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Liu Y</w:t>
      </w:r>
      <w:r>
        <w:rPr>
          <w:rFonts w:ascii="Book Antiqua" w:eastAsia="Book Antiqua" w:hAnsi="Book Antiqua" w:cs="Book Antiqua"/>
        </w:rPr>
        <w:t xml:space="preserve">, Sethi NS, Hinoue T, Schneider BG, Cherniack AD, Sanchez-Vega F, Seoane JA, Farshidfar F, Bowlby R, Islam M, Kim J, Chatila W, Akbani R, Kanchi RS, Rabkin CS, Willis JE, Wang KK, McCall SJ, Mishra L, Ojesina AI, Bullman S, Pedamallu CS, Lazar AJ, Sakai R; Cancer Genome Atlas Research Network, Thorsson V, Bass AJ, Laird PW. Comparative Molecular Analysis of Gastrointestinal Adenocarcinomas. </w:t>
      </w:r>
      <w:r>
        <w:rPr>
          <w:rFonts w:ascii="Book Antiqua" w:eastAsia="Book Antiqua" w:hAnsi="Book Antiqua" w:cs="Book Antiqua"/>
          <w:i/>
          <w:iCs/>
        </w:rPr>
        <w:t>Cancer Cell</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721-735.e8 [PMID: 29622466 DOI: 10.1016/j.ccell.2018.03.010]</w:t>
      </w:r>
    </w:p>
    <w:p w14:paraId="2F4EE01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Toyota M</w:t>
      </w:r>
      <w:r>
        <w:rPr>
          <w:rFonts w:ascii="Book Antiqua" w:eastAsia="Book Antiqua" w:hAnsi="Book Antiqua" w:cs="Book Antiqua"/>
        </w:rPr>
        <w:t xml:space="preserve">, Issa JP. CpG island methylator phenotypes in aging and cancer. </w:t>
      </w:r>
      <w:r>
        <w:rPr>
          <w:rFonts w:ascii="Book Antiqua" w:eastAsia="Book Antiqua" w:hAnsi="Book Antiqua" w:cs="Book Antiqua"/>
          <w:i/>
          <w:iCs/>
        </w:rPr>
        <w:t>Semin Cancer Biol</w:t>
      </w:r>
      <w:r>
        <w:rPr>
          <w:rFonts w:ascii="Book Antiqua" w:eastAsia="Book Antiqua" w:hAnsi="Book Antiqua" w:cs="Book Antiqua"/>
        </w:rPr>
        <w:t xml:space="preserve"> 1999; </w:t>
      </w:r>
      <w:r>
        <w:rPr>
          <w:rFonts w:ascii="Book Antiqua" w:eastAsia="Book Antiqua" w:hAnsi="Book Antiqua" w:cs="Book Antiqua"/>
          <w:b/>
          <w:bCs/>
        </w:rPr>
        <w:t>9</w:t>
      </w:r>
      <w:r>
        <w:rPr>
          <w:rFonts w:ascii="Book Antiqua" w:eastAsia="Book Antiqua" w:hAnsi="Book Antiqua" w:cs="Book Antiqua"/>
        </w:rPr>
        <w:t>: 349-357 [PMID: 10547343 DOI: 10.1006/scbi.1999.0135]</w:t>
      </w:r>
    </w:p>
    <w:p w14:paraId="7FF6CB7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Toh TB</w:t>
      </w:r>
      <w:r>
        <w:rPr>
          <w:rFonts w:ascii="Book Antiqua" w:eastAsia="Book Antiqua" w:hAnsi="Book Antiqua" w:cs="Book Antiqua"/>
        </w:rPr>
        <w:t xml:space="preserve">, Lim JJ, Chow EK. Epigenetics in cancer stem cells. </w:t>
      </w:r>
      <w:r>
        <w:rPr>
          <w:rFonts w:ascii="Book Antiqua" w:eastAsia="Book Antiqua" w:hAnsi="Book Antiqua" w:cs="Book Antiqua"/>
          <w:i/>
          <w:iCs/>
        </w:rPr>
        <w:t>Mol Cancer</w:t>
      </w:r>
      <w:r>
        <w:rPr>
          <w:rFonts w:ascii="Book Antiqua" w:eastAsia="Book Antiqua" w:hAnsi="Book Antiqua" w:cs="Book Antiqua"/>
        </w:rPr>
        <w:t xml:space="preserve"> 2017; </w:t>
      </w:r>
      <w:r>
        <w:rPr>
          <w:rFonts w:ascii="Book Antiqua" w:eastAsia="Book Antiqua" w:hAnsi="Book Antiqua" w:cs="Book Antiqua"/>
          <w:b/>
          <w:bCs/>
        </w:rPr>
        <w:t>16</w:t>
      </w:r>
      <w:r>
        <w:rPr>
          <w:rFonts w:ascii="Book Antiqua" w:eastAsia="Book Antiqua" w:hAnsi="Book Antiqua" w:cs="Book Antiqua"/>
        </w:rPr>
        <w:t>: 29 [PMID: 28148257 DOI: 10.1186/s12943-017-0596-9]</w:t>
      </w:r>
    </w:p>
    <w:p w14:paraId="39E92FA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Ju HX</w:t>
      </w:r>
      <w:r>
        <w:rPr>
          <w:rFonts w:ascii="Book Antiqua" w:eastAsia="Book Antiqua" w:hAnsi="Book Antiqua" w:cs="Book Antiqua"/>
        </w:rPr>
        <w:t xml:space="preserve">, An B, Okamoto Y, Shinjo K, Kanemitsu Y, Komori K, Hirai T, Shimizu Y, Sano T, Sawaki A, Tajika M, Yamao K, Fujii M, Murakami H, Osada H, Ito H, Takeuchi I, Sekido Y, Kondo Y. Distinct profiles of epigenetic evolution between colorectal cancers with and without metastasis. </w:t>
      </w:r>
      <w:r>
        <w:rPr>
          <w:rFonts w:ascii="Book Antiqua" w:eastAsia="Book Antiqua" w:hAnsi="Book Antiqua" w:cs="Book Antiqua"/>
          <w:i/>
          <w:iCs/>
        </w:rPr>
        <w:t>Am J Pathol</w:t>
      </w:r>
      <w:r>
        <w:rPr>
          <w:rFonts w:ascii="Book Antiqua" w:eastAsia="Book Antiqua" w:hAnsi="Book Antiqua" w:cs="Book Antiqua"/>
        </w:rPr>
        <w:t xml:space="preserve"> 2011; </w:t>
      </w:r>
      <w:r>
        <w:rPr>
          <w:rFonts w:ascii="Book Antiqua" w:eastAsia="Book Antiqua" w:hAnsi="Book Antiqua" w:cs="Book Antiqua"/>
          <w:b/>
          <w:bCs/>
        </w:rPr>
        <w:t>178</w:t>
      </w:r>
      <w:r>
        <w:rPr>
          <w:rFonts w:ascii="Book Antiqua" w:eastAsia="Book Antiqua" w:hAnsi="Book Antiqua" w:cs="Book Antiqua"/>
        </w:rPr>
        <w:t>: 1835-1846 [PMID: 21406167 DOI: 10.1016/j.ajpath.2010.12.045]</w:t>
      </w:r>
    </w:p>
    <w:p w14:paraId="41D72C1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Lao VV</w:t>
      </w:r>
      <w:r>
        <w:rPr>
          <w:rFonts w:ascii="Book Antiqua" w:eastAsia="Book Antiqua" w:hAnsi="Book Antiqua" w:cs="Book Antiqua"/>
        </w:rPr>
        <w:t xml:space="preserve">, Grady WM. Epigenetics and colorectal cancer. </w:t>
      </w:r>
      <w:r>
        <w:rPr>
          <w:rFonts w:ascii="Book Antiqua" w:eastAsia="Book Antiqua" w:hAnsi="Book Antiqua" w:cs="Book Antiqua"/>
          <w:i/>
          <w:iCs/>
        </w:rPr>
        <w:t>Nat Rev Gastroenterol Hepatol</w:t>
      </w:r>
      <w:r>
        <w:rPr>
          <w:rFonts w:ascii="Book Antiqua" w:eastAsia="Book Antiqua" w:hAnsi="Book Antiqua" w:cs="Book Antiqua"/>
        </w:rPr>
        <w:t xml:space="preserve"> 2011; </w:t>
      </w:r>
      <w:r>
        <w:rPr>
          <w:rFonts w:ascii="Book Antiqua" w:eastAsia="Book Antiqua" w:hAnsi="Book Antiqua" w:cs="Book Antiqua"/>
          <w:b/>
          <w:bCs/>
        </w:rPr>
        <w:t>8</w:t>
      </w:r>
      <w:r>
        <w:rPr>
          <w:rFonts w:ascii="Book Antiqua" w:eastAsia="Book Antiqua" w:hAnsi="Book Antiqua" w:cs="Book Antiqua"/>
        </w:rPr>
        <w:t>: 686-700 [PMID: 22009203 DOI: 10.1038/nrgastro.2011.173]</w:t>
      </w:r>
    </w:p>
    <w:p w14:paraId="76C3F85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Orjuela S</w:t>
      </w:r>
      <w:r>
        <w:rPr>
          <w:rFonts w:ascii="Book Antiqua" w:eastAsia="Book Antiqua" w:hAnsi="Book Antiqua" w:cs="Book Antiqua"/>
        </w:rPr>
        <w:t xml:space="preserve">, Menigatti M, Schraml P, Kambakamba P, Robinson MD, Marra G. The DNA hypermethylation phenotype of colorectal cancer liver metastases resembles that of the primary colorectal cancers. </w:t>
      </w:r>
      <w:r>
        <w:rPr>
          <w:rFonts w:ascii="Book Antiqua" w:eastAsia="Book Antiqua" w:hAnsi="Book Antiqua" w:cs="Book Antiqua"/>
          <w:i/>
          <w:iCs/>
        </w:rPr>
        <w:t>BMC Cancer</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290 [PMID: 32252665 DOI: 10.1186/s12885-020-06777-6]</w:t>
      </w:r>
    </w:p>
    <w:p w14:paraId="571B67CA"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Konishi K</w:t>
      </w:r>
      <w:r>
        <w:rPr>
          <w:rFonts w:ascii="Book Antiqua" w:eastAsia="Book Antiqua" w:hAnsi="Book Antiqua" w:cs="Book Antiqua"/>
        </w:rPr>
        <w:t xml:space="preserve">, Watanabe Y, Shen L, Guo Y, Castoro RJ, Kondo K, Chung W, Ahmed S, Jelinek J, Boumber YA, Estecio MR, Maegawa S, Kondo Y, Itoh F, Imawari M, Hamilton SR, Issa JP. DNA methylation profiles of primary colorectal carcinoma and matched liver metastasis. </w:t>
      </w:r>
      <w:r>
        <w:rPr>
          <w:rFonts w:ascii="Book Antiqua" w:eastAsia="Book Antiqua" w:hAnsi="Book Antiqua" w:cs="Book Antiqua"/>
          <w:i/>
          <w:iCs/>
        </w:rPr>
        <w:t>PLoS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e27889 [PMID: 22132162 DOI: 10.1371/journal.pone.0027889]</w:t>
      </w:r>
    </w:p>
    <w:p w14:paraId="51699B2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Hur K</w:t>
      </w:r>
      <w:r>
        <w:rPr>
          <w:rFonts w:ascii="Book Antiqua" w:eastAsia="Book Antiqua" w:hAnsi="Book Antiqua" w:cs="Book Antiqua"/>
        </w:rPr>
        <w:t xml:space="preserve">, Cejas P, Feliu J, Moreno-Rubio J, Burgos E, Boland CR, Goel A. Hypomethylation of long interspersed nuclear element-1 (LINE-1) leads to activation of proto-oncogenes in human colorectal cancer metastasis. </w:t>
      </w:r>
      <w:r>
        <w:rPr>
          <w:rFonts w:ascii="Book Antiqua" w:eastAsia="Book Antiqua" w:hAnsi="Book Antiqua" w:cs="Book Antiqua"/>
          <w:i/>
          <w:iCs/>
        </w:rPr>
        <w:t>Gut</w:t>
      </w:r>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635-646 [PMID: 23704319 DOI: 10.1136/gutjnl-2012-304219]</w:t>
      </w:r>
    </w:p>
    <w:p w14:paraId="5B722126"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Anastasiadou E</w:t>
      </w:r>
      <w:r>
        <w:rPr>
          <w:rFonts w:ascii="Book Antiqua" w:eastAsia="Book Antiqua" w:hAnsi="Book Antiqua" w:cs="Book Antiqua"/>
        </w:rPr>
        <w:t xml:space="preserve">, Jacob LS, Slack FJ. Non-coding RNA networks in cancer. </w:t>
      </w:r>
      <w:r>
        <w:rPr>
          <w:rFonts w:ascii="Book Antiqua" w:eastAsia="Book Antiqua" w:hAnsi="Book Antiqua" w:cs="Book Antiqua"/>
          <w:i/>
          <w:iCs/>
        </w:rPr>
        <w:t>Nat Rev Cancer</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5-18 [PMID: 29170536 DOI: 10.1038/nrc.2017.99]</w:t>
      </w:r>
    </w:p>
    <w:p w14:paraId="446EA3E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Forman JJ</w:t>
      </w:r>
      <w:r>
        <w:rPr>
          <w:rFonts w:ascii="Book Antiqua" w:eastAsia="Book Antiqua" w:hAnsi="Book Antiqua" w:cs="Book Antiqua"/>
        </w:rPr>
        <w:t xml:space="preserve">, Legesse-Miller A, Coller HA. A search for conserved sequences in coding regions reveals that the let-7 microRNA targets Dicer within its coding sequence. </w:t>
      </w:r>
      <w:r>
        <w:rPr>
          <w:rFonts w:ascii="Book Antiqua" w:eastAsia="Book Antiqua" w:hAnsi="Book Antiqua" w:cs="Book Antiqua"/>
          <w:i/>
          <w:iCs/>
        </w:rPr>
        <w:t>Proc Natl Acad Sci U S A</w:t>
      </w:r>
      <w:r>
        <w:rPr>
          <w:rFonts w:ascii="Book Antiqua" w:eastAsia="Book Antiqua" w:hAnsi="Book Antiqua" w:cs="Book Antiqua"/>
        </w:rPr>
        <w:t xml:space="preserve"> 2008; </w:t>
      </w:r>
      <w:r>
        <w:rPr>
          <w:rFonts w:ascii="Book Antiqua" w:eastAsia="Book Antiqua" w:hAnsi="Book Antiqua" w:cs="Book Antiqua"/>
          <w:b/>
          <w:bCs/>
        </w:rPr>
        <w:t>105</w:t>
      </w:r>
      <w:r>
        <w:rPr>
          <w:rFonts w:ascii="Book Antiqua" w:eastAsia="Book Antiqua" w:hAnsi="Book Antiqua" w:cs="Book Antiqua"/>
        </w:rPr>
        <w:t>: 14879-14884 [PMID: 18812516 DOI: 10.1073/pnas.0803230105]</w:t>
      </w:r>
    </w:p>
    <w:p w14:paraId="6393448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Mokutani Y</w:t>
      </w:r>
      <w:r>
        <w:rPr>
          <w:rFonts w:ascii="Book Antiqua" w:eastAsia="Book Antiqua" w:hAnsi="Book Antiqua" w:cs="Book Antiqua"/>
        </w:rPr>
        <w:t xml:space="preserve">, Uemura M, Munakata K, Okuzaki D, Haraguchi N, Takahashi H, Nishimura J, Hata T, Murata K, Takemasa I, Mizushima T, Doki Y, Mori M, Yamamoto H. Down-Regulation of microRNA-132 is Associated with Poor Prognosis of Colorectal Cancer. </w:t>
      </w:r>
      <w:r>
        <w:rPr>
          <w:rFonts w:ascii="Book Antiqua" w:eastAsia="Book Antiqua" w:hAnsi="Book Antiqua" w:cs="Book Antiqua"/>
          <w:i/>
          <w:iCs/>
        </w:rPr>
        <w:t>Ann Surg Oncol</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599-608 [PMID: 26868958 DOI: 10.1245/s10434-016-5133-3]</w:t>
      </w:r>
    </w:p>
    <w:p w14:paraId="23B937A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Hu X</w:t>
      </w:r>
      <w:r>
        <w:rPr>
          <w:rFonts w:ascii="Book Antiqua" w:eastAsia="Book Antiqua" w:hAnsi="Book Antiqua" w:cs="Book Antiqua"/>
        </w:rPr>
        <w:t xml:space="preserve">, Chen Q, Guo H, Li K, Fu B, Chen Y, Zhao H, Wei M, Li Y, Wu H. Identification of Target PTEN-Based miR-425 and miR-576 as Potential Diagnostic and Immunotherapeutic Biomarkers of Colorectal Cancer With Liver Metastasis.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657984 [PMID: 34490081 DOI: 10.3389/fonc.2021.657984]</w:t>
      </w:r>
    </w:p>
    <w:p w14:paraId="1397D8A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Yan L</w:t>
      </w:r>
      <w:r>
        <w:rPr>
          <w:rFonts w:ascii="Book Antiqua" w:eastAsia="Book Antiqua" w:hAnsi="Book Antiqua" w:cs="Book Antiqua"/>
        </w:rPr>
        <w:t xml:space="preserve">, Yu J, Tan F, Ye GT, Shen ZY, Liu H, Zhang Y, Wang JF, Zhu XJ, Li GX. SP1-mediated microRNA-520d-5p suppresses tumor growth and metastasis in colorectal cancer by targeting CTHRC1. </w:t>
      </w:r>
      <w:r>
        <w:rPr>
          <w:rFonts w:ascii="Book Antiqua" w:eastAsia="Book Antiqua" w:hAnsi="Book Antiqua" w:cs="Book Antiqua"/>
          <w:i/>
          <w:iCs/>
        </w:rPr>
        <w:t>Am J Cancer Res</w:t>
      </w:r>
      <w:r>
        <w:rPr>
          <w:rFonts w:ascii="Book Antiqua" w:eastAsia="Book Antiqua" w:hAnsi="Book Antiqua" w:cs="Book Antiqua"/>
        </w:rPr>
        <w:t xml:space="preserve"> 2015; </w:t>
      </w:r>
      <w:r>
        <w:rPr>
          <w:rFonts w:ascii="Book Antiqua" w:eastAsia="Book Antiqua" w:hAnsi="Book Antiqua" w:cs="Book Antiqua"/>
          <w:b/>
          <w:bCs/>
        </w:rPr>
        <w:t>5</w:t>
      </w:r>
      <w:r>
        <w:rPr>
          <w:rFonts w:ascii="Book Antiqua" w:eastAsia="Book Antiqua" w:hAnsi="Book Antiqua" w:cs="Book Antiqua"/>
        </w:rPr>
        <w:t>: 1447-1459 [PMID: 26101709]</w:t>
      </w:r>
    </w:p>
    <w:p w14:paraId="435E7AB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Liu H</w:t>
      </w:r>
      <w:r>
        <w:rPr>
          <w:rFonts w:ascii="Book Antiqua" w:eastAsia="Book Antiqua" w:hAnsi="Book Antiqua" w:cs="Book Antiqua"/>
        </w:rPr>
        <w:t xml:space="preserve">, Tian Y, Li J, Zhang G, Liu Q, Yang M, Yue L, Cao Q, Zhang G, Cheng Y, Kong N, Fang L, Li S, Sun Q. Identification and functional analysis of lncRNAs and mRNAs between tumorigenesis and metastasis in CRC. </w:t>
      </w:r>
      <w:r>
        <w:rPr>
          <w:rFonts w:ascii="Book Antiqua" w:eastAsia="Book Antiqua" w:hAnsi="Book Antiqua" w:cs="Book Antiqua"/>
          <w:i/>
          <w:iCs/>
        </w:rPr>
        <w:t>Aging (Albany NY)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25859-25885 [PMID: 34954693 DOI: 10.18632/aging.203775]</w:t>
      </w:r>
    </w:p>
    <w:p w14:paraId="1A96C3B5"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Liang ZX</w:t>
      </w:r>
      <w:r>
        <w:rPr>
          <w:rFonts w:ascii="Book Antiqua" w:eastAsia="Book Antiqua" w:hAnsi="Book Antiqua" w:cs="Book Antiqua"/>
        </w:rPr>
        <w:t xml:space="preserve">, Liu HS, Wang FW, Xiong L, Zhou C, Hu T, He XW, Wu XJ, Xie D, Wu XR, Lan P. LncRNA RPPH1 promotes colorectal cancer metastasis by interacting with TUBB3 and by promoting exosomes-mediated macrophage M2 polarization. </w:t>
      </w:r>
      <w:r>
        <w:rPr>
          <w:rFonts w:ascii="Book Antiqua" w:eastAsia="Book Antiqua" w:hAnsi="Book Antiqua" w:cs="Book Antiqua"/>
          <w:i/>
          <w:iCs/>
        </w:rPr>
        <w:t>Cell Death Dis</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829 [PMID: 31685807 DOI: 10.1038/s41419-019-2077-0]</w:t>
      </w:r>
    </w:p>
    <w:p w14:paraId="24DEA895"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Wang X</w:t>
      </w:r>
      <w:r>
        <w:rPr>
          <w:rFonts w:ascii="Book Antiqua" w:eastAsia="Book Antiqua" w:hAnsi="Book Antiqua" w:cs="Book Antiqua"/>
        </w:rPr>
        <w:t xml:space="preserve">, Yu H, Sun W, Kong J, Zhang L, Tang J, Wang J, Xu E, Lai M, Zhang H. The long non-coding RNA CYTOR drives colorectal cancer progression by interacting with NCL and Sam68. </w:t>
      </w:r>
      <w:r>
        <w:rPr>
          <w:rFonts w:ascii="Book Antiqua" w:eastAsia="Book Antiqua" w:hAnsi="Book Antiqua" w:cs="Book Antiqua"/>
          <w:i/>
          <w:iCs/>
        </w:rPr>
        <w:t>Mol Cancer</w:t>
      </w:r>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110 [PMID: 30064438 DOI: 10.1186/s12943-018-0860-7]</w:t>
      </w:r>
    </w:p>
    <w:p w14:paraId="0CF62DF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Lv C</w:t>
      </w:r>
      <w:r>
        <w:rPr>
          <w:rFonts w:ascii="Book Antiqua" w:eastAsia="Book Antiqua" w:hAnsi="Book Antiqua" w:cs="Book Antiqua"/>
        </w:rPr>
        <w:t xml:space="preserve">, Yu H, Wang K, Chen C, Tang J, Han F, Mai M, Ye K, Lai M, Zhang H. ENO2 Promotes Colorectal Cancer Metastasis by Interacting with the LncRNA CYTOR and Activating YAP1-Induced EMT.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35954207 DOI: 10.3390/cells11152363]</w:t>
      </w:r>
    </w:p>
    <w:p w14:paraId="5B4DAA9A"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Tieng FYF</w:t>
      </w:r>
      <w:r>
        <w:rPr>
          <w:rFonts w:ascii="Book Antiqua" w:eastAsia="Book Antiqua" w:hAnsi="Book Antiqua" w:cs="Book Antiqua"/>
        </w:rPr>
        <w:t xml:space="preserve">, Baharudin R, Abu N, Mohd Yunos RI, Lee LH, Ab Mutalib NS. Single Cell Transcriptome in Colorectal Cancer-Current Updates on Its Application in Metastasis, Chemoresistance and the Roles of Circulating Tumor Cells. </w:t>
      </w:r>
      <w:r>
        <w:rPr>
          <w:rFonts w:ascii="Book Antiqua" w:eastAsia="Book Antiqua" w:hAnsi="Book Antiqua" w:cs="Book Antiqua"/>
          <w:i/>
          <w:iCs/>
        </w:rPr>
        <w:t>Front Pharmacol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135 [PMID: 32174835 DOI: 10.3389/fphar.2020.00135]</w:t>
      </w:r>
    </w:p>
    <w:p w14:paraId="4D96C24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Malki A</w:t>
      </w:r>
      <w:r>
        <w:rPr>
          <w:rFonts w:ascii="Book Antiqua" w:eastAsia="Book Antiqua" w:hAnsi="Book Antiqua" w:cs="Book Antiqua"/>
        </w:rPr>
        <w:t xml:space="preserve">, ElRuz RA, Gupta I, Allouch A, Vranic S, Al Moustafa AE. Molecular Mechanisms of Colon Cancer Progression and Metastasis: Recent Insights and Advancements.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xml:space="preserve"> [PMID: 33374459 DOI: 10.3390/ijms22010130]</w:t>
      </w:r>
    </w:p>
    <w:p w14:paraId="2BA883C0"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Lichtenstern CR</w:t>
      </w:r>
      <w:r>
        <w:rPr>
          <w:rFonts w:ascii="Book Antiqua" w:eastAsia="Book Antiqua" w:hAnsi="Book Antiqua" w:cs="Book Antiqua"/>
        </w:rPr>
        <w:t xml:space="preserve">, Ngu RK, Shalapour S, Karin M. Immunotherapy, Inflammation and Colorectal Cancer. </w:t>
      </w:r>
      <w:r>
        <w:rPr>
          <w:rFonts w:ascii="Book Antiqua" w:eastAsia="Book Antiqua" w:hAnsi="Book Antiqua" w:cs="Book Antiqua"/>
          <w:i/>
          <w:iCs/>
        </w:rPr>
        <w:t>Cells</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[PMID: 32143413 DOI: 10.3390/cells9030618]</w:t>
      </w:r>
    </w:p>
    <w:p w14:paraId="7AD321A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Guinney J</w:t>
      </w:r>
      <w:r>
        <w:rPr>
          <w:rFonts w:ascii="Book Antiqua" w:eastAsia="Book Antiqua" w:hAnsi="Book Antiqua" w:cs="Book Antiqua"/>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Pr>
          <w:rFonts w:ascii="Book Antiqua" w:eastAsia="Book Antiqua" w:hAnsi="Book Antiqua" w:cs="Book Antiqua"/>
          <w:i/>
          <w:iCs/>
        </w:rPr>
        <w:t>Nat Med</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1350-1356 [PMID: 26457759 DOI: 10.1038/nm.3967]</w:t>
      </w:r>
    </w:p>
    <w:p w14:paraId="10C0149D"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Vilar E</w:t>
      </w:r>
      <w:r>
        <w:rPr>
          <w:rFonts w:ascii="Book Antiqua" w:eastAsia="Book Antiqua" w:hAnsi="Book Antiqua" w:cs="Book Antiqua"/>
        </w:rPr>
        <w:t xml:space="preserve">, Gruber SB. Microsatellite instability in colorectal cancer-the stable evidence. </w:t>
      </w:r>
      <w:r>
        <w:rPr>
          <w:rFonts w:ascii="Book Antiqua" w:eastAsia="Book Antiqua" w:hAnsi="Book Antiqua" w:cs="Book Antiqua"/>
          <w:i/>
          <w:iCs/>
        </w:rPr>
        <w:t>Nat Rev Clin Oncol</w:t>
      </w:r>
      <w:r>
        <w:rPr>
          <w:rFonts w:ascii="Book Antiqua" w:eastAsia="Book Antiqua" w:hAnsi="Book Antiqua" w:cs="Book Antiqua"/>
        </w:rPr>
        <w:t xml:space="preserve"> 2010; </w:t>
      </w:r>
      <w:r>
        <w:rPr>
          <w:rFonts w:ascii="Book Antiqua" w:eastAsia="Book Antiqua" w:hAnsi="Book Antiqua" w:cs="Book Antiqua"/>
          <w:b/>
          <w:bCs/>
        </w:rPr>
        <w:t>7</w:t>
      </w:r>
      <w:r>
        <w:rPr>
          <w:rFonts w:ascii="Book Antiqua" w:eastAsia="Book Antiqua" w:hAnsi="Book Antiqua" w:cs="Book Antiqua"/>
        </w:rPr>
        <w:t>: 153-162 [PMID: 20142816 DOI: 10.1038/nrclinonc.2009.237]</w:t>
      </w:r>
    </w:p>
    <w:p w14:paraId="33E37D03"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Maby P</w:t>
      </w:r>
      <w:r>
        <w:rPr>
          <w:rFonts w:ascii="Book Antiqua" w:eastAsia="Book Antiqua" w:hAnsi="Book Antiqua" w:cs="Book Antiqua"/>
        </w:rPr>
        <w:t xml:space="preserve">, Galon J, Latouche JB. Frameshift mutations, neoantigens and tumor-specific CD8(+) T cells in microsatellite unstable colorectal cancers. </w:t>
      </w:r>
      <w:r>
        <w:rPr>
          <w:rFonts w:ascii="Book Antiqua" w:eastAsia="Book Antiqua" w:hAnsi="Book Antiqua" w:cs="Book Antiqua"/>
          <w:i/>
          <w:iCs/>
        </w:rPr>
        <w:t>Oncoimmunology</w:t>
      </w:r>
      <w:r>
        <w:rPr>
          <w:rFonts w:ascii="Book Antiqua" w:eastAsia="Book Antiqua" w:hAnsi="Book Antiqua" w:cs="Book Antiqua"/>
        </w:rPr>
        <w:t xml:space="preserve"> 2016; </w:t>
      </w:r>
      <w:r>
        <w:rPr>
          <w:rFonts w:ascii="Book Antiqua" w:eastAsia="Book Antiqua" w:hAnsi="Book Antiqua" w:cs="Book Antiqua"/>
          <w:b/>
          <w:bCs/>
        </w:rPr>
        <w:t>5</w:t>
      </w:r>
      <w:r>
        <w:rPr>
          <w:rFonts w:ascii="Book Antiqua" w:eastAsia="Book Antiqua" w:hAnsi="Book Antiqua" w:cs="Book Antiqua"/>
        </w:rPr>
        <w:t>: e1115943 [PMID: 27467916 DOI: 10.1080/2162402X.2015.1115943]</w:t>
      </w:r>
    </w:p>
    <w:p w14:paraId="393FBBD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Babaei G</w:t>
      </w:r>
      <w:r>
        <w:rPr>
          <w:rFonts w:ascii="Book Antiqua" w:eastAsia="Book Antiqua" w:hAnsi="Book Antiqua" w:cs="Book Antiqua"/>
        </w:rPr>
        <w:t xml:space="preserve">, Aziz SG, Jaghi NZZ. EMT, cancer stem cells and autophagy; The three main axes of metastasis. </w:t>
      </w:r>
      <w:r>
        <w:rPr>
          <w:rFonts w:ascii="Book Antiqua" w:eastAsia="Book Antiqua" w:hAnsi="Book Antiqua" w:cs="Book Antiqua"/>
          <w:i/>
          <w:iCs/>
        </w:rPr>
        <w:t>Biomed Pharmacother</w:t>
      </w:r>
      <w:r>
        <w:rPr>
          <w:rFonts w:ascii="Book Antiqua" w:eastAsia="Book Antiqua" w:hAnsi="Book Antiqua" w:cs="Book Antiqua"/>
        </w:rPr>
        <w:t xml:space="preserve"> 2021; </w:t>
      </w:r>
      <w:r>
        <w:rPr>
          <w:rFonts w:ascii="Book Antiqua" w:eastAsia="Book Antiqua" w:hAnsi="Book Antiqua" w:cs="Book Antiqua"/>
          <w:b/>
          <w:bCs/>
        </w:rPr>
        <w:t>133</w:t>
      </w:r>
      <w:r>
        <w:rPr>
          <w:rFonts w:ascii="Book Antiqua" w:eastAsia="Book Antiqua" w:hAnsi="Book Antiqua" w:cs="Book Antiqua"/>
        </w:rPr>
        <w:t>: 110909 [PMID: 33227701 DOI: 10.1016/j.biopha.2020.110909]</w:t>
      </w:r>
    </w:p>
    <w:p w14:paraId="5D1652EA"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Beerling E</w:t>
      </w:r>
      <w:r>
        <w:rPr>
          <w:rFonts w:ascii="Book Antiqua" w:eastAsia="Book Antiqua" w:hAnsi="Book Antiqua" w:cs="Book Antiqua"/>
        </w:rPr>
        <w:t xml:space="preserve">, Seinstra D, de Wit E, Kester L, van der Velden D, Maynard C, Schäfer R, van Diest P, Voest E, van Oudenaarden A, Vrisekoop N, van Rheenen J. Plasticity between Epithelial and Mesenchymal States Unlinks EMT from Metastasis-Enhancing Stem Cell Capacity. </w:t>
      </w:r>
      <w:r>
        <w:rPr>
          <w:rFonts w:ascii="Book Antiqua" w:eastAsia="Book Antiqua" w:hAnsi="Book Antiqua" w:cs="Book Antiqua"/>
          <w:i/>
          <w:iCs/>
        </w:rPr>
        <w:t>Cell Rep</w:t>
      </w:r>
      <w:r>
        <w:rPr>
          <w:rFonts w:ascii="Book Antiqua" w:eastAsia="Book Antiqua" w:hAnsi="Book Antiqua" w:cs="Book Antiqua"/>
        </w:rPr>
        <w:t xml:space="preserve"> 2016; </w:t>
      </w:r>
      <w:r>
        <w:rPr>
          <w:rFonts w:ascii="Book Antiqua" w:eastAsia="Book Antiqua" w:hAnsi="Book Antiqua" w:cs="Book Antiqua"/>
          <w:b/>
          <w:bCs/>
        </w:rPr>
        <w:t>14</w:t>
      </w:r>
      <w:r>
        <w:rPr>
          <w:rFonts w:ascii="Book Antiqua" w:eastAsia="Book Antiqua" w:hAnsi="Book Antiqua" w:cs="Book Antiqua"/>
        </w:rPr>
        <w:t>: 2281-2288 [PMID: 26947068 DOI: 10.1016/j.celrep.2016.02.034]</w:t>
      </w:r>
    </w:p>
    <w:p w14:paraId="3C77C81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Liu J</w:t>
      </w:r>
      <w:r>
        <w:rPr>
          <w:rFonts w:ascii="Book Antiqua" w:eastAsia="Book Antiqua" w:hAnsi="Book Antiqua" w:cs="Book Antiqua"/>
        </w:rPr>
        <w:t xml:space="preserve">, Zhang Y, Li Q, Wang Y. Transgelins: Cytoskeletal Associated Proteins Implicated in the Metastasis of Colorectal Cancer.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573859 [PMID: 33117801 DOI: 10.3389/fcell.2020.573859]</w:t>
      </w:r>
    </w:p>
    <w:p w14:paraId="5A44794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Zhang H</w:t>
      </w:r>
      <w:r>
        <w:rPr>
          <w:rFonts w:ascii="Book Antiqua" w:eastAsia="Book Antiqua" w:hAnsi="Book Antiqua" w:cs="Book Antiqua"/>
        </w:rPr>
        <w:t xml:space="preserve">, Chi J, Hu J, Ji T, Luo Z, Zhou C, Huang L, Dai Z, Li J, Wang G, Wang L, Wang Z. Intracellular AGR2 transduces PGE2 stimuli to promote epithelial-mesenchymal transition and metastasis of colorectal cancer. </w:t>
      </w:r>
      <w:r>
        <w:rPr>
          <w:rFonts w:ascii="Book Antiqua" w:eastAsia="Book Antiqua" w:hAnsi="Book Antiqua" w:cs="Book Antiqua"/>
          <w:i/>
          <w:iCs/>
        </w:rPr>
        <w:t>Cancer Lett</w:t>
      </w:r>
      <w:r>
        <w:rPr>
          <w:rFonts w:ascii="Book Antiqua" w:eastAsia="Book Antiqua" w:hAnsi="Book Antiqua" w:cs="Book Antiqua"/>
        </w:rPr>
        <w:t xml:space="preserve"> 2021; </w:t>
      </w:r>
      <w:r>
        <w:rPr>
          <w:rFonts w:ascii="Book Antiqua" w:eastAsia="Book Antiqua" w:hAnsi="Book Antiqua" w:cs="Book Antiqua"/>
          <w:b/>
          <w:bCs/>
        </w:rPr>
        <w:t>518</w:t>
      </w:r>
      <w:r>
        <w:rPr>
          <w:rFonts w:ascii="Book Antiqua" w:eastAsia="Book Antiqua" w:hAnsi="Book Antiqua" w:cs="Book Antiqua"/>
        </w:rPr>
        <w:t>: 180-195 [PMID: 34216690 DOI: 10.1016/j.canlet.2021.06.025]</w:t>
      </w:r>
    </w:p>
    <w:p w14:paraId="0FED0E2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Lee H</w:t>
      </w:r>
      <w:r>
        <w:rPr>
          <w:rFonts w:ascii="Book Antiqua" w:eastAsia="Book Antiqua" w:hAnsi="Book Antiqua" w:cs="Book Antiqua"/>
        </w:rPr>
        <w:t xml:space="preserve">, Shim S, Kong JS, Kim MJ, Park S, Lee SS, Kim A. Overexpression of dopamine receptor D2 promotes colorectal cancer progression by activating the β-catenin/ZEB1 axis. </w:t>
      </w:r>
      <w:r>
        <w:rPr>
          <w:rFonts w:ascii="Book Antiqua" w:eastAsia="Book Antiqua" w:hAnsi="Book Antiqua" w:cs="Book Antiqua"/>
          <w:i/>
          <w:iCs/>
        </w:rPr>
        <w:t>Cancer Sci</w:t>
      </w:r>
      <w:r>
        <w:rPr>
          <w:rFonts w:ascii="Book Antiqua" w:eastAsia="Book Antiqua" w:hAnsi="Book Antiqua" w:cs="Book Antiqua"/>
        </w:rPr>
        <w:t xml:space="preserve"> 2021; </w:t>
      </w:r>
      <w:r>
        <w:rPr>
          <w:rFonts w:ascii="Book Antiqua" w:eastAsia="Book Antiqua" w:hAnsi="Book Antiqua" w:cs="Book Antiqua"/>
          <w:b/>
          <w:bCs/>
        </w:rPr>
        <w:t>112</w:t>
      </w:r>
      <w:r>
        <w:rPr>
          <w:rFonts w:ascii="Book Antiqua" w:eastAsia="Book Antiqua" w:hAnsi="Book Antiqua" w:cs="Book Antiqua"/>
        </w:rPr>
        <w:t>: 3732-3743 [PMID: 34118099 DOI: 10.1111/cas.15026]</w:t>
      </w:r>
    </w:p>
    <w:p w14:paraId="1444CFF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Dahlmann M</w:t>
      </w:r>
      <w:r>
        <w:rPr>
          <w:rFonts w:ascii="Book Antiqua" w:eastAsia="Book Antiqua" w:hAnsi="Book Antiqua" w:cs="Book Antiqua"/>
        </w:rPr>
        <w:t xml:space="preserve">, Monks A, Harris ED, Kobelt D, Osterland M, Khaireddine F, Herrmann P, Kemmner W, Burock S, Walther W, Shoemaker RH, Stein U. Combination of Wnt/β-Catenin Targets S100A4 and DKK1 Improves Prognosis of Human Colorectal Cancer.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xml:space="preserve"> [PMID: 35008201 DOI: 10.3390/cancers14010037]</w:t>
      </w:r>
    </w:p>
    <w:p w14:paraId="2EEA78B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Tan Y</w:t>
      </w:r>
      <w:r>
        <w:rPr>
          <w:rFonts w:ascii="Book Antiqua" w:eastAsia="Book Antiqua" w:hAnsi="Book Antiqua" w:cs="Book Antiqua"/>
        </w:rPr>
        <w:t xml:space="preserve">, Hu Y, Xiao Q, Tang Y, Chen H, He J, Chen L, Jiang K, Wang Z, Yuan Y, Ding K. Silencing of brain-expressed X-linked 2 (BEX2) promotes colorectal cancer metastasis through the Hedgehog signaling pathway. </w:t>
      </w:r>
      <w:r>
        <w:rPr>
          <w:rFonts w:ascii="Book Antiqua" w:eastAsia="Book Antiqua" w:hAnsi="Book Antiqua" w:cs="Book Antiqua"/>
          <w:i/>
          <w:iCs/>
        </w:rPr>
        <w:t>Int J Biol Sci</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228-238 [PMID: 31929751 DOI: 10.7150/ijbs.38431]</w:t>
      </w:r>
    </w:p>
    <w:p w14:paraId="7424E8DA"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Liao Z</w:t>
      </w:r>
      <w:r>
        <w:rPr>
          <w:rFonts w:ascii="Book Antiqua" w:eastAsia="Book Antiqua" w:hAnsi="Book Antiqua" w:cs="Book Antiqua"/>
        </w:rPr>
        <w:t>, Zhang H, Fan P, Huang Q, Dong K, Qi Y, Song J, Chen L, Liang H, Chen X, Zhang Z, Zhang B. [Corrigendum] High PLK4 expression promotes tumor progression and induces epithelial</w:t>
      </w:r>
      <w:r>
        <w:rPr>
          <w:rFonts w:ascii="Book Antiqua" w:eastAsia="Book Antiqua" w:hAnsi="Book Antiqua" w:cs="Book Antiqua"/>
        </w:rPr>
        <w:noBreakHyphen/>
        <w:t>mesenchymal transition by regulating the Wnt/β</w:t>
      </w:r>
      <w:r>
        <w:rPr>
          <w:rFonts w:ascii="Book Antiqua" w:eastAsia="Book Antiqua" w:hAnsi="Book Antiqua" w:cs="Book Antiqua"/>
        </w:rPr>
        <w:noBreakHyphen/>
        <w:t xml:space="preserve">catenin signaling pathway in colorectal cancer. </w:t>
      </w:r>
      <w:r>
        <w:rPr>
          <w:rFonts w:ascii="Book Antiqua" w:eastAsia="Book Antiqua" w:hAnsi="Book Antiqua" w:cs="Book Antiqua"/>
          <w:i/>
          <w:iCs/>
        </w:rPr>
        <w:t>Int J Oncol</w:t>
      </w:r>
      <w:r>
        <w:rPr>
          <w:rFonts w:ascii="Book Antiqua" w:eastAsia="Book Antiqua" w:hAnsi="Book Antiqua" w:cs="Book Antiqua"/>
        </w:rPr>
        <w:t xml:space="preserve"> 2022; </w:t>
      </w:r>
      <w:r>
        <w:rPr>
          <w:rFonts w:ascii="Book Antiqua" w:eastAsia="Book Antiqua" w:hAnsi="Book Antiqua" w:cs="Book Antiqua"/>
          <w:b/>
          <w:bCs/>
        </w:rPr>
        <w:t>60</w:t>
      </w:r>
      <w:r>
        <w:rPr>
          <w:rFonts w:ascii="Book Antiqua" w:eastAsia="Book Antiqua" w:hAnsi="Book Antiqua" w:cs="Book Antiqua"/>
        </w:rPr>
        <w:t xml:space="preserve"> [PMID: 34878151 DOI: 10.3892/ijo.2021.5291]</w:t>
      </w:r>
    </w:p>
    <w:p w14:paraId="4705E92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Diesch J</w:t>
      </w:r>
      <w:r>
        <w:rPr>
          <w:rFonts w:ascii="Book Antiqua" w:eastAsia="Book Antiqua" w:hAnsi="Book Antiqua" w:cs="Book Antiqua"/>
        </w:rPr>
        <w:t xml:space="preserve">, Sanij E, Gilan O, Love C, Tran H, Fleming NI, Ellul J, Amalia M, Haviv I, Pearson RB, Tulchinsky E, Mariadason JM, Sieber OM, Hannan RD, Dhillon AS. Widespread FRA1-dependent control of mesenchymal transdifferentiation programs in colorectal cancer cells. </w:t>
      </w:r>
      <w:r>
        <w:rPr>
          <w:rFonts w:ascii="Book Antiqua" w:eastAsia="Book Antiqua" w:hAnsi="Book Antiqua" w:cs="Book Antiqua"/>
          <w:i/>
          <w:iCs/>
        </w:rPr>
        <w:t>PLoS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e88950 [PMID: 24658684 DOI: 10.1371/journal.pone.0088950]</w:t>
      </w:r>
    </w:p>
    <w:p w14:paraId="48CD937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Jackstadt R</w:t>
      </w:r>
      <w:r>
        <w:rPr>
          <w:rFonts w:ascii="Book Antiqua" w:eastAsia="Book Antiqua" w:hAnsi="Book Antiqua" w:cs="Book Antiqua"/>
        </w:rPr>
        <w:t xml:space="preserve">, Röh S, Neumann J, Jung P, Hoffmann R, Horst D, Berens C, Bornkamm GW, Kirchner T, Menssen A, Hermeking H. AP4 is a mediator of epithelial-mesenchymal transition and metastasis in colorectal cancer. </w:t>
      </w:r>
      <w:r>
        <w:rPr>
          <w:rFonts w:ascii="Book Antiqua" w:eastAsia="Book Antiqua" w:hAnsi="Book Antiqua" w:cs="Book Antiqua"/>
          <w:i/>
          <w:iCs/>
        </w:rPr>
        <w:t>J Exp Med</w:t>
      </w:r>
      <w:r>
        <w:rPr>
          <w:rFonts w:ascii="Book Antiqua" w:eastAsia="Book Antiqua" w:hAnsi="Book Antiqua" w:cs="Book Antiqua"/>
        </w:rPr>
        <w:t xml:space="preserve"> 2013; </w:t>
      </w:r>
      <w:r>
        <w:rPr>
          <w:rFonts w:ascii="Book Antiqua" w:eastAsia="Book Antiqua" w:hAnsi="Book Antiqua" w:cs="Book Antiqua"/>
          <w:b/>
          <w:bCs/>
        </w:rPr>
        <w:t>210</w:t>
      </w:r>
      <w:r>
        <w:rPr>
          <w:rFonts w:ascii="Book Antiqua" w:eastAsia="Book Antiqua" w:hAnsi="Book Antiqua" w:cs="Book Antiqua"/>
        </w:rPr>
        <w:t>: 1331-1350 [PMID: 23752226 DOI: 10.1084/jem.20120812]</w:t>
      </w:r>
    </w:p>
    <w:p w14:paraId="119E4AF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Lee YH</w:t>
      </w:r>
      <w:r>
        <w:rPr>
          <w:rFonts w:ascii="Book Antiqua" w:eastAsia="Book Antiqua" w:hAnsi="Book Antiqua" w:cs="Book Antiqua"/>
        </w:rPr>
        <w:t xml:space="preserve">, Kim SJ, Fang X, Song NY, Kim DH, Suh J, Na HK, Kim KO, Baek JH, Surh YJ. JNK-mediated Ser27 phosphorylation and stabilization of SIRT1 promote growth and progression of colon cancer through deacetylation-dependent activation of Snail. </w:t>
      </w:r>
      <w:r>
        <w:rPr>
          <w:rFonts w:ascii="Book Antiqua" w:eastAsia="Book Antiqua" w:hAnsi="Book Antiqua" w:cs="Book Antiqua"/>
          <w:i/>
          <w:iCs/>
        </w:rPr>
        <w:t>Mol Oncol</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1555-1571 [PMID: 34826187 DOI: 10.1002/1878-0261.13143]</w:t>
      </w:r>
    </w:p>
    <w:p w14:paraId="00ADC0D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Rokavec M</w:t>
      </w:r>
      <w:r>
        <w:rPr>
          <w:rFonts w:ascii="Book Antiqua" w:eastAsia="Book Antiqua" w:hAnsi="Book Antiqua" w:cs="Book Antiqua"/>
        </w:rPr>
        <w:t xml:space="preserve">, Kaller M, Horst D, Hermeking H. Pan-cancer EMT-signature identifies RBM47 down-regulation during colorectal cancer progression.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4687 [PMID: 28680090 DOI: 10.1038/s41598-017-04234-2]</w:t>
      </w:r>
    </w:p>
    <w:p w14:paraId="24CACD6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Saman H</w:t>
      </w:r>
      <w:r>
        <w:rPr>
          <w:rFonts w:ascii="Book Antiqua" w:eastAsia="Book Antiqua" w:hAnsi="Book Antiqua" w:cs="Book Antiqua"/>
        </w:rPr>
        <w:t xml:space="preserve">, Raza SS, Uddin S, Rasul K. Inducing Angiogenesis, a Key Step in Cancer Vascularization, and Treatment Approaches.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32384792 DOI: 10.3390/cancers12051172]</w:t>
      </w:r>
    </w:p>
    <w:p w14:paraId="1337644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Fidler IJ</w:t>
      </w:r>
      <w:r>
        <w:rPr>
          <w:rFonts w:ascii="Book Antiqua" w:eastAsia="Book Antiqua" w:hAnsi="Book Antiqua" w:cs="Book Antiqua"/>
        </w:rPr>
        <w:t xml:space="preserve">. The pathogenesis of cancer metastasis: the 'seed and soil' hypothesis revisited. </w:t>
      </w:r>
      <w:r>
        <w:rPr>
          <w:rFonts w:ascii="Book Antiqua" w:eastAsia="Book Antiqua" w:hAnsi="Book Antiqua" w:cs="Book Antiqua"/>
          <w:i/>
          <w:iCs/>
        </w:rPr>
        <w:t>Nat Rev Cancer</w:t>
      </w:r>
      <w:r>
        <w:rPr>
          <w:rFonts w:ascii="Book Antiqua" w:eastAsia="Book Antiqua" w:hAnsi="Book Antiqua" w:cs="Book Antiqua"/>
        </w:rPr>
        <w:t xml:space="preserve"> 2003; </w:t>
      </w:r>
      <w:r>
        <w:rPr>
          <w:rFonts w:ascii="Book Antiqua" w:eastAsia="Book Antiqua" w:hAnsi="Book Antiqua" w:cs="Book Antiqua"/>
          <w:b/>
          <w:bCs/>
        </w:rPr>
        <w:t>3</w:t>
      </w:r>
      <w:r>
        <w:rPr>
          <w:rFonts w:ascii="Book Antiqua" w:eastAsia="Book Antiqua" w:hAnsi="Book Antiqua" w:cs="Book Antiqua"/>
        </w:rPr>
        <w:t>: 453-458 [PMID: 12778135 DOI: 10.1038/nrc1098]</w:t>
      </w:r>
    </w:p>
    <w:p w14:paraId="4F0DE38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Canavese M</w:t>
      </w:r>
      <w:r>
        <w:rPr>
          <w:rFonts w:ascii="Book Antiqua" w:eastAsia="Book Antiqua" w:hAnsi="Book Antiqua" w:cs="Book Antiqua"/>
        </w:rPr>
        <w:t xml:space="preserve">, Ngo DT, Maddern GJ, Hardingham JE, Price TJ, Hauben E. Biology and therapeutic implications of VEGF-A splice isoforms and single-nucleotide polymorphisms in colorectal cancer. </w:t>
      </w:r>
      <w:r>
        <w:rPr>
          <w:rFonts w:ascii="Book Antiqua" w:eastAsia="Book Antiqua" w:hAnsi="Book Antiqua" w:cs="Book Antiqua"/>
          <w:i/>
          <w:iCs/>
        </w:rPr>
        <w:t>Int J Cancer</w:t>
      </w:r>
      <w:r>
        <w:rPr>
          <w:rFonts w:ascii="Book Antiqua" w:eastAsia="Book Antiqua" w:hAnsi="Book Antiqua" w:cs="Book Antiqua"/>
        </w:rPr>
        <w:t xml:space="preserve"> 2017; </w:t>
      </w:r>
      <w:r>
        <w:rPr>
          <w:rFonts w:ascii="Book Antiqua" w:eastAsia="Book Antiqua" w:hAnsi="Book Antiqua" w:cs="Book Antiqua"/>
          <w:b/>
          <w:bCs/>
        </w:rPr>
        <w:t>140</w:t>
      </w:r>
      <w:r>
        <w:rPr>
          <w:rFonts w:ascii="Book Antiqua" w:eastAsia="Book Antiqua" w:hAnsi="Book Antiqua" w:cs="Book Antiqua"/>
        </w:rPr>
        <w:t>: 2183-2191 [PMID: 27943279 DOI: 10.1002/ijc.30567]</w:t>
      </w:r>
    </w:p>
    <w:p w14:paraId="62DF507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Nogués A</w:t>
      </w:r>
      <w:r>
        <w:rPr>
          <w:rFonts w:ascii="Book Antiqua" w:eastAsia="Book Antiqua" w:hAnsi="Book Antiqua" w:cs="Book Antiqua"/>
        </w:rPr>
        <w:t xml:space="preserve">, Gallardo-Vara E, Zafra MP, Mate P, Marijuan JL, Alonso A, Botella LM, Prieto MI. Endoglin (CD105) and VEGF as potential angiogenic and dissemination markers for colorectal cancer. </w:t>
      </w:r>
      <w:r>
        <w:rPr>
          <w:rFonts w:ascii="Book Antiqua" w:eastAsia="Book Antiqua" w:hAnsi="Book Antiqua" w:cs="Book Antiqua"/>
          <w:i/>
          <w:iCs/>
        </w:rPr>
        <w:t>World J Surg Oncol</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99 [PMID: 32434528 DOI: 10.1186/s12957-020-01871-2]</w:t>
      </w:r>
    </w:p>
    <w:p w14:paraId="2C1E6B87"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Lopez A</w:t>
      </w:r>
      <w:r>
        <w:rPr>
          <w:rFonts w:ascii="Book Antiqua" w:eastAsia="Book Antiqua" w:hAnsi="Book Antiqua" w:cs="Book Antiqua"/>
        </w:rPr>
        <w:t xml:space="preserve">, Harada K, Vasilakopoulou M, Shanbhag N, Ajani JA. Targeting Angiogenesis in Colorectal Carcinoma. </w:t>
      </w:r>
      <w:r>
        <w:rPr>
          <w:rFonts w:ascii="Book Antiqua" w:eastAsia="Book Antiqua" w:hAnsi="Book Antiqua" w:cs="Book Antiqua"/>
          <w:i/>
          <w:iCs/>
        </w:rPr>
        <w:t>Drugs</w:t>
      </w:r>
      <w:r>
        <w:rPr>
          <w:rFonts w:ascii="Book Antiqua" w:eastAsia="Book Antiqua" w:hAnsi="Book Antiqua" w:cs="Book Antiqua"/>
        </w:rPr>
        <w:t xml:space="preserve"> 2019; </w:t>
      </w:r>
      <w:r>
        <w:rPr>
          <w:rFonts w:ascii="Book Antiqua" w:eastAsia="Book Antiqua" w:hAnsi="Book Antiqua" w:cs="Book Antiqua"/>
          <w:b/>
          <w:bCs/>
        </w:rPr>
        <w:t>79</w:t>
      </w:r>
      <w:r>
        <w:rPr>
          <w:rFonts w:ascii="Book Antiqua" w:eastAsia="Book Antiqua" w:hAnsi="Book Antiqua" w:cs="Book Antiqua"/>
        </w:rPr>
        <w:t>: 63-74 [PMID: 30617958 DOI: 10.1007/s40265-018-1037-9]</w:t>
      </w:r>
    </w:p>
    <w:p w14:paraId="260FD76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Capdevila J</w:t>
      </w:r>
      <w:r>
        <w:rPr>
          <w:rFonts w:ascii="Book Antiqua" w:eastAsia="Book Antiqua" w:hAnsi="Book Antiqua" w:cs="Book Antiqua"/>
        </w:rPr>
        <w:t xml:space="preserve">, Carrato A, Tabernero J, Grande E. What could Nintedanib (BIBF 1120), a triple inhibitor of VEGFR, PDGFR, and FGFR, add to the current treatment options for patients with metastatic colorectal cancer? </w:t>
      </w:r>
      <w:r>
        <w:rPr>
          <w:rFonts w:ascii="Book Antiqua" w:eastAsia="Book Antiqua" w:hAnsi="Book Antiqua" w:cs="Book Antiqua"/>
          <w:i/>
          <w:iCs/>
        </w:rPr>
        <w:t>Crit Rev Oncol Hematol</w:t>
      </w:r>
      <w:r>
        <w:rPr>
          <w:rFonts w:ascii="Book Antiqua" w:eastAsia="Book Antiqua" w:hAnsi="Book Antiqua" w:cs="Book Antiqua"/>
        </w:rPr>
        <w:t xml:space="preserve"> 2014; </w:t>
      </w:r>
      <w:r>
        <w:rPr>
          <w:rFonts w:ascii="Book Antiqua" w:eastAsia="Book Antiqua" w:hAnsi="Book Antiqua" w:cs="Book Antiqua"/>
          <w:b/>
          <w:bCs/>
        </w:rPr>
        <w:t>92</w:t>
      </w:r>
      <w:r>
        <w:rPr>
          <w:rFonts w:ascii="Book Antiqua" w:eastAsia="Book Antiqua" w:hAnsi="Book Antiqua" w:cs="Book Antiqua"/>
        </w:rPr>
        <w:t>: 83-106 [PMID: 24924525 DOI: 10.1016/j.critrevonc.2014.05.004]</w:t>
      </w:r>
    </w:p>
    <w:p w14:paraId="48C7A7E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Lunt SY</w:t>
      </w:r>
      <w:r>
        <w:rPr>
          <w:rFonts w:ascii="Book Antiqua" w:eastAsia="Book Antiqua" w:hAnsi="Book Antiqua" w:cs="Book Antiqua"/>
        </w:rPr>
        <w:t xml:space="preserve">, Vander Heiden MG. Aerobic glycolysis: meeting the metabolic requirements of cell proliferation. </w:t>
      </w:r>
      <w:r>
        <w:rPr>
          <w:rFonts w:ascii="Book Antiqua" w:eastAsia="Book Antiqua" w:hAnsi="Book Antiqua" w:cs="Book Antiqua"/>
          <w:i/>
          <w:iCs/>
        </w:rPr>
        <w:t>Annu Rev Cell Dev Biol</w:t>
      </w:r>
      <w:r>
        <w:rPr>
          <w:rFonts w:ascii="Book Antiqua" w:eastAsia="Book Antiqua" w:hAnsi="Book Antiqua" w:cs="Book Antiqua"/>
        </w:rPr>
        <w:t xml:space="preserve"> 2011; </w:t>
      </w:r>
      <w:r>
        <w:rPr>
          <w:rFonts w:ascii="Book Antiqua" w:eastAsia="Book Antiqua" w:hAnsi="Book Antiqua" w:cs="Book Antiqua"/>
          <w:b/>
          <w:bCs/>
        </w:rPr>
        <w:t>27</w:t>
      </w:r>
      <w:r>
        <w:rPr>
          <w:rFonts w:ascii="Book Antiqua" w:eastAsia="Book Antiqua" w:hAnsi="Book Antiqua" w:cs="Book Antiqua"/>
        </w:rPr>
        <w:t>: 441-464 [PMID: 21985671 DOI: 10.1146/annurev-cellbio-092910-154237]</w:t>
      </w:r>
    </w:p>
    <w:p w14:paraId="2E81B4D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57 </w:t>
      </w:r>
      <w:r>
        <w:rPr>
          <w:rFonts w:ascii="Book Antiqua" w:eastAsia="Book Antiqua" w:hAnsi="Book Antiqua" w:cs="Book Antiqua"/>
          <w:b/>
          <w:bCs/>
        </w:rPr>
        <w:t>Lu J</w:t>
      </w:r>
      <w:r>
        <w:rPr>
          <w:rFonts w:ascii="Book Antiqua" w:eastAsia="Book Antiqua" w:hAnsi="Book Antiqua" w:cs="Book Antiqua"/>
        </w:rPr>
        <w:t xml:space="preserve">. The Warburg metabolism fuels tumor metastasis. </w:t>
      </w:r>
      <w:r>
        <w:rPr>
          <w:rFonts w:ascii="Book Antiqua" w:eastAsia="Book Antiqua" w:hAnsi="Book Antiqua" w:cs="Book Antiqua"/>
          <w:i/>
          <w:iCs/>
        </w:rPr>
        <w:t>Cancer Metastasis Rev</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157-164 [PMID: 30997670 DOI: 10.1007/s10555-019-09794-5]</w:t>
      </w:r>
    </w:p>
    <w:p w14:paraId="410481F7"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Zhong X</w:t>
      </w:r>
      <w:r>
        <w:rPr>
          <w:rFonts w:ascii="Book Antiqua" w:eastAsia="Book Antiqua" w:hAnsi="Book Antiqua" w:cs="Book Antiqua"/>
        </w:rPr>
        <w:t xml:space="preserve">, He X, Wang Y, Hu Z, Huang H, Zhao S, Wei P, Li D. Warburg effect in colorectal cancer: the emerging roles in tumor microenvironment and therapeutic implications. </w:t>
      </w:r>
      <w:r>
        <w:rPr>
          <w:rFonts w:ascii="Book Antiqua" w:eastAsia="Book Antiqua" w:hAnsi="Book Antiqua" w:cs="Book Antiqua"/>
          <w:i/>
          <w:iCs/>
        </w:rPr>
        <w:t>J Hematol Oncol</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160 [PMID: 36319992 DOI: 10.1186/s13045-022-01358-5]</w:t>
      </w:r>
    </w:p>
    <w:p w14:paraId="64FAA7F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Qi L</w:t>
      </w:r>
      <w:r>
        <w:rPr>
          <w:rFonts w:ascii="Book Antiqua" w:eastAsia="Book Antiqua" w:hAnsi="Book Antiqua" w:cs="Book Antiqua"/>
        </w:rPr>
        <w:t xml:space="preserve">, Chen J, Yang Y, Hu W. Hypoxia Correlates With Poor Survival and M2 Macrophage Infiltration in Colorectal Cancer. </w:t>
      </w:r>
      <w:r>
        <w:rPr>
          <w:rFonts w:ascii="Book Antiqua" w:eastAsia="Book Antiqua" w:hAnsi="Book Antiqua" w:cs="Book Antiqua"/>
          <w:i/>
          <w:iCs/>
        </w:rPr>
        <w:t>Front Oncol</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566430 [PMID: 33330037 DOI: 10.3389/fonc.2020.566430]</w:t>
      </w:r>
    </w:p>
    <w:p w14:paraId="7F0B64C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Sun H</w:t>
      </w:r>
      <w:r>
        <w:rPr>
          <w:rFonts w:ascii="Book Antiqua" w:eastAsia="Book Antiqua" w:hAnsi="Book Antiqua" w:cs="Book Antiqua"/>
        </w:rPr>
        <w:t xml:space="preserve">, Meng Q, Shi C, Yang H, Li X, Wu S, Familiari G, Relucenti M, Aschner M, Wang X, Chen R. Hypoxia-Inducible Exosomes Facilitate Liver-Tropic Premetastatic Niche in Colorectal Cancer. </w:t>
      </w:r>
      <w:r>
        <w:rPr>
          <w:rFonts w:ascii="Book Antiqua" w:eastAsia="Book Antiqua" w:hAnsi="Book Antiqua" w:cs="Book Antiqua"/>
          <w:i/>
          <w:iCs/>
        </w:rPr>
        <w:t>Hepatology</w:t>
      </w:r>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2633-2651 [PMID: 34110633 DOI: 10.1002/hep.32009]</w:t>
      </w:r>
    </w:p>
    <w:p w14:paraId="73263E9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Yang H</w:t>
      </w:r>
      <w:r>
        <w:rPr>
          <w:rFonts w:ascii="Book Antiqua" w:eastAsia="Book Antiqua" w:hAnsi="Book Antiqua" w:cs="Book Antiqua"/>
        </w:rPr>
        <w:t xml:space="preserve">, Zhang H, Yang Y, Wang X, Deng T, Liu R, Ning T, Bai M, Li H, Zhu K, Li J, Fan Q, Ying G, Ba Y. Hypoxia induced exosomal circRNA promotes metastasis of Colorectal Cancer via targeting GEF-H1/RhoA axis. </w:t>
      </w:r>
      <w:r>
        <w:rPr>
          <w:rFonts w:ascii="Book Antiqua" w:eastAsia="Book Antiqua" w:hAnsi="Book Antiqua" w:cs="Book Antiqua"/>
          <w:i/>
          <w:iCs/>
        </w:rPr>
        <w:t>Theranostics</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8211-8226 [PMID: 32724467 DOI: 10.7150/thno.44419]</w:t>
      </w:r>
    </w:p>
    <w:p w14:paraId="1D3D3E3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Castro-Giner F</w:t>
      </w:r>
      <w:r>
        <w:rPr>
          <w:rFonts w:ascii="Book Antiqua" w:eastAsia="Book Antiqua" w:hAnsi="Book Antiqua" w:cs="Book Antiqua"/>
        </w:rPr>
        <w:t xml:space="preserve">, Aceto N. Tracking cancer progression: from circulating tumor cells to metastasis. </w:t>
      </w:r>
      <w:r>
        <w:rPr>
          <w:rFonts w:ascii="Book Antiqua" w:eastAsia="Book Antiqua" w:hAnsi="Book Antiqua" w:cs="Book Antiqua"/>
          <w:i/>
          <w:iCs/>
        </w:rPr>
        <w:t>Genome Med</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31 [PMID: 32192534 DOI: 10.1186/s13073-020-00728-3]</w:t>
      </w:r>
    </w:p>
    <w:p w14:paraId="51899A5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Chiu SY</w:t>
      </w:r>
      <w:r>
        <w:rPr>
          <w:rFonts w:ascii="Book Antiqua" w:eastAsia="Book Antiqua" w:hAnsi="Book Antiqua" w:cs="Book Antiqua"/>
        </w:rPr>
        <w:t xml:space="preserve">, Hsieh CH, You JF, Chu PY, Hung HY, Chu PH, Wu MH. Enhancing Prediction Performance by Add-On Combining Circulating Tumor Cell Count, CD45(neg) EpCAM(neg) Cell Count on Colorectal Cancer, Advance, and Metastasis.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34063929 DOI: 10.3390/cancers13112521]</w:t>
      </w:r>
    </w:p>
    <w:p w14:paraId="26F25F2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Le UT</w:t>
      </w:r>
      <w:r>
        <w:rPr>
          <w:rFonts w:ascii="Book Antiqua" w:eastAsia="Book Antiqua" w:hAnsi="Book Antiqua" w:cs="Book Antiqua"/>
        </w:rPr>
        <w:t xml:space="preserve">, Bronsert P, Picardo F, Riethdorf S, Haager B, Rylski B, Czerny M, Beyersdorf F, Wiesemann S, Pantel K, Passlick B, Kaifi JT, Schmid S. Intraoperative detection of circulating tumor cells in pulmonary venous blood during metastasectomy for colorectal lung metastases.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8751 [PMID: 29884810 DOI: 10.1038/s41598-018-26410-8]</w:t>
      </w:r>
    </w:p>
    <w:p w14:paraId="3B38744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65 </w:t>
      </w:r>
      <w:r>
        <w:rPr>
          <w:rFonts w:ascii="Book Antiqua" w:eastAsia="Book Antiqua" w:hAnsi="Book Antiqua" w:cs="Book Antiqua"/>
          <w:b/>
          <w:bCs/>
        </w:rPr>
        <w:t>Gkountela S</w:t>
      </w:r>
      <w:r>
        <w:rPr>
          <w:rFonts w:ascii="Book Antiqua" w:eastAsia="Book Antiqua" w:hAnsi="Book Antiqua" w:cs="Book Antiqua"/>
        </w:rPr>
        <w:t xml:space="preserve">, Castro-Giner F, Szczerba BM, Vetter M, Landin J, Scherrer R, Krol I, Scheidmann MC, Beisel C, Stirnimann CU, Kurzeder C, Heinzelmann-Schwarz V, Rochlitz C, Weber WP, Aceto N. Circulating Tumor Cell Clustering Shapes DNA Methylation to Enable Metastasis Seeding. </w:t>
      </w:r>
      <w:r>
        <w:rPr>
          <w:rFonts w:ascii="Book Antiqua" w:eastAsia="Book Antiqua" w:hAnsi="Book Antiqua" w:cs="Book Antiqua"/>
          <w:i/>
          <w:iCs/>
        </w:rPr>
        <w:t>Cell</w:t>
      </w:r>
      <w:r>
        <w:rPr>
          <w:rFonts w:ascii="Book Antiqua" w:eastAsia="Book Antiqua" w:hAnsi="Book Antiqua" w:cs="Book Antiqua"/>
        </w:rPr>
        <w:t xml:space="preserve"> 2019; </w:t>
      </w:r>
      <w:r>
        <w:rPr>
          <w:rFonts w:ascii="Book Antiqua" w:eastAsia="Book Antiqua" w:hAnsi="Book Antiqua" w:cs="Book Antiqua"/>
          <w:b/>
          <w:bCs/>
        </w:rPr>
        <w:t>176</w:t>
      </w:r>
      <w:r>
        <w:rPr>
          <w:rFonts w:ascii="Book Antiqua" w:eastAsia="Book Antiqua" w:hAnsi="Book Antiqua" w:cs="Book Antiqua"/>
        </w:rPr>
        <w:t>: 98-112.e14 [PMID: 30633912 DOI: 10.1016/j.cell.2018.11.046]</w:t>
      </w:r>
    </w:p>
    <w:p w14:paraId="7FD22C05"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Hamid FB</w:t>
      </w:r>
      <w:r>
        <w:rPr>
          <w:rFonts w:ascii="Book Antiqua" w:eastAsia="Book Antiqua" w:hAnsi="Book Antiqua" w:cs="Book Antiqua"/>
        </w:rPr>
        <w:t xml:space="preserve">, Gopalan V, Matos M, Lu CT, Lam AK. Genetic Heterogeneity of Single Circulating Tumour Cells in Colorectal Carcinoma.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33092235 DOI: 10.3390/ijms21207766]</w:t>
      </w:r>
    </w:p>
    <w:p w14:paraId="3CEFC6A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Nabariya DK</w:t>
      </w:r>
      <w:r>
        <w:rPr>
          <w:rFonts w:ascii="Book Antiqua" w:eastAsia="Book Antiqua" w:hAnsi="Book Antiqua" w:cs="Book Antiqua"/>
        </w:rPr>
        <w:t xml:space="preserve">, Pallu R, Yenuganti VR. Exosomes: The protagonists in the tale of colorectal cancer? </w:t>
      </w:r>
      <w:r>
        <w:rPr>
          <w:rFonts w:ascii="Book Antiqua" w:eastAsia="Book Antiqua" w:hAnsi="Book Antiqua" w:cs="Book Antiqua"/>
          <w:i/>
          <w:iCs/>
        </w:rPr>
        <w:t>Biochim Biophys Acta Rev Cancer</w:t>
      </w:r>
      <w:r>
        <w:rPr>
          <w:rFonts w:ascii="Book Antiqua" w:eastAsia="Book Antiqua" w:hAnsi="Book Antiqua" w:cs="Book Antiqua"/>
        </w:rPr>
        <w:t xml:space="preserve"> 2020; </w:t>
      </w:r>
      <w:r>
        <w:rPr>
          <w:rFonts w:ascii="Book Antiqua" w:eastAsia="Book Antiqua" w:hAnsi="Book Antiqua" w:cs="Book Antiqua"/>
          <w:b/>
          <w:bCs/>
        </w:rPr>
        <w:t>1874</w:t>
      </w:r>
      <w:r>
        <w:rPr>
          <w:rFonts w:ascii="Book Antiqua" w:eastAsia="Book Antiqua" w:hAnsi="Book Antiqua" w:cs="Book Antiqua"/>
        </w:rPr>
        <w:t>: 188426 [PMID: 32956762 DOI: 10.1016/j.bbcan.2020.188426]</w:t>
      </w:r>
    </w:p>
    <w:p w14:paraId="55A50B33"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Guo Y</w:t>
      </w:r>
      <w:r>
        <w:rPr>
          <w:rFonts w:ascii="Book Antiqua" w:eastAsia="Book Antiqua" w:hAnsi="Book Antiqua" w:cs="Book Antiqua"/>
        </w:rPr>
        <w:t xml:space="preserve">, Ji X, Liu J, Fan D, Zhou Q, Chen C, Wang W, Wang G, Wang H, Yuan W, Ji Z, Sun Z. Effects of exosomes on pre-metastatic niche formation in tumors. </w:t>
      </w:r>
      <w:r>
        <w:rPr>
          <w:rFonts w:ascii="Book Antiqua" w:eastAsia="Book Antiqua" w:hAnsi="Book Antiqua" w:cs="Book Antiqua"/>
          <w:i/>
          <w:iCs/>
        </w:rPr>
        <w:t>Mol Cancer</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39 [PMID: 30857545 DOI: 10.1186/s12943-019-0995-1]</w:t>
      </w:r>
    </w:p>
    <w:p w14:paraId="37AB7A25"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69 </w:t>
      </w:r>
      <w:r>
        <w:rPr>
          <w:rFonts w:ascii="Book Antiqua" w:eastAsia="Book Antiqua" w:hAnsi="Book Antiqua" w:cs="Book Antiqua"/>
          <w:b/>
          <w:bCs/>
        </w:rPr>
        <w:t>Dou R</w:t>
      </w:r>
      <w:r>
        <w:rPr>
          <w:rFonts w:ascii="Book Antiqua" w:eastAsia="Book Antiqua" w:hAnsi="Book Antiqua" w:cs="Book Antiqua"/>
        </w:rPr>
        <w:t xml:space="preserve">, Liu K, Yang C, Zheng J, Shi D, Lin X, Wei C, Zhang C, Fang Y, Huang S, Song J, Wang S, Xiong B. EMT-cancer cells-derived exosomal miR-27b-3p promotes circulating tumour cells-mediated metastasis by modulating vascular permeability in colorectal cancer. </w:t>
      </w:r>
      <w:r>
        <w:rPr>
          <w:rFonts w:ascii="Book Antiqua" w:eastAsia="Book Antiqua" w:hAnsi="Book Antiqua" w:cs="Book Antiqua"/>
          <w:i/>
          <w:iCs/>
        </w:rPr>
        <w:t>Clin Transl Med</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e595 [PMID: 34936736 DOI: 10.1002/ctm2.595]</w:t>
      </w:r>
    </w:p>
    <w:p w14:paraId="4879B66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70 </w:t>
      </w:r>
      <w:r>
        <w:rPr>
          <w:rFonts w:ascii="Book Antiqua" w:eastAsia="Book Antiqua" w:hAnsi="Book Antiqua" w:cs="Book Antiqua"/>
          <w:b/>
          <w:bCs/>
        </w:rPr>
        <w:t>Wang D</w:t>
      </w:r>
      <w:r>
        <w:rPr>
          <w:rFonts w:ascii="Book Antiqua" w:eastAsia="Book Antiqua" w:hAnsi="Book Antiqua" w:cs="Book Antiqua"/>
        </w:rPr>
        <w:t xml:space="preserve">, Wang X, Si M, Yang J, Sun S, Wu H, Cui S, Qu X, Yu X. Exosome-encapsulated miRNAs contribute to CXCL12/CXCR4-induced liver metastasis of colorectal cancer by enhancing M2 polarization of macrophages. </w:t>
      </w:r>
      <w:r>
        <w:rPr>
          <w:rFonts w:ascii="Book Antiqua" w:eastAsia="Book Antiqua" w:hAnsi="Book Antiqua" w:cs="Book Antiqua"/>
          <w:i/>
          <w:iCs/>
        </w:rPr>
        <w:t>Cancer Lett</w:t>
      </w:r>
      <w:r>
        <w:rPr>
          <w:rFonts w:ascii="Book Antiqua" w:eastAsia="Book Antiqua" w:hAnsi="Book Antiqua" w:cs="Book Antiqua"/>
        </w:rPr>
        <w:t xml:space="preserve"> 2020; </w:t>
      </w:r>
      <w:r>
        <w:rPr>
          <w:rFonts w:ascii="Book Antiqua" w:eastAsia="Book Antiqua" w:hAnsi="Book Antiqua" w:cs="Book Antiqua"/>
          <w:b/>
          <w:bCs/>
        </w:rPr>
        <w:t>474</w:t>
      </w:r>
      <w:r>
        <w:rPr>
          <w:rFonts w:ascii="Book Antiqua" w:eastAsia="Book Antiqua" w:hAnsi="Book Antiqua" w:cs="Book Antiqua"/>
        </w:rPr>
        <w:t>: 36-52 [PMID: 31931030 DOI: 10.1016/j.canlet.2020.01.005]</w:t>
      </w:r>
    </w:p>
    <w:p w14:paraId="00569862"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71 </w:t>
      </w:r>
      <w:r>
        <w:rPr>
          <w:rFonts w:ascii="Book Antiqua" w:eastAsia="Book Antiqua" w:hAnsi="Book Antiqua" w:cs="Book Antiqua"/>
          <w:b/>
          <w:bCs/>
        </w:rPr>
        <w:t>Zhao S</w:t>
      </w:r>
      <w:r>
        <w:rPr>
          <w:rFonts w:ascii="Book Antiqua" w:eastAsia="Book Antiqua" w:hAnsi="Book Antiqua" w:cs="Book Antiqua"/>
        </w:rPr>
        <w:t xml:space="preserve">, Mi Y, Guan B, Zheng B, Wei P, Gu Y, Zhang Z, Cai S, Xu Y, Li X, He X, Zhong X, Li G, Chen Z, Li D. Tumor-derived exosomal miR-934 induces macrophage M2 polarization to promote liver metastasis of colorectal cancer. </w:t>
      </w:r>
      <w:r>
        <w:rPr>
          <w:rFonts w:ascii="Book Antiqua" w:eastAsia="Book Antiqua" w:hAnsi="Book Antiqua" w:cs="Book Antiqua"/>
          <w:i/>
          <w:iCs/>
        </w:rPr>
        <w:t>J Hematol Oncol</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156 [PMID: 33213490 DOI: 10.1186/s13045-020-00991-2]</w:t>
      </w:r>
    </w:p>
    <w:p w14:paraId="1520A5B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72 </w:t>
      </w:r>
      <w:r>
        <w:rPr>
          <w:rFonts w:ascii="Book Antiqua" w:eastAsia="Book Antiqua" w:hAnsi="Book Antiqua" w:cs="Book Antiqua"/>
          <w:b/>
          <w:bCs/>
        </w:rPr>
        <w:t>Zhang Z</w:t>
      </w:r>
      <w:r>
        <w:rPr>
          <w:rFonts w:ascii="Book Antiqua" w:eastAsia="Book Antiqua" w:hAnsi="Book Antiqua" w:cs="Book Antiqua"/>
        </w:rPr>
        <w:t xml:space="preserve">, Xing T, Chen Y, Xiao J. Exosome-mediated miR-200b promotes colorectal cancer proliferation upon TGF-β1 exposure. </w:t>
      </w:r>
      <w:r>
        <w:rPr>
          <w:rFonts w:ascii="Book Antiqua" w:eastAsia="Book Antiqua" w:hAnsi="Book Antiqua" w:cs="Book Antiqua"/>
          <w:i/>
          <w:iCs/>
        </w:rPr>
        <w:t>Biomed Pharmacother</w:t>
      </w:r>
      <w:r>
        <w:rPr>
          <w:rFonts w:ascii="Book Antiqua" w:eastAsia="Book Antiqua" w:hAnsi="Book Antiqua" w:cs="Book Antiqua"/>
        </w:rPr>
        <w:t xml:space="preserve"> 2018; </w:t>
      </w:r>
      <w:r>
        <w:rPr>
          <w:rFonts w:ascii="Book Antiqua" w:eastAsia="Book Antiqua" w:hAnsi="Book Antiqua" w:cs="Book Antiqua"/>
          <w:b/>
          <w:bCs/>
        </w:rPr>
        <w:t>106</w:t>
      </w:r>
      <w:r>
        <w:rPr>
          <w:rFonts w:ascii="Book Antiqua" w:eastAsia="Book Antiqua" w:hAnsi="Book Antiqua" w:cs="Book Antiqua"/>
        </w:rPr>
        <w:t>: 1135-1143 [PMID: 30119180 DOI: 10.1016/j.biopha.2018.07.042]</w:t>
      </w:r>
    </w:p>
    <w:p w14:paraId="20824D9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73 </w:t>
      </w:r>
      <w:r>
        <w:rPr>
          <w:rFonts w:ascii="Book Antiqua" w:eastAsia="Book Antiqua" w:hAnsi="Book Antiqua" w:cs="Book Antiqua"/>
          <w:b/>
          <w:bCs/>
        </w:rPr>
        <w:t>Jiang K</w:t>
      </w:r>
      <w:r>
        <w:rPr>
          <w:rFonts w:ascii="Book Antiqua" w:eastAsia="Book Antiqua" w:hAnsi="Book Antiqua" w:cs="Book Antiqua"/>
        </w:rPr>
        <w:t xml:space="preserve">, Chen H, Fang Y, Chen L, Zhong C, Bu T, Dai S, Pan X, Fu D, Qian Y, Wei J, Ding K. Exosomal ANGPTL1 attenuates colorectal cancer liver metastasis by regulating Kupffer cell secretion pattern and impeding MMP9 induced vascular leakiness. </w:t>
      </w:r>
      <w:r>
        <w:rPr>
          <w:rFonts w:ascii="Book Antiqua" w:eastAsia="Book Antiqua" w:hAnsi="Book Antiqua" w:cs="Book Antiqua"/>
          <w:i/>
          <w:iCs/>
        </w:rPr>
        <w:t>J Exp Clin Cancer Res</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21 [PMID: 33413536 DOI: 10.1186/s13046-020-01816-3]</w:t>
      </w:r>
    </w:p>
    <w:p w14:paraId="41E6DE6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74 </w:t>
      </w:r>
      <w:r>
        <w:rPr>
          <w:rFonts w:ascii="Book Antiqua" w:eastAsia="Book Antiqua" w:hAnsi="Book Antiqua" w:cs="Book Antiqua"/>
          <w:b/>
          <w:bCs/>
        </w:rPr>
        <w:t>Zhang C</w:t>
      </w:r>
      <w:r>
        <w:rPr>
          <w:rFonts w:ascii="Book Antiqua" w:eastAsia="Book Antiqua" w:hAnsi="Book Antiqua" w:cs="Book Antiqua"/>
        </w:rPr>
        <w:t xml:space="preserve">, Wang XY, Zhang P, He TC, Han JH, Zhang R, Lin J, Fan J, Lu L, Zhu WW, Jia HL, Zhang JB, Chen JH. Cancer-derived exosomal HSPC111 promotes colorectal cancer liver metastasis by reprogramming lipid metabolism in cancer-associated fibroblasts. </w:t>
      </w:r>
      <w:r>
        <w:rPr>
          <w:rFonts w:ascii="Book Antiqua" w:eastAsia="Book Antiqua" w:hAnsi="Book Antiqua" w:cs="Book Antiqua"/>
          <w:i/>
          <w:iCs/>
        </w:rPr>
        <w:t>Cell Death Dis</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57 [PMID: 35027547 DOI: 10.1038/s41419-022-04506-4]</w:t>
      </w:r>
    </w:p>
    <w:p w14:paraId="50EF8F0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75 </w:t>
      </w:r>
      <w:r>
        <w:rPr>
          <w:rFonts w:ascii="Book Antiqua" w:eastAsia="Book Antiqua" w:hAnsi="Book Antiqua" w:cs="Book Antiqua"/>
          <w:b/>
          <w:bCs/>
        </w:rPr>
        <w:t>Han K</w:t>
      </w:r>
      <w:r>
        <w:rPr>
          <w:rFonts w:ascii="Book Antiqua" w:eastAsia="Book Antiqua" w:hAnsi="Book Antiqua" w:cs="Book Antiqua"/>
        </w:rPr>
        <w:t xml:space="preserve">, Wang FW, Cao CH, Ling H, Chen JW, Chen RX, Feng ZH, Luo J, Jin XH, Duan JL, Li SM, Ma NF, Yun JP, Guan XY, Pan ZZ, Lan P, Xu RH, Xie D. CircLONP2 enhances colorectal carcinoma invasion and metastasis through modulating the maturation and exosomal dissemination of microRNA-17. </w:t>
      </w:r>
      <w:r>
        <w:rPr>
          <w:rFonts w:ascii="Book Antiqua" w:eastAsia="Book Antiqua" w:hAnsi="Book Antiqua" w:cs="Book Antiqua"/>
          <w:i/>
          <w:iCs/>
        </w:rPr>
        <w:t>Mol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60 [PMID: 32188489 DOI: 10.1186/s12943-020-01184-8]</w:t>
      </w:r>
    </w:p>
    <w:p w14:paraId="114DF4E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76 </w:t>
      </w:r>
      <w:r>
        <w:rPr>
          <w:rFonts w:ascii="Book Antiqua" w:eastAsia="Book Antiqua" w:hAnsi="Book Antiqua" w:cs="Book Antiqua"/>
          <w:b/>
          <w:bCs/>
        </w:rPr>
        <w:t>Shang A</w:t>
      </w:r>
      <w:r>
        <w:rPr>
          <w:rFonts w:ascii="Book Antiqua" w:eastAsia="Book Antiqua" w:hAnsi="Book Antiqua" w:cs="Book Antiqua"/>
        </w:rPr>
        <w:t xml:space="preserve">, Gu C, Wang W, Wang X, Sun J, Zeng B, Chen C, Chang W, Ping Y, Ji P, Wu J, Quan W, Yao Y, Zhou Y, Sun Z, Li D. Exosomal circPACRGL promotes progression of colorectal cancer via the miR-142-3p/miR-506-3p- TGF-β1 axis. </w:t>
      </w:r>
      <w:r>
        <w:rPr>
          <w:rFonts w:ascii="Book Antiqua" w:eastAsia="Book Antiqua" w:hAnsi="Book Antiqua" w:cs="Book Antiqua"/>
          <w:i/>
          <w:iCs/>
        </w:rPr>
        <w:t>Mol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117 [PMID: 32713345 DOI: 10.1186/s12943-020-01235-0]</w:t>
      </w:r>
    </w:p>
    <w:p w14:paraId="76BA0096"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77 </w:t>
      </w:r>
      <w:r>
        <w:rPr>
          <w:rFonts w:ascii="Book Antiqua" w:eastAsia="Book Antiqua" w:hAnsi="Book Antiqua" w:cs="Book Antiqua"/>
          <w:b/>
          <w:bCs/>
        </w:rPr>
        <w:t>Hu JL</w:t>
      </w:r>
      <w:r>
        <w:rPr>
          <w:rFonts w:ascii="Book Antiqua" w:eastAsia="Book Antiqua" w:hAnsi="Book Antiqua" w:cs="Book Antiqua"/>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Pr>
          <w:rFonts w:ascii="Book Antiqua" w:eastAsia="Book Antiqua" w:hAnsi="Book Antiqua" w:cs="Book Antiqua"/>
          <w:i/>
          <w:iCs/>
        </w:rPr>
        <w:t>Mol Cancer</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91 [PMID: 31064356 DOI: 10.1186/s12943-019-1019-x]</w:t>
      </w:r>
    </w:p>
    <w:p w14:paraId="58B56830"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78 </w:t>
      </w:r>
      <w:r>
        <w:rPr>
          <w:rFonts w:ascii="Book Antiqua" w:eastAsia="Book Antiqua" w:hAnsi="Book Antiqua" w:cs="Book Antiqua"/>
          <w:b/>
          <w:bCs/>
        </w:rPr>
        <w:t>Ren J</w:t>
      </w:r>
      <w:r>
        <w:rPr>
          <w:rFonts w:ascii="Book Antiqua" w:eastAsia="Book Antiqua" w:hAnsi="Book Antiqua" w:cs="Book Antiqua"/>
        </w:rPr>
        <w:t xml:space="preserve">, Ding L, Zhang D, Shi G, Xu Q, Shen S, Wang Y, Wang T, Hou Y. Carcinoma-associated fibroblasts promote the stemness and chemoresistance of colorectal cancer by transferring exosomal lncRNA H19. </w:t>
      </w:r>
      <w:r>
        <w:rPr>
          <w:rFonts w:ascii="Book Antiqua" w:eastAsia="Book Antiqua" w:hAnsi="Book Antiqua" w:cs="Book Antiqua"/>
          <w:i/>
          <w:iCs/>
        </w:rPr>
        <w:t>Theranostics</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3932-3948 [PMID: 30083271 DOI: 10.7150/thno.25541]</w:t>
      </w:r>
    </w:p>
    <w:p w14:paraId="426AD04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79 </w:t>
      </w:r>
      <w:r>
        <w:rPr>
          <w:rFonts w:ascii="Book Antiqua" w:eastAsia="Book Antiqua" w:hAnsi="Book Antiqua" w:cs="Book Antiqua"/>
          <w:b/>
          <w:bCs/>
        </w:rPr>
        <w:t>Asadirad A</w:t>
      </w:r>
      <w:r>
        <w:rPr>
          <w:rFonts w:ascii="Book Antiqua" w:eastAsia="Book Antiqua" w:hAnsi="Book Antiqua" w:cs="Book Antiqua"/>
        </w:rPr>
        <w:t xml:space="preserve">, Baghaei K, Hashemi SM, Dehnavi S, Ghanbarian H, Mortaz E, Anissian A, Asadzadeh Aghdaei H, Amani D. Dendritic cell immunotherapy with miR-155 enriched tumor-derived exosome suppressed cancer growth and induced antitumor immune responses in murine model of colorectal cancer induced by CT26 cell line. </w:t>
      </w:r>
      <w:r>
        <w:rPr>
          <w:rFonts w:ascii="Book Antiqua" w:eastAsia="Book Antiqua" w:hAnsi="Book Antiqua" w:cs="Book Antiqua"/>
          <w:i/>
          <w:iCs/>
        </w:rPr>
        <w:t>Int Immunopharmacol</w:t>
      </w:r>
      <w:r>
        <w:rPr>
          <w:rFonts w:ascii="Book Antiqua" w:eastAsia="Book Antiqua" w:hAnsi="Book Antiqua" w:cs="Book Antiqua"/>
        </w:rPr>
        <w:t xml:space="preserve"> 2022; </w:t>
      </w:r>
      <w:r>
        <w:rPr>
          <w:rFonts w:ascii="Book Antiqua" w:eastAsia="Book Antiqua" w:hAnsi="Book Antiqua" w:cs="Book Antiqua"/>
          <w:b/>
          <w:bCs/>
        </w:rPr>
        <w:t>104</w:t>
      </w:r>
      <w:r>
        <w:rPr>
          <w:rFonts w:ascii="Book Antiqua" w:eastAsia="Book Antiqua" w:hAnsi="Book Antiqua" w:cs="Book Antiqua"/>
        </w:rPr>
        <w:t>: 108493 [PMID: 35032826 DOI: 10.1016/j.intimp.2021.108493]</w:t>
      </w:r>
    </w:p>
    <w:p w14:paraId="16C521A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80 </w:t>
      </w:r>
      <w:r>
        <w:rPr>
          <w:rFonts w:ascii="Book Antiqua" w:eastAsia="Book Antiqua" w:hAnsi="Book Antiqua" w:cs="Book Antiqua"/>
          <w:b/>
          <w:bCs/>
        </w:rPr>
        <w:t>Chen DS</w:t>
      </w:r>
      <w:r>
        <w:rPr>
          <w:rFonts w:ascii="Book Antiqua" w:eastAsia="Book Antiqua" w:hAnsi="Book Antiqua" w:cs="Book Antiqua"/>
        </w:rPr>
        <w:t xml:space="preserve">, Mellman I. Oncology meets immunology: the cancer-immunity cycle. </w:t>
      </w:r>
      <w:r>
        <w:rPr>
          <w:rFonts w:ascii="Book Antiqua" w:eastAsia="Book Antiqua" w:hAnsi="Book Antiqua" w:cs="Book Antiqua"/>
          <w:i/>
          <w:iCs/>
        </w:rPr>
        <w:t>Immunity</w:t>
      </w:r>
      <w:r>
        <w:rPr>
          <w:rFonts w:ascii="Book Antiqua" w:eastAsia="Book Antiqua" w:hAnsi="Book Antiqua" w:cs="Book Antiqua"/>
        </w:rPr>
        <w:t xml:space="preserve"> 2013; </w:t>
      </w:r>
      <w:r>
        <w:rPr>
          <w:rFonts w:ascii="Book Antiqua" w:eastAsia="Book Antiqua" w:hAnsi="Book Antiqua" w:cs="Book Antiqua"/>
          <w:b/>
          <w:bCs/>
        </w:rPr>
        <w:t>39</w:t>
      </w:r>
      <w:r>
        <w:rPr>
          <w:rFonts w:ascii="Book Antiqua" w:eastAsia="Book Antiqua" w:hAnsi="Book Antiqua" w:cs="Book Antiqua"/>
        </w:rPr>
        <w:t>: 1-10 [PMID: 23890059 DOI: 10.1016/j.immuni.2013.07.012]</w:t>
      </w:r>
    </w:p>
    <w:p w14:paraId="23A84EF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81 </w:t>
      </w:r>
      <w:r>
        <w:rPr>
          <w:rFonts w:ascii="Book Antiqua" w:eastAsia="Book Antiqua" w:hAnsi="Book Antiqua" w:cs="Book Antiqua"/>
          <w:b/>
          <w:bCs/>
        </w:rPr>
        <w:t>Chandra R</w:t>
      </w:r>
      <w:r>
        <w:rPr>
          <w:rFonts w:ascii="Book Antiqua" w:eastAsia="Book Antiqua" w:hAnsi="Book Antiqua" w:cs="Book Antiqua"/>
        </w:rPr>
        <w:t xml:space="preserve">, Karalis JD, Liu C, Murimwa GZ, Voth Park J, Heid CA, Reznik SI, Huang E, Minna JD, Brekken RA. The Colorectal Cancer Tumor Microenvironment and Its Impact on Liver and Lung Metastasis.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34944826 DOI: 10.3390/cancers13246206]</w:t>
      </w:r>
    </w:p>
    <w:p w14:paraId="0AEB4BE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82 </w:t>
      </w:r>
      <w:r>
        <w:rPr>
          <w:rFonts w:ascii="Book Antiqua" w:eastAsia="Book Antiqua" w:hAnsi="Book Antiqua" w:cs="Book Antiqua"/>
          <w:b/>
          <w:bCs/>
        </w:rPr>
        <w:t>Pagès F</w:t>
      </w:r>
      <w:r>
        <w:rPr>
          <w:rFonts w:ascii="Book Antiqua" w:eastAsia="Book Antiqua" w:hAnsi="Book Antiqua" w:cs="Book Antiqua"/>
        </w:rPr>
        <w:t>, Mlecnik B, Marliot F, Bindea G, Ou FS, Bifulco C, Lugli A, Zlobec I, Rau TT, Berger MD, Nagtegaal ID, Vink-Börger E, Hartmann A, Geppert C, Kolwelter J, Merkel S, Grützmann R, Van den Eynde M, Jouret-Mourin A, Kartheuser A, Léonard D, Remue C, Wang JY, Bavi P, Roehrl MHA, Ohashi PS, Nguyen LT, Han S, MacGregor HL, Hafezi-Bakhtiari S, Wouters BG, Masucci GV, Andersson EK, Zavadova E, Vocka M, Spacek J, Petruzelka L, Konopasek B, Dundr P, Skalova H, Nemejcova K, Botti G, Tatangelo F, Delrio P, Ciliberto G, Maio M, Laghi L, Grizzi F, Fredriksen T, Buttard B, Angelova M, Vasaturo A, Maby P, Church SE, Angell HK, Lafontaine L, Bruni D, El Sissy C, Haicheur N, Kirilovsky A, Berger A, Lagorce C, Meyers JP, Paustian C, Feng Z, Ballesteros-Merino C, Dijkstra J, van de Water C, van Lent-van Vliet S, Knijn N, Mu</w:t>
      </w:r>
      <w:r>
        <w:rPr>
          <w:rFonts w:ascii="Cambria" w:eastAsia="Book Antiqua" w:hAnsi="Cambria" w:cs="Cambria"/>
        </w:rPr>
        <w:t>ș</w:t>
      </w:r>
      <w:r>
        <w:rPr>
          <w:rFonts w:ascii="Book Antiqua" w:eastAsia="Book Antiqua" w:hAnsi="Book Antiqua" w:cs="Book Antiqua"/>
        </w:rPr>
        <w:t xml:space="preserve">ină AM, Scripcariu DV, Popivanova B, Xu M, Fujita T, Hazama S, Suzuki N, Nagano H, Okuno K, Torigoe T, Sato N, Furuhata T, Takemasa I, Itoh K, Patel PS, Vora HH, Shah B, Patel JB, Rajvik KN, Pandya SJ, Shukla SN, Wang Y, Zhang G, Kawakami Y, Marincola FM, Ascierto PA, Sargent DJ, Fox BA, Galon J. International validation of the consensus Immunoscore for the classification of colon cancer: a prognostic and accuracy study.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391</w:t>
      </w:r>
      <w:r>
        <w:rPr>
          <w:rFonts w:ascii="Book Antiqua" w:eastAsia="Book Antiqua" w:hAnsi="Book Antiqua" w:cs="Book Antiqua"/>
        </w:rPr>
        <w:t>: 2128-2139 [PMID: 29754777 DOI: 10.1016/S0140-6736(18)30789-X]</w:t>
      </w:r>
    </w:p>
    <w:p w14:paraId="7FCAB5E6"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83 </w:t>
      </w:r>
      <w:r>
        <w:rPr>
          <w:rFonts w:ascii="Book Antiqua" w:eastAsia="Book Antiqua" w:hAnsi="Book Antiqua" w:cs="Book Antiqua"/>
          <w:b/>
          <w:bCs/>
        </w:rPr>
        <w:t>Bruni D</w:t>
      </w:r>
      <w:r>
        <w:rPr>
          <w:rFonts w:ascii="Book Antiqua" w:eastAsia="Book Antiqua" w:hAnsi="Book Antiqua" w:cs="Book Antiqua"/>
        </w:rPr>
        <w:t xml:space="preserve">, Angell HK, Galon J. The immune contexture and Immunoscore in cancer prognosis and therapeutic efficacy. </w:t>
      </w:r>
      <w:r>
        <w:rPr>
          <w:rFonts w:ascii="Book Antiqua" w:eastAsia="Book Antiqua" w:hAnsi="Book Antiqua" w:cs="Book Antiqua"/>
          <w:i/>
          <w:iCs/>
        </w:rPr>
        <w:t>Nat Rev Cancer</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662-680 [PMID: 32753728 DOI: 10.1038/s41568-020-0285-7]</w:t>
      </w:r>
    </w:p>
    <w:p w14:paraId="1EB13D7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84 </w:t>
      </w:r>
      <w:r>
        <w:rPr>
          <w:rFonts w:ascii="Book Antiqua" w:eastAsia="Book Antiqua" w:hAnsi="Book Antiqua" w:cs="Book Antiqua"/>
          <w:b/>
          <w:bCs/>
        </w:rPr>
        <w:t>Angell HK</w:t>
      </w:r>
      <w:r>
        <w:rPr>
          <w:rFonts w:ascii="Book Antiqua" w:eastAsia="Book Antiqua" w:hAnsi="Book Antiqua" w:cs="Book Antiqua"/>
        </w:rPr>
        <w:t xml:space="preserve">, Bruni D, Barrett JC, Herbst R, Galon J. The Immunoscore: Colon Cancer and Beyond. </w:t>
      </w:r>
      <w:r>
        <w:rPr>
          <w:rFonts w:ascii="Book Antiqua" w:eastAsia="Book Antiqua" w:hAnsi="Book Antiqua" w:cs="Book Antiqua"/>
          <w:i/>
          <w:iCs/>
        </w:rPr>
        <w:t>Clin Cancer Res</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332-339 [PMID: 31413009 DOI: 10.1158/1078-0432.CCR-18-1851]</w:t>
      </w:r>
    </w:p>
    <w:p w14:paraId="1090540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85 </w:t>
      </w:r>
      <w:r>
        <w:rPr>
          <w:rFonts w:ascii="Book Antiqua" w:eastAsia="Book Antiqua" w:hAnsi="Book Antiqua" w:cs="Book Antiqua"/>
          <w:b/>
          <w:bCs/>
        </w:rPr>
        <w:t>Shi Y</w:t>
      </w:r>
      <w:r>
        <w:rPr>
          <w:rFonts w:ascii="Book Antiqua" w:eastAsia="Book Antiqua" w:hAnsi="Book Antiqua" w:cs="Book Antiqua"/>
        </w:rPr>
        <w:t xml:space="preserve">, Luo P, Wang W, Horst K, Bläsius F, Relja B, Xu D, Hildebrand F, Greven J. M1 But Not M0 Extracellular Vesicles Induce Polarization of RAW264.7 Macrophages Via the TLR4-NFκB Pathway In Vitro. </w:t>
      </w:r>
      <w:r>
        <w:rPr>
          <w:rFonts w:ascii="Book Antiqua" w:eastAsia="Book Antiqua" w:hAnsi="Book Antiqua" w:cs="Book Antiqua"/>
          <w:i/>
          <w:iCs/>
        </w:rPr>
        <w:t>Inflammation</w:t>
      </w:r>
      <w:r>
        <w:rPr>
          <w:rFonts w:ascii="Book Antiqua" w:eastAsia="Book Antiqua" w:hAnsi="Book Antiqua" w:cs="Book Antiqua"/>
        </w:rPr>
        <w:t xml:space="preserve"> 2020; </w:t>
      </w:r>
      <w:r>
        <w:rPr>
          <w:rFonts w:ascii="Book Antiqua" w:eastAsia="Book Antiqua" w:hAnsi="Book Antiqua" w:cs="Book Antiqua"/>
          <w:b/>
          <w:bCs/>
        </w:rPr>
        <w:t>43</w:t>
      </w:r>
      <w:r>
        <w:rPr>
          <w:rFonts w:ascii="Book Antiqua" w:eastAsia="Book Antiqua" w:hAnsi="Book Antiqua" w:cs="Book Antiqua"/>
        </w:rPr>
        <w:t>: 1611-1619 [PMID: 32323096 DOI: 10.1007/s10753-020-01236-7]</w:t>
      </w:r>
    </w:p>
    <w:p w14:paraId="0BF3664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86 </w:t>
      </w:r>
      <w:r>
        <w:rPr>
          <w:rFonts w:ascii="Book Antiqua" w:eastAsia="Book Antiqua" w:hAnsi="Book Antiqua" w:cs="Book Antiqua"/>
          <w:b/>
          <w:bCs/>
        </w:rPr>
        <w:t>Oishi S</w:t>
      </w:r>
      <w:r>
        <w:rPr>
          <w:rFonts w:ascii="Book Antiqua" w:eastAsia="Book Antiqua" w:hAnsi="Book Antiqua" w:cs="Book Antiqua"/>
        </w:rPr>
        <w:t xml:space="preserve">, Takano R, Tamura S, Tani S, Iwaizumi M, Hamaya Y, Takagaki K, Nagata T, Seto S, Horii T, Osawa S, Furuta T, Miyajima H, Sugimoto K. M2 polarization of murine peritoneal macrophages induces regulatory cytokine production and suppresses T-cell proliferation. </w:t>
      </w:r>
      <w:r>
        <w:rPr>
          <w:rFonts w:ascii="Book Antiqua" w:eastAsia="Book Antiqua" w:hAnsi="Book Antiqua" w:cs="Book Antiqua"/>
          <w:i/>
          <w:iCs/>
        </w:rPr>
        <w:t>Immunology</w:t>
      </w:r>
      <w:r>
        <w:rPr>
          <w:rFonts w:ascii="Book Antiqua" w:eastAsia="Book Antiqua" w:hAnsi="Book Antiqua" w:cs="Book Antiqua"/>
        </w:rPr>
        <w:t xml:space="preserve"> 2016; </w:t>
      </w:r>
      <w:r>
        <w:rPr>
          <w:rFonts w:ascii="Book Antiqua" w:eastAsia="Book Antiqua" w:hAnsi="Book Antiqua" w:cs="Book Antiqua"/>
          <w:b/>
          <w:bCs/>
        </w:rPr>
        <w:t>149</w:t>
      </w:r>
      <w:r>
        <w:rPr>
          <w:rFonts w:ascii="Book Antiqua" w:eastAsia="Book Antiqua" w:hAnsi="Book Antiqua" w:cs="Book Antiqua"/>
        </w:rPr>
        <w:t>: 320-328 [PMID: 27421990 DOI: 10.1111/imm.12647]</w:t>
      </w:r>
    </w:p>
    <w:p w14:paraId="13A8A42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87 </w:t>
      </w:r>
      <w:r>
        <w:rPr>
          <w:rFonts w:ascii="Book Antiqua" w:eastAsia="Book Antiqua" w:hAnsi="Book Antiqua" w:cs="Book Antiqua"/>
          <w:b/>
          <w:bCs/>
        </w:rPr>
        <w:t>Su B</w:t>
      </w:r>
      <w:r>
        <w:rPr>
          <w:rFonts w:ascii="Book Antiqua" w:eastAsia="Book Antiqua" w:hAnsi="Book Antiqua" w:cs="Book Antiqua"/>
        </w:rPr>
        <w:t xml:space="preserve">, Han H, Gong Y, Li X, Ji C, Yao J, Yang J, Hu W, Zhao W, Li J, Zhang G, Zhou L. Let-7d inhibits intratumoral macrophage M2 polarization and subsequent tumor angiogenesis by targeting IL-13 and IL-10. </w:t>
      </w:r>
      <w:r>
        <w:rPr>
          <w:rFonts w:ascii="Book Antiqua" w:eastAsia="Book Antiqua" w:hAnsi="Book Antiqua" w:cs="Book Antiqua"/>
          <w:i/>
          <w:iCs/>
        </w:rPr>
        <w:t>Cancer Immunol Immunother</w:t>
      </w:r>
      <w:r>
        <w:rPr>
          <w:rFonts w:ascii="Book Antiqua" w:eastAsia="Book Antiqua" w:hAnsi="Book Antiqua" w:cs="Book Antiqua"/>
        </w:rPr>
        <w:t xml:space="preserve"> 2021; </w:t>
      </w:r>
      <w:r>
        <w:rPr>
          <w:rFonts w:ascii="Book Antiqua" w:eastAsia="Book Antiqua" w:hAnsi="Book Antiqua" w:cs="Book Antiqua"/>
          <w:b/>
          <w:bCs/>
        </w:rPr>
        <w:t>70</w:t>
      </w:r>
      <w:r>
        <w:rPr>
          <w:rFonts w:ascii="Book Antiqua" w:eastAsia="Book Antiqua" w:hAnsi="Book Antiqua" w:cs="Book Antiqua"/>
        </w:rPr>
        <w:t>: 1619-1634 [PMID: 33237349 DOI: 10.1007/s00262-020-02791-6]</w:t>
      </w:r>
    </w:p>
    <w:p w14:paraId="47AEB35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88 </w:t>
      </w:r>
      <w:r>
        <w:rPr>
          <w:rFonts w:ascii="Book Antiqua" w:eastAsia="Book Antiqua" w:hAnsi="Book Antiqua" w:cs="Book Antiqua"/>
          <w:b/>
          <w:bCs/>
        </w:rPr>
        <w:t>Zhang Y</w:t>
      </w:r>
      <w:r>
        <w:rPr>
          <w:rFonts w:ascii="Book Antiqua" w:eastAsia="Book Antiqua" w:hAnsi="Book Antiqua" w:cs="Book Antiqua"/>
        </w:rPr>
        <w:t xml:space="preserve">, Zhao Y, Li Q, Wang Y. Macrophages, as a Promising Strategy to Targeted Treatment for Colorectal Cancer Metastasis in Tumor Immune Microenvironment.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685978 [PMID: 34326840 DOI: 10.3389/fimmu.2021.685978]</w:t>
      </w:r>
    </w:p>
    <w:p w14:paraId="14226FB7"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89 </w:t>
      </w:r>
      <w:r>
        <w:rPr>
          <w:rFonts w:ascii="Book Antiqua" w:eastAsia="Book Antiqua" w:hAnsi="Book Antiqua" w:cs="Book Antiqua"/>
          <w:b/>
          <w:bCs/>
        </w:rPr>
        <w:t>López-Soto A</w:t>
      </w:r>
      <w:r>
        <w:rPr>
          <w:rFonts w:ascii="Book Antiqua" w:eastAsia="Book Antiqua" w:hAnsi="Book Antiqua" w:cs="Book Antiqua"/>
        </w:rPr>
        <w:t xml:space="preserve">, Gonzalez S, Smyth MJ, Galluzzi L. Control of Metastasis by NK Cells. </w:t>
      </w:r>
      <w:r>
        <w:rPr>
          <w:rFonts w:ascii="Book Antiqua" w:eastAsia="Book Antiqua" w:hAnsi="Book Antiqua" w:cs="Book Antiqua"/>
          <w:i/>
          <w:iCs/>
        </w:rPr>
        <w:t>Cancer Cell</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135-154 [PMID: 28810142 DOI: 10.1016/j.ccell.2017.06.009]</w:t>
      </w:r>
    </w:p>
    <w:p w14:paraId="08247CED"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90 </w:t>
      </w:r>
      <w:r>
        <w:rPr>
          <w:rFonts w:ascii="Book Antiqua" w:eastAsia="Book Antiqua" w:hAnsi="Book Antiqua" w:cs="Book Antiqua"/>
          <w:b/>
          <w:bCs/>
        </w:rPr>
        <w:t>Melero I</w:t>
      </w:r>
      <w:r>
        <w:rPr>
          <w:rFonts w:ascii="Book Antiqua" w:eastAsia="Book Antiqua" w:hAnsi="Book Antiqua" w:cs="Book Antiqua"/>
        </w:rPr>
        <w:t xml:space="preserve">, Rouzaut A, Motz GT, Coukos G. T-cell and NK-cell infiltration into solid tumors: a key limiting factor for efficacious cancer immunotherapy. </w:t>
      </w:r>
      <w:r>
        <w:rPr>
          <w:rFonts w:ascii="Book Antiqua" w:eastAsia="Book Antiqua" w:hAnsi="Book Antiqua" w:cs="Book Antiqua"/>
          <w:i/>
          <w:iCs/>
        </w:rPr>
        <w:t>Cancer Discov</w:t>
      </w:r>
      <w:r>
        <w:rPr>
          <w:rFonts w:ascii="Book Antiqua" w:eastAsia="Book Antiqua" w:hAnsi="Book Antiqua" w:cs="Book Antiqua"/>
        </w:rPr>
        <w:t xml:space="preserve"> 2014; </w:t>
      </w:r>
      <w:r>
        <w:rPr>
          <w:rFonts w:ascii="Book Antiqua" w:eastAsia="Book Antiqua" w:hAnsi="Book Antiqua" w:cs="Book Antiqua"/>
          <w:b/>
          <w:bCs/>
        </w:rPr>
        <w:t>4</w:t>
      </w:r>
      <w:r>
        <w:rPr>
          <w:rFonts w:ascii="Book Antiqua" w:eastAsia="Book Antiqua" w:hAnsi="Book Antiqua" w:cs="Book Antiqua"/>
        </w:rPr>
        <w:t>: 522-526 [PMID: 24795012 DOI: 10.1158/2159-8290.CD-13-0985]</w:t>
      </w:r>
    </w:p>
    <w:p w14:paraId="7AD9417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91 </w:t>
      </w:r>
      <w:r>
        <w:rPr>
          <w:rFonts w:ascii="Book Antiqua" w:eastAsia="Book Antiqua" w:hAnsi="Book Antiqua" w:cs="Book Antiqua"/>
          <w:b/>
          <w:bCs/>
        </w:rPr>
        <w:t>Tachibana T</w:t>
      </w:r>
      <w:r>
        <w:rPr>
          <w:rFonts w:ascii="Book Antiqua" w:eastAsia="Book Antiqua" w:hAnsi="Book Antiqua" w:cs="Book Antiqua"/>
        </w:rPr>
        <w:t xml:space="preserve">, Onodera H, Tsuruyama T, Mori A, Nagayama S, Hiai H, Imamura M. Increased intratumor Valpha24-positive natural killer T cells: a prognostic factor for primary colorectal carcinomas. </w:t>
      </w:r>
      <w:r>
        <w:rPr>
          <w:rFonts w:ascii="Book Antiqua" w:eastAsia="Book Antiqua" w:hAnsi="Book Antiqua" w:cs="Book Antiqua"/>
          <w:i/>
          <w:iCs/>
        </w:rPr>
        <w:t>Clin Cancer Res</w:t>
      </w:r>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7322-7327 [PMID: 16243803 DOI: 10.1158/1078-0432.CCR-05-0877]</w:t>
      </w:r>
    </w:p>
    <w:p w14:paraId="7BB1B3B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92 </w:t>
      </w:r>
      <w:r>
        <w:rPr>
          <w:rFonts w:ascii="Book Antiqua" w:eastAsia="Book Antiqua" w:hAnsi="Book Antiqua" w:cs="Book Antiqua"/>
          <w:b/>
          <w:bCs/>
        </w:rPr>
        <w:t>Sandel MH</w:t>
      </w:r>
      <w:r>
        <w:rPr>
          <w:rFonts w:ascii="Book Antiqua" w:eastAsia="Book Antiqua" w:hAnsi="Book Antiqua" w:cs="Book Antiqua"/>
        </w:rPr>
        <w:t xml:space="preserve">, Dadabayev AR, Menon AG, Morreau H, Melief CJ, Offringa R, van der Burg SH, Janssen-van Rhijn CM, Ensink NG, Tollenaar RA, van de Velde CJ, Kuppen PJ. Prognostic value of tumor-infiltrating dendritic cells in colorectal cancer: role of maturation status and intratumoral localization. </w:t>
      </w:r>
      <w:r>
        <w:rPr>
          <w:rFonts w:ascii="Book Antiqua" w:eastAsia="Book Antiqua" w:hAnsi="Book Antiqua" w:cs="Book Antiqua"/>
          <w:i/>
          <w:iCs/>
        </w:rPr>
        <w:t>Clin Cancer Res</w:t>
      </w:r>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2576-2582 [PMID: 15814636 DOI: 10.1158/1078-0432.CCR-04-1448]</w:t>
      </w:r>
    </w:p>
    <w:p w14:paraId="6B478D5A"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93 </w:t>
      </w:r>
      <w:r>
        <w:rPr>
          <w:rFonts w:ascii="Book Antiqua" w:eastAsia="Book Antiqua" w:hAnsi="Book Antiqua" w:cs="Book Antiqua"/>
          <w:b/>
          <w:bCs/>
        </w:rPr>
        <w:t>Giraldo NA</w:t>
      </w:r>
      <w:r>
        <w:rPr>
          <w:rFonts w:ascii="Book Antiqua" w:eastAsia="Book Antiqua" w:hAnsi="Book Antiqua" w:cs="Book Antiqua"/>
        </w:rPr>
        <w:t xml:space="preserve">, Becht E, Remark R, Damotte D, Sautès-Fridman C, Fridman WH. The immune contexture of primary and metastatic human tumours. </w:t>
      </w:r>
      <w:r>
        <w:rPr>
          <w:rFonts w:ascii="Book Antiqua" w:eastAsia="Book Antiqua" w:hAnsi="Book Antiqua" w:cs="Book Antiqua"/>
          <w:i/>
          <w:iCs/>
        </w:rPr>
        <w:t>Curr Opin Immunol</w:t>
      </w:r>
      <w:r>
        <w:rPr>
          <w:rFonts w:ascii="Book Antiqua" w:eastAsia="Book Antiqua" w:hAnsi="Book Antiqua" w:cs="Book Antiqua"/>
        </w:rPr>
        <w:t xml:space="preserve"> 2014; </w:t>
      </w:r>
      <w:r>
        <w:rPr>
          <w:rFonts w:ascii="Book Antiqua" w:eastAsia="Book Antiqua" w:hAnsi="Book Antiqua" w:cs="Book Antiqua"/>
          <w:b/>
          <w:bCs/>
        </w:rPr>
        <w:t>27</w:t>
      </w:r>
      <w:r>
        <w:rPr>
          <w:rFonts w:ascii="Book Antiqua" w:eastAsia="Book Antiqua" w:hAnsi="Book Antiqua" w:cs="Book Antiqua"/>
        </w:rPr>
        <w:t>: 8-15 [PMID: 24487185 DOI: 10.1016/j.coi.2014.01.001]</w:t>
      </w:r>
    </w:p>
    <w:p w14:paraId="33069FD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94 </w:t>
      </w:r>
      <w:r>
        <w:rPr>
          <w:rFonts w:ascii="Book Antiqua" w:eastAsia="Book Antiqua" w:hAnsi="Book Antiqua" w:cs="Book Antiqua"/>
          <w:b/>
          <w:bCs/>
        </w:rPr>
        <w:t>Galon J</w:t>
      </w:r>
      <w:r>
        <w:rPr>
          <w:rFonts w:ascii="Book Antiqua" w:eastAsia="Book Antiqua" w:hAnsi="Book Antiqua" w:cs="Book Antiqua"/>
        </w:rPr>
        <w:t xml:space="preserve">, Costes A, Sanchez-Cabo F, Kirilovsky A, Mlecnik B, Lagorce-Pagès C, Tosolini M, Camus M, Berger A, Wind P, Zinzindohoué F, Bruneval P, Cugnenc PH, Trajanoski Z, Fridman WH, Pagès F. Type, density, and location of immune cells within human colorectal tumors predict clinical outcome. </w:t>
      </w:r>
      <w:r>
        <w:rPr>
          <w:rFonts w:ascii="Book Antiqua" w:eastAsia="Book Antiqua" w:hAnsi="Book Antiqua" w:cs="Book Antiqua"/>
          <w:i/>
          <w:iCs/>
        </w:rPr>
        <w:t>Science</w:t>
      </w:r>
      <w:r>
        <w:rPr>
          <w:rFonts w:ascii="Book Antiqua" w:eastAsia="Book Antiqua" w:hAnsi="Book Antiqua" w:cs="Book Antiqua"/>
        </w:rPr>
        <w:t xml:space="preserve"> 2006; </w:t>
      </w:r>
      <w:r>
        <w:rPr>
          <w:rFonts w:ascii="Book Antiqua" w:eastAsia="Book Antiqua" w:hAnsi="Book Antiqua" w:cs="Book Antiqua"/>
          <w:b/>
          <w:bCs/>
        </w:rPr>
        <w:t>313</w:t>
      </w:r>
      <w:r>
        <w:rPr>
          <w:rFonts w:ascii="Book Antiqua" w:eastAsia="Book Antiqua" w:hAnsi="Book Antiqua" w:cs="Book Antiqua"/>
        </w:rPr>
        <w:t>: 1960-1964 [PMID: 17008531 DOI: 10.1126/science.1129139]</w:t>
      </w:r>
    </w:p>
    <w:p w14:paraId="202FF053"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95 </w:t>
      </w:r>
      <w:r>
        <w:rPr>
          <w:rFonts w:ascii="Book Antiqua" w:eastAsia="Book Antiqua" w:hAnsi="Book Antiqua" w:cs="Book Antiqua"/>
          <w:b/>
          <w:bCs/>
        </w:rPr>
        <w:t>Lazarus J</w:t>
      </w:r>
      <w:r>
        <w:rPr>
          <w:rFonts w:ascii="Book Antiqua" w:eastAsia="Book Antiqua" w:hAnsi="Book Antiqua" w:cs="Book Antiqua"/>
        </w:rPr>
        <w:t xml:space="preserve">, Maj T, Smith JJ, Perusina Lanfranca M, Rao A, D'Angelica MI, Delrosario L, Girgis A, Schukow C, Shia J, Kryczek I, Shi J, Wasserman I, Crawford H, Nathan H, Pasca Di Magliano M, Zou W, Frankel TL. Spatial and phenotypic immune profiling of metastatic colon cancer. </w:t>
      </w:r>
      <w:r>
        <w:rPr>
          <w:rFonts w:ascii="Book Antiqua" w:eastAsia="Book Antiqua" w:hAnsi="Book Antiqua" w:cs="Book Antiqua"/>
          <w:i/>
          <w:iCs/>
        </w:rPr>
        <w:t>JCI Insight</w:t>
      </w:r>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xml:space="preserve"> [PMID: 30429368 DOI: 10.1172/jci.insight.121932]</w:t>
      </w:r>
    </w:p>
    <w:p w14:paraId="6A237079" w14:textId="77777777" w:rsidR="000A3061" w:rsidRDefault="00000000">
      <w:pPr>
        <w:spacing w:line="360" w:lineRule="auto"/>
        <w:jc w:val="both"/>
        <w:rPr>
          <w:rFonts w:ascii="Book Antiqua" w:eastAsiaTheme="minorEastAsia" w:hAnsi="Book Antiqua" w:cs="Book Antiqua"/>
        </w:rPr>
      </w:pPr>
      <w:r>
        <w:rPr>
          <w:rFonts w:ascii="Book Antiqua" w:eastAsia="Book Antiqua" w:hAnsi="Book Antiqua" w:cs="Book Antiqua"/>
        </w:rPr>
        <w:t xml:space="preserve">96 </w:t>
      </w:r>
      <w:r>
        <w:rPr>
          <w:rFonts w:ascii="Book Antiqua" w:eastAsia="Book Antiqua" w:hAnsi="Book Antiqua" w:cs="Book Antiqua"/>
          <w:b/>
          <w:bCs/>
        </w:rPr>
        <w:t>Bindea G</w:t>
      </w:r>
      <w:r>
        <w:rPr>
          <w:rFonts w:ascii="Book Antiqua" w:eastAsia="Book Antiqua" w:hAnsi="Book Antiqua" w:cs="Book Antiqua"/>
        </w:rPr>
        <w:t xml:space="preserve">, Mlecnik B, Tosolini M, Kirilovsky A, Waldner M, Obenauf AC, Angell H, Fredriksen T, Lafontaine L, Berger A, Bruneval P, Fridman WH, Becker C, Pagès F, Speicher MR, Trajanoski Z, Galon J. Spatiotemporal dynamics of intratumoral immune cells reveal the immune landscape in human cancer. </w:t>
      </w:r>
      <w:r>
        <w:rPr>
          <w:rFonts w:ascii="Book Antiqua" w:eastAsia="Book Antiqua" w:hAnsi="Book Antiqua" w:cs="Book Antiqua"/>
          <w:i/>
          <w:iCs/>
        </w:rPr>
        <w:t>Immunity</w:t>
      </w:r>
      <w:r>
        <w:rPr>
          <w:rFonts w:ascii="Book Antiqua" w:eastAsia="Book Antiqua" w:hAnsi="Book Antiqua" w:cs="Book Antiqua"/>
        </w:rPr>
        <w:t xml:space="preserve"> 2013; </w:t>
      </w:r>
      <w:r>
        <w:rPr>
          <w:rFonts w:ascii="Book Antiqua" w:eastAsia="Book Antiqua" w:hAnsi="Book Antiqua" w:cs="Book Antiqua"/>
          <w:b/>
          <w:bCs/>
        </w:rPr>
        <w:t>39</w:t>
      </w:r>
      <w:r>
        <w:rPr>
          <w:rFonts w:ascii="Book Antiqua" w:eastAsia="Book Antiqua" w:hAnsi="Book Antiqua" w:cs="Book Antiqua"/>
        </w:rPr>
        <w:t>: 782-795 [PMID: 24138885 DOI: 10.1016/j.immuni.2013.10.003]</w:t>
      </w:r>
    </w:p>
    <w:p w14:paraId="6C9EC75E"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97 </w:t>
      </w:r>
      <w:r>
        <w:rPr>
          <w:rFonts w:ascii="Book Antiqua" w:eastAsia="Book Antiqua" w:hAnsi="Book Antiqua" w:cs="Book Antiqua"/>
          <w:b/>
          <w:bCs/>
        </w:rPr>
        <w:t>Ahrends T</w:t>
      </w:r>
      <w:r>
        <w:rPr>
          <w:rFonts w:ascii="Book Antiqua" w:eastAsia="Book Antiqua" w:hAnsi="Book Antiqua" w:cs="Book Antiqua"/>
        </w:rPr>
        <w:t xml:space="preserve">, Spanjaard A, Pilzecker B, Bąbała N, Bovens A, Xiao Y, Jacobs H, Borst J. CD4(+) T Cell Help Confers a Cytotoxic T Cell Effector Program Including Coinhibitory Receptor Downregulation and Increased Tissue Invasiveness. </w:t>
      </w:r>
      <w:r>
        <w:rPr>
          <w:rFonts w:ascii="Book Antiqua" w:eastAsia="Book Antiqua" w:hAnsi="Book Antiqua" w:cs="Book Antiqua"/>
          <w:i/>
          <w:iCs/>
        </w:rPr>
        <w:t>Immunity</w:t>
      </w:r>
      <w:r>
        <w:rPr>
          <w:rFonts w:ascii="Book Antiqua" w:eastAsia="Book Antiqua" w:hAnsi="Book Antiqua" w:cs="Book Antiqua"/>
        </w:rPr>
        <w:t xml:space="preserve"> 2017; </w:t>
      </w:r>
      <w:r>
        <w:rPr>
          <w:rFonts w:ascii="Book Antiqua" w:eastAsia="Book Antiqua" w:hAnsi="Book Antiqua" w:cs="Book Antiqua"/>
          <w:b/>
          <w:bCs/>
        </w:rPr>
        <w:t>47</w:t>
      </w:r>
      <w:r>
        <w:rPr>
          <w:rFonts w:ascii="Book Antiqua" w:eastAsia="Book Antiqua" w:hAnsi="Book Antiqua" w:cs="Book Antiqua"/>
        </w:rPr>
        <w:t>: 848-861.e5 [PMID: 29126798 DOI: 10.1016/j.immuni.2017.10.009]</w:t>
      </w:r>
    </w:p>
    <w:p w14:paraId="2253533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98 </w:t>
      </w:r>
      <w:r>
        <w:rPr>
          <w:rFonts w:ascii="Book Antiqua" w:eastAsia="Book Antiqua" w:hAnsi="Book Antiqua" w:cs="Book Antiqua"/>
          <w:b/>
          <w:bCs/>
        </w:rPr>
        <w:t>Tosolini M</w:t>
      </w:r>
      <w:r>
        <w:rPr>
          <w:rFonts w:ascii="Book Antiqua" w:eastAsia="Book Antiqua" w:hAnsi="Book Antiqua" w:cs="Book Antiqua"/>
        </w:rPr>
        <w:t xml:space="preserve">, Kirilovsky A, Mlecnik B, Fredriksen T, Mauger S, Bindea G, Berger A, Bruneval P, Fridman WH, Pagès F, Galon J. Clinical impact of different classes of infiltrating T cytotoxic and helper cells (Th1, th2, treg, th17) in patients with colorectal cancer. </w:t>
      </w:r>
      <w:r>
        <w:rPr>
          <w:rFonts w:ascii="Book Antiqua" w:eastAsia="Book Antiqua" w:hAnsi="Book Antiqua" w:cs="Book Antiqua"/>
          <w:i/>
          <w:iCs/>
        </w:rPr>
        <w:t>Cancer Res</w:t>
      </w:r>
      <w:r>
        <w:rPr>
          <w:rFonts w:ascii="Book Antiqua" w:eastAsia="Book Antiqua" w:hAnsi="Book Antiqua" w:cs="Book Antiqua"/>
        </w:rPr>
        <w:t xml:space="preserve"> 2011; </w:t>
      </w:r>
      <w:r>
        <w:rPr>
          <w:rFonts w:ascii="Book Antiqua" w:eastAsia="Book Antiqua" w:hAnsi="Book Antiqua" w:cs="Book Antiqua"/>
          <w:b/>
          <w:bCs/>
        </w:rPr>
        <w:t>71</w:t>
      </w:r>
      <w:r>
        <w:rPr>
          <w:rFonts w:ascii="Book Antiqua" w:eastAsia="Book Antiqua" w:hAnsi="Book Antiqua" w:cs="Book Antiqua"/>
        </w:rPr>
        <w:t>: 1263-1271 [PMID: 21303976 DOI: 10.1158/0008-5472.CAN-10-2907]</w:t>
      </w:r>
    </w:p>
    <w:p w14:paraId="71AB43CF"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99 </w:t>
      </w:r>
      <w:r>
        <w:rPr>
          <w:rFonts w:ascii="Book Antiqua" w:eastAsia="Book Antiqua" w:hAnsi="Book Antiqua" w:cs="Book Antiqua"/>
          <w:b/>
          <w:bCs/>
        </w:rPr>
        <w:t>Amicarella F</w:t>
      </w:r>
      <w:r>
        <w:rPr>
          <w:rFonts w:ascii="Book Antiqua" w:eastAsia="Book Antiqua" w:hAnsi="Book Antiqua" w:cs="Book Antiqua"/>
        </w:rPr>
        <w:t xml:space="preserve">, Muraro MG, Hirt C, Cremonesi E, Padovan E, Mele V, Governa V, Han J, Huber X, Droeser RA, Zuber M, Adamina M, Bolli M, Rosso R, Lugli A, Zlobec I, Terracciano L, Tornillo L, Zajac P, Eppenberger-Castori S, Trapani F, Oertli D, Iezzi G. Dual role of tumour-infiltrating T helper 17 cells in human colorectal cancer. </w:t>
      </w:r>
      <w:r>
        <w:rPr>
          <w:rFonts w:ascii="Book Antiqua" w:eastAsia="Book Antiqua" w:hAnsi="Book Antiqua" w:cs="Book Antiqua"/>
          <w:i/>
          <w:iCs/>
        </w:rPr>
        <w:t>Gut</w:t>
      </w:r>
      <w:r>
        <w:rPr>
          <w:rFonts w:ascii="Book Antiqua" w:eastAsia="Book Antiqua" w:hAnsi="Book Antiqua" w:cs="Book Antiqua"/>
        </w:rPr>
        <w:t xml:space="preserve"> 2017; </w:t>
      </w:r>
      <w:r>
        <w:rPr>
          <w:rFonts w:ascii="Book Antiqua" w:eastAsia="Book Antiqua" w:hAnsi="Book Antiqua" w:cs="Book Antiqua"/>
          <w:b/>
          <w:bCs/>
        </w:rPr>
        <w:t>66</w:t>
      </w:r>
      <w:r>
        <w:rPr>
          <w:rFonts w:ascii="Book Antiqua" w:eastAsia="Book Antiqua" w:hAnsi="Book Antiqua" w:cs="Book Antiqua"/>
        </w:rPr>
        <w:t>: 692-704 [PMID: 26719303 DOI: 10.1136/gutjnl-2015-310016]</w:t>
      </w:r>
    </w:p>
    <w:p w14:paraId="5255413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100 </w:t>
      </w:r>
      <w:r>
        <w:rPr>
          <w:rFonts w:ascii="Book Antiqua" w:eastAsia="Book Antiqua" w:hAnsi="Book Antiqua" w:cs="Book Antiqua"/>
          <w:b/>
          <w:bCs/>
        </w:rPr>
        <w:t>Van den Eynde M</w:t>
      </w:r>
      <w:r>
        <w:rPr>
          <w:rFonts w:ascii="Book Antiqua" w:eastAsia="Book Antiqua" w:hAnsi="Book Antiqua" w:cs="Book Antiqua"/>
        </w:rPr>
        <w:t xml:space="preserve">, Mlecnik B, Bindea G, Galon J. Multiverse of immune microenvironment in metastatic colorectal cancer. </w:t>
      </w:r>
      <w:r>
        <w:rPr>
          <w:rFonts w:ascii="Book Antiqua" w:eastAsia="Book Antiqua" w:hAnsi="Book Antiqua" w:cs="Book Antiqua"/>
          <w:i/>
          <w:iCs/>
        </w:rPr>
        <w:t>Oncoimmunology</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1824316 [PMID: 33457100 DOI: 10.1080/2162402X.2020.1824316]</w:t>
      </w:r>
    </w:p>
    <w:p w14:paraId="2BB33C09" w14:textId="77777777" w:rsidR="000A3061" w:rsidRDefault="00000000">
      <w:pPr>
        <w:spacing w:line="360" w:lineRule="auto"/>
        <w:jc w:val="both"/>
        <w:rPr>
          <w:rFonts w:ascii="Book Antiqua" w:eastAsiaTheme="minorEastAsia" w:hAnsi="Book Antiqua" w:cs="Book Antiqua"/>
        </w:rPr>
      </w:pPr>
      <w:r>
        <w:rPr>
          <w:rFonts w:ascii="Book Antiqua" w:eastAsia="Book Antiqua" w:hAnsi="Book Antiqua" w:cs="Book Antiqua"/>
        </w:rPr>
        <w:t xml:space="preserve">101 </w:t>
      </w:r>
      <w:r>
        <w:rPr>
          <w:rFonts w:ascii="Book Antiqua" w:eastAsia="Book Antiqua" w:hAnsi="Book Antiqua" w:cs="Book Antiqua"/>
          <w:b/>
          <w:bCs/>
        </w:rPr>
        <w:t>Van den Eynde M</w:t>
      </w:r>
      <w:r>
        <w:rPr>
          <w:rFonts w:ascii="Book Antiqua" w:eastAsia="Book Antiqua" w:hAnsi="Book Antiqua" w:cs="Book Antiqua"/>
        </w:rPr>
        <w:t xml:space="preserve">, Mlecnik B, Bindea G, Fredriksen T, Church SE, Lafontaine L, Haicheur N, Marliot F, Angelova M, Vasaturo A, Bruni D, Jouret-Mourin A, Baldin P, Huyghe N, Haustermans K, Debucquoy A, Van Cutsem E, Gigot JF, Hubert C, Kartheuser A, Remue C, Léonard D, Valge-Archer V, Pagès F, Machiels JP, Galon J. The Link between the Multiverse of Immune Microenvironments in Metastases and the Survival of Colorectal Cancer Patients. </w:t>
      </w:r>
      <w:r>
        <w:rPr>
          <w:rFonts w:ascii="Book Antiqua" w:eastAsia="Book Antiqua" w:hAnsi="Book Antiqua" w:cs="Book Antiqua"/>
          <w:i/>
          <w:iCs/>
        </w:rPr>
        <w:t>Cancer Cell</w:t>
      </w:r>
      <w:r>
        <w:rPr>
          <w:rFonts w:ascii="Book Antiqua" w:eastAsia="Book Antiqua" w:hAnsi="Book Antiqua" w:cs="Book Antiqua"/>
        </w:rPr>
        <w:t xml:space="preserve"> 2018; </w:t>
      </w:r>
      <w:r>
        <w:rPr>
          <w:rFonts w:ascii="Book Antiqua" w:eastAsia="Book Antiqua" w:hAnsi="Book Antiqua" w:cs="Book Antiqua"/>
          <w:b/>
          <w:bCs/>
        </w:rPr>
        <w:t>34</w:t>
      </w:r>
      <w:r>
        <w:rPr>
          <w:rFonts w:ascii="Book Antiqua" w:eastAsia="Book Antiqua" w:hAnsi="Book Antiqua" w:cs="Book Antiqua"/>
        </w:rPr>
        <w:t>: 1012-1026.e3 [PMID: 30537506 DOI: 10.1016/j.ccell.2018.11.003]</w:t>
      </w:r>
    </w:p>
    <w:p w14:paraId="1612FE70"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102 </w:t>
      </w:r>
      <w:r>
        <w:rPr>
          <w:rFonts w:ascii="Book Antiqua" w:eastAsia="Book Antiqua" w:hAnsi="Book Antiqua" w:cs="Book Antiqua"/>
          <w:b/>
          <w:bCs/>
        </w:rPr>
        <w:t>Sun HL</w:t>
      </w:r>
      <w:r>
        <w:rPr>
          <w:rFonts w:ascii="Book Antiqua" w:eastAsia="Book Antiqua" w:hAnsi="Book Antiqua" w:cs="Book Antiqua"/>
        </w:rPr>
        <w:t xml:space="preserve">, Zhou X, Xue YF, Wang K, Shen YF, Mao JJ, Guo HF, Miao ZN. Increased frequency and clinical significance of myeloid-derived suppressor cells in human colorectal carcinoma. </w:t>
      </w:r>
      <w:r>
        <w:rPr>
          <w:rFonts w:ascii="Book Antiqua" w:eastAsia="Book Antiqua" w:hAnsi="Book Antiqua" w:cs="Book Antiqua"/>
          <w:i/>
          <w:iCs/>
        </w:rPr>
        <w:t>World J Gastroenterol</w:t>
      </w:r>
      <w:r>
        <w:rPr>
          <w:rFonts w:ascii="Book Antiqua" w:eastAsia="Book Antiqua" w:hAnsi="Book Antiqua" w:cs="Book Antiqua"/>
        </w:rPr>
        <w:t xml:space="preserve"> 2012; </w:t>
      </w:r>
      <w:r>
        <w:rPr>
          <w:rFonts w:ascii="Book Antiqua" w:eastAsia="Book Antiqua" w:hAnsi="Book Antiqua" w:cs="Book Antiqua"/>
          <w:b/>
          <w:bCs/>
        </w:rPr>
        <w:t>18</w:t>
      </w:r>
      <w:r>
        <w:rPr>
          <w:rFonts w:ascii="Book Antiqua" w:eastAsia="Book Antiqua" w:hAnsi="Book Antiqua" w:cs="Book Antiqua"/>
        </w:rPr>
        <w:t>: 3303-3309 [PMID: 22783056 DOI: 10.3748/wjg.v18.i25.3303]</w:t>
      </w:r>
    </w:p>
    <w:p w14:paraId="71B7C801"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103 </w:t>
      </w:r>
      <w:r>
        <w:rPr>
          <w:rFonts w:ascii="Book Antiqua" w:eastAsia="Book Antiqua" w:hAnsi="Book Antiqua" w:cs="Book Antiqua"/>
          <w:b/>
          <w:bCs/>
        </w:rPr>
        <w:t>Zhang B</w:t>
      </w:r>
      <w:r>
        <w:rPr>
          <w:rFonts w:ascii="Book Antiqua" w:eastAsia="Book Antiqua" w:hAnsi="Book Antiqua" w:cs="Book Antiqua"/>
        </w:rPr>
        <w:t xml:space="preserve">, Wang Z, Wu L, Zhang M, Li W, Ding J, Zhu J, Wei H, Zhao K. Circulating and tumor-infiltrating myeloid-derived suppressor cells in patients with colorectal carcinoma. </w:t>
      </w:r>
      <w:r>
        <w:rPr>
          <w:rFonts w:ascii="Book Antiqua" w:eastAsia="Book Antiqua" w:hAnsi="Book Antiqua" w:cs="Book Antiqua"/>
          <w:i/>
          <w:iCs/>
        </w:rPr>
        <w:t>PLoS One</w:t>
      </w:r>
      <w:r>
        <w:rPr>
          <w:rFonts w:ascii="Book Antiqua" w:eastAsia="Book Antiqua" w:hAnsi="Book Antiqua" w:cs="Book Antiqua"/>
        </w:rPr>
        <w:t xml:space="preserve"> 2013; </w:t>
      </w:r>
      <w:r>
        <w:rPr>
          <w:rFonts w:ascii="Book Antiqua" w:eastAsia="Book Antiqua" w:hAnsi="Book Antiqua" w:cs="Book Antiqua"/>
          <w:b/>
          <w:bCs/>
        </w:rPr>
        <w:t>8</w:t>
      </w:r>
      <w:r>
        <w:rPr>
          <w:rFonts w:ascii="Book Antiqua" w:eastAsia="Book Antiqua" w:hAnsi="Book Antiqua" w:cs="Book Antiqua"/>
        </w:rPr>
        <w:t>: e57114 [PMID: 23437326 DOI: 10.1371/journal.pone.0057114]</w:t>
      </w:r>
    </w:p>
    <w:p w14:paraId="3280CCD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104 </w:t>
      </w:r>
      <w:r>
        <w:rPr>
          <w:rFonts w:ascii="Book Antiqua" w:eastAsia="Book Antiqua" w:hAnsi="Book Antiqua" w:cs="Book Antiqua"/>
          <w:b/>
          <w:bCs/>
        </w:rPr>
        <w:t>Deng D</w:t>
      </w:r>
      <w:r>
        <w:rPr>
          <w:rFonts w:ascii="Book Antiqua" w:eastAsia="Book Antiqua" w:hAnsi="Book Antiqua" w:cs="Book Antiqua"/>
        </w:rPr>
        <w:t xml:space="preserve">, Luo X, Zhang S, Xu Z. Immune cell infiltration-associated signature in colon cancer and its prognostic implications. </w:t>
      </w:r>
      <w:r>
        <w:rPr>
          <w:rFonts w:ascii="Book Antiqua" w:eastAsia="Book Antiqua" w:hAnsi="Book Antiqua" w:cs="Book Antiqua"/>
          <w:i/>
          <w:iCs/>
        </w:rPr>
        <w:t>Aging (Albany NY)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19696-19709 [PMID: 34349038 DOI: 10.18632/aging.203380]</w:t>
      </w:r>
    </w:p>
    <w:p w14:paraId="123F4553"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105 </w:t>
      </w:r>
      <w:r>
        <w:rPr>
          <w:rFonts w:ascii="Book Antiqua" w:eastAsia="Book Antiqua" w:hAnsi="Book Antiqua" w:cs="Book Antiqua"/>
          <w:b/>
          <w:bCs/>
        </w:rPr>
        <w:t>Galdiero MR</w:t>
      </w:r>
      <w:r>
        <w:rPr>
          <w:rFonts w:ascii="Book Antiqua" w:eastAsia="Book Antiqua" w:hAnsi="Book Antiqua" w:cs="Book Antiqua"/>
        </w:rPr>
        <w:t xml:space="preserve">, Bianchi P, Grizzi F, Di Caro G, Basso G, Ponzetta A, Bonavita E, Barbagallo M, Tartari S, Polentarutti N, Malesci A, Marone G, Roncalli M, Laghi L, Garlanda C, Mantovani A, Jaillon S. Occurrence and significance of tumor-associated neutrophils in patients with colorectal cancer. </w:t>
      </w:r>
      <w:r>
        <w:rPr>
          <w:rFonts w:ascii="Book Antiqua" w:eastAsia="Book Antiqua" w:hAnsi="Book Antiqua" w:cs="Book Antiqua"/>
          <w:i/>
          <w:iCs/>
        </w:rPr>
        <w:t>Int J Cancer</w:t>
      </w:r>
      <w:r>
        <w:rPr>
          <w:rFonts w:ascii="Book Antiqua" w:eastAsia="Book Antiqua" w:hAnsi="Book Antiqua" w:cs="Book Antiqua"/>
        </w:rPr>
        <w:t xml:space="preserve"> 2016; </w:t>
      </w:r>
      <w:r>
        <w:rPr>
          <w:rFonts w:ascii="Book Antiqua" w:eastAsia="Book Antiqua" w:hAnsi="Book Antiqua" w:cs="Book Antiqua"/>
          <w:b/>
          <w:bCs/>
        </w:rPr>
        <w:t>139</w:t>
      </w:r>
      <w:r>
        <w:rPr>
          <w:rFonts w:ascii="Book Antiqua" w:eastAsia="Book Antiqua" w:hAnsi="Book Antiqua" w:cs="Book Antiqua"/>
        </w:rPr>
        <w:t>: 446-456 [PMID: 26939802 DOI: 10.1002/ijc.30076]</w:t>
      </w:r>
    </w:p>
    <w:p w14:paraId="2053463D"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106 </w:t>
      </w:r>
      <w:r>
        <w:rPr>
          <w:rFonts w:ascii="Book Antiqua" w:eastAsia="Book Antiqua" w:hAnsi="Book Antiqua" w:cs="Book Antiqua"/>
          <w:b/>
          <w:bCs/>
        </w:rPr>
        <w:t>Rawla P</w:t>
      </w:r>
      <w:r>
        <w:rPr>
          <w:rFonts w:ascii="Book Antiqua" w:eastAsia="Book Antiqua" w:hAnsi="Book Antiqua" w:cs="Book Antiqua"/>
        </w:rPr>
        <w:t xml:space="preserve">, Sunkara T, Barsouk A. Epidemiology of colorectal cancer: incidence, mortality, survival, and risk factors. </w:t>
      </w:r>
      <w:r>
        <w:rPr>
          <w:rFonts w:ascii="Book Antiqua" w:eastAsia="Book Antiqua" w:hAnsi="Book Antiqua" w:cs="Book Antiqua"/>
          <w:i/>
          <w:iCs/>
        </w:rPr>
        <w:t>Prz Gastroenterol</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89-103 [PMID: 31616522 DOI: 10.5114/pg.2018.81072]</w:t>
      </w:r>
    </w:p>
    <w:p w14:paraId="35BA57C5"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107 </w:t>
      </w:r>
      <w:r>
        <w:rPr>
          <w:rFonts w:ascii="Book Antiqua" w:eastAsia="Book Antiqua" w:hAnsi="Book Antiqua" w:cs="Book Antiqua"/>
          <w:b/>
          <w:bCs/>
        </w:rPr>
        <w:t>Van Loon K</w:t>
      </w:r>
      <w:r>
        <w:rPr>
          <w:rFonts w:ascii="Book Antiqua" w:eastAsia="Book Antiqua" w:hAnsi="Book Antiqua" w:cs="Book Antiqua"/>
        </w:rPr>
        <w:t xml:space="preserve">, Wigler D, Niedzwiecki D, Venook AP, Fuchs C, Blanke C, Saltz L, Goldberg RM, Meyerhardt JA. Comparison of dietary and lifestyle habits among stage III and metastatic colorectal cancer patients: findings from CALGB 89803 and CALGB 80405. </w:t>
      </w:r>
      <w:r>
        <w:rPr>
          <w:rFonts w:ascii="Book Antiqua" w:eastAsia="Book Antiqua" w:hAnsi="Book Antiqua" w:cs="Book Antiqua"/>
          <w:i/>
          <w:iCs/>
        </w:rPr>
        <w:t>Clin Colorectal Cancer</w:t>
      </w:r>
      <w:r>
        <w:rPr>
          <w:rFonts w:ascii="Book Antiqua" w:eastAsia="Book Antiqua" w:hAnsi="Book Antiqua" w:cs="Book Antiqua"/>
        </w:rPr>
        <w:t xml:space="preserve"> 2013; </w:t>
      </w:r>
      <w:r>
        <w:rPr>
          <w:rFonts w:ascii="Book Antiqua" w:eastAsia="Book Antiqua" w:hAnsi="Book Antiqua" w:cs="Book Antiqua"/>
          <w:b/>
          <w:bCs/>
        </w:rPr>
        <w:t>12</w:t>
      </w:r>
      <w:r>
        <w:rPr>
          <w:rFonts w:ascii="Book Antiqua" w:eastAsia="Book Antiqua" w:hAnsi="Book Antiqua" w:cs="Book Antiqua"/>
        </w:rPr>
        <w:t>: 95-102 [PMID: 23317558 DOI: 10.1016/j.clcc.2012.11.002]</w:t>
      </w:r>
    </w:p>
    <w:p w14:paraId="48C5F097" w14:textId="77777777" w:rsidR="000A3061" w:rsidRDefault="00000000">
      <w:pPr>
        <w:spacing w:line="360" w:lineRule="auto"/>
        <w:jc w:val="both"/>
        <w:rPr>
          <w:rFonts w:ascii="Book Antiqua" w:eastAsiaTheme="minorEastAsia" w:hAnsi="Book Antiqua" w:cs="Book Antiqua"/>
        </w:rPr>
      </w:pPr>
      <w:r>
        <w:rPr>
          <w:rFonts w:ascii="Book Antiqua" w:eastAsia="Book Antiqua" w:hAnsi="Book Antiqua" w:cs="Book Antiqua"/>
        </w:rPr>
        <w:t xml:space="preserve">108 </w:t>
      </w:r>
      <w:r>
        <w:rPr>
          <w:rFonts w:ascii="Book Antiqua" w:eastAsia="Book Antiqua" w:hAnsi="Book Antiqua" w:cs="Book Antiqua"/>
          <w:b/>
          <w:bCs/>
        </w:rPr>
        <w:t>Patel GS</w:t>
      </w:r>
      <w:r>
        <w:rPr>
          <w:rFonts w:ascii="Book Antiqua" w:eastAsia="Book Antiqua" w:hAnsi="Book Antiqua" w:cs="Book Antiqua"/>
        </w:rPr>
        <w:t xml:space="preserve">, Ullah S, Beeke C, Hakendorf P, Padbury R, Price TJ, Karapetis CS. Association of BMI with overall survival in patients with mCRC who received chemotherapy versus EGFR and VEGF-targeted therapies. </w:t>
      </w:r>
      <w:r>
        <w:rPr>
          <w:rFonts w:ascii="Book Antiqua" w:eastAsia="Book Antiqua" w:hAnsi="Book Antiqua" w:cs="Book Antiqua"/>
          <w:i/>
          <w:iCs/>
        </w:rPr>
        <w:t>Cancer Med</w:t>
      </w:r>
      <w:r>
        <w:rPr>
          <w:rFonts w:ascii="Book Antiqua" w:eastAsia="Book Antiqua" w:hAnsi="Book Antiqua" w:cs="Book Antiqua"/>
        </w:rPr>
        <w:t xml:space="preserve"> 2015; </w:t>
      </w:r>
      <w:r>
        <w:rPr>
          <w:rFonts w:ascii="Book Antiqua" w:eastAsia="Book Antiqua" w:hAnsi="Book Antiqua" w:cs="Book Antiqua"/>
          <w:b/>
          <w:bCs/>
        </w:rPr>
        <w:t>4</w:t>
      </w:r>
      <w:r>
        <w:rPr>
          <w:rFonts w:ascii="Book Antiqua" w:eastAsia="Book Antiqua" w:hAnsi="Book Antiqua" w:cs="Book Antiqua"/>
        </w:rPr>
        <w:t>: 1461-1471 [PMID: 26211512 DOI: 10.1002/cam4.490]</w:t>
      </w:r>
    </w:p>
    <w:p w14:paraId="6CABAA64"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109 </w:t>
      </w:r>
      <w:r>
        <w:rPr>
          <w:rFonts w:ascii="Book Antiqua" w:eastAsia="Book Antiqua" w:hAnsi="Book Antiqua" w:cs="Book Antiqua"/>
          <w:b/>
          <w:bCs/>
        </w:rPr>
        <w:t>Sawicki T</w:t>
      </w:r>
      <w:r>
        <w:rPr>
          <w:rFonts w:ascii="Book Antiqua" w:eastAsia="Book Antiqua" w:hAnsi="Book Antiqua" w:cs="Book Antiqua"/>
        </w:rPr>
        <w:t xml:space="preserve">, Ruszkowska M, Danielewicz A, Niedźwiedzka E, Arłukowicz T, Przybyłowicz KE. A Review of Colorectal Cancer in Terms of Epidemiology, Risk Factors, Development, Symptoms and Diagnosis.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33922197 DOI: 10.3390/cancers13092025]</w:t>
      </w:r>
    </w:p>
    <w:p w14:paraId="10B4C0D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110 </w:t>
      </w:r>
      <w:r>
        <w:rPr>
          <w:rFonts w:ascii="Book Antiqua" w:eastAsia="Book Antiqua" w:hAnsi="Book Antiqua" w:cs="Book Antiqua"/>
          <w:b/>
          <w:bCs/>
        </w:rPr>
        <w:t>Renfro LA</w:t>
      </w:r>
      <w:r>
        <w:rPr>
          <w:rFonts w:ascii="Book Antiqua" w:eastAsia="Book Antiqua" w:hAnsi="Book Antiqua" w:cs="Book Antiqua"/>
        </w:rPr>
        <w:t xml:space="preserve">, Loupakis F, Adams RA, Seymour MT, Heinemann V, Schmoll HJ, Douillard JY, Hurwitz H, Fuchs CS, Diaz-Rubio E, Porschen R, Tournigand C, Chibaudel B, Falcone A, Tebbutt NC, Punt CJ, Hecht JR, Bokemeyer C, Van Cutsem E, Goldberg RM, Saltz LB, de Gramont A, Sargent DJ, Lenz HJ. Body Mass Index Is Prognostic in Metastatic Colorectal Cancer: Pooled Analysis of Patients From First-Line Clinical Trials in the ARCAD Database. </w:t>
      </w:r>
      <w:r>
        <w:rPr>
          <w:rFonts w:ascii="Book Antiqua" w:eastAsia="Book Antiqua" w:hAnsi="Book Antiqua" w:cs="Book Antiqua"/>
          <w:i/>
          <w:iCs/>
        </w:rPr>
        <w:t>J Clin Oncol</w:t>
      </w:r>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144-150 [PMID: 26503203 DOI: 10.1200/JCO.2015.61.6441]</w:t>
      </w:r>
    </w:p>
    <w:p w14:paraId="01575513"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111 </w:t>
      </w:r>
      <w:r>
        <w:rPr>
          <w:rFonts w:ascii="Book Antiqua" w:eastAsia="Book Antiqua" w:hAnsi="Book Antiqua" w:cs="Book Antiqua"/>
          <w:b/>
          <w:bCs/>
        </w:rPr>
        <w:t>Giovannucci E</w:t>
      </w:r>
      <w:r>
        <w:rPr>
          <w:rFonts w:ascii="Book Antiqua" w:eastAsia="Book Antiqua" w:hAnsi="Book Antiqua" w:cs="Book Antiqua"/>
        </w:rPr>
        <w:t xml:space="preserve">. An updated review of the epidemiological evidence that cigarette smoking increases risk of colorectal cancer. </w:t>
      </w:r>
      <w:r>
        <w:rPr>
          <w:rFonts w:ascii="Book Antiqua" w:eastAsia="Book Antiqua" w:hAnsi="Book Antiqua" w:cs="Book Antiqua"/>
          <w:i/>
          <w:iCs/>
        </w:rPr>
        <w:t>Cancer Epidemiol Biomarkers Prev</w:t>
      </w:r>
      <w:r>
        <w:rPr>
          <w:rFonts w:ascii="Book Antiqua" w:eastAsia="Book Antiqua" w:hAnsi="Book Antiqua" w:cs="Book Antiqua"/>
        </w:rPr>
        <w:t xml:space="preserve"> 2001; </w:t>
      </w:r>
      <w:r>
        <w:rPr>
          <w:rFonts w:ascii="Book Antiqua" w:eastAsia="Book Antiqua" w:hAnsi="Book Antiqua" w:cs="Book Antiqua"/>
          <w:b/>
          <w:bCs/>
        </w:rPr>
        <w:t>10</w:t>
      </w:r>
      <w:r>
        <w:rPr>
          <w:rFonts w:ascii="Book Antiqua" w:eastAsia="Book Antiqua" w:hAnsi="Book Antiqua" w:cs="Book Antiqua"/>
        </w:rPr>
        <w:t>: 725-731 [PMID: 11440957]</w:t>
      </w:r>
    </w:p>
    <w:p w14:paraId="0E676045"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112 </w:t>
      </w:r>
      <w:r>
        <w:rPr>
          <w:rFonts w:ascii="Book Antiqua" w:eastAsia="Book Antiqua" w:hAnsi="Book Antiqua" w:cs="Book Antiqua"/>
          <w:b/>
          <w:bCs/>
        </w:rPr>
        <w:t>Cai S</w:t>
      </w:r>
      <w:r>
        <w:rPr>
          <w:rFonts w:ascii="Book Antiqua" w:eastAsia="Book Antiqua" w:hAnsi="Book Antiqua" w:cs="Book Antiqua"/>
        </w:rPr>
        <w:t>, Li Y, Ding Y, Chen K, Jin M. Alcohol drinking and the risk of colorectal cancer death: a meta-analysis.</w:t>
      </w:r>
      <w:r>
        <w:rPr>
          <w:rFonts w:ascii="Book Antiqua" w:eastAsia="Book Antiqua" w:hAnsi="Book Antiqua" w:cs="Book Antiqua"/>
          <w:i/>
          <w:iCs/>
        </w:rPr>
        <w:t xml:space="preserve"> Eur J Cancer Prev</w:t>
      </w:r>
      <w:r>
        <w:rPr>
          <w:rFonts w:ascii="Book Antiqua" w:eastAsia="Book Antiqua" w:hAnsi="Book Antiqua" w:cs="Book Antiqua"/>
        </w:rPr>
        <w:t xml:space="preserve"> 2014; </w:t>
      </w:r>
      <w:r>
        <w:rPr>
          <w:rFonts w:ascii="Book Antiqua" w:eastAsia="Book Antiqua" w:hAnsi="Book Antiqua" w:cs="Book Antiqua"/>
          <w:b/>
          <w:bCs/>
        </w:rPr>
        <w:t>23</w:t>
      </w:r>
      <w:r>
        <w:rPr>
          <w:rFonts w:ascii="Book Antiqua" w:eastAsia="Book Antiqua" w:hAnsi="Book Antiqua" w:cs="Book Antiqua"/>
        </w:rPr>
        <w:t>: 532-539 [PMID: 25170915 DOI: 10.1097/CEJ.0000000000000076]</w:t>
      </w:r>
    </w:p>
    <w:p w14:paraId="2EE4EA8B"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113 </w:t>
      </w:r>
      <w:r>
        <w:rPr>
          <w:rFonts w:ascii="Book Antiqua" w:eastAsia="Book Antiqua" w:hAnsi="Book Antiqua" w:cs="Book Antiqua"/>
          <w:b/>
          <w:bCs/>
        </w:rPr>
        <w:t>Marley AR</w:t>
      </w:r>
      <w:r>
        <w:rPr>
          <w:rFonts w:ascii="Book Antiqua" w:eastAsia="Book Antiqua" w:hAnsi="Book Antiqua" w:cs="Book Antiqua"/>
        </w:rPr>
        <w:t xml:space="preserve">, Nan H. Epidemiology of colorectal cancer. </w:t>
      </w:r>
      <w:r>
        <w:rPr>
          <w:rFonts w:ascii="Book Antiqua" w:eastAsia="Book Antiqua" w:hAnsi="Book Antiqua" w:cs="Book Antiqua"/>
          <w:i/>
          <w:iCs/>
        </w:rPr>
        <w:t>Int J Mol Epidemiol Genet</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105-114 [PMID: 27766137]</w:t>
      </w:r>
    </w:p>
    <w:p w14:paraId="1F06B3AC"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114 </w:t>
      </w:r>
      <w:r>
        <w:rPr>
          <w:rFonts w:ascii="Book Antiqua" w:eastAsia="Book Antiqua" w:hAnsi="Book Antiqua" w:cs="Book Antiqua"/>
          <w:b/>
          <w:bCs/>
        </w:rPr>
        <w:t>Zhao J</w:t>
      </w:r>
      <w:r>
        <w:rPr>
          <w:rFonts w:ascii="Book Antiqua" w:eastAsia="Book Antiqua" w:hAnsi="Book Antiqua" w:cs="Book Antiqua"/>
        </w:rPr>
        <w:t xml:space="preserve">, Zhu Y, Wang PP, West R, Buehler S, Sun Z, Squires J, Roebothan B, McLaughlin JR, Campbell PT, Parfrey PS. Interaction between alcohol drinking and obesity in relation to colorectal cancer risk: a case-control study in Newfoundland and Labrador, Canada. </w:t>
      </w:r>
      <w:r>
        <w:rPr>
          <w:rFonts w:ascii="Book Antiqua" w:eastAsia="Book Antiqua" w:hAnsi="Book Antiqua" w:cs="Book Antiqua"/>
          <w:i/>
          <w:iCs/>
        </w:rPr>
        <w:t>BMC Public Health</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94 [PMID: 22296784 DOI: 10.1186/1471-2458-12-94]</w:t>
      </w:r>
    </w:p>
    <w:p w14:paraId="5F278F28"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115 </w:t>
      </w:r>
      <w:r>
        <w:rPr>
          <w:rFonts w:ascii="Book Antiqua" w:eastAsia="Book Antiqua" w:hAnsi="Book Antiqua" w:cs="Book Antiqua"/>
          <w:b/>
          <w:bCs/>
        </w:rPr>
        <w:t>Rossi M</w:t>
      </w:r>
      <w:r>
        <w:rPr>
          <w:rFonts w:ascii="Book Antiqua" w:eastAsia="Book Antiqua" w:hAnsi="Book Antiqua" w:cs="Book Antiqua"/>
        </w:rPr>
        <w:t xml:space="preserve">, Jahanzaib Anwar M, Usman A, Keshavarzian A, Bishehsari F. Colorectal Cancer and Alcohol Consumption-Populations to Molecules. </w:t>
      </w:r>
      <w:r>
        <w:rPr>
          <w:rFonts w:ascii="Book Antiqua" w:eastAsia="Book Antiqua" w:hAnsi="Book Antiqua" w:cs="Book Antiqua"/>
          <w:i/>
          <w:iCs/>
        </w:rPr>
        <w:t>Cancers (Basel)</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xml:space="preserve"> [PMID: 29385712 DOI: 10.3390/cancers10020038]</w:t>
      </w:r>
    </w:p>
    <w:p w14:paraId="0BABE689"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116 </w:t>
      </w:r>
      <w:r>
        <w:rPr>
          <w:rFonts w:ascii="Book Antiqua" w:eastAsia="Book Antiqua" w:hAnsi="Book Antiqua" w:cs="Book Antiqua"/>
          <w:b/>
          <w:bCs/>
        </w:rPr>
        <w:t>Yeligar S</w:t>
      </w:r>
      <w:r>
        <w:rPr>
          <w:rFonts w:ascii="Book Antiqua" w:eastAsia="Book Antiqua" w:hAnsi="Book Antiqua" w:cs="Book Antiqua"/>
        </w:rPr>
        <w:t xml:space="preserve">, Tsukamoto H, Kalra VK. Ethanol-induced expression of ET-1 and ET-BR in liver sinusoidal endothelial cells and human endothelial cells involves hypoxia-inducible factor-1alpha and microrNA-199. </w:t>
      </w:r>
      <w:r>
        <w:rPr>
          <w:rFonts w:ascii="Book Antiqua" w:eastAsia="Book Antiqua" w:hAnsi="Book Antiqua" w:cs="Book Antiqua"/>
          <w:i/>
          <w:iCs/>
        </w:rPr>
        <w:t>J Immunol</w:t>
      </w:r>
      <w:r>
        <w:rPr>
          <w:rFonts w:ascii="Book Antiqua" w:eastAsia="Book Antiqua" w:hAnsi="Book Antiqua" w:cs="Book Antiqua"/>
        </w:rPr>
        <w:t xml:space="preserve"> 2009; </w:t>
      </w:r>
      <w:r>
        <w:rPr>
          <w:rFonts w:ascii="Book Antiqua" w:eastAsia="Book Antiqua" w:hAnsi="Book Antiqua" w:cs="Book Antiqua"/>
          <w:b/>
          <w:bCs/>
        </w:rPr>
        <w:t>183</w:t>
      </w:r>
      <w:r>
        <w:rPr>
          <w:rFonts w:ascii="Book Antiqua" w:eastAsia="Book Antiqua" w:hAnsi="Book Antiqua" w:cs="Book Antiqua"/>
        </w:rPr>
        <w:t>: 5232-5243 [PMID: 19783678 DOI: 10.4049/jimmunol.0901084]</w:t>
      </w:r>
    </w:p>
    <w:p w14:paraId="5CB7CE57" w14:textId="77777777" w:rsidR="000A3061"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117 </w:t>
      </w:r>
      <w:r>
        <w:rPr>
          <w:rFonts w:ascii="Book Antiqua" w:eastAsia="Book Antiqua" w:hAnsi="Book Antiqua" w:cs="Book Antiqua"/>
          <w:b/>
          <w:bCs/>
        </w:rPr>
        <w:t>Nagel R</w:t>
      </w:r>
      <w:r>
        <w:rPr>
          <w:rFonts w:ascii="Book Antiqua" w:eastAsia="Book Antiqua" w:hAnsi="Book Antiqua" w:cs="Book Antiqua"/>
        </w:rPr>
        <w:t xml:space="preserve">, le Sage C, Diosdado B, van der Waal M, Oude Vrielink JA, Bolijn A, Meijer GA, Agami R. Regulation of the adenomatous polyposis coli gene by the miR-135 family in colorectal cancer. </w:t>
      </w:r>
      <w:r>
        <w:rPr>
          <w:rFonts w:ascii="Book Antiqua" w:eastAsia="Book Antiqua" w:hAnsi="Book Antiqua" w:cs="Book Antiqua"/>
          <w:i/>
          <w:iCs/>
        </w:rPr>
        <w:t>Cancer Res</w:t>
      </w:r>
      <w:r>
        <w:rPr>
          <w:rFonts w:ascii="Book Antiqua" w:eastAsia="Book Antiqua" w:hAnsi="Book Antiqua" w:cs="Book Antiqua"/>
        </w:rPr>
        <w:t xml:space="preserve"> 2008; </w:t>
      </w:r>
      <w:r>
        <w:rPr>
          <w:rFonts w:ascii="Book Antiqua" w:eastAsia="Book Antiqua" w:hAnsi="Book Antiqua" w:cs="Book Antiqua"/>
          <w:b/>
          <w:bCs/>
        </w:rPr>
        <w:t>68</w:t>
      </w:r>
      <w:r>
        <w:rPr>
          <w:rFonts w:ascii="Book Antiqua" w:eastAsia="Book Antiqua" w:hAnsi="Book Antiqua" w:cs="Book Antiqua"/>
        </w:rPr>
        <w:t>: 5795-5802 [PMID: 18632633 DOI: 10.1158/0008-5472.CAN-08-0951]</w:t>
      </w:r>
    </w:p>
    <w:p w14:paraId="1273BEC4" w14:textId="77777777" w:rsidR="000A3061" w:rsidRDefault="00000000">
      <w:pPr>
        <w:spacing w:line="360" w:lineRule="auto"/>
        <w:jc w:val="both"/>
        <w:rPr>
          <w:rFonts w:ascii="Book Antiqua" w:eastAsiaTheme="minorEastAsia" w:hAnsi="Book Antiqua" w:cs="Book Antiqua"/>
        </w:rPr>
      </w:pPr>
      <w:r>
        <w:rPr>
          <w:rFonts w:ascii="Book Antiqua" w:eastAsia="Book Antiqua" w:hAnsi="Book Antiqua" w:cs="Book Antiqua"/>
        </w:rPr>
        <w:t xml:space="preserve">118 </w:t>
      </w:r>
      <w:r>
        <w:rPr>
          <w:rFonts w:ascii="Book Antiqua" w:eastAsia="Book Antiqua" w:hAnsi="Book Antiqua" w:cs="Book Antiqua"/>
          <w:b/>
          <w:bCs/>
        </w:rPr>
        <w:t>Xu M</w:t>
      </w:r>
      <w:r>
        <w:rPr>
          <w:rFonts w:ascii="Book Antiqua" w:eastAsia="Book Antiqua" w:hAnsi="Book Antiqua" w:cs="Book Antiqua"/>
        </w:rPr>
        <w:t xml:space="preserve">, Wang S, Qi Y, Chen L, Frank JA, Yang XH, Zhang Z, Shi X, Luo J. Role of MCP-1 in alcohol-induced aggressiveness of colorectal cancer cells. </w:t>
      </w:r>
      <w:r>
        <w:rPr>
          <w:rFonts w:ascii="Book Antiqua" w:eastAsia="Book Antiqua" w:hAnsi="Book Antiqua" w:cs="Book Antiqua"/>
          <w:i/>
          <w:iCs/>
        </w:rPr>
        <w:t>Mol Carcinog</w:t>
      </w:r>
      <w:r>
        <w:rPr>
          <w:rFonts w:ascii="Book Antiqua" w:eastAsia="Book Antiqua" w:hAnsi="Book Antiqua" w:cs="Book Antiqua"/>
        </w:rPr>
        <w:t xml:space="preserve"> 2016; </w:t>
      </w:r>
      <w:r>
        <w:rPr>
          <w:rFonts w:ascii="Book Antiqua" w:eastAsia="Book Antiqua" w:hAnsi="Book Antiqua" w:cs="Book Antiqua"/>
          <w:b/>
          <w:bCs/>
        </w:rPr>
        <w:t>55</w:t>
      </w:r>
      <w:r>
        <w:rPr>
          <w:rFonts w:ascii="Book Antiqua" w:eastAsia="Book Antiqua" w:hAnsi="Book Antiqua" w:cs="Book Antiqua"/>
        </w:rPr>
        <w:t>: 1002-1011 [PMID: 26014148 DOI: 10.1002/mc.22343]</w:t>
      </w:r>
    </w:p>
    <w:p w14:paraId="7D6A32E6" w14:textId="77777777" w:rsidR="000A3061" w:rsidRDefault="000A3061">
      <w:pPr>
        <w:spacing w:line="360" w:lineRule="auto"/>
        <w:jc w:val="both"/>
        <w:rPr>
          <w:rFonts w:ascii="Book Antiqua" w:hAnsi="Book Antiqua"/>
        </w:rPr>
        <w:sectPr w:rsidR="000A3061" w:rsidSect="00E17E67">
          <w:pgSz w:w="12240" w:h="15840"/>
          <w:pgMar w:top="1440" w:right="1440" w:bottom="1440" w:left="1440" w:header="720" w:footer="720" w:gutter="0"/>
          <w:cols w:space="720"/>
          <w:docGrid w:linePitch="360"/>
        </w:sectPr>
      </w:pPr>
    </w:p>
    <w:p w14:paraId="6E2FAF9E" w14:textId="77777777" w:rsidR="000A3061" w:rsidRDefault="00000000">
      <w:pPr>
        <w:spacing w:line="360" w:lineRule="auto"/>
        <w:jc w:val="both"/>
        <w:rPr>
          <w:rFonts w:ascii="Book Antiqua" w:hAnsi="Book Antiqua"/>
        </w:rPr>
      </w:pPr>
      <w:r>
        <w:rPr>
          <w:rFonts w:ascii="Book Antiqua" w:eastAsia="Book Antiqua" w:hAnsi="Book Antiqua" w:cs="Book Antiqua"/>
          <w:b/>
        </w:rPr>
        <w:t>Footnotes</w:t>
      </w:r>
    </w:p>
    <w:p w14:paraId="36712939"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conflicts of interest.</w:t>
      </w:r>
    </w:p>
    <w:p w14:paraId="2E474E0B" w14:textId="77777777" w:rsidR="000A3061" w:rsidRDefault="000A3061">
      <w:pPr>
        <w:spacing w:line="360" w:lineRule="auto"/>
        <w:jc w:val="both"/>
        <w:rPr>
          <w:rFonts w:ascii="Book Antiqua" w:hAnsi="Book Antiqua"/>
        </w:rPr>
      </w:pPr>
    </w:p>
    <w:p w14:paraId="0089C9C7" w14:textId="77777777" w:rsidR="000A3061"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0E793C" w14:textId="77777777" w:rsidR="000A3061" w:rsidRDefault="000A3061">
      <w:pPr>
        <w:spacing w:line="360" w:lineRule="auto"/>
        <w:jc w:val="both"/>
        <w:rPr>
          <w:rFonts w:ascii="Book Antiqua" w:hAnsi="Book Antiqua"/>
        </w:rPr>
      </w:pPr>
    </w:p>
    <w:p w14:paraId="634DD780"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3C513399"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12355637" w14:textId="77777777" w:rsidR="000A3061" w:rsidRDefault="000A3061">
      <w:pPr>
        <w:spacing w:line="360" w:lineRule="auto"/>
        <w:jc w:val="both"/>
        <w:rPr>
          <w:rFonts w:ascii="Book Antiqua" w:hAnsi="Book Antiqua"/>
        </w:rPr>
      </w:pPr>
    </w:p>
    <w:p w14:paraId="23394975"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October 1, 2023</w:t>
      </w:r>
    </w:p>
    <w:p w14:paraId="67C3E04C"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11, 2023</w:t>
      </w:r>
    </w:p>
    <w:p w14:paraId="6080B8CC" w14:textId="77777777" w:rsidR="000A3061" w:rsidRDefault="00000000">
      <w:pPr>
        <w:spacing w:line="360" w:lineRule="auto"/>
        <w:jc w:val="both"/>
        <w:rPr>
          <w:rFonts w:ascii="Book Antiqua" w:hAnsi="Book Antiqua"/>
          <w:bCs/>
        </w:rPr>
      </w:pPr>
      <w:r>
        <w:rPr>
          <w:rFonts w:ascii="Book Antiqua" w:eastAsia="Book Antiqua" w:hAnsi="Book Antiqua" w:cs="Book Antiqua"/>
          <w:b/>
        </w:rPr>
        <w:t xml:space="preserve">Article in press: </w:t>
      </w:r>
      <w:r>
        <w:rPr>
          <w:rFonts w:ascii="Book Antiqua" w:eastAsia="Book Antiqua" w:hAnsi="Book Antiqua" w:cs="Book Antiqua" w:hint="eastAsia"/>
          <w:bCs/>
        </w:rPr>
        <w:t>January 8, 2024</w:t>
      </w:r>
    </w:p>
    <w:p w14:paraId="453E473F" w14:textId="77777777" w:rsidR="000A3061" w:rsidRDefault="000A3061">
      <w:pPr>
        <w:spacing w:line="360" w:lineRule="auto"/>
        <w:jc w:val="both"/>
        <w:rPr>
          <w:rFonts w:ascii="Book Antiqua" w:hAnsi="Book Antiqua"/>
        </w:rPr>
      </w:pPr>
    </w:p>
    <w:p w14:paraId="01400D43"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w:t>
      </w:r>
      <w:r>
        <w:rPr>
          <w:rFonts w:ascii="Book Antiqua" w:hAnsi="Book Antiqua" w:cs="Book Antiqua" w:hint="eastAsia"/>
        </w:rPr>
        <w:t>and</w:t>
      </w:r>
      <w:r>
        <w:rPr>
          <w:rFonts w:ascii="Book Antiqua" w:eastAsia="Book Antiqua" w:hAnsi="Book Antiqua" w:cs="Book Antiqua"/>
        </w:rPr>
        <w:t xml:space="preserve"> hepatology</w:t>
      </w:r>
    </w:p>
    <w:p w14:paraId="114980DC" w14:textId="77777777" w:rsidR="000A3061"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BE13045" w14:textId="77777777" w:rsidR="000A3061"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9059CD3" w14:textId="77777777" w:rsidR="000A3061" w:rsidRDefault="00000000">
      <w:pPr>
        <w:spacing w:line="360" w:lineRule="auto"/>
        <w:jc w:val="both"/>
        <w:rPr>
          <w:rFonts w:ascii="Book Antiqua" w:hAnsi="Book Antiqua"/>
        </w:rPr>
      </w:pPr>
      <w:r>
        <w:rPr>
          <w:rFonts w:ascii="Book Antiqua" w:eastAsia="Book Antiqua" w:hAnsi="Book Antiqua" w:cs="Book Antiqua"/>
        </w:rPr>
        <w:t>Grade A (Excellent): A</w:t>
      </w:r>
    </w:p>
    <w:p w14:paraId="075E0D0B" w14:textId="77777777" w:rsidR="000A3061" w:rsidRDefault="00000000">
      <w:pPr>
        <w:spacing w:line="360" w:lineRule="auto"/>
        <w:jc w:val="both"/>
        <w:rPr>
          <w:rFonts w:ascii="Book Antiqua" w:hAnsi="Book Antiqua"/>
        </w:rPr>
      </w:pPr>
      <w:r>
        <w:rPr>
          <w:rFonts w:ascii="Book Antiqua" w:eastAsia="Book Antiqua" w:hAnsi="Book Antiqua" w:cs="Book Antiqua"/>
        </w:rPr>
        <w:t>Grade B (Very good): 0</w:t>
      </w:r>
    </w:p>
    <w:p w14:paraId="3E270FED" w14:textId="77777777" w:rsidR="000A3061" w:rsidRDefault="00000000">
      <w:pPr>
        <w:spacing w:line="360" w:lineRule="auto"/>
        <w:jc w:val="both"/>
        <w:rPr>
          <w:rFonts w:ascii="Book Antiqua" w:hAnsi="Book Antiqua"/>
        </w:rPr>
      </w:pPr>
      <w:r>
        <w:rPr>
          <w:rFonts w:ascii="Book Antiqua" w:eastAsia="Book Antiqua" w:hAnsi="Book Antiqua" w:cs="Book Antiqua"/>
        </w:rPr>
        <w:t>Grade C (Good): C</w:t>
      </w:r>
    </w:p>
    <w:p w14:paraId="7B9AC206" w14:textId="77777777" w:rsidR="000A3061" w:rsidRDefault="00000000">
      <w:pPr>
        <w:spacing w:line="360" w:lineRule="auto"/>
        <w:jc w:val="both"/>
        <w:rPr>
          <w:rFonts w:ascii="Book Antiqua" w:hAnsi="Book Antiqua"/>
        </w:rPr>
      </w:pPr>
      <w:r>
        <w:rPr>
          <w:rFonts w:ascii="Book Antiqua" w:eastAsia="Book Antiqua" w:hAnsi="Book Antiqua" w:cs="Book Antiqua"/>
        </w:rPr>
        <w:t>Grade D (Fair): 0</w:t>
      </w:r>
    </w:p>
    <w:p w14:paraId="7B125298" w14:textId="77777777" w:rsidR="000A3061" w:rsidRDefault="00000000">
      <w:pPr>
        <w:spacing w:line="360" w:lineRule="auto"/>
        <w:jc w:val="both"/>
        <w:rPr>
          <w:rFonts w:ascii="Book Antiqua" w:hAnsi="Book Antiqua"/>
        </w:rPr>
      </w:pPr>
      <w:r>
        <w:rPr>
          <w:rFonts w:ascii="Book Antiqua" w:eastAsia="Book Antiqua" w:hAnsi="Book Antiqua" w:cs="Book Antiqua"/>
        </w:rPr>
        <w:t>Grade E (Poor): 0</w:t>
      </w:r>
    </w:p>
    <w:p w14:paraId="08F77926" w14:textId="77777777" w:rsidR="000A3061" w:rsidRDefault="000A3061">
      <w:pPr>
        <w:spacing w:line="360" w:lineRule="auto"/>
        <w:jc w:val="both"/>
        <w:rPr>
          <w:rFonts w:ascii="Book Antiqua" w:hAnsi="Book Antiqua"/>
        </w:rPr>
      </w:pPr>
    </w:p>
    <w:p w14:paraId="18EF57E3" w14:textId="77777777" w:rsidR="000A3061" w:rsidRDefault="00000000">
      <w:pPr>
        <w:spacing w:line="360" w:lineRule="auto"/>
        <w:jc w:val="both"/>
        <w:rPr>
          <w:rFonts w:ascii="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Ogino S, United States; Perez-Holanda S, Spain</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 xml:space="preserve">A </w:t>
      </w:r>
      <w:r>
        <w:rPr>
          <w:rFonts w:ascii="Book Antiqua" w:eastAsia="Book Antiqua" w:hAnsi="Book Antiqua" w:cs="Book Antiqua"/>
          <w:b/>
        </w:rPr>
        <w:t>P-Editor:</w:t>
      </w:r>
      <w:r>
        <w:rPr>
          <w:rFonts w:ascii="Book Antiqua" w:hAnsi="Book Antiqua" w:cs="Book Antiqua" w:hint="eastAsia"/>
          <w:b/>
        </w:rPr>
        <w:t xml:space="preserve"> </w:t>
      </w:r>
      <w:r>
        <w:rPr>
          <w:rFonts w:ascii="Book Antiqua" w:hAnsi="Book Antiqua" w:cs="Book Antiqua" w:hint="eastAsia"/>
          <w:bCs/>
        </w:rPr>
        <w:t>Zhao YQ</w:t>
      </w:r>
    </w:p>
    <w:p w14:paraId="310B51F8" w14:textId="77777777" w:rsidR="000A3061" w:rsidRDefault="00000000">
      <w:pPr>
        <w:spacing w:line="360" w:lineRule="auto"/>
        <w:jc w:val="both"/>
        <w:rPr>
          <w:rFonts w:ascii="Book Antiqua" w:eastAsia="Book Antiqua" w:hAnsi="Book Antiqua" w:cs="Book Antiqua"/>
          <w:b/>
        </w:rPr>
        <w:sectPr w:rsidR="000A3061" w:rsidSect="00E17E67">
          <w:pgSz w:w="12240" w:h="15840"/>
          <w:pgMar w:top="1440" w:right="1440" w:bottom="1440" w:left="1440" w:header="720" w:footer="720" w:gutter="0"/>
          <w:cols w:space="720"/>
          <w:docGrid w:linePitch="360"/>
        </w:sectPr>
      </w:pPr>
      <w:r>
        <w:rPr>
          <w:rFonts w:ascii="Book Antiqua" w:eastAsia="Book Antiqua" w:hAnsi="Book Antiqua" w:cs="Book Antiqua"/>
          <w:b/>
        </w:rPr>
        <w:t xml:space="preserve"> </w:t>
      </w:r>
    </w:p>
    <w:p w14:paraId="1A545AE8" w14:textId="77777777" w:rsidR="000A3061" w:rsidRDefault="00000000">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rPr>
        <w:t>Figure Legends</w:t>
      </w:r>
    </w:p>
    <w:p w14:paraId="31303885" w14:textId="3EEFD042" w:rsidR="000A3061" w:rsidRDefault="00C26B0B">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noProof/>
        </w:rPr>
        <w:drawing>
          <wp:inline distT="0" distB="0" distL="0" distR="0" wp14:anchorId="11154D4B" wp14:editId="530BBCE8">
            <wp:extent cx="5274310" cy="2625725"/>
            <wp:effectExtent l="0" t="0" r="0" b="0"/>
            <wp:docPr id="1798806833" name="图片 1"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06833" name="图片 1" descr="图示, 日程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14:paraId="21F50FAC"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b/>
          <w:bCs/>
        </w:rPr>
        <w:t xml:space="preserve">Figure 1 Different genomic events, including point mutations, copy number alterations, and epigenetic instability (such as disruption to DNA methylation and differential splicing based on noncoding RNA), can engender sub clonal diversity, thus providing fuel for primary tumor and its metastasis. </w:t>
      </w:r>
      <w:r>
        <w:rPr>
          <w:rFonts w:ascii="Book Antiqua" w:hAnsi="Book Antiqua" w:cs="Times New Roman"/>
        </w:rPr>
        <w:t>Created with BioRender.com.</w:t>
      </w:r>
    </w:p>
    <w:p w14:paraId="51670CA7" w14:textId="77777777" w:rsidR="000A3061" w:rsidRDefault="000A3061">
      <w:pPr>
        <w:pStyle w:val="a9"/>
        <w:spacing w:before="0" w:beforeAutospacing="0" w:after="0" w:afterAutospacing="0" w:line="360" w:lineRule="auto"/>
        <w:jc w:val="both"/>
        <w:rPr>
          <w:rFonts w:ascii="Book Antiqua" w:hAnsi="Book Antiqua" w:cs="Times New Roman"/>
        </w:rPr>
        <w:sectPr w:rsidR="000A3061" w:rsidSect="00E17E67">
          <w:footerReference w:type="even" r:id="rId9"/>
          <w:footerReference w:type="default" r:id="rId10"/>
          <w:pgSz w:w="11906" w:h="16838"/>
          <w:pgMar w:top="1440" w:right="1800" w:bottom="1440" w:left="1800" w:header="851" w:footer="992" w:gutter="0"/>
          <w:cols w:space="425"/>
          <w:docGrid w:type="lines" w:linePitch="312"/>
        </w:sectPr>
      </w:pPr>
    </w:p>
    <w:p w14:paraId="795D5455" w14:textId="6E71D465" w:rsidR="000A3061" w:rsidRDefault="00C26B0B">
      <w:pPr>
        <w:pStyle w:val="a9"/>
        <w:spacing w:before="0" w:beforeAutospacing="0" w:after="0" w:afterAutospacing="0" w:line="360" w:lineRule="auto"/>
        <w:jc w:val="both"/>
        <w:rPr>
          <w:rFonts w:ascii="Book Antiqua" w:hAnsi="Book Antiqua" w:cs="Times New Roman"/>
        </w:rPr>
      </w:pPr>
      <w:r>
        <w:rPr>
          <w:rFonts w:ascii="Book Antiqua" w:hAnsi="Book Antiqua" w:cs="Times New Roman"/>
          <w:noProof/>
        </w:rPr>
        <w:drawing>
          <wp:inline distT="0" distB="0" distL="0" distR="0" wp14:anchorId="1FEE2985" wp14:editId="08B2EBC6">
            <wp:extent cx="5274310" cy="3261995"/>
            <wp:effectExtent l="0" t="0" r="0" b="0"/>
            <wp:docPr id="844270682"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70682" name="图片 2" descr="图片包含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14:paraId="0C792FC7"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b/>
          <w:bCs/>
        </w:rPr>
        <w:t xml:space="preserve">Figure 2 Key factors of metastasis: Epithelial-mesenchymal transition, angiogenesis, hypoxia, circulating tumor cells and exosomes. </w:t>
      </w:r>
      <w:r>
        <w:rPr>
          <w:rFonts w:ascii="Book Antiqua" w:hAnsi="Book Antiqua" w:cs="Times New Roman"/>
        </w:rPr>
        <w:t>EMT: Epithelial-mesenchymal transition; CTC: Circulating tumor cells. Created with BioRender.com.</w:t>
      </w:r>
    </w:p>
    <w:p w14:paraId="202A922D" w14:textId="77777777" w:rsidR="000A3061" w:rsidRDefault="000A3061">
      <w:pPr>
        <w:pStyle w:val="a9"/>
        <w:spacing w:before="0" w:beforeAutospacing="0" w:after="0" w:afterAutospacing="0" w:line="360" w:lineRule="auto"/>
        <w:jc w:val="both"/>
        <w:rPr>
          <w:rFonts w:ascii="Book Antiqua" w:hAnsi="Book Antiqua" w:cs="Times New Roman"/>
        </w:rPr>
        <w:sectPr w:rsidR="000A3061" w:rsidSect="00E17E67">
          <w:pgSz w:w="11906" w:h="16838"/>
          <w:pgMar w:top="1440" w:right="1800" w:bottom="1440" w:left="1800" w:header="851" w:footer="992" w:gutter="0"/>
          <w:cols w:space="425"/>
          <w:docGrid w:type="lines" w:linePitch="312"/>
        </w:sectPr>
      </w:pPr>
    </w:p>
    <w:p w14:paraId="1C369A9F" w14:textId="68233F21" w:rsidR="000A3061" w:rsidRDefault="00C26B0B">
      <w:pPr>
        <w:pStyle w:val="a9"/>
        <w:spacing w:before="0" w:beforeAutospacing="0" w:after="0" w:afterAutospacing="0" w:line="360" w:lineRule="auto"/>
        <w:jc w:val="both"/>
        <w:rPr>
          <w:rFonts w:ascii="Book Antiqua" w:hAnsi="Book Antiqua" w:cs="Times New Roman"/>
        </w:rPr>
      </w:pPr>
      <w:r>
        <w:rPr>
          <w:rFonts w:ascii="Book Antiqua" w:hAnsi="Book Antiqua" w:cs="Times New Roman"/>
          <w:noProof/>
        </w:rPr>
        <w:drawing>
          <wp:inline distT="0" distB="0" distL="0" distR="0" wp14:anchorId="2B39C8FB" wp14:editId="26E1F768">
            <wp:extent cx="4521200" cy="3949700"/>
            <wp:effectExtent l="0" t="0" r="0" b="0"/>
            <wp:docPr id="10197596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9673" name="图片 10197596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1200" cy="3949700"/>
                    </a:xfrm>
                    <a:prstGeom prst="rect">
                      <a:avLst/>
                    </a:prstGeom>
                  </pic:spPr>
                </pic:pic>
              </a:graphicData>
            </a:graphic>
          </wp:inline>
        </w:drawing>
      </w:r>
    </w:p>
    <w:p w14:paraId="75D68A2B"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b/>
          <w:bCs/>
        </w:rPr>
        <w:t xml:space="preserve">Figure 3 Neoantigens created by oncogenesis are released and captured by dendritic cell for processing. </w:t>
      </w:r>
      <w:r>
        <w:rPr>
          <w:rFonts w:ascii="Book Antiqua" w:hAnsi="Book Antiqua" w:cs="Times New Roman"/>
        </w:rPr>
        <w:t>Dendritic cells present the captured antigens on MHCI and MHCII molecules to T cells, resulting in the priming and activation of effector T-cell responses against the cancer-specific antigens. Finally, the activated effector T cells move toward and infiltrate to the tumor bed.</w:t>
      </w:r>
      <w:r>
        <w:rPr>
          <w:rFonts w:ascii="Book Antiqua" w:eastAsia="Book Antiqua" w:hAnsi="Book Antiqua" w:cs="Book Antiqua"/>
        </w:rPr>
        <w:t xml:space="preserve"> MDSC</w:t>
      </w:r>
      <w:r>
        <w:rPr>
          <w:rFonts w:ascii="Book Antiqua" w:hAnsi="Book Antiqua"/>
        </w:rPr>
        <w:t>:</w:t>
      </w:r>
      <w:r>
        <w:rPr>
          <w:rFonts w:ascii="Book Antiqua" w:hAnsi="Book Antiqua" w:cs="Times New Roman"/>
        </w:rPr>
        <w:t xml:space="preserve"> </w:t>
      </w:r>
      <w:r>
        <w:rPr>
          <w:rFonts w:ascii="Book Antiqua" w:eastAsia="Book Antiqua" w:hAnsi="Book Antiqua" w:cs="Book Antiqua"/>
        </w:rPr>
        <w:t xml:space="preserve">Myeloid-derived suppressor cells; ADCC: Antibody dependent cell mediated cytotoxicity; </w:t>
      </w:r>
      <w:r>
        <w:rPr>
          <w:rFonts w:ascii="Book Antiqua" w:hAnsi="Book Antiqua" w:cs="Times New Roman"/>
        </w:rPr>
        <w:t>CTC: Circulating tumor cells; CTL: Cytotoxic T cell. Created with BioRender.com.</w:t>
      </w:r>
    </w:p>
    <w:p w14:paraId="427F8D9B" w14:textId="77777777" w:rsidR="000A3061" w:rsidRDefault="000A3061">
      <w:pPr>
        <w:pStyle w:val="a9"/>
        <w:spacing w:before="0" w:beforeAutospacing="0" w:after="0" w:afterAutospacing="0" w:line="360" w:lineRule="auto"/>
        <w:jc w:val="both"/>
        <w:rPr>
          <w:rFonts w:ascii="Book Antiqua" w:hAnsi="Book Antiqua" w:cs="Times New Roman"/>
          <w:b/>
          <w:bCs/>
        </w:rPr>
        <w:sectPr w:rsidR="000A3061" w:rsidSect="00E17E67">
          <w:pgSz w:w="11906" w:h="16838"/>
          <w:pgMar w:top="1440" w:right="1800" w:bottom="1440" w:left="1800" w:header="851" w:footer="992" w:gutter="0"/>
          <w:cols w:space="425"/>
          <w:docGrid w:type="lines" w:linePitch="312"/>
        </w:sectPr>
      </w:pPr>
    </w:p>
    <w:p w14:paraId="3268420F" w14:textId="77777777" w:rsidR="000A3061" w:rsidRDefault="00000000">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rPr>
        <w:t>Table 1 Epithelial-mesenchymal transition signaling pathways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43"/>
        <w:gridCol w:w="2016"/>
        <w:gridCol w:w="2378"/>
      </w:tblGrid>
      <w:tr w:rsidR="000A3061" w14:paraId="5B489B08" w14:textId="77777777">
        <w:trPr>
          <w:trHeight w:val="485"/>
        </w:trPr>
        <w:tc>
          <w:tcPr>
            <w:tcW w:w="1809" w:type="dxa"/>
            <w:tcBorders>
              <w:top w:val="single" w:sz="4" w:space="0" w:color="auto"/>
              <w:bottom w:val="single" w:sz="4" w:space="0" w:color="auto"/>
            </w:tcBorders>
          </w:tcPr>
          <w:p w14:paraId="64BB0F9D" w14:textId="77777777" w:rsidR="000A3061" w:rsidRDefault="00000000">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rPr>
              <w:t>Target gene</w:t>
            </w:r>
          </w:p>
        </w:tc>
        <w:tc>
          <w:tcPr>
            <w:tcW w:w="1843" w:type="dxa"/>
            <w:tcBorders>
              <w:top w:val="single" w:sz="4" w:space="0" w:color="auto"/>
              <w:bottom w:val="single" w:sz="4" w:space="0" w:color="auto"/>
            </w:tcBorders>
          </w:tcPr>
          <w:p w14:paraId="7752F5E3" w14:textId="77777777" w:rsidR="000A3061" w:rsidRDefault="00000000">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rPr>
              <w:t>Signaling pathways</w:t>
            </w:r>
          </w:p>
        </w:tc>
        <w:tc>
          <w:tcPr>
            <w:tcW w:w="2016" w:type="dxa"/>
            <w:tcBorders>
              <w:top w:val="single" w:sz="4" w:space="0" w:color="auto"/>
              <w:bottom w:val="single" w:sz="4" w:space="0" w:color="auto"/>
            </w:tcBorders>
          </w:tcPr>
          <w:p w14:paraId="44B00F55" w14:textId="77777777" w:rsidR="000A3061" w:rsidRDefault="00000000">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rPr>
              <w:t>Transcription factor</w:t>
            </w:r>
          </w:p>
        </w:tc>
        <w:tc>
          <w:tcPr>
            <w:tcW w:w="2378" w:type="dxa"/>
            <w:tcBorders>
              <w:top w:val="single" w:sz="4" w:space="0" w:color="auto"/>
              <w:bottom w:val="single" w:sz="4" w:space="0" w:color="auto"/>
            </w:tcBorders>
          </w:tcPr>
          <w:p w14:paraId="3149121C" w14:textId="77777777" w:rsidR="000A3061" w:rsidRDefault="00000000">
            <w:pPr>
              <w:pStyle w:val="a9"/>
              <w:spacing w:before="0" w:beforeAutospacing="0" w:after="0" w:afterAutospacing="0" w:line="360" w:lineRule="auto"/>
              <w:jc w:val="both"/>
              <w:rPr>
                <w:rFonts w:ascii="Book Antiqua" w:hAnsi="Book Antiqua" w:cs="Times New Roman"/>
                <w:b/>
                <w:bCs/>
              </w:rPr>
            </w:pPr>
            <w:r>
              <w:rPr>
                <w:rFonts w:ascii="Book Antiqua" w:hAnsi="Book Antiqua" w:cs="Times New Roman"/>
                <w:b/>
                <w:bCs/>
              </w:rPr>
              <w:t>Intervention</w:t>
            </w:r>
          </w:p>
        </w:tc>
      </w:tr>
      <w:tr w:rsidR="000A3061" w14:paraId="59896C75" w14:textId="77777777">
        <w:trPr>
          <w:trHeight w:val="724"/>
        </w:trPr>
        <w:tc>
          <w:tcPr>
            <w:tcW w:w="1809" w:type="dxa"/>
            <w:tcBorders>
              <w:top w:val="single" w:sz="4" w:space="0" w:color="auto"/>
            </w:tcBorders>
          </w:tcPr>
          <w:p w14:paraId="0B705A1A"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Intracellular AGR2</w:t>
            </w:r>
            <w:r>
              <w:rPr>
                <w:rFonts w:ascii="Book Antiqua" w:hAnsi="Book Antiqua" w:cs="Times New Roman"/>
                <w:vertAlign w:val="superscript"/>
              </w:rPr>
              <w:t>[41]</w:t>
            </w:r>
          </w:p>
        </w:tc>
        <w:tc>
          <w:tcPr>
            <w:tcW w:w="1843" w:type="dxa"/>
            <w:tcBorders>
              <w:top w:val="single" w:sz="4" w:space="0" w:color="auto"/>
            </w:tcBorders>
          </w:tcPr>
          <w:p w14:paraId="703D42E7"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KDELR-Gs-PKA</w:t>
            </w:r>
          </w:p>
        </w:tc>
        <w:tc>
          <w:tcPr>
            <w:tcW w:w="2016" w:type="dxa"/>
            <w:tcBorders>
              <w:top w:val="single" w:sz="4" w:space="0" w:color="auto"/>
            </w:tcBorders>
          </w:tcPr>
          <w:p w14:paraId="793C7F3E"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Upregulates the expression of Snail and Slug</w:t>
            </w:r>
          </w:p>
        </w:tc>
        <w:tc>
          <w:tcPr>
            <w:tcW w:w="2378" w:type="dxa"/>
            <w:tcBorders>
              <w:top w:val="single" w:sz="4" w:space="0" w:color="auto"/>
            </w:tcBorders>
          </w:tcPr>
          <w:p w14:paraId="20EA59F2"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AGR2 upregulation mediated by the PGE2-EP4-PI3k-AKT</w:t>
            </w:r>
          </w:p>
        </w:tc>
      </w:tr>
      <w:tr w:rsidR="000A3061" w14:paraId="7080F989" w14:textId="77777777">
        <w:trPr>
          <w:trHeight w:val="248"/>
        </w:trPr>
        <w:tc>
          <w:tcPr>
            <w:tcW w:w="1809" w:type="dxa"/>
          </w:tcPr>
          <w:p w14:paraId="0812B2A7"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Depletion of DRD2</w:t>
            </w:r>
            <w:r>
              <w:rPr>
                <w:rFonts w:ascii="Book Antiqua" w:hAnsi="Book Antiqua" w:cs="Times New Roman"/>
                <w:vertAlign w:val="superscript"/>
              </w:rPr>
              <w:t>[42]</w:t>
            </w:r>
          </w:p>
        </w:tc>
        <w:tc>
          <w:tcPr>
            <w:tcW w:w="1843" w:type="dxa"/>
          </w:tcPr>
          <w:p w14:paraId="505C6498"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β-catenin</w:t>
            </w:r>
          </w:p>
        </w:tc>
        <w:tc>
          <w:tcPr>
            <w:tcW w:w="2016" w:type="dxa"/>
          </w:tcPr>
          <w:p w14:paraId="038BF057"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Zeb1</w:t>
            </w:r>
          </w:p>
        </w:tc>
        <w:tc>
          <w:tcPr>
            <w:tcW w:w="2378" w:type="dxa"/>
          </w:tcPr>
          <w:p w14:paraId="2A8FFA45"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A DRD2 antagonist, pimozide</w:t>
            </w:r>
          </w:p>
        </w:tc>
      </w:tr>
      <w:tr w:rsidR="000A3061" w14:paraId="4DFBAAC2" w14:textId="77777777">
        <w:trPr>
          <w:trHeight w:val="237"/>
        </w:trPr>
        <w:tc>
          <w:tcPr>
            <w:tcW w:w="1809" w:type="dxa"/>
          </w:tcPr>
          <w:p w14:paraId="1EF2001F"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DKK1</w:t>
            </w:r>
            <w:r>
              <w:rPr>
                <w:rFonts w:ascii="Book Antiqua" w:hAnsi="Book Antiqua" w:cs="Times New Roman"/>
                <w:vertAlign w:val="superscript"/>
              </w:rPr>
              <w:t>[43]</w:t>
            </w:r>
          </w:p>
        </w:tc>
        <w:tc>
          <w:tcPr>
            <w:tcW w:w="1843" w:type="dxa"/>
          </w:tcPr>
          <w:p w14:paraId="44FB68C6"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Wnt/β-catenin</w:t>
            </w:r>
          </w:p>
        </w:tc>
        <w:tc>
          <w:tcPr>
            <w:tcW w:w="2016" w:type="dxa"/>
          </w:tcPr>
          <w:p w14:paraId="7BEF40A7"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S1004 (transcriptional cross-regulation)</w:t>
            </w:r>
          </w:p>
        </w:tc>
        <w:tc>
          <w:tcPr>
            <w:tcW w:w="2378" w:type="dxa"/>
          </w:tcPr>
          <w:p w14:paraId="249046DF"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Expression of S1004 downregulates DKK1</w:t>
            </w:r>
          </w:p>
        </w:tc>
      </w:tr>
      <w:tr w:rsidR="000A3061" w14:paraId="45C066EE" w14:textId="77777777">
        <w:trPr>
          <w:trHeight w:val="248"/>
        </w:trPr>
        <w:tc>
          <w:tcPr>
            <w:tcW w:w="1809" w:type="dxa"/>
          </w:tcPr>
          <w:p w14:paraId="4AD2B4D6"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BEX2</w:t>
            </w:r>
            <w:r>
              <w:rPr>
                <w:rFonts w:ascii="Book Antiqua" w:hAnsi="Book Antiqua" w:cs="Times New Roman"/>
                <w:vertAlign w:val="superscript"/>
              </w:rPr>
              <w:t>[44]</w:t>
            </w:r>
          </w:p>
        </w:tc>
        <w:tc>
          <w:tcPr>
            <w:tcW w:w="1843" w:type="dxa"/>
          </w:tcPr>
          <w:p w14:paraId="10703FD9"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Hedgehog</w:t>
            </w:r>
          </w:p>
        </w:tc>
        <w:tc>
          <w:tcPr>
            <w:tcW w:w="2016" w:type="dxa"/>
          </w:tcPr>
          <w:p w14:paraId="3D4E33F6"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Zic2</w:t>
            </w:r>
          </w:p>
        </w:tc>
        <w:tc>
          <w:tcPr>
            <w:tcW w:w="2378" w:type="dxa"/>
          </w:tcPr>
          <w:p w14:paraId="7C2C2CD2"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Negatively modulated by Zic2 retention</w:t>
            </w:r>
          </w:p>
        </w:tc>
      </w:tr>
      <w:tr w:rsidR="000A3061" w14:paraId="432443BC" w14:textId="77777777">
        <w:trPr>
          <w:trHeight w:val="237"/>
        </w:trPr>
        <w:tc>
          <w:tcPr>
            <w:tcW w:w="1809" w:type="dxa"/>
          </w:tcPr>
          <w:p w14:paraId="01398EDB"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PLK4</w:t>
            </w:r>
            <w:r>
              <w:rPr>
                <w:rFonts w:ascii="Book Antiqua" w:hAnsi="Book Antiqua" w:cs="Times New Roman"/>
                <w:vertAlign w:val="superscript"/>
              </w:rPr>
              <w:t>[45]</w:t>
            </w:r>
          </w:p>
        </w:tc>
        <w:tc>
          <w:tcPr>
            <w:tcW w:w="1843" w:type="dxa"/>
          </w:tcPr>
          <w:p w14:paraId="182A2B99"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Wnt/β-catenin</w:t>
            </w:r>
          </w:p>
        </w:tc>
        <w:tc>
          <w:tcPr>
            <w:tcW w:w="2016" w:type="dxa"/>
          </w:tcPr>
          <w:p w14:paraId="24D73D5D"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N-cadherin and snail</w:t>
            </w:r>
          </w:p>
        </w:tc>
        <w:tc>
          <w:tcPr>
            <w:tcW w:w="2378" w:type="dxa"/>
          </w:tcPr>
          <w:p w14:paraId="7059E147"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Knockdown decreases the levels of EMT-associated factors</w:t>
            </w:r>
          </w:p>
        </w:tc>
      </w:tr>
      <w:tr w:rsidR="000A3061" w14:paraId="76498A6D" w14:textId="77777777">
        <w:trPr>
          <w:trHeight w:val="248"/>
        </w:trPr>
        <w:tc>
          <w:tcPr>
            <w:tcW w:w="1809" w:type="dxa"/>
          </w:tcPr>
          <w:p w14:paraId="61476AC5"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FRA1</w:t>
            </w:r>
            <w:r>
              <w:rPr>
                <w:rFonts w:ascii="Book Antiqua" w:hAnsi="Book Antiqua" w:cs="Times New Roman"/>
                <w:vertAlign w:val="superscript"/>
              </w:rPr>
              <w:t>[46]</w:t>
            </w:r>
          </w:p>
        </w:tc>
        <w:tc>
          <w:tcPr>
            <w:tcW w:w="1843" w:type="dxa"/>
          </w:tcPr>
          <w:p w14:paraId="0BD801DA"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RAS-ERK and TGFβ</w:t>
            </w:r>
          </w:p>
        </w:tc>
        <w:tc>
          <w:tcPr>
            <w:tcW w:w="2016" w:type="dxa"/>
          </w:tcPr>
          <w:p w14:paraId="78CBCC74" w14:textId="77777777" w:rsidR="000A3061" w:rsidRDefault="000A3061">
            <w:pPr>
              <w:pStyle w:val="a9"/>
              <w:spacing w:before="0" w:beforeAutospacing="0" w:after="0" w:afterAutospacing="0" w:line="360" w:lineRule="auto"/>
              <w:jc w:val="both"/>
              <w:rPr>
                <w:rFonts w:ascii="Book Antiqua" w:hAnsi="Book Antiqua" w:cs="Times New Roman"/>
              </w:rPr>
            </w:pPr>
          </w:p>
        </w:tc>
        <w:tc>
          <w:tcPr>
            <w:tcW w:w="2378" w:type="dxa"/>
          </w:tcPr>
          <w:p w14:paraId="3D6F6A30" w14:textId="77777777" w:rsidR="000A3061" w:rsidRDefault="000A3061">
            <w:pPr>
              <w:pStyle w:val="a9"/>
              <w:spacing w:before="0" w:beforeAutospacing="0" w:after="0" w:afterAutospacing="0" w:line="360" w:lineRule="auto"/>
              <w:jc w:val="both"/>
              <w:rPr>
                <w:rFonts w:ascii="Book Antiqua" w:hAnsi="Book Antiqua" w:cs="Times New Roman"/>
              </w:rPr>
            </w:pPr>
          </w:p>
        </w:tc>
      </w:tr>
      <w:tr w:rsidR="000A3061" w14:paraId="1F913F0E" w14:textId="77777777">
        <w:trPr>
          <w:trHeight w:val="248"/>
        </w:trPr>
        <w:tc>
          <w:tcPr>
            <w:tcW w:w="1809" w:type="dxa"/>
          </w:tcPr>
          <w:p w14:paraId="7E507360" w14:textId="77777777" w:rsidR="000A3061" w:rsidRDefault="000A3061">
            <w:pPr>
              <w:pStyle w:val="a9"/>
              <w:spacing w:before="0" w:beforeAutospacing="0" w:after="0" w:afterAutospacing="0" w:line="360" w:lineRule="auto"/>
              <w:jc w:val="both"/>
              <w:rPr>
                <w:rFonts w:ascii="Book Antiqua" w:hAnsi="Book Antiqua" w:cs="Times New Roman"/>
              </w:rPr>
            </w:pPr>
          </w:p>
        </w:tc>
        <w:tc>
          <w:tcPr>
            <w:tcW w:w="1843" w:type="dxa"/>
          </w:tcPr>
          <w:p w14:paraId="6F672CC6" w14:textId="77777777" w:rsidR="000A3061" w:rsidRDefault="00000000">
            <w:pPr>
              <w:pStyle w:val="a9"/>
              <w:spacing w:before="0" w:beforeAutospacing="0" w:after="0" w:afterAutospacing="0" w:line="360" w:lineRule="auto"/>
              <w:jc w:val="both"/>
              <w:rPr>
                <w:rFonts w:ascii="Book Antiqua" w:hAnsi="Book Antiqua" w:cs="Times New Roman"/>
                <w:vertAlign w:val="superscript"/>
              </w:rPr>
            </w:pPr>
            <w:r>
              <w:rPr>
                <w:rFonts w:ascii="Book Antiqua" w:hAnsi="Book Antiqua" w:cs="Times New Roman"/>
              </w:rPr>
              <w:t>c-MYC</w:t>
            </w:r>
            <w:r>
              <w:rPr>
                <w:rFonts w:ascii="Book Antiqua" w:hAnsi="Book Antiqua" w:cs="Times New Roman"/>
                <w:vertAlign w:val="superscript"/>
              </w:rPr>
              <w:t>[47]</w:t>
            </w:r>
          </w:p>
        </w:tc>
        <w:tc>
          <w:tcPr>
            <w:tcW w:w="2016" w:type="dxa"/>
          </w:tcPr>
          <w:p w14:paraId="642D8E5B" w14:textId="77777777" w:rsidR="000A3061" w:rsidRDefault="000A3061">
            <w:pPr>
              <w:pStyle w:val="a9"/>
              <w:spacing w:before="0" w:beforeAutospacing="0" w:after="0" w:afterAutospacing="0" w:line="360" w:lineRule="auto"/>
              <w:jc w:val="both"/>
              <w:rPr>
                <w:rFonts w:ascii="Book Antiqua" w:hAnsi="Book Antiqua" w:cs="Times New Roman"/>
              </w:rPr>
            </w:pPr>
          </w:p>
        </w:tc>
        <w:tc>
          <w:tcPr>
            <w:tcW w:w="2378" w:type="dxa"/>
          </w:tcPr>
          <w:p w14:paraId="42BB1E96" w14:textId="77777777" w:rsidR="000A3061" w:rsidRDefault="000A3061">
            <w:pPr>
              <w:pStyle w:val="a9"/>
              <w:spacing w:before="0" w:beforeAutospacing="0" w:after="0" w:afterAutospacing="0" w:line="360" w:lineRule="auto"/>
              <w:jc w:val="both"/>
              <w:rPr>
                <w:rFonts w:ascii="Book Antiqua" w:hAnsi="Book Antiqua" w:cs="Times New Roman"/>
              </w:rPr>
            </w:pPr>
          </w:p>
        </w:tc>
      </w:tr>
      <w:tr w:rsidR="000A3061" w14:paraId="4995D8CD" w14:textId="77777777">
        <w:trPr>
          <w:trHeight w:val="248"/>
        </w:trPr>
        <w:tc>
          <w:tcPr>
            <w:tcW w:w="1809" w:type="dxa"/>
          </w:tcPr>
          <w:p w14:paraId="222CB868"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SIRT1</w:t>
            </w:r>
            <w:r>
              <w:rPr>
                <w:rFonts w:ascii="Book Antiqua" w:hAnsi="Book Antiqua" w:cs="Times New Roman"/>
                <w:vertAlign w:val="superscript"/>
              </w:rPr>
              <w:t>[48]</w:t>
            </w:r>
          </w:p>
        </w:tc>
        <w:tc>
          <w:tcPr>
            <w:tcW w:w="1843" w:type="dxa"/>
          </w:tcPr>
          <w:p w14:paraId="28AB29BA" w14:textId="77777777" w:rsidR="000A3061" w:rsidRDefault="000A3061">
            <w:pPr>
              <w:pStyle w:val="a9"/>
              <w:spacing w:before="0" w:beforeAutospacing="0" w:after="0" w:afterAutospacing="0" w:line="360" w:lineRule="auto"/>
              <w:jc w:val="both"/>
              <w:rPr>
                <w:rFonts w:ascii="Book Antiqua" w:hAnsi="Book Antiqua" w:cs="Times New Roman"/>
              </w:rPr>
            </w:pPr>
          </w:p>
        </w:tc>
        <w:tc>
          <w:tcPr>
            <w:tcW w:w="2016" w:type="dxa"/>
          </w:tcPr>
          <w:p w14:paraId="496C8409"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Snail</w:t>
            </w:r>
          </w:p>
        </w:tc>
        <w:tc>
          <w:tcPr>
            <w:tcW w:w="2378" w:type="dxa"/>
          </w:tcPr>
          <w:p w14:paraId="63122156" w14:textId="77777777" w:rsidR="000A3061" w:rsidRDefault="000A3061">
            <w:pPr>
              <w:pStyle w:val="a9"/>
              <w:spacing w:before="0" w:beforeAutospacing="0" w:after="0" w:afterAutospacing="0" w:line="360" w:lineRule="auto"/>
              <w:jc w:val="both"/>
              <w:rPr>
                <w:rFonts w:ascii="Book Antiqua" w:hAnsi="Book Antiqua" w:cs="Times New Roman"/>
              </w:rPr>
            </w:pPr>
          </w:p>
        </w:tc>
      </w:tr>
      <w:tr w:rsidR="000A3061" w14:paraId="34ADE517" w14:textId="77777777">
        <w:trPr>
          <w:trHeight w:val="248"/>
        </w:trPr>
        <w:tc>
          <w:tcPr>
            <w:tcW w:w="1809" w:type="dxa"/>
            <w:tcBorders>
              <w:bottom w:val="single" w:sz="4" w:space="0" w:color="auto"/>
            </w:tcBorders>
          </w:tcPr>
          <w:p w14:paraId="14AB1448" w14:textId="77777777" w:rsidR="000A3061" w:rsidRDefault="000A3061">
            <w:pPr>
              <w:pStyle w:val="a9"/>
              <w:spacing w:before="0" w:beforeAutospacing="0" w:after="0" w:afterAutospacing="0" w:line="360" w:lineRule="auto"/>
              <w:jc w:val="both"/>
              <w:rPr>
                <w:rFonts w:ascii="Book Antiqua" w:hAnsi="Book Antiqua" w:cs="Times New Roman"/>
              </w:rPr>
            </w:pPr>
          </w:p>
        </w:tc>
        <w:tc>
          <w:tcPr>
            <w:tcW w:w="1843" w:type="dxa"/>
            <w:tcBorders>
              <w:bottom w:val="single" w:sz="4" w:space="0" w:color="auto"/>
            </w:tcBorders>
          </w:tcPr>
          <w:p w14:paraId="0235BF8A" w14:textId="77777777" w:rsidR="000A3061" w:rsidRDefault="00000000">
            <w:pPr>
              <w:pStyle w:val="a9"/>
              <w:spacing w:before="0" w:beforeAutospacing="0" w:after="0" w:afterAutospacing="0" w:line="360" w:lineRule="auto"/>
              <w:jc w:val="both"/>
              <w:rPr>
                <w:rFonts w:ascii="Book Antiqua" w:hAnsi="Book Antiqua" w:cs="Times New Roman"/>
                <w:vertAlign w:val="superscript"/>
              </w:rPr>
            </w:pPr>
            <w:r>
              <w:rPr>
                <w:rFonts w:ascii="Book Antiqua" w:hAnsi="Book Antiqua" w:cs="Times New Roman"/>
              </w:rPr>
              <w:t>STAT3</w:t>
            </w:r>
            <w:r>
              <w:rPr>
                <w:rFonts w:ascii="Book Antiqua" w:hAnsi="Book Antiqua" w:cs="Times New Roman"/>
                <w:vertAlign w:val="superscript"/>
              </w:rPr>
              <w:t>[49]</w:t>
            </w:r>
          </w:p>
        </w:tc>
        <w:tc>
          <w:tcPr>
            <w:tcW w:w="2016" w:type="dxa"/>
            <w:tcBorders>
              <w:bottom w:val="single" w:sz="4" w:space="0" w:color="auto"/>
            </w:tcBorders>
          </w:tcPr>
          <w:p w14:paraId="6301B925"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Snail and slug</w:t>
            </w:r>
          </w:p>
        </w:tc>
        <w:tc>
          <w:tcPr>
            <w:tcW w:w="2378" w:type="dxa"/>
            <w:tcBorders>
              <w:bottom w:val="single" w:sz="4" w:space="0" w:color="auto"/>
            </w:tcBorders>
          </w:tcPr>
          <w:p w14:paraId="54289A22" w14:textId="77777777" w:rsidR="000A3061" w:rsidRDefault="00000000">
            <w:pPr>
              <w:pStyle w:val="a9"/>
              <w:spacing w:before="0" w:beforeAutospacing="0" w:after="0" w:afterAutospacing="0" w:line="360" w:lineRule="auto"/>
              <w:jc w:val="both"/>
              <w:rPr>
                <w:rFonts w:ascii="Book Antiqua" w:hAnsi="Book Antiqua" w:cs="Times New Roman"/>
              </w:rPr>
            </w:pPr>
            <w:r>
              <w:rPr>
                <w:rFonts w:ascii="Book Antiqua" w:hAnsi="Book Antiqua" w:cs="Times New Roman"/>
              </w:rPr>
              <w:t>/</w:t>
            </w:r>
          </w:p>
        </w:tc>
      </w:tr>
    </w:tbl>
    <w:p w14:paraId="0E3A7BED" w14:textId="32851D24" w:rsidR="00A83516" w:rsidRDefault="00000000">
      <w:pPr>
        <w:spacing w:line="360" w:lineRule="auto"/>
        <w:jc w:val="both"/>
        <w:rPr>
          <w:rFonts w:ascii="Book Antiqua" w:eastAsia="Book Antiqua" w:hAnsi="Book Antiqua" w:cs="Book Antiqua"/>
        </w:rPr>
      </w:pPr>
      <w:r>
        <w:rPr>
          <w:rFonts w:ascii="Book Antiqua" w:eastAsia="Book Antiqua" w:hAnsi="Book Antiqua" w:cs="Book Antiqua"/>
        </w:rPr>
        <w:t>EMT</w:t>
      </w:r>
      <w:r>
        <w:rPr>
          <w:rFonts w:ascii="Book Antiqua" w:hAnsi="Book Antiqua"/>
        </w:rPr>
        <w:t xml:space="preserve">: </w:t>
      </w:r>
      <w:r>
        <w:rPr>
          <w:rFonts w:ascii="Book Antiqua" w:eastAsia="Book Antiqua" w:hAnsi="Book Antiqua" w:cs="Book Antiqua"/>
        </w:rPr>
        <w:t>Epithelial-mesenchymal transition.</w:t>
      </w:r>
    </w:p>
    <w:p w14:paraId="37BBC106" w14:textId="77777777" w:rsidR="00A83516" w:rsidRPr="006D4EDA" w:rsidRDefault="00A83516" w:rsidP="00A83516">
      <w:pPr>
        <w:snapToGrid w:val="0"/>
        <w:ind w:leftChars="100" w:left="240"/>
        <w:jc w:val="center"/>
        <w:rPr>
          <w:rFonts w:ascii="Book Antiqua" w:hAnsi="Book Antiqua"/>
        </w:rPr>
      </w:pPr>
      <w:r>
        <w:rPr>
          <w:rFonts w:ascii="Book Antiqua" w:eastAsia="Book Antiqua" w:hAnsi="Book Antiqua" w:cs="Book Antiqua"/>
        </w:rPr>
        <w:br w:type="page"/>
      </w:r>
    </w:p>
    <w:p w14:paraId="38E8DFF1" w14:textId="77777777" w:rsidR="00A83516" w:rsidRPr="006D4EDA" w:rsidRDefault="00A83516" w:rsidP="00A83516">
      <w:pPr>
        <w:snapToGrid w:val="0"/>
        <w:ind w:leftChars="100" w:left="240"/>
        <w:jc w:val="center"/>
        <w:rPr>
          <w:rFonts w:ascii="Book Antiqua" w:hAnsi="Book Antiqua"/>
        </w:rPr>
      </w:pPr>
    </w:p>
    <w:p w14:paraId="58E3F571" w14:textId="77777777" w:rsidR="00A83516" w:rsidRPr="006D4EDA" w:rsidRDefault="00A83516" w:rsidP="00A83516">
      <w:pPr>
        <w:snapToGrid w:val="0"/>
        <w:ind w:leftChars="100" w:left="240"/>
        <w:jc w:val="center"/>
        <w:rPr>
          <w:rFonts w:ascii="Book Antiqua" w:hAnsi="Book Antiqua"/>
        </w:rPr>
      </w:pPr>
    </w:p>
    <w:p w14:paraId="3C4BE889" w14:textId="77777777" w:rsidR="00A83516" w:rsidRPr="006D4EDA" w:rsidRDefault="00A83516" w:rsidP="00A83516">
      <w:pPr>
        <w:snapToGrid w:val="0"/>
        <w:ind w:leftChars="100" w:left="240"/>
        <w:jc w:val="center"/>
        <w:rPr>
          <w:rFonts w:ascii="Book Antiqua" w:hAnsi="Book Antiqua"/>
        </w:rPr>
      </w:pPr>
    </w:p>
    <w:p w14:paraId="4724AC9B" w14:textId="77777777" w:rsidR="00A83516" w:rsidRPr="006D4EDA" w:rsidRDefault="00A83516" w:rsidP="00A83516">
      <w:pPr>
        <w:snapToGrid w:val="0"/>
        <w:ind w:leftChars="100" w:left="240"/>
        <w:jc w:val="center"/>
        <w:rPr>
          <w:rFonts w:ascii="Book Antiqua" w:hAnsi="Book Antiqua"/>
        </w:rPr>
      </w:pPr>
      <w:r w:rsidRPr="006D4EDA">
        <w:rPr>
          <w:rFonts w:ascii="Book Antiqua" w:hAnsi="Book Antiqua"/>
          <w:noProof/>
        </w:rPr>
        <w:drawing>
          <wp:inline distT="0" distB="0" distL="0" distR="0" wp14:anchorId="2CA1C15D" wp14:editId="5483C7D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4FE922B" w14:textId="77777777" w:rsidR="00A83516" w:rsidRPr="006D4EDA" w:rsidRDefault="00A83516" w:rsidP="00A83516">
      <w:pPr>
        <w:snapToGrid w:val="0"/>
        <w:ind w:leftChars="100" w:left="240"/>
        <w:jc w:val="center"/>
        <w:rPr>
          <w:rFonts w:ascii="Book Antiqua" w:hAnsi="Book Antiqua"/>
        </w:rPr>
      </w:pPr>
    </w:p>
    <w:p w14:paraId="153A6FFD" w14:textId="77777777" w:rsidR="00A83516" w:rsidRPr="006D4EDA" w:rsidRDefault="00A83516" w:rsidP="00A8351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DE6F3C1" w14:textId="77777777" w:rsidR="00A83516" w:rsidRPr="006D4EDA" w:rsidRDefault="00A83516" w:rsidP="00A8351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02231D2" w14:textId="77777777" w:rsidR="00A83516" w:rsidRPr="006D4EDA" w:rsidRDefault="00A83516" w:rsidP="00A8351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ADDFEC2" w14:textId="77777777" w:rsidR="00A83516" w:rsidRPr="006D4EDA" w:rsidRDefault="00A83516" w:rsidP="00A8351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1833E88" w14:textId="77777777" w:rsidR="00A83516" w:rsidRPr="006D4EDA" w:rsidRDefault="00A83516" w:rsidP="00A8351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302AA04" w14:textId="77777777" w:rsidR="00A83516" w:rsidRPr="006D4EDA" w:rsidRDefault="00A83516" w:rsidP="00A8351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84147A6" w14:textId="77777777" w:rsidR="00A83516" w:rsidRPr="006D4EDA" w:rsidRDefault="00A83516" w:rsidP="00A83516">
      <w:pPr>
        <w:snapToGrid w:val="0"/>
        <w:ind w:leftChars="100" w:left="240"/>
        <w:jc w:val="center"/>
        <w:rPr>
          <w:rFonts w:ascii="Book Antiqua" w:hAnsi="Book Antiqua"/>
        </w:rPr>
      </w:pPr>
    </w:p>
    <w:p w14:paraId="0B66903D" w14:textId="77777777" w:rsidR="00A83516" w:rsidRPr="006D4EDA" w:rsidRDefault="00A83516" w:rsidP="00A83516">
      <w:pPr>
        <w:snapToGrid w:val="0"/>
        <w:ind w:leftChars="100" w:left="240"/>
        <w:jc w:val="center"/>
        <w:rPr>
          <w:rFonts w:ascii="Book Antiqua" w:hAnsi="Book Antiqua"/>
        </w:rPr>
      </w:pPr>
    </w:p>
    <w:p w14:paraId="78B81AF8" w14:textId="77777777" w:rsidR="00A83516" w:rsidRPr="006D4EDA" w:rsidRDefault="00A83516" w:rsidP="00A83516">
      <w:pPr>
        <w:snapToGrid w:val="0"/>
        <w:ind w:leftChars="100" w:left="240"/>
        <w:jc w:val="center"/>
        <w:rPr>
          <w:rFonts w:ascii="Book Antiqua" w:hAnsi="Book Antiqua"/>
        </w:rPr>
      </w:pPr>
    </w:p>
    <w:p w14:paraId="49EF9FBE" w14:textId="77777777" w:rsidR="00A83516" w:rsidRPr="006D4EDA" w:rsidRDefault="00A83516" w:rsidP="00A83516">
      <w:pPr>
        <w:snapToGrid w:val="0"/>
        <w:ind w:leftChars="100" w:left="240"/>
        <w:jc w:val="center"/>
        <w:rPr>
          <w:rFonts w:ascii="Book Antiqua" w:hAnsi="Book Antiqua"/>
        </w:rPr>
      </w:pPr>
      <w:r w:rsidRPr="006D4EDA">
        <w:rPr>
          <w:rFonts w:ascii="Book Antiqua" w:hAnsi="Book Antiqua"/>
          <w:noProof/>
        </w:rPr>
        <w:drawing>
          <wp:inline distT="0" distB="0" distL="0" distR="0" wp14:anchorId="5E95EEF3" wp14:editId="38FCBF7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D01B69" w14:textId="77777777" w:rsidR="00A83516" w:rsidRPr="006D4EDA" w:rsidRDefault="00A83516" w:rsidP="00A83516">
      <w:pPr>
        <w:snapToGrid w:val="0"/>
        <w:ind w:leftChars="100" w:left="240"/>
        <w:jc w:val="center"/>
        <w:rPr>
          <w:rFonts w:ascii="Book Antiqua" w:hAnsi="Book Antiqua"/>
        </w:rPr>
      </w:pPr>
    </w:p>
    <w:p w14:paraId="32B84763" w14:textId="77777777" w:rsidR="00A83516" w:rsidRPr="006D4EDA" w:rsidRDefault="00A83516" w:rsidP="00A83516">
      <w:pPr>
        <w:snapToGrid w:val="0"/>
        <w:ind w:leftChars="100" w:left="240"/>
        <w:jc w:val="center"/>
        <w:rPr>
          <w:rFonts w:ascii="Book Antiqua" w:hAnsi="Book Antiqua"/>
        </w:rPr>
      </w:pPr>
    </w:p>
    <w:p w14:paraId="62977C4D" w14:textId="77777777" w:rsidR="00A83516" w:rsidRPr="006D4EDA" w:rsidRDefault="00A83516" w:rsidP="00A83516">
      <w:pPr>
        <w:snapToGrid w:val="0"/>
        <w:ind w:leftChars="100" w:left="240"/>
        <w:jc w:val="center"/>
        <w:rPr>
          <w:rFonts w:ascii="Book Antiqua" w:hAnsi="Book Antiqua"/>
        </w:rPr>
      </w:pPr>
    </w:p>
    <w:p w14:paraId="68887FEB" w14:textId="77777777" w:rsidR="00A83516" w:rsidRPr="006D4EDA" w:rsidRDefault="00A83516" w:rsidP="00A83516">
      <w:pPr>
        <w:snapToGrid w:val="0"/>
        <w:ind w:leftChars="100" w:left="240"/>
        <w:jc w:val="center"/>
        <w:rPr>
          <w:rFonts w:ascii="Book Antiqua" w:hAnsi="Book Antiqua"/>
        </w:rPr>
      </w:pPr>
    </w:p>
    <w:p w14:paraId="57A0546E" w14:textId="77777777" w:rsidR="00A83516" w:rsidRPr="006D4EDA" w:rsidRDefault="00A83516" w:rsidP="00A83516">
      <w:pPr>
        <w:snapToGrid w:val="0"/>
        <w:ind w:leftChars="100" w:left="240"/>
        <w:jc w:val="center"/>
        <w:rPr>
          <w:rFonts w:ascii="Book Antiqua" w:hAnsi="Book Antiqua"/>
        </w:rPr>
      </w:pPr>
    </w:p>
    <w:p w14:paraId="3CD3D5AE" w14:textId="77777777" w:rsidR="00A83516" w:rsidRPr="006D4EDA" w:rsidRDefault="00A83516" w:rsidP="00A83516">
      <w:pPr>
        <w:snapToGrid w:val="0"/>
        <w:ind w:leftChars="100" w:left="240"/>
        <w:jc w:val="center"/>
        <w:rPr>
          <w:rFonts w:ascii="Book Antiqua" w:hAnsi="Book Antiqua"/>
        </w:rPr>
      </w:pPr>
    </w:p>
    <w:p w14:paraId="25B94642" w14:textId="77777777" w:rsidR="00A83516" w:rsidRPr="006D4EDA" w:rsidRDefault="00A83516" w:rsidP="00A83516">
      <w:pPr>
        <w:snapToGrid w:val="0"/>
        <w:ind w:leftChars="100" w:left="240"/>
        <w:jc w:val="center"/>
        <w:rPr>
          <w:rFonts w:ascii="Book Antiqua" w:hAnsi="Book Antiqua"/>
        </w:rPr>
      </w:pPr>
    </w:p>
    <w:p w14:paraId="4FC927D8" w14:textId="77777777" w:rsidR="00A83516" w:rsidRPr="006D4EDA" w:rsidRDefault="00A83516" w:rsidP="00A83516">
      <w:pPr>
        <w:snapToGrid w:val="0"/>
        <w:ind w:leftChars="100" w:left="240"/>
        <w:jc w:val="center"/>
        <w:rPr>
          <w:rFonts w:ascii="Book Antiqua" w:hAnsi="Book Antiqua"/>
        </w:rPr>
      </w:pPr>
    </w:p>
    <w:p w14:paraId="730A6973" w14:textId="77777777" w:rsidR="00A83516" w:rsidRPr="006D4EDA" w:rsidRDefault="00A83516" w:rsidP="00A83516">
      <w:pPr>
        <w:snapToGrid w:val="0"/>
        <w:ind w:leftChars="100" w:left="240"/>
        <w:jc w:val="center"/>
        <w:rPr>
          <w:rFonts w:ascii="Book Antiqua" w:hAnsi="Book Antiqua"/>
        </w:rPr>
      </w:pPr>
    </w:p>
    <w:p w14:paraId="717C54C3" w14:textId="77777777" w:rsidR="00A83516" w:rsidRPr="006D4EDA" w:rsidRDefault="00A83516" w:rsidP="00A83516">
      <w:pPr>
        <w:snapToGrid w:val="0"/>
        <w:ind w:leftChars="100" w:left="240"/>
        <w:jc w:val="right"/>
        <w:rPr>
          <w:rFonts w:ascii="Book Antiqua" w:hAnsi="Book Antiqua"/>
          <w:color w:val="000000" w:themeColor="text1"/>
        </w:rPr>
      </w:pPr>
    </w:p>
    <w:p w14:paraId="49CCC3EF" w14:textId="77777777" w:rsidR="00A83516" w:rsidRPr="006D4EDA" w:rsidRDefault="00A83516" w:rsidP="00A8351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F8594D8" w14:textId="77777777" w:rsidR="00A83516" w:rsidRPr="00101F4D" w:rsidRDefault="00A83516" w:rsidP="00A83516">
      <w:pPr>
        <w:snapToGrid w:val="0"/>
        <w:ind w:leftChars="100" w:left="240"/>
        <w:jc w:val="center"/>
        <w:rPr>
          <w:rFonts w:ascii="Book Antiqua" w:hAnsi="Book Antiqua" w:cs="Book Antiqua"/>
          <w:b/>
          <w:bCs/>
          <w:color w:val="000000"/>
        </w:rPr>
      </w:pPr>
    </w:p>
    <w:p w14:paraId="3BA7E190" w14:textId="52AC0752" w:rsidR="000A3061" w:rsidRDefault="000A3061">
      <w:pPr>
        <w:spacing w:line="360" w:lineRule="auto"/>
        <w:jc w:val="both"/>
        <w:rPr>
          <w:rFonts w:ascii="Book Antiqua" w:hAnsi="Book Antiqua"/>
        </w:rPr>
      </w:pPr>
    </w:p>
    <w:sectPr w:rsidR="000A30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4EEA1" w14:textId="77777777" w:rsidR="00E17E67" w:rsidRDefault="00E17E67">
      <w:r>
        <w:separator/>
      </w:r>
    </w:p>
  </w:endnote>
  <w:endnote w:type="continuationSeparator" w:id="0">
    <w:p w14:paraId="19C3D4D4" w14:textId="77777777" w:rsidR="00E17E67" w:rsidRDefault="00E1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700048"/>
    </w:sdtPr>
    <w:sdtContent>
      <w:sdt>
        <w:sdtPr>
          <w:id w:val="-1769616900"/>
        </w:sdtPr>
        <w:sdtContent>
          <w:p w14:paraId="7F31C1AF" w14:textId="77777777" w:rsidR="000A3061" w:rsidRDefault="00000000">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2E04CD0" w14:textId="77777777" w:rsidR="000A3061" w:rsidRDefault="000A306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d"/>
      </w:rPr>
      <w:id w:val="1624568466"/>
    </w:sdtPr>
    <w:sdtContent>
      <w:p w14:paraId="3EED96AA" w14:textId="77777777" w:rsidR="000A3061" w:rsidRDefault="00000000">
        <w:pPr>
          <w:pStyle w:val="a5"/>
          <w:framePr w:wrap="auto" w:vAnchor="text" w:hAnchor="margin" w:xAlign="right" w:y="1"/>
          <w:rPr>
            <w:rStyle w:val="ad"/>
          </w:rPr>
        </w:pPr>
        <w:r>
          <w:rPr>
            <w:rStyle w:val="ad"/>
          </w:rPr>
          <w:fldChar w:fldCharType="begin"/>
        </w:r>
        <w:r>
          <w:rPr>
            <w:rStyle w:val="ad"/>
          </w:rPr>
          <w:instrText xml:space="preserve"> PAGE</w:instrText>
        </w:r>
        <w:r>
          <w:rPr>
            <w:rStyle w:val="ad"/>
          </w:rPr>
          <w:fldChar w:fldCharType="separate"/>
        </w:r>
        <w:r>
          <w:rPr>
            <w:rStyle w:val="ad"/>
          </w:rPr>
          <w:t>36</w:t>
        </w:r>
        <w:r>
          <w:rPr>
            <w:rStyle w:val="ad"/>
          </w:rPr>
          <w:fldChar w:fldCharType="end"/>
        </w:r>
      </w:p>
    </w:sdtContent>
  </w:sdt>
  <w:p w14:paraId="3BB9BA85" w14:textId="77777777" w:rsidR="000A3061" w:rsidRDefault="000A306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561529"/>
    </w:sdtPr>
    <w:sdtContent>
      <w:sdt>
        <w:sdtPr>
          <w:id w:val="-1251727476"/>
        </w:sdtPr>
        <w:sdtContent>
          <w:p w14:paraId="1BE7ACAE" w14:textId="77777777" w:rsidR="000A3061" w:rsidRDefault="00000000">
            <w:pPr>
              <w:pStyle w:val="a5"/>
              <w:framePr w:wrap="auto" w:vAnchor="text" w:hAnchor="margin" w:xAlign="right" w:y="1"/>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sdt>
    <w:sdtPr>
      <w:rPr>
        <w:rStyle w:val="ad"/>
      </w:rPr>
      <w:id w:val="-1341697923"/>
    </w:sdtPr>
    <w:sdtContent>
      <w:p w14:paraId="21D85D23" w14:textId="77777777" w:rsidR="000A3061" w:rsidRDefault="00000000">
        <w:pPr>
          <w:pStyle w:val="a5"/>
          <w:framePr w:wrap="auto"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t>1</w:t>
        </w:r>
        <w:r>
          <w:rPr>
            <w:rStyle w:val="ad"/>
          </w:rPr>
          <w:fldChar w:fldCharType="end"/>
        </w:r>
      </w:p>
    </w:sdtContent>
  </w:sdt>
  <w:p w14:paraId="0479DDF6" w14:textId="77777777" w:rsidR="000A3061" w:rsidRDefault="000A306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C884" w14:textId="77777777" w:rsidR="00E17E67" w:rsidRDefault="00E17E67">
      <w:r>
        <w:separator/>
      </w:r>
    </w:p>
  </w:footnote>
  <w:footnote w:type="continuationSeparator" w:id="0">
    <w:p w14:paraId="053924D3" w14:textId="77777777" w:rsidR="00E17E67" w:rsidRDefault="00E17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k3NTJjYzQ1MTQxMThkZjIwYTZlZjAxZTQ1ZGIzMGEifQ=="/>
  </w:docVars>
  <w:rsids>
    <w:rsidRoot w:val="00A77B3E"/>
    <w:rsid w:val="00004E31"/>
    <w:rsid w:val="00007D49"/>
    <w:rsid w:val="0001295B"/>
    <w:rsid w:val="0002269E"/>
    <w:rsid w:val="00042499"/>
    <w:rsid w:val="0009212C"/>
    <w:rsid w:val="000A3061"/>
    <w:rsid w:val="000A570D"/>
    <w:rsid w:val="000C7D21"/>
    <w:rsid w:val="000E01D2"/>
    <w:rsid w:val="00114D6C"/>
    <w:rsid w:val="0012499B"/>
    <w:rsid w:val="00127FD4"/>
    <w:rsid w:val="0013459B"/>
    <w:rsid w:val="001361C2"/>
    <w:rsid w:val="0014206E"/>
    <w:rsid w:val="00162C97"/>
    <w:rsid w:val="0016426A"/>
    <w:rsid w:val="0018025A"/>
    <w:rsid w:val="00181693"/>
    <w:rsid w:val="00185880"/>
    <w:rsid w:val="00197BE3"/>
    <w:rsid w:val="001B02FF"/>
    <w:rsid w:val="001B7CC0"/>
    <w:rsid w:val="001D01AF"/>
    <w:rsid w:val="001D37E6"/>
    <w:rsid w:val="001E467E"/>
    <w:rsid w:val="001E56B8"/>
    <w:rsid w:val="001F3CB9"/>
    <w:rsid w:val="00220EC3"/>
    <w:rsid w:val="0022305B"/>
    <w:rsid w:val="00236C26"/>
    <w:rsid w:val="0025004D"/>
    <w:rsid w:val="00261CE8"/>
    <w:rsid w:val="00263189"/>
    <w:rsid w:val="00274083"/>
    <w:rsid w:val="002F1FC0"/>
    <w:rsid w:val="00305271"/>
    <w:rsid w:val="00322A3E"/>
    <w:rsid w:val="00326415"/>
    <w:rsid w:val="003345E8"/>
    <w:rsid w:val="0034787D"/>
    <w:rsid w:val="00383E05"/>
    <w:rsid w:val="0039284A"/>
    <w:rsid w:val="003A679E"/>
    <w:rsid w:val="003D26F7"/>
    <w:rsid w:val="003E169F"/>
    <w:rsid w:val="003E25D3"/>
    <w:rsid w:val="0040042F"/>
    <w:rsid w:val="00426FFC"/>
    <w:rsid w:val="004310EB"/>
    <w:rsid w:val="004418F4"/>
    <w:rsid w:val="00457EAB"/>
    <w:rsid w:val="004632A4"/>
    <w:rsid w:val="004645F6"/>
    <w:rsid w:val="00471534"/>
    <w:rsid w:val="00477845"/>
    <w:rsid w:val="004A20B2"/>
    <w:rsid w:val="004B6F42"/>
    <w:rsid w:val="004F13C7"/>
    <w:rsid w:val="005008AA"/>
    <w:rsid w:val="005132B3"/>
    <w:rsid w:val="00514F09"/>
    <w:rsid w:val="00526B18"/>
    <w:rsid w:val="00530560"/>
    <w:rsid w:val="00534B44"/>
    <w:rsid w:val="00556F9A"/>
    <w:rsid w:val="00572A6A"/>
    <w:rsid w:val="005C022C"/>
    <w:rsid w:val="00607846"/>
    <w:rsid w:val="00615D1C"/>
    <w:rsid w:val="00621247"/>
    <w:rsid w:val="00640757"/>
    <w:rsid w:val="00660552"/>
    <w:rsid w:val="006648A2"/>
    <w:rsid w:val="0068307A"/>
    <w:rsid w:val="00687237"/>
    <w:rsid w:val="006A28E7"/>
    <w:rsid w:val="006B6E90"/>
    <w:rsid w:val="006F1DFA"/>
    <w:rsid w:val="00713662"/>
    <w:rsid w:val="00731A36"/>
    <w:rsid w:val="00740E0C"/>
    <w:rsid w:val="00744C93"/>
    <w:rsid w:val="0075168D"/>
    <w:rsid w:val="0075778A"/>
    <w:rsid w:val="00780812"/>
    <w:rsid w:val="00785C8F"/>
    <w:rsid w:val="00786144"/>
    <w:rsid w:val="00792A70"/>
    <w:rsid w:val="007B7FDF"/>
    <w:rsid w:val="007D64E5"/>
    <w:rsid w:val="007E5133"/>
    <w:rsid w:val="007F3E78"/>
    <w:rsid w:val="00802980"/>
    <w:rsid w:val="008246A5"/>
    <w:rsid w:val="00837E2E"/>
    <w:rsid w:val="00862D01"/>
    <w:rsid w:val="008867B8"/>
    <w:rsid w:val="00886FB1"/>
    <w:rsid w:val="008A624B"/>
    <w:rsid w:val="008B1B23"/>
    <w:rsid w:val="008B1ED4"/>
    <w:rsid w:val="008B5063"/>
    <w:rsid w:val="008D65AE"/>
    <w:rsid w:val="008D72E4"/>
    <w:rsid w:val="008E0775"/>
    <w:rsid w:val="008E7F89"/>
    <w:rsid w:val="008F2CED"/>
    <w:rsid w:val="00914931"/>
    <w:rsid w:val="00925DE3"/>
    <w:rsid w:val="009508CF"/>
    <w:rsid w:val="00950BBF"/>
    <w:rsid w:val="00953470"/>
    <w:rsid w:val="00975CF0"/>
    <w:rsid w:val="009A244F"/>
    <w:rsid w:val="009A7CF3"/>
    <w:rsid w:val="009C0629"/>
    <w:rsid w:val="009C0CA1"/>
    <w:rsid w:val="009D204C"/>
    <w:rsid w:val="009E45AB"/>
    <w:rsid w:val="009F59DF"/>
    <w:rsid w:val="00A018A2"/>
    <w:rsid w:val="00A02E4A"/>
    <w:rsid w:val="00A07027"/>
    <w:rsid w:val="00A1283E"/>
    <w:rsid w:val="00A408E7"/>
    <w:rsid w:val="00A674C7"/>
    <w:rsid w:val="00A67804"/>
    <w:rsid w:val="00A70BC2"/>
    <w:rsid w:val="00A77B3E"/>
    <w:rsid w:val="00A81C45"/>
    <w:rsid w:val="00A83516"/>
    <w:rsid w:val="00AB300C"/>
    <w:rsid w:val="00AE578B"/>
    <w:rsid w:val="00AE76AF"/>
    <w:rsid w:val="00B07D28"/>
    <w:rsid w:val="00B44FD9"/>
    <w:rsid w:val="00B46662"/>
    <w:rsid w:val="00B52026"/>
    <w:rsid w:val="00B609AD"/>
    <w:rsid w:val="00B72ED3"/>
    <w:rsid w:val="00B8430A"/>
    <w:rsid w:val="00B91292"/>
    <w:rsid w:val="00BB0C91"/>
    <w:rsid w:val="00BE729A"/>
    <w:rsid w:val="00BF1C7D"/>
    <w:rsid w:val="00C20116"/>
    <w:rsid w:val="00C26B0B"/>
    <w:rsid w:val="00C50746"/>
    <w:rsid w:val="00C65529"/>
    <w:rsid w:val="00C77F0F"/>
    <w:rsid w:val="00C902D9"/>
    <w:rsid w:val="00C9244D"/>
    <w:rsid w:val="00CA2A55"/>
    <w:rsid w:val="00CA3406"/>
    <w:rsid w:val="00CA3489"/>
    <w:rsid w:val="00CB7D85"/>
    <w:rsid w:val="00CC2A1F"/>
    <w:rsid w:val="00CD3371"/>
    <w:rsid w:val="00CD33DE"/>
    <w:rsid w:val="00D0331D"/>
    <w:rsid w:val="00D12D79"/>
    <w:rsid w:val="00D15C8C"/>
    <w:rsid w:val="00D30315"/>
    <w:rsid w:val="00D32505"/>
    <w:rsid w:val="00D449AA"/>
    <w:rsid w:val="00D571F3"/>
    <w:rsid w:val="00D62790"/>
    <w:rsid w:val="00D74CB2"/>
    <w:rsid w:val="00E04D06"/>
    <w:rsid w:val="00E17E67"/>
    <w:rsid w:val="00E24139"/>
    <w:rsid w:val="00E446A3"/>
    <w:rsid w:val="00E56D7C"/>
    <w:rsid w:val="00E638D8"/>
    <w:rsid w:val="00E75E71"/>
    <w:rsid w:val="00E76D68"/>
    <w:rsid w:val="00EA5271"/>
    <w:rsid w:val="00EA67D1"/>
    <w:rsid w:val="00EE0956"/>
    <w:rsid w:val="00EE5453"/>
    <w:rsid w:val="00EE774C"/>
    <w:rsid w:val="00EF3490"/>
    <w:rsid w:val="00EF715F"/>
    <w:rsid w:val="00F01521"/>
    <w:rsid w:val="00F10304"/>
    <w:rsid w:val="00F15929"/>
    <w:rsid w:val="00F1640F"/>
    <w:rsid w:val="00F6276F"/>
    <w:rsid w:val="00F63448"/>
    <w:rsid w:val="00F65748"/>
    <w:rsid w:val="00F94D0C"/>
    <w:rsid w:val="00FA631E"/>
    <w:rsid w:val="00FB4EF0"/>
    <w:rsid w:val="00FB5938"/>
    <w:rsid w:val="00FB5A39"/>
    <w:rsid w:val="00FC327D"/>
    <w:rsid w:val="00FC5AC4"/>
    <w:rsid w:val="00FC5FBD"/>
    <w:rsid w:val="00FE2CD7"/>
    <w:rsid w:val="00FF42F9"/>
    <w:rsid w:val="00FF5374"/>
    <w:rsid w:val="06C16115"/>
    <w:rsid w:val="125A12FA"/>
    <w:rsid w:val="1AA843F3"/>
    <w:rsid w:val="1FDF4250"/>
    <w:rsid w:val="34853B4C"/>
    <w:rsid w:val="51F21DEB"/>
    <w:rsid w:val="53C13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C2D33EA"/>
  <w15:docId w15:val="{8122FAC8-8295-C544-ADA9-28D55761B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Normal (Web)"/>
    <w:basedOn w:val="a"/>
    <w:autoRedefine/>
    <w:uiPriority w:val="99"/>
    <w:unhideWhenUsed/>
    <w:qFormat/>
    <w:pPr>
      <w:spacing w:before="100" w:beforeAutospacing="1" w:after="100" w:afterAutospacing="1"/>
    </w:pPr>
  </w:style>
  <w:style w:type="paragraph" w:styleId="aa">
    <w:name w:val="annotation subject"/>
    <w:basedOn w:val="a3"/>
    <w:next w:val="a3"/>
    <w:link w:val="ab"/>
    <w:autoRedefine/>
    <w:qFormat/>
    <w:rPr>
      <w:b/>
      <w:bCs/>
    </w:rPr>
  </w:style>
  <w:style w:type="table" w:styleId="ac">
    <w:name w:val="Table Grid"/>
    <w:basedOn w:val="a1"/>
    <w:autoRedefine/>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autoRedefine/>
    <w:uiPriority w:val="99"/>
    <w:unhideWhenUsed/>
    <w:qFormat/>
  </w:style>
  <w:style w:type="character" w:styleId="ae">
    <w:name w:val="Hyperlink"/>
    <w:basedOn w:val="a0"/>
    <w:autoRedefine/>
    <w:uiPriority w:val="99"/>
    <w:unhideWhenUsed/>
    <w:qFormat/>
    <w:rPr>
      <w:color w:val="0000FF"/>
      <w:u w:val="single"/>
    </w:rPr>
  </w:style>
  <w:style w:type="character" w:styleId="af">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b">
    <w:name w:val="批注主题 字符"/>
    <w:basedOn w:val="a4"/>
    <w:link w:val="aa"/>
    <w:autoRedefine/>
    <w:qFormat/>
    <w:rPr>
      <w:b/>
      <w:bCs/>
      <w:sz w:val="24"/>
      <w:szCs w:val="24"/>
    </w:rPr>
  </w:style>
  <w:style w:type="paragraph" w:customStyle="1" w:styleId="1">
    <w:name w:val="修订1"/>
    <w:autoRedefine/>
    <w:hidden/>
    <w:uiPriority w:val="99"/>
    <w:semiHidden/>
    <w:qFormat/>
    <w:rPr>
      <w:sz w:val="24"/>
      <w:szCs w:val="24"/>
      <w:lang w:eastAsia="en-US"/>
    </w:rPr>
  </w:style>
  <w:style w:type="paragraph" w:styleId="af0">
    <w:name w:val="List Paragraph"/>
    <w:basedOn w:val="a"/>
    <w:autoRedefine/>
    <w:uiPriority w:val="34"/>
    <w:qFormat/>
    <w:pPr>
      <w:ind w:firstLineChars="200" w:firstLine="420"/>
    </w:pPr>
  </w:style>
  <w:style w:type="character" w:styleId="af1">
    <w:name w:val="Unresolved Mention"/>
    <w:basedOn w:val="a0"/>
    <w:uiPriority w:val="99"/>
    <w:semiHidden/>
    <w:unhideWhenUsed/>
    <w:rsid w:val="00A83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7B32A-0C24-E34C-83EC-374B07116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8</Pages>
  <Words>10823</Words>
  <Characters>61694</Characters>
  <Application>Microsoft Office Word</Application>
  <DocSecurity>0</DocSecurity>
  <Lines>514</Lines>
  <Paragraphs>144</Paragraphs>
  <ScaleCrop>false</ScaleCrop>
  <Company/>
  <LinksUpToDate>false</LinksUpToDate>
  <CharactersWithSpaces>72373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M18955</cp:lastModifiedBy>
  <cp:revision>196</cp:revision>
  <dcterms:created xsi:type="dcterms:W3CDTF">2024-01-01T13:00:00Z</dcterms:created>
  <dcterms:modified xsi:type="dcterms:W3CDTF">2024-02-01T11:58:00Z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843EF9397BBF44F4B341CD96533BCC35_12</vt:lpwstr>
  </property>
</Properties>
</file>