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0EFF8"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Hematology</w:t>
      </w:r>
    </w:p>
    <w:p w14:paraId="0F82BC09"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88637</w:t>
      </w:r>
    </w:p>
    <w:p w14:paraId="25746EED"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7ED042C6" w14:textId="77777777" w:rsidR="00A77B3E" w:rsidRDefault="00A77B3E">
      <w:pPr>
        <w:spacing w:line="360" w:lineRule="auto"/>
        <w:jc w:val="both"/>
      </w:pPr>
    </w:p>
    <w:p w14:paraId="169EAD7A" w14:textId="6D41B67F" w:rsidR="00A77B3E" w:rsidRDefault="00E3633E">
      <w:pPr>
        <w:spacing w:line="360" w:lineRule="auto"/>
        <w:jc w:val="both"/>
      </w:pPr>
      <w:r w:rsidRPr="00B749E6">
        <w:rPr>
          <w:rFonts w:ascii="Book Antiqua" w:hAnsi="Book Antiqua"/>
          <w:b/>
        </w:rPr>
        <w:t>Unusual presentation of extramedullary blast crisis in chronic myeloid leukemia: A case report</w:t>
      </w:r>
    </w:p>
    <w:p w14:paraId="6071EB6C" w14:textId="77777777" w:rsidR="00A77B3E" w:rsidRDefault="00A77B3E">
      <w:pPr>
        <w:spacing w:line="360" w:lineRule="auto"/>
        <w:jc w:val="both"/>
      </w:pPr>
    </w:p>
    <w:p w14:paraId="0D6180BA" w14:textId="467102FC" w:rsidR="00A77B3E" w:rsidRDefault="008729F4">
      <w:pPr>
        <w:spacing w:line="360" w:lineRule="auto"/>
        <w:jc w:val="both"/>
      </w:pPr>
      <w:r>
        <w:rPr>
          <w:rFonts w:ascii="Book Antiqua" w:eastAsia="Book Antiqua" w:hAnsi="Book Antiqua" w:cs="Book Antiqua"/>
          <w:color w:val="000000"/>
        </w:rPr>
        <w:t xml:space="preserve">Mishra R </w:t>
      </w:r>
      <w:r>
        <w:rPr>
          <w:rFonts w:ascii="Book Antiqua" w:eastAsia="Book Antiqua" w:hAnsi="Book Antiqua" w:cs="Book Antiqua"/>
          <w:i/>
          <w:iCs/>
          <w:color w:val="000000"/>
        </w:rPr>
        <w:t xml:space="preserve">et al. </w:t>
      </w:r>
      <w:r>
        <w:rPr>
          <w:rFonts w:ascii="Book Antiqua" w:eastAsia="Book Antiqua" w:hAnsi="Book Antiqua" w:cs="Book Antiqua"/>
          <w:color w:val="000000"/>
        </w:rPr>
        <w:t>CML with atypical EBC</w:t>
      </w:r>
    </w:p>
    <w:p w14:paraId="70942806" w14:textId="77777777" w:rsidR="00A77B3E" w:rsidRDefault="00A77B3E">
      <w:pPr>
        <w:spacing w:line="360" w:lineRule="auto"/>
        <w:jc w:val="both"/>
      </w:pPr>
    </w:p>
    <w:p w14:paraId="7ED060D1" w14:textId="77777777" w:rsidR="00A77B3E" w:rsidRDefault="00000000">
      <w:pPr>
        <w:spacing w:line="360" w:lineRule="auto"/>
        <w:jc w:val="both"/>
      </w:pPr>
      <w:r>
        <w:rPr>
          <w:rFonts w:ascii="Book Antiqua" w:eastAsia="Book Antiqua" w:hAnsi="Book Antiqua" w:cs="Book Antiqua"/>
          <w:color w:val="000000"/>
        </w:rPr>
        <w:t>Rashmi Mishra, Sandeep Garg, Praveen Bharti, Deepak Ranjan Malla, Ishan Rohatgi, Sachin Gautam</w:t>
      </w:r>
    </w:p>
    <w:p w14:paraId="1B1F2ED5" w14:textId="77777777" w:rsidR="00A77B3E" w:rsidRDefault="00A77B3E">
      <w:pPr>
        <w:spacing w:line="360" w:lineRule="auto"/>
        <w:jc w:val="both"/>
      </w:pPr>
    </w:p>
    <w:p w14:paraId="1654736E" w14:textId="77777777" w:rsidR="00A77B3E" w:rsidRDefault="00000000">
      <w:pPr>
        <w:spacing w:line="360" w:lineRule="auto"/>
        <w:jc w:val="both"/>
      </w:pPr>
      <w:r>
        <w:rPr>
          <w:rFonts w:ascii="Book Antiqua" w:eastAsia="Book Antiqua" w:hAnsi="Book Antiqua" w:cs="Book Antiqua"/>
          <w:b/>
          <w:bCs/>
          <w:color w:val="000000"/>
        </w:rPr>
        <w:t xml:space="preserve">Rashmi Mishra, Sandeep Garg, Praveen Bharti, Deepak Ranjan Malla, Ishan Rohatgi, </w:t>
      </w:r>
      <w:r>
        <w:rPr>
          <w:rFonts w:ascii="Book Antiqua" w:eastAsia="Book Antiqua" w:hAnsi="Book Antiqua" w:cs="Book Antiqua"/>
          <w:color w:val="000000"/>
        </w:rPr>
        <w:t>Department of General Medicine, Maulana Azad Medical College, New Delhi 110002, Delhi, India</w:t>
      </w:r>
    </w:p>
    <w:p w14:paraId="40DCF277" w14:textId="77777777" w:rsidR="00A77B3E" w:rsidRDefault="00A77B3E">
      <w:pPr>
        <w:spacing w:line="360" w:lineRule="auto"/>
        <w:jc w:val="both"/>
      </w:pPr>
    </w:p>
    <w:p w14:paraId="774E9F36" w14:textId="77777777" w:rsidR="00A77B3E" w:rsidRDefault="00000000">
      <w:pPr>
        <w:spacing w:line="360" w:lineRule="auto"/>
        <w:jc w:val="both"/>
      </w:pPr>
      <w:r>
        <w:rPr>
          <w:rFonts w:ascii="Book Antiqua" w:eastAsia="Book Antiqua" w:hAnsi="Book Antiqua" w:cs="Book Antiqua"/>
          <w:b/>
          <w:bCs/>
          <w:color w:val="000000"/>
        </w:rPr>
        <w:t xml:space="preserve">Sachin Gautam, </w:t>
      </w:r>
      <w:r>
        <w:rPr>
          <w:rFonts w:ascii="Book Antiqua" w:eastAsia="Book Antiqua" w:hAnsi="Book Antiqua" w:cs="Book Antiqua"/>
          <w:color w:val="000000"/>
        </w:rPr>
        <w:t>Department of Internal Medicine, Maulana Azad Medical College, New Delhi 110002, Delhi, India</w:t>
      </w:r>
    </w:p>
    <w:p w14:paraId="1E3ECE9C" w14:textId="77777777" w:rsidR="00A77B3E" w:rsidRDefault="00A77B3E">
      <w:pPr>
        <w:spacing w:line="360" w:lineRule="auto"/>
        <w:jc w:val="both"/>
      </w:pPr>
    </w:p>
    <w:p w14:paraId="6A88F10A" w14:textId="4CE34472" w:rsidR="00A77B3E" w:rsidRPr="004C4538" w:rsidRDefault="00000000">
      <w:pPr>
        <w:spacing w:line="360" w:lineRule="auto"/>
        <w:jc w:val="both"/>
      </w:pPr>
      <w:r>
        <w:rPr>
          <w:rFonts w:ascii="Book Antiqua" w:eastAsia="Book Antiqua" w:hAnsi="Book Antiqua" w:cs="Book Antiqua"/>
          <w:b/>
          <w:bCs/>
          <w:color w:val="000000"/>
        </w:rPr>
        <w:t xml:space="preserve">Author contributions: </w:t>
      </w:r>
      <w:r w:rsidR="004C4538" w:rsidRPr="004C4538">
        <w:rPr>
          <w:rFonts w:ascii="Book Antiqua" w:eastAsia="Book Antiqua" w:hAnsi="Book Antiqua" w:cs="Book Antiqua"/>
          <w:color w:val="000000"/>
        </w:rPr>
        <w:t xml:space="preserve">Mishra R, Garg S and Bharti P contributed to the evaluation, diagnosis and management of the patient; Malla DR and Gautam S carried out the necessary procedures for the diagnosis; Rohatgi I analyzed the data, compiled the necessary reviews and wrote the manuscript; </w:t>
      </w:r>
      <w:r w:rsidR="00164AFF">
        <w:rPr>
          <w:rFonts w:ascii="Book Antiqua" w:eastAsia="Book Antiqua" w:hAnsi="Book Antiqua" w:cs="Book Antiqua"/>
          <w:color w:val="000000"/>
        </w:rPr>
        <w:t>a</w:t>
      </w:r>
      <w:r w:rsidR="004C4538" w:rsidRPr="004C4538">
        <w:rPr>
          <w:rFonts w:ascii="Book Antiqua" w:eastAsia="Book Antiqua" w:hAnsi="Book Antiqua" w:cs="Book Antiqua"/>
          <w:color w:val="000000"/>
        </w:rPr>
        <w:t>ll authors read and approved the final manuscript.</w:t>
      </w:r>
    </w:p>
    <w:p w14:paraId="2293F995" w14:textId="77777777" w:rsidR="00A77B3E" w:rsidRDefault="00A77B3E">
      <w:pPr>
        <w:spacing w:line="360" w:lineRule="auto"/>
        <w:jc w:val="both"/>
      </w:pPr>
    </w:p>
    <w:p w14:paraId="21DA80A7" w14:textId="77777777" w:rsidR="00A77B3E" w:rsidRDefault="00000000">
      <w:pPr>
        <w:spacing w:line="360" w:lineRule="auto"/>
        <w:jc w:val="both"/>
      </w:pPr>
      <w:r>
        <w:rPr>
          <w:rFonts w:ascii="Book Antiqua" w:eastAsia="Book Antiqua" w:hAnsi="Book Antiqua" w:cs="Book Antiqua"/>
          <w:b/>
          <w:bCs/>
          <w:color w:val="000000"/>
        </w:rPr>
        <w:t xml:space="preserve">Corresponding author: Rashmi Mishra, MD, Assistant Professor, Doctor, </w:t>
      </w:r>
      <w:r>
        <w:rPr>
          <w:rFonts w:ascii="Book Antiqua" w:eastAsia="Book Antiqua" w:hAnsi="Book Antiqua" w:cs="Book Antiqua"/>
          <w:color w:val="000000"/>
        </w:rPr>
        <w:t>Department of General Medicine, Maulana Azad Medical College, Bahadur Shah Zafar Marg, New Delhi 110002, Delhi, India. rashmi.virgo02@gmail.com</w:t>
      </w:r>
    </w:p>
    <w:p w14:paraId="568650FF" w14:textId="77777777" w:rsidR="00A77B3E" w:rsidRDefault="00A77B3E">
      <w:pPr>
        <w:spacing w:line="360" w:lineRule="auto"/>
        <w:jc w:val="both"/>
      </w:pPr>
    </w:p>
    <w:p w14:paraId="79DE27AA"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October 3, 2023</w:t>
      </w:r>
    </w:p>
    <w:p w14:paraId="5AA4AD93" w14:textId="77777777" w:rsidR="00A77B3E" w:rsidRDefault="00000000">
      <w:pPr>
        <w:spacing w:line="360" w:lineRule="auto"/>
        <w:jc w:val="both"/>
      </w:pPr>
      <w:r>
        <w:rPr>
          <w:rFonts w:ascii="Book Antiqua" w:eastAsia="Book Antiqua" w:hAnsi="Book Antiqua" w:cs="Book Antiqua"/>
          <w:b/>
          <w:bCs/>
        </w:rPr>
        <w:lastRenderedPageBreak/>
        <w:t xml:space="preserve">Revised: </w:t>
      </w:r>
      <w:r>
        <w:rPr>
          <w:rFonts w:ascii="Book Antiqua" w:eastAsia="Book Antiqua" w:hAnsi="Book Antiqua" w:cs="Book Antiqua"/>
        </w:rPr>
        <w:t>November 15, 2023</w:t>
      </w:r>
    </w:p>
    <w:p w14:paraId="7AA3D450" w14:textId="79F22FAF" w:rsidR="00A77B3E" w:rsidRPr="00FA00BB" w:rsidRDefault="00000000" w:rsidP="00FA00BB">
      <w:pPr>
        <w:spacing w:line="360" w:lineRule="auto"/>
        <w:rPr>
          <w:rFonts w:ascii="Book Antiqua" w:hAnsi="Book Antiqua"/>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r w:rsidR="00945DDE" w:rsidRPr="00E0103E">
        <w:rPr>
          <w:rFonts w:ascii="Book Antiqua" w:hAnsi="Book Antiqua"/>
        </w:rPr>
        <w:t>December 1</w:t>
      </w:r>
      <w:r w:rsidR="00945DDE">
        <w:rPr>
          <w:rFonts w:ascii="Book Antiqua" w:hAnsi="Book Antiqua"/>
        </w:rPr>
        <w:t>9</w:t>
      </w:r>
      <w:r w:rsidR="00945DDE"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7A150130" w14:textId="54295069" w:rsidR="00A77B3E" w:rsidRDefault="00000000">
      <w:pPr>
        <w:spacing w:line="360" w:lineRule="auto"/>
        <w:jc w:val="both"/>
      </w:pPr>
      <w:r>
        <w:rPr>
          <w:rFonts w:ascii="Book Antiqua" w:eastAsia="Book Antiqua" w:hAnsi="Book Antiqua" w:cs="Book Antiqua"/>
          <w:b/>
          <w:bCs/>
        </w:rPr>
        <w:t xml:space="preserve">Published online: </w:t>
      </w:r>
      <w:r w:rsidR="00562482">
        <w:rPr>
          <w:rFonts w:ascii="Book Antiqua" w:hAnsi="Book Antiqua"/>
          <w:color w:val="000000"/>
          <w:shd w:val="clear" w:color="auto" w:fill="FFFFFF"/>
        </w:rPr>
        <w:t>December 29, 2023</w:t>
      </w:r>
    </w:p>
    <w:p w14:paraId="12DB7FA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9BD1532"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35E2C561" w14:textId="77777777" w:rsidR="00A77B3E" w:rsidRDefault="00000000">
      <w:pPr>
        <w:spacing w:line="360" w:lineRule="auto"/>
        <w:jc w:val="both"/>
      </w:pPr>
      <w:r>
        <w:rPr>
          <w:rFonts w:ascii="Book Antiqua" w:eastAsia="Book Antiqua" w:hAnsi="Book Antiqua" w:cs="Book Antiqua"/>
          <w:color w:val="000000"/>
        </w:rPr>
        <w:t>BACKGROUND</w:t>
      </w:r>
    </w:p>
    <w:p w14:paraId="57BAE624" w14:textId="23EC3B00" w:rsidR="00A77B3E" w:rsidRDefault="004C4538">
      <w:pPr>
        <w:spacing w:line="360" w:lineRule="auto"/>
        <w:jc w:val="both"/>
      </w:pPr>
      <w:r w:rsidRPr="004C4538">
        <w:rPr>
          <w:rFonts w:ascii="Book Antiqua" w:eastAsia="Book Antiqua" w:hAnsi="Book Antiqua" w:cs="Book Antiqua"/>
        </w:rPr>
        <w:t>Extramedullary blast crisis in chronic myeloid leukemia (CML) is an uncommon occurrence of leukemic blast infiltration in regions other than the bone marrow. Malignant infiltration of the serosal membranes should be considered in cases where CML presents with ascites or pleural effusion.</w:t>
      </w:r>
    </w:p>
    <w:p w14:paraId="381BCCFE" w14:textId="77777777" w:rsidR="00A77B3E" w:rsidRDefault="00A77B3E">
      <w:pPr>
        <w:spacing w:line="360" w:lineRule="auto"/>
        <w:jc w:val="both"/>
      </w:pPr>
    </w:p>
    <w:p w14:paraId="1D9404EB" w14:textId="77777777" w:rsidR="00A77B3E" w:rsidRDefault="00000000">
      <w:pPr>
        <w:spacing w:line="360" w:lineRule="auto"/>
        <w:jc w:val="both"/>
      </w:pPr>
      <w:r>
        <w:rPr>
          <w:rFonts w:ascii="Book Antiqua" w:eastAsia="Book Antiqua" w:hAnsi="Book Antiqua" w:cs="Book Antiqua"/>
          <w:color w:val="000000"/>
        </w:rPr>
        <w:t>CASE SUMMARY</w:t>
      </w:r>
    </w:p>
    <w:p w14:paraId="528D5A47" w14:textId="57D44EC2" w:rsidR="00A77B3E" w:rsidRDefault="004C4538">
      <w:pPr>
        <w:spacing w:line="360" w:lineRule="auto"/>
        <w:jc w:val="both"/>
      </w:pPr>
      <w:r w:rsidRPr="004C4538">
        <w:rPr>
          <w:rFonts w:ascii="Book Antiqua" w:eastAsia="Book Antiqua" w:hAnsi="Book Antiqua" w:cs="Book Antiqua"/>
        </w:rPr>
        <w:t>A 23-year-old female with CML presented with progressively worsening ascites and pleural effusion despite first-line tyrosine kinase inhibitor treatment. Her blood work indicated leukocytosis with myelocyte bulge and 2% blasts. Analysis of the patient’s bone marrow confirmed the chronic phase of CML. Abdominal ultrasound revealed hepatosplenomegaly with ascites. The fluid investigation of both ascites and pleural effusion revealed a predominance of neutrophils with exudate. However, no acid-fast bacilli or growth was observed after culturing. Although hydroxyurea reduced cell counts, there was no observed effect on ascites or pleural effusion. Repeat investigation of the ascitic and pleural fluid revealed a polymorphous myeloid cell population consisting of myelocytes, metamyelocytes, band forms, neutrophils and a few myeloblasts. Extramedullary blast crisis was suspected, and mutation analysis was performed. We switched the patient to dasatinib. The patient’s symptoms were relieved, and ascites and pleural effusion diminished.</w:t>
      </w:r>
    </w:p>
    <w:p w14:paraId="13CD2465" w14:textId="77777777" w:rsidR="00A77B3E" w:rsidRDefault="00A77B3E">
      <w:pPr>
        <w:spacing w:line="360" w:lineRule="auto"/>
        <w:jc w:val="both"/>
      </w:pPr>
    </w:p>
    <w:p w14:paraId="3FF9FEEC" w14:textId="77777777" w:rsidR="00A77B3E" w:rsidRDefault="00000000">
      <w:pPr>
        <w:spacing w:line="360" w:lineRule="auto"/>
        <w:jc w:val="both"/>
      </w:pPr>
      <w:r>
        <w:rPr>
          <w:rFonts w:ascii="Book Antiqua" w:eastAsia="Book Antiqua" w:hAnsi="Book Antiqua" w:cs="Book Antiqua"/>
          <w:color w:val="000000"/>
        </w:rPr>
        <w:t>CONCLUSION</w:t>
      </w:r>
    </w:p>
    <w:p w14:paraId="74B58177" w14:textId="2C1309B5" w:rsidR="00A77B3E" w:rsidRDefault="004C4538">
      <w:pPr>
        <w:spacing w:line="360" w:lineRule="auto"/>
        <w:jc w:val="both"/>
      </w:pPr>
      <w:r w:rsidRPr="004C4538">
        <w:rPr>
          <w:rFonts w:ascii="Book Antiqua" w:eastAsia="Book Antiqua" w:hAnsi="Book Antiqua" w:cs="Book Antiqua"/>
        </w:rPr>
        <w:t>Serosal membrane involvement in CML is extremely rare. In this case, the patient responded well to dasatinib treatment.</w:t>
      </w:r>
    </w:p>
    <w:p w14:paraId="7234BB59" w14:textId="77777777" w:rsidR="00A77B3E" w:rsidRDefault="00A77B3E">
      <w:pPr>
        <w:spacing w:line="360" w:lineRule="auto"/>
        <w:jc w:val="both"/>
      </w:pPr>
    </w:p>
    <w:p w14:paraId="6C042EC1" w14:textId="3A99C803" w:rsidR="00A77B3E" w:rsidRDefault="00000000">
      <w:pPr>
        <w:spacing w:line="360" w:lineRule="auto"/>
        <w:jc w:val="both"/>
      </w:pPr>
      <w:r>
        <w:rPr>
          <w:rFonts w:ascii="Book Antiqua" w:eastAsia="Book Antiqua" w:hAnsi="Book Antiqua" w:cs="Book Antiqua"/>
          <w:b/>
          <w:bCs/>
        </w:rPr>
        <w:t xml:space="preserve">Key Words: </w:t>
      </w:r>
      <w:r w:rsidR="004C4538" w:rsidRPr="004C4538">
        <w:rPr>
          <w:rFonts w:ascii="Book Antiqua" w:eastAsia="Book Antiqua" w:hAnsi="Book Antiqua" w:cs="Book Antiqua"/>
        </w:rPr>
        <w:t>Chronic myeloid leukemia; Extramedullary blast crisis; Serosal infiltration; Ascites; Pleural effusion; Case report</w:t>
      </w:r>
    </w:p>
    <w:p w14:paraId="02CCCBCE" w14:textId="77777777" w:rsidR="00592C26" w:rsidRDefault="00592C26" w:rsidP="00592C26"/>
    <w:p w14:paraId="05B34B2C" w14:textId="77777777" w:rsidR="00592C26" w:rsidRDefault="00592C26" w:rsidP="00592C2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778291D4" w14:textId="77777777" w:rsidR="00A77B3E" w:rsidRDefault="00A77B3E">
      <w:pPr>
        <w:spacing w:line="360" w:lineRule="auto"/>
        <w:jc w:val="both"/>
      </w:pPr>
    </w:p>
    <w:p w14:paraId="707DC683" w14:textId="3B6C0089" w:rsidR="000044BF" w:rsidRDefault="000044BF">
      <w:pPr>
        <w:spacing w:line="360" w:lineRule="auto"/>
        <w:jc w:val="both"/>
        <w:rPr>
          <w:rFonts w:ascii="Book Antiqua" w:eastAsia="Book Antiqua" w:hAnsi="Book Antiqua" w:cs="Book Antiqua"/>
        </w:rPr>
      </w:pPr>
      <w:r w:rsidRPr="000044BF">
        <w:rPr>
          <w:rFonts w:ascii="Book Antiqua" w:eastAsia="Book Antiqua" w:hAnsi="Book Antiqua" w:cs="Book Antiqua"/>
          <w:b/>
          <w:bCs/>
        </w:rPr>
        <w:t>Citation</w:t>
      </w:r>
      <w:r>
        <w:rPr>
          <w:rFonts w:ascii="Book Antiqua" w:eastAsia="Book Antiqua" w:hAnsi="Book Antiqua" w:cs="Book Antiqua"/>
        </w:rPr>
        <w:t xml:space="preserve">: </w:t>
      </w:r>
      <w:r w:rsidR="00B26449" w:rsidRPr="00B26449">
        <w:rPr>
          <w:rFonts w:ascii="Book Antiqua" w:eastAsia="Book Antiqua" w:hAnsi="Book Antiqua" w:cs="Book Antiqua"/>
        </w:rPr>
        <w:t>Mishra</w:t>
      </w:r>
      <w:r w:rsidR="00C677EF">
        <w:rPr>
          <w:rFonts w:ascii="Book Antiqua" w:eastAsia="Book Antiqua" w:hAnsi="Book Antiqua" w:cs="Book Antiqua"/>
        </w:rPr>
        <w:t xml:space="preserve"> R</w:t>
      </w:r>
      <w:r w:rsidR="00B26449" w:rsidRPr="00B26449">
        <w:rPr>
          <w:rFonts w:ascii="Book Antiqua" w:eastAsia="Book Antiqua" w:hAnsi="Book Antiqua" w:cs="Book Antiqua"/>
        </w:rPr>
        <w:t xml:space="preserve">, Garg S, Bharti P, Malla DR, Rohatgi I, Gautam S. Unusual presentation of extramedullary blast crisis in chronic myeloid leukemia: A case report. </w:t>
      </w:r>
      <w:r w:rsidR="00B26449" w:rsidRPr="00B26449">
        <w:rPr>
          <w:rFonts w:ascii="Book Antiqua" w:eastAsia="Book Antiqua" w:hAnsi="Book Antiqua" w:cs="Book Antiqua"/>
          <w:i/>
          <w:iCs/>
        </w:rPr>
        <w:t>World J Hematol</w:t>
      </w:r>
      <w:r w:rsidR="00B26449" w:rsidRPr="00B26449">
        <w:rPr>
          <w:rFonts w:ascii="Book Antiqua" w:eastAsia="Book Antiqua" w:hAnsi="Book Antiqua" w:cs="Book Antiqua"/>
        </w:rPr>
        <w:t xml:space="preserve"> 2023</w:t>
      </w:r>
      <w:r w:rsidR="00B26449">
        <w:rPr>
          <w:rFonts w:ascii="Book Antiqua" w:eastAsia="Book Antiqua" w:hAnsi="Book Antiqua" w:cs="Book Antiqua"/>
        </w:rPr>
        <w:t xml:space="preserve">; </w:t>
      </w:r>
      <w:r w:rsidR="002C13EF" w:rsidRPr="002C13EF">
        <w:rPr>
          <w:rFonts w:ascii="Book Antiqua" w:eastAsia="Book Antiqua" w:hAnsi="Book Antiqua" w:cs="Book Antiqua"/>
        </w:rPr>
        <w:t xml:space="preserve">10(4): </w:t>
      </w:r>
      <w:r w:rsidR="005A1D2D" w:rsidRPr="005A1D2D">
        <w:rPr>
          <w:rFonts w:ascii="Book Antiqua" w:eastAsia="Book Antiqua" w:hAnsi="Book Antiqua" w:cs="Book Antiqua"/>
        </w:rPr>
        <w:t>42-47</w:t>
      </w:r>
    </w:p>
    <w:p w14:paraId="14F28CF8" w14:textId="39E6944A" w:rsidR="000044BF" w:rsidRDefault="002C13EF">
      <w:pPr>
        <w:spacing w:line="360" w:lineRule="auto"/>
        <w:jc w:val="both"/>
        <w:rPr>
          <w:rFonts w:ascii="Book Antiqua" w:eastAsia="Book Antiqua" w:hAnsi="Book Antiqua" w:cs="Book Antiqua"/>
        </w:rPr>
      </w:pPr>
      <w:r w:rsidRPr="000044BF">
        <w:rPr>
          <w:rFonts w:ascii="Book Antiqua" w:eastAsia="Book Antiqua" w:hAnsi="Book Antiqua" w:cs="Book Antiqua"/>
          <w:b/>
          <w:bCs/>
        </w:rPr>
        <w:t>URL</w:t>
      </w:r>
      <w:r w:rsidRPr="002C13EF">
        <w:rPr>
          <w:rFonts w:ascii="Book Antiqua" w:eastAsia="Book Antiqua" w:hAnsi="Book Antiqua" w:cs="Book Antiqua"/>
        </w:rPr>
        <w:t>: https://www.wjgnet.com/2218-6204/full/v10/i4/</w:t>
      </w:r>
      <w:r w:rsidR="005A1D2D" w:rsidRPr="005A1D2D">
        <w:rPr>
          <w:rFonts w:ascii="Book Antiqua" w:eastAsia="Book Antiqua" w:hAnsi="Book Antiqua" w:cs="Book Antiqua"/>
        </w:rPr>
        <w:t>42</w:t>
      </w:r>
      <w:r w:rsidRPr="002C13EF">
        <w:rPr>
          <w:rFonts w:ascii="Book Antiqua" w:eastAsia="Book Antiqua" w:hAnsi="Book Antiqua" w:cs="Book Antiqua"/>
        </w:rPr>
        <w:t>.htm</w:t>
      </w:r>
    </w:p>
    <w:p w14:paraId="67216B9F" w14:textId="6F4A7D90" w:rsidR="00A77B3E" w:rsidRDefault="002C13EF" w:rsidP="005A1D2D">
      <w:pPr>
        <w:spacing w:line="360" w:lineRule="auto"/>
        <w:jc w:val="both"/>
      </w:pPr>
      <w:r w:rsidRPr="000044BF">
        <w:rPr>
          <w:rFonts w:ascii="Book Antiqua" w:eastAsia="Book Antiqua" w:hAnsi="Book Antiqua" w:cs="Book Antiqua"/>
          <w:b/>
          <w:bCs/>
        </w:rPr>
        <w:t>DOI</w:t>
      </w:r>
      <w:r w:rsidRPr="002C13EF">
        <w:rPr>
          <w:rFonts w:ascii="Book Antiqua" w:eastAsia="Book Antiqua" w:hAnsi="Book Antiqua" w:cs="Book Antiqua"/>
        </w:rPr>
        <w:t>: https://dx.doi.org/10.5315/wjh.v10.i4.</w:t>
      </w:r>
      <w:r w:rsidR="005A1D2D" w:rsidRPr="005A1D2D">
        <w:rPr>
          <w:rFonts w:ascii="Book Antiqua" w:eastAsia="Book Antiqua" w:hAnsi="Book Antiqua" w:cs="Book Antiqua"/>
        </w:rPr>
        <w:t>42</w:t>
      </w:r>
    </w:p>
    <w:p w14:paraId="082AAB7A" w14:textId="77777777" w:rsidR="00A77B3E" w:rsidRDefault="00A77B3E">
      <w:pPr>
        <w:spacing w:line="360" w:lineRule="auto"/>
        <w:jc w:val="both"/>
      </w:pPr>
    </w:p>
    <w:p w14:paraId="68010C55" w14:textId="4E2D57FB" w:rsidR="00A77B3E" w:rsidRDefault="00000000">
      <w:pPr>
        <w:spacing w:line="360" w:lineRule="auto"/>
        <w:jc w:val="both"/>
      </w:pPr>
      <w:r>
        <w:rPr>
          <w:rFonts w:ascii="Book Antiqua" w:eastAsia="Book Antiqua" w:hAnsi="Book Antiqua" w:cs="Book Antiqua"/>
          <w:b/>
          <w:bCs/>
        </w:rPr>
        <w:t xml:space="preserve">Core Tip: </w:t>
      </w:r>
      <w:r w:rsidR="00B26449" w:rsidRPr="00B26449">
        <w:rPr>
          <w:rFonts w:ascii="Book Antiqua" w:eastAsia="Book Antiqua" w:hAnsi="Book Antiqua" w:cs="Book Antiqua"/>
        </w:rPr>
        <w:t>Extramedullary blast crises exhibit diverse presentations, underscoring the importance of awareness of possible sites of occurrence. In cases of chronic myeloid leukemia with ascites or pleural effusion, it is essential to consider the possibility of malignant infiltration of serosal membranes as a potential diagnosis. Recognizing these signs early can lead to timely intervention and management.</w:t>
      </w:r>
    </w:p>
    <w:p w14:paraId="0B430EBF" w14:textId="77777777" w:rsidR="00A77B3E" w:rsidRDefault="00A77B3E">
      <w:pPr>
        <w:spacing w:line="360" w:lineRule="auto"/>
        <w:jc w:val="both"/>
      </w:pPr>
    </w:p>
    <w:p w14:paraId="26995E26"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5B40E507" w14:textId="2F9C28B3" w:rsidR="00A77B3E" w:rsidRDefault="00B26449" w:rsidP="00B26449">
      <w:pPr>
        <w:spacing w:line="360" w:lineRule="auto"/>
        <w:jc w:val="both"/>
      </w:pPr>
      <w:r w:rsidRPr="00B26449">
        <w:rPr>
          <w:rFonts w:ascii="Book Antiqua" w:eastAsia="Book Antiqua" w:hAnsi="Book Antiqua" w:cs="Book Antiqua"/>
          <w:color w:val="000000"/>
        </w:rPr>
        <w:t>Extramedullary blast crisis (EBC) in chronic myeloid leukemia (CML) is an uncommon occurrence of leukemic blast infiltration in regions other than the bone marrow. The most prevalent site of involvement in EBC is the lymph nodes, followed by the bone and skin</w:t>
      </w:r>
      <w:r w:rsidRPr="0007116E">
        <w:rPr>
          <w:rFonts w:ascii="Book Antiqua" w:eastAsia="Book Antiqua" w:hAnsi="Book Antiqua" w:cs="Book Antiqua"/>
          <w:color w:val="000000"/>
          <w:vertAlign w:val="superscript"/>
        </w:rPr>
        <w:t>[1]</w:t>
      </w:r>
      <w:r w:rsidRPr="00B26449">
        <w:rPr>
          <w:rFonts w:ascii="Book Antiqua" w:eastAsia="Book Antiqua" w:hAnsi="Book Antiqua" w:cs="Book Antiqua"/>
          <w:color w:val="000000"/>
        </w:rPr>
        <w:t>. Serosal membrane involvement is exceedingly uncommon in CML. Currently, there are only a few case reports describing pleural effusion and ascites in CML. Herein, we described a patient with CML treated with tyrosine kinase inhibitor therapy who developed EBC with concomitant ascites and pleural effusion.</w:t>
      </w:r>
    </w:p>
    <w:p w14:paraId="639F22EB" w14:textId="77777777" w:rsidR="00A77B3E" w:rsidRDefault="00A77B3E">
      <w:pPr>
        <w:spacing w:line="360" w:lineRule="auto"/>
        <w:jc w:val="both"/>
      </w:pPr>
    </w:p>
    <w:p w14:paraId="6B0B885B"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347AF5FB" w14:textId="77777777" w:rsidR="00A77B3E" w:rsidRDefault="00000000">
      <w:pPr>
        <w:spacing w:line="360" w:lineRule="auto"/>
        <w:jc w:val="both"/>
      </w:pPr>
      <w:r>
        <w:rPr>
          <w:rFonts w:ascii="Book Antiqua" w:eastAsia="Book Antiqua" w:hAnsi="Book Antiqua" w:cs="Book Antiqua"/>
          <w:b/>
          <w:i/>
          <w:color w:val="000000"/>
        </w:rPr>
        <w:t>Chief complaints</w:t>
      </w:r>
    </w:p>
    <w:p w14:paraId="6C3B7FD0" w14:textId="79E35777" w:rsidR="00A77B3E" w:rsidRDefault="0007116E">
      <w:pPr>
        <w:spacing w:line="360" w:lineRule="auto"/>
        <w:jc w:val="both"/>
      </w:pPr>
      <w:r w:rsidRPr="00B749E6">
        <w:rPr>
          <w:rFonts w:ascii="Book Antiqua" w:hAnsi="Book Antiqua"/>
        </w:rPr>
        <w:t>A 23-year-old female presented to our hospital with the chief complaint of progressive distension of the abdomen. The patient also experienced swelling of the legs for 2 mo prior to presentation and right-sided chest pain that increased during inspiration.</w:t>
      </w:r>
    </w:p>
    <w:p w14:paraId="41A34267" w14:textId="77777777" w:rsidR="00A77B3E" w:rsidRDefault="00A77B3E">
      <w:pPr>
        <w:spacing w:line="360" w:lineRule="auto"/>
        <w:jc w:val="both"/>
      </w:pPr>
    </w:p>
    <w:p w14:paraId="2F373C5D"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7513988B" w14:textId="4B3E8CCD" w:rsidR="00A77B3E" w:rsidRDefault="0007116E">
      <w:pPr>
        <w:spacing w:line="360" w:lineRule="auto"/>
        <w:jc w:val="both"/>
      </w:pPr>
      <w:r w:rsidRPr="00B749E6">
        <w:rPr>
          <w:rFonts w:ascii="Book Antiqua" w:hAnsi="Book Antiqua"/>
        </w:rPr>
        <w:t>The patient experienced nonspecific malaise, growing weariness, and anorexia for 2 wk prior to presentation.</w:t>
      </w:r>
    </w:p>
    <w:p w14:paraId="0BD007C2" w14:textId="77777777" w:rsidR="00A77B3E" w:rsidRDefault="00A77B3E">
      <w:pPr>
        <w:spacing w:line="360" w:lineRule="auto"/>
        <w:jc w:val="both"/>
      </w:pPr>
    </w:p>
    <w:p w14:paraId="46C6494F" w14:textId="77777777" w:rsidR="00A77B3E" w:rsidRDefault="00000000">
      <w:pPr>
        <w:spacing w:line="360" w:lineRule="auto"/>
        <w:jc w:val="both"/>
      </w:pPr>
      <w:r>
        <w:rPr>
          <w:rFonts w:ascii="Book Antiqua" w:eastAsia="Book Antiqua" w:hAnsi="Book Antiqua" w:cs="Book Antiqua"/>
          <w:b/>
          <w:i/>
          <w:color w:val="000000"/>
        </w:rPr>
        <w:t>History of past illness</w:t>
      </w:r>
    </w:p>
    <w:p w14:paraId="3FF73F81" w14:textId="01D39BB4" w:rsidR="00A77B3E" w:rsidRDefault="00BA2B50">
      <w:pPr>
        <w:spacing w:line="360" w:lineRule="auto"/>
        <w:jc w:val="both"/>
      </w:pPr>
      <w:r>
        <w:rPr>
          <w:rFonts w:ascii="Book Antiqua" w:hAnsi="Book Antiqua"/>
        </w:rPr>
        <w:t>The patient had been diagnosed with CML 3 years prior to presentation and was under imatinib therapy (600 mg once a day). The patient had been regular with her treatment regimen and was symptomatically better until the time she started having these symptoms.</w:t>
      </w:r>
    </w:p>
    <w:p w14:paraId="0B4C0F9C" w14:textId="77777777" w:rsidR="00A77B3E" w:rsidRDefault="00A77B3E">
      <w:pPr>
        <w:spacing w:line="360" w:lineRule="auto"/>
        <w:jc w:val="both"/>
      </w:pPr>
    </w:p>
    <w:p w14:paraId="7FFF7BAE"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0738C244" w14:textId="1AE07DBD" w:rsidR="00A77B3E" w:rsidRDefault="00BA2B50">
      <w:pPr>
        <w:spacing w:line="360" w:lineRule="auto"/>
        <w:jc w:val="both"/>
      </w:pPr>
      <w:r w:rsidRPr="00B749E6">
        <w:rPr>
          <w:rFonts w:ascii="Book Antiqua" w:hAnsi="Book Antiqua"/>
        </w:rPr>
        <w:t>There was no history of similar illnesses in the patient’s family.</w:t>
      </w:r>
    </w:p>
    <w:p w14:paraId="27816E84" w14:textId="77777777" w:rsidR="00A77B3E" w:rsidRDefault="00A77B3E">
      <w:pPr>
        <w:spacing w:line="360" w:lineRule="auto"/>
        <w:jc w:val="both"/>
      </w:pPr>
    </w:p>
    <w:p w14:paraId="2B798031" w14:textId="77777777" w:rsidR="00A77B3E" w:rsidRDefault="00000000">
      <w:pPr>
        <w:spacing w:line="360" w:lineRule="auto"/>
        <w:jc w:val="both"/>
      </w:pPr>
      <w:r>
        <w:rPr>
          <w:rFonts w:ascii="Book Antiqua" w:eastAsia="Book Antiqua" w:hAnsi="Book Antiqua" w:cs="Book Antiqua"/>
          <w:b/>
          <w:i/>
          <w:color w:val="000000"/>
        </w:rPr>
        <w:t>Physical examination</w:t>
      </w:r>
    </w:p>
    <w:p w14:paraId="6F37A127" w14:textId="1CCDF493" w:rsidR="00A77B3E" w:rsidRDefault="00BA2B50">
      <w:pPr>
        <w:spacing w:line="360" w:lineRule="auto"/>
        <w:jc w:val="both"/>
      </w:pPr>
      <w:r w:rsidRPr="00B749E6">
        <w:rPr>
          <w:rFonts w:ascii="Book Antiqua" w:hAnsi="Book Antiqua"/>
        </w:rPr>
        <w:t>The patient was afebrile with normal vitals. She had pallor and bilateral pitting pedal edema that extended above her ankles. An evaluation of the respiratory system indicated a dull note with reduced breath sounds at the right infraaxillary and infrascapular areas. Abdominal examination revealed tense ascites and splenomegaly extending up to the umbilicus.</w:t>
      </w:r>
    </w:p>
    <w:p w14:paraId="442E4EB4" w14:textId="77777777" w:rsidR="00A77B3E" w:rsidRDefault="00A77B3E">
      <w:pPr>
        <w:spacing w:line="360" w:lineRule="auto"/>
        <w:jc w:val="both"/>
      </w:pPr>
    </w:p>
    <w:p w14:paraId="3F8E1AD8" w14:textId="77777777" w:rsidR="00A77B3E" w:rsidRDefault="00000000">
      <w:pPr>
        <w:spacing w:line="360" w:lineRule="auto"/>
        <w:jc w:val="both"/>
      </w:pPr>
      <w:r>
        <w:rPr>
          <w:rFonts w:ascii="Book Antiqua" w:eastAsia="Book Antiqua" w:hAnsi="Book Antiqua" w:cs="Book Antiqua"/>
          <w:b/>
          <w:i/>
          <w:color w:val="000000"/>
        </w:rPr>
        <w:t>Laboratory examinations</w:t>
      </w:r>
    </w:p>
    <w:p w14:paraId="5A52D4F6" w14:textId="77777777" w:rsidR="00BA2B50" w:rsidRPr="00BA2B50" w:rsidRDefault="00BA2B50" w:rsidP="00116C60">
      <w:pPr>
        <w:spacing w:line="360" w:lineRule="auto"/>
        <w:jc w:val="both"/>
        <w:rPr>
          <w:rFonts w:ascii="Book Antiqua" w:eastAsia="Book Antiqua" w:hAnsi="Book Antiqua" w:cs="Book Antiqua"/>
          <w:color w:val="000000"/>
        </w:rPr>
      </w:pPr>
      <w:r w:rsidRPr="00BA2B50">
        <w:rPr>
          <w:rFonts w:ascii="Book Antiqua" w:eastAsia="Book Antiqua" w:hAnsi="Book Antiqua" w:cs="Book Antiqua"/>
          <w:color w:val="000000"/>
        </w:rPr>
        <w:t>Initial laboratory investigations revealed that the patient was anemic with hemoglobin of 8.9 g/dL (normal range: 12-15 g/dL). It also revealed leukocytosis with white blood cell counts of 68000 (P68/L24/B4/E2) and thrombocytosis with platelets of 600000. Hyperkalemia (5.7 mmol/L; normal range: 3.5-5.5 mmol/L), hyperphosphatemia (6.9 mg/dL; normal range: 2.5-4.5 mg/dL) and elevated lactate dehydrogenase levels (572 IU/L; normal range: 105-270) were also observed. Findings for liver and renal function tests, coagulation profile and serum procalcitonin level were all normal.</w:t>
      </w:r>
    </w:p>
    <w:p w14:paraId="36C0C612" w14:textId="7134B7D0" w:rsidR="00BA2B50" w:rsidRPr="00BA2B50" w:rsidRDefault="00BA2B50" w:rsidP="00BA2B50">
      <w:pPr>
        <w:spacing w:line="360" w:lineRule="auto"/>
        <w:ind w:firstLineChars="200" w:firstLine="480"/>
        <w:jc w:val="both"/>
        <w:rPr>
          <w:rFonts w:ascii="Book Antiqua" w:eastAsia="Book Antiqua" w:hAnsi="Book Antiqua" w:cs="Book Antiqua"/>
          <w:color w:val="000000"/>
        </w:rPr>
      </w:pPr>
      <w:r w:rsidRPr="00BA2B50">
        <w:rPr>
          <w:rFonts w:ascii="Book Antiqua" w:eastAsia="Book Antiqua" w:hAnsi="Book Antiqua" w:cs="Book Antiqua"/>
          <w:color w:val="000000"/>
        </w:rPr>
        <w:lastRenderedPageBreak/>
        <w:t>Thoracocentesis was performed under ultrasound guidance, and the aspirated fluid was exudative (protein 5.3 g/dL; normal range: 1.5 g/dL) along with 600 cells/mm3 with polymorphic preponderance (normal range: &lt; 5 cells/mm3). The serum ascites albumin gradient level in the ascitic fluid was 0.9, and the cytobiochemical profile was comparable (300 cells/mm3; normal range: &lt; 5 cells/mm3; protein 5.1 g/dL; normal range: 1.5 g/dL). In pleural and ascitic fluid, the adenosine deaminase levels were 4.3</w:t>
      </w:r>
      <w:r w:rsidR="002234C2">
        <w:rPr>
          <w:rFonts w:ascii="Book Antiqua" w:eastAsia="Book Antiqua" w:hAnsi="Book Antiqua" w:cs="Book Antiqua"/>
          <w:color w:val="000000"/>
        </w:rPr>
        <w:t xml:space="preserve"> </w:t>
      </w:r>
      <w:r w:rsidRPr="00BA2B50">
        <w:rPr>
          <w:rFonts w:ascii="Book Antiqua" w:eastAsia="Book Antiqua" w:hAnsi="Book Antiqua" w:cs="Book Antiqua"/>
          <w:color w:val="000000"/>
        </w:rPr>
        <w:t>U/L and 8.1 U/L, respectively (normal range: &lt; 40 U/L). There were no pathogenic organisms or acid-fast bacilli found in pleural and ascitic fluid cultures.</w:t>
      </w:r>
    </w:p>
    <w:p w14:paraId="6A8EFAD2" w14:textId="1C7B7F2D" w:rsidR="00A77B3E" w:rsidRDefault="00BA2B50" w:rsidP="00BA2B50">
      <w:pPr>
        <w:spacing w:line="360" w:lineRule="auto"/>
        <w:ind w:firstLineChars="200" w:firstLine="480"/>
        <w:jc w:val="both"/>
      </w:pPr>
      <w:r w:rsidRPr="00BA2B50">
        <w:rPr>
          <w:rFonts w:ascii="Book Antiqua" w:eastAsia="Book Antiqua" w:hAnsi="Book Antiqua" w:cs="Book Antiqua"/>
          <w:color w:val="000000"/>
        </w:rPr>
        <w:t>The peripheral smear showed leukocytosis with myeloid bulge and bimodal myeloid population. Both mature and immature myeloid proliferation with 2% blasts (normal range: &lt; 5% blasts) were observed. Myelocytes made up 13% of the myelogram. Metamyelocytes and band formations were 16% and 5%, respectively. An impression of CML in the chronic phase was reported. The neutrophil alkaline phosphatase score was 24 (normal range: 20-150). The Mantoux, viral markers, thyroid function test and autoimmune profile findings were unremarkable, while blood and urine cultures showed no growth. The levels of tumor markers carbohydrate antigen 125, carcinoembryonic antigen, and carbohydrate antigen 19-9 were within normal limits. A myelogram comparable to the peripheral smear was seen in the bone marrow aspirate, with 2% blasts. The biopsy revealed CML in the chronic phase with fibrosis (World Health Organization grade 2) and limited collection of blasts.</w:t>
      </w:r>
    </w:p>
    <w:p w14:paraId="0A392E06" w14:textId="77777777" w:rsidR="00A77B3E" w:rsidRDefault="00A77B3E">
      <w:pPr>
        <w:spacing w:line="360" w:lineRule="auto"/>
        <w:jc w:val="both"/>
      </w:pPr>
    </w:p>
    <w:p w14:paraId="4EA74697" w14:textId="77777777" w:rsidR="00A77B3E" w:rsidRDefault="00000000">
      <w:pPr>
        <w:spacing w:line="360" w:lineRule="auto"/>
        <w:jc w:val="both"/>
      </w:pPr>
      <w:r>
        <w:rPr>
          <w:rFonts w:ascii="Book Antiqua" w:eastAsia="Book Antiqua" w:hAnsi="Book Antiqua" w:cs="Book Antiqua"/>
          <w:b/>
          <w:i/>
          <w:color w:val="000000"/>
        </w:rPr>
        <w:t>Imaging examinations</w:t>
      </w:r>
    </w:p>
    <w:p w14:paraId="34111303" w14:textId="6CE5D59A" w:rsidR="00A77B3E" w:rsidRDefault="00BA2B50" w:rsidP="00BA2B50">
      <w:pPr>
        <w:spacing w:line="360" w:lineRule="auto"/>
        <w:jc w:val="both"/>
      </w:pPr>
      <w:r w:rsidRPr="00B749E6">
        <w:rPr>
          <w:rFonts w:ascii="Book Antiqua" w:hAnsi="Book Antiqua"/>
        </w:rPr>
        <w:t>The chest X-ray (Figure 1A) confirmed pleural effusion (right &gt; left), while the ultrasound revealed hepatosplenomegaly with ascites. Contrast-enhanced computed tomography (Figure 2) confirmed the sonographic findings, revealing smooth enhancing peritoneum with omental caking. Computed tomography ruled out any mass or space-occupying lesions. Two-dimensional echocardiography was suggestive of mild pericardial effusion with normal ejection fraction.</w:t>
      </w:r>
    </w:p>
    <w:p w14:paraId="0E13215A" w14:textId="77777777" w:rsidR="00A77B3E" w:rsidRDefault="00A77B3E">
      <w:pPr>
        <w:spacing w:line="360" w:lineRule="auto"/>
        <w:jc w:val="both"/>
      </w:pPr>
    </w:p>
    <w:p w14:paraId="0EF33A36"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240CEC28" w14:textId="7BD5ABCA" w:rsidR="00A77B3E" w:rsidRDefault="00BA2B50">
      <w:pPr>
        <w:spacing w:line="360" w:lineRule="auto"/>
        <w:jc w:val="both"/>
      </w:pPr>
      <w:r w:rsidRPr="00B749E6">
        <w:rPr>
          <w:rFonts w:ascii="Book Antiqua" w:eastAsia="Book Antiqua" w:hAnsi="Book Antiqua" w:cs="Book Antiqua"/>
        </w:rPr>
        <w:t xml:space="preserve">Ascitic fluid was sent for smear testing, which revealed the presence of malignant cells. It possessed a polymorphous myeloid cell population that included myelocytes, metamyelocytes, band forms, neutrophils, and a few myeloblasts. Analysis of the pleural effusion identified several kinds of myeloid cells </w:t>
      </w:r>
      <w:r w:rsidRPr="00B749E6">
        <w:rPr>
          <w:rFonts w:ascii="Book Antiqua" w:hAnsi="Book Antiqua"/>
        </w:rPr>
        <w:t>(Figures 3 and 4).</w:t>
      </w:r>
      <w:r w:rsidRPr="00B749E6">
        <w:rPr>
          <w:rFonts w:ascii="Book Antiqua" w:eastAsia="Book Antiqua" w:hAnsi="Book Antiqua" w:cs="Book Antiqua"/>
        </w:rPr>
        <w:t xml:space="preserve"> We diagnosed the patient with EBC in the form of ascites and pleural effusion.</w:t>
      </w:r>
    </w:p>
    <w:p w14:paraId="1ECC7966" w14:textId="77777777" w:rsidR="00A77B3E" w:rsidRDefault="00A77B3E">
      <w:pPr>
        <w:spacing w:line="360" w:lineRule="auto"/>
        <w:jc w:val="both"/>
      </w:pPr>
    </w:p>
    <w:p w14:paraId="255A00BE"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08DB45D4" w14:textId="037A4732" w:rsidR="00A77B3E" w:rsidRPr="00F360F2" w:rsidRDefault="00BA2B50">
      <w:pPr>
        <w:spacing w:line="360" w:lineRule="auto"/>
        <w:jc w:val="both"/>
        <w:rPr>
          <w:rFonts w:ascii="Book Antiqua" w:eastAsia="Book Antiqua" w:hAnsi="Book Antiqua" w:cs="Book Antiqua"/>
          <w:color w:val="000000"/>
        </w:rPr>
      </w:pPr>
      <w:r w:rsidRPr="00B749E6">
        <w:rPr>
          <w:rFonts w:ascii="Book Antiqua" w:eastAsia="Book Antiqua" w:hAnsi="Book Antiqua" w:cs="Book Antiqua"/>
        </w:rPr>
        <w:t>We initially treated the patient with hydroxyurea. This treatment reduced cell counts, but the patient’s symptoms were not relieved. Since the patient was receiving imatinib treatment, mutation analysis was performed. We identified a G250E mutation in the BCR-ABL protein. We recommended dasatinib (100 mg once a day) and a stem cell transplantation. The patient consented to dasatinib treatment but declined the stem cell transplantation treatment.</w:t>
      </w:r>
    </w:p>
    <w:p w14:paraId="5F129075" w14:textId="77777777" w:rsidR="00A77B3E" w:rsidRDefault="00A77B3E">
      <w:pPr>
        <w:spacing w:line="360" w:lineRule="auto"/>
        <w:jc w:val="both"/>
      </w:pPr>
    </w:p>
    <w:p w14:paraId="663CCC6A"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457AFEA3" w14:textId="7ED19087" w:rsidR="00A77B3E" w:rsidRDefault="00BA2B50">
      <w:pPr>
        <w:spacing w:line="360" w:lineRule="auto"/>
        <w:jc w:val="both"/>
      </w:pPr>
      <w:r w:rsidRPr="00B749E6">
        <w:rPr>
          <w:rFonts w:ascii="Book Antiqua" w:eastAsia="Book Antiqua" w:hAnsi="Book Antiqua" w:cs="Book Antiqua"/>
        </w:rPr>
        <w:t>The peripheral smear was repeated 1 mo after switching to dasatinib treatment. No immature myeloid cells were observed. Chest X-ray (Figure 1B) and abdominal ultrasound 3 mo after beginning the dasatinib treatment revealed that the pleural effusion and ascites had disappeared. We also observed that the spleen shrank to 12 cm. The patient’s symptoms were also relieved, and her overall health had improved. She continued dasatinib treatment without any significant side effects.</w:t>
      </w:r>
    </w:p>
    <w:p w14:paraId="1A877DEC" w14:textId="77777777" w:rsidR="00A77B3E" w:rsidRDefault="00A77B3E">
      <w:pPr>
        <w:spacing w:line="360" w:lineRule="auto"/>
        <w:jc w:val="both"/>
      </w:pPr>
    </w:p>
    <w:p w14:paraId="5AF67DE1"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454307DD" w14:textId="5272E51B" w:rsidR="00A77B3E" w:rsidRDefault="00000000" w:rsidP="00290764">
      <w:pPr>
        <w:spacing w:line="360" w:lineRule="auto"/>
        <w:jc w:val="both"/>
      </w:pPr>
      <w:r>
        <w:rPr>
          <w:rFonts w:ascii="Book Antiqua" w:eastAsia="Book Antiqua" w:hAnsi="Book Antiqua" w:cs="Book Antiqua"/>
          <w:color w:val="000000"/>
        </w:rPr>
        <w:t>Blast crisis in CML is classified according to the place of origin (medullary or extramedullary) and cell type (myeloid, lymphoid, or mixed). At least one of the following</w:t>
      </w:r>
      <w:r w:rsidR="00152B89" w:rsidRPr="00152B89">
        <w:rPr>
          <w:rFonts w:ascii="Book Antiqua" w:eastAsia="Book Antiqua" w:hAnsi="Book Antiqua" w:cs="Book Antiqua"/>
          <w:color w:val="000000"/>
          <w:vertAlign w:val="superscript"/>
        </w:rPr>
        <w:t>[</w:t>
      </w:r>
      <w:r w:rsidR="00152B89">
        <w:rPr>
          <w:rFonts w:ascii="Book Antiqua" w:eastAsia="Book Antiqua" w:hAnsi="Book Antiqua" w:cs="Book Antiqua"/>
          <w:color w:val="000000"/>
          <w:vertAlign w:val="superscript"/>
        </w:rPr>
        <w:t>2</w:t>
      </w:r>
      <w:r w:rsidR="00152B89" w:rsidRPr="00152B89">
        <w:rPr>
          <w:rFonts w:ascii="Book Antiqua" w:eastAsia="Book Antiqua" w:hAnsi="Book Antiqua" w:cs="Book Antiqua"/>
          <w:color w:val="000000"/>
          <w:vertAlign w:val="superscript"/>
        </w:rPr>
        <w:t>]</w:t>
      </w:r>
      <w:r w:rsidR="00152B89">
        <w:rPr>
          <w:rFonts w:ascii="Book Antiqua" w:eastAsia="Book Antiqua" w:hAnsi="Book Antiqua" w:cs="Book Antiqua"/>
          <w:color w:val="000000"/>
        </w:rPr>
        <w:t xml:space="preserve"> </w:t>
      </w:r>
      <w:r>
        <w:rPr>
          <w:rFonts w:ascii="Book Antiqua" w:eastAsia="Book Antiqua" w:hAnsi="Book Antiqua" w:cs="Book Antiqua"/>
          <w:color w:val="000000"/>
        </w:rPr>
        <w:t>characterises the CML blast crisis:</w:t>
      </w:r>
      <w:r w:rsidR="00EE3AA8">
        <w:rPr>
          <w:rFonts w:hint="eastAsia"/>
          <w:lang w:eastAsia="zh-CN"/>
        </w:rPr>
        <w:t xml:space="preserve"> </w:t>
      </w:r>
      <w:r w:rsidR="00EE3AA8">
        <w:rPr>
          <w:lang w:eastAsia="zh-CN"/>
        </w:rPr>
        <w:t xml:space="preserve">(1) </w:t>
      </w:r>
      <w:r>
        <w:rPr>
          <w:rFonts w:ascii="Book Antiqua" w:eastAsia="Book Antiqua" w:hAnsi="Book Antiqua" w:cs="Book Antiqua"/>
          <w:color w:val="000000"/>
        </w:rPr>
        <w:t xml:space="preserve">20% myeloblasts or lymphoblasts in </w:t>
      </w:r>
      <w:r>
        <w:rPr>
          <w:rFonts w:ascii="Book Antiqua" w:eastAsia="Book Antiqua" w:hAnsi="Book Antiqua" w:cs="Book Antiqua"/>
          <w:color w:val="000000"/>
        </w:rPr>
        <w:lastRenderedPageBreak/>
        <w:t>blood or bone marrow</w:t>
      </w:r>
      <w:r w:rsidR="00EE3AA8">
        <w:rPr>
          <w:rFonts w:ascii="Book Antiqua" w:eastAsia="Book Antiqua" w:hAnsi="Book Antiqua" w:cs="Book Antiqua"/>
          <w:color w:val="000000"/>
        </w:rPr>
        <w:t xml:space="preserve">; (2) </w:t>
      </w:r>
      <w:r>
        <w:rPr>
          <w:rFonts w:ascii="Book Antiqua" w:eastAsia="Book Antiqua" w:hAnsi="Book Antiqua" w:cs="Book Antiqua"/>
          <w:color w:val="000000"/>
        </w:rPr>
        <w:t>Large clusters of blast cells in bone marrow biopsies</w:t>
      </w:r>
      <w:r w:rsidR="00290764">
        <w:rPr>
          <w:rFonts w:ascii="Book Antiqua" w:eastAsia="Book Antiqua" w:hAnsi="Book Antiqua" w:cs="Book Antiqua"/>
          <w:color w:val="000000"/>
        </w:rPr>
        <w:t xml:space="preserve">; </w:t>
      </w:r>
      <w:r w:rsidR="006C5D47">
        <w:rPr>
          <w:rFonts w:ascii="Book Antiqua" w:eastAsia="Book Antiqua" w:hAnsi="Book Antiqua" w:cs="Book Antiqua"/>
          <w:color w:val="000000"/>
        </w:rPr>
        <w:t>or</w:t>
      </w:r>
      <w:r w:rsidR="00290764">
        <w:rPr>
          <w:rFonts w:ascii="Book Antiqua" w:eastAsia="Book Antiqua" w:hAnsi="Book Antiqua" w:cs="Book Antiqua"/>
          <w:color w:val="000000"/>
        </w:rPr>
        <w:t xml:space="preserve"> (3) </w:t>
      </w:r>
      <w:r>
        <w:rPr>
          <w:rFonts w:ascii="Book Antiqua" w:eastAsia="Book Antiqua" w:hAnsi="Book Antiqua" w:cs="Book Antiqua"/>
          <w:color w:val="000000"/>
        </w:rPr>
        <w:t>The emergence of chloroma</w:t>
      </w:r>
      <w:r w:rsidR="00290764">
        <w:rPr>
          <w:rFonts w:ascii="Book Antiqua" w:eastAsia="Book Antiqua" w:hAnsi="Book Antiqua" w:cs="Book Antiqua"/>
          <w:color w:val="000000"/>
        </w:rPr>
        <w:t>.</w:t>
      </w:r>
    </w:p>
    <w:p w14:paraId="37918F6A" w14:textId="6397B92B" w:rsidR="00A77B3E" w:rsidRDefault="006C5D47" w:rsidP="00290764">
      <w:pPr>
        <w:spacing w:line="360" w:lineRule="auto"/>
        <w:ind w:firstLineChars="200" w:firstLine="480"/>
        <w:jc w:val="both"/>
      </w:pPr>
      <w:r w:rsidRPr="006C5D47">
        <w:rPr>
          <w:rFonts w:ascii="Book Antiqua" w:eastAsia="Book Antiqua" w:hAnsi="Book Antiqua" w:cs="Book Antiqua"/>
          <w:color w:val="000000"/>
        </w:rPr>
        <w:t>EBC is widely recognized in CML and is present in 8%-15% of patients over the course of the illness</w:t>
      </w:r>
      <w:r w:rsidR="00152B89" w:rsidRPr="00152B89">
        <w:rPr>
          <w:rFonts w:ascii="Book Antiqua" w:eastAsia="Book Antiqua" w:hAnsi="Book Antiqua" w:cs="Book Antiqua"/>
          <w:color w:val="000000"/>
          <w:vertAlign w:val="superscript"/>
        </w:rPr>
        <w:t>[</w:t>
      </w:r>
      <w:r w:rsidR="00152B89">
        <w:rPr>
          <w:rFonts w:ascii="Book Antiqua" w:eastAsia="Book Antiqua" w:hAnsi="Book Antiqua" w:cs="Book Antiqua"/>
          <w:color w:val="000000"/>
          <w:vertAlign w:val="superscript"/>
        </w:rPr>
        <w:t>3,4</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152B89">
        <w:rPr>
          <w:rFonts w:ascii="Book Antiqua" w:eastAsia="Book Antiqua" w:hAnsi="Book Antiqua" w:cs="Book Antiqua"/>
          <w:color w:val="000000"/>
        </w:rPr>
        <w:t xml:space="preserve"> </w:t>
      </w:r>
      <w:r w:rsidRPr="00B749E6">
        <w:rPr>
          <w:rFonts w:ascii="Book Antiqua" w:hAnsi="Book Antiqua"/>
        </w:rPr>
        <w:t>EBC often manifests as a tumorous mass known as a chloroma. However, it can also manifest as a diffuse infiltrate. Lymph nodes (40%–61% of cases) are the most common location of extramedullary disease, followed by bone (22%-37% of cases) and skin or soft tissues (20%)</w:t>
      </w:r>
      <w:r w:rsidR="00152B89" w:rsidRPr="00152B89">
        <w:rPr>
          <w:rFonts w:ascii="Book Antiqua" w:eastAsia="Book Antiqua" w:hAnsi="Book Antiqua" w:cs="Book Antiqua"/>
          <w:color w:val="000000"/>
          <w:vertAlign w:val="superscript"/>
        </w:rPr>
        <w:t>[</w:t>
      </w:r>
      <w:r w:rsidR="00152B89">
        <w:rPr>
          <w:rFonts w:ascii="Book Antiqua" w:eastAsia="Book Antiqua" w:hAnsi="Book Antiqua" w:cs="Book Antiqua"/>
          <w:color w:val="000000"/>
          <w:vertAlign w:val="superscript"/>
        </w:rPr>
        <w:t>5</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152B89">
        <w:rPr>
          <w:rFonts w:ascii="Book Antiqua" w:eastAsia="Book Antiqua" w:hAnsi="Book Antiqua" w:cs="Book Antiqua"/>
          <w:color w:val="000000"/>
        </w:rPr>
        <w:t xml:space="preserve"> </w:t>
      </w:r>
      <w:r w:rsidRPr="00B749E6">
        <w:rPr>
          <w:rFonts w:ascii="Book Antiqua" w:hAnsi="Book Antiqua"/>
        </w:rPr>
        <w:t>Hepatosplenomegaly is not considered EBC in CML patients. EBC is particularly common during the accelerated phase of CML or during the blast crisis. Extramedullary disease in CML is an indicator of poor prognosis and indicate a change in therapy usually reserved for blast crisis treatment</w:t>
      </w:r>
      <w:r w:rsidR="00152B89" w:rsidRPr="00152B89">
        <w:rPr>
          <w:rFonts w:ascii="Book Antiqua" w:eastAsia="Book Antiqua" w:hAnsi="Book Antiqua" w:cs="Book Antiqua"/>
          <w:color w:val="000000"/>
          <w:vertAlign w:val="superscript"/>
        </w:rPr>
        <w:t>[</w:t>
      </w:r>
      <w:r w:rsidR="00152B89">
        <w:rPr>
          <w:rFonts w:ascii="Book Antiqua" w:eastAsia="Book Antiqua" w:hAnsi="Book Antiqua" w:cs="Book Antiqua"/>
          <w:color w:val="000000"/>
          <w:vertAlign w:val="superscript"/>
        </w:rPr>
        <w:t>6</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6379F16" w14:textId="4CD791CE" w:rsidR="00A77B3E" w:rsidRDefault="00887724" w:rsidP="00596D29">
      <w:pPr>
        <w:spacing w:line="360" w:lineRule="auto"/>
        <w:ind w:firstLineChars="200" w:firstLine="480"/>
        <w:jc w:val="both"/>
      </w:pPr>
      <w:r w:rsidRPr="00B749E6">
        <w:rPr>
          <w:rFonts w:ascii="Book Antiqua" w:hAnsi="Book Antiqua"/>
        </w:rPr>
        <w:t>Serosal membrane involvement in CML is extremely rare.</w:t>
      </w:r>
      <w:r>
        <w:rPr>
          <w:rFonts w:ascii="Book Antiqua" w:eastAsia="Book Antiqua" w:hAnsi="Book Antiqua" w:cs="Book Antiqua"/>
          <w:color w:val="000000"/>
        </w:rPr>
        <w:t xml:space="preserve"> Aleem </w:t>
      </w:r>
      <w:r w:rsidR="008A47C9">
        <w:rPr>
          <w:rFonts w:ascii="Book Antiqua" w:eastAsia="Book Antiqua" w:hAnsi="Book Antiqua" w:cs="Book Antiqua"/>
          <w:color w:val="000000"/>
        </w:rPr>
        <w:t xml:space="preserve">and </w:t>
      </w:r>
      <w:r w:rsidR="008A47C9">
        <w:rPr>
          <w:rFonts w:ascii="Book Antiqua" w:eastAsia="Book Antiqua" w:hAnsi="Book Antiqua" w:cs="Book Antiqua"/>
        </w:rPr>
        <w:t>Siddiqui</w:t>
      </w:r>
      <w:r w:rsidR="008A47C9">
        <w:rPr>
          <w:rFonts w:ascii="Book Antiqua" w:eastAsia="Book Antiqua" w:hAnsi="Book Antiqua" w:cs="Book Antiqua"/>
          <w:vertAlign w:val="superscript"/>
        </w:rPr>
        <w:t>[4]</w:t>
      </w:r>
      <w:r>
        <w:rPr>
          <w:rFonts w:ascii="Book Antiqua" w:eastAsia="Book Antiqua" w:hAnsi="Book Antiqua" w:cs="Book Antiqua"/>
          <w:color w:val="000000"/>
        </w:rPr>
        <w:t xml:space="preserve"> </w:t>
      </w:r>
      <w:r w:rsidRPr="00B749E6">
        <w:rPr>
          <w:rFonts w:ascii="Book Antiqua" w:hAnsi="Book Antiqua"/>
        </w:rPr>
        <w:t xml:space="preserve">described a patient in the chronic phase of CML who presented with massive ascites. They postulated that the cause was mesenteric/peritoneal infiltration. The response to imatinib was outstanding, with a full cytogenetic response and complete elimination of ascites. Likewise, Deshpande </w:t>
      </w:r>
      <w:r w:rsidRPr="00B749E6">
        <w:rPr>
          <w:rFonts w:ascii="Book Antiqua" w:hAnsi="Book Antiqua"/>
          <w:i/>
          <w:iCs/>
        </w:rPr>
        <w:t>et al</w:t>
      </w:r>
      <w:r w:rsidR="008A47C9" w:rsidRPr="00152B89">
        <w:rPr>
          <w:rFonts w:ascii="Book Antiqua" w:eastAsia="Book Antiqua" w:hAnsi="Book Antiqua" w:cs="Book Antiqua"/>
          <w:color w:val="000000"/>
          <w:vertAlign w:val="superscript"/>
        </w:rPr>
        <w:t>[</w:t>
      </w:r>
      <w:r w:rsidR="008A47C9">
        <w:rPr>
          <w:rFonts w:ascii="Book Antiqua" w:eastAsia="Book Antiqua" w:hAnsi="Book Antiqua" w:cs="Book Antiqua"/>
          <w:color w:val="000000"/>
          <w:vertAlign w:val="superscript"/>
        </w:rPr>
        <w:t>7</w:t>
      </w:r>
      <w:r w:rsidR="008A47C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B749E6">
        <w:rPr>
          <w:rFonts w:ascii="Book Antiqua" w:hAnsi="Book Antiqua"/>
        </w:rPr>
        <w:t xml:space="preserve">reported a case of CML with extramedullary illness manifesting as tense ascites. Both the ascitic fluid and a peripheral blood smear included all phases of granulocytes and a few blast cells. A favorable response was reported after imatinib therapy. Ridha </w:t>
      </w:r>
      <w:r w:rsidRPr="00B749E6">
        <w:rPr>
          <w:rFonts w:ascii="Book Antiqua" w:hAnsi="Book Antiqua"/>
          <w:i/>
          <w:iCs/>
        </w:rPr>
        <w:t>et al</w:t>
      </w:r>
      <w:r w:rsidR="00F53B5F" w:rsidRPr="00152B89">
        <w:rPr>
          <w:rFonts w:ascii="Book Antiqua" w:eastAsia="Book Antiqua" w:hAnsi="Book Antiqua" w:cs="Book Antiqua"/>
          <w:color w:val="000000"/>
          <w:vertAlign w:val="superscript"/>
        </w:rPr>
        <w:t>[</w:t>
      </w:r>
      <w:r w:rsidR="00F53B5F">
        <w:rPr>
          <w:rFonts w:ascii="Book Antiqua" w:eastAsia="Book Antiqua" w:hAnsi="Book Antiqua" w:cs="Book Antiqua"/>
          <w:color w:val="000000"/>
          <w:vertAlign w:val="superscript"/>
        </w:rPr>
        <w:t>8</w:t>
      </w:r>
      <w:r w:rsidR="00F53B5F"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B749E6">
        <w:rPr>
          <w:rFonts w:ascii="Book Antiqua" w:hAnsi="Book Antiqua"/>
        </w:rPr>
        <w:t xml:space="preserve">described a CML patient who developed pleural effusion during imatinib therapy. A diagnosis of EBC in the form of pleural effusion was established based on cytological investigation of the pleural fluid, which revealed cells with the morphological hallmarks of myeloblasts. The patient continued to receive imatinib but died after 1 mo. Nuwal </w:t>
      </w:r>
      <w:r w:rsidRPr="00B749E6">
        <w:rPr>
          <w:rFonts w:ascii="Book Antiqua" w:hAnsi="Book Antiqua"/>
          <w:i/>
          <w:iCs/>
        </w:rPr>
        <w:t>et</w:t>
      </w:r>
      <w:r w:rsidRPr="00B749E6">
        <w:rPr>
          <w:rFonts w:ascii="Book Antiqua" w:hAnsi="Book Antiqua"/>
        </w:rPr>
        <w:t xml:space="preserve"> </w:t>
      </w:r>
      <w:r w:rsidRPr="00B749E6">
        <w:rPr>
          <w:rFonts w:ascii="Book Antiqua" w:hAnsi="Book Antiqua"/>
          <w:i/>
          <w:iCs/>
        </w:rPr>
        <w:t>al</w:t>
      </w:r>
      <w:r w:rsidR="00F53B5F" w:rsidRPr="00152B89">
        <w:rPr>
          <w:rFonts w:ascii="Book Antiqua" w:eastAsia="Book Antiqua" w:hAnsi="Book Antiqua" w:cs="Book Antiqua"/>
          <w:color w:val="000000"/>
          <w:vertAlign w:val="superscript"/>
        </w:rPr>
        <w:t>[</w:t>
      </w:r>
      <w:r w:rsidR="00F53B5F">
        <w:rPr>
          <w:rFonts w:ascii="Book Antiqua" w:eastAsia="Book Antiqua" w:hAnsi="Book Antiqua" w:cs="Book Antiqua"/>
          <w:color w:val="000000"/>
          <w:vertAlign w:val="superscript"/>
        </w:rPr>
        <w:t>6</w:t>
      </w:r>
      <w:r w:rsidR="00F53B5F"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sidRPr="00B749E6">
        <w:rPr>
          <w:rFonts w:ascii="Book Antiqua" w:hAnsi="Book Antiqua"/>
        </w:rPr>
        <w:t>described a case of a 26-year-old male with CML who presented with pleural effusion as the initial clinical symptom.</w:t>
      </w:r>
    </w:p>
    <w:p w14:paraId="7EDEF710" w14:textId="4744A982" w:rsidR="00A77B3E" w:rsidRDefault="005A4563" w:rsidP="005A4563">
      <w:pPr>
        <w:spacing w:line="360" w:lineRule="auto"/>
        <w:ind w:firstLineChars="200" w:firstLine="480"/>
        <w:jc w:val="both"/>
      </w:pPr>
      <w:r w:rsidRPr="00B749E6">
        <w:rPr>
          <w:rFonts w:ascii="Book Antiqua" w:hAnsi="Book Antiqua"/>
        </w:rPr>
        <w:t xml:space="preserve">The mechanism of pleural effusion in CML patients is unknown. However, several hypotheses exist. The first includes leukemic infiltration into the pleura that frequently occurs during or soon before bone marrow progression to the blast crisis phase. The lymph nodes, bone, and nervous system are the most affected locations, with infiltration of the brain, testis, skin, breast, soft tissue, synovial, gastrointestinal tract, ovaries, kidneys, and pleura occurring less frequently. Pleural involvement has been </w:t>
      </w:r>
      <w:r w:rsidRPr="00B749E6">
        <w:rPr>
          <w:rFonts w:ascii="Book Antiqua" w:hAnsi="Book Antiqua"/>
        </w:rPr>
        <w:lastRenderedPageBreak/>
        <w:t>infrequent, and isolated pleural blast crises in the absence of medullary change are extremely unusual.</w:t>
      </w:r>
    </w:p>
    <w:p w14:paraId="3CEC3457" w14:textId="38B20D2D" w:rsidR="00A77B3E" w:rsidRDefault="005A4563" w:rsidP="00904B1D">
      <w:pPr>
        <w:spacing w:line="360" w:lineRule="auto"/>
        <w:ind w:firstLineChars="200" w:firstLine="480"/>
        <w:jc w:val="both"/>
      </w:pPr>
      <w:r w:rsidRPr="00B749E6">
        <w:rPr>
          <w:rFonts w:ascii="Book Antiqua" w:hAnsi="Book Antiqua"/>
        </w:rPr>
        <w:t>Extramedullary hematopoiesis is another probable source of pleural effusion in CML, albeit the pleura is an uncommon location for this process. Extramedullary hematopoiesis, as opposed to pleural leukemic infiltration, contains hematopoietic cells of the erythroid, myeloid and megakaryocytic types.</w:t>
      </w:r>
    </w:p>
    <w:p w14:paraId="4CA0B649" w14:textId="58F5BE10" w:rsidR="00A77B3E" w:rsidRDefault="005A4563" w:rsidP="00904B1D">
      <w:pPr>
        <w:spacing w:line="360" w:lineRule="auto"/>
        <w:ind w:firstLineChars="200" w:firstLine="480"/>
        <w:jc w:val="both"/>
        <w:rPr>
          <w:rFonts w:ascii="Book Antiqua" w:hAnsi="Book Antiqua"/>
        </w:rPr>
      </w:pPr>
      <w:r w:rsidRPr="00B749E6">
        <w:rPr>
          <w:rFonts w:ascii="Book Antiqua" w:hAnsi="Book Antiqua"/>
        </w:rPr>
        <w:t>Pleural effusions in CML can also be caused by blockage of pleural capillaries or penetration of interstitial tissue by leukemic cells during uncontrolled leukocytosis and enhanced capillary permeability owing to cytokine release. Predisposing variables including leukostasis and platelet dysfunction may play a role in CML hemorrhagic effusion.</w:t>
      </w:r>
    </w:p>
    <w:p w14:paraId="4C7DEFB3" w14:textId="2807F939" w:rsidR="00A77B3E" w:rsidRDefault="00DF2C59" w:rsidP="00904B1D">
      <w:pPr>
        <w:spacing w:line="360" w:lineRule="auto"/>
        <w:ind w:firstLineChars="200" w:firstLine="480"/>
        <w:jc w:val="both"/>
      </w:pPr>
      <w:r w:rsidRPr="00B749E6">
        <w:rPr>
          <w:rFonts w:ascii="Book Antiqua" w:hAnsi="Book Antiqua"/>
        </w:rPr>
        <w:t>Non-malignant causes of effusion have also been proposed. This would include infection and hypoproteinemia. As a result, this cause must be confirmed by blood investigations using a specific stain to identify bacteria and/or the presence of necrotic material.</w:t>
      </w:r>
    </w:p>
    <w:p w14:paraId="1661966C" w14:textId="53A882EC" w:rsidR="00A77B3E" w:rsidRDefault="00DF2C59" w:rsidP="00904B1D">
      <w:pPr>
        <w:spacing w:line="360" w:lineRule="auto"/>
        <w:ind w:firstLineChars="200" w:firstLine="480"/>
        <w:jc w:val="both"/>
      </w:pPr>
      <w:r w:rsidRPr="00B749E6">
        <w:rPr>
          <w:rFonts w:ascii="Book Antiqua" w:hAnsi="Book Antiqua"/>
        </w:rPr>
        <w:t>Drug-induced pleural effusion is another probable cause of pleural effusion in CML. Dasatinib and imatinib are tyrosine kinase inhibitors that are efficacious in treating CML patients. The pathogenesis remains unclear. However, off-target tyrosine kinase inhibitors may influence the immune system.</w:t>
      </w:r>
    </w:p>
    <w:p w14:paraId="38D47265" w14:textId="4E81F294" w:rsidR="00A77B3E" w:rsidRDefault="00DF2C59" w:rsidP="00904B1D">
      <w:pPr>
        <w:spacing w:line="360" w:lineRule="auto"/>
        <w:ind w:firstLineChars="200" w:firstLine="480"/>
        <w:jc w:val="both"/>
      </w:pPr>
      <w:r w:rsidRPr="00B749E6">
        <w:rPr>
          <w:rFonts w:ascii="Book Antiqua" w:hAnsi="Book Antiqua"/>
        </w:rPr>
        <w:t>The mechanism of ascites in CML may be similar to the presence of pleural effusion in CML but has not been investigated due to the rarity of this type of occurrence. Despite our extensive literature search, we did not find another published case in which the patient presented with concomitant ascites and pleural effusion as EBC in a case of CML. Moreover, our patient was already receiving tyrosine kinase inhibitor therapy.</w:t>
      </w:r>
    </w:p>
    <w:p w14:paraId="49355945" w14:textId="615D7627" w:rsidR="00A77B3E" w:rsidRDefault="00DF2C59" w:rsidP="00904B1D">
      <w:pPr>
        <w:spacing w:line="360" w:lineRule="auto"/>
        <w:ind w:firstLineChars="200" w:firstLine="480"/>
        <w:jc w:val="both"/>
      </w:pPr>
      <w:r w:rsidRPr="00B749E6">
        <w:rPr>
          <w:rFonts w:ascii="Book Antiqua" w:hAnsi="Book Antiqua"/>
        </w:rPr>
        <w:t>The basic objective of CML blast crisis treatment is to return to the chronic phase. Once the patient is in the chronic phase, it is recommended that the patient should proceed with an allogeneic hematopoietic cell transplantation. Treatment varies according to the blast lineage [</w:t>
      </w:r>
      <w:r w:rsidRPr="00B749E6">
        <w:rPr>
          <w:rFonts w:ascii="Book Antiqua" w:hAnsi="Book Antiqua"/>
          <w:i/>
          <w:iCs/>
        </w:rPr>
        <w:t>i.e.</w:t>
      </w:r>
      <w:r w:rsidRPr="00B749E6">
        <w:rPr>
          <w:rFonts w:ascii="Book Antiqua" w:hAnsi="Book Antiqua"/>
        </w:rPr>
        <w:t xml:space="preserve"> myeloid (70%) </w:t>
      </w:r>
      <w:r w:rsidRPr="00B749E6">
        <w:rPr>
          <w:rFonts w:ascii="Book Antiqua" w:hAnsi="Book Antiqua"/>
          <w:i/>
          <w:iCs/>
        </w:rPr>
        <w:t>vs</w:t>
      </w:r>
      <w:r w:rsidRPr="00B749E6">
        <w:rPr>
          <w:rFonts w:ascii="Book Antiqua" w:hAnsi="Book Antiqua"/>
        </w:rPr>
        <w:t xml:space="preserve"> lymphoid (30%)]</w:t>
      </w:r>
      <w:r w:rsidR="00152B89" w:rsidRPr="00152B89">
        <w:rPr>
          <w:rFonts w:ascii="Book Antiqua" w:eastAsia="Book Antiqua" w:hAnsi="Book Antiqua" w:cs="Book Antiqua"/>
          <w:color w:val="000000"/>
          <w:vertAlign w:val="superscript"/>
        </w:rPr>
        <w:t>[1</w:t>
      </w:r>
      <w:r w:rsidR="00152B89">
        <w:rPr>
          <w:rFonts w:ascii="Book Antiqua" w:eastAsia="Book Antiqua" w:hAnsi="Book Antiqua" w:cs="Book Antiqua"/>
          <w:color w:val="000000"/>
          <w:vertAlign w:val="superscript"/>
        </w:rPr>
        <w:t>0,11</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62803BA" w14:textId="15DF34F3" w:rsidR="0028539C" w:rsidRDefault="008311D4" w:rsidP="0028539C">
      <w:pPr>
        <w:spacing w:line="360" w:lineRule="auto"/>
        <w:ind w:firstLineChars="200" w:firstLine="480"/>
        <w:jc w:val="both"/>
        <w:rPr>
          <w:rFonts w:ascii="Book Antiqua" w:eastAsia="Book Antiqua" w:hAnsi="Book Antiqua" w:cs="Book Antiqua"/>
          <w:color w:val="000000"/>
        </w:rPr>
      </w:pPr>
      <w:r w:rsidRPr="00B749E6">
        <w:rPr>
          <w:rFonts w:ascii="Book Antiqua" w:hAnsi="Book Antiqua"/>
        </w:rPr>
        <w:lastRenderedPageBreak/>
        <w:t xml:space="preserve">Administration of a tyrosine kinase inhibitor (with or without chemotherapy) followed by an allogeneic hematopoietic cell transplantation is the chosen treatment in myeloid crisis. According to studies, treating </w:t>
      </w:r>
      <w:r w:rsidRPr="00B749E6">
        <w:rPr>
          <w:rFonts w:ascii="Book Antiqua" w:hAnsi="Book Antiqua"/>
          <w:i/>
          <w:iCs/>
        </w:rPr>
        <w:t>de novo</w:t>
      </w:r>
      <w:r w:rsidRPr="00B749E6">
        <w:rPr>
          <w:rFonts w:ascii="Book Antiqua" w:hAnsi="Book Antiqua"/>
        </w:rPr>
        <w:t xml:space="preserve"> myeloid blast crisis with a tyrosine kinase inhibitor alone and then assessing the response is recommended. In cases where the myeloid blast crisis occurs during tyrosine kinase inhibitor treatment, the recommended treatment is acute myeloid leukemia-type induction chemotherapy in combination with a more potent tyrosine kinase inhibitor</w:t>
      </w:r>
      <w:r w:rsidR="00152B89" w:rsidRPr="00152B89">
        <w:rPr>
          <w:rFonts w:ascii="Book Antiqua" w:eastAsia="Book Antiqua" w:hAnsi="Book Antiqua" w:cs="Book Antiqua"/>
          <w:color w:val="000000"/>
          <w:vertAlign w:val="superscript"/>
        </w:rPr>
        <w:t>[1</w:t>
      </w:r>
      <w:r w:rsidR="00152B89">
        <w:rPr>
          <w:rFonts w:ascii="Book Antiqua" w:eastAsia="Book Antiqua" w:hAnsi="Book Antiqua" w:cs="Book Antiqua"/>
          <w:color w:val="000000"/>
          <w:vertAlign w:val="superscript"/>
        </w:rPr>
        <w:t>0,11</w:t>
      </w:r>
      <w:r w:rsidR="00152B89" w:rsidRPr="00152B89">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63D3F02" w14:textId="1CBCF7A9" w:rsidR="00A77B3E" w:rsidRDefault="008311D4" w:rsidP="0028539C">
      <w:pPr>
        <w:spacing w:line="360" w:lineRule="auto"/>
        <w:ind w:firstLineChars="200" w:firstLine="480"/>
        <w:jc w:val="both"/>
      </w:pPr>
      <w:r w:rsidRPr="00B749E6">
        <w:rPr>
          <w:rFonts w:ascii="Book Antiqua" w:hAnsi="Book Antiqua"/>
        </w:rPr>
        <w:t>In the case of our patient, we switched to a second-generation tyrosine kinase inhibitor based on mutation analysis. The patient had a favorable response. Patients who are receiving tyrosine kinase inhibitor treatment are more likely to experience lymphoid blast crisis</w:t>
      </w:r>
      <w:r>
        <w:rPr>
          <w:rFonts w:ascii="Book Antiqua" w:hAnsi="Book Antiqua"/>
          <w:vertAlign w:val="superscript"/>
        </w:rPr>
        <w:t>[11]</w:t>
      </w:r>
      <w:r>
        <w:rPr>
          <w:rFonts w:ascii="Book Antiqua" w:hAnsi="Book Antiqua"/>
        </w:rPr>
        <w:t xml:space="preserve">. </w:t>
      </w:r>
      <w:r w:rsidRPr="00B749E6">
        <w:rPr>
          <w:rFonts w:ascii="Book Antiqua" w:hAnsi="Book Antiqua"/>
        </w:rPr>
        <w:t>Transition to a second-generation or third-generation tyrosine kinase inhibitor is required for these individuals. Tyrosine kinase inhibitors can be used alone or in conjunction with lower-intensity chemotherapy.</w:t>
      </w:r>
    </w:p>
    <w:p w14:paraId="307F0CFC" w14:textId="37C29C0E" w:rsidR="0028539C" w:rsidRDefault="008311D4" w:rsidP="0028539C">
      <w:pPr>
        <w:spacing w:line="360" w:lineRule="auto"/>
        <w:ind w:firstLineChars="200" w:firstLine="480"/>
        <w:jc w:val="both"/>
        <w:rPr>
          <w:rFonts w:ascii="Book Antiqua" w:eastAsia="Book Antiqua" w:hAnsi="Book Antiqua" w:cs="Book Antiqua"/>
          <w:color w:val="000000"/>
        </w:rPr>
      </w:pPr>
      <w:r w:rsidRPr="00B749E6">
        <w:rPr>
          <w:rFonts w:ascii="Book Antiqua" w:hAnsi="Book Antiqua"/>
        </w:rPr>
        <w:t>There is a lack of data on which TKI should be utilized as the first-line treatment for patients experiencing a blast crisis. It is also unknown whether the treatment should be different if the patient is a candidate for a hematopoietic cell transplant. In general, treatment with a second-generation tyrosine kinase inhibitor (</w:t>
      </w:r>
      <w:r w:rsidRPr="00B749E6">
        <w:rPr>
          <w:rFonts w:ascii="Book Antiqua" w:hAnsi="Book Antiqua"/>
          <w:i/>
          <w:iCs/>
        </w:rPr>
        <w:t>e.g.,</w:t>
      </w:r>
      <w:r w:rsidRPr="00B749E6">
        <w:rPr>
          <w:rFonts w:ascii="Book Antiqua" w:hAnsi="Book Antiqua"/>
        </w:rPr>
        <w:t xml:space="preserve"> dasatinib, nilotinib) is recommended. If the disease progression/blast crisis occurs while the patient is receiving imatinib for early stage CML, second generation tyrosine kinase inhibitors should be administered. Ponatinib can also be recommended if the progression occurred while the patient was on dasatinib, nilotinib or bosutinib.</w:t>
      </w:r>
    </w:p>
    <w:p w14:paraId="20F8D36B" w14:textId="226D1784" w:rsidR="00A77B3E" w:rsidRDefault="008311D4" w:rsidP="0028539C">
      <w:pPr>
        <w:spacing w:line="360" w:lineRule="auto"/>
        <w:ind w:firstLineChars="200" w:firstLine="480"/>
        <w:jc w:val="both"/>
      </w:pPr>
      <w:r w:rsidRPr="00B749E6">
        <w:rPr>
          <w:rFonts w:ascii="Book Antiqua" w:hAnsi="Book Antiqua"/>
        </w:rPr>
        <w:t>The limitations of our case included a lack of adequate clinical investigations (no genetic tests were performed) at the time of the first diagnosis as well as the failure to obtain evidence of chloroma on the ultrasound-guided fine needle aspiration cytology of the omentum.</w:t>
      </w:r>
    </w:p>
    <w:p w14:paraId="04D37E7A" w14:textId="77777777" w:rsidR="00A77B3E" w:rsidRDefault="00A77B3E">
      <w:pPr>
        <w:spacing w:line="360" w:lineRule="auto"/>
        <w:jc w:val="both"/>
      </w:pPr>
    </w:p>
    <w:p w14:paraId="40A7B030"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7C1EFF2B" w14:textId="7608D1A7" w:rsidR="00A77B3E" w:rsidRDefault="008311D4">
      <w:pPr>
        <w:spacing w:line="360" w:lineRule="auto"/>
        <w:jc w:val="both"/>
      </w:pPr>
      <w:r w:rsidRPr="00B749E6">
        <w:rPr>
          <w:rFonts w:ascii="Book Antiqua" w:hAnsi="Book Antiqua"/>
        </w:rPr>
        <w:t xml:space="preserve">EBC can manifest in a number of ways in a variety of locations. It is critical for clinicians to be aware of potential sites of presentation. Serosal involvement in CML is rare, and </w:t>
      </w:r>
      <w:r w:rsidRPr="00B749E6">
        <w:rPr>
          <w:rFonts w:ascii="Book Antiqua" w:hAnsi="Book Antiqua"/>
        </w:rPr>
        <w:lastRenderedPageBreak/>
        <w:t>concurrent involvement of the peritoneum and pleura has not been described previously. Investigation for malignant cells in the fluid should be performed in CML patients.</w:t>
      </w:r>
    </w:p>
    <w:p w14:paraId="4C301DBD" w14:textId="77777777" w:rsidR="00A77B3E" w:rsidRDefault="00A77B3E">
      <w:pPr>
        <w:spacing w:line="360" w:lineRule="auto"/>
        <w:jc w:val="both"/>
      </w:pPr>
    </w:p>
    <w:p w14:paraId="6CF1C515" w14:textId="77777777" w:rsidR="00A77B3E" w:rsidRDefault="00000000">
      <w:pPr>
        <w:spacing w:line="360" w:lineRule="auto"/>
        <w:jc w:val="both"/>
      </w:pPr>
      <w:r>
        <w:rPr>
          <w:rFonts w:ascii="Book Antiqua" w:eastAsia="Book Antiqua" w:hAnsi="Book Antiqua" w:cs="Book Antiqua"/>
          <w:b/>
          <w:color w:val="000000"/>
        </w:rPr>
        <w:t>REFERENCES</w:t>
      </w:r>
    </w:p>
    <w:p w14:paraId="0F039961" w14:textId="77777777" w:rsidR="00313F5D" w:rsidRPr="002C13EF" w:rsidRDefault="00313F5D" w:rsidP="00313F5D">
      <w:pPr>
        <w:spacing w:line="360" w:lineRule="auto"/>
        <w:jc w:val="both"/>
      </w:pPr>
      <w:r w:rsidRPr="002C13EF">
        <w:rPr>
          <w:rFonts w:ascii="Book Antiqua" w:eastAsia="Book Antiqua" w:hAnsi="Book Antiqua" w:cs="Book Antiqua"/>
        </w:rPr>
        <w:t xml:space="preserve">1 </w:t>
      </w:r>
      <w:r w:rsidRPr="002C13EF">
        <w:rPr>
          <w:rFonts w:ascii="Book Antiqua" w:eastAsia="Book Antiqua" w:hAnsi="Book Antiqua" w:cs="Book Antiqua"/>
          <w:b/>
          <w:bCs/>
        </w:rPr>
        <w:t>Sahu KK</w:t>
      </w:r>
      <w:r w:rsidRPr="002C13EF">
        <w:rPr>
          <w:rFonts w:ascii="Book Antiqua" w:eastAsia="Book Antiqua" w:hAnsi="Book Antiqua" w:cs="Book Antiqua"/>
        </w:rPr>
        <w:t xml:space="preserve">, Malhotra P, Uthamalingam P, Prakash G, Bal A, Varma N, Varma SC. Chronic Myeloid Leukemia with Extramedullary Blast Crisis: Two Unusual Sites with Review of Literature. </w:t>
      </w:r>
      <w:r w:rsidRPr="002C13EF">
        <w:rPr>
          <w:rFonts w:ascii="Book Antiqua" w:eastAsia="Book Antiqua" w:hAnsi="Book Antiqua" w:cs="Book Antiqua"/>
          <w:i/>
          <w:iCs/>
        </w:rPr>
        <w:t>Indian J Hematol Blood Transfus</w:t>
      </w:r>
      <w:r w:rsidRPr="002C13EF">
        <w:rPr>
          <w:rFonts w:ascii="Book Antiqua" w:eastAsia="Book Antiqua" w:hAnsi="Book Antiqua" w:cs="Book Antiqua"/>
        </w:rPr>
        <w:t xml:space="preserve"> 2016; </w:t>
      </w:r>
      <w:r w:rsidRPr="002C13EF">
        <w:rPr>
          <w:rFonts w:ascii="Book Antiqua" w:eastAsia="Book Antiqua" w:hAnsi="Book Antiqua" w:cs="Book Antiqua"/>
          <w:b/>
          <w:bCs/>
        </w:rPr>
        <w:t>32</w:t>
      </w:r>
      <w:r w:rsidRPr="002C13EF">
        <w:rPr>
          <w:rFonts w:ascii="Book Antiqua" w:eastAsia="Book Antiqua" w:hAnsi="Book Antiqua" w:cs="Book Antiqua"/>
        </w:rPr>
        <w:t>: 89-95 [PMID: 27408365 DOI: 10.1007/s12288-014-0471-4]</w:t>
      </w:r>
    </w:p>
    <w:p w14:paraId="181FCAD3" w14:textId="77777777" w:rsidR="00313F5D" w:rsidRPr="002C13EF" w:rsidRDefault="00313F5D" w:rsidP="00313F5D">
      <w:pPr>
        <w:spacing w:line="360" w:lineRule="auto"/>
        <w:jc w:val="both"/>
      </w:pPr>
      <w:r w:rsidRPr="002C13EF">
        <w:rPr>
          <w:rFonts w:ascii="Book Antiqua" w:eastAsia="Book Antiqua" w:hAnsi="Book Antiqua" w:cs="Book Antiqua"/>
        </w:rPr>
        <w:t xml:space="preserve">2 </w:t>
      </w:r>
      <w:r w:rsidRPr="002C13EF">
        <w:rPr>
          <w:rFonts w:ascii="Book Antiqua" w:eastAsia="Book Antiqua" w:hAnsi="Book Antiqua" w:cs="Book Antiqua"/>
          <w:b/>
          <w:bCs/>
        </w:rPr>
        <w:t>Cortes J</w:t>
      </w:r>
      <w:r w:rsidRPr="002C13EF">
        <w:rPr>
          <w:rFonts w:ascii="Book Antiqua" w:eastAsia="Book Antiqua" w:hAnsi="Book Antiqua" w:cs="Book Antiqua"/>
        </w:rPr>
        <w:t xml:space="preserve">, Pavlovsky C, Saußele S. Chronic myeloid leukaemia. </w:t>
      </w:r>
      <w:r w:rsidRPr="002C13EF">
        <w:rPr>
          <w:rFonts w:ascii="Book Antiqua" w:eastAsia="Book Antiqua" w:hAnsi="Book Antiqua" w:cs="Book Antiqua"/>
          <w:i/>
          <w:iCs/>
        </w:rPr>
        <w:t>Lancet</w:t>
      </w:r>
      <w:r w:rsidRPr="002C13EF">
        <w:rPr>
          <w:rFonts w:ascii="Book Antiqua" w:eastAsia="Book Antiqua" w:hAnsi="Book Antiqua" w:cs="Book Antiqua"/>
        </w:rPr>
        <w:t xml:space="preserve"> 2021; </w:t>
      </w:r>
      <w:r w:rsidRPr="002C13EF">
        <w:rPr>
          <w:rFonts w:ascii="Book Antiqua" w:eastAsia="Book Antiqua" w:hAnsi="Book Antiqua" w:cs="Book Antiqua"/>
          <w:b/>
          <w:bCs/>
        </w:rPr>
        <w:t>398</w:t>
      </w:r>
      <w:r w:rsidRPr="002C13EF">
        <w:rPr>
          <w:rFonts w:ascii="Book Antiqua" w:eastAsia="Book Antiqua" w:hAnsi="Book Antiqua" w:cs="Book Antiqua"/>
        </w:rPr>
        <w:t>: 1914-1926 [PMID: 34425075 DOI: 10.1016/S0140-6736(21)01204-6]</w:t>
      </w:r>
    </w:p>
    <w:p w14:paraId="16B4B70E" w14:textId="77777777" w:rsidR="00313F5D" w:rsidRPr="002C13EF" w:rsidRDefault="00313F5D" w:rsidP="00313F5D">
      <w:pPr>
        <w:spacing w:line="360" w:lineRule="auto"/>
        <w:jc w:val="both"/>
      </w:pPr>
      <w:r w:rsidRPr="002C13EF">
        <w:rPr>
          <w:rFonts w:ascii="Book Antiqua" w:eastAsia="Book Antiqua" w:hAnsi="Book Antiqua" w:cs="Book Antiqua"/>
        </w:rPr>
        <w:t xml:space="preserve">3 </w:t>
      </w:r>
      <w:r w:rsidRPr="002C13EF">
        <w:rPr>
          <w:rFonts w:ascii="Book Antiqua" w:eastAsia="Book Antiqua" w:hAnsi="Book Antiqua" w:cs="Book Antiqua"/>
          <w:b/>
          <w:bCs/>
        </w:rPr>
        <w:t>Sawyers CL</w:t>
      </w:r>
      <w:r w:rsidRPr="002C13EF">
        <w:rPr>
          <w:rFonts w:ascii="Book Antiqua" w:eastAsia="Book Antiqua" w:hAnsi="Book Antiqua" w:cs="Book Antiqua"/>
        </w:rPr>
        <w:t xml:space="preserve">, Hochhaus A, Feldman E, Goldman JM, Miller CB, Ottmann OG, Schiffer CA, Talpaz M, Guilhot F, Deininger MW, Fischer T, O'Brien SG, Stone RM, Gambacorti-Passerini CB, Russell NH, Reiffers JJ, Shea TC, Chapuis B, Coutre S, Tura S, Morra E, Larson RA, Saven A, Peschel C, Gratwohl A, Mandelli F, Ben-Am M, Gathmann I, Capdeville R, Paquette RL, Druker BJ. Imatinib induces hematologic and cytogenetic responses in patients with chronic myelogenous leukemia in myeloid blast crisis: results of a phase II study. </w:t>
      </w:r>
      <w:r w:rsidRPr="002C13EF">
        <w:rPr>
          <w:rFonts w:ascii="Book Antiqua" w:eastAsia="Book Antiqua" w:hAnsi="Book Antiqua" w:cs="Book Antiqua"/>
          <w:i/>
          <w:iCs/>
        </w:rPr>
        <w:t>Blood</w:t>
      </w:r>
      <w:r w:rsidRPr="002C13EF">
        <w:rPr>
          <w:rFonts w:ascii="Book Antiqua" w:eastAsia="Book Antiqua" w:hAnsi="Book Antiqua" w:cs="Book Antiqua"/>
        </w:rPr>
        <w:t xml:space="preserve"> 2002; </w:t>
      </w:r>
      <w:r w:rsidRPr="002C13EF">
        <w:rPr>
          <w:rFonts w:ascii="Book Antiqua" w:eastAsia="Book Antiqua" w:hAnsi="Book Antiqua" w:cs="Book Antiqua"/>
          <w:b/>
          <w:bCs/>
        </w:rPr>
        <w:t>99</w:t>
      </w:r>
      <w:r w:rsidRPr="002C13EF">
        <w:rPr>
          <w:rFonts w:ascii="Book Antiqua" w:eastAsia="Book Antiqua" w:hAnsi="Book Antiqua" w:cs="Book Antiqua"/>
        </w:rPr>
        <w:t>: 3530-3539 [PMID: 11986204 DOI: 10.1182/blood.v99.10.3530]</w:t>
      </w:r>
    </w:p>
    <w:p w14:paraId="2DDF429E" w14:textId="77777777" w:rsidR="00313F5D" w:rsidRPr="002C13EF" w:rsidRDefault="00313F5D" w:rsidP="00313F5D">
      <w:pPr>
        <w:spacing w:line="360" w:lineRule="auto"/>
        <w:jc w:val="both"/>
      </w:pPr>
      <w:r w:rsidRPr="002C13EF">
        <w:rPr>
          <w:rFonts w:ascii="Book Antiqua" w:eastAsia="Book Antiqua" w:hAnsi="Book Antiqua" w:cs="Book Antiqua"/>
        </w:rPr>
        <w:t xml:space="preserve">4 </w:t>
      </w:r>
      <w:r w:rsidRPr="002C13EF">
        <w:rPr>
          <w:rFonts w:ascii="Book Antiqua" w:eastAsia="Book Antiqua" w:hAnsi="Book Antiqua" w:cs="Book Antiqua"/>
          <w:b/>
          <w:bCs/>
        </w:rPr>
        <w:t>Aleem A</w:t>
      </w:r>
      <w:r w:rsidRPr="002C13EF">
        <w:rPr>
          <w:rFonts w:ascii="Book Antiqua" w:eastAsia="Book Antiqua" w:hAnsi="Book Antiqua" w:cs="Book Antiqua"/>
        </w:rPr>
        <w:t xml:space="preserve">, Siddiqui N. Chronic myeloid leukemia presenting with extramedullary disease as massive ascites responding to imatinib mesylate. </w:t>
      </w:r>
      <w:r w:rsidRPr="002C13EF">
        <w:rPr>
          <w:rFonts w:ascii="Book Antiqua" w:eastAsia="Book Antiqua" w:hAnsi="Book Antiqua" w:cs="Book Antiqua"/>
          <w:i/>
          <w:iCs/>
        </w:rPr>
        <w:t>Leuk Lymphoma</w:t>
      </w:r>
      <w:r w:rsidRPr="002C13EF">
        <w:rPr>
          <w:rFonts w:ascii="Book Antiqua" w:eastAsia="Book Antiqua" w:hAnsi="Book Antiqua" w:cs="Book Antiqua"/>
        </w:rPr>
        <w:t xml:space="preserve"> 2005; </w:t>
      </w:r>
      <w:r w:rsidRPr="002C13EF">
        <w:rPr>
          <w:rFonts w:ascii="Book Antiqua" w:eastAsia="Book Antiqua" w:hAnsi="Book Antiqua" w:cs="Book Antiqua"/>
          <w:b/>
          <w:bCs/>
        </w:rPr>
        <w:t>46</w:t>
      </w:r>
      <w:r w:rsidRPr="002C13EF">
        <w:rPr>
          <w:rFonts w:ascii="Book Antiqua" w:eastAsia="Book Antiqua" w:hAnsi="Book Antiqua" w:cs="Book Antiqua"/>
        </w:rPr>
        <w:t>: 1097-1099 [PMID: 16019565 DOI: 10.1080/10428190500096781]</w:t>
      </w:r>
    </w:p>
    <w:p w14:paraId="690B7985" w14:textId="77777777" w:rsidR="00313F5D" w:rsidRPr="002C13EF" w:rsidRDefault="00313F5D" w:rsidP="00313F5D">
      <w:pPr>
        <w:spacing w:line="360" w:lineRule="auto"/>
        <w:jc w:val="both"/>
      </w:pPr>
      <w:r w:rsidRPr="002C13EF">
        <w:rPr>
          <w:rFonts w:ascii="Book Antiqua" w:eastAsia="Book Antiqua" w:hAnsi="Book Antiqua" w:cs="Book Antiqua"/>
        </w:rPr>
        <w:t xml:space="preserve">5 </w:t>
      </w:r>
      <w:r w:rsidRPr="002C13EF">
        <w:rPr>
          <w:rFonts w:ascii="Book Antiqua" w:eastAsia="Book Antiqua" w:hAnsi="Book Antiqua" w:cs="Book Antiqua"/>
          <w:b/>
          <w:bCs/>
        </w:rPr>
        <w:t>Specchia G</w:t>
      </w:r>
      <w:r w:rsidRPr="002C13EF">
        <w:rPr>
          <w:rFonts w:ascii="Book Antiqua" w:eastAsia="Book Antiqua" w:hAnsi="Book Antiqua" w:cs="Book Antiqua"/>
        </w:rPr>
        <w:t xml:space="preserve">, Palumbo G, Pastore D, Mininni D, Mestice A, Liso V. Extramedullary blast crisis in chronic myeloid leukemia. </w:t>
      </w:r>
      <w:r w:rsidRPr="002C13EF">
        <w:rPr>
          <w:rFonts w:ascii="Book Antiqua" w:eastAsia="Book Antiqua" w:hAnsi="Book Antiqua" w:cs="Book Antiqua"/>
          <w:i/>
          <w:iCs/>
        </w:rPr>
        <w:t>Leuk Res</w:t>
      </w:r>
      <w:r w:rsidRPr="002C13EF">
        <w:rPr>
          <w:rFonts w:ascii="Book Antiqua" w:eastAsia="Book Antiqua" w:hAnsi="Book Antiqua" w:cs="Book Antiqua"/>
        </w:rPr>
        <w:t xml:space="preserve"> 1996; </w:t>
      </w:r>
      <w:r w:rsidRPr="002C13EF">
        <w:rPr>
          <w:rFonts w:ascii="Book Antiqua" w:eastAsia="Book Antiqua" w:hAnsi="Book Antiqua" w:cs="Book Antiqua"/>
          <w:b/>
          <w:bCs/>
        </w:rPr>
        <w:t>20</w:t>
      </w:r>
      <w:r w:rsidRPr="002C13EF">
        <w:rPr>
          <w:rFonts w:ascii="Book Antiqua" w:eastAsia="Book Antiqua" w:hAnsi="Book Antiqua" w:cs="Book Antiqua"/>
        </w:rPr>
        <w:t>: 905-908 [PMID: 9009247 DOI: 10.1016/s0145-2126(96)00054-9]</w:t>
      </w:r>
    </w:p>
    <w:p w14:paraId="7841C026" w14:textId="77777777" w:rsidR="00313F5D" w:rsidRPr="002C13EF" w:rsidRDefault="00313F5D" w:rsidP="00313F5D">
      <w:pPr>
        <w:spacing w:line="360" w:lineRule="auto"/>
        <w:jc w:val="both"/>
      </w:pPr>
      <w:r w:rsidRPr="002C13EF">
        <w:rPr>
          <w:rFonts w:ascii="Book Antiqua" w:eastAsia="Book Antiqua" w:hAnsi="Book Antiqua" w:cs="Book Antiqua"/>
        </w:rPr>
        <w:t xml:space="preserve">6 </w:t>
      </w:r>
      <w:r w:rsidRPr="002C13EF">
        <w:rPr>
          <w:rFonts w:ascii="Book Antiqua" w:eastAsia="Book Antiqua" w:hAnsi="Book Antiqua" w:cs="Book Antiqua"/>
          <w:b/>
          <w:bCs/>
        </w:rPr>
        <w:t>Nuwal P</w:t>
      </w:r>
      <w:r w:rsidRPr="002C13EF">
        <w:rPr>
          <w:rFonts w:ascii="Book Antiqua" w:eastAsia="Book Antiqua" w:hAnsi="Book Antiqua" w:cs="Book Antiqua"/>
        </w:rPr>
        <w:t xml:space="preserve">, Dixit R, Dargar P, George J. Pleural effusion as the initial manifestation of chronic myeloid leukemia: Report of a case with clinical and cytologic correlation. </w:t>
      </w:r>
      <w:r w:rsidRPr="002C13EF">
        <w:rPr>
          <w:rFonts w:ascii="Book Antiqua" w:eastAsia="Book Antiqua" w:hAnsi="Book Antiqua" w:cs="Book Antiqua"/>
          <w:i/>
          <w:iCs/>
        </w:rPr>
        <w:t>J Cytol</w:t>
      </w:r>
      <w:r w:rsidRPr="002C13EF">
        <w:rPr>
          <w:rFonts w:ascii="Book Antiqua" w:eastAsia="Book Antiqua" w:hAnsi="Book Antiqua" w:cs="Book Antiqua"/>
        </w:rPr>
        <w:t xml:space="preserve"> 2012; </w:t>
      </w:r>
      <w:r w:rsidRPr="002C13EF">
        <w:rPr>
          <w:rFonts w:ascii="Book Antiqua" w:eastAsia="Book Antiqua" w:hAnsi="Book Antiqua" w:cs="Book Antiqua"/>
          <w:b/>
          <w:bCs/>
        </w:rPr>
        <w:t>29</w:t>
      </w:r>
      <w:r w:rsidRPr="002C13EF">
        <w:rPr>
          <w:rFonts w:ascii="Book Antiqua" w:eastAsia="Book Antiqua" w:hAnsi="Book Antiqua" w:cs="Book Antiqua"/>
        </w:rPr>
        <w:t>: 152-154 [PMID: 22787303 DOI: 10.4103/0970-9371.97165]</w:t>
      </w:r>
    </w:p>
    <w:p w14:paraId="0D757409" w14:textId="3464E328" w:rsidR="00313F5D" w:rsidRPr="002C13EF" w:rsidRDefault="00313F5D" w:rsidP="00313F5D">
      <w:pPr>
        <w:spacing w:line="360" w:lineRule="auto"/>
        <w:jc w:val="both"/>
      </w:pPr>
      <w:r w:rsidRPr="002C13EF">
        <w:rPr>
          <w:rFonts w:ascii="Book Antiqua" w:eastAsia="Book Antiqua" w:hAnsi="Book Antiqua" w:cs="Book Antiqua"/>
        </w:rPr>
        <w:lastRenderedPageBreak/>
        <w:t xml:space="preserve">7 </w:t>
      </w:r>
      <w:r w:rsidRPr="002C13EF">
        <w:rPr>
          <w:rFonts w:ascii="Book Antiqua" w:eastAsia="Book Antiqua" w:hAnsi="Book Antiqua" w:cs="Book Antiqua"/>
          <w:b/>
          <w:bCs/>
        </w:rPr>
        <w:t>Deshpande AS,</w:t>
      </w:r>
      <w:r w:rsidRPr="002C13EF">
        <w:rPr>
          <w:rFonts w:ascii="Book Antiqua" w:eastAsia="Book Antiqua" w:hAnsi="Book Antiqua" w:cs="Book Antiqua"/>
        </w:rPr>
        <w:t xml:space="preserve"> Bitey SA, Raut A. Case Report Ascites in CML - A Rare Extramedullary Manifestation.</w:t>
      </w:r>
      <w:r w:rsidR="00982285" w:rsidRPr="002C13EF">
        <w:rPr>
          <w:rFonts w:ascii="Book Antiqua" w:eastAsia="Book Antiqua" w:hAnsi="Book Antiqua" w:cs="Book Antiqua"/>
        </w:rPr>
        <w:t xml:space="preserve"> </w:t>
      </w:r>
      <w:r w:rsidR="00E04F43" w:rsidRPr="002C13EF">
        <w:rPr>
          <w:rFonts w:ascii="Book Antiqua" w:eastAsia="Book Antiqua" w:hAnsi="Book Antiqua" w:cs="Book Antiqua"/>
          <w:i/>
          <w:iCs/>
        </w:rPr>
        <w:t>Vidarbha Journal of Internal Medicine</w:t>
      </w:r>
      <w:r w:rsidR="00982285" w:rsidRPr="002C13EF">
        <w:rPr>
          <w:rFonts w:ascii="Book Antiqua" w:eastAsia="Book Antiqua" w:hAnsi="Book Antiqua" w:cs="Book Antiqua"/>
        </w:rPr>
        <w:t xml:space="preserve"> 2</w:t>
      </w:r>
      <w:r w:rsidRPr="002C13EF">
        <w:rPr>
          <w:rFonts w:ascii="Book Antiqua" w:eastAsia="Book Antiqua" w:hAnsi="Book Antiqua" w:cs="Book Antiqua"/>
        </w:rPr>
        <w:t>015;</w:t>
      </w:r>
      <w:r w:rsidR="006119BB" w:rsidRPr="002C13EF">
        <w:rPr>
          <w:rFonts w:ascii="Book Antiqua" w:eastAsia="Book Antiqua" w:hAnsi="Book Antiqua" w:cs="Book Antiqua"/>
        </w:rPr>
        <w:t xml:space="preserve"> </w:t>
      </w:r>
      <w:r w:rsidRPr="002C13EF">
        <w:rPr>
          <w:rFonts w:ascii="Book Antiqua" w:eastAsia="Book Antiqua" w:hAnsi="Book Antiqua" w:cs="Book Antiqua"/>
          <w:b/>
          <w:bCs/>
        </w:rPr>
        <w:t>18</w:t>
      </w:r>
      <w:r w:rsidRPr="002C13EF">
        <w:rPr>
          <w:rFonts w:ascii="Book Antiqua" w:eastAsia="Book Antiqua" w:hAnsi="Book Antiqua" w:cs="Book Antiqua"/>
        </w:rPr>
        <w:t>:</w:t>
      </w:r>
      <w:r w:rsidR="006119BB" w:rsidRPr="002C13EF">
        <w:rPr>
          <w:rFonts w:ascii="Book Antiqua" w:eastAsia="Book Antiqua" w:hAnsi="Book Antiqua" w:cs="Book Antiqua"/>
        </w:rPr>
        <w:t xml:space="preserve"> </w:t>
      </w:r>
      <w:r w:rsidRPr="002C13EF">
        <w:rPr>
          <w:rFonts w:ascii="Book Antiqua" w:eastAsia="Book Antiqua" w:hAnsi="Book Antiqua" w:cs="Book Antiqua"/>
        </w:rPr>
        <w:t>64–</w:t>
      </w:r>
      <w:r w:rsidR="00E04F43" w:rsidRPr="002C13EF">
        <w:rPr>
          <w:rFonts w:ascii="Book Antiqua" w:eastAsia="Book Antiqua" w:hAnsi="Book Antiqua" w:cs="Book Antiqua"/>
        </w:rPr>
        <w:t>6</w:t>
      </w:r>
      <w:r w:rsidR="00982285" w:rsidRPr="002C13EF">
        <w:rPr>
          <w:rFonts w:ascii="Book Antiqua" w:eastAsia="Book Antiqua" w:hAnsi="Book Antiqua" w:cs="Book Antiqua"/>
        </w:rPr>
        <w:t>6</w:t>
      </w:r>
    </w:p>
    <w:p w14:paraId="6DF1250E" w14:textId="0927C235" w:rsidR="00313F5D" w:rsidRPr="002C13EF" w:rsidRDefault="00313F5D" w:rsidP="00313F5D">
      <w:pPr>
        <w:spacing w:line="360" w:lineRule="auto"/>
        <w:jc w:val="both"/>
      </w:pPr>
      <w:r w:rsidRPr="002C13EF">
        <w:rPr>
          <w:rFonts w:ascii="Book Antiqua" w:eastAsia="Book Antiqua" w:hAnsi="Book Antiqua" w:cs="Book Antiqua"/>
        </w:rPr>
        <w:t>8</w:t>
      </w:r>
      <w:r w:rsidR="00681297" w:rsidRPr="002C13EF">
        <w:rPr>
          <w:rFonts w:ascii="Book Antiqua" w:eastAsia="Book Antiqua" w:hAnsi="Book Antiqua" w:cs="Book Antiqua"/>
          <w:b/>
          <w:bCs/>
        </w:rPr>
        <w:t xml:space="preserve"> Ridha N</w:t>
      </w:r>
      <w:r w:rsidR="00681297" w:rsidRPr="002C13EF">
        <w:rPr>
          <w:rFonts w:ascii="Book Antiqua" w:eastAsia="Book Antiqua" w:hAnsi="Book Antiqua" w:cs="Book Antiqua"/>
        </w:rPr>
        <w:t>, Budiman KY, Oehadian A</w:t>
      </w:r>
      <w:r w:rsidRPr="002C13EF">
        <w:rPr>
          <w:rFonts w:ascii="Book Antiqua" w:eastAsia="Book Antiqua" w:hAnsi="Book Antiqua" w:cs="Book Antiqua"/>
        </w:rPr>
        <w:t>. Pleural Effusion in Blast Crisis Phase of Chronic Myeloid</w:t>
      </w:r>
      <w:r w:rsidR="002413E9" w:rsidRPr="002C13EF">
        <w:rPr>
          <w:rFonts w:ascii="Book Antiqua" w:eastAsia="Book Antiqua" w:hAnsi="Book Antiqua" w:cs="Book Antiqua"/>
        </w:rPr>
        <w:t>.</w:t>
      </w:r>
      <w:r w:rsidRPr="002C13EF">
        <w:rPr>
          <w:rFonts w:ascii="Book Antiqua" w:eastAsia="Book Antiqua" w:hAnsi="Book Antiqua" w:cs="Book Antiqua"/>
        </w:rPr>
        <w:t xml:space="preserve"> </w:t>
      </w:r>
      <w:r w:rsidR="002413E9" w:rsidRPr="002C13EF">
        <w:rPr>
          <w:rFonts w:ascii="Book Antiqua" w:eastAsia="Book Antiqua" w:hAnsi="Book Antiqua" w:cs="Book Antiqua"/>
          <w:i/>
          <w:iCs/>
        </w:rPr>
        <w:t>Clinics in Oncology</w:t>
      </w:r>
      <w:r w:rsidR="002413E9" w:rsidRPr="002C13EF">
        <w:rPr>
          <w:rFonts w:ascii="Book Antiqua" w:eastAsia="Book Antiqua" w:hAnsi="Book Antiqua" w:cs="Book Antiqua"/>
        </w:rPr>
        <w:t xml:space="preserve"> </w:t>
      </w:r>
      <w:r w:rsidRPr="002C13EF">
        <w:rPr>
          <w:rFonts w:ascii="Book Antiqua" w:eastAsia="Book Antiqua" w:hAnsi="Book Antiqua" w:cs="Book Antiqua"/>
        </w:rPr>
        <w:t>2020;</w:t>
      </w:r>
      <w:r w:rsidR="00840BF6" w:rsidRPr="002C13EF">
        <w:rPr>
          <w:rFonts w:ascii="Book Antiqua" w:eastAsia="Book Antiqua" w:hAnsi="Book Antiqua" w:cs="Book Antiqua"/>
        </w:rPr>
        <w:t xml:space="preserve"> </w:t>
      </w:r>
      <w:r w:rsidRPr="002C13EF">
        <w:rPr>
          <w:rFonts w:ascii="Book Antiqua" w:eastAsia="Book Antiqua" w:hAnsi="Book Antiqua" w:cs="Book Antiqua"/>
          <w:b/>
          <w:bCs/>
        </w:rPr>
        <w:t>5</w:t>
      </w:r>
      <w:r w:rsidRPr="002C13EF">
        <w:rPr>
          <w:rFonts w:ascii="Book Antiqua" w:eastAsia="Book Antiqua" w:hAnsi="Book Antiqua" w:cs="Book Antiqua"/>
        </w:rPr>
        <w:t>:</w:t>
      </w:r>
      <w:r w:rsidR="00840BF6" w:rsidRPr="002C13EF">
        <w:rPr>
          <w:rFonts w:ascii="Book Antiqua" w:eastAsia="Book Antiqua" w:hAnsi="Book Antiqua" w:cs="Book Antiqua"/>
        </w:rPr>
        <w:t xml:space="preserve"> </w:t>
      </w:r>
      <w:r w:rsidRPr="002C13EF">
        <w:rPr>
          <w:rFonts w:ascii="Book Antiqua" w:eastAsia="Book Antiqua" w:hAnsi="Book Antiqua" w:cs="Book Antiqua"/>
        </w:rPr>
        <w:t>5–7</w:t>
      </w:r>
    </w:p>
    <w:p w14:paraId="5727753B" w14:textId="77777777" w:rsidR="00313F5D" w:rsidRPr="002C13EF" w:rsidRDefault="00313F5D" w:rsidP="00313F5D">
      <w:pPr>
        <w:spacing w:line="360" w:lineRule="auto"/>
        <w:jc w:val="both"/>
      </w:pPr>
      <w:r w:rsidRPr="002C13EF">
        <w:rPr>
          <w:rFonts w:ascii="Book Antiqua" w:eastAsia="Book Antiqua" w:hAnsi="Book Antiqua" w:cs="Book Antiqua"/>
        </w:rPr>
        <w:t xml:space="preserve">9 </w:t>
      </w:r>
      <w:r w:rsidRPr="002C13EF">
        <w:rPr>
          <w:rFonts w:ascii="Book Antiqua" w:eastAsia="Book Antiqua" w:hAnsi="Book Antiqua" w:cs="Book Antiqua"/>
          <w:b/>
          <w:bCs/>
        </w:rPr>
        <w:t>Kim HW</w:t>
      </w:r>
      <w:r w:rsidRPr="002C13EF">
        <w:rPr>
          <w:rFonts w:ascii="Book Antiqua" w:eastAsia="Book Antiqua" w:hAnsi="Book Antiqua" w:cs="Book Antiqua"/>
        </w:rPr>
        <w:t xml:space="preserve">, Lee SS, Ryu MH, Lee JL, Chang HM, Kim TW, Chi HS, Kim WK, Lee JS, Kang YK. A case of leukemic pleural infiltration in atypical chronic myeloid leukemia. </w:t>
      </w:r>
      <w:r w:rsidRPr="002C13EF">
        <w:rPr>
          <w:rFonts w:ascii="Book Antiqua" w:eastAsia="Book Antiqua" w:hAnsi="Book Antiqua" w:cs="Book Antiqua"/>
          <w:i/>
          <w:iCs/>
        </w:rPr>
        <w:t>J Korean Med Sci</w:t>
      </w:r>
      <w:r w:rsidRPr="002C13EF">
        <w:rPr>
          <w:rFonts w:ascii="Book Antiqua" w:eastAsia="Book Antiqua" w:hAnsi="Book Antiqua" w:cs="Book Antiqua"/>
        </w:rPr>
        <w:t xml:space="preserve"> 2006; </w:t>
      </w:r>
      <w:r w:rsidRPr="002C13EF">
        <w:rPr>
          <w:rFonts w:ascii="Book Antiqua" w:eastAsia="Book Antiqua" w:hAnsi="Book Antiqua" w:cs="Book Antiqua"/>
          <w:b/>
          <w:bCs/>
        </w:rPr>
        <w:t>21</w:t>
      </w:r>
      <w:r w:rsidRPr="002C13EF">
        <w:rPr>
          <w:rFonts w:ascii="Book Antiqua" w:eastAsia="Book Antiqua" w:hAnsi="Book Antiqua" w:cs="Book Antiqua"/>
        </w:rPr>
        <w:t>: 936-939 [PMID: 17043433 DOI: 10.3346/jkms.2006.21.5.936]</w:t>
      </w:r>
    </w:p>
    <w:p w14:paraId="1FC94F0C" w14:textId="77777777" w:rsidR="00313F5D" w:rsidRPr="002C13EF" w:rsidRDefault="00313F5D" w:rsidP="00313F5D">
      <w:pPr>
        <w:spacing w:line="360" w:lineRule="auto"/>
        <w:jc w:val="both"/>
      </w:pPr>
      <w:r w:rsidRPr="002C13EF">
        <w:rPr>
          <w:rFonts w:ascii="Book Antiqua" w:eastAsia="Book Antiqua" w:hAnsi="Book Antiqua" w:cs="Book Antiqua"/>
        </w:rPr>
        <w:t xml:space="preserve">10 </w:t>
      </w:r>
      <w:r w:rsidRPr="002C13EF">
        <w:rPr>
          <w:rFonts w:ascii="Book Antiqua" w:eastAsia="Book Antiqua" w:hAnsi="Book Antiqua" w:cs="Book Antiqua"/>
          <w:b/>
          <w:bCs/>
        </w:rPr>
        <w:t>Swerdlow SH</w:t>
      </w:r>
      <w:r w:rsidRPr="002C13EF">
        <w:rPr>
          <w:rFonts w:ascii="Book Antiqua" w:eastAsia="Book Antiqua" w:hAnsi="Book Antiqua" w:cs="Book Antiqua"/>
        </w:rPr>
        <w:t xml:space="preserve">, Campo E, Pileri SA, Harris NL, Stein H, Siebert R, Advani R, Ghielmini M, Salles GA, Zelenetz AD, Jaffe ES. The 2016 revision of the World Health Organization classification of lymphoid neoplasms. </w:t>
      </w:r>
      <w:r w:rsidRPr="002C13EF">
        <w:rPr>
          <w:rFonts w:ascii="Book Antiqua" w:eastAsia="Book Antiqua" w:hAnsi="Book Antiqua" w:cs="Book Antiqua"/>
          <w:i/>
          <w:iCs/>
        </w:rPr>
        <w:t>Blood</w:t>
      </w:r>
      <w:r w:rsidRPr="002C13EF">
        <w:rPr>
          <w:rFonts w:ascii="Book Antiqua" w:eastAsia="Book Antiqua" w:hAnsi="Book Antiqua" w:cs="Book Antiqua"/>
        </w:rPr>
        <w:t xml:space="preserve"> 2016; </w:t>
      </w:r>
      <w:r w:rsidRPr="002C13EF">
        <w:rPr>
          <w:rFonts w:ascii="Book Antiqua" w:eastAsia="Book Antiqua" w:hAnsi="Book Antiqua" w:cs="Book Antiqua"/>
          <w:b/>
          <w:bCs/>
        </w:rPr>
        <w:t>127</w:t>
      </w:r>
      <w:r w:rsidRPr="002C13EF">
        <w:rPr>
          <w:rFonts w:ascii="Book Antiqua" w:eastAsia="Book Antiqua" w:hAnsi="Book Antiqua" w:cs="Book Antiqua"/>
        </w:rPr>
        <w:t>: 2375-2390 [PMID: 26980727 DOI: 10.1182/blood-2016-01-643569]</w:t>
      </w:r>
    </w:p>
    <w:p w14:paraId="60CA61E2" w14:textId="77777777" w:rsidR="00A77B3E" w:rsidRDefault="00313F5D" w:rsidP="00313F5D">
      <w:pPr>
        <w:spacing w:line="360" w:lineRule="auto"/>
        <w:jc w:val="both"/>
        <w:rPr>
          <w:rFonts w:ascii="Book Antiqua" w:eastAsia="Book Antiqua" w:hAnsi="Book Antiqua" w:cs="Book Antiqua"/>
        </w:rPr>
      </w:pPr>
      <w:r w:rsidRPr="002C13EF">
        <w:rPr>
          <w:rFonts w:ascii="Book Antiqua" w:eastAsia="Book Antiqua" w:hAnsi="Book Antiqua" w:cs="Book Antiqua"/>
        </w:rPr>
        <w:t xml:space="preserve">11 </w:t>
      </w:r>
      <w:r w:rsidRPr="002C13EF">
        <w:rPr>
          <w:rFonts w:ascii="Book Antiqua" w:eastAsia="Book Antiqua" w:hAnsi="Book Antiqua" w:cs="Book Antiqua"/>
          <w:b/>
          <w:bCs/>
        </w:rPr>
        <w:t>Hehlmann R</w:t>
      </w:r>
      <w:r w:rsidRPr="002C13EF">
        <w:rPr>
          <w:rFonts w:ascii="Book Antiqua" w:eastAsia="Book Antiqua" w:hAnsi="Book Antiqua" w:cs="Book Antiqua"/>
        </w:rPr>
        <w:t xml:space="preserve">. How I treat CML blast crisis. </w:t>
      </w:r>
      <w:r w:rsidRPr="002C13EF">
        <w:rPr>
          <w:rFonts w:ascii="Book Antiqua" w:eastAsia="Book Antiqua" w:hAnsi="Book Antiqua" w:cs="Book Antiqua"/>
          <w:i/>
          <w:iCs/>
        </w:rPr>
        <w:t>Blood</w:t>
      </w:r>
      <w:r w:rsidRPr="002C13EF">
        <w:rPr>
          <w:rFonts w:ascii="Book Antiqua" w:eastAsia="Book Antiqua" w:hAnsi="Book Antiqua" w:cs="Book Antiqua"/>
        </w:rPr>
        <w:t xml:space="preserve"> 2012; </w:t>
      </w:r>
      <w:r w:rsidRPr="002C13EF">
        <w:rPr>
          <w:rFonts w:ascii="Book Antiqua" w:eastAsia="Book Antiqua" w:hAnsi="Book Antiqua" w:cs="Book Antiqua"/>
          <w:b/>
          <w:bCs/>
        </w:rPr>
        <w:t>120</w:t>
      </w:r>
      <w:r w:rsidRPr="002C13EF">
        <w:rPr>
          <w:rFonts w:ascii="Book Antiqua" w:eastAsia="Book Antiqua" w:hAnsi="Book Antiqua" w:cs="Book Antiqua"/>
        </w:rPr>
        <w:t>: 737-747 [PMID: 22653972 DOI: 10.1182/blood-2012-03-380147]</w:t>
      </w:r>
    </w:p>
    <w:p w14:paraId="7DC88087" w14:textId="08EA4772" w:rsidR="000942D6" w:rsidRDefault="000942D6" w:rsidP="00313F5D">
      <w:pPr>
        <w:spacing w:line="360" w:lineRule="auto"/>
        <w:jc w:val="both"/>
        <w:sectPr w:rsidR="000942D6">
          <w:pgSz w:w="12240" w:h="15840"/>
          <w:pgMar w:top="1440" w:right="1440" w:bottom="1440" w:left="1440" w:header="720" w:footer="720" w:gutter="0"/>
          <w:cols w:space="720"/>
          <w:docGrid w:linePitch="360"/>
        </w:sectPr>
      </w:pPr>
    </w:p>
    <w:p w14:paraId="0FF7B029"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2C2DC4C6" w14:textId="77777777" w:rsidR="00A77B3E"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3C3C3C"/>
        </w:rPr>
        <w:t>All study participants, or their legal guardian, provided informed written consent prior to study enrollment.</w:t>
      </w:r>
    </w:p>
    <w:p w14:paraId="72E2BC63" w14:textId="77777777" w:rsidR="00A77B3E" w:rsidRDefault="00A77B3E">
      <w:pPr>
        <w:spacing w:line="360" w:lineRule="auto"/>
        <w:jc w:val="both"/>
      </w:pPr>
    </w:p>
    <w:p w14:paraId="7F6227B5"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the Authors have no conflict of interest related to the manuscript.</w:t>
      </w:r>
    </w:p>
    <w:p w14:paraId="739A53CC" w14:textId="77777777" w:rsidR="00A77B3E" w:rsidRDefault="00A77B3E">
      <w:pPr>
        <w:spacing w:line="360" w:lineRule="auto"/>
        <w:jc w:val="both"/>
      </w:pPr>
    </w:p>
    <w:p w14:paraId="028D9B7F" w14:textId="77777777"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0D92F749" w14:textId="77777777" w:rsidR="00A77B3E" w:rsidRDefault="00A77B3E">
      <w:pPr>
        <w:spacing w:line="360" w:lineRule="auto"/>
        <w:jc w:val="both"/>
      </w:pPr>
    </w:p>
    <w:p w14:paraId="5A255C13"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4A2A5A" w14:textId="77777777" w:rsidR="00A77B3E" w:rsidRDefault="00A77B3E">
      <w:pPr>
        <w:spacing w:line="360" w:lineRule="auto"/>
        <w:jc w:val="both"/>
      </w:pPr>
    </w:p>
    <w:p w14:paraId="4647BCA6"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17DDE68" w14:textId="77777777" w:rsidR="00FD4F0E" w:rsidRDefault="00FD4F0E">
      <w:pPr>
        <w:spacing w:line="360" w:lineRule="auto"/>
        <w:jc w:val="both"/>
      </w:pPr>
    </w:p>
    <w:p w14:paraId="491D131B"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B72D4BD" w14:textId="77777777" w:rsidR="00A77B3E" w:rsidRDefault="00A77B3E">
      <w:pPr>
        <w:spacing w:line="360" w:lineRule="auto"/>
        <w:jc w:val="both"/>
      </w:pPr>
    </w:p>
    <w:p w14:paraId="7F584001"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October 3, 2023</w:t>
      </w:r>
    </w:p>
    <w:p w14:paraId="779C758C"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November 2, 2023</w:t>
      </w:r>
    </w:p>
    <w:p w14:paraId="4856808F" w14:textId="1D2BF048" w:rsidR="00A77B3E" w:rsidRDefault="00000000">
      <w:pPr>
        <w:spacing w:line="360" w:lineRule="auto"/>
        <w:jc w:val="both"/>
      </w:pPr>
      <w:r>
        <w:rPr>
          <w:rFonts w:ascii="Book Antiqua" w:eastAsia="Book Antiqua" w:hAnsi="Book Antiqua" w:cs="Book Antiqua"/>
          <w:b/>
          <w:color w:val="000000"/>
        </w:rPr>
        <w:t xml:space="preserve">Article in press: </w:t>
      </w:r>
      <w:r w:rsidR="00FA00BB" w:rsidRPr="00E0103E">
        <w:rPr>
          <w:rFonts w:ascii="Book Antiqua" w:hAnsi="Book Antiqua"/>
        </w:rPr>
        <w:t>December 1</w:t>
      </w:r>
      <w:r w:rsidR="00FA00BB">
        <w:rPr>
          <w:rFonts w:ascii="Book Antiqua" w:hAnsi="Book Antiqua"/>
        </w:rPr>
        <w:t>9</w:t>
      </w:r>
      <w:r w:rsidR="00FA00BB" w:rsidRPr="00E0103E">
        <w:rPr>
          <w:rFonts w:ascii="Book Antiqua" w:hAnsi="Book Antiqua"/>
        </w:rPr>
        <w:t>, 2023</w:t>
      </w:r>
    </w:p>
    <w:p w14:paraId="398EBBCD" w14:textId="77777777" w:rsidR="00A77B3E" w:rsidRDefault="00A77B3E">
      <w:pPr>
        <w:spacing w:line="360" w:lineRule="auto"/>
        <w:jc w:val="both"/>
      </w:pPr>
    </w:p>
    <w:p w14:paraId="33C776BF" w14:textId="3608E98B" w:rsidR="00A77B3E" w:rsidRDefault="00000000">
      <w:pPr>
        <w:spacing w:line="360" w:lineRule="auto"/>
        <w:jc w:val="both"/>
      </w:pPr>
      <w:r>
        <w:rPr>
          <w:rFonts w:ascii="Book Antiqua" w:eastAsia="Book Antiqua" w:hAnsi="Book Antiqua" w:cs="Book Antiqua"/>
          <w:b/>
          <w:color w:val="000000"/>
        </w:rPr>
        <w:t xml:space="preserve">Specialty type: </w:t>
      </w:r>
      <w:r w:rsidR="00FD4F0E" w:rsidRPr="00FD4F0E">
        <w:rPr>
          <w:rFonts w:ascii="Book Antiqua" w:eastAsia="Book Antiqua" w:hAnsi="Book Antiqua" w:cs="Book Antiqua"/>
        </w:rPr>
        <w:t>Hematology</w:t>
      </w:r>
    </w:p>
    <w:p w14:paraId="06235DF9"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India</w:t>
      </w:r>
    </w:p>
    <w:p w14:paraId="15D8D21B"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3A011593" w14:textId="77777777" w:rsidR="00A77B3E" w:rsidRDefault="00000000">
      <w:pPr>
        <w:spacing w:line="360" w:lineRule="auto"/>
        <w:jc w:val="both"/>
      </w:pPr>
      <w:r>
        <w:rPr>
          <w:rFonts w:ascii="Book Antiqua" w:eastAsia="Book Antiqua" w:hAnsi="Book Antiqua" w:cs="Book Antiqua"/>
        </w:rPr>
        <w:lastRenderedPageBreak/>
        <w:t>Grade A (Excellent): 0</w:t>
      </w:r>
    </w:p>
    <w:p w14:paraId="56A571FB" w14:textId="77777777" w:rsidR="00A77B3E" w:rsidRDefault="00000000">
      <w:pPr>
        <w:spacing w:line="360" w:lineRule="auto"/>
        <w:jc w:val="both"/>
      </w:pPr>
      <w:r>
        <w:rPr>
          <w:rFonts w:ascii="Book Antiqua" w:eastAsia="Book Antiqua" w:hAnsi="Book Antiqua" w:cs="Book Antiqua"/>
        </w:rPr>
        <w:t>Grade B (Very good): 0</w:t>
      </w:r>
    </w:p>
    <w:p w14:paraId="24129243" w14:textId="77777777" w:rsidR="00A77B3E" w:rsidRDefault="00000000">
      <w:pPr>
        <w:spacing w:line="360" w:lineRule="auto"/>
        <w:jc w:val="both"/>
      </w:pPr>
      <w:r>
        <w:rPr>
          <w:rFonts w:ascii="Book Antiqua" w:eastAsia="Book Antiqua" w:hAnsi="Book Antiqua" w:cs="Book Antiqua"/>
        </w:rPr>
        <w:t>Grade C (Good): C</w:t>
      </w:r>
    </w:p>
    <w:p w14:paraId="7781D347" w14:textId="77777777" w:rsidR="00A77B3E" w:rsidRDefault="00000000">
      <w:pPr>
        <w:spacing w:line="360" w:lineRule="auto"/>
        <w:jc w:val="both"/>
      </w:pPr>
      <w:r>
        <w:rPr>
          <w:rFonts w:ascii="Book Antiqua" w:eastAsia="Book Antiqua" w:hAnsi="Book Antiqua" w:cs="Book Antiqua"/>
        </w:rPr>
        <w:t>Grade D (Fair): 0</w:t>
      </w:r>
    </w:p>
    <w:p w14:paraId="4A933ACF" w14:textId="77777777" w:rsidR="00A77B3E" w:rsidRDefault="00000000">
      <w:pPr>
        <w:spacing w:line="360" w:lineRule="auto"/>
        <w:jc w:val="both"/>
      </w:pPr>
      <w:r>
        <w:rPr>
          <w:rFonts w:ascii="Book Antiqua" w:eastAsia="Book Antiqua" w:hAnsi="Book Antiqua" w:cs="Book Antiqua"/>
        </w:rPr>
        <w:t>Grade E (Poor): 0</w:t>
      </w:r>
    </w:p>
    <w:p w14:paraId="0D440652" w14:textId="77777777" w:rsidR="00A77B3E" w:rsidRDefault="00A77B3E">
      <w:pPr>
        <w:spacing w:line="360" w:lineRule="auto"/>
        <w:jc w:val="both"/>
      </w:pPr>
    </w:p>
    <w:p w14:paraId="05B33994" w14:textId="64987480"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Liu C, China</w:t>
      </w:r>
      <w:r>
        <w:rPr>
          <w:rFonts w:ascii="Book Antiqua" w:eastAsia="Book Antiqua" w:hAnsi="Book Antiqua" w:cs="Book Antiqua"/>
          <w:b/>
          <w:color w:val="000000"/>
        </w:rPr>
        <w:t xml:space="preserve"> S-Editor: </w:t>
      </w:r>
      <w:r w:rsidR="00FA2B2E">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sidR="00FA2B2E">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A93EA1">
        <w:rPr>
          <w:rFonts w:ascii="Book Antiqua" w:eastAsia="Book Antiqua" w:hAnsi="Book Antiqua" w:cs="Book Antiqua"/>
        </w:rPr>
        <w:t>Chen YX</w:t>
      </w:r>
    </w:p>
    <w:p w14:paraId="47B4A8AC" w14:textId="77777777"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5C23368" w14:textId="5CA8ACA2" w:rsidR="00B36190" w:rsidRDefault="0087578D">
      <w:pPr>
        <w:spacing w:line="360" w:lineRule="auto"/>
        <w:jc w:val="both"/>
      </w:pPr>
      <w:r>
        <w:rPr>
          <w:noProof/>
        </w:rPr>
        <w:drawing>
          <wp:inline distT="0" distB="0" distL="0" distR="0" wp14:anchorId="0AFA6257" wp14:editId="30A89771">
            <wp:extent cx="4321045" cy="217619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1045" cy="2176197"/>
                    </a:xfrm>
                    <a:prstGeom prst="rect">
                      <a:avLst/>
                    </a:prstGeom>
                  </pic:spPr>
                </pic:pic>
              </a:graphicData>
            </a:graphic>
          </wp:inline>
        </w:drawing>
      </w:r>
    </w:p>
    <w:p w14:paraId="78B7BA61" w14:textId="4839681F" w:rsidR="00A77B3E" w:rsidRDefault="00F17B94">
      <w:pPr>
        <w:spacing w:line="360" w:lineRule="auto"/>
        <w:jc w:val="both"/>
        <w:rPr>
          <w:rFonts w:ascii="Book Antiqua" w:eastAsia="Book Antiqua" w:hAnsi="Book Antiqua" w:cs="Book Antiqua"/>
          <w:szCs w:val="22"/>
        </w:rPr>
      </w:pPr>
      <w:r w:rsidRPr="00F17B94">
        <w:rPr>
          <w:rFonts w:ascii="Book Antiqua" w:eastAsia="Book Antiqua" w:hAnsi="Book Antiqua" w:cs="Book Antiqua"/>
          <w:b/>
          <w:bCs/>
          <w:szCs w:val="22"/>
        </w:rPr>
        <w:t>Figure 1 Chest X-ray.</w:t>
      </w:r>
      <w:r w:rsidRPr="00F17B94">
        <w:rPr>
          <w:rFonts w:ascii="Book Antiqua" w:eastAsia="Book Antiqua" w:hAnsi="Book Antiqua" w:cs="Book Antiqua"/>
          <w:szCs w:val="22"/>
        </w:rPr>
        <w:t xml:space="preserve"> A: Chest X-ray performed at presentation; B: Chest X-ray performed 3 mo after receiving dasatinib therapy.</w:t>
      </w:r>
    </w:p>
    <w:p w14:paraId="7BE3BED6" w14:textId="77777777" w:rsidR="00B36190" w:rsidRDefault="00B36190">
      <w:pPr>
        <w:spacing w:line="360" w:lineRule="auto"/>
        <w:jc w:val="both"/>
        <w:rPr>
          <w:rFonts w:ascii="Book Antiqua" w:eastAsia="Book Antiqua" w:hAnsi="Book Antiqua" w:cs="Book Antiqua"/>
          <w:szCs w:val="22"/>
        </w:rPr>
      </w:pPr>
    </w:p>
    <w:p w14:paraId="577701DD" w14:textId="17980F6A" w:rsidR="00B36190" w:rsidRDefault="0087578D">
      <w:pPr>
        <w:spacing w:line="360" w:lineRule="auto"/>
        <w:jc w:val="both"/>
      </w:pPr>
      <w:r>
        <w:rPr>
          <w:noProof/>
        </w:rPr>
        <w:drawing>
          <wp:inline distT="0" distB="0" distL="0" distR="0" wp14:anchorId="3F940576" wp14:editId="2CA2634C">
            <wp:extent cx="4315820" cy="20246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5820" cy="2024673"/>
                    </a:xfrm>
                    <a:prstGeom prst="rect">
                      <a:avLst/>
                    </a:prstGeom>
                  </pic:spPr>
                </pic:pic>
              </a:graphicData>
            </a:graphic>
          </wp:inline>
        </w:drawing>
      </w:r>
    </w:p>
    <w:p w14:paraId="3B760AA8" w14:textId="62CFC616" w:rsidR="00A77B3E" w:rsidRDefault="00000000">
      <w:pPr>
        <w:spacing w:line="360" w:lineRule="auto"/>
        <w:jc w:val="both"/>
        <w:rPr>
          <w:rFonts w:ascii="Book Antiqua" w:eastAsia="Book Antiqua" w:hAnsi="Book Antiqua" w:cs="Book Antiqua"/>
          <w:b/>
          <w:bCs/>
          <w:szCs w:val="22"/>
        </w:rPr>
      </w:pPr>
      <w:r w:rsidRPr="00B36190">
        <w:rPr>
          <w:rFonts w:ascii="Book Antiqua" w:eastAsia="Book Antiqua" w:hAnsi="Book Antiqua" w:cs="Book Antiqua"/>
          <w:b/>
          <w:bCs/>
          <w:szCs w:val="22"/>
        </w:rPr>
        <w:t>Figure 2 Contrast enhanced co</w:t>
      </w:r>
      <w:r w:rsidR="00B36190" w:rsidRPr="00B36190">
        <w:rPr>
          <w:rFonts w:ascii="Book Antiqua" w:eastAsia="Book Antiqua" w:hAnsi="Book Antiqua" w:cs="Book Antiqua"/>
          <w:b/>
          <w:bCs/>
          <w:szCs w:val="22"/>
        </w:rPr>
        <w:t>mputed tomography of abdomen showing ascites (blue arrow), omental caking (</w:t>
      </w:r>
      <w:r w:rsidR="00C807DA">
        <w:rPr>
          <w:rFonts w:ascii="Book Antiqua" w:eastAsia="Book Antiqua" w:hAnsi="Book Antiqua" w:cs="Book Antiqua"/>
          <w:b/>
          <w:bCs/>
          <w:szCs w:val="22"/>
        </w:rPr>
        <w:t>white</w:t>
      </w:r>
      <w:r w:rsidR="00B36190" w:rsidRPr="00B36190">
        <w:rPr>
          <w:rFonts w:ascii="Book Antiqua" w:eastAsia="Book Antiqua" w:hAnsi="Book Antiqua" w:cs="Book Antiqua"/>
          <w:b/>
          <w:bCs/>
          <w:szCs w:val="22"/>
        </w:rPr>
        <w:t xml:space="preserve"> arrow), hepatomegaly (</w:t>
      </w:r>
      <w:r w:rsidR="00C807DA">
        <w:rPr>
          <w:rFonts w:ascii="Book Antiqua" w:eastAsia="Book Antiqua" w:hAnsi="Book Antiqua" w:cs="Book Antiqua"/>
          <w:b/>
          <w:bCs/>
          <w:szCs w:val="22"/>
        </w:rPr>
        <w:t>orange</w:t>
      </w:r>
      <w:r w:rsidR="00B36190" w:rsidRPr="00B36190">
        <w:rPr>
          <w:rFonts w:ascii="Book Antiqua" w:eastAsia="Book Antiqua" w:hAnsi="Book Antiqua" w:cs="Book Antiqua"/>
          <w:b/>
          <w:bCs/>
          <w:szCs w:val="22"/>
        </w:rPr>
        <w:t xml:space="preserve"> arrow), and splenomegaly (yellow arrow)</w:t>
      </w:r>
      <w:r w:rsidR="00B36190">
        <w:rPr>
          <w:rFonts w:ascii="Book Antiqua" w:eastAsia="Book Antiqua" w:hAnsi="Book Antiqua" w:cs="Book Antiqua"/>
          <w:b/>
          <w:bCs/>
          <w:szCs w:val="22"/>
        </w:rPr>
        <w:t>.</w:t>
      </w:r>
      <w:r w:rsidR="00E37CF5">
        <w:rPr>
          <w:rFonts w:ascii="Book Antiqua" w:eastAsia="Book Antiqua" w:hAnsi="Book Antiqua" w:cs="Book Antiqua"/>
          <w:b/>
          <w:bCs/>
          <w:szCs w:val="22"/>
        </w:rPr>
        <w:t xml:space="preserve"> </w:t>
      </w:r>
      <w:r w:rsidR="002234C2" w:rsidRPr="002234C2">
        <w:rPr>
          <w:rFonts w:ascii="Book Antiqua" w:eastAsia="Book Antiqua" w:hAnsi="Book Antiqua" w:cs="Book Antiqua"/>
          <w:szCs w:val="22"/>
        </w:rPr>
        <w:t>A: Axial section; B: Coronal section.</w:t>
      </w:r>
    </w:p>
    <w:p w14:paraId="18B528C1" w14:textId="77777777" w:rsidR="00B36190" w:rsidRDefault="00B36190">
      <w:pPr>
        <w:spacing w:line="360" w:lineRule="auto"/>
        <w:jc w:val="both"/>
        <w:rPr>
          <w:rFonts w:ascii="Book Antiqua" w:eastAsia="Book Antiqua" w:hAnsi="Book Antiqua" w:cs="Book Antiqua"/>
          <w:b/>
          <w:bCs/>
          <w:szCs w:val="22"/>
        </w:rPr>
      </w:pPr>
    </w:p>
    <w:p w14:paraId="23923E2D" w14:textId="523B8C40" w:rsidR="00B36190" w:rsidRPr="00B36190" w:rsidRDefault="0087578D">
      <w:pPr>
        <w:spacing w:line="360" w:lineRule="auto"/>
        <w:jc w:val="both"/>
        <w:rPr>
          <w:b/>
          <w:bCs/>
        </w:rPr>
      </w:pPr>
      <w:r>
        <w:rPr>
          <w:noProof/>
        </w:rPr>
        <w:lastRenderedPageBreak/>
        <w:drawing>
          <wp:inline distT="0" distB="0" distL="0" distR="0" wp14:anchorId="51805960" wp14:editId="43F1A7D1">
            <wp:extent cx="4300145" cy="2231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0145" cy="2231060"/>
                    </a:xfrm>
                    <a:prstGeom prst="rect">
                      <a:avLst/>
                    </a:prstGeom>
                  </pic:spPr>
                </pic:pic>
              </a:graphicData>
            </a:graphic>
          </wp:inline>
        </w:drawing>
      </w:r>
    </w:p>
    <w:p w14:paraId="3A83ACC4" w14:textId="114B42B4" w:rsidR="00A77B3E" w:rsidRDefault="00000000">
      <w:pPr>
        <w:spacing w:line="360" w:lineRule="auto"/>
        <w:jc w:val="both"/>
        <w:rPr>
          <w:rFonts w:ascii="Book Antiqua" w:eastAsia="Book Antiqua" w:hAnsi="Book Antiqua" w:cs="Book Antiqua"/>
          <w:szCs w:val="22"/>
        </w:rPr>
      </w:pPr>
      <w:r w:rsidRPr="00B67801">
        <w:rPr>
          <w:rFonts w:ascii="Book Antiqua" w:eastAsia="Book Antiqua" w:hAnsi="Book Antiqua" w:cs="Book Antiqua"/>
          <w:b/>
          <w:bCs/>
          <w:szCs w:val="22"/>
        </w:rPr>
        <w:t>Figure 3 Ascitic fluid cytospin smear preparation showing cells of myeloid series</w:t>
      </w:r>
      <w:r w:rsidR="00B67801">
        <w:rPr>
          <w:rFonts w:ascii="Book Antiqua" w:eastAsia="Book Antiqua" w:hAnsi="Book Antiqua" w:cs="Book Antiqua"/>
          <w:b/>
          <w:bCs/>
          <w:szCs w:val="22"/>
        </w:rPr>
        <w:t>.</w:t>
      </w:r>
      <w:r w:rsidR="00443377" w:rsidRPr="00443377">
        <w:rPr>
          <w:rFonts w:ascii="Book Antiqua" w:eastAsia="Book Antiqua" w:hAnsi="Book Antiqua" w:cs="Book Antiqua"/>
          <w:szCs w:val="22"/>
        </w:rPr>
        <w:t xml:space="preserve"> </w:t>
      </w:r>
      <w:r w:rsidR="002234C2" w:rsidRPr="002234C2">
        <w:rPr>
          <w:rFonts w:ascii="Book Antiqua" w:eastAsia="Book Antiqua" w:hAnsi="Book Antiqua" w:cs="Book Antiqua"/>
          <w:szCs w:val="22"/>
        </w:rPr>
        <w:t xml:space="preserve">A: 30 </w:t>
      </w:r>
      <w:r w:rsidR="002234C2" w:rsidRPr="002234C2">
        <w:rPr>
          <w:rFonts w:ascii="Book Antiqua" w:hAnsi="Book Antiqua" w:cs="Book Antiqua"/>
          <w:szCs w:val="22"/>
          <w:lang w:eastAsia="zh-CN"/>
        </w:rPr>
        <w:t>×</w:t>
      </w:r>
      <w:r w:rsidR="002234C2" w:rsidRPr="002234C2">
        <w:rPr>
          <w:rFonts w:ascii="Book Antiqua" w:eastAsia="Book Antiqua" w:hAnsi="Book Antiqua" w:cs="Book Antiqua"/>
          <w:szCs w:val="22"/>
        </w:rPr>
        <w:t xml:space="preserve"> magnification; B: 100 </w:t>
      </w:r>
      <w:r w:rsidR="002234C2" w:rsidRPr="002234C2">
        <w:rPr>
          <w:rFonts w:ascii="Book Antiqua" w:hAnsi="Book Antiqua" w:cs="Book Antiqua"/>
          <w:szCs w:val="22"/>
          <w:lang w:eastAsia="zh-CN"/>
        </w:rPr>
        <w:t>×</w:t>
      </w:r>
      <w:r w:rsidR="002234C2" w:rsidRPr="002234C2">
        <w:rPr>
          <w:rFonts w:ascii="Book Antiqua" w:eastAsia="Book Antiqua" w:hAnsi="Book Antiqua" w:cs="Book Antiqua"/>
          <w:szCs w:val="22"/>
        </w:rPr>
        <w:t xml:space="preserve"> magnification.</w:t>
      </w:r>
    </w:p>
    <w:p w14:paraId="1B7B3AF5" w14:textId="77777777" w:rsidR="00443377" w:rsidRDefault="00443377">
      <w:pPr>
        <w:spacing w:line="360" w:lineRule="auto"/>
        <w:jc w:val="both"/>
        <w:rPr>
          <w:rFonts w:ascii="Book Antiqua" w:eastAsia="Book Antiqua" w:hAnsi="Book Antiqua" w:cs="Book Antiqua"/>
          <w:szCs w:val="22"/>
        </w:rPr>
      </w:pPr>
    </w:p>
    <w:p w14:paraId="260DC499" w14:textId="502D570F" w:rsidR="00443377" w:rsidRPr="00B67801" w:rsidRDefault="0087578D">
      <w:pPr>
        <w:spacing w:line="360" w:lineRule="auto"/>
        <w:jc w:val="both"/>
        <w:rPr>
          <w:b/>
          <w:bCs/>
        </w:rPr>
      </w:pPr>
      <w:r>
        <w:rPr>
          <w:noProof/>
        </w:rPr>
        <w:drawing>
          <wp:inline distT="0" distB="0" distL="0" distR="0" wp14:anchorId="7671C7C4" wp14:editId="0609AAEF">
            <wp:extent cx="2544557" cy="19854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4557" cy="1985486"/>
                    </a:xfrm>
                    <a:prstGeom prst="rect">
                      <a:avLst/>
                    </a:prstGeom>
                  </pic:spPr>
                </pic:pic>
              </a:graphicData>
            </a:graphic>
          </wp:inline>
        </w:drawing>
      </w:r>
    </w:p>
    <w:p w14:paraId="644CBFF9" w14:textId="77777777" w:rsidR="00DE721B" w:rsidRDefault="00000000">
      <w:pPr>
        <w:spacing w:line="360" w:lineRule="auto"/>
        <w:jc w:val="both"/>
        <w:rPr>
          <w:rFonts w:ascii="Book Antiqua" w:eastAsia="Book Antiqua" w:hAnsi="Book Antiqua" w:cs="Book Antiqua"/>
          <w:b/>
          <w:bCs/>
          <w:szCs w:val="22"/>
        </w:rPr>
        <w:sectPr w:rsidR="00DE721B">
          <w:pgSz w:w="12240" w:h="15840"/>
          <w:pgMar w:top="1440" w:right="1440" w:bottom="1440" w:left="1440" w:header="720" w:footer="720" w:gutter="0"/>
          <w:cols w:space="720"/>
          <w:docGrid w:linePitch="360"/>
        </w:sectPr>
      </w:pPr>
      <w:r w:rsidRPr="00B67801">
        <w:rPr>
          <w:rFonts w:ascii="Book Antiqua" w:eastAsia="Book Antiqua" w:hAnsi="Book Antiqua" w:cs="Book Antiqua"/>
          <w:b/>
          <w:bCs/>
          <w:szCs w:val="22"/>
        </w:rPr>
        <w:t>Figure 4 Pleural fluid cytospin smear preparation showing cells of myeloid series</w:t>
      </w:r>
      <w:r w:rsidR="00B67801">
        <w:rPr>
          <w:rFonts w:ascii="Book Antiqua" w:eastAsia="Book Antiqua" w:hAnsi="Book Antiqua" w:cs="Book Antiqua"/>
          <w:b/>
          <w:bCs/>
          <w:szCs w:val="22"/>
        </w:rPr>
        <w:t>.</w:t>
      </w:r>
    </w:p>
    <w:p w14:paraId="33C80B14" w14:textId="77777777" w:rsidR="00DE721B" w:rsidRDefault="00DE721B" w:rsidP="00DE721B">
      <w:pPr>
        <w:snapToGrid w:val="0"/>
        <w:ind w:leftChars="100" w:left="240"/>
        <w:jc w:val="center"/>
        <w:rPr>
          <w:rFonts w:ascii="Book Antiqua" w:hAnsi="Book Antiqua"/>
        </w:rPr>
      </w:pPr>
    </w:p>
    <w:p w14:paraId="1C5DDF1D" w14:textId="77777777" w:rsidR="00DE721B" w:rsidRDefault="00DE721B" w:rsidP="00DE721B">
      <w:pPr>
        <w:snapToGrid w:val="0"/>
        <w:ind w:leftChars="100" w:left="240"/>
        <w:jc w:val="center"/>
        <w:rPr>
          <w:rFonts w:ascii="Book Antiqua" w:hAnsi="Book Antiqua"/>
        </w:rPr>
      </w:pPr>
    </w:p>
    <w:p w14:paraId="58451963" w14:textId="77777777" w:rsidR="00DE721B" w:rsidRDefault="00DE721B" w:rsidP="00DE721B">
      <w:pPr>
        <w:snapToGrid w:val="0"/>
        <w:ind w:leftChars="100" w:left="240"/>
        <w:jc w:val="center"/>
        <w:rPr>
          <w:rFonts w:ascii="Book Antiqua" w:hAnsi="Book Antiqua"/>
        </w:rPr>
      </w:pPr>
    </w:p>
    <w:p w14:paraId="6DEBD5D9" w14:textId="77777777" w:rsidR="00DE721B" w:rsidRDefault="00DE721B" w:rsidP="00DE721B">
      <w:pPr>
        <w:snapToGrid w:val="0"/>
        <w:ind w:leftChars="100" w:left="240"/>
        <w:jc w:val="center"/>
        <w:rPr>
          <w:rFonts w:ascii="Book Antiqua" w:hAnsi="Book Antiqua"/>
        </w:rPr>
      </w:pPr>
    </w:p>
    <w:p w14:paraId="0B77D721" w14:textId="77777777" w:rsidR="00DE721B" w:rsidRDefault="00DE721B" w:rsidP="00DE721B">
      <w:pPr>
        <w:snapToGrid w:val="0"/>
        <w:ind w:leftChars="100" w:left="240"/>
        <w:jc w:val="center"/>
        <w:rPr>
          <w:rFonts w:ascii="Book Antiqua" w:hAnsi="Book Antiqua"/>
        </w:rPr>
      </w:pPr>
      <w:r>
        <w:rPr>
          <w:rFonts w:ascii="Book Antiqua" w:hAnsi="Book Antiqua"/>
          <w:noProof/>
        </w:rPr>
        <w:drawing>
          <wp:inline distT="0" distB="0" distL="0" distR="0" wp14:anchorId="5798157E" wp14:editId="007D769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F84B2AE" w14:textId="77777777" w:rsidR="00DE721B" w:rsidRDefault="00DE721B" w:rsidP="00DE721B">
      <w:pPr>
        <w:snapToGrid w:val="0"/>
        <w:ind w:leftChars="100" w:left="240"/>
        <w:jc w:val="center"/>
        <w:rPr>
          <w:rFonts w:ascii="Book Antiqua" w:hAnsi="Book Antiqua"/>
        </w:rPr>
      </w:pPr>
    </w:p>
    <w:p w14:paraId="70C77EB2" w14:textId="77777777" w:rsidR="00DE721B" w:rsidRDefault="00DE721B" w:rsidP="00DE721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054696D" w14:textId="77777777" w:rsidR="00DE721B" w:rsidRDefault="00DE721B" w:rsidP="00DE72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15D50B1" w14:textId="77777777" w:rsidR="00DE721B" w:rsidRDefault="00DE721B" w:rsidP="00DE721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3ED64D3" w14:textId="77777777" w:rsidR="00DE721B" w:rsidRDefault="00DE721B" w:rsidP="00DE72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541DA48" w14:textId="77777777" w:rsidR="00DE721B" w:rsidRDefault="00DE721B" w:rsidP="00DE721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A5FB7A6" w14:textId="77777777" w:rsidR="00DE721B" w:rsidRDefault="00DE721B" w:rsidP="00DE721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5153DAF" w14:textId="77777777" w:rsidR="00DE721B" w:rsidRDefault="00DE721B" w:rsidP="00DE721B">
      <w:pPr>
        <w:snapToGrid w:val="0"/>
        <w:ind w:leftChars="100" w:left="240"/>
        <w:jc w:val="center"/>
        <w:rPr>
          <w:rFonts w:ascii="Book Antiqua" w:hAnsi="Book Antiqua"/>
        </w:rPr>
      </w:pPr>
    </w:p>
    <w:p w14:paraId="4AEC4F5F" w14:textId="77777777" w:rsidR="00DE721B" w:rsidRDefault="00DE721B" w:rsidP="00DE721B">
      <w:pPr>
        <w:snapToGrid w:val="0"/>
        <w:ind w:leftChars="100" w:left="240"/>
        <w:jc w:val="center"/>
        <w:rPr>
          <w:rFonts w:ascii="Book Antiqua" w:hAnsi="Book Antiqua"/>
        </w:rPr>
      </w:pPr>
    </w:p>
    <w:p w14:paraId="66ADBF75" w14:textId="77777777" w:rsidR="00DE721B" w:rsidRDefault="00DE721B" w:rsidP="00DE721B">
      <w:pPr>
        <w:snapToGrid w:val="0"/>
        <w:ind w:leftChars="100" w:left="240"/>
        <w:jc w:val="center"/>
        <w:rPr>
          <w:rFonts w:ascii="Book Antiqua" w:hAnsi="Book Antiqua"/>
        </w:rPr>
      </w:pPr>
    </w:p>
    <w:p w14:paraId="3296E470" w14:textId="77777777" w:rsidR="00DE721B" w:rsidRDefault="00DE721B" w:rsidP="00DE721B">
      <w:pPr>
        <w:snapToGrid w:val="0"/>
        <w:ind w:leftChars="100" w:left="240"/>
        <w:jc w:val="center"/>
        <w:rPr>
          <w:rFonts w:ascii="Book Antiqua" w:hAnsi="Book Antiqua"/>
        </w:rPr>
      </w:pPr>
      <w:r>
        <w:rPr>
          <w:rFonts w:ascii="Book Antiqua" w:hAnsi="Book Antiqua"/>
          <w:noProof/>
        </w:rPr>
        <w:drawing>
          <wp:inline distT="0" distB="0" distL="0" distR="0" wp14:anchorId="683C37D4" wp14:editId="6936B53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1C67CF8" w14:textId="77777777" w:rsidR="00DE721B" w:rsidRDefault="00DE721B" w:rsidP="00DE721B">
      <w:pPr>
        <w:snapToGrid w:val="0"/>
        <w:ind w:leftChars="100" w:left="240"/>
        <w:jc w:val="center"/>
        <w:rPr>
          <w:rFonts w:ascii="Book Antiqua" w:hAnsi="Book Antiqua"/>
        </w:rPr>
      </w:pPr>
    </w:p>
    <w:p w14:paraId="16B51F98" w14:textId="77777777" w:rsidR="00DE721B" w:rsidRDefault="00DE721B" w:rsidP="00DE721B">
      <w:pPr>
        <w:snapToGrid w:val="0"/>
        <w:ind w:leftChars="100" w:left="240"/>
        <w:jc w:val="center"/>
        <w:rPr>
          <w:rFonts w:ascii="Book Antiqua" w:hAnsi="Book Antiqua"/>
        </w:rPr>
      </w:pPr>
    </w:p>
    <w:p w14:paraId="3D89DA78" w14:textId="77777777" w:rsidR="00DE721B" w:rsidRDefault="00DE721B" w:rsidP="00DE721B">
      <w:pPr>
        <w:snapToGrid w:val="0"/>
        <w:ind w:leftChars="100" w:left="240"/>
        <w:jc w:val="center"/>
        <w:rPr>
          <w:rFonts w:ascii="Book Antiqua" w:hAnsi="Book Antiqua"/>
        </w:rPr>
      </w:pPr>
    </w:p>
    <w:p w14:paraId="6C8EF5AC" w14:textId="77777777" w:rsidR="00DE721B" w:rsidRDefault="00DE721B" w:rsidP="00DE721B">
      <w:pPr>
        <w:snapToGrid w:val="0"/>
        <w:ind w:leftChars="100" w:left="240"/>
        <w:jc w:val="center"/>
        <w:rPr>
          <w:rFonts w:ascii="Book Antiqua" w:hAnsi="Book Antiqua"/>
        </w:rPr>
      </w:pPr>
    </w:p>
    <w:p w14:paraId="4373BDA5" w14:textId="77777777" w:rsidR="00DE721B" w:rsidRDefault="00DE721B" w:rsidP="00DE721B">
      <w:pPr>
        <w:snapToGrid w:val="0"/>
        <w:ind w:leftChars="100" w:left="240"/>
        <w:jc w:val="center"/>
        <w:rPr>
          <w:rFonts w:ascii="Book Antiqua" w:hAnsi="Book Antiqua"/>
        </w:rPr>
      </w:pPr>
    </w:p>
    <w:p w14:paraId="4A3F4E03" w14:textId="77777777" w:rsidR="00DE721B" w:rsidRDefault="00DE721B" w:rsidP="00DE721B">
      <w:pPr>
        <w:snapToGrid w:val="0"/>
        <w:ind w:leftChars="100" w:left="240"/>
        <w:jc w:val="center"/>
        <w:rPr>
          <w:rFonts w:ascii="Book Antiqua" w:hAnsi="Book Antiqua"/>
        </w:rPr>
      </w:pPr>
    </w:p>
    <w:p w14:paraId="79A0B894" w14:textId="77777777" w:rsidR="00DE721B" w:rsidRDefault="00DE721B" w:rsidP="00DE721B">
      <w:pPr>
        <w:snapToGrid w:val="0"/>
        <w:ind w:leftChars="100" w:left="240"/>
        <w:jc w:val="center"/>
        <w:rPr>
          <w:rFonts w:ascii="Book Antiqua" w:hAnsi="Book Antiqua"/>
        </w:rPr>
      </w:pPr>
    </w:p>
    <w:p w14:paraId="25D610C2" w14:textId="77777777" w:rsidR="00DE721B" w:rsidRDefault="00DE721B" w:rsidP="00DE721B">
      <w:pPr>
        <w:snapToGrid w:val="0"/>
        <w:ind w:leftChars="100" w:left="240"/>
        <w:jc w:val="center"/>
        <w:rPr>
          <w:rFonts w:ascii="Book Antiqua" w:hAnsi="Book Antiqua"/>
        </w:rPr>
      </w:pPr>
    </w:p>
    <w:p w14:paraId="204DBA38" w14:textId="77777777" w:rsidR="00DE721B" w:rsidRDefault="00DE721B" w:rsidP="00DE721B">
      <w:pPr>
        <w:snapToGrid w:val="0"/>
        <w:ind w:leftChars="100" w:left="240"/>
        <w:jc w:val="center"/>
        <w:rPr>
          <w:rFonts w:ascii="Book Antiqua" w:hAnsi="Book Antiqua"/>
        </w:rPr>
      </w:pPr>
    </w:p>
    <w:p w14:paraId="60EDC4B8" w14:textId="77777777" w:rsidR="00DE721B" w:rsidRDefault="00DE721B" w:rsidP="00DE721B">
      <w:pPr>
        <w:snapToGrid w:val="0"/>
        <w:ind w:leftChars="100" w:left="240"/>
        <w:jc w:val="right"/>
        <w:rPr>
          <w:rFonts w:ascii="Book Antiqua" w:hAnsi="Book Antiqua"/>
          <w:color w:val="000000" w:themeColor="text1"/>
        </w:rPr>
      </w:pPr>
    </w:p>
    <w:p w14:paraId="1CA0A089" w14:textId="77777777" w:rsidR="00DE721B" w:rsidRDefault="00DE721B" w:rsidP="00DE721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593B6B81" w14:textId="77777777" w:rsidR="00DE721B" w:rsidRDefault="00DE721B" w:rsidP="00DE721B">
      <w:pPr>
        <w:rPr>
          <w:rFonts w:ascii="Book Antiqua" w:hAnsi="Book Antiqua" w:cs="Book Antiqua"/>
          <w:b/>
          <w:bCs/>
          <w:color w:val="000000"/>
        </w:rPr>
      </w:pPr>
    </w:p>
    <w:p w14:paraId="6887BDF5" w14:textId="56E892FA" w:rsidR="00A77B3E" w:rsidRDefault="00A77B3E">
      <w:pPr>
        <w:spacing w:line="360" w:lineRule="auto"/>
        <w:jc w:val="both"/>
      </w:pPr>
    </w:p>
    <w:sectPr w:rsidR="00A77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F0234" w14:textId="77777777" w:rsidR="00E70DA1" w:rsidRDefault="00E70DA1" w:rsidP="00E45790">
      <w:r>
        <w:separator/>
      </w:r>
    </w:p>
  </w:endnote>
  <w:endnote w:type="continuationSeparator" w:id="0">
    <w:p w14:paraId="282B4633" w14:textId="77777777" w:rsidR="00E70DA1" w:rsidRDefault="00E70DA1" w:rsidP="00E45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20417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C10F294" w14:textId="056C4723" w:rsidR="00E45790" w:rsidRPr="00E45790" w:rsidRDefault="00E45790">
            <w:pPr>
              <w:pStyle w:val="aa"/>
              <w:jc w:val="right"/>
              <w:rPr>
                <w:rFonts w:ascii="Book Antiqua" w:hAnsi="Book Antiqua"/>
                <w:sz w:val="24"/>
                <w:szCs w:val="24"/>
              </w:rPr>
            </w:pPr>
            <w:r w:rsidRPr="00E45790">
              <w:rPr>
                <w:rFonts w:ascii="Book Antiqua" w:hAnsi="Book Antiqua"/>
                <w:sz w:val="24"/>
                <w:szCs w:val="24"/>
                <w:lang w:val="zh-CN" w:eastAsia="zh-CN"/>
              </w:rPr>
              <w:t xml:space="preserve"> </w:t>
            </w:r>
            <w:r w:rsidRPr="00E45790">
              <w:rPr>
                <w:rFonts w:ascii="Book Antiqua" w:hAnsi="Book Antiqua"/>
                <w:sz w:val="24"/>
                <w:szCs w:val="24"/>
              </w:rPr>
              <w:fldChar w:fldCharType="begin"/>
            </w:r>
            <w:r w:rsidRPr="00E45790">
              <w:rPr>
                <w:rFonts w:ascii="Book Antiqua" w:hAnsi="Book Antiqua"/>
                <w:sz w:val="24"/>
                <w:szCs w:val="24"/>
              </w:rPr>
              <w:instrText>PAGE</w:instrText>
            </w:r>
            <w:r w:rsidRPr="00E45790">
              <w:rPr>
                <w:rFonts w:ascii="Book Antiqua" w:hAnsi="Book Antiqua"/>
                <w:sz w:val="24"/>
                <w:szCs w:val="24"/>
              </w:rPr>
              <w:fldChar w:fldCharType="separate"/>
            </w:r>
            <w:r w:rsidRPr="00E45790">
              <w:rPr>
                <w:rFonts w:ascii="Book Antiqua" w:hAnsi="Book Antiqua"/>
                <w:sz w:val="24"/>
                <w:szCs w:val="24"/>
                <w:lang w:val="zh-CN" w:eastAsia="zh-CN"/>
              </w:rPr>
              <w:t>2</w:t>
            </w:r>
            <w:r w:rsidRPr="00E45790">
              <w:rPr>
                <w:rFonts w:ascii="Book Antiqua" w:hAnsi="Book Antiqua"/>
                <w:sz w:val="24"/>
                <w:szCs w:val="24"/>
              </w:rPr>
              <w:fldChar w:fldCharType="end"/>
            </w:r>
            <w:r w:rsidRPr="00E45790">
              <w:rPr>
                <w:rFonts w:ascii="Book Antiqua" w:hAnsi="Book Antiqua"/>
                <w:sz w:val="24"/>
                <w:szCs w:val="24"/>
                <w:lang w:val="zh-CN" w:eastAsia="zh-CN"/>
              </w:rPr>
              <w:t xml:space="preserve"> / </w:t>
            </w:r>
            <w:r w:rsidRPr="00E45790">
              <w:rPr>
                <w:rFonts w:ascii="Book Antiqua" w:hAnsi="Book Antiqua"/>
                <w:sz w:val="24"/>
                <w:szCs w:val="24"/>
              </w:rPr>
              <w:fldChar w:fldCharType="begin"/>
            </w:r>
            <w:r w:rsidRPr="00E45790">
              <w:rPr>
                <w:rFonts w:ascii="Book Antiqua" w:hAnsi="Book Antiqua"/>
                <w:sz w:val="24"/>
                <w:szCs w:val="24"/>
              </w:rPr>
              <w:instrText>NUMPAGES</w:instrText>
            </w:r>
            <w:r w:rsidRPr="00E45790">
              <w:rPr>
                <w:rFonts w:ascii="Book Antiqua" w:hAnsi="Book Antiqua"/>
                <w:sz w:val="24"/>
                <w:szCs w:val="24"/>
              </w:rPr>
              <w:fldChar w:fldCharType="separate"/>
            </w:r>
            <w:r w:rsidRPr="00E45790">
              <w:rPr>
                <w:rFonts w:ascii="Book Antiqua" w:hAnsi="Book Antiqua"/>
                <w:sz w:val="24"/>
                <w:szCs w:val="24"/>
                <w:lang w:val="zh-CN" w:eastAsia="zh-CN"/>
              </w:rPr>
              <w:t>2</w:t>
            </w:r>
            <w:r w:rsidRPr="00E45790">
              <w:rPr>
                <w:rFonts w:ascii="Book Antiqua" w:hAnsi="Book Antiqua"/>
                <w:sz w:val="24"/>
                <w:szCs w:val="24"/>
              </w:rPr>
              <w:fldChar w:fldCharType="end"/>
            </w:r>
          </w:p>
        </w:sdtContent>
      </w:sdt>
    </w:sdtContent>
  </w:sdt>
  <w:p w14:paraId="7B44FEEF" w14:textId="77777777" w:rsidR="00E45790" w:rsidRDefault="00E4579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66AD9" w14:textId="77777777" w:rsidR="00E70DA1" w:rsidRDefault="00E70DA1" w:rsidP="00E45790">
      <w:r>
        <w:separator/>
      </w:r>
    </w:p>
  </w:footnote>
  <w:footnote w:type="continuationSeparator" w:id="0">
    <w:p w14:paraId="6FB29EF4" w14:textId="77777777" w:rsidR="00E70DA1" w:rsidRDefault="00E70DA1" w:rsidP="00E45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4BF"/>
    <w:rsid w:val="00014B4D"/>
    <w:rsid w:val="00024003"/>
    <w:rsid w:val="0007116E"/>
    <w:rsid w:val="00093DDE"/>
    <w:rsid w:val="000942D6"/>
    <w:rsid w:val="000C2734"/>
    <w:rsid w:val="000C318C"/>
    <w:rsid w:val="000D072C"/>
    <w:rsid w:val="000D74A4"/>
    <w:rsid w:val="000E4E9A"/>
    <w:rsid w:val="00113C70"/>
    <w:rsid w:val="00116C60"/>
    <w:rsid w:val="001438E9"/>
    <w:rsid w:val="00152B89"/>
    <w:rsid w:val="00164AFF"/>
    <w:rsid w:val="001B2B87"/>
    <w:rsid w:val="00200795"/>
    <w:rsid w:val="002234C2"/>
    <w:rsid w:val="002413E9"/>
    <w:rsid w:val="0028539C"/>
    <w:rsid w:val="00290764"/>
    <w:rsid w:val="002A22FD"/>
    <w:rsid w:val="002C0F9A"/>
    <w:rsid w:val="002C13EF"/>
    <w:rsid w:val="002D378C"/>
    <w:rsid w:val="00313F5D"/>
    <w:rsid w:val="00341682"/>
    <w:rsid w:val="003629C9"/>
    <w:rsid w:val="003661F0"/>
    <w:rsid w:val="00387C72"/>
    <w:rsid w:val="00394825"/>
    <w:rsid w:val="004045D3"/>
    <w:rsid w:val="004423B0"/>
    <w:rsid w:val="00443377"/>
    <w:rsid w:val="0045055D"/>
    <w:rsid w:val="004C4538"/>
    <w:rsid w:val="005271AD"/>
    <w:rsid w:val="00562482"/>
    <w:rsid w:val="00592C26"/>
    <w:rsid w:val="005956CF"/>
    <w:rsid w:val="00596D29"/>
    <w:rsid w:val="005A1D2D"/>
    <w:rsid w:val="005A4563"/>
    <w:rsid w:val="005F75CB"/>
    <w:rsid w:val="005F7C49"/>
    <w:rsid w:val="006119BB"/>
    <w:rsid w:val="00611D91"/>
    <w:rsid w:val="00646741"/>
    <w:rsid w:val="006659DB"/>
    <w:rsid w:val="00681297"/>
    <w:rsid w:val="006A16B2"/>
    <w:rsid w:val="006C5D47"/>
    <w:rsid w:val="006D6EA7"/>
    <w:rsid w:val="00737E74"/>
    <w:rsid w:val="0077796E"/>
    <w:rsid w:val="007B2637"/>
    <w:rsid w:val="007D48D4"/>
    <w:rsid w:val="007F507B"/>
    <w:rsid w:val="008311D4"/>
    <w:rsid w:val="00840BF6"/>
    <w:rsid w:val="008729F4"/>
    <w:rsid w:val="0087578D"/>
    <w:rsid w:val="00887724"/>
    <w:rsid w:val="008A47C9"/>
    <w:rsid w:val="00904B1D"/>
    <w:rsid w:val="009436DE"/>
    <w:rsid w:val="00945DDE"/>
    <w:rsid w:val="00982285"/>
    <w:rsid w:val="009857E4"/>
    <w:rsid w:val="0099156A"/>
    <w:rsid w:val="009C4492"/>
    <w:rsid w:val="009F3873"/>
    <w:rsid w:val="00A42919"/>
    <w:rsid w:val="00A70A8A"/>
    <w:rsid w:val="00A77B3E"/>
    <w:rsid w:val="00A93EA1"/>
    <w:rsid w:val="00AD4AF8"/>
    <w:rsid w:val="00AF2124"/>
    <w:rsid w:val="00B26449"/>
    <w:rsid w:val="00B36190"/>
    <w:rsid w:val="00B67801"/>
    <w:rsid w:val="00B83FCF"/>
    <w:rsid w:val="00BA2B50"/>
    <w:rsid w:val="00C231DF"/>
    <w:rsid w:val="00C353A7"/>
    <w:rsid w:val="00C5399D"/>
    <w:rsid w:val="00C677EF"/>
    <w:rsid w:val="00C807DA"/>
    <w:rsid w:val="00C815AB"/>
    <w:rsid w:val="00CA2A55"/>
    <w:rsid w:val="00CD1DBD"/>
    <w:rsid w:val="00CD447F"/>
    <w:rsid w:val="00D251DE"/>
    <w:rsid w:val="00D53198"/>
    <w:rsid w:val="00D57ECC"/>
    <w:rsid w:val="00DB0937"/>
    <w:rsid w:val="00DE721B"/>
    <w:rsid w:val="00DF2C59"/>
    <w:rsid w:val="00E04F43"/>
    <w:rsid w:val="00E3633E"/>
    <w:rsid w:val="00E37CF5"/>
    <w:rsid w:val="00E45790"/>
    <w:rsid w:val="00E677EE"/>
    <w:rsid w:val="00E70DA1"/>
    <w:rsid w:val="00EE3AA8"/>
    <w:rsid w:val="00F070B2"/>
    <w:rsid w:val="00F17B94"/>
    <w:rsid w:val="00F34CDA"/>
    <w:rsid w:val="00F360F2"/>
    <w:rsid w:val="00F53B5F"/>
    <w:rsid w:val="00F5754D"/>
    <w:rsid w:val="00F915AC"/>
    <w:rsid w:val="00F93648"/>
    <w:rsid w:val="00FA00BB"/>
    <w:rsid w:val="00FA2B2E"/>
    <w:rsid w:val="00FC502B"/>
    <w:rsid w:val="00FD4F0E"/>
    <w:rsid w:val="00FD7E44"/>
    <w:rsid w:val="00FE5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CEA4F2"/>
  <w15:docId w15:val="{278D2A09-82E0-4F26-980D-62CC1E8D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42919"/>
    <w:rPr>
      <w:sz w:val="21"/>
      <w:szCs w:val="21"/>
    </w:rPr>
  </w:style>
  <w:style w:type="paragraph" w:styleId="a4">
    <w:name w:val="annotation text"/>
    <w:basedOn w:val="a"/>
    <w:link w:val="a5"/>
    <w:rsid w:val="00A42919"/>
  </w:style>
  <w:style w:type="character" w:customStyle="1" w:styleId="a5">
    <w:name w:val="批注文字 字符"/>
    <w:basedOn w:val="a0"/>
    <w:link w:val="a4"/>
    <w:rsid w:val="00A42919"/>
    <w:rPr>
      <w:sz w:val="24"/>
      <w:szCs w:val="24"/>
    </w:rPr>
  </w:style>
  <w:style w:type="paragraph" w:styleId="a6">
    <w:name w:val="annotation subject"/>
    <w:basedOn w:val="a4"/>
    <w:next w:val="a4"/>
    <w:link w:val="a7"/>
    <w:rsid w:val="00A42919"/>
    <w:rPr>
      <w:b/>
      <w:bCs/>
    </w:rPr>
  </w:style>
  <w:style w:type="character" w:customStyle="1" w:styleId="a7">
    <w:name w:val="批注主题 字符"/>
    <w:basedOn w:val="a5"/>
    <w:link w:val="a6"/>
    <w:rsid w:val="00A42919"/>
    <w:rPr>
      <w:b/>
      <w:bCs/>
      <w:sz w:val="24"/>
      <w:szCs w:val="24"/>
    </w:rPr>
  </w:style>
  <w:style w:type="paragraph" w:styleId="a8">
    <w:name w:val="header"/>
    <w:basedOn w:val="a"/>
    <w:link w:val="a9"/>
    <w:rsid w:val="00E45790"/>
    <w:pPr>
      <w:tabs>
        <w:tab w:val="center" w:pos="4153"/>
        <w:tab w:val="right" w:pos="8306"/>
      </w:tabs>
      <w:snapToGrid w:val="0"/>
      <w:jc w:val="center"/>
    </w:pPr>
    <w:rPr>
      <w:sz w:val="18"/>
      <w:szCs w:val="18"/>
    </w:rPr>
  </w:style>
  <w:style w:type="character" w:customStyle="1" w:styleId="a9">
    <w:name w:val="页眉 字符"/>
    <w:basedOn w:val="a0"/>
    <w:link w:val="a8"/>
    <w:rsid w:val="00E45790"/>
    <w:rPr>
      <w:sz w:val="18"/>
      <w:szCs w:val="18"/>
    </w:rPr>
  </w:style>
  <w:style w:type="paragraph" w:styleId="aa">
    <w:name w:val="footer"/>
    <w:basedOn w:val="a"/>
    <w:link w:val="ab"/>
    <w:uiPriority w:val="99"/>
    <w:rsid w:val="00E45790"/>
    <w:pPr>
      <w:tabs>
        <w:tab w:val="center" w:pos="4153"/>
        <w:tab w:val="right" w:pos="8306"/>
      </w:tabs>
      <w:snapToGrid w:val="0"/>
    </w:pPr>
    <w:rPr>
      <w:sz w:val="18"/>
      <w:szCs w:val="18"/>
    </w:rPr>
  </w:style>
  <w:style w:type="character" w:customStyle="1" w:styleId="ab">
    <w:name w:val="页脚 字符"/>
    <w:basedOn w:val="a0"/>
    <w:link w:val="aa"/>
    <w:uiPriority w:val="99"/>
    <w:rsid w:val="00E45790"/>
    <w:rPr>
      <w:sz w:val="18"/>
      <w:szCs w:val="18"/>
    </w:rPr>
  </w:style>
  <w:style w:type="paragraph" w:styleId="ac">
    <w:name w:val="Revision"/>
    <w:hidden/>
    <w:uiPriority w:val="99"/>
    <w:semiHidden/>
    <w:rsid w:val="00AF2124"/>
    <w:rPr>
      <w:sz w:val="24"/>
      <w:szCs w:val="24"/>
    </w:rPr>
  </w:style>
  <w:style w:type="character" w:styleId="ad">
    <w:name w:val="Hyperlink"/>
    <w:basedOn w:val="a0"/>
    <w:rsid w:val="000044BF"/>
    <w:rPr>
      <w:color w:val="0000FF" w:themeColor="hyperlink"/>
      <w:u w:val="single"/>
    </w:rPr>
  </w:style>
  <w:style w:type="character" w:styleId="ae">
    <w:name w:val="Unresolved Mention"/>
    <w:basedOn w:val="a0"/>
    <w:uiPriority w:val="99"/>
    <w:semiHidden/>
    <w:unhideWhenUsed/>
    <w:rsid w:val="00004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4985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17</Pages>
  <Words>3230</Words>
  <Characters>18417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67</cp:revision>
  <dcterms:created xsi:type="dcterms:W3CDTF">2023-11-21T11:32:00Z</dcterms:created>
  <dcterms:modified xsi:type="dcterms:W3CDTF">2023-12-28T06:31:00Z</dcterms:modified>
</cp:coreProperties>
</file>