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B4A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4A226069"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88699</w:t>
      </w:r>
    </w:p>
    <w:p w14:paraId="23D976E2"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8B294AA" w14:textId="77777777" w:rsidR="00A77B3E" w:rsidRDefault="00A77B3E">
      <w:pPr>
        <w:spacing w:line="360" w:lineRule="auto"/>
        <w:jc w:val="both"/>
      </w:pPr>
    </w:p>
    <w:p w14:paraId="25FE326C" w14:textId="77777777" w:rsidR="00A77B3E" w:rsidRDefault="00000000">
      <w:pPr>
        <w:spacing w:line="360" w:lineRule="auto"/>
        <w:jc w:val="both"/>
      </w:pPr>
      <w:r>
        <w:rPr>
          <w:rFonts w:ascii="Book Antiqua" w:eastAsia="Book Antiqua" w:hAnsi="Book Antiqua" w:cs="Book Antiqua"/>
          <w:b/>
          <w:i/>
        </w:rPr>
        <w:t>Observational Study</w:t>
      </w:r>
    </w:p>
    <w:p w14:paraId="23E12BF5" w14:textId="77777777" w:rsidR="00A77B3E" w:rsidRDefault="00000000">
      <w:pPr>
        <w:spacing w:line="360" w:lineRule="auto"/>
        <w:jc w:val="both"/>
      </w:pPr>
      <w:r>
        <w:rPr>
          <w:rFonts w:ascii="Book Antiqua" w:eastAsia="Book Antiqua" w:hAnsi="Book Antiqua" w:cs="Book Antiqua"/>
          <w:b/>
          <w:color w:val="000000"/>
        </w:rPr>
        <w:t>Safety and efficacy of modified endoscopic ultrasound-guided selective N-butyl-2-cyanoacrylate injections for gastric variceal hemorrhage in left-sided portal hypertension</w:t>
      </w:r>
    </w:p>
    <w:p w14:paraId="10601DDD" w14:textId="77777777" w:rsidR="00A77B3E" w:rsidRDefault="00A77B3E">
      <w:pPr>
        <w:spacing w:line="360" w:lineRule="auto"/>
        <w:jc w:val="both"/>
      </w:pPr>
    </w:p>
    <w:p w14:paraId="5266622E" w14:textId="77777777" w:rsidR="00A77B3E" w:rsidRDefault="00000000">
      <w:pPr>
        <w:spacing w:line="360" w:lineRule="auto"/>
        <w:jc w:val="both"/>
      </w:pPr>
      <w:r>
        <w:rPr>
          <w:rFonts w:ascii="Book Antiqua" w:eastAsia="Book Antiqua" w:hAnsi="Book Antiqua" w:cs="Book Antiqua"/>
          <w:color w:val="000000"/>
        </w:rPr>
        <w:t xml:space="preserve">Zeng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Modified EUS-guided hemostasis in </w:t>
      </w:r>
      <w:proofErr w:type="spellStart"/>
      <w:r>
        <w:rPr>
          <w:rFonts w:ascii="Book Antiqua" w:eastAsia="Book Antiqua" w:hAnsi="Book Antiqua" w:cs="Book Antiqua"/>
          <w:color w:val="000000"/>
          <w:shd w:val="clear" w:color="auto" w:fill="FFFFFF"/>
        </w:rPr>
        <w:t>LSPH</w:t>
      </w:r>
      <w:proofErr w:type="spellEnd"/>
      <w:r>
        <w:rPr>
          <w:rFonts w:ascii="Book Antiqua" w:eastAsia="Book Antiqua" w:hAnsi="Book Antiqua" w:cs="Book Antiqua"/>
          <w:color w:val="000000"/>
          <w:shd w:val="clear" w:color="auto" w:fill="FFFFFF"/>
        </w:rPr>
        <w:t xml:space="preserve">-induced </w:t>
      </w:r>
      <w:proofErr w:type="spellStart"/>
      <w:r>
        <w:rPr>
          <w:rFonts w:ascii="Book Antiqua" w:eastAsia="Book Antiqua" w:hAnsi="Book Antiqua" w:cs="Book Antiqua"/>
          <w:color w:val="000000"/>
          <w:shd w:val="clear" w:color="auto" w:fill="FFFFFF"/>
        </w:rPr>
        <w:t>GV</w:t>
      </w:r>
      <w:proofErr w:type="spellEnd"/>
    </w:p>
    <w:p w14:paraId="3CD14FB5" w14:textId="77777777" w:rsidR="00A77B3E" w:rsidRDefault="00A77B3E">
      <w:pPr>
        <w:spacing w:line="360" w:lineRule="auto"/>
        <w:jc w:val="both"/>
      </w:pPr>
    </w:p>
    <w:p w14:paraId="44EBBA28" w14:textId="77777777" w:rsidR="00A77B3E" w:rsidRDefault="00000000">
      <w:pPr>
        <w:spacing w:line="360" w:lineRule="auto"/>
        <w:jc w:val="both"/>
      </w:pPr>
      <w:r>
        <w:rPr>
          <w:rFonts w:ascii="Book Antiqua" w:eastAsia="Book Antiqua" w:hAnsi="Book Antiqua" w:cs="Book Antiqua"/>
          <w:color w:val="000000"/>
        </w:rPr>
        <w:t>Yan Zeng, Jian Yang, Jun-Wen Zhang</w:t>
      </w:r>
    </w:p>
    <w:p w14:paraId="22515D7C" w14:textId="77777777" w:rsidR="00A77B3E" w:rsidRDefault="00A77B3E">
      <w:pPr>
        <w:spacing w:line="360" w:lineRule="auto"/>
        <w:jc w:val="both"/>
      </w:pPr>
    </w:p>
    <w:p w14:paraId="267C266E" w14:textId="77777777" w:rsidR="00A77B3E" w:rsidRDefault="00000000">
      <w:pPr>
        <w:spacing w:line="360" w:lineRule="auto"/>
        <w:jc w:val="both"/>
      </w:pPr>
      <w:r>
        <w:rPr>
          <w:rFonts w:ascii="Book Antiqua" w:eastAsia="Book Antiqua" w:hAnsi="Book Antiqua" w:cs="Book Antiqua"/>
          <w:b/>
          <w:bCs/>
          <w:color w:val="000000"/>
        </w:rPr>
        <w:t xml:space="preserve">Yan Zeng, </w:t>
      </w:r>
      <w:r>
        <w:rPr>
          <w:rFonts w:ascii="Book Antiqua" w:eastAsia="Book Antiqua" w:hAnsi="Book Antiqua" w:cs="Book Antiqua"/>
          <w:color w:val="000000"/>
        </w:rPr>
        <w:t>Department of Psychology, The Second Affiliated Hospital of Chongqing Medical University, Chongqing 400010, China</w:t>
      </w:r>
    </w:p>
    <w:p w14:paraId="03DB0F46" w14:textId="77777777" w:rsidR="00A77B3E" w:rsidRDefault="00A77B3E">
      <w:pPr>
        <w:spacing w:line="360" w:lineRule="auto"/>
        <w:jc w:val="both"/>
      </w:pPr>
    </w:p>
    <w:p w14:paraId="0009B540" w14:textId="77777777" w:rsidR="001D7E54" w:rsidRDefault="001D7E54" w:rsidP="001D7E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Jian Yang,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People's Hospital of Xizang,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w:t>
      </w:r>
      <w:r w:rsidRPr="003434C0">
        <w:rPr>
          <w:rFonts w:ascii="Book Antiqua" w:eastAsia="Book Antiqua" w:hAnsi="Book Antiqua" w:cs="Book Antiqua"/>
          <w:color w:val="000000"/>
        </w:rPr>
        <w:t>854000</w:t>
      </w:r>
      <w:r>
        <w:rPr>
          <w:rFonts w:ascii="Book Antiqua" w:eastAsia="Book Antiqua" w:hAnsi="Book Antiqua" w:cs="Book Antiqua"/>
          <w:color w:val="000000"/>
        </w:rPr>
        <w:t>, Tibet Autonomous Region, China</w:t>
      </w:r>
    </w:p>
    <w:p w14:paraId="7C27410C" w14:textId="77777777" w:rsidR="001D7E54" w:rsidRDefault="001D7E54">
      <w:pPr>
        <w:spacing w:line="360" w:lineRule="auto"/>
        <w:jc w:val="both"/>
      </w:pPr>
    </w:p>
    <w:p w14:paraId="05E5A495" w14:textId="77777777" w:rsidR="00A77B3E" w:rsidRDefault="00000000">
      <w:pPr>
        <w:spacing w:line="360" w:lineRule="auto"/>
        <w:jc w:val="both"/>
      </w:pPr>
      <w:r>
        <w:rPr>
          <w:rFonts w:ascii="Book Antiqua" w:eastAsia="Book Antiqua" w:hAnsi="Book Antiqua" w:cs="Book Antiqua"/>
          <w:b/>
          <w:bCs/>
          <w:color w:val="000000"/>
        </w:rPr>
        <w:t xml:space="preserve">Jian Yang, Jun-Wen Zhang, </w:t>
      </w:r>
      <w:r>
        <w:rPr>
          <w:rFonts w:ascii="Book Antiqua" w:eastAsia="Book Antiqua" w:hAnsi="Book Antiqua" w:cs="Book Antiqua"/>
          <w:color w:val="000000"/>
        </w:rPr>
        <w:t>Department of Gastroenterology, The First Affiliated Hospital of Chongqing Medical University, Chongqing 400016, China</w:t>
      </w:r>
    </w:p>
    <w:p w14:paraId="719D80F4" w14:textId="77777777" w:rsidR="00A77B3E" w:rsidRDefault="00A77B3E">
      <w:pPr>
        <w:spacing w:line="360" w:lineRule="auto"/>
        <w:jc w:val="both"/>
      </w:pPr>
    </w:p>
    <w:p w14:paraId="4269096D" w14:textId="59F63D72"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Zeng Y, Yang J and Zhang </w:t>
      </w:r>
      <w:proofErr w:type="spellStart"/>
      <w:r>
        <w:rPr>
          <w:rFonts w:ascii="Book Antiqua" w:eastAsia="Book Antiqua" w:hAnsi="Book Antiqua" w:cs="Book Antiqua"/>
          <w:color w:val="000000"/>
        </w:rPr>
        <w:t>JW</w:t>
      </w:r>
      <w:proofErr w:type="spellEnd"/>
      <w:r>
        <w:rPr>
          <w:rFonts w:ascii="Book Antiqua" w:eastAsia="Book Antiqua" w:hAnsi="Book Antiqua" w:cs="Book Antiqua"/>
          <w:color w:val="000000"/>
        </w:rPr>
        <w:t xml:space="preserve"> conceptualized and designed the research; Zeng Y and Yang J performed the literature search, analyzed the data, and wrote the original manuscript; Yang J and Zhang </w:t>
      </w:r>
      <w:proofErr w:type="spellStart"/>
      <w:r>
        <w:rPr>
          <w:rFonts w:ascii="Book Antiqua" w:eastAsia="Book Antiqua" w:hAnsi="Book Antiqua" w:cs="Book Antiqua"/>
          <w:color w:val="000000"/>
        </w:rPr>
        <w:t>JW</w:t>
      </w:r>
      <w:proofErr w:type="spellEnd"/>
      <w:r>
        <w:rPr>
          <w:rFonts w:ascii="Book Antiqua" w:eastAsia="Book Antiqua" w:hAnsi="Book Antiqua" w:cs="Book Antiqua"/>
          <w:color w:val="000000"/>
        </w:rPr>
        <w:t xml:space="preserve"> performed the endoscopic procedures and edited the final manuscript; </w:t>
      </w:r>
      <w:r w:rsidR="00210A58">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529B6CF1" w14:textId="77777777" w:rsidR="00A77B3E" w:rsidRDefault="00A77B3E">
      <w:pPr>
        <w:spacing w:line="360" w:lineRule="auto"/>
        <w:jc w:val="both"/>
      </w:pPr>
    </w:p>
    <w:p w14:paraId="2FAF4B4B" w14:textId="233113CD"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Program for Youth Innovation in Future Medicine, Chongqing Medical University, China</w:t>
      </w:r>
      <w:r w:rsidR="00530380">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W0138</w:t>
      </w:r>
      <w:proofErr w:type="spellEnd"/>
      <w:r w:rsidR="00530380">
        <w:rPr>
          <w:rFonts w:ascii="Book Antiqua" w:eastAsia="Book Antiqua" w:hAnsi="Book Antiqua" w:cs="Book Antiqua"/>
          <w:color w:val="000000"/>
        </w:rPr>
        <w:t>.</w:t>
      </w:r>
    </w:p>
    <w:p w14:paraId="72E84BBE" w14:textId="77777777" w:rsidR="00A77B3E" w:rsidRDefault="00A77B3E">
      <w:pPr>
        <w:spacing w:line="360" w:lineRule="auto"/>
        <w:jc w:val="both"/>
      </w:pPr>
    </w:p>
    <w:p w14:paraId="54AEAD83" w14:textId="6F0CD695" w:rsidR="00A77B3E" w:rsidRDefault="00000000">
      <w:pPr>
        <w:spacing w:line="360" w:lineRule="auto"/>
        <w:jc w:val="both"/>
      </w:pPr>
      <w:r>
        <w:rPr>
          <w:rFonts w:ascii="Book Antiqua" w:eastAsia="Book Antiqua" w:hAnsi="Book Antiqua" w:cs="Book Antiqua"/>
          <w:b/>
          <w:bCs/>
          <w:color w:val="000000"/>
        </w:rPr>
        <w:lastRenderedPageBreak/>
        <w:t xml:space="preserve">Corresponding author: Jian Yang, MD, PhD, Associate Chief Physician, Deputy Director, </w:t>
      </w:r>
      <w:r w:rsidR="00530380" w:rsidRPr="00530380">
        <w:rPr>
          <w:rFonts w:ascii="Book Antiqua" w:eastAsia="Book Antiqua" w:hAnsi="Book Antiqua" w:cs="Book Antiqua"/>
          <w:color w:val="000000"/>
        </w:rPr>
        <w:t xml:space="preserve">Department of Gastroenterology, </w:t>
      </w:r>
      <w:proofErr w:type="spellStart"/>
      <w:r w:rsidR="00530380" w:rsidRPr="00530380">
        <w:rPr>
          <w:rFonts w:ascii="Book Antiqua" w:eastAsia="Book Antiqua" w:hAnsi="Book Antiqua" w:cs="Book Antiqua"/>
          <w:color w:val="000000"/>
        </w:rPr>
        <w:t>Changdu</w:t>
      </w:r>
      <w:proofErr w:type="spellEnd"/>
      <w:r w:rsidR="00530380" w:rsidRPr="00530380">
        <w:rPr>
          <w:rFonts w:ascii="Book Antiqua" w:eastAsia="Book Antiqua" w:hAnsi="Book Antiqua" w:cs="Book Antiqua"/>
          <w:color w:val="000000"/>
        </w:rPr>
        <w:t xml:space="preserve"> People's Hospital of Xizang, No. 168 South Road Gate, Karuo District, </w:t>
      </w:r>
      <w:proofErr w:type="spellStart"/>
      <w:r w:rsidR="00530380" w:rsidRPr="00530380">
        <w:rPr>
          <w:rFonts w:ascii="Book Antiqua" w:eastAsia="Book Antiqua" w:hAnsi="Book Antiqua" w:cs="Book Antiqua"/>
          <w:color w:val="000000"/>
        </w:rPr>
        <w:t>Changdu</w:t>
      </w:r>
      <w:proofErr w:type="spellEnd"/>
      <w:r w:rsidR="00530380" w:rsidRPr="00530380">
        <w:rPr>
          <w:rFonts w:ascii="Book Antiqua" w:eastAsia="Book Antiqua" w:hAnsi="Book Antiqua" w:cs="Book Antiqua"/>
          <w:color w:val="000000"/>
        </w:rPr>
        <w:t xml:space="preserve"> 854000, Tibet Autonomous Region, China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yangjian@hospital.cqmu.edu.cn</w:t>
      </w:r>
      <w:proofErr w:type="spellEnd"/>
    </w:p>
    <w:p w14:paraId="4C434D3C" w14:textId="77777777" w:rsidR="00A77B3E" w:rsidRDefault="00A77B3E">
      <w:pPr>
        <w:spacing w:line="360" w:lineRule="auto"/>
        <w:jc w:val="both"/>
      </w:pPr>
    </w:p>
    <w:p w14:paraId="4CF6DE0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6, 2023</w:t>
      </w:r>
    </w:p>
    <w:p w14:paraId="35B157BD"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7, 2023</w:t>
      </w:r>
    </w:p>
    <w:p w14:paraId="6F7FBE48" w14:textId="36612F05" w:rsidR="00A77B3E" w:rsidRPr="00FB21A6" w:rsidRDefault="00000000" w:rsidP="00FB21A6">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r w:rsidR="001B41E3" w:rsidRPr="00E0103E">
        <w:rPr>
          <w:rFonts w:ascii="Book Antiqua" w:hAnsi="Book Antiqua"/>
        </w:rPr>
        <w:t xml:space="preserve">December </w:t>
      </w:r>
      <w:r w:rsidR="001B41E3">
        <w:rPr>
          <w:rFonts w:ascii="Book Antiqua" w:hAnsi="Book Antiqua"/>
        </w:rPr>
        <w:t>27</w:t>
      </w:r>
      <w:r w:rsidR="001B41E3"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2B3BB15" w14:textId="20CD62FD" w:rsidR="00A77B3E" w:rsidRDefault="00000000">
      <w:pPr>
        <w:spacing w:line="360" w:lineRule="auto"/>
        <w:jc w:val="both"/>
      </w:pPr>
      <w:r>
        <w:rPr>
          <w:rFonts w:ascii="Book Antiqua" w:eastAsia="Book Antiqua" w:hAnsi="Book Antiqua" w:cs="Book Antiqua"/>
          <w:b/>
          <w:bCs/>
        </w:rPr>
        <w:t xml:space="preserve">Published online: </w:t>
      </w:r>
      <w:r w:rsidR="00FB21A6">
        <w:rPr>
          <w:rFonts w:ascii="Book Antiqua" w:hAnsi="Book Antiqua"/>
          <w:color w:val="000000"/>
          <w:shd w:val="clear" w:color="auto" w:fill="FFFFFF"/>
        </w:rPr>
        <w:t>January 16, 2024</w:t>
      </w:r>
    </w:p>
    <w:p w14:paraId="141CCFE6" w14:textId="77777777" w:rsidR="00A77B3E" w:rsidRDefault="00A77B3E">
      <w:pPr>
        <w:spacing w:line="360" w:lineRule="auto"/>
        <w:jc w:val="both"/>
        <w:sectPr w:rsidR="00A77B3E" w:rsidSect="00E0199D">
          <w:footerReference w:type="default" r:id="rId6"/>
          <w:pgSz w:w="12240" w:h="15840"/>
          <w:pgMar w:top="1440" w:right="1440" w:bottom="1440" w:left="1440" w:header="720" w:footer="720" w:gutter="0"/>
          <w:cols w:space="720"/>
          <w:docGrid w:linePitch="360"/>
        </w:sectPr>
      </w:pPr>
    </w:p>
    <w:p w14:paraId="3060780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FE99DB3" w14:textId="77777777" w:rsidR="00A77B3E" w:rsidRDefault="00000000">
      <w:pPr>
        <w:spacing w:line="360" w:lineRule="auto"/>
        <w:jc w:val="both"/>
      </w:pPr>
      <w:r>
        <w:rPr>
          <w:rFonts w:ascii="Book Antiqua" w:eastAsia="Book Antiqua" w:hAnsi="Book Antiqua" w:cs="Book Antiqua"/>
          <w:color w:val="000000"/>
        </w:rPr>
        <w:t>BACKGROUND</w:t>
      </w:r>
    </w:p>
    <w:p w14:paraId="4053D137" w14:textId="77777777" w:rsidR="00A77B3E" w:rsidRDefault="00000000">
      <w:pPr>
        <w:spacing w:line="360" w:lineRule="auto"/>
        <w:jc w:val="both"/>
      </w:pPr>
      <w:r>
        <w:rPr>
          <w:rFonts w:ascii="Book Antiqua" w:eastAsia="Book Antiqua" w:hAnsi="Book Antiqua" w:cs="Book Antiqua"/>
          <w:color w:val="000000"/>
        </w:rPr>
        <w:t>Gastric variceal hemorrhage is one of the primary manifestations of left-sided portal hypertension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The hemorrhage is fatal and requires safe and effective interventions.</w:t>
      </w:r>
    </w:p>
    <w:p w14:paraId="6A8E081D" w14:textId="77777777" w:rsidR="00A77B3E" w:rsidRDefault="00A77B3E">
      <w:pPr>
        <w:spacing w:line="360" w:lineRule="auto"/>
        <w:jc w:val="both"/>
      </w:pPr>
    </w:p>
    <w:p w14:paraId="65DA3845" w14:textId="77777777" w:rsidR="00A77B3E" w:rsidRDefault="00000000">
      <w:pPr>
        <w:spacing w:line="360" w:lineRule="auto"/>
        <w:jc w:val="both"/>
      </w:pPr>
      <w:r>
        <w:rPr>
          <w:rFonts w:ascii="Book Antiqua" w:eastAsia="Book Antiqua" w:hAnsi="Book Antiqua" w:cs="Book Antiqua"/>
          <w:color w:val="000000"/>
        </w:rPr>
        <w:t>AIM</w:t>
      </w:r>
    </w:p>
    <w:p w14:paraId="7FAD92F1" w14:textId="77777777" w:rsidR="00A77B3E" w:rsidRDefault="00000000">
      <w:pPr>
        <w:spacing w:line="360" w:lineRule="auto"/>
        <w:jc w:val="both"/>
      </w:pPr>
      <w:r>
        <w:rPr>
          <w:rFonts w:ascii="Book Antiqua" w:eastAsia="Book Antiqua" w:hAnsi="Book Antiqua" w:cs="Book Antiqua"/>
          <w:color w:val="000000"/>
        </w:rPr>
        <w:t xml:space="preserve">To evaluate the clinical safety and efficacy of modified endoscopic ultrasound (EUS)-guided selective N-butyl-2-cyanoacrylate (NBC) injections for gastric variceal hemorrhage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w:t>
      </w:r>
    </w:p>
    <w:p w14:paraId="40EB2CA0" w14:textId="77777777" w:rsidR="00A77B3E" w:rsidRDefault="00A77B3E">
      <w:pPr>
        <w:spacing w:line="360" w:lineRule="auto"/>
        <w:jc w:val="both"/>
      </w:pPr>
    </w:p>
    <w:p w14:paraId="191BC062" w14:textId="77777777" w:rsidR="00A77B3E" w:rsidRDefault="00000000">
      <w:pPr>
        <w:spacing w:line="360" w:lineRule="auto"/>
        <w:jc w:val="both"/>
      </w:pPr>
      <w:r>
        <w:rPr>
          <w:rFonts w:ascii="Book Antiqua" w:eastAsia="Book Antiqua" w:hAnsi="Book Antiqua" w:cs="Book Antiqua"/>
          <w:color w:val="000000"/>
        </w:rPr>
        <w:t>METHODS</w:t>
      </w:r>
    </w:p>
    <w:p w14:paraId="6D206DAC" w14:textId="77777777" w:rsidR="0052469E" w:rsidRDefault="0052469E" w:rsidP="0052469E">
      <w:pPr>
        <w:spacing w:line="360" w:lineRule="auto"/>
        <w:jc w:val="both"/>
      </w:pPr>
      <w:r>
        <w:rPr>
          <w:rFonts w:ascii="Book Antiqua" w:eastAsia="Book Antiqua" w:hAnsi="Book Antiqua" w:cs="Book Antiqua"/>
          <w:color w:val="000000"/>
        </w:rPr>
        <w:t xml:space="preserve">A retrospective observational study of patients with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 was conducted. Preoperative EUS evaluations were performed. Enrolled patients were divided into modified and conventional groups according to the NBC injection technique. The final selection of NBC injection technique depended on the patients’ preferences and clinical status. The technical and clinical success rates, operation time, NBC doses, perioperative complications, postoperative hospital stay, and recurrent bleeding rates were analyzed, respectively.</w:t>
      </w:r>
    </w:p>
    <w:p w14:paraId="101C47F0" w14:textId="77777777" w:rsidR="0052469E" w:rsidRDefault="0052469E" w:rsidP="0052469E">
      <w:pPr>
        <w:spacing w:line="360" w:lineRule="auto"/>
        <w:jc w:val="both"/>
      </w:pPr>
    </w:p>
    <w:p w14:paraId="28007DC2" w14:textId="77777777" w:rsidR="0052469E" w:rsidRDefault="0052469E" w:rsidP="0052469E">
      <w:pPr>
        <w:spacing w:line="360" w:lineRule="auto"/>
        <w:jc w:val="both"/>
      </w:pPr>
      <w:r>
        <w:rPr>
          <w:rFonts w:ascii="Book Antiqua" w:eastAsia="Book Antiqua" w:hAnsi="Book Antiqua" w:cs="Book Antiqua"/>
          <w:color w:val="000000"/>
        </w:rPr>
        <w:t>RESULTS</w:t>
      </w:r>
    </w:p>
    <w:p w14:paraId="35E53E77" w14:textId="77777777" w:rsidR="0052469E" w:rsidRDefault="0052469E" w:rsidP="0052469E">
      <w:pPr>
        <w:spacing w:line="360" w:lineRule="auto"/>
        <w:jc w:val="both"/>
      </w:pPr>
      <w:r>
        <w:rPr>
          <w:rFonts w:ascii="Book Antiqua" w:eastAsia="Book Antiqua" w:hAnsi="Book Antiqua" w:cs="Book Antiqua"/>
          <w:color w:val="000000"/>
        </w:rPr>
        <w:t xml:space="preserve">A total of 27 patients were enrolled. No statistically significant differences were observed between the two groups regarding baseline characteristics. In comparison to patients in the conventional group, patients in the modified group demonstrated significantly reduced NBC doses (2.0 ± 0.6 mL </w:t>
      </w:r>
      <w:r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3.1 ± 1.0 mL; </w:t>
      </w:r>
      <w:r>
        <w:rPr>
          <w:rFonts w:ascii="Book Antiqua" w:eastAsia="Book Antiqua" w:hAnsi="Book Antiqua" w:cs="Book Antiqua"/>
          <w:i/>
          <w:iCs/>
          <w:color w:val="000000"/>
        </w:rPr>
        <w:t>P</w:t>
      </w:r>
      <w:r w:rsidRP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 0.004) and increased endoscopic operation time (71.9 ± 11.9 min </w:t>
      </w:r>
      <w:r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22.5 ± 6.7 min;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Meanwhile, the two groups had no significant difference in the technical and clinical success rates, perioperative complications, postoperative hospital stay, and recurrent bleeding rates.</w:t>
      </w:r>
    </w:p>
    <w:p w14:paraId="369A1D8B" w14:textId="77777777" w:rsidR="0052469E" w:rsidRDefault="0052469E" w:rsidP="0052469E">
      <w:pPr>
        <w:spacing w:line="360" w:lineRule="auto"/>
        <w:jc w:val="both"/>
      </w:pPr>
    </w:p>
    <w:p w14:paraId="516C2DD2" w14:textId="77777777" w:rsidR="0052469E" w:rsidRDefault="0052469E" w:rsidP="0052469E">
      <w:pPr>
        <w:spacing w:line="360" w:lineRule="auto"/>
        <w:jc w:val="both"/>
      </w:pPr>
      <w:r>
        <w:rPr>
          <w:rFonts w:ascii="Book Antiqua" w:eastAsia="Book Antiqua" w:hAnsi="Book Antiqua" w:cs="Book Antiqua"/>
          <w:color w:val="000000"/>
        </w:rPr>
        <w:lastRenderedPageBreak/>
        <w:t>CONCLUSION</w:t>
      </w:r>
    </w:p>
    <w:p w14:paraId="1A6540D2" w14:textId="3E26A057" w:rsidR="00A77B3E" w:rsidRDefault="0052469E" w:rsidP="005246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Modified EUS-guided selective NBC injections demonstrated safety and efficacy for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 with advantages of reduced injection dose and no radiation risk. Drawbacks were time consumption and technical challenge.</w:t>
      </w:r>
    </w:p>
    <w:p w14:paraId="3EEA0673" w14:textId="77777777" w:rsidR="0052469E" w:rsidRDefault="0052469E" w:rsidP="0052469E">
      <w:pPr>
        <w:spacing w:line="360" w:lineRule="auto"/>
        <w:jc w:val="both"/>
      </w:pPr>
    </w:p>
    <w:p w14:paraId="39746566" w14:textId="5053AD2A"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Endoscopic ultrasound</w:t>
      </w:r>
      <w:r w:rsidR="00210A58">
        <w:rPr>
          <w:rFonts w:ascii="Book Antiqua" w:eastAsia="Book Antiqua" w:hAnsi="Book Antiqua" w:cs="Book Antiqua"/>
        </w:rPr>
        <w:t>;</w:t>
      </w:r>
      <w:r>
        <w:rPr>
          <w:rFonts w:ascii="Book Antiqua" w:eastAsia="Book Antiqua" w:hAnsi="Book Antiqua" w:cs="Book Antiqua"/>
        </w:rPr>
        <w:t xml:space="preserve"> Selective</w:t>
      </w:r>
      <w:r w:rsidR="00210A58">
        <w:rPr>
          <w:rFonts w:ascii="Book Antiqua" w:eastAsia="Book Antiqua" w:hAnsi="Book Antiqua" w:cs="Book Antiqua"/>
        </w:rPr>
        <w:t>;</w:t>
      </w:r>
      <w:r>
        <w:rPr>
          <w:rFonts w:ascii="Book Antiqua" w:eastAsia="Book Antiqua" w:hAnsi="Book Antiqua" w:cs="Book Antiqua"/>
        </w:rPr>
        <w:t xml:space="preserve"> N-butyl-2-cyanoacrylate</w:t>
      </w:r>
      <w:r w:rsidR="00210A58">
        <w:rPr>
          <w:rFonts w:ascii="Book Antiqua" w:eastAsia="Book Antiqua" w:hAnsi="Book Antiqua" w:cs="Book Antiqua"/>
        </w:rPr>
        <w:t>;</w:t>
      </w:r>
      <w:r>
        <w:rPr>
          <w:rFonts w:ascii="Book Antiqua" w:eastAsia="Book Antiqua" w:hAnsi="Book Antiqua" w:cs="Book Antiqua"/>
        </w:rPr>
        <w:t xml:space="preserve"> Gastric varices</w:t>
      </w:r>
      <w:r w:rsidR="00210A58">
        <w:rPr>
          <w:rFonts w:ascii="Book Antiqua" w:eastAsia="Book Antiqua" w:hAnsi="Book Antiqua" w:cs="Book Antiqua"/>
        </w:rPr>
        <w:t>;</w:t>
      </w:r>
      <w:r>
        <w:rPr>
          <w:rFonts w:ascii="Book Antiqua" w:eastAsia="Book Antiqua" w:hAnsi="Book Antiqua" w:cs="Book Antiqua"/>
        </w:rPr>
        <w:t xml:space="preserve"> </w:t>
      </w:r>
      <w:r w:rsidR="00210A58">
        <w:rPr>
          <w:rFonts w:ascii="Book Antiqua" w:eastAsia="Book Antiqua" w:hAnsi="Book Antiqua" w:cs="Book Antiqua"/>
        </w:rPr>
        <w:t>H</w:t>
      </w:r>
      <w:r>
        <w:rPr>
          <w:rFonts w:ascii="Book Antiqua" w:eastAsia="Book Antiqua" w:hAnsi="Book Antiqua" w:cs="Book Antiqua"/>
        </w:rPr>
        <w:t>emorrhage</w:t>
      </w:r>
      <w:r w:rsidR="00210A58">
        <w:rPr>
          <w:rFonts w:ascii="Book Antiqua" w:eastAsia="Book Antiqua" w:hAnsi="Book Antiqua" w:cs="Book Antiqua"/>
        </w:rPr>
        <w:t>;</w:t>
      </w:r>
      <w:r>
        <w:rPr>
          <w:rFonts w:ascii="Book Antiqua" w:eastAsia="Book Antiqua" w:hAnsi="Book Antiqua" w:cs="Book Antiqua"/>
        </w:rPr>
        <w:t xml:space="preserve"> Left-sided portal hypertension</w:t>
      </w:r>
    </w:p>
    <w:p w14:paraId="4162BADE" w14:textId="77777777" w:rsidR="00A77B3E" w:rsidRDefault="00A77B3E">
      <w:pPr>
        <w:spacing w:line="360" w:lineRule="auto"/>
        <w:jc w:val="both"/>
      </w:pPr>
    </w:p>
    <w:p w14:paraId="5093F0B9" w14:textId="77777777" w:rsidR="00FB603F" w:rsidRDefault="00FB603F" w:rsidP="00FB603F">
      <w:pPr>
        <w:spacing w:line="360" w:lineRule="auto"/>
        <w:rPr>
          <w:rFonts w:ascii="Book Antiqua" w:eastAsia="Book Antiqua" w:hAnsi="Book Antiqua" w:cs="Book Antiqua"/>
          <w:color w:val="000000"/>
        </w:rPr>
      </w:pPr>
      <w:bookmarkStart w:id="184" w:name="_Hlk15579895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84"/>
    <w:p w14:paraId="4ADB0D24" w14:textId="77777777" w:rsidR="00FB603F" w:rsidRDefault="00FB603F">
      <w:pPr>
        <w:spacing w:line="360" w:lineRule="auto"/>
        <w:jc w:val="both"/>
      </w:pPr>
    </w:p>
    <w:p w14:paraId="0D8FE6BA" w14:textId="2B6AFDAF" w:rsidR="00FB603F" w:rsidRDefault="00FB603F">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Zeng Y, Yang J, Zhang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Safety and efficacy of modified endoscopic ultrasound-guided selective N-butyl-2-cyanoacrylate injections for gastric variceal hemorrhage in left-sided portal hypertension.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w:t>
      </w:r>
      <w:r w:rsidR="00FB21A6">
        <w:rPr>
          <w:rFonts w:ascii="Book Antiqua" w:eastAsia="Book Antiqua" w:hAnsi="Book Antiqua" w:cs="Book Antiqua"/>
        </w:rPr>
        <w:t>4</w:t>
      </w:r>
      <w:r>
        <w:rPr>
          <w:rFonts w:ascii="Book Antiqua" w:eastAsia="Book Antiqua" w:hAnsi="Book Antiqua" w:cs="Book Antiqua"/>
        </w:rPr>
        <w:t xml:space="preserve">; </w:t>
      </w:r>
      <w:r w:rsidR="00FB21A6" w:rsidRPr="00FB21A6">
        <w:rPr>
          <w:rFonts w:ascii="Book Antiqua" w:eastAsia="Book Antiqua" w:hAnsi="Book Antiqua" w:cs="Book Antiqua"/>
        </w:rPr>
        <w:t xml:space="preserve">16(1): </w:t>
      </w:r>
      <w:r>
        <w:rPr>
          <w:rFonts w:ascii="Book Antiqua" w:eastAsia="Book Antiqua" w:hAnsi="Book Antiqua" w:cs="Book Antiqua"/>
        </w:rPr>
        <w:t>29</w:t>
      </w:r>
      <w:r w:rsidR="00FB21A6" w:rsidRPr="00FB21A6">
        <w:rPr>
          <w:rFonts w:ascii="Book Antiqua" w:eastAsia="Book Antiqua" w:hAnsi="Book Antiqua" w:cs="Book Antiqua"/>
        </w:rPr>
        <w:t>-</w:t>
      </w:r>
      <w:r>
        <w:rPr>
          <w:rFonts w:ascii="Book Antiqua" w:eastAsia="Book Antiqua" w:hAnsi="Book Antiqua" w:cs="Book Antiqua"/>
        </w:rPr>
        <w:t>36</w:t>
      </w:r>
      <w:r w:rsidR="00FB21A6" w:rsidRPr="00FB21A6">
        <w:rPr>
          <w:rFonts w:ascii="Book Antiqua" w:eastAsia="Book Antiqua" w:hAnsi="Book Antiqua" w:cs="Book Antiqua"/>
        </w:rPr>
        <w:t xml:space="preserve"> </w:t>
      </w:r>
    </w:p>
    <w:p w14:paraId="7AF1C055" w14:textId="1492F94B" w:rsidR="00FB603F" w:rsidRDefault="00FB21A6">
      <w:pPr>
        <w:spacing w:line="360" w:lineRule="auto"/>
        <w:jc w:val="both"/>
        <w:rPr>
          <w:rFonts w:ascii="Book Antiqua" w:eastAsia="Book Antiqua" w:hAnsi="Book Antiqua" w:cs="Book Antiqua"/>
        </w:rPr>
      </w:pPr>
      <w:r w:rsidRPr="00FB603F">
        <w:rPr>
          <w:rFonts w:ascii="Book Antiqua" w:eastAsia="Book Antiqua" w:hAnsi="Book Antiqua" w:cs="Book Antiqua"/>
          <w:b/>
          <w:bCs/>
        </w:rPr>
        <w:t>URL:</w:t>
      </w:r>
      <w:r w:rsidRPr="00FB21A6">
        <w:rPr>
          <w:rFonts w:ascii="Book Antiqua" w:eastAsia="Book Antiqua" w:hAnsi="Book Antiqua" w:cs="Book Antiqua"/>
        </w:rPr>
        <w:t xml:space="preserve"> </w:t>
      </w:r>
      <w:hyperlink r:id="rId7" w:history="1">
        <w:r w:rsidR="00FB603F" w:rsidRPr="00FB603F">
          <w:rPr>
            <w:rStyle w:val="ad"/>
            <w:rFonts w:ascii="Book Antiqua" w:eastAsia="Book Antiqua" w:hAnsi="Book Antiqua" w:cs="Book Antiqua"/>
            <w:color w:val="000000" w:themeColor="text1"/>
            <w:u w:val="none"/>
          </w:rPr>
          <w:t>https://</w:t>
        </w:r>
        <w:proofErr w:type="spellStart"/>
        <w:r w:rsidR="00FB603F" w:rsidRPr="00FB603F">
          <w:rPr>
            <w:rStyle w:val="ad"/>
            <w:rFonts w:ascii="Book Antiqua" w:eastAsia="Book Antiqua" w:hAnsi="Book Antiqua" w:cs="Book Antiqua"/>
            <w:color w:val="000000" w:themeColor="text1"/>
            <w:u w:val="none"/>
          </w:rPr>
          <w:t>www.wjgnet.com</w:t>
        </w:r>
        <w:proofErr w:type="spellEnd"/>
        <w:r w:rsidR="00FB603F" w:rsidRPr="00FB603F">
          <w:rPr>
            <w:rStyle w:val="ad"/>
            <w:rFonts w:ascii="Book Antiqua" w:eastAsia="Book Antiqua" w:hAnsi="Book Antiqua" w:cs="Book Antiqua"/>
            <w:color w:val="000000" w:themeColor="text1"/>
            <w:u w:val="none"/>
          </w:rPr>
          <w:t>/1948-5190/full/</w:t>
        </w:r>
        <w:proofErr w:type="spellStart"/>
        <w:r w:rsidR="00FB603F" w:rsidRPr="00FB603F">
          <w:rPr>
            <w:rStyle w:val="ad"/>
            <w:rFonts w:ascii="Book Antiqua" w:eastAsia="Book Antiqua" w:hAnsi="Book Antiqua" w:cs="Book Antiqua"/>
            <w:color w:val="000000" w:themeColor="text1"/>
            <w:u w:val="none"/>
          </w:rPr>
          <w:t>v16</w:t>
        </w:r>
        <w:proofErr w:type="spellEnd"/>
        <w:r w:rsidR="00FB603F" w:rsidRPr="00FB603F">
          <w:rPr>
            <w:rStyle w:val="ad"/>
            <w:rFonts w:ascii="Book Antiqua" w:eastAsia="Book Antiqua" w:hAnsi="Book Antiqua" w:cs="Book Antiqua"/>
            <w:color w:val="000000" w:themeColor="text1"/>
            <w:u w:val="none"/>
          </w:rPr>
          <w:t>/</w:t>
        </w:r>
        <w:proofErr w:type="spellStart"/>
        <w:r w:rsidR="00FB603F" w:rsidRPr="00FB603F">
          <w:rPr>
            <w:rStyle w:val="ad"/>
            <w:rFonts w:ascii="Book Antiqua" w:eastAsia="Book Antiqua" w:hAnsi="Book Antiqua" w:cs="Book Antiqua"/>
            <w:color w:val="000000" w:themeColor="text1"/>
            <w:u w:val="none"/>
          </w:rPr>
          <w:t>i1</w:t>
        </w:r>
        <w:proofErr w:type="spellEnd"/>
        <w:r w:rsidR="00FB603F" w:rsidRPr="00FB603F">
          <w:rPr>
            <w:rStyle w:val="ad"/>
            <w:rFonts w:ascii="Book Antiqua" w:eastAsia="Book Antiqua" w:hAnsi="Book Antiqua" w:cs="Book Antiqua"/>
            <w:color w:val="000000" w:themeColor="text1"/>
            <w:u w:val="none"/>
          </w:rPr>
          <w:t>/</w:t>
        </w:r>
        <w:proofErr w:type="spellStart"/>
        <w:r w:rsidR="00FB603F" w:rsidRPr="00FB603F">
          <w:rPr>
            <w:rStyle w:val="ad"/>
            <w:rFonts w:ascii="Book Antiqua" w:eastAsia="Book Antiqua" w:hAnsi="Book Antiqua" w:cs="Book Antiqua"/>
            <w:color w:val="000000" w:themeColor="text1"/>
            <w:u w:val="none"/>
          </w:rPr>
          <w:t>29.htm</w:t>
        </w:r>
        <w:proofErr w:type="spellEnd"/>
      </w:hyperlink>
      <w:r w:rsidRPr="00FB603F">
        <w:rPr>
          <w:rFonts w:ascii="Book Antiqua" w:eastAsia="Book Antiqua" w:hAnsi="Book Antiqua" w:cs="Book Antiqua"/>
          <w:color w:val="000000" w:themeColor="text1"/>
        </w:rPr>
        <w:t xml:space="preserve"> </w:t>
      </w:r>
    </w:p>
    <w:p w14:paraId="03A7B510" w14:textId="6E1253EF" w:rsidR="00A77B3E" w:rsidRDefault="00FB21A6">
      <w:pPr>
        <w:spacing w:line="360" w:lineRule="auto"/>
        <w:jc w:val="both"/>
      </w:pPr>
      <w:r w:rsidRPr="00FB603F">
        <w:rPr>
          <w:rFonts w:ascii="Book Antiqua" w:eastAsia="Book Antiqua" w:hAnsi="Book Antiqua" w:cs="Book Antiqua"/>
          <w:b/>
          <w:bCs/>
        </w:rPr>
        <w:t>DOI:</w:t>
      </w:r>
      <w:r w:rsidRPr="00FB21A6">
        <w:rPr>
          <w:rFonts w:ascii="Book Antiqua" w:eastAsia="Book Antiqua" w:hAnsi="Book Antiqua" w:cs="Book Antiqua"/>
        </w:rPr>
        <w:t xml:space="preserve"> https://</w:t>
      </w:r>
      <w:proofErr w:type="spellStart"/>
      <w:r w:rsidRPr="00FB21A6">
        <w:rPr>
          <w:rFonts w:ascii="Book Antiqua" w:eastAsia="Book Antiqua" w:hAnsi="Book Antiqua" w:cs="Book Antiqua"/>
        </w:rPr>
        <w:t>dx.doi.org</w:t>
      </w:r>
      <w:proofErr w:type="spellEnd"/>
      <w:r w:rsidRPr="00FB21A6">
        <w:rPr>
          <w:rFonts w:ascii="Book Antiqua" w:eastAsia="Book Antiqua" w:hAnsi="Book Antiqua" w:cs="Book Antiqua"/>
        </w:rPr>
        <w:t>/10.4253/</w:t>
      </w:r>
      <w:proofErr w:type="spellStart"/>
      <w:r w:rsidRPr="00FB21A6">
        <w:rPr>
          <w:rFonts w:ascii="Book Antiqua" w:eastAsia="Book Antiqua" w:hAnsi="Book Antiqua" w:cs="Book Antiqua"/>
        </w:rPr>
        <w:t>wjge.v16.i1.</w:t>
      </w:r>
      <w:r w:rsidR="00FB603F">
        <w:rPr>
          <w:rFonts w:ascii="Book Antiqua" w:eastAsia="Book Antiqua" w:hAnsi="Book Antiqua" w:cs="Book Antiqua"/>
        </w:rPr>
        <w:t>29</w:t>
      </w:r>
      <w:proofErr w:type="spellEnd"/>
    </w:p>
    <w:p w14:paraId="53D9D531" w14:textId="77777777" w:rsidR="00A77B3E" w:rsidRDefault="00A77B3E">
      <w:pPr>
        <w:spacing w:line="360" w:lineRule="auto"/>
        <w:jc w:val="both"/>
      </w:pPr>
    </w:p>
    <w:p w14:paraId="66D4A359" w14:textId="02A0AA9D" w:rsidR="00A77B3E" w:rsidRDefault="00000000">
      <w:pPr>
        <w:spacing w:line="360" w:lineRule="auto"/>
        <w:jc w:val="both"/>
      </w:pPr>
      <w:r>
        <w:rPr>
          <w:rFonts w:ascii="Book Antiqua" w:eastAsia="Book Antiqua" w:hAnsi="Book Antiqua" w:cs="Book Antiqua"/>
          <w:b/>
          <w:bCs/>
          <w:color w:val="000000"/>
        </w:rPr>
        <w:t xml:space="preserve">Core Tip: </w:t>
      </w:r>
      <w:r w:rsidR="00592A0C">
        <w:rPr>
          <w:rFonts w:ascii="Book Antiqua" w:eastAsia="Book Antiqua" w:hAnsi="Book Antiqua" w:cs="Book Antiqua"/>
          <w:color w:val="000000"/>
        </w:rPr>
        <w:t>Gastric variceal hemorrhage is a severe and critical complication of left-sided portal hypertension (</w:t>
      </w:r>
      <w:proofErr w:type="spellStart"/>
      <w:r w:rsidR="00592A0C">
        <w:rPr>
          <w:rFonts w:ascii="Book Antiqua" w:eastAsia="Book Antiqua" w:hAnsi="Book Antiqua" w:cs="Book Antiqua"/>
          <w:color w:val="000000"/>
        </w:rPr>
        <w:t>LSPH</w:t>
      </w:r>
      <w:proofErr w:type="spellEnd"/>
      <w:r w:rsidR="00592A0C">
        <w:rPr>
          <w:rFonts w:ascii="Book Antiqua" w:eastAsia="Book Antiqua" w:hAnsi="Book Antiqua" w:cs="Book Antiqua"/>
          <w:color w:val="000000"/>
        </w:rPr>
        <w:t xml:space="preserve">). Endoscopic ultrasound (EUS)-guided interventions are emerging endoscopic treatments with diagnostic and therapeutic potential. Our study revealed that EUS-guided selective N-butyl-2-cyanoacrylate injection is a safe and effective treatment alternative for patients with </w:t>
      </w:r>
      <w:proofErr w:type="spellStart"/>
      <w:r w:rsidR="00592A0C">
        <w:rPr>
          <w:rFonts w:ascii="Book Antiqua" w:eastAsia="Book Antiqua" w:hAnsi="Book Antiqua" w:cs="Book Antiqua"/>
          <w:color w:val="000000"/>
        </w:rPr>
        <w:t>LSPH</w:t>
      </w:r>
      <w:proofErr w:type="spellEnd"/>
      <w:r w:rsidR="00592A0C">
        <w:rPr>
          <w:rFonts w:ascii="Book Antiqua" w:eastAsia="Book Antiqua" w:hAnsi="Book Antiqua" w:cs="Book Antiqua"/>
          <w:color w:val="000000"/>
        </w:rPr>
        <w:t>-induced gastric variceal hemorrhage, with reduced N-butyl-2-cyanoacrylate doses and satisfactory technical and clinical success rates.</w:t>
      </w:r>
    </w:p>
    <w:p w14:paraId="2EB10142" w14:textId="6D85F005" w:rsidR="00A77B3E" w:rsidRDefault="00210A58">
      <w:pPr>
        <w:spacing w:line="360" w:lineRule="auto"/>
        <w:jc w:val="both"/>
      </w:pPr>
      <w:r>
        <w:br w:type="page"/>
      </w:r>
      <w:r>
        <w:rPr>
          <w:rFonts w:ascii="Book Antiqua" w:eastAsia="Book Antiqua" w:hAnsi="Book Antiqua" w:cs="Book Antiqua"/>
          <w:b/>
          <w:caps/>
          <w:color w:val="000000"/>
          <w:u w:val="single"/>
        </w:rPr>
        <w:lastRenderedPageBreak/>
        <w:t>INTRODUCTION</w:t>
      </w:r>
    </w:p>
    <w:p w14:paraId="578A1605" w14:textId="65179F87" w:rsidR="00A77B3E" w:rsidRDefault="00000000">
      <w:pPr>
        <w:spacing w:line="360" w:lineRule="auto"/>
        <w:jc w:val="both"/>
      </w:pPr>
      <w:r>
        <w:rPr>
          <w:rFonts w:ascii="Book Antiqua" w:eastAsia="Book Antiqua" w:hAnsi="Book Antiqua" w:cs="Book Antiqua"/>
          <w:color w:val="000000"/>
        </w:rPr>
        <w:t>Left-sided portal hypertension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is caused by splenic vein stenosis, thrombosis, or obstruction, with pancreatic diseases as the most common etiology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among which pancreatitis and pancreatic tumors account for the leading causes of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Clinical</w:t>
      </w:r>
      <w:r w:rsidR="00210A5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are attributed to</w:t>
      </w:r>
      <w:r w:rsidR="00210A58">
        <w:rPr>
          <w:rFonts w:ascii="Book Antiqua" w:eastAsia="Book Antiqua" w:hAnsi="Book Antiqua" w:cs="Book Antiqua"/>
          <w:color w:val="000000"/>
        </w:rPr>
        <w:t xml:space="preserve"> </w:t>
      </w:r>
      <w:r>
        <w:rPr>
          <w:rFonts w:ascii="Book Antiqua" w:eastAsia="Book Antiqua" w:hAnsi="Book Antiqua" w:cs="Book Antiqua"/>
          <w:color w:val="000000"/>
        </w:rPr>
        <w:t>an increase in the pressure gradient between the portal vein and the inferior vena cava</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Gastric variceal hemorrhage is one of the primary manifestations and the foremost cause of emergency department visits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first described in 1969</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Given normal liver function and no obvious clinical symptoms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gastric varices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have received little attention, and their hemorrhage can be unexpected and fatal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Thus,</w:t>
      </w:r>
      <w:r w:rsidR="00210A5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safe</w:t>
      </w:r>
      <w:proofErr w:type="gramEnd"/>
      <w:r w:rsidR="00210A58">
        <w:rPr>
          <w:rFonts w:ascii="Book Antiqua" w:eastAsia="Book Antiqua" w:hAnsi="Book Antiqua" w:cs="Book Antiqua"/>
          <w:color w:val="000000"/>
        </w:rPr>
        <w:t xml:space="preserve"> </w:t>
      </w:r>
      <w:r>
        <w:rPr>
          <w:rFonts w:ascii="Book Antiqua" w:eastAsia="Book Antiqua" w:hAnsi="Book Antiqua" w:cs="Book Antiqua"/>
          <w:color w:val="000000"/>
        </w:rPr>
        <w:t>and</w:t>
      </w:r>
      <w:r w:rsidR="00210A5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210A58">
        <w:rPr>
          <w:rFonts w:ascii="Book Antiqua" w:eastAsia="Book Antiqua" w:hAnsi="Book Antiqua" w:cs="Book Antiqua"/>
          <w:color w:val="000000"/>
        </w:rPr>
        <w:t xml:space="preserve"> </w:t>
      </w:r>
      <w:r>
        <w:rPr>
          <w:rFonts w:ascii="Book Antiqua" w:eastAsia="Book Antiqua" w:hAnsi="Book Antiqua" w:cs="Book Antiqua"/>
          <w:color w:val="000000"/>
        </w:rPr>
        <w:t>interventions are required.</w:t>
      </w:r>
    </w:p>
    <w:p w14:paraId="2C34EA70" w14:textId="77777777" w:rsidR="005F084F" w:rsidRDefault="005F084F" w:rsidP="005F084F">
      <w:pPr>
        <w:spacing w:line="360" w:lineRule="auto"/>
        <w:ind w:firstLineChars="100" w:firstLine="240"/>
        <w:jc w:val="both"/>
      </w:pPr>
      <w:r>
        <w:rPr>
          <w:rFonts w:ascii="Book Antiqua" w:eastAsia="Book Antiqua" w:hAnsi="Book Antiqua" w:cs="Book Antiqua"/>
          <w:color w:val="000000"/>
        </w:rPr>
        <w:t>In recent years, the widespread use of digestive endoscopy in clinical practice has led to a gradual shift in patient preference towards minimally invasive endoscopic techniques, especially in the field of endoscopic ultrasound (EUS)</w:t>
      </w:r>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EUS has demonstrated convenience and promise in diagnostic procedures and hemostatic interventions for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due to the combined function of endoscopy and ultrasound</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Moreover, EUS-guided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therapy offers a safer and more practical alternative than the conventional therapy of endoscopic N-butyl-2-cyanoacrylate (NBC) injection</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w:t>
      </w:r>
    </w:p>
    <w:p w14:paraId="0C646EF9" w14:textId="05128B48" w:rsidR="00A77B3E" w:rsidRDefault="005F084F" w:rsidP="005F084F">
      <w:pPr>
        <w:spacing w:line="360" w:lineRule="auto"/>
        <w:ind w:firstLineChars="100" w:firstLine="240"/>
        <w:jc w:val="both"/>
      </w:pPr>
      <w:r>
        <w:rPr>
          <w:rFonts w:ascii="Book Antiqua" w:eastAsia="Book Antiqua" w:hAnsi="Book Antiqua" w:cs="Book Antiqua"/>
          <w:color w:val="000000"/>
        </w:rPr>
        <w:t xml:space="preserve">Based on previous studies, we reported a modified EUS-guided selective NBC injection procedure in a patient with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 preliminary advantages of this modified procedure included reduced NBC doses, radiation avoidance, and a firmer obliteration effect with fewer </w:t>
      </w:r>
      <w:proofErr w:type="spellStart"/>
      <w:r>
        <w:rPr>
          <w:rFonts w:ascii="Book Antiqua" w:eastAsia="Book Antiqua" w:hAnsi="Book Antiqua" w:cs="Book Antiqua"/>
          <w:color w:val="000000"/>
        </w:rPr>
        <w:t>rebleedings</w:t>
      </w:r>
      <w:proofErr w:type="spellEnd"/>
      <w:r>
        <w:rPr>
          <w:rFonts w:ascii="Book Antiqua" w:eastAsia="Book Antiqua" w:hAnsi="Book Antiqua" w:cs="Book Antiqua"/>
          <w:color w:val="000000"/>
        </w:rPr>
        <w:t xml:space="preserve"> caused by glue ulcers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We conducted this retrospective study in our single center to verify these clinical values and provide more basis for future research on EUS-guided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treatment.</w:t>
      </w:r>
    </w:p>
    <w:p w14:paraId="0401FCB6" w14:textId="77777777" w:rsidR="00A77B3E" w:rsidRDefault="00A77B3E">
      <w:pPr>
        <w:spacing w:line="360" w:lineRule="auto"/>
        <w:jc w:val="both"/>
      </w:pPr>
    </w:p>
    <w:p w14:paraId="5B4872B6"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5658A7C" w14:textId="77777777" w:rsidR="00A77B3E" w:rsidRDefault="00000000">
      <w:pPr>
        <w:spacing w:line="360" w:lineRule="auto"/>
        <w:jc w:val="both"/>
      </w:pPr>
      <w:r>
        <w:rPr>
          <w:rFonts w:ascii="Book Antiqua" w:eastAsia="Book Antiqua" w:hAnsi="Book Antiqua" w:cs="Book Antiqua"/>
          <w:b/>
          <w:bCs/>
          <w:i/>
          <w:iCs/>
          <w:color w:val="000000"/>
        </w:rPr>
        <w:t>Study design and study population</w:t>
      </w:r>
    </w:p>
    <w:p w14:paraId="237E6CC6"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retrospective study received approval from the Ethics Committee of The First Affiliated Hospital of Chongqing Medical University. We retrospectively reviewed qualified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from the First Affiliated Hospital of Chongqing Medical </w:t>
      </w:r>
      <w:r>
        <w:rPr>
          <w:rFonts w:ascii="Book Antiqua" w:eastAsia="Book Antiqua" w:hAnsi="Book Antiqua" w:cs="Book Antiqua"/>
          <w:color w:val="000000"/>
        </w:rPr>
        <w:lastRenderedPageBreak/>
        <w:t xml:space="preserve">University from October 2019 to September 2023. All enrolled patients were diagnosed with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 and received endoscopic NBC injections. Written informed consent was obtained from all the patients before each endoscopic procedure. Exclusion criteria included previous endoscopic hemostasis, severe organ dysfunction, or other conditions unsuitable for endoscopic procedures.</w:t>
      </w:r>
    </w:p>
    <w:p w14:paraId="58196D64" w14:textId="77777777" w:rsidR="00210A58" w:rsidRDefault="00210A58">
      <w:pPr>
        <w:spacing w:line="360" w:lineRule="auto"/>
        <w:jc w:val="both"/>
      </w:pPr>
    </w:p>
    <w:p w14:paraId="441FA479" w14:textId="77777777" w:rsidR="00A77B3E" w:rsidRDefault="00000000">
      <w:pPr>
        <w:spacing w:line="360" w:lineRule="auto"/>
        <w:jc w:val="both"/>
      </w:pPr>
      <w:r>
        <w:rPr>
          <w:rFonts w:ascii="Book Antiqua" w:eastAsia="Book Antiqua" w:hAnsi="Book Antiqua" w:cs="Book Antiqua"/>
          <w:b/>
          <w:bCs/>
          <w:i/>
          <w:iCs/>
          <w:color w:val="000000"/>
        </w:rPr>
        <w:t>Endoscopic interventions</w:t>
      </w:r>
    </w:p>
    <w:p w14:paraId="7D399B8E" w14:textId="77777777" w:rsidR="009203EC" w:rsidRDefault="009203EC" w:rsidP="009203EC">
      <w:pPr>
        <w:spacing w:line="360" w:lineRule="auto"/>
        <w:jc w:val="both"/>
      </w:pPr>
      <w:r>
        <w:rPr>
          <w:rFonts w:ascii="Book Antiqua" w:eastAsia="Book Antiqua" w:hAnsi="Book Antiqua" w:cs="Book Antiqua"/>
          <w:color w:val="000000"/>
        </w:rPr>
        <w:t>The final selection of NBC injection technique types (modified EUS-guided selective NBC injection or conventional endoscopic NBC injection) depended on the patients’ preferences and clinical status. Patients electing conventional endoscopic NBC injection constituted the conventional group and received conventional sandwich injection</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while patients electing modified EUS-guided selective NBC injection formed the modified group and received selective NBC injection under EUS guidance (Linear Pentax echoendoscope, Hoya Co., Tokyo, Japan) (Figure 1)</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611845C" w14:textId="77777777" w:rsidR="009203EC" w:rsidRDefault="009203EC" w:rsidP="009203EC">
      <w:pPr>
        <w:spacing w:line="360" w:lineRule="auto"/>
        <w:jc w:val="both"/>
      </w:pPr>
    </w:p>
    <w:p w14:paraId="090F74F3" w14:textId="77777777" w:rsidR="009203EC" w:rsidRDefault="009203EC" w:rsidP="009203EC">
      <w:pPr>
        <w:spacing w:line="360" w:lineRule="auto"/>
        <w:jc w:val="both"/>
      </w:pPr>
      <w:r>
        <w:rPr>
          <w:rFonts w:ascii="Book Antiqua" w:eastAsia="Book Antiqua" w:hAnsi="Book Antiqua" w:cs="Book Antiqua"/>
          <w:b/>
          <w:bCs/>
          <w:i/>
          <w:iCs/>
          <w:color w:val="000000"/>
        </w:rPr>
        <w:t>Postoperative follow-up and data collection</w:t>
      </w:r>
    </w:p>
    <w:p w14:paraId="78AED240" w14:textId="7FEE770B" w:rsidR="00A77B3E" w:rsidRDefault="009203EC" w:rsidP="009203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technical and clinical success rates, operation time, NBC doses, perioperative complications, and postoperative hospital stay were collected from inpatient medical records and analyzed. The follow-up records were reviewed 1,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NBC injections. Recurrent upper gastrointestinal hemorrhage rates were derived from the routine outpatient follow-up at the Gastroenterology Department. Only patients with complete medical records were included.</w:t>
      </w:r>
    </w:p>
    <w:p w14:paraId="6BF00DE3" w14:textId="77777777" w:rsidR="00484432" w:rsidRDefault="00484432">
      <w:pPr>
        <w:spacing w:line="360" w:lineRule="auto"/>
        <w:jc w:val="both"/>
      </w:pPr>
    </w:p>
    <w:p w14:paraId="65C4D3F7" w14:textId="77777777" w:rsidR="00A77B3E" w:rsidRDefault="00000000">
      <w:pPr>
        <w:spacing w:line="360" w:lineRule="auto"/>
        <w:jc w:val="both"/>
      </w:pPr>
      <w:r>
        <w:rPr>
          <w:rFonts w:ascii="Book Antiqua" w:eastAsia="Book Antiqua" w:hAnsi="Book Antiqua" w:cs="Book Antiqua"/>
          <w:b/>
          <w:bCs/>
          <w:i/>
          <w:iCs/>
          <w:color w:val="000000"/>
        </w:rPr>
        <w:t>Data analysis</w:t>
      </w:r>
    </w:p>
    <w:p w14:paraId="4B04882A" w14:textId="651D4B77" w:rsidR="00A77B3E" w:rsidRDefault="009203EC">
      <w:pPr>
        <w:spacing w:line="360" w:lineRule="auto"/>
        <w:jc w:val="both"/>
      </w:pPr>
      <w:r>
        <w:rPr>
          <w:rFonts w:ascii="Book Antiqua" w:eastAsia="Book Antiqua" w:hAnsi="Book Antiqua" w:cs="Book Antiqua"/>
          <w:color w:val="000000"/>
        </w:rPr>
        <w:t xml:space="preserve">Continuous variables and categorical were expressed as means ± SD and </w:t>
      </w:r>
      <w:r w:rsidRPr="00484432">
        <w:rPr>
          <w:rFonts w:ascii="Book Antiqua" w:eastAsia="Book Antiqua" w:hAnsi="Book Antiqua" w:cs="Book Antiqua"/>
          <w:i/>
          <w:iCs/>
          <w:color w:val="000000"/>
        </w:rPr>
        <w:t>n</w:t>
      </w:r>
      <w:r>
        <w:rPr>
          <w:rFonts w:ascii="Book Antiqua" w:eastAsia="Book Antiqua" w:hAnsi="Book Antiqua" w:cs="Book Antiqua"/>
          <w:color w:val="000000"/>
        </w:rPr>
        <w:t xml:space="preserve"> (%), respectively. Unpaired Student’s </w:t>
      </w:r>
      <w:r w:rsidRPr="00484432">
        <w:rPr>
          <w:rFonts w:ascii="Book Antiqua" w:eastAsia="Book Antiqua" w:hAnsi="Book Antiqua" w:cs="Book Antiqua"/>
          <w:i/>
          <w:iCs/>
          <w:color w:val="000000"/>
        </w:rPr>
        <w:t>t</w:t>
      </w:r>
      <w:r>
        <w:rPr>
          <w:rFonts w:ascii="Book Antiqua" w:eastAsia="Book Antiqua" w:hAnsi="Book Antiqua" w:cs="Book Antiqua"/>
          <w:color w:val="000000"/>
        </w:rPr>
        <w:t xml:space="preserve"> test and Mann–Whitney </w:t>
      </w:r>
      <w:r w:rsidRPr="00484432">
        <w:rPr>
          <w:rFonts w:ascii="Book Antiqua" w:eastAsia="Book Antiqua" w:hAnsi="Book Antiqua" w:cs="Book Antiqua"/>
          <w:i/>
          <w:iCs/>
          <w:color w:val="000000"/>
        </w:rPr>
        <w:t>U</w:t>
      </w:r>
      <w:r>
        <w:rPr>
          <w:rFonts w:ascii="Book Antiqua" w:eastAsia="Book Antiqua" w:hAnsi="Book Antiqua" w:cs="Book Antiqua"/>
          <w:color w:val="000000"/>
        </w:rPr>
        <w:t xml:space="preserve"> test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used for continuous variables, while the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Fisher’s exact tests were performed for categorical variables. Statistical analyses were performed using SPSS 23.0, and statistical significance was defined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07E8A082" w14:textId="77777777" w:rsidR="00A77B3E" w:rsidRDefault="00A77B3E">
      <w:pPr>
        <w:spacing w:line="360" w:lineRule="auto"/>
        <w:jc w:val="both"/>
      </w:pPr>
    </w:p>
    <w:p w14:paraId="02624843"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F7AEC30" w14:textId="77777777" w:rsidR="00A77B3E" w:rsidRDefault="00000000">
      <w:pPr>
        <w:spacing w:line="360" w:lineRule="auto"/>
        <w:jc w:val="both"/>
      </w:pPr>
      <w:r>
        <w:rPr>
          <w:rFonts w:ascii="Book Antiqua" w:eastAsia="Book Antiqua" w:hAnsi="Book Antiqua" w:cs="Book Antiqua"/>
          <w:b/>
          <w:bCs/>
          <w:i/>
          <w:iCs/>
          <w:color w:val="000000"/>
        </w:rPr>
        <w:t>Patient characteristics</w:t>
      </w:r>
    </w:p>
    <w:p w14:paraId="79C3A99B" w14:textId="0C880743" w:rsidR="00A77B3E" w:rsidRDefault="00A720A8">
      <w:pPr>
        <w:spacing w:line="360" w:lineRule="auto"/>
        <w:jc w:val="both"/>
      </w:pPr>
      <w:r>
        <w:rPr>
          <w:rFonts w:ascii="Book Antiqua" w:eastAsia="Book Antiqua" w:hAnsi="Book Antiqua" w:cs="Book Antiqua"/>
          <w:color w:val="000000"/>
        </w:rPr>
        <w:t>This study preliminarily enrolled 30 patients. However, some participants underwent splenectomy or had both modified EUS-guided selective NBC injection procedures and conventional endoscopic NBC injection procedures during the follow-up period and, therefore, were excluded. Thus, the final number of qualified participants in the conventional and modified groups was 16 and 11, respectively (Figure 2). Significant differences were not observed between the two groups regarding baseline characteristics (Table 1). The median age was 46.6 (range 24.0–68.0) years for the modified group and 47.9 (range 29.0–68.0) years for the conventional group. Seven patients in the modified group (63.6%) and 11 in the conventional group (68.8%) were male (</w:t>
      </w:r>
      <w:r>
        <w:rPr>
          <w:rFonts w:ascii="Book Antiqua" w:eastAsia="Book Antiqua" w:hAnsi="Book Antiqua" w:cs="Book Antiqua"/>
          <w:i/>
          <w:iCs/>
          <w:color w:val="000000"/>
        </w:rPr>
        <w:t>P</w:t>
      </w:r>
      <w:r>
        <w:rPr>
          <w:rFonts w:ascii="Book Antiqua" w:eastAsia="Book Antiqua" w:hAnsi="Book Antiqua" w:cs="Book Antiqua"/>
          <w:color w:val="000000"/>
        </w:rPr>
        <w:t xml:space="preserve"> = 0.78). In all enrolled patients, the three most common causes for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-induced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hemorrhage were, in order, walled-off necrosis (12/27, 44.4%), pancreatic pseudocyst (8/27, 29.6%) and pancreatitis (5/27, 18.5%). Eight patients in the modified group (72.8%) and 12 in the conventional group (75.0%) were diagnosed with walled-off necrosis or pancreatic pseudocyst (</w:t>
      </w:r>
      <w:r>
        <w:rPr>
          <w:rFonts w:ascii="Book Antiqua" w:eastAsia="Book Antiqua" w:hAnsi="Book Antiqua" w:cs="Book Antiqua"/>
          <w:i/>
          <w:iCs/>
          <w:color w:val="000000"/>
        </w:rPr>
        <w:t>P</w:t>
      </w:r>
      <w:r>
        <w:rPr>
          <w:rFonts w:ascii="Book Antiqua" w:eastAsia="Book Antiqua" w:hAnsi="Book Antiqua" w:cs="Book Antiqua"/>
          <w:color w:val="000000"/>
        </w:rPr>
        <w:t xml:space="preserve"> = 0.93) (Table 1).</w:t>
      </w:r>
    </w:p>
    <w:p w14:paraId="624E8AAE" w14:textId="77777777" w:rsidR="00A77B3E" w:rsidRDefault="00A77B3E">
      <w:pPr>
        <w:spacing w:line="360" w:lineRule="auto"/>
        <w:jc w:val="both"/>
      </w:pPr>
    </w:p>
    <w:p w14:paraId="7A2B1A49" w14:textId="77777777" w:rsidR="00A77B3E" w:rsidRDefault="00000000">
      <w:pPr>
        <w:spacing w:line="360" w:lineRule="auto"/>
        <w:jc w:val="both"/>
      </w:pPr>
      <w:r>
        <w:rPr>
          <w:rFonts w:ascii="Book Antiqua" w:eastAsia="Book Antiqua" w:hAnsi="Book Antiqua" w:cs="Book Antiqua"/>
          <w:b/>
          <w:bCs/>
          <w:i/>
          <w:iCs/>
          <w:color w:val="000000"/>
        </w:rPr>
        <w:t>Safety and efficacy of endoscopic procedures in two groups</w:t>
      </w:r>
    </w:p>
    <w:p w14:paraId="1C31892D" w14:textId="77777777" w:rsidR="00B70C57" w:rsidRDefault="00B70C57" w:rsidP="00B70C57">
      <w:pPr>
        <w:spacing w:line="360" w:lineRule="auto"/>
        <w:jc w:val="both"/>
      </w:pPr>
      <w:r>
        <w:rPr>
          <w:rFonts w:ascii="Book Antiqua" w:eastAsia="Book Antiqua" w:hAnsi="Book Antiqua" w:cs="Book Antiqua"/>
          <w:color w:val="000000"/>
        </w:rPr>
        <w:t xml:space="preserve">Technical success was defined as successful injection and absolute occlusion of the targeted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while clinical success was defined as the resolution or improvement of gastric variceal hemorrhage. The technical success rate was 100% for both types of injection procedures, and clinical success rates were 90.9% and 100% in the modified and conventional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0.41). The technical and clinical success rates were not significantly different between the groups (Table 2).</w:t>
      </w:r>
    </w:p>
    <w:p w14:paraId="24B502AF" w14:textId="33683EEB" w:rsidR="00A77B3E" w:rsidRDefault="00B70C57" w:rsidP="00B70C57">
      <w:pPr>
        <w:spacing w:line="360" w:lineRule="auto"/>
        <w:ind w:firstLineChars="100" w:firstLine="240"/>
        <w:jc w:val="both"/>
      </w:pPr>
      <w:r>
        <w:rPr>
          <w:rFonts w:ascii="Book Antiqua" w:eastAsia="Book Antiqua" w:hAnsi="Book Antiqua" w:cs="Book Antiqua"/>
          <w:color w:val="000000"/>
        </w:rPr>
        <w:t>Perioperative complications included ectopic embolization, local venous thrombosis, extravascular injection, severe new-onset bleeding following the needle removal, and the early appearance of glue ulcers</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In comparison to patients in the conventional group, patients in the modified group demonstrated significantly reduced NBC doses (2.0 ± 0.6 </w:t>
      </w:r>
      <w:r>
        <w:rPr>
          <w:rFonts w:ascii="Book Antiqua" w:eastAsia="Book Antiqua" w:hAnsi="Book Antiqua" w:cs="Book Antiqua"/>
          <w:color w:val="000000"/>
        </w:rPr>
        <w:lastRenderedPageBreak/>
        <w:t xml:space="preserve">mL </w:t>
      </w:r>
      <w:r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3.1 ± 1.0 mL; </w:t>
      </w:r>
      <w:r>
        <w:rPr>
          <w:rFonts w:ascii="Book Antiqua" w:eastAsia="Book Antiqua" w:hAnsi="Book Antiqua" w:cs="Book Antiqua"/>
          <w:i/>
          <w:iCs/>
          <w:color w:val="000000"/>
        </w:rPr>
        <w:t>P</w:t>
      </w:r>
      <w:r w:rsidRP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 0.004) and increased endoscopic operation time (71.9 ± 11.9 min </w:t>
      </w:r>
      <w:r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22.5 ± 6.7 min;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Meanwhile, the perioperative complications, postoperative hospital stay, and recurrent bleeding rates for patients in the modified group were 0%, 4.4 ± 1.6 d, and 9.1%, respectively, </w:t>
      </w:r>
      <w:r>
        <w:rPr>
          <w:rFonts w:ascii="Book Antiqua" w:eastAsia="Book Antiqua" w:hAnsi="Book Antiqua" w:cs="Book Antiqua"/>
          <w:i/>
          <w:iCs/>
          <w:color w:val="000000"/>
        </w:rPr>
        <w:t>vs</w:t>
      </w:r>
      <w:r>
        <w:rPr>
          <w:rFonts w:ascii="Book Antiqua" w:eastAsia="Book Antiqua" w:hAnsi="Book Antiqua" w:cs="Book Antiqua"/>
          <w:color w:val="000000"/>
        </w:rPr>
        <w:t xml:space="preserve"> 6.3%, 5.8 ± 2.2 d, and 18.8% for those in the conventional group. The two groups had no significant difference in the perioperative complications, postoperative hospital stay, and recurrent bleeding rates (Table 2).</w:t>
      </w:r>
    </w:p>
    <w:p w14:paraId="32E804A9" w14:textId="77777777" w:rsidR="00A77B3E" w:rsidRDefault="00A77B3E">
      <w:pPr>
        <w:spacing w:line="360" w:lineRule="auto"/>
        <w:jc w:val="both"/>
      </w:pPr>
    </w:p>
    <w:p w14:paraId="0A07A402"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ED8BE7E" w14:textId="77777777" w:rsidR="00D257CE" w:rsidRDefault="00D257CE" w:rsidP="00D257CE">
      <w:pPr>
        <w:spacing w:line="360" w:lineRule="auto"/>
        <w:jc w:val="both"/>
      </w:pPr>
      <w:r>
        <w:rPr>
          <w:rFonts w:ascii="Book Antiqua" w:eastAsia="Book Antiqua" w:hAnsi="Book Antiqua" w:cs="Book Antiqua"/>
          <w:color w:val="000000"/>
        </w:rPr>
        <w:t xml:space="preserve">This present study built on our prior research and compared the safety and efficacy of a modified EUS-guided selective NBC injection procedure for gastric variceal hemorrhage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with conventional endoscopic NBC injection procedures. To the best of our knowledge, no similar studies had previously been reported in the literature.</w:t>
      </w:r>
    </w:p>
    <w:p w14:paraId="2C1092DC" w14:textId="77777777" w:rsidR="00D257CE" w:rsidRDefault="00D257CE" w:rsidP="00D257CE">
      <w:pPr>
        <w:spacing w:line="360" w:lineRule="auto"/>
        <w:ind w:firstLineChars="100" w:firstLine="240"/>
        <w:jc w:val="both"/>
      </w:pPr>
      <w:r>
        <w:rPr>
          <w:rFonts w:ascii="Book Antiqua" w:eastAsia="Book Antiqua" w:hAnsi="Book Antiqua" w:cs="Book Antiqua"/>
          <w:color w:val="000000"/>
        </w:rPr>
        <w:t xml:space="preserve">Our result revealed consistency with previous research that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was most common in patients with pancreatic disease, especially those with walled-off necrosis and pancreatic pseudocyst</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which occurred because of the anatomical proximity between the splenic vein and the pancreas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Therefore, regular follow-ups should be scheduled for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to reduce unexpected and fatal bleeding. Moreover, when considering endoscopic minimally invasive procedures, sufficient attention to intraoperative and postoperative bleeding should be paid to patients with pancreatic pseudocysts or walled-off necrosis</w:t>
      </w:r>
      <w:r>
        <w:rPr>
          <w:rFonts w:ascii="Book Antiqua" w:eastAsia="Book Antiqua" w:hAnsi="Book Antiqua" w:cs="Book Antiqua"/>
          <w:color w:val="000000"/>
          <w:szCs w:val="20"/>
          <w:vertAlign w:val="superscript"/>
        </w:rPr>
        <w:t>[2,19]</w:t>
      </w:r>
      <w:r>
        <w:rPr>
          <w:rFonts w:ascii="Book Antiqua" w:eastAsia="Book Antiqua" w:hAnsi="Book Antiqua" w:cs="Book Antiqua"/>
          <w:color w:val="000000"/>
        </w:rPr>
        <w:t>.</w:t>
      </w:r>
    </w:p>
    <w:p w14:paraId="12DEC669" w14:textId="77777777" w:rsidR="00D257CE" w:rsidRDefault="00D257CE" w:rsidP="00D257CE">
      <w:pPr>
        <w:spacing w:line="360" w:lineRule="auto"/>
        <w:ind w:firstLineChars="100" w:firstLine="240"/>
        <w:jc w:val="both"/>
      </w:pPr>
      <w:r>
        <w:rPr>
          <w:rFonts w:ascii="Book Antiqua" w:eastAsia="Book Antiqua" w:hAnsi="Book Antiqua" w:cs="Book Antiqua"/>
          <w:color w:val="000000"/>
        </w:rPr>
        <w:t xml:space="preserve">Although endoscopic NBC injection was recommended with great clinical value in achieving hemostasis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conventional injection procedures have striking defects in identifying varices below the gastric mucosal layer, locating culprit vessels during massive gastric hemorrhage, and reducing possible operation-related complications, including ectopic embolization and extravascular injection</w:t>
      </w:r>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These deficiencies also place new demands on further developments of endoscopic procedures. EUS is a productive and promising approach to perform real-time ultrasonic scanning and interventions for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perforating feeding veins, portal vein and its tributaries, and collateral circulation</w:t>
      </w:r>
      <w:r>
        <w:rPr>
          <w:rFonts w:ascii="Book Antiqua" w:eastAsia="Book Antiqua" w:hAnsi="Book Antiqua" w:cs="Book Antiqua"/>
          <w:color w:val="000000"/>
          <w:szCs w:val="20"/>
          <w:vertAlign w:val="superscript"/>
        </w:rPr>
        <w:t>[11,24]</w:t>
      </w:r>
      <w:r>
        <w:rPr>
          <w:rFonts w:ascii="Book Antiqua" w:eastAsia="Book Antiqua" w:hAnsi="Book Antiqua" w:cs="Book Antiqua"/>
          <w:color w:val="000000"/>
        </w:rPr>
        <w:t xml:space="preserve">. EUS-guided NBC injection in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patients revealed superior </w:t>
      </w:r>
      <w:r>
        <w:rPr>
          <w:rFonts w:ascii="Book Antiqua" w:eastAsia="Book Antiqua" w:hAnsi="Book Antiqua" w:cs="Book Antiqua"/>
          <w:color w:val="000000"/>
        </w:rPr>
        <w:lastRenderedPageBreak/>
        <w:t xml:space="preserve">clinical outcomes than conventional endoscopic injection dual to properties of NBC dosage reduction, better obliteration, and fewer recurrences and </w:t>
      </w:r>
      <w:proofErr w:type="spellStart"/>
      <w:r>
        <w:rPr>
          <w:rFonts w:ascii="Book Antiqua" w:eastAsia="Book Antiqua" w:hAnsi="Book Antiqua" w:cs="Book Antiqua"/>
          <w:color w:val="000000"/>
        </w:rPr>
        <w:t>rebleedings</w:t>
      </w:r>
      <w:proofErr w:type="spellEnd"/>
      <w:r>
        <w:rPr>
          <w:rFonts w:ascii="Book Antiqua" w:eastAsia="Book Antiqua" w:hAnsi="Book Antiqua" w:cs="Book Antiqua"/>
          <w:color w:val="000000"/>
          <w:szCs w:val="20"/>
          <w:vertAlign w:val="superscript"/>
        </w:rPr>
        <w:t>[13,25]</w:t>
      </w:r>
      <w:r>
        <w:rPr>
          <w:rFonts w:ascii="Book Antiqua" w:eastAsia="Book Antiqua" w:hAnsi="Book Antiqua" w:cs="Book Antiqua"/>
          <w:color w:val="000000"/>
        </w:rPr>
        <w:t>.</w:t>
      </w:r>
    </w:p>
    <w:p w14:paraId="076E5E60" w14:textId="77777777" w:rsidR="00D257CE" w:rsidRDefault="00D257CE" w:rsidP="00D257CE">
      <w:pPr>
        <w:spacing w:line="360" w:lineRule="auto"/>
        <w:ind w:firstLineChars="100" w:firstLine="240"/>
        <w:jc w:val="both"/>
      </w:pPr>
      <w:r>
        <w:rPr>
          <w:rFonts w:ascii="Book Antiqua" w:eastAsia="Book Antiqua" w:hAnsi="Book Antiqua" w:cs="Book Antiqua"/>
          <w:color w:val="000000"/>
        </w:rPr>
        <w:t xml:space="preserve">We applied this modified EUS-guided selective NBC injection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-induced gastric variceal hemorrhage patients, and we found that it was, first and foremost, </w:t>
      </w:r>
      <w:proofErr w:type="gramStart"/>
      <w:r>
        <w:rPr>
          <w:rFonts w:ascii="Book Antiqua" w:eastAsia="Book Antiqua" w:hAnsi="Book Antiqua" w:cs="Book Antiqua"/>
          <w:color w:val="000000"/>
        </w:rPr>
        <w:t>safe</w:t>
      </w:r>
      <w:proofErr w:type="gramEnd"/>
      <w:r>
        <w:rPr>
          <w:rFonts w:ascii="Book Antiqua" w:eastAsia="Book Antiqua" w:hAnsi="Book Antiqua" w:cs="Book Antiqua"/>
          <w:color w:val="000000"/>
        </w:rPr>
        <w:t xml:space="preserve"> and effective in this retrospective study in our single center. Safety is the primary premise and final goal of exploring technical development. Compared with conventional endoscopic injection, this modified procedure did not increase the incidence of perioperative complications, nor would it prolong the patient's hospital stay. Meanwhile, more cases were included in this study to verify our previous research and testify to the benefits of NBC dosage reduction and its consequent reduced medical cost and complications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Reducing glue-related complications focuses on effectively minimizing the injection dose, including endoscopic clips-assisted injection, balloon-occluded retrograde transvenous obliteration (</w:t>
      </w:r>
      <w:proofErr w:type="spellStart"/>
      <w:r>
        <w:rPr>
          <w:rFonts w:ascii="Book Antiqua" w:eastAsia="Book Antiqua" w:hAnsi="Book Antiqua" w:cs="Book Antiqua"/>
          <w:color w:val="000000"/>
        </w:rPr>
        <w:t>BRTO</w:t>
      </w:r>
      <w:proofErr w:type="spellEnd"/>
      <w:r>
        <w:rPr>
          <w:rFonts w:ascii="Book Antiqua" w:eastAsia="Book Antiqua" w:hAnsi="Book Antiqua" w:cs="Book Antiqua"/>
          <w:color w:val="000000"/>
        </w:rPr>
        <w:t>), combined deployment of embolization coils and cyanoacrylate, and our modified procedure</w:t>
      </w:r>
      <w:r>
        <w:rPr>
          <w:rFonts w:ascii="Book Antiqua" w:eastAsia="Book Antiqua" w:hAnsi="Book Antiqua" w:cs="Book Antiqua"/>
          <w:color w:val="000000"/>
          <w:szCs w:val="20"/>
          <w:vertAlign w:val="superscript"/>
        </w:rPr>
        <w:t>[26-28]</w:t>
      </w:r>
      <w:r>
        <w:rPr>
          <w:rFonts w:ascii="Book Antiqua" w:eastAsia="Book Antiqua" w:hAnsi="Book Antiqua" w:cs="Book Antiqua"/>
          <w:color w:val="000000"/>
        </w:rPr>
        <w:t xml:space="preserve">. Each of these above procedures has its own advantages and applicable population. The modified procedure in our study can locate the puncture site more accurately in real time; the injection depth and angle can be precisely controlled; the injection can be timely terminated through observing the real-time flow blocking effect; and it can help avoid extravascular injection and reduce the total injection dose; avoid radiation exposure during the combined coil deployment or </w:t>
      </w:r>
      <w:proofErr w:type="spellStart"/>
      <w:r>
        <w:rPr>
          <w:rFonts w:ascii="Book Antiqua" w:eastAsia="Book Antiqua" w:hAnsi="Book Antiqua" w:cs="Book Antiqua"/>
          <w:color w:val="000000"/>
        </w:rPr>
        <w:t>BRTO</w:t>
      </w:r>
      <w:proofErr w:type="spellEnd"/>
      <w:r>
        <w:rPr>
          <w:rFonts w:ascii="Book Antiqua" w:eastAsia="Book Antiqua" w:hAnsi="Book Antiqua" w:cs="Book Antiqua"/>
          <w:color w:val="000000"/>
        </w:rPr>
        <w:t>; and reduce related medical costs. It is also worth noting that the operation time was significantly longer in the modified group than in the conventional group. We considered that was relevant to time consumption in confirming the ideal puncture site during the EUS procedure. Therefore, this method is currently unsuitable for endoscopic centers lacking relevant experience, nor is it applicable for critically ill patients with unstable vital signs who need urgent endoscopic hemostasis.</w:t>
      </w:r>
    </w:p>
    <w:p w14:paraId="30272D24" w14:textId="77777777" w:rsidR="00D257CE" w:rsidRDefault="00D257CE" w:rsidP="00D257CE">
      <w:pPr>
        <w:spacing w:line="360" w:lineRule="auto"/>
        <w:ind w:firstLineChars="100" w:firstLine="240"/>
        <w:jc w:val="both"/>
      </w:pPr>
      <w:r>
        <w:rPr>
          <w:rFonts w:ascii="Book Antiqua" w:eastAsia="Book Antiqua" w:hAnsi="Book Antiqua" w:cs="Book Antiqua"/>
          <w:color w:val="000000"/>
        </w:rPr>
        <w:t xml:space="preserve">EUS technology and equipment have not been satisfactorily popularized in many Asian regions, and there is still a significant training demand for many endoscopic interventional operations, including EUS-guided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procedures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r>
        <w:rPr>
          <w:rStyle w:val="src"/>
          <w:rFonts w:ascii="Book Antiqua" w:eastAsia="Book Antiqua" w:hAnsi="Book Antiqua" w:cs="Book Antiqua"/>
          <w:color w:val="000000"/>
          <w:shd w:val="clear" w:color="auto" w:fill="FFFFFF"/>
        </w:rPr>
        <w:t xml:space="preserve">Compared to these more difficult and time-consuming EUS-guided </w:t>
      </w:r>
      <w:proofErr w:type="spellStart"/>
      <w:r>
        <w:rPr>
          <w:rStyle w:val="src"/>
          <w:rFonts w:ascii="Book Antiqua" w:eastAsia="Book Antiqua" w:hAnsi="Book Antiqua" w:cs="Book Antiqua"/>
          <w:color w:val="000000"/>
          <w:shd w:val="clear" w:color="auto" w:fill="FFFFFF"/>
        </w:rPr>
        <w:t>GV</w:t>
      </w:r>
      <w:proofErr w:type="spellEnd"/>
      <w:r>
        <w:rPr>
          <w:rStyle w:val="src"/>
          <w:rFonts w:ascii="Book Antiqua" w:eastAsia="Book Antiqua" w:hAnsi="Book Antiqua" w:cs="Book Antiqua"/>
          <w:color w:val="000000"/>
          <w:shd w:val="clear" w:color="auto" w:fill="FFFFFF"/>
        </w:rPr>
        <w:t xml:space="preserve"> procedures, the technique and </w:t>
      </w:r>
      <w:r>
        <w:rPr>
          <w:rStyle w:val="src"/>
          <w:rFonts w:ascii="Book Antiqua" w:eastAsia="Book Antiqua" w:hAnsi="Book Antiqua" w:cs="Book Antiqua"/>
          <w:color w:val="000000"/>
          <w:shd w:val="clear" w:color="auto" w:fill="FFFFFF"/>
        </w:rPr>
        <w:lastRenderedPageBreak/>
        <w:t>equipment required for conventional injection are more accessible to acquire and, therefore, cannot be discarded</w:t>
      </w:r>
      <w:r>
        <w:rPr>
          <w:rFonts w:ascii="Book Antiqua" w:eastAsia="Book Antiqua" w:hAnsi="Book Antiqua" w:cs="Book Antiqua"/>
          <w:color w:val="000000"/>
          <w:szCs w:val="20"/>
          <w:vertAlign w:val="superscript"/>
        </w:rPr>
        <w:t>[30]</w:t>
      </w:r>
      <w:r>
        <w:rPr>
          <w:rStyle w:val="src"/>
          <w:rFonts w:ascii="Book Antiqua" w:eastAsia="Book Antiqua" w:hAnsi="Book Antiqua" w:cs="Book Antiqua"/>
          <w:color w:val="000000"/>
          <w:shd w:val="clear" w:color="auto" w:fill="FFFFFF"/>
        </w:rPr>
        <w:t>. It was also noticed in the inclusion phase of this study that two patients shifted from the original modified procedure to the conventional method in their follow-up endoscopic treatment. We presume that this was because of the advantages of the conventional operation in reducing difficulties and operation time. Consequently, a multidisciplinary discussion team is a widely recommended approach to selecting the most appropriate individual treatment.</w:t>
      </w:r>
    </w:p>
    <w:p w14:paraId="69FB949E" w14:textId="77777777" w:rsidR="00D257CE" w:rsidRDefault="00D257CE" w:rsidP="00D257CE">
      <w:pPr>
        <w:spacing w:line="360" w:lineRule="auto"/>
        <w:ind w:firstLineChars="100" w:firstLine="240"/>
        <w:jc w:val="both"/>
      </w:pPr>
      <w:r>
        <w:rPr>
          <w:rFonts w:ascii="Book Antiqua" w:eastAsia="Book Antiqua" w:hAnsi="Book Antiqua" w:cs="Book Antiqua"/>
          <w:color w:val="000000"/>
        </w:rPr>
        <w:t xml:space="preserve">There were three main limitations. First, this was a retrospective observational study. Our findings are limited by the study design, and future prospective randomized controlled studies are needed. Second, this was a single-center study, and EUS-guided operations are noticeably affected by technical conditions and experience levels. In the future, multicenter studies involving more endoscopy centers in multiple tertiary hospitals are needed. Third, the sample size was small and had a specific regional characteristic. On the one hand, the small number of enrolled patients was because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is a rare cause of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and consequent hemorrhage</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On the other hand, since </w:t>
      </w:r>
      <w:proofErr w:type="gramStart"/>
      <w:r>
        <w:rPr>
          <w:rFonts w:ascii="Book Antiqua" w:eastAsia="Book Antiqua" w:hAnsi="Book Antiqua" w:cs="Book Antiqua"/>
          <w:color w:val="000000"/>
        </w:rPr>
        <w:t>the our</w:t>
      </w:r>
      <w:proofErr w:type="gramEnd"/>
      <w:r>
        <w:rPr>
          <w:rFonts w:ascii="Book Antiqua" w:eastAsia="Book Antiqua" w:hAnsi="Book Antiqua" w:cs="Book Antiqua"/>
          <w:color w:val="000000"/>
        </w:rPr>
        <w:t xml:space="preserve"> endoscopic center is a regional center for treating severe pancreatitis, most patients included in this study had complications such as pancreatic pseudocyst or walled-off necrosis, which may have had an unavoidable impact on the results. Therefore, future studies need to include more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with varied causes.</w:t>
      </w:r>
    </w:p>
    <w:p w14:paraId="738169BB" w14:textId="77777777" w:rsidR="00D257CE" w:rsidRDefault="00D257CE" w:rsidP="00D257CE">
      <w:pPr>
        <w:spacing w:line="360" w:lineRule="auto"/>
        <w:jc w:val="both"/>
      </w:pPr>
    </w:p>
    <w:p w14:paraId="46C22032" w14:textId="77777777" w:rsidR="00D257CE" w:rsidRDefault="00D257CE" w:rsidP="00D257CE">
      <w:pPr>
        <w:spacing w:line="360" w:lineRule="auto"/>
        <w:jc w:val="both"/>
      </w:pPr>
      <w:r>
        <w:rPr>
          <w:rFonts w:ascii="Book Antiqua" w:eastAsia="Book Antiqua" w:hAnsi="Book Antiqua" w:cs="Book Antiqua"/>
          <w:b/>
          <w:caps/>
          <w:color w:val="000000"/>
          <w:u w:val="single"/>
        </w:rPr>
        <w:t>CONCLUSION</w:t>
      </w:r>
    </w:p>
    <w:p w14:paraId="7936D5C2" w14:textId="205A0258" w:rsidR="00A77B3E" w:rsidRDefault="00D257CE" w:rsidP="00D257CE">
      <w:pPr>
        <w:spacing w:line="360" w:lineRule="auto"/>
        <w:jc w:val="both"/>
      </w:pPr>
      <w:r>
        <w:rPr>
          <w:rFonts w:ascii="Book Antiqua" w:eastAsia="Book Antiqua" w:hAnsi="Book Antiqua" w:cs="Book Antiqua"/>
          <w:color w:val="000000"/>
        </w:rPr>
        <w:t xml:space="preserve">Modified EUS-guided selective NBC injections demonstrated safety and efficacy for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 with advantages mainly in reducing injection dose and having no radiation risk. The drawbacks included that the procedure was time-consuming and technically challenging to perform. Therefore, this procedure is recommended for complicated patients in experienced endoscopy centers.</w:t>
      </w:r>
    </w:p>
    <w:p w14:paraId="47B37CDB" w14:textId="77777777" w:rsidR="00A77B3E" w:rsidRDefault="00A77B3E">
      <w:pPr>
        <w:spacing w:line="360" w:lineRule="auto"/>
        <w:jc w:val="both"/>
      </w:pPr>
    </w:p>
    <w:p w14:paraId="4BC9B526"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1437599C" w14:textId="77777777" w:rsidR="00A77B3E" w:rsidRDefault="00000000">
      <w:pPr>
        <w:spacing w:line="360" w:lineRule="auto"/>
        <w:jc w:val="both"/>
      </w:pPr>
      <w:r>
        <w:rPr>
          <w:rFonts w:ascii="Book Antiqua" w:eastAsia="Book Antiqua" w:hAnsi="Book Antiqua" w:cs="Book Antiqua"/>
          <w:b/>
          <w:i/>
          <w:color w:val="000000"/>
        </w:rPr>
        <w:t>Research background</w:t>
      </w:r>
    </w:p>
    <w:p w14:paraId="2A75713E" w14:textId="05D9A6B7" w:rsidR="00A77B3E" w:rsidRDefault="00000000">
      <w:pPr>
        <w:spacing w:line="360" w:lineRule="auto"/>
        <w:jc w:val="both"/>
      </w:pPr>
      <w:r>
        <w:rPr>
          <w:rFonts w:ascii="Book Antiqua" w:eastAsia="Book Antiqua" w:hAnsi="Book Antiqua" w:cs="Book Antiqua"/>
          <w:color w:val="000000"/>
        </w:rPr>
        <w:lastRenderedPageBreak/>
        <w:t>Left-sided portal hypertension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is often secondary to pancreatic diseases, including pancreatitis and pancreatic tumors. Given normal liver function and no obvious clinical symptoms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gastric varices (</w:t>
      </w:r>
      <w:proofErr w:type="spellStart"/>
      <w:r>
        <w:rPr>
          <w:rFonts w:ascii="Book Antiqua" w:eastAsia="Book Antiqua" w:hAnsi="Book Antiqua" w:cs="Book Antiqua"/>
          <w:color w:val="000000"/>
        </w:rPr>
        <w:t>GV</w:t>
      </w:r>
      <w:proofErr w:type="spellEnd"/>
      <w:r>
        <w:rPr>
          <w:rFonts w:ascii="Book Antiqua" w:eastAsia="Book Antiqua" w:hAnsi="Book Antiqua" w:cs="Book Antiqua"/>
          <w:color w:val="000000"/>
        </w:rPr>
        <w:t>) have received little attention.</w:t>
      </w:r>
    </w:p>
    <w:p w14:paraId="76861A82" w14:textId="77777777" w:rsidR="00A77B3E" w:rsidRDefault="00A77B3E">
      <w:pPr>
        <w:spacing w:line="360" w:lineRule="auto"/>
        <w:jc w:val="both"/>
      </w:pPr>
    </w:p>
    <w:p w14:paraId="11B3D5E8" w14:textId="77777777" w:rsidR="00A77B3E" w:rsidRDefault="00000000">
      <w:pPr>
        <w:spacing w:line="360" w:lineRule="auto"/>
        <w:jc w:val="both"/>
      </w:pPr>
      <w:r>
        <w:rPr>
          <w:rFonts w:ascii="Book Antiqua" w:eastAsia="Book Antiqua" w:hAnsi="Book Antiqua" w:cs="Book Antiqua"/>
          <w:b/>
          <w:i/>
          <w:color w:val="000000"/>
        </w:rPr>
        <w:t>Research motivation</w:t>
      </w:r>
    </w:p>
    <w:p w14:paraId="6582B141" w14:textId="77777777" w:rsidR="00D257CE" w:rsidRDefault="00D257CE" w:rsidP="00D257CE">
      <w:pPr>
        <w:spacing w:line="360" w:lineRule="auto"/>
        <w:jc w:val="both"/>
      </w:pPr>
      <w:r>
        <w:rPr>
          <w:rFonts w:ascii="Book Antiqua" w:eastAsia="Book Antiqua" w:hAnsi="Book Antiqua" w:cs="Book Antiqua"/>
          <w:color w:val="000000"/>
        </w:rPr>
        <w:t xml:space="preserve">To study the clinical value of our previously reported modified endoscopic ultrasound (EUS)-guided selective N-butyl-2-cyanoacrylate (NBC) injection procedure in patients with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w:t>
      </w:r>
    </w:p>
    <w:p w14:paraId="61D6F66F" w14:textId="77777777" w:rsidR="00D257CE" w:rsidRDefault="00D257CE" w:rsidP="00D257CE">
      <w:pPr>
        <w:spacing w:line="360" w:lineRule="auto"/>
        <w:jc w:val="both"/>
      </w:pPr>
    </w:p>
    <w:p w14:paraId="0EB8E8C7" w14:textId="77777777" w:rsidR="00D257CE" w:rsidRDefault="00D257CE" w:rsidP="00D257CE">
      <w:pPr>
        <w:spacing w:line="360" w:lineRule="auto"/>
        <w:jc w:val="both"/>
      </w:pPr>
      <w:r>
        <w:rPr>
          <w:rFonts w:ascii="Book Antiqua" w:eastAsia="Book Antiqua" w:hAnsi="Book Antiqua" w:cs="Book Antiqua"/>
          <w:b/>
          <w:i/>
          <w:color w:val="000000"/>
        </w:rPr>
        <w:t>Research objectives</w:t>
      </w:r>
    </w:p>
    <w:p w14:paraId="66C6D5B6" w14:textId="77777777" w:rsidR="00D257CE" w:rsidRDefault="00D257CE" w:rsidP="00D257CE">
      <w:pPr>
        <w:spacing w:line="360" w:lineRule="auto"/>
        <w:jc w:val="both"/>
      </w:pPr>
      <w:r>
        <w:rPr>
          <w:rFonts w:ascii="Book Antiqua" w:eastAsia="Book Antiqua" w:hAnsi="Book Antiqua" w:cs="Book Antiqua"/>
          <w:color w:val="000000"/>
        </w:rPr>
        <w:t xml:space="preserve">To evaluate and compare the clinical safety and efficacy between modified EUS-guided selective NBC injections and conventional endoscopic NBC injection procedures for gastric variceal hemorrhage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w:t>
      </w:r>
    </w:p>
    <w:p w14:paraId="75018287" w14:textId="77777777" w:rsidR="00D257CE" w:rsidRDefault="00D257CE" w:rsidP="00D257CE">
      <w:pPr>
        <w:spacing w:line="360" w:lineRule="auto"/>
        <w:jc w:val="both"/>
      </w:pPr>
    </w:p>
    <w:p w14:paraId="55F965F5" w14:textId="77777777" w:rsidR="00D257CE" w:rsidRDefault="00D257CE" w:rsidP="00D257CE">
      <w:pPr>
        <w:spacing w:line="360" w:lineRule="auto"/>
        <w:jc w:val="both"/>
      </w:pPr>
      <w:r>
        <w:rPr>
          <w:rFonts w:ascii="Book Antiqua" w:eastAsia="Book Antiqua" w:hAnsi="Book Antiqua" w:cs="Book Antiqua"/>
          <w:b/>
          <w:i/>
          <w:color w:val="000000"/>
        </w:rPr>
        <w:t>Research methods</w:t>
      </w:r>
    </w:p>
    <w:p w14:paraId="6F5F13A8" w14:textId="5BC95E04" w:rsidR="00A77B3E" w:rsidRDefault="00D257CE" w:rsidP="00D257CE">
      <w:pPr>
        <w:spacing w:line="360" w:lineRule="auto"/>
        <w:jc w:val="both"/>
      </w:pP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patients from the First Affiliated Hospital of Chongqing Medical University were retrospectively reviewed and analyzed from October 2019 to September 2023. The technical and clinical success rates, operation time, NBC doses, perioperative complications, postoperative hospital stay, and recurrent bleeding rates of the modified and conventional groups were analyzed.</w:t>
      </w:r>
    </w:p>
    <w:p w14:paraId="2D821728" w14:textId="77777777" w:rsidR="00A77B3E" w:rsidRDefault="00A77B3E">
      <w:pPr>
        <w:spacing w:line="360" w:lineRule="auto"/>
        <w:jc w:val="both"/>
      </w:pPr>
    </w:p>
    <w:p w14:paraId="72BF2E92" w14:textId="77777777" w:rsidR="00A77B3E" w:rsidRDefault="00000000">
      <w:pPr>
        <w:spacing w:line="360" w:lineRule="auto"/>
        <w:jc w:val="both"/>
      </w:pPr>
      <w:r>
        <w:rPr>
          <w:rFonts w:ascii="Book Antiqua" w:eastAsia="Book Antiqua" w:hAnsi="Book Antiqua" w:cs="Book Antiqua"/>
          <w:b/>
          <w:i/>
          <w:color w:val="000000"/>
        </w:rPr>
        <w:t>Research results</w:t>
      </w:r>
    </w:p>
    <w:p w14:paraId="2B6A9D76" w14:textId="64474A4A" w:rsidR="00A77B3E" w:rsidRDefault="00000000">
      <w:pPr>
        <w:spacing w:line="360" w:lineRule="auto"/>
        <w:jc w:val="both"/>
      </w:pPr>
      <w:r>
        <w:rPr>
          <w:rFonts w:ascii="Book Antiqua" w:eastAsia="Book Antiqua" w:hAnsi="Book Antiqua" w:cs="Book Antiqua"/>
          <w:color w:val="000000"/>
        </w:rPr>
        <w:t>The technical success rate was 100% for both types of injection procedures, and clinical success rates were 90.9% and 100% in the modified and conventional groups, respectively (</w:t>
      </w:r>
      <w:r>
        <w:rPr>
          <w:rFonts w:ascii="Book Antiqua" w:eastAsia="Book Antiqua" w:hAnsi="Book Antiqua" w:cs="Book Antiqua"/>
          <w:i/>
          <w:iCs/>
          <w:color w:val="000000"/>
        </w:rPr>
        <w:t>P</w:t>
      </w:r>
      <w:r w:rsidR="00210A58" w:rsidRP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0.41). In comparison to patients in the conventional group, patients in the modified group demonstrated significantly reduced NBC doses (2.0</w:t>
      </w:r>
      <w:r w:rsid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0.6 mL </w:t>
      </w:r>
      <w:r w:rsidR="00210A58"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3.1</w:t>
      </w:r>
      <w:r w:rsid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1.0 mL; </w:t>
      </w:r>
      <w:r>
        <w:rPr>
          <w:rFonts w:ascii="Book Antiqua" w:eastAsia="Book Antiqua" w:hAnsi="Book Antiqua" w:cs="Book Antiqua"/>
          <w:i/>
          <w:iCs/>
          <w:color w:val="000000"/>
        </w:rPr>
        <w:t>P</w:t>
      </w:r>
      <w:r w:rsidR="00210A58" w:rsidRP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0.004) and increased endoscopic operation time (71.9</w:t>
      </w:r>
      <w:r w:rsid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11.9 min </w:t>
      </w:r>
      <w:r w:rsidRPr="00210A58">
        <w:rPr>
          <w:rFonts w:ascii="Book Antiqua" w:eastAsia="Book Antiqua" w:hAnsi="Book Antiqua" w:cs="Book Antiqua"/>
          <w:i/>
          <w:iCs/>
          <w:color w:val="000000"/>
        </w:rPr>
        <w:t>vs</w:t>
      </w:r>
      <w:r>
        <w:rPr>
          <w:rFonts w:ascii="Book Antiqua" w:eastAsia="Book Antiqua" w:hAnsi="Book Antiqua" w:cs="Book Antiqua"/>
          <w:color w:val="000000"/>
        </w:rPr>
        <w:t xml:space="preserve"> 22.5</w:t>
      </w:r>
      <w:r w:rsidR="00210A58">
        <w:rPr>
          <w:rFonts w:ascii="Book Antiqua" w:eastAsia="Book Antiqua" w:hAnsi="Book Antiqua" w:cs="Book Antiqua"/>
          <w:color w:val="000000"/>
        </w:rPr>
        <w:t xml:space="preserve"> </w:t>
      </w:r>
      <w:r>
        <w:rPr>
          <w:rFonts w:ascii="Book Antiqua" w:eastAsia="Book Antiqua" w:hAnsi="Book Antiqua" w:cs="Book Antiqua"/>
          <w:color w:val="000000"/>
        </w:rPr>
        <w:t>±</w:t>
      </w:r>
      <w:r w:rsidR="00210A58">
        <w:rPr>
          <w:rFonts w:ascii="Book Antiqua" w:eastAsia="Book Antiqua" w:hAnsi="Book Antiqua" w:cs="Book Antiqua"/>
          <w:color w:val="000000"/>
        </w:rPr>
        <w:t xml:space="preserve"> </w:t>
      </w:r>
      <w:r>
        <w:rPr>
          <w:rFonts w:ascii="Book Antiqua" w:eastAsia="Book Antiqua" w:hAnsi="Book Antiqua" w:cs="Book Antiqua"/>
          <w:color w:val="000000"/>
        </w:rPr>
        <w:t xml:space="preserve">6.7 min; </w:t>
      </w:r>
      <w:r w:rsidR="00210A58">
        <w:rPr>
          <w:rFonts w:ascii="Book Antiqua" w:eastAsia="Book Antiqua" w:hAnsi="Book Antiqua" w:cs="Book Antiqua"/>
          <w:i/>
          <w:iCs/>
          <w:color w:val="000000"/>
        </w:rPr>
        <w:t>P</w:t>
      </w:r>
      <w:r w:rsidR="00210A58">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Meanwhile, the perioperative complications, postoperative hospital stay, and </w:t>
      </w:r>
      <w:r>
        <w:rPr>
          <w:rFonts w:ascii="Book Antiqua" w:eastAsia="Book Antiqua" w:hAnsi="Book Antiqua" w:cs="Book Antiqua"/>
          <w:color w:val="000000"/>
        </w:rPr>
        <w:lastRenderedPageBreak/>
        <w:t>recurrent bleeding rates for patients in the modified group were 0%, 4.4</w:t>
      </w:r>
      <w:r w:rsidR="00484432">
        <w:rPr>
          <w:rFonts w:ascii="Book Antiqua" w:eastAsia="Book Antiqua" w:hAnsi="Book Antiqua" w:cs="Book Antiqua"/>
          <w:color w:val="000000"/>
        </w:rPr>
        <w:t xml:space="preserve"> </w:t>
      </w:r>
      <w:r>
        <w:rPr>
          <w:rFonts w:ascii="Book Antiqua" w:eastAsia="Book Antiqua" w:hAnsi="Book Antiqua" w:cs="Book Antiqua"/>
          <w:color w:val="000000"/>
        </w:rPr>
        <w:t>±</w:t>
      </w:r>
      <w:r w:rsidR="00484432">
        <w:rPr>
          <w:rFonts w:ascii="Book Antiqua" w:eastAsia="Book Antiqua" w:hAnsi="Book Antiqua" w:cs="Book Antiqua"/>
          <w:color w:val="000000"/>
        </w:rPr>
        <w:t xml:space="preserve"> </w:t>
      </w:r>
      <w:r>
        <w:rPr>
          <w:rFonts w:ascii="Book Antiqua" w:eastAsia="Book Antiqua" w:hAnsi="Book Antiqua" w:cs="Book Antiqua"/>
          <w:color w:val="000000"/>
        </w:rPr>
        <w:t xml:space="preserve">1.6 d, and 9.1%, respectively, </w:t>
      </w:r>
      <w:r>
        <w:rPr>
          <w:rFonts w:ascii="Book Antiqua" w:eastAsia="Book Antiqua" w:hAnsi="Book Antiqua" w:cs="Book Antiqua"/>
          <w:i/>
          <w:iCs/>
          <w:color w:val="000000"/>
        </w:rPr>
        <w:t>vs</w:t>
      </w:r>
      <w:r>
        <w:rPr>
          <w:rFonts w:ascii="Book Antiqua" w:eastAsia="Book Antiqua" w:hAnsi="Book Antiqua" w:cs="Book Antiqua"/>
          <w:color w:val="000000"/>
        </w:rPr>
        <w:t xml:space="preserve"> 6.3%, 5.8</w:t>
      </w:r>
      <w:r w:rsidR="00484432">
        <w:rPr>
          <w:rFonts w:ascii="Book Antiqua" w:eastAsia="Book Antiqua" w:hAnsi="Book Antiqua" w:cs="Book Antiqua"/>
          <w:color w:val="000000"/>
        </w:rPr>
        <w:t xml:space="preserve"> </w:t>
      </w:r>
      <w:r>
        <w:rPr>
          <w:rFonts w:ascii="Book Antiqua" w:eastAsia="Book Antiqua" w:hAnsi="Book Antiqua" w:cs="Book Antiqua"/>
          <w:color w:val="000000"/>
        </w:rPr>
        <w:t>±</w:t>
      </w:r>
      <w:r w:rsidR="00484432">
        <w:rPr>
          <w:rFonts w:ascii="Book Antiqua" w:eastAsia="Book Antiqua" w:hAnsi="Book Antiqua" w:cs="Book Antiqua"/>
          <w:color w:val="000000"/>
        </w:rPr>
        <w:t xml:space="preserve"> </w:t>
      </w:r>
      <w:r>
        <w:rPr>
          <w:rFonts w:ascii="Book Antiqua" w:eastAsia="Book Antiqua" w:hAnsi="Book Antiqua" w:cs="Book Antiqua"/>
          <w:color w:val="000000"/>
        </w:rPr>
        <w:t>2.2 d, and 18.8% for those in the conventional group.</w:t>
      </w:r>
    </w:p>
    <w:p w14:paraId="34278C9D" w14:textId="77777777" w:rsidR="00A77B3E" w:rsidRDefault="00A77B3E">
      <w:pPr>
        <w:spacing w:line="360" w:lineRule="auto"/>
        <w:jc w:val="both"/>
      </w:pPr>
    </w:p>
    <w:p w14:paraId="6C4A2738" w14:textId="77777777" w:rsidR="00A77B3E" w:rsidRDefault="00000000">
      <w:pPr>
        <w:spacing w:line="360" w:lineRule="auto"/>
        <w:jc w:val="both"/>
      </w:pPr>
      <w:r>
        <w:rPr>
          <w:rFonts w:ascii="Book Antiqua" w:eastAsia="Book Antiqua" w:hAnsi="Book Antiqua" w:cs="Book Antiqua"/>
          <w:b/>
          <w:i/>
          <w:color w:val="000000"/>
        </w:rPr>
        <w:t>Research conclusions</w:t>
      </w:r>
    </w:p>
    <w:p w14:paraId="60F6EFC6" w14:textId="77777777" w:rsidR="00AC34EF" w:rsidRDefault="00AC34EF" w:rsidP="00AC34EF">
      <w:pPr>
        <w:spacing w:line="360" w:lineRule="auto"/>
        <w:jc w:val="both"/>
      </w:pPr>
      <w:r>
        <w:rPr>
          <w:rFonts w:ascii="Book Antiqua" w:eastAsia="Book Antiqua" w:hAnsi="Book Antiqua" w:cs="Book Antiqua"/>
          <w:color w:val="000000"/>
        </w:rPr>
        <w:t xml:space="preserve">The modified EUS-guided selective NBC injection procedure demonstrated reduced injection dose and no increased perioperative complications compared to conventional endoscopic NBC injection procedures. Thus, it is safe and effective in treating patients with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-induced gastric variceal hemorrhage.</w:t>
      </w:r>
    </w:p>
    <w:p w14:paraId="7C596A26" w14:textId="77777777" w:rsidR="00AC34EF" w:rsidRDefault="00AC34EF" w:rsidP="00AC34EF">
      <w:pPr>
        <w:spacing w:line="360" w:lineRule="auto"/>
        <w:jc w:val="both"/>
      </w:pPr>
    </w:p>
    <w:p w14:paraId="0D4A313D" w14:textId="77777777" w:rsidR="00AC34EF" w:rsidRDefault="00AC34EF" w:rsidP="00AC34EF">
      <w:pPr>
        <w:spacing w:line="360" w:lineRule="auto"/>
        <w:jc w:val="both"/>
      </w:pPr>
      <w:r>
        <w:rPr>
          <w:rFonts w:ascii="Book Antiqua" w:eastAsia="Book Antiqua" w:hAnsi="Book Antiqua" w:cs="Book Antiqua"/>
          <w:b/>
          <w:i/>
          <w:color w:val="000000"/>
        </w:rPr>
        <w:t>Research perspectives</w:t>
      </w:r>
    </w:p>
    <w:p w14:paraId="662449C4" w14:textId="724FA755" w:rsidR="00A77B3E" w:rsidRDefault="00AC34EF" w:rsidP="00AC34EF">
      <w:pPr>
        <w:spacing w:line="360" w:lineRule="auto"/>
        <w:jc w:val="both"/>
      </w:pPr>
      <w:r>
        <w:rPr>
          <w:rFonts w:ascii="Book Antiqua" w:eastAsia="Book Antiqua" w:hAnsi="Book Antiqua" w:cs="Book Antiqua"/>
          <w:color w:val="000000"/>
        </w:rPr>
        <w:t xml:space="preserve">This present study built on our prior research and compared the safety and efficacy of a modified EUS-guided selective NBC injection procedure for gastric variceal hemorrhage in </w:t>
      </w:r>
      <w:proofErr w:type="spellStart"/>
      <w:r>
        <w:rPr>
          <w:rFonts w:ascii="Book Antiqua" w:eastAsia="Book Antiqua" w:hAnsi="Book Antiqua" w:cs="Book Antiqua"/>
          <w:color w:val="000000"/>
        </w:rPr>
        <w:t>LSPH</w:t>
      </w:r>
      <w:proofErr w:type="spellEnd"/>
      <w:r>
        <w:rPr>
          <w:rFonts w:ascii="Book Antiqua" w:eastAsia="Book Antiqua" w:hAnsi="Book Antiqua" w:cs="Book Antiqua"/>
          <w:color w:val="000000"/>
        </w:rPr>
        <w:t xml:space="preserve"> with conventional endoscopic NBC injection procedures. EUS-guided advanced endoscopic procedures will undoubtedly be the future direction of endoscopic treatment.</w:t>
      </w:r>
    </w:p>
    <w:p w14:paraId="192EE263" w14:textId="77777777" w:rsidR="00A77B3E" w:rsidRDefault="00A77B3E">
      <w:pPr>
        <w:spacing w:line="360" w:lineRule="auto"/>
        <w:jc w:val="both"/>
      </w:pPr>
    </w:p>
    <w:p w14:paraId="36AF9EF2" w14:textId="77777777" w:rsidR="00A77B3E" w:rsidRDefault="00000000">
      <w:pPr>
        <w:spacing w:line="360" w:lineRule="auto"/>
        <w:jc w:val="both"/>
      </w:pPr>
      <w:r>
        <w:rPr>
          <w:rFonts w:ascii="Book Antiqua" w:eastAsia="Book Antiqua" w:hAnsi="Book Antiqua" w:cs="Book Antiqua"/>
          <w:b/>
          <w:color w:val="000000"/>
        </w:rPr>
        <w:t>REFERENCES</w:t>
      </w:r>
    </w:p>
    <w:p w14:paraId="0A717F7C" w14:textId="77777777" w:rsidR="00A77B3E" w:rsidRDefault="00000000">
      <w:pPr>
        <w:spacing w:line="360" w:lineRule="auto"/>
        <w:jc w:val="both"/>
      </w:pPr>
      <w:bookmarkStart w:id="185" w:name="OLE_LINK13"/>
      <w:bookmarkStart w:id="186" w:name="OLE_LINK15"/>
      <w:r>
        <w:rPr>
          <w:rFonts w:ascii="Book Antiqua" w:eastAsia="Book Antiqua" w:hAnsi="Book Antiqua" w:cs="Book Antiqua"/>
        </w:rPr>
        <w:t xml:space="preserve">1 </w:t>
      </w:r>
      <w:r>
        <w:rPr>
          <w:rFonts w:ascii="Book Antiqua" w:eastAsia="Book Antiqua" w:hAnsi="Book Antiqua" w:cs="Book Antiqua"/>
          <w:b/>
          <w:bCs/>
        </w:rPr>
        <w:t>Yu D</w:t>
      </w:r>
      <w:r>
        <w:rPr>
          <w:rFonts w:ascii="Book Antiqua" w:eastAsia="Book Antiqua" w:hAnsi="Book Antiqua" w:cs="Book Antiqua"/>
        </w:rPr>
        <w:t xml:space="preserve">, Li X, Gong J, Li J, Xie F, Hu J. Left-sided portal hypertension caused by peripancreatic lymph node tuberculosis misdiagnosed as pancreatic cancer: a case report and literature review.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276 [</w:t>
      </w:r>
      <w:proofErr w:type="spellStart"/>
      <w:r>
        <w:rPr>
          <w:rFonts w:ascii="Book Antiqua" w:eastAsia="Book Antiqua" w:hAnsi="Book Antiqua" w:cs="Book Antiqua"/>
        </w:rPr>
        <w:t>PMID</w:t>
      </w:r>
      <w:proofErr w:type="spellEnd"/>
      <w:r>
        <w:rPr>
          <w:rFonts w:ascii="Book Antiqua" w:eastAsia="Book Antiqua" w:hAnsi="Book Antiqua" w:cs="Book Antiqua"/>
        </w:rPr>
        <w:t>: 32811429 DOI: 10.1186/</w:t>
      </w:r>
      <w:proofErr w:type="spellStart"/>
      <w:r>
        <w:rPr>
          <w:rFonts w:ascii="Book Antiqua" w:eastAsia="Book Antiqua" w:hAnsi="Book Antiqua" w:cs="Book Antiqua"/>
        </w:rPr>
        <w:t>s12876</w:t>
      </w:r>
      <w:proofErr w:type="spellEnd"/>
      <w:r>
        <w:rPr>
          <w:rFonts w:ascii="Book Antiqua" w:eastAsia="Book Antiqua" w:hAnsi="Book Antiqua" w:cs="Book Antiqua"/>
        </w:rPr>
        <w:t>-020-01420-x]</w:t>
      </w:r>
    </w:p>
    <w:p w14:paraId="3F347C28"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Zheng K</w:t>
      </w:r>
      <w:r>
        <w:rPr>
          <w:rFonts w:ascii="Book Antiqua" w:eastAsia="Book Antiqua" w:hAnsi="Book Antiqua" w:cs="Book Antiqua"/>
        </w:rPr>
        <w:t xml:space="preserve">, Guo X, Feng J, Bai Z, Shao X, Yi F, Zhang Y, Zhang R, Liu H, Romeiro FG, Qi X. Gastrointestinal Bleeding due to Pancreatic Disease-Related Portal Hypertension.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3825186 [</w:t>
      </w:r>
      <w:proofErr w:type="spellStart"/>
      <w:r>
        <w:rPr>
          <w:rFonts w:ascii="Book Antiqua" w:eastAsia="Book Antiqua" w:hAnsi="Book Antiqua" w:cs="Book Antiqua"/>
        </w:rPr>
        <w:t>PMID</w:t>
      </w:r>
      <w:proofErr w:type="spellEnd"/>
      <w:r>
        <w:rPr>
          <w:rFonts w:ascii="Book Antiqua" w:eastAsia="Book Antiqua" w:hAnsi="Book Antiqua" w:cs="Book Antiqua"/>
        </w:rPr>
        <w:t>: 32308674 DOI: 10.1155/2020/3825186]</w:t>
      </w:r>
    </w:p>
    <w:p w14:paraId="5B8BE8A4"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Madsen MS</w:t>
      </w:r>
      <w:r>
        <w:rPr>
          <w:rFonts w:ascii="Book Antiqua" w:eastAsia="Book Antiqua" w:hAnsi="Book Antiqua" w:cs="Book Antiqua"/>
        </w:rPr>
        <w:t xml:space="preserve">, Petersen TH, Sommer H. Segmental portal hypertension. </w:t>
      </w:r>
      <w:r>
        <w:rPr>
          <w:rFonts w:ascii="Book Antiqua" w:eastAsia="Book Antiqua" w:hAnsi="Book Antiqua" w:cs="Book Antiqua"/>
          <w:i/>
          <w:iCs/>
        </w:rPr>
        <w:t>Ann Surg</w:t>
      </w:r>
      <w:r>
        <w:rPr>
          <w:rFonts w:ascii="Book Antiqua" w:eastAsia="Book Antiqua" w:hAnsi="Book Antiqua" w:cs="Book Antiqua"/>
        </w:rPr>
        <w:t xml:space="preserve"> 1986; </w:t>
      </w:r>
      <w:r>
        <w:rPr>
          <w:rFonts w:ascii="Book Antiqua" w:eastAsia="Book Antiqua" w:hAnsi="Book Antiqua" w:cs="Book Antiqua"/>
          <w:b/>
          <w:bCs/>
        </w:rPr>
        <w:t>204</w:t>
      </w:r>
      <w:r>
        <w:rPr>
          <w:rFonts w:ascii="Book Antiqua" w:eastAsia="Book Antiqua" w:hAnsi="Book Antiqua" w:cs="Book Antiqua"/>
        </w:rPr>
        <w:t>: 72-77 [</w:t>
      </w:r>
      <w:proofErr w:type="spellStart"/>
      <w:r>
        <w:rPr>
          <w:rFonts w:ascii="Book Antiqua" w:eastAsia="Book Antiqua" w:hAnsi="Book Antiqua" w:cs="Book Antiqua"/>
        </w:rPr>
        <w:t>PMID</w:t>
      </w:r>
      <w:proofErr w:type="spellEnd"/>
      <w:r>
        <w:rPr>
          <w:rFonts w:ascii="Book Antiqua" w:eastAsia="Book Antiqua" w:hAnsi="Book Antiqua" w:cs="Book Antiqua"/>
        </w:rPr>
        <w:t>: 3729585 DOI: 10.1097/00000658-198607000-00010]</w:t>
      </w:r>
    </w:p>
    <w:p w14:paraId="2168BAD0"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Moyana TN</w:t>
      </w:r>
      <w:r>
        <w:rPr>
          <w:rFonts w:ascii="Book Antiqua" w:eastAsia="Book Antiqua" w:hAnsi="Book Antiqua" w:cs="Book Antiqua"/>
        </w:rPr>
        <w:t xml:space="preserve">, Macdonald DB, Martel G, </w:t>
      </w:r>
      <w:proofErr w:type="spellStart"/>
      <w:r>
        <w:rPr>
          <w:rFonts w:ascii="Book Antiqua" w:eastAsia="Book Antiqua" w:hAnsi="Book Antiqua" w:cs="Book Antiqua"/>
        </w:rPr>
        <w:t>Pyatibrat</w:t>
      </w:r>
      <w:proofErr w:type="spellEnd"/>
      <w:r>
        <w:rPr>
          <w:rFonts w:ascii="Book Antiqua" w:eastAsia="Book Antiqua" w:hAnsi="Book Antiqua" w:cs="Book Antiqua"/>
        </w:rPr>
        <w:t xml:space="preserve"> S, Lee G, Capitano M. Pancreatic Neuroendocrine Tumors Complicated by Sinistral Portal Hypertension: Insights into Pathogenesis. </w:t>
      </w:r>
      <w:r>
        <w:rPr>
          <w:rFonts w:ascii="Book Antiqua" w:eastAsia="Book Antiqua" w:hAnsi="Book Antiqua" w:cs="Book Antiqua"/>
          <w:i/>
          <w:iCs/>
        </w:rPr>
        <w:t xml:space="preserve">J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71-77 [</w:t>
      </w:r>
      <w:proofErr w:type="spellStart"/>
      <w:r>
        <w:rPr>
          <w:rFonts w:ascii="Book Antiqua" w:eastAsia="Book Antiqua" w:hAnsi="Book Antiqua" w:cs="Book Antiqua"/>
        </w:rPr>
        <w:t>PMID</w:t>
      </w:r>
      <w:proofErr w:type="spellEnd"/>
      <w:r>
        <w:rPr>
          <w:rFonts w:ascii="Book Antiqua" w:eastAsia="Book Antiqua" w:hAnsi="Book Antiqua" w:cs="Book Antiqua"/>
        </w:rPr>
        <w:t>: 30631846 DOI: 10.1089/</w:t>
      </w:r>
      <w:proofErr w:type="spellStart"/>
      <w:r>
        <w:rPr>
          <w:rFonts w:ascii="Book Antiqua" w:eastAsia="Book Antiqua" w:hAnsi="Book Antiqua" w:cs="Book Antiqua"/>
        </w:rPr>
        <w:t>pancan.2017.0017</w:t>
      </w:r>
      <w:proofErr w:type="spellEnd"/>
      <w:r>
        <w:rPr>
          <w:rFonts w:ascii="Book Antiqua" w:eastAsia="Book Antiqua" w:hAnsi="Book Antiqua" w:cs="Book Antiqua"/>
        </w:rPr>
        <w:t>]</w:t>
      </w:r>
    </w:p>
    <w:p w14:paraId="49D3923B" w14:textId="77777777" w:rsidR="00A77B3E"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Zacharias AP</w:t>
      </w:r>
      <w:r>
        <w:rPr>
          <w:rFonts w:ascii="Book Antiqua" w:eastAsia="Book Antiqua" w:hAnsi="Book Antiqua" w:cs="Book Antiqua"/>
        </w:rPr>
        <w:t xml:space="preserve">, Jeyaraj R, Hobolth L, Bendtsen F, Gluud LL, Morgan MY. Carvedilol </w:t>
      </w:r>
      <w:r>
        <w:rPr>
          <w:rFonts w:ascii="Book Antiqua" w:eastAsia="Book Antiqua" w:hAnsi="Book Antiqua" w:cs="Book Antiqua"/>
          <w:i/>
          <w:iCs/>
        </w:rPr>
        <w:t>vs</w:t>
      </w:r>
      <w:r>
        <w:rPr>
          <w:rFonts w:ascii="Book Antiqua" w:eastAsia="Book Antiqua" w:hAnsi="Book Antiqua" w:cs="Book Antiqua"/>
        </w:rPr>
        <w:t xml:space="preserve"> traditional, non-selective beta-blockers for adults with cirrhosis and gastroesophageal varices. </w:t>
      </w:r>
      <w:r>
        <w:rPr>
          <w:rFonts w:ascii="Book Antiqua" w:eastAsia="Book Antiqua" w:hAnsi="Book Antiqua" w:cs="Book Antiqua"/>
          <w:i/>
          <w:iCs/>
        </w:rPr>
        <w:t>Cochrane Database Syst Rev</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CD011510 [</w:t>
      </w:r>
      <w:proofErr w:type="spellStart"/>
      <w:r>
        <w:rPr>
          <w:rFonts w:ascii="Book Antiqua" w:eastAsia="Book Antiqua" w:hAnsi="Book Antiqua" w:cs="Book Antiqua"/>
        </w:rPr>
        <w:t>PMID</w:t>
      </w:r>
      <w:proofErr w:type="spellEnd"/>
      <w:r>
        <w:rPr>
          <w:rFonts w:ascii="Book Antiqua" w:eastAsia="Book Antiqua" w:hAnsi="Book Antiqua" w:cs="Book Antiqua"/>
        </w:rPr>
        <w:t>: 30372514 DOI: 10.1002/</w:t>
      </w:r>
      <w:proofErr w:type="spellStart"/>
      <w:r>
        <w:rPr>
          <w:rFonts w:ascii="Book Antiqua" w:eastAsia="Book Antiqua" w:hAnsi="Book Antiqua" w:cs="Book Antiqua"/>
        </w:rPr>
        <w:t>14651858.CD011510.pub2</w:t>
      </w:r>
      <w:proofErr w:type="spellEnd"/>
      <w:r>
        <w:rPr>
          <w:rFonts w:ascii="Book Antiqua" w:eastAsia="Book Antiqua" w:hAnsi="Book Antiqua" w:cs="Book Antiqua"/>
        </w:rPr>
        <w:t>]</w:t>
      </w:r>
    </w:p>
    <w:p w14:paraId="549DC503"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J</w:t>
      </w:r>
      <w:r>
        <w:rPr>
          <w:rFonts w:ascii="Book Antiqua" w:eastAsia="Book Antiqua" w:hAnsi="Book Antiqua" w:cs="Book Antiqua"/>
        </w:rPr>
        <w:t xml:space="preserve">, Zeng Y, Zhang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Modified endoscopic ultrasound-guided selective N-butyl-2-cyanoacrylate injections for gastric variceal hemorrhage in left-sided portal hypertension: A case report.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6254-6260 [</w:t>
      </w:r>
      <w:proofErr w:type="spellStart"/>
      <w:r>
        <w:rPr>
          <w:rFonts w:ascii="Book Antiqua" w:eastAsia="Book Antiqua" w:hAnsi="Book Antiqua" w:cs="Book Antiqua"/>
        </w:rPr>
        <w:t>PMID</w:t>
      </w:r>
      <w:proofErr w:type="spellEnd"/>
      <w:r>
        <w:rPr>
          <w:rFonts w:ascii="Book Antiqua" w:eastAsia="Book Antiqua" w:hAnsi="Book Antiqua" w:cs="Book Antiqua"/>
        </w:rPr>
        <w:t>: 35949826 DOI: 10.12998/</w:t>
      </w:r>
      <w:proofErr w:type="spellStart"/>
      <w:r>
        <w:rPr>
          <w:rFonts w:ascii="Book Antiqua" w:eastAsia="Book Antiqua" w:hAnsi="Book Antiqua" w:cs="Book Antiqua"/>
        </w:rPr>
        <w:t>wjcc.v10.i18.6254</w:t>
      </w:r>
      <w:proofErr w:type="spellEnd"/>
      <w:r>
        <w:rPr>
          <w:rFonts w:ascii="Book Antiqua" w:eastAsia="Book Antiqua" w:hAnsi="Book Antiqua" w:cs="Book Antiqua"/>
        </w:rPr>
        <w:t>]</w:t>
      </w:r>
    </w:p>
    <w:p w14:paraId="439BED4A"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Turrill FL</w:t>
      </w:r>
      <w:r>
        <w:rPr>
          <w:rFonts w:ascii="Book Antiqua" w:eastAsia="Book Antiqua" w:hAnsi="Book Antiqua" w:cs="Book Antiqua"/>
        </w:rPr>
        <w:t xml:space="preserve">, Mikkelsen WP. "Sinistral" (left-sided) extrahepatic portal hypertension. </w:t>
      </w:r>
      <w:r>
        <w:rPr>
          <w:rFonts w:ascii="Book Antiqua" w:eastAsia="Book Antiqua" w:hAnsi="Book Antiqua" w:cs="Book Antiqua"/>
          <w:i/>
          <w:iCs/>
        </w:rPr>
        <w:t>Arch Surg</w:t>
      </w:r>
      <w:r>
        <w:rPr>
          <w:rFonts w:ascii="Book Antiqua" w:eastAsia="Book Antiqua" w:hAnsi="Book Antiqua" w:cs="Book Antiqua"/>
        </w:rPr>
        <w:t xml:space="preserve"> 1969; </w:t>
      </w:r>
      <w:r>
        <w:rPr>
          <w:rFonts w:ascii="Book Antiqua" w:eastAsia="Book Antiqua" w:hAnsi="Book Antiqua" w:cs="Book Antiqua"/>
          <w:b/>
          <w:bCs/>
        </w:rPr>
        <w:t>99</w:t>
      </w:r>
      <w:r>
        <w:rPr>
          <w:rFonts w:ascii="Book Antiqua" w:eastAsia="Book Antiqua" w:hAnsi="Book Antiqua" w:cs="Book Antiqua"/>
        </w:rPr>
        <w:t>: 365-368 [</w:t>
      </w:r>
      <w:proofErr w:type="spellStart"/>
      <w:r>
        <w:rPr>
          <w:rFonts w:ascii="Book Antiqua" w:eastAsia="Book Antiqua" w:hAnsi="Book Antiqua" w:cs="Book Antiqua"/>
        </w:rPr>
        <w:t>PMID</w:t>
      </w:r>
      <w:proofErr w:type="spellEnd"/>
      <w:r>
        <w:rPr>
          <w:rFonts w:ascii="Book Antiqua" w:eastAsia="Book Antiqua" w:hAnsi="Book Antiqua" w:cs="Book Antiqua"/>
        </w:rPr>
        <w:t>: 5306330 DOI: 10.1001/</w:t>
      </w:r>
      <w:proofErr w:type="spellStart"/>
      <w:r>
        <w:rPr>
          <w:rFonts w:ascii="Book Antiqua" w:eastAsia="Book Antiqua" w:hAnsi="Book Antiqua" w:cs="Book Antiqua"/>
        </w:rPr>
        <w:t>archsurg.1969.01340150073014</w:t>
      </w:r>
      <w:proofErr w:type="spellEnd"/>
      <w:r>
        <w:rPr>
          <w:rFonts w:ascii="Book Antiqua" w:eastAsia="Book Antiqua" w:hAnsi="Book Antiqua" w:cs="Book Antiqua"/>
        </w:rPr>
        <w:t>]</w:t>
      </w:r>
    </w:p>
    <w:p w14:paraId="4FEB0A9F"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Sarin SK</w:t>
      </w:r>
      <w:r>
        <w:rPr>
          <w:rFonts w:ascii="Book Antiqua" w:eastAsia="Book Antiqua" w:hAnsi="Book Antiqua" w:cs="Book Antiqua"/>
        </w:rPr>
        <w:t xml:space="preserve">, Lahoti D, Saxena SP, Murthy NS, Makwana UK. Prevalence, </w:t>
      </w:r>
      <w:proofErr w:type="gramStart"/>
      <w:r>
        <w:rPr>
          <w:rFonts w:ascii="Book Antiqua" w:eastAsia="Book Antiqua" w:hAnsi="Book Antiqua" w:cs="Book Antiqua"/>
        </w:rPr>
        <w:t>classification</w:t>
      </w:r>
      <w:proofErr w:type="gramEnd"/>
      <w:r>
        <w:rPr>
          <w:rFonts w:ascii="Book Antiqua" w:eastAsia="Book Antiqua" w:hAnsi="Book Antiqua" w:cs="Book Antiqua"/>
        </w:rPr>
        <w:t xml:space="preserve"> and natural history of gastric varices: a long-term follow-up study in 568 portal hypertension patients. </w:t>
      </w:r>
      <w:r>
        <w:rPr>
          <w:rFonts w:ascii="Book Antiqua" w:eastAsia="Book Antiqua" w:hAnsi="Book Antiqua" w:cs="Book Antiqua"/>
          <w:i/>
          <w:iCs/>
        </w:rPr>
        <w:t>Hepatology</w:t>
      </w:r>
      <w:r>
        <w:rPr>
          <w:rFonts w:ascii="Book Antiqua" w:eastAsia="Book Antiqua" w:hAnsi="Book Antiqua" w:cs="Book Antiqua"/>
        </w:rPr>
        <w:t xml:space="preserve"> 1992; </w:t>
      </w:r>
      <w:r>
        <w:rPr>
          <w:rFonts w:ascii="Book Antiqua" w:eastAsia="Book Antiqua" w:hAnsi="Book Antiqua" w:cs="Book Antiqua"/>
          <w:b/>
          <w:bCs/>
        </w:rPr>
        <w:t>16</w:t>
      </w:r>
      <w:r>
        <w:rPr>
          <w:rFonts w:ascii="Book Antiqua" w:eastAsia="Book Antiqua" w:hAnsi="Book Antiqua" w:cs="Book Antiqua"/>
        </w:rPr>
        <w:t>: 1343-1349 [</w:t>
      </w:r>
      <w:proofErr w:type="spellStart"/>
      <w:r>
        <w:rPr>
          <w:rFonts w:ascii="Book Antiqua" w:eastAsia="Book Antiqua" w:hAnsi="Book Antiqua" w:cs="Book Antiqua"/>
        </w:rPr>
        <w:t>PMID</w:t>
      </w:r>
      <w:proofErr w:type="spellEnd"/>
      <w:r>
        <w:rPr>
          <w:rFonts w:ascii="Book Antiqua" w:eastAsia="Book Antiqua" w:hAnsi="Book Antiqua" w:cs="Book Antiqua"/>
        </w:rPr>
        <w:t>: 1446890 DOI: 10.1002/</w:t>
      </w:r>
      <w:proofErr w:type="spellStart"/>
      <w:r>
        <w:rPr>
          <w:rFonts w:ascii="Book Antiqua" w:eastAsia="Book Antiqua" w:hAnsi="Book Antiqua" w:cs="Book Antiqua"/>
        </w:rPr>
        <w:t>hep.1840160607</w:t>
      </w:r>
      <w:proofErr w:type="spellEnd"/>
      <w:r>
        <w:rPr>
          <w:rFonts w:ascii="Book Antiqua" w:eastAsia="Book Antiqua" w:hAnsi="Book Antiqua" w:cs="Book Antiqua"/>
        </w:rPr>
        <w:t>]</w:t>
      </w:r>
    </w:p>
    <w:p w14:paraId="07034E55"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Mann R</w:t>
      </w:r>
      <w:r>
        <w:rPr>
          <w:rFonts w:ascii="Book Antiqua" w:eastAsia="Book Antiqua" w:hAnsi="Book Antiqua" w:cs="Book Antiqua"/>
        </w:rPr>
        <w:t xml:space="preserve">, Goyal H, </w:t>
      </w:r>
      <w:proofErr w:type="spellStart"/>
      <w:r>
        <w:rPr>
          <w:rFonts w:ascii="Book Antiqua" w:eastAsia="Book Antiqua" w:hAnsi="Book Antiqua" w:cs="Book Antiqua"/>
        </w:rPr>
        <w:t>Perisetti</w:t>
      </w:r>
      <w:proofErr w:type="spellEnd"/>
      <w:r>
        <w:rPr>
          <w:rFonts w:ascii="Book Antiqua" w:eastAsia="Book Antiqua" w:hAnsi="Book Antiqua" w:cs="Book Antiqua"/>
        </w:rPr>
        <w:t xml:space="preserve"> A, Chandan S, Inamdar S, </w:t>
      </w:r>
      <w:proofErr w:type="spellStart"/>
      <w:r>
        <w:rPr>
          <w:rFonts w:ascii="Book Antiqua" w:eastAsia="Book Antiqua" w:hAnsi="Book Antiqua" w:cs="Book Antiqua"/>
        </w:rPr>
        <w:t>Tharian</w:t>
      </w:r>
      <w:proofErr w:type="spellEnd"/>
      <w:r>
        <w:rPr>
          <w:rFonts w:ascii="Book Antiqua" w:eastAsia="Book Antiqua" w:hAnsi="Book Antiqua" w:cs="Book Antiqua"/>
        </w:rPr>
        <w:t xml:space="preserve"> B. Endoscopic ultrasound-guided vascular interventions: Current insights and emerging techniques.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6874-6887 [</w:t>
      </w:r>
      <w:proofErr w:type="spellStart"/>
      <w:r>
        <w:rPr>
          <w:rFonts w:ascii="Book Antiqua" w:eastAsia="Book Antiqua" w:hAnsi="Book Antiqua" w:cs="Book Antiqua"/>
        </w:rPr>
        <w:t>PMID</w:t>
      </w:r>
      <w:proofErr w:type="spellEnd"/>
      <w:r>
        <w:rPr>
          <w:rFonts w:ascii="Book Antiqua" w:eastAsia="Book Antiqua" w:hAnsi="Book Antiqua" w:cs="Book Antiqua"/>
        </w:rPr>
        <w:t>: 34790012 DOI: 10.3748/</w:t>
      </w:r>
      <w:proofErr w:type="spellStart"/>
      <w:r>
        <w:rPr>
          <w:rFonts w:ascii="Book Antiqua" w:eastAsia="Book Antiqua" w:hAnsi="Book Antiqua" w:cs="Book Antiqua"/>
        </w:rPr>
        <w:t>wjg.v27.i40.6874</w:t>
      </w:r>
      <w:proofErr w:type="spellEnd"/>
      <w:r>
        <w:rPr>
          <w:rFonts w:ascii="Book Antiqua" w:eastAsia="Book Antiqua" w:hAnsi="Book Antiqua" w:cs="Book Antiqua"/>
        </w:rPr>
        <w:t>]</w:t>
      </w:r>
    </w:p>
    <w:p w14:paraId="24E0BAD1"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Zeng Y</w:t>
      </w:r>
      <w:r>
        <w:rPr>
          <w:rFonts w:ascii="Book Antiqua" w:eastAsia="Book Antiqua" w:hAnsi="Book Antiqua" w:cs="Book Antiqua"/>
        </w:rPr>
        <w:t xml:space="preserve">, Yang J, Zhang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Endoscopic transluminal drainage and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for infected necrotizing pancreatitis: Progress and challenges.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1888-1902 [</w:t>
      </w:r>
      <w:proofErr w:type="spellStart"/>
      <w:r>
        <w:rPr>
          <w:rFonts w:ascii="Book Antiqua" w:eastAsia="Book Antiqua" w:hAnsi="Book Antiqua" w:cs="Book Antiqua"/>
        </w:rPr>
        <w:t>PMID</w:t>
      </w:r>
      <w:proofErr w:type="spellEnd"/>
      <w:r>
        <w:rPr>
          <w:rFonts w:ascii="Book Antiqua" w:eastAsia="Book Antiqua" w:hAnsi="Book Antiqua" w:cs="Book Antiqua"/>
        </w:rPr>
        <w:t>: 36998953 DOI: 10.12998/</w:t>
      </w:r>
      <w:proofErr w:type="spellStart"/>
      <w:r>
        <w:rPr>
          <w:rFonts w:ascii="Book Antiqua" w:eastAsia="Book Antiqua" w:hAnsi="Book Antiqua" w:cs="Book Antiqua"/>
        </w:rPr>
        <w:t>wjcc.v11.i9.1888</w:t>
      </w:r>
      <w:proofErr w:type="spellEnd"/>
      <w:r>
        <w:rPr>
          <w:rFonts w:ascii="Book Antiqua" w:eastAsia="Book Antiqua" w:hAnsi="Book Antiqua" w:cs="Book Antiqua"/>
        </w:rPr>
        <w:t>]</w:t>
      </w:r>
    </w:p>
    <w:p w14:paraId="5C6BB6A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Yang J</w:t>
      </w:r>
      <w:r>
        <w:rPr>
          <w:rFonts w:ascii="Book Antiqua" w:eastAsia="Book Antiqua" w:hAnsi="Book Antiqua" w:cs="Book Antiqua"/>
        </w:rPr>
        <w:t xml:space="preserve">, Zeng Y, Zhang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Endoscopic ultrasound-guided diagnosis and treatment of gastric varices.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748-758 [</w:t>
      </w:r>
      <w:proofErr w:type="spellStart"/>
      <w:r>
        <w:rPr>
          <w:rFonts w:ascii="Book Antiqua" w:eastAsia="Book Antiqua" w:hAnsi="Book Antiqua" w:cs="Book Antiqua"/>
        </w:rPr>
        <w:t>PMID</w:t>
      </w:r>
      <w:proofErr w:type="spellEnd"/>
      <w:r>
        <w:rPr>
          <w:rFonts w:ascii="Book Antiqua" w:eastAsia="Book Antiqua" w:hAnsi="Book Antiqua" w:cs="Book Antiqua"/>
        </w:rPr>
        <w:t>: 36567822 DOI: 10.4253/</w:t>
      </w:r>
      <w:proofErr w:type="spellStart"/>
      <w:r>
        <w:rPr>
          <w:rFonts w:ascii="Book Antiqua" w:eastAsia="Book Antiqua" w:hAnsi="Book Antiqua" w:cs="Book Antiqua"/>
        </w:rPr>
        <w:t>wjge.v14.i12.748</w:t>
      </w:r>
      <w:proofErr w:type="spellEnd"/>
      <w:r>
        <w:rPr>
          <w:rFonts w:ascii="Book Antiqua" w:eastAsia="Book Antiqua" w:hAnsi="Book Antiqua" w:cs="Book Antiqua"/>
        </w:rPr>
        <w:t>]</w:t>
      </w:r>
    </w:p>
    <w:p w14:paraId="2B4AC62A"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Oleas R</w:t>
      </w:r>
      <w:r>
        <w:rPr>
          <w:rFonts w:ascii="Book Antiqua" w:eastAsia="Book Antiqua" w:hAnsi="Book Antiqua" w:cs="Book Antiqua"/>
        </w:rPr>
        <w:t xml:space="preserve">, Robles-Medranda C. Endoscopic Treatment of Gastric and Ectopic Varices. </w:t>
      </w:r>
      <w:r>
        <w:rPr>
          <w:rFonts w:ascii="Book Antiqua" w:eastAsia="Book Antiqua" w:hAnsi="Book Antiqua" w:cs="Book Antiqua"/>
          <w:i/>
          <w:iCs/>
        </w:rPr>
        <w:t>Clin Liver Dis</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39-50 [</w:t>
      </w:r>
      <w:proofErr w:type="spellStart"/>
      <w:r>
        <w:rPr>
          <w:rFonts w:ascii="Book Antiqua" w:eastAsia="Book Antiqua" w:hAnsi="Book Antiqua" w:cs="Book Antiqua"/>
        </w:rPr>
        <w:t>PMID</w:t>
      </w:r>
      <w:proofErr w:type="spellEnd"/>
      <w:r>
        <w:rPr>
          <w:rFonts w:ascii="Book Antiqua" w:eastAsia="Book Antiqua" w:hAnsi="Book Antiqua" w:cs="Book Antiqua"/>
        </w:rPr>
        <w:t>: 34802662 DOI: 10.1016/</w:t>
      </w:r>
      <w:proofErr w:type="spellStart"/>
      <w:r>
        <w:rPr>
          <w:rFonts w:ascii="Book Antiqua" w:eastAsia="Book Antiqua" w:hAnsi="Book Antiqua" w:cs="Book Antiqua"/>
        </w:rPr>
        <w:t>j.cld.2021.08.004</w:t>
      </w:r>
      <w:proofErr w:type="spellEnd"/>
      <w:r>
        <w:rPr>
          <w:rFonts w:ascii="Book Antiqua" w:eastAsia="Book Antiqua" w:hAnsi="Book Antiqua" w:cs="Book Antiqua"/>
        </w:rPr>
        <w:t>]</w:t>
      </w:r>
    </w:p>
    <w:p w14:paraId="6EA0F426"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Mohan BP</w:t>
      </w:r>
      <w:r>
        <w:rPr>
          <w:rFonts w:ascii="Book Antiqua" w:eastAsia="Book Antiqua" w:hAnsi="Book Antiqua" w:cs="Book Antiqua"/>
        </w:rPr>
        <w:t xml:space="preserve">, Chandan S, Khan SR, Kassab LL, </w:t>
      </w:r>
      <w:proofErr w:type="spellStart"/>
      <w:r>
        <w:rPr>
          <w:rFonts w:ascii="Book Antiqua" w:eastAsia="Book Antiqua" w:hAnsi="Book Antiqua" w:cs="Book Antiqua"/>
        </w:rPr>
        <w:t>Trakroo</w:t>
      </w:r>
      <w:proofErr w:type="spellEnd"/>
      <w:r>
        <w:rPr>
          <w:rFonts w:ascii="Book Antiqua" w:eastAsia="Book Antiqua" w:hAnsi="Book Antiqua" w:cs="Book Antiqua"/>
        </w:rPr>
        <w:t xml:space="preserve"> S, Ponnada S, </w:t>
      </w:r>
      <w:proofErr w:type="spellStart"/>
      <w:r>
        <w:rPr>
          <w:rFonts w:ascii="Book Antiqua" w:eastAsia="Book Antiqua" w:hAnsi="Book Antiqua" w:cs="Book Antiqua"/>
        </w:rPr>
        <w:t>Asokkumar</w:t>
      </w:r>
      <w:proofErr w:type="spellEnd"/>
      <w:r>
        <w:rPr>
          <w:rFonts w:ascii="Book Antiqua" w:eastAsia="Book Antiqua" w:hAnsi="Book Antiqua" w:cs="Book Antiqua"/>
        </w:rPr>
        <w:t xml:space="preserve"> R, Adler DG. Efficacy and safety of endoscopic ultrasound-guided therapy </w:t>
      </w:r>
      <w:r>
        <w:rPr>
          <w:rFonts w:ascii="Book Antiqua" w:eastAsia="Book Antiqua" w:hAnsi="Book Antiqua" w:cs="Book Antiqua"/>
          <w:i/>
          <w:iCs/>
        </w:rPr>
        <w:t>vs</w:t>
      </w:r>
      <w:r>
        <w:rPr>
          <w:rFonts w:ascii="Book Antiqua" w:eastAsia="Book Antiqua" w:hAnsi="Book Antiqua" w:cs="Book Antiqua"/>
        </w:rPr>
        <w:t xml:space="preserve"> direct endoscopic glue injection therapy for gastric varices: systematic review and meta-analysis.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259-267 [</w:t>
      </w:r>
      <w:proofErr w:type="spellStart"/>
      <w:r>
        <w:rPr>
          <w:rFonts w:ascii="Book Antiqua" w:eastAsia="Book Antiqua" w:hAnsi="Book Antiqua" w:cs="Book Antiqua"/>
        </w:rPr>
        <w:t>PMID</w:t>
      </w:r>
      <w:proofErr w:type="spellEnd"/>
      <w:r>
        <w:rPr>
          <w:rFonts w:ascii="Book Antiqua" w:eastAsia="Book Antiqua" w:hAnsi="Book Antiqua" w:cs="Book Antiqua"/>
        </w:rPr>
        <w:t>: 32028533 DOI: 10.1055/a-1098-1817]</w:t>
      </w:r>
    </w:p>
    <w:p w14:paraId="2FC34D2B" w14:textId="77777777" w:rsidR="00A77B3E"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Wu K</w:t>
      </w:r>
      <w:r>
        <w:rPr>
          <w:rFonts w:ascii="Book Antiqua" w:eastAsia="Book Antiqua" w:hAnsi="Book Antiqua" w:cs="Book Antiqua"/>
        </w:rPr>
        <w:t xml:space="preserve">, Song Q, Gou Y, He S. Sandwich method with or without </w:t>
      </w:r>
      <w:proofErr w:type="spellStart"/>
      <w:r>
        <w:rPr>
          <w:rFonts w:ascii="Book Antiqua" w:eastAsia="Book Antiqua" w:hAnsi="Book Antiqua" w:cs="Book Antiqua"/>
        </w:rPr>
        <w:t>lauromacrogol</w:t>
      </w:r>
      <w:proofErr w:type="spellEnd"/>
      <w:r>
        <w:rPr>
          <w:rFonts w:ascii="Book Antiqua" w:eastAsia="Book Antiqua" w:hAnsi="Book Antiqua" w:cs="Book Antiqua"/>
        </w:rPr>
        <w:t xml:space="preserve"> in the treatment of gastric variceal bleeding with liver cirrhosis: A meta-analysis.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xml:space="preserve">: </w:t>
      </w:r>
      <w:proofErr w:type="spellStart"/>
      <w:r>
        <w:rPr>
          <w:rFonts w:ascii="Book Antiqua" w:eastAsia="Book Antiqua" w:hAnsi="Book Antiqua" w:cs="Book Antiqua"/>
        </w:rPr>
        <w:t>e16201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31261565 DOI: 10.1097/</w:t>
      </w:r>
      <w:proofErr w:type="spellStart"/>
      <w:r>
        <w:rPr>
          <w:rFonts w:ascii="Book Antiqua" w:eastAsia="Book Antiqua" w:hAnsi="Book Antiqua" w:cs="Book Antiqua"/>
        </w:rPr>
        <w:t>MD.0000000000016201</w:t>
      </w:r>
      <w:proofErr w:type="spellEnd"/>
      <w:r>
        <w:rPr>
          <w:rFonts w:ascii="Book Antiqua" w:eastAsia="Book Antiqua" w:hAnsi="Book Antiqua" w:cs="Book Antiqua"/>
        </w:rPr>
        <w:t>]</w:t>
      </w:r>
    </w:p>
    <w:p w14:paraId="72742BB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 xml:space="preserve">Guo </w:t>
      </w:r>
      <w:proofErr w:type="spellStart"/>
      <w:r>
        <w:rPr>
          <w:rFonts w:ascii="Book Antiqua" w:eastAsia="Book Antiqua" w:hAnsi="Book Antiqua" w:cs="Book Antiqua"/>
          <w:b/>
          <w:bCs/>
        </w:rPr>
        <w:t>YW</w:t>
      </w:r>
      <w:proofErr w:type="spellEnd"/>
      <w:r>
        <w:rPr>
          <w:rFonts w:ascii="Book Antiqua" w:eastAsia="Book Antiqua" w:hAnsi="Book Antiqua" w:cs="Book Antiqua"/>
        </w:rPr>
        <w:t xml:space="preserve">, Miao HB, Wen </w:t>
      </w:r>
      <w:proofErr w:type="spellStart"/>
      <w:r>
        <w:rPr>
          <w:rFonts w:ascii="Book Antiqua" w:eastAsia="Book Antiqua" w:hAnsi="Book Antiqua" w:cs="Book Antiqua"/>
        </w:rPr>
        <w:t>ZF</w:t>
      </w:r>
      <w:proofErr w:type="spellEnd"/>
      <w:r>
        <w:rPr>
          <w:rFonts w:ascii="Book Antiqua" w:eastAsia="Book Antiqua" w:hAnsi="Book Antiqua" w:cs="Book Antiqua"/>
        </w:rPr>
        <w:t xml:space="preserve">, Xuan JY, Zhou HX. Procedure-related complications in gastric variceal obturation with tissue glue.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7746-7755 [</w:t>
      </w:r>
      <w:proofErr w:type="spellStart"/>
      <w:r>
        <w:rPr>
          <w:rFonts w:ascii="Book Antiqua" w:eastAsia="Book Antiqua" w:hAnsi="Book Antiqua" w:cs="Book Antiqua"/>
        </w:rPr>
        <w:t>PMID</w:t>
      </w:r>
      <w:proofErr w:type="spellEnd"/>
      <w:r>
        <w:rPr>
          <w:rFonts w:ascii="Book Antiqua" w:eastAsia="Book Antiqua" w:hAnsi="Book Antiqua" w:cs="Book Antiqua"/>
        </w:rPr>
        <w:t>: 29209115 DOI: 10.3748/</w:t>
      </w:r>
      <w:proofErr w:type="spellStart"/>
      <w:r>
        <w:rPr>
          <w:rFonts w:ascii="Book Antiqua" w:eastAsia="Book Antiqua" w:hAnsi="Book Antiqua" w:cs="Book Antiqua"/>
        </w:rPr>
        <w:t>wjg.v23.i43.7746</w:t>
      </w:r>
      <w:proofErr w:type="spellEnd"/>
      <w:r>
        <w:rPr>
          <w:rFonts w:ascii="Book Antiqua" w:eastAsia="Book Antiqua" w:hAnsi="Book Antiqua" w:cs="Book Antiqua"/>
        </w:rPr>
        <w:t>]</w:t>
      </w:r>
    </w:p>
    <w:p w14:paraId="6DBE9F37"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w:t>
      </w:r>
      <w:proofErr w:type="spellStart"/>
      <w:r>
        <w:rPr>
          <w:rFonts w:ascii="Book Antiqua" w:eastAsia="Book Antiqua" w:hAnsi="Book Antiqua" w:cs="Book Antiqua"/>
          <w:b/>
          <w:bCs/>
        </w:rPr>
        <w:t>Hillawi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Wong T, Tritto G, Berry PA. Pitfalls in </w:t>
      </w:r>
      <w:proofErr w:type="spellStart"/>
      <w:r>
        <w:rPr>
          <w:rFonts w:ascii="Book Antiqua" w:eastAsia="Book Antiqua" w:hAnsi="Book Antiqua" w:cs="Book Antiqua"/>
        </w:rPr>
        <w:t>histoacryl</w:t>
      </w:r>
      <w:proofErr w:type="spellEnd"/>
      <w:r>
        <w:rPr>
          <w:rFonts w:ascii="Book Antiqua" w:eastAsia="Book Antiqua" w:hAnsi="Book Antiqua" w:cs="Book Antiqua"/>
        </w:rPr>
        <w:t xml:space="preserve"> glue injection therapy for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w:t>
      </w:r>
      <w:proofErr w:type="gramStart"/>
      <w:r>
        <w:rPr>
          <w:rFonts w:ascii="Book Antiqua" w:eastAsia="Book Antiqua" w:hAnsi="Book Antiqua" w:cs="Book Antiqua"/>
        </w:rPr>
        <w:t>gastric</w:t>
      </w:r>
      <w:proofErr w:type="gramEnd"/>
      <w:r>
        <w:rPr>
          <w:rFonts w:ascii="Book Antiqua" w:eastAsia="Book Antiqua" w:hAnsi="Book Antiqua" w:cs="Book Antiqua"/>
        </w:rPr>
        <w:t xml:space="preserve"> and ectopic varices: A review.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729-734 [</w:t>
      </w:r>
      <w:proofErr w:type="spellStart"/>
      <w:r>
        <w:rPr>
          <w:rFonts w:ascii="Book Antiqua" w:eastAsia="Book Antiqua" w:hAnsi="Book Antiqua" w:cs="Book Antiqua"/>
        </w:rPr>
        <w:t>PMID</w:t>
      </w:r>
      <w:proofErr w:type="spellEnd"/>
      <w:r>
        <w:rPr>
          <w:rFonts w:ascii="Book Antiqua" w:eastAsia="Book Antiqua" w:hAnsi="Book Antiqua" w:cs="Book Antiqua"/>
        </w:rPr>
        <w:t>: 27933134 DOI: 10.4240/</w:t>
      </w:r>
      <w:proofErr w:type="spellStart"/>
      <w:r>
        <w:rPr>
          <w:rFonts w:ascii="Book Antiqua" w:eastAsia="Book Antiqua" w:hAnsi="Book Antiqua" w:cs="Book Antiqua"/>
        </w:rPr>
        <w:t>wjgs.v8.i11.729</w:t>
      </w:r>
      <w:proofErr w:type="spellEnd"/>
      <w:r>
        <w:rPr>
          <w:rFonts w:ascii="Book Antiqua" w:eastAsia="Book Antiqua" w:hAnsi="Book Antiqua" w:cs="Book Antiqua"/>
        </w:rPr>
        <w:t>]</w:t>
      </w:r>
    </w:p>
    <w:p w14:paraId="44EEEB9A"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Sriram PV</w:t>
      </w:r>
      <w:r>
        <w:rPr>
          <w:rFonts w:ascii="Book Antiqua" w:eastAsia="Book Antiqua" w:hAnsi="Book Antiqua" w:cs="Book Antiqua"/>
        </w:rPr>
        <w:t xml:space="preserve">, </w:t>
      </w:r>
      <w:proofErr w:type="spellStart"/>
      <w:r>
        <w:rPr>
          <w:rFonts w:ascii="Book Antiqua" w:eastAsia="Book Antiqua" w:hAnsi="Book Antiqua" w:cs="Book Antiqua"/>
        </w:rPr>
        <w:t>Kaffes</w:t>
      </w:r>
      <w:proofErr w:type="spellEnd"/>
      <w:r>
        <w:rPr>
          <w:rFonts w:ascii="Book Antiqua" w:eastAsia="Book Antiqua" w:hAnsi="Book Antiqua" w:cs="Book Antiqua"/>
        </w:rPr>
        <w:t xml:space="preserve"> AJ, Rao </w:t>
      </w:r>
      <w:proofErr w:type="spellStart"/>
      <w:r>
        <w:rPr>
          <w:rFonts w:ascii="Book Antiqua" w:eastAsia="Book Antiqua" w:hAnsi="Book Antiqua" w:cs="Book Antiqua"/>
        </w:rPr>
        <w:t>GV</w:t>
      </w:r>
      <w:proofErr w:type="spellEnd"/>
      <w:r>
        <w:rPr>
          <w:rFonts w:ascii="Book Antiqua" w:eastAsia="Book Antiqua" w:hAnsi="Book Antiqua" w:cs="Book Antiqua"/>
        </w:rPr>
        <w:t xml:space="preserve">, Reddy DN. Endoscopic ultrasound-guided drainage of pancreatic pseudocysts complicated by portal hypertension or by intervening vessels. </w:t>
      </w:r>
      <w:r>
        <w:rPr>
          <w:rFonts w:ascii="Book Antiqua" w:eastAsia="Book Antiqua" w:hAnsi="Book Antiqua" w:cs="Book Antiqua"/>
          <w:i/>
          <w:iCs/>
        </w:rPr>
        <w:t>Endoscopy</w:t>
      </w:r>
      <w:r>
        <w:rPr>
          <w:rFonts w:ascii="Book Antiqua" w:eastAsia="Book Antiqua" w:hAnsi="Book Antiqua" w:cs="Book Antiqua"/>
        </w:rPr>
        <w:t xml:space="preserve"> 2005; </w:t>
      </w:r>
      <w:r>
        <w:rPr>
          <w:rFonts w:ascii="Book Antiqua" w:eastAsia="Book Antiqua" w:hAnsi="Book Antiqua" w:cs="Book Antiqua"/>
          <w:b/>
          <w:bCs/>
        </w:rPr>
        <w:t>37</w:t>
      </w:r>
      <w:r>
        <w:rPr>
          <w:rFonts w:ascii="Book Antiqua" w:eastAsia="Book Antiqua" w:hAnsi="Book Antiqua" w:cs="Book Antiqua"/>
        </w:rPr>
        <w:t>: 231-235 [</w:t>
      </w:r>
      <w:proofErr w:type="spellStart"/>
      <w:r>
        <w:rPr>
          <w:rFonts w:ascii="Book Antiqua" w:eastAsia="Book Antiqua" w:hAnsi="Book Antiqua" w:cs="Book Antiqua"/>
        </w:rPr>
        <w:t>PMID</w:t>
      </w:r>
      <w:proofErr w:type="spellEnd"/>
      <w:r>
        <w:rPr>
          <w:rFonts w:ascii="Book Antiqua" w:eastAsia="Book Antiqua" w:hAnsi="Book Antiqua" w:cs="Book Antiqua"/>
        </w:rPr>
        <w:t>: 15731938 DOI: 10.1055/s-2005-860997]</w:t>
      </w:r>
    </w:p>
    <w:p w14:paraId="1CD15F12"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Cao F</w:t>
      </w:r>
      <w:r>
        <w:rPr>
          <w:rFonts w:ascii="Book Antiqua" w:eastAsia="Book Antiqua" w:hAnsi="Book Antiqua" w:cs="Book Antiqua"/>
        </w:rPr>
        <w:t xml:space="preserve">, Li A, Wang X, Gao C, Li J, Li F. Laparoscopic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in treatment of walled-off pancreatic necrosis with sinistral portal hypertension. </w:t>
      </w:r>
      <w:r>
        <w:rPr>
          <w:rFonts w:ascii="Book Antiqua" w:eastAsia="Book Antiqua" w:hAnsi="Book Antiqua" w:cs="Book Antiqua"/>
          <w:i/>
          <w:iCs/>
        </w:rPr>
        <w:t>BMC Surg</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362 [</w:t>
      </w:r>
      <w:proofErr w:type="spellStart"/>
      <w:r>
        <w:rPr>
          <w:rFonts w:ascii="Book Antiqua" w:eastAsia="Book Antiqua" w:hAnsi="Book Antiqua" w:cs="Book Antiqua"/>
        </w:rPr>
        <w:t>PMID</w:t>
      </w:r>
      <w:proofErr w:type="spellEnd"/>
      <w:r>
        <w:rPr>
          <w:rFonts w:ascii="Book Antiqua" w:eastAsia="Book Antiqua" w:hAnsi="Book Antiqua" w:cs="Book Antiqua"/>
        </w:rPr>
        <w:t>: 34629061 DOI: 10.1186/</w:t>
      </w:r>
      <w:proofErr w:type="spellStart"/>
      <w:r>
        <w:rPr>
          <w:rFonts w:ascii="Book Antiqua" w:eastAsia="Book Antiqua" w:hAnsi="Book Antiqua" w:cs="Book Antiqua"/>
        </w:rPr>
        <w:t>s12893</w:t>
      </w:r>
      <w:proofErr w:type="spellEnd"/>
      <w:r>
        <w:rPr>
          <w:rFonts w:ascii="Book Antiqua" w:eastAsia="Book Antiqua" w:hAnsi="Book Antiqua" w:cs="Book Antiqua"/>
        </w:rPr>
        <w:t>-021-01361-6]</w:t>
      </w:r>
    </w:p>
    <w:p w14:paraId="2738ED23"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Rana SS</w:t>
      </w:r>
      <w:r>
        <w:rPr>
          <w:rFonts w:ascii="Book Antiqua" w:eastAsia="Book Antiqua" w:hAnsi="Book Antiqua" w:cs="Book Antiqua"/>
        </w:rPr>
        <w:t xml:space="preserve">, Sharma R, Ahmed SU, Gupta R. Endoscopic ultrasound-guided transmural drainage of walled-off pancreatic necrosis in patients with portal hypertension and intra-abdominal collaterals. </w:t>
      </w:r>
      <w:r>
        <w:rPr>
          <w:rFonts w:ascii="Book Antiqua" w:eastAsia="Book Antiqua" w:hAnsi="Book Antiqua" w:cs="Book Antiqua"/>
          <w:i/>
          <w:iCs/>
        </w:rPr>
        <w:t>Indian J Gastroenterol</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400-404 [</w:t>
      </w:r>
      <w:proofErr w:type="spellStart"/>
      <w:r>
        <w:rPr>
          <w:rFonts w:ascii="Book Antiqua" w:eastAsia="Book Antiqua" w:hAnsi="Book Antiqua" w:cs="Book Antiqua"/>
        </w:rPr>
        <w:t>PMID</w:t>
      </w:r>
      <w:proofErr w:type="spellEnd"/>
      <w:r>
        <w:rPr>
          <w:rFonts w:ascii="Book Antiqua" w:eastAsia="Book Antiqua" w:hAnsi="Book Antiqua" w:cs="Book Antiqua"/>
        </w:rPr>
        <w:t>: 28971378 DOI: 10.1007/</w:t>
      </w:r>
      <w:proofErr w:type="spellStart"/>
      <w:r>
        <w:rPr>
          <w:rFonts w:ascii="Book Antiqua" w:eastAsia="Book Antiqua" w:hAnsi="Book Antiqua" w:cs="Book Antiqua"/>
        </w:rPr>
        <w:t>s12664</w:t>
      </w:r>
      <w:proofErr w:type="spellEnd"/>
      <w:r>
        <w:rPr>
          <w:rFonts w:ascii="Book Antiqua" w:eastAsia="Book Antiqua" w:hAnsi="Book Antiqua" w:cs="Book Antiqua"/>
        </w:rPr>
        <w:t>-017-0792-y]</w:t>
      </w:r>
    </w:p>
    <w:p w14:paraId="4DEE2903"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Al-</w:t>
      </w:r>
      <w:proofErr w:type="spellStart"/>
      <w:r>
        <w:rPr>
          <w:rFonts w:ascii="Book Antiqua" w:eastAsia="Book Antiqua" w:hAnsi="Book Antiqua" w:cs="Book Antiqua"/>
          <w:b/>
          <w:bCs/>
        </w:rPr>
        <w:t>Khazraji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Curry MP. The current knowledge about the therapeutic use of endoscopic sclerotherapy and endoscopic tissue adhesives in variceal bleeding. </w:t>
      </w:r>
      <w:r>
        <w:rPr>
          <w:rFonts w:ascii="Book Antiqua" w:eastAsia="Book Antiqua" w:hAnsi="Book Antiqua" w:cs="Book Antiqua"/>
          <w:i/>
          <w:iCs/>
        </w:rPr>
        <w:t>Expert Rev Gastroenterol Hepatol</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893-897 [</w:t>
      </w:r>
      <w:proofErr w:type="spellStart"/>
      <w:r>
        <w:rPr>
          <w:rFonts w:ascii="Book Antiqua" w:eastAsia="Book Antiqua" w:hAnsi="Book Antiqua" w:cs="Book Antiqua"/>
        </w:rPr>
        <w:t>PMID</w:t>
      </w:r>
      <w:proofErr w:type="spellEnd"/>
      <w:r>
        <w:rPr>
          <w:rFonts w:ascii="Book Antiqua" w:eastAsia="Book Antiqua" w:hAnsi="Book Antiqua" w:cs="Book Antiqua"/>
        </w:rPr>
        <w:t>: 31389265 DOI: 10.1080/17474124.2019.1652092]</w:t>
      </w:r>
    </w:p>
    <w:p w14:paraId="44A83500"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Cheng LF</w:t>
      </w:r>
      <w:r>
        <w:rPr>
          <w:rFonts w:ascii="Book Antiqua" w:eastAsia="Book Antiqua" w:hAnsi="Book Antiqua" w:cs="Book Antiqua"/>
        </w:rPr>
        <w:t xml:space="preserve">, Wang </w:t>
      </w:r>
      <w:proofErr w:type="spellStart"/>
      <w:r>
        <w:rPr>
          <w:rFonts w:ascii="Book Antiqua" w:eastAsia="Book Antiqua" w:hAnsi="Book Antiqua" w:cs="Book Antiqua"/>
        </w:rPr>
        <w:t>ZQ</w:t>
      </w:r>
      <w:proofErr w:type="spellEnd"/>
      <w:r>
        <w:rPr>
          <w:rFonts w:ascii="Book Antiqua" w:eastAsia="Book Antiqua" w:hAnsi="Book Antiqua" w:cs="Book Antiqua"/>
        </w:rPr>
        <w:t xml:space="preserve">, Li CZ, Lin W, Yeo AE, Jin B. Low incidence of complications from endoscopic gastric variceal obturation with butyl cyanoacrylate.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760-766 [</w:t>
      </w:r>
      <w:proofErr w:type="spellStart"/>
      <w:r>
        <w:rPr>
          <w:rFonts w:ascii="Book Antiqua" w:eastAsia="Book Antiqua" w:hAnsi="Book Antiqua" w:cs="Book Antiqua"/>
        </w:rPr>
        <w:t>PMID</w:t>
      </w:r>
      <w:proofErr w:type="spellEnd"/>
      <w:r>
        <w:rPr>
          <w:rFonts w:ascii="Book Antiqua" w:eastAsia="Book Antiqua" w:hAnsi="Book Antiqua" w:cs="Book Antiqua"/>
        </w:rPr>
        <w:t>: 20621678 DOI: 10.1016/</w:t>
      </w:r>
      <w:proofErr w:type="spellStart"/>
      <w:r>
        <w:rPr>
          <w:rFonts w:ascii="Book Antiqua" w:eastAsia="Book Antiqua" w:hAnsi="Book Antiqua" w:cs="Book Antiqua"/>
        </w:rPr>
        <w:t>j.cgh.2010.05.019</w:t>
      </w:r>
      <w:proofErr w:type="spellEnd"/>
      <w:r>
        <w:rPr>
          <w:rFonts w:ascii="Book Antiqua" w:eastAsia="Book Antiqua" w:hAnsi="Book Antiqua" w:cs="Book Antiqua"/>
        </w:rPr>
        <w:t>]</w:t>
      </w:r>
    </w:p>
    <w:p w14:paraId="040623D6"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Soualy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Walter A, Sutter O, Nault JC. Acute pericarditis: A rare complication of gastric variceal obturation with cyanoacrylate glue. </w:t>
      </w:r>
      <w:r>
        <w:rPr>
          <w:rFonts w:ascii="Book Antiqua" w:eastAsia="Book Antiqua" w:hAnsi="Book Antiqua" w:cs="Book Antiqua"/>
          <w:i/>
          <w:iCs/>
        </w:rPr>
        <w:t>Clin Res Hepatol Gastroenterol</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xml:space="preserve">: </w:t>
      </w:r>
      <w:proofErr w:type="spellStart"/>
      <w:r>
        <w:rPr>
          <w:rFonts w:ascii="Book Antiqua" w:eastAsia="Book Antiqua" w:hAnsi="Book Antiqua" w:cs="Book Antiqua"/>
        </w:rPr>
        <w:t>e25-e28</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31401042 DOI: 10.1016/</w:t>
      </w:r>
      <w:proofErr w:type="spellStart"/>
      <w:r>
        <w:rPr>
          <w:rFonts w:ascii="Book Antiqua" w:eastAsia="Book Antiqua" w:hAnsi="Book Antiqua" w:cs="Book Antiqua"/>
        </w:rPr>
        <w:t>j.clinre.2019.06.016</w:t>
      </w:r>
      <w:proofErr w:type="spellEnd"/>
      <w:r>
        <w:rPr>
          <w:rFonts w:ascii="Book Antiqua" w:eastAsia="Book Antiqua" w:hAnsi="Book Antiqua" w:cs="Book Antiqua"/>
        </w:rPr>
        <w:t>]</w:t>
      </w:r>
    </w:p>
    <w:p w14:paraId="7A996C41"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Gubler C</w:t>
      </w:r>
      <w:r>
        <w:rPr>
          <w:rFonts w:ascii="Book Antiqua" w:eastAsia="Book Antiqua" w:hAnsi="Book Antiqua" w:cs="Book Antiqua"/>
        </w:rPr>
        <w:t xml:space="preserve">, Bauerfeind P. Safe and successful endoscopic initial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long-term eradication of gastric varices by endoscopic ultrasound-guided </w:t>
      </w:r>
      <w:proofErr w:type="spellStart"/>
      <w:r>
        <w:rPr>
          <w:rFonts w:ascii="Book Antiqua" w:eastAsia="Book Antiqua" w:hAnsi="Book Antiqua" w:cs="Book Antiqua"/>
        </w:rPr>
        <w:t>Histoacryl</w:t>
      </w:r>
      <w:proofErr w:type="spellEnd"/>
      <w:r>
        <w:rPr>
          <w:rFonts w:ascii="Book Antiqua" w:eastAsia="Book Antiqua" w:hAnsi="Book Antiqua" w:cs="Book Antiqua"/>
        </w:rPr>
        <w:t xml:space="preserve"> (N-butyl-2-cyanoacrylate) injection. </w:t>
      </w:r>
      <w:r>
        <w:rPr>
          <w:rFonts w:ascii="Book Antiqua" w:eastAsia="Book Antiqua" w:hAnsi="Book Antiqua" w:cs="Book Antiqua"/>
          <w:i/>
          <w:iCs/>
        </w:rPr>
        <w:t>Scand J Gastroenterol</w:t>
      </w:r>
      <w:r>
        <w:rPr>
          <w:rFonts w:ascii="Book Antiqua" w:eastAsia="Book Antiqua" w:hAnsi="Book Antiqua" w:cs="Book Antiqua"/>
        </w:rPr>
        <w:t xml:space="preserve"> 2014; </w:t>
      </w:r>
      <w:r>
        <w:rPr>
          <w:rFonts w:ascii="Book Antiqua" w:eastAsia="Book Antiqua" w:hAnsi="Book Antiqua" w:cs="Book Antiqua"/>
          <w:b/>
          <w:bCs/>
        </w:rPr>
        <w:t>49</w:t>
      </w:r>
      <w:r>
        <w:rPr>
          <w:rFonts w:ascii="Book Antiqua" w:eastAsia="Book Antiqua" w:hAnsi="Book Antiqua" w:cs="Book Antiqua"/>
        </w:rPr>
        <w:t>: 1136-1142 [</w:t>
      </w:r>
      <w:proofErr w:type="spellStart"/>
      <w:r>
        <w:rPr>
          <w:rFonts w:ascii="Book Antiqua" w:eastAsia="Book Antiqua" w:hAnsi="Book Antiqua" w:cs="Book Antiqua"/>
        </w:rPr>
        <w:t>PMID</w:t>
      </w:r>
      <w:proofErr w:type="spellEnd"/>
      <w:r>
        <w:rPr>
          <w:rFonts w:ascii="Book Antiqua" w:eastAsia="Book Antiqua" w:hAnsi="Book Antiqua" w:cs="Book Antiqua"/>
        </w:rPr>
        <w:t>: 24947448 DOI: 10.3109/00365521.2014.929171]</w:t>
      </w:r>
    </w:p>
    <w:p w14:paraId="6ADAFD8F"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Hammoud GM</w:t>
      </w:r>
      <w:r>
        <w:rPr>
          <w:rFonts w:ascii="Book Antiqua" w:eastAsia="Book Antiqua" w:hAnsi="Book Antiqua" w:cs="Book Antiqua"/>
        </w:rPr>
        <w:t xml:space="preserve">, Ibdah JA. Utility of endoscopic ultrasound in patients with portal hypertension.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14230-14236 [</w:t>
      </w:r>
      <w:proofErr w:type="spellStart"/>
      <w:r>
        <w:rPr>
          <w:rFonts w:ascii="Book Antiqua" w:eastAsia="Book Antiqua" w:hAnsi="Book Antiqua" w:cs="Book Antiqua"/>
        </w:rPr>
        <w:t>PMID</w:t>
      </w:r>
      <w:proofErr w:type="spellEnd"/>
      <w:r>
        <w:rPr>
          <w:rFonts w:ascii="Book Antiqua" w:eastAsia="Book Antiqua" w:hAnsi="Book Antiqua" w:cs="Book Antiqua"/>
        </w:rPr>
        <w:t>: 25339809 DOI: 10.3748/</w:t>
      </w:r>
      <w:proofErr w:type="spellStart"/>
      <w:r>
        <w:rPr>
          <w:rFonts w:ascii="Book Antiqua" w:eastAsia="Book Antiqua" w:hAnsi="Book Antiqua" w:cs="Book Antiqua"/>
        </w:rPr>
        <w:t>wjg.v20.i39.14230</w:t>
      </w:r>
      <w:proofErr w:type="spellEnd"/>
      <w:r>
        <w:rPr>
          <w:rFonts w:ascii="Book Antiqua" w:eastAsia="Book Antiqua" w:hAnsi="Book Antiqua" w:cs="Book Antiqua"/>
        </w:rPr>
        <w:t>]</w:t>
      </w:r>
    </w:p>
    <w:p w14:paraId="6E3E5234"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Sabry F</w:t>
      </w:r>
      <w:r>
        <w:rPr>
          <w:rFonts w:ascii="Book Antiqua" w:eastAsia="Book Antiqua" w:hAnsi="Book Antiqua" w:cs="Book Antiqua"/>
        </w:rPr>
        <w:t xml:space="preserve">, Seif S, Eldesoky A, Hakim H, </w:t>
      </w:r>
      <w:proofErr w:type="spellStart"/>
      <w:r>
        <w:rPr>
          <w:rFonts w:ascii="Book Antiqua" w:eastAsia="Book Antiqua" w:hAnsi="Book Antiqua" w:cs="Book Antiqua"/>
        </w:rPr>
        <w:t>Altonbary</w:t>
      </w:r>
      <w:proofErr w:type="spellEnd"/>
      <w:r>
        <w:rPr>
          <w:rFonts w:ascii="Book Antiqua" w:eastAsia="Book Antiqua" w:hAnsi="Book Antiqua" w:cs="Book Antiqua"/>
        </w:rPr>
        <w:t xml:space="preserve"> AY. EUS-guided cyanoacrylate injection into the perforating vein </w:t>
      </w:r>
      <w:r>
        <w:rPr>
          <w:rFonts w:ascii="Book Antiqua" w:eastAsia="Book Antiqua" w:hAnsi="Book Antiqua" w:cs="Book Antiqua"/>
          <w:i/>
          <w:iCs/>
        </w:rPr>
        <w:t>vs</w:t>
      </w:r>
      <w:r>
        <w:rPr>
          <w:rFonts w:ascii="Book Antiqua" w:eastAsia="Book Antiqua" w:hAnsi="Book Antiqua" w:cs="Book Antiqua"/>
        </w:rPr>
        <w:t xml:space="preserve"> direct endoscopic injection in the treatment of gastric varices.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w:t>
      </w:r>
      <w:proofErr w:type="spellStart"/>
      <w:r>
        <w:rPr>
          <w:rFonts w:ascii="Book Antiqua" w:eastAsia="Book Antiqua" w:hAnsi="Book Antiqua" w:cs="Book Antiqua"/>
        </w:rPr>
        <w:t>E202-E210</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36845270 DOI: 10.1055/a-1984-7070]</w:t>
      </w:r>
    </w:p>
    <w:p w14:paraId="67E48D73"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Zhang M</w:t>
      </w:r>
      <w:r>
        <w:rPr>
          <w:rFonts w:ascii="Book Antiqua" w:eastAsia="Book Antiqua" w:hAnsi="Book Antiqua" w:cs="Book Antiqua"/>
        </w:rPr>
        <w:t xml:space="preserve">, Li P, Mou H, Shi Y, Tuo B, Jin S, Sun R, Wang G, Ma J, Zhang C. Clip-assisted endoscopic cyanoacrylate injection for gastric varices with a </w:t>
      </w:r>
      <w:proofErr w:type="spellStart"/>
      <w:r>
        <w:rPr>
          <w:rFonts w:ascii="Book Antiqua" w:eastAsia="Book Antiqua" w:hAnsi="Book Antiqua" w:cs="Book Antiqua"/>
        </w:rPr>
        <w:t>gastrorenal</w:t>
      </w:r>
      <w:proofErr w:type="spellEnd"/>
      <w:r>
        <w:rPr>
          <w:rFonts w:ascii="Book Antiqua" w:eastAsia="Book Antiqua" w:hAnsi="Book Antiqua" w:cs="Book Antiqua"/>
        </w:rPr>
        <w:t xml:space="preserve"> shunt: a multicenter study.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936-940 [</w:t>
      </w:r>
      <w:proofErr w:type="spellStart"/>
      <w:r>
        <w:rPr>
          <w:rFonts w:ascii="Book Antiqua" w:eastAsia="Book Antiqua" w:hAnsi="Book Antiqua" w:cs="Book Antiqua"/>
        </w:rPr>
        <w:t>PMID</w:t>
      </w:r>
      <w:proofErr w:type="spellEnd"/>
      <w:r>
        <w:rPr>
          <w:rFonts w:ascii="Book Antiqua" w:eastAsia="Book Antiqua" w:hAnsi="Book Antiqua" w:cs="Book Antiqua"/>
        </w:rPr>
        <w:t>: 31378856 DOI: 10.1055/a-0977-3022]</w:t>
      </w:r>
    </w:p>
    <w:p w14:paraId="461358A8"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Prajapati R</w:t>
      </w:r>
      <w:r>
        <w:rPr>
          <w:rFonts w:ascii="Book Antiqua" w:eastAsia="Book Antiqua" w:hAnsi="Book Antiqua" w:cs="Book Antiqua"/>
        </w:rPr>
        <w:t>, Ranjan P, Gupta A, Yadav AK. Balloon-Occluded Retrograde Transvenous Obliteration (</w:t>
      </w:r>
      <w:proofErr w:type="spellStart"/>
      <w:r>
        <w:rPr>
          <w:rFonts w:ascii="Book Antiqua" w:eastAsia="Book Antiqua" w:hAnsi="Book Antiqua" w:cs="Book Antiqua"/>
        </w:rPr>
        <w:t>BRTO</w:t>
      </w:r>
      <w:proofErr w:type="spellEnd"/>
      <w:r>
        <w:rPr>
          <w:rFonts w:ascii="Book Antiqua" w:eastAsia="Book Antiqua" w:hAnsi="Book Antiqua" w:cs="Book Antiqua"/>
        </w:rPr>
        <w:t xml:space="preserve">): A Novel Method of Control of Bleeding from Post-Glue Ulcer over Gastric Varices. Report of Two Cases and Review of Literature. </w:t>
      </w:r>
      <w:r>
        <w:rPr>
          <w:rFonts w:ascii="Book Antiqua" w:eastAsia="Book Antiqua" w:hAnsi="Book Antiqua" w:cs="Book Antiqua"/>
          <w:i/>
          <w:iCs/>
        </w:rPr>
        <w:t>J Clin Exp Hepatol</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326-330 [</w:t>
      </w:r>
      <w:proofErr w:type="spellStart"/>
      <w:r>
        <w:rPr>
          <w:rFonts w:ascii="Book Antiqua" w:eastAsia="Book Antiqua" w:hAnsi="Book Antiqua" w:cs="Book Antiqua"/>
        </w:rPr>
        <w:t>PMID</w:t>
      </w:r>
      <w:proofErr w:type="spellEnd"/>
      <w:r>
        <w:rPr>
          <w:rFonts w:ascii="Book Antiqua" w:eastAsia="Book Antiqua" w:hAnsi="Book Antiqua" w:cs="Book Antiqua"/>
        </w:rPr>
        <w:t>: 28003724 DOI: 10.1016/</w:t>
      </w:r>
      <w:proofErr w:type="spellStart"/>
      <w:r>
        <w:rPr>
          <w:rFonts w:ascii="Book Antiqua" w:eastAsia="Book Antiqua" w:hAnsi="Book Antiqua" w:cs="Book Antiqua"/>
        </w:rPr>
        <w:t>j.jceh.2016.08.005</w:t>
      </w:r>
      <w:proofErr w:type="spellEnd"/>
      <w:r>
        <w:rPr>
          <w:rFonts w:ascii="Book Antiqua" w:eastAsia="Book Antiqua" w:hAnsi="Book Antiqua" w:cs="Book Antiqua"/>
        </w:rPr>
        <w:t>]</w:t>
      </w:r>
    </w:p>
    <w:p w14:paraId="6F3D03BD"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Robles-Medranda C</w:t>
      </w:r>
      <w:r>
        <w:rPr>
          <w:rFonts w:ascii="Book Antiqua" w:eastAsia="Book Antiqua" w:hAnsi="Book Antiqua" w:cs="Book Antiqua"/>
        </w:rPr>
        <w:t>, Oleas R, Valero M, Puga-Tejada M, Baquerizo-Burgos J, Ospina J, Pitanga-</w:t>
      </w:r>
      <w:proofErr w:type="spellStart"/>
      <w:r>
        <w:rPr>
          <w:rFonts w:ascii="Book Antiqua" w:eastAsia="Book Antiqua" w:hAnsi="Book Antiqua" w:cs="Book Antiqua"/>
        </w:rPr>
        <w:t>Lukashok</w:t>
      </w:r>
      <w:proofErr w:type="spellEnd"/>
      <w:r>
        <w:rPr>
          <w:rFonts w:ascii="Book Antiqua" w:eastAsia="Book Antiqua" w:hAnsi="Book Antiqua" w:cs="Book Antiqua"/>
        </w:rPr>
        <w:t xml:space="preserve"> H. Endoscopic ultrasonography-guided deployment of embolization coils and cyanoacrylate injection in gastric varices </w:t>
      </w:r>
      <w:r>
        <w:rPr>
          <w:rFonts w:ascii="Book Antiqua" w:eastAsia="Book Antiqua" w:hAnsi="Book Antiqua" w:cs="Book Antiqua"/>
          <w:i/>
          <w:iCs/>
        </w:rPr>
        <w:t>vs</w:t>
      </w:r>
      <w:r>
        <w:rPr>
          <w:rFonts w:ascii="Book Antiqua" w:eastAsia="Book Antiqua" w:hAnsi="Book Antiqua" w:cs="Book Antiqua"/>
        </w:rPr>
        <w:t xml:space="preserve"> coiling alone: a randomized trial.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268-275 [</w:t>
      </w:r>
      <w:proofErr w:type="spellStart"/>
      <w:r>
        <w:rPr>
          <w:rFonts w:ascii="Book Antiqua" w:eastAsia="Book Antiqua" w:hAnsi="Book Antiqua" w:cs="Book Antiqua"/>
        </w:rPr>
        <w:t>PMID</w:t>
      </w:r>
      <w:proofErr w:type="spellEnd"/>
      <w:r>
        <w:rPr>
          <w:rFonts w:ascii="Book Antiqua" w:eastAsia="Book Antiqua" w:hAnsi="Book Antiqua" w:cs="Book Antiqua"/>
        </w:rPr>
        <w:t>: 32126576 DOI: 10.1055/a-1123-9054]</w:t>
      </w:r>
    </w:p>
    <w:p w14:paraId="12C55A48"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 xml:space="preserve">Wong </w:t>
      </w:r>
      <w:proofErr w:type="spellStart"/>
      <w:r>
        <w:rPr>
          <w:rFonts w:ascii="Book Antiqua" w:eastAsia="Book Antiqua" w:hAnsi="Book Antiqua" w:cs="Book Antiqua"/>
          <w:b/>
          <w:bCs/>
        </w:rPr>
        <w:t>JYY</w:t>
      </w:r>
      <w:proofErr w:type="spellEnd"/>
      <w:r>
        <w:rPr>
          <w:rFonts w:ascii="Book Antiqua" w:eastAsia="Book Antiqua" w:hAnsi="Book Antiqua" w:cs="Book Antiqua"/>
        </w:rPr>
        <w:t xml:space="preserve">, </w:t>
      </w:r>
      <w:proofErr w:type="spellStart"/>
      <w:r>
        <w:rPr>
          <w:rFonts w:ascii="Book Antiqua" w:eastAsia="Book Antiqua" w:hAnsi="Book Antiqua" w:cs="Book Antiqua"/>
        </w:rPr>
        <w:t>Kongkam</w:t>
      </w:r>
      <w:proofErr w:type="spellEnd"/>
      <w:r>
        <w:rPr>
          <w:rFonts w:ascii="Book Antiqua" w:eastAsia="Book Antiqua" w:hAnsi="Book Antiqua" w:cs="Book Antiqua"/>
        </w:rPr>
        <w:t xml:space="preserve"> P, Ho KY. Training in endoscopic ultrasonography: An Asian perspective.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512-516 [</w:t>
      </w:r>
      <w:proofErr w:type="spellStart"/>
      <w:r>
        <w:rPr>
          <w:rFonts w:ascii="Book Antiqua" w:eastAsia="Book Antiqua" w:hAnsi="Book Antiqua" w:cs="Book Antiqua"/>
        </w:rPr>
        <w:t>PMID</w:t>
      </w:r>
      <w:proofErr w:type="spellEnd"/>
      <w:r>
        <w:rPr>
          <w:rFonts w:ascii="Book Antiqua" w:eastAsia="Book Antiqua" w:hAnsi="Book Antiqua" w:cs="Book Antiqua"/>
        </w:rPr>
        <w:t>: 28066947 DOI: 10.1111/</w:t>
      </w:r>
      <w:proofErr w:type="spellStart"/>
      <w:r>
        <w:rPr>
          <w:rFonts w:ascii="Book Antiqua" w:eastAsia="Book Antiqua" w:hAnsi="Book Antiqua" w:cs="Book Antiqua"/>
        </w:rPr>
        <w:t>den.12802</w:t>
      </w:r>
      <w:proofErr w:type="spellEnd"/>
      <w:r>
        <w:rPr>
          <w:rFonts w:ascii="Book Antiqua" w:eastAsia="Book Antiqua" w:hAnsi="Book Antiqua" w:cs="Book Antiqua"/>
        </w:rPr>
        <w:t>]</w:t>
      </w:r>
    </w:p>
    <w:p w14:paraId="38252FEF"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Lo GH</w:t>
      </w:r>
      <w:r>
        <w:rPr>
          <w:rFonts w:ascii="Book Antiqua" w:eastAsia="Book Antiqua" w:hAnsi="Book Antiqua" w:cs="Book Antiqua"/>
        </w:rPr>
        <w:t xml:space="preserve">. Should we pursue high obliteration rate or high hemostatic rate in the therapy of gastric varices?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709 [</w:t>
      </w:r>
      <w:proofErr w:type="spellStart"/>
      <w:r>
        <w:rPr>
          <w:rFonts w:ascii="Book Antiqua" w:eastAsia="Book Antiqua" w:hAnsi="Book Antiqua" w:cs="Book Antiqua"/>
        </w:rPr>
        <w:t>PMID</w:t>
      </w:r>
      <w:proofErr w:type="spellEnd"/>
      <w:r>
        <w:rPr>
          <w:rFonts w:ascii="Book Antiqua" w:eastAsia="Book Antiqua" w:hAnsi="Book Antiqua" w:cs="Book Antiqua"/>
        </w:rPr>
        <w:t>: 32722839 DOI: 10.1055/a-1167-8274]</w:t>
      </w:r>
    </w:p>
    <w:p w14:paraId="05ACAB03"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Köklü</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Coban S, Yüksel O, Arhan M. Left-sided portal hypertension. </w:t>
      </w:r>
      <w:r>
        <w:rPr>
          <w:rFonts w:ascii="Book Antiqua" w:eastAsia="Book Antiqua" w:hAnsi="Book Antiqua" w:cs="Book Antiqua"/>
          <w:i/>
          <w:iCs/>
        </w:rPr>
        <w:t>Dig Dis Sci</w:t>
      </w:r>
      <w:r>
        <w:rPr>
          <w:rFonts w:ascii="Book Antiqua" w:eastAsia="Book Antiqua" w:hAnsi="Book Antiqua" w:cs="Book Antiqua"/>
        </w:rPr>
        <w:t xml:space="preserve"> 2007; </w:t>
      </w:r>
      <w:r>
        <w:rPr>
          <w:rFonts w:ascii="Book Antiqua" w:eastAsia="Book Antiqua" w:hAnsi="Book Antiqua" w:cs="Book Antiqua"/>
          <w:b/>
          <w:bCs/>
        </w:rPr>
        <w:t>52</w:t>
      </w:r>
      <w:r>
        <w:rPr>
          <w:rFonts w:ascii="Book Antiqua" w:eastAsia="Book Antiqua" w:hAnsi="Book Antiqua" w:cs="Book Antiqua"/>
        </w:rPr>
        <w:t>: 1141-1149 [</w:t>
      </w:r>
      <w:proofErr w:type="spellStart"/>
      <w:r>
        <w:rPr>
          <w:rFonts w:ascii="Book Antiqua" w:eastAsia="Book Antiqua" w:hAnsi="Book Antiqua" w:cs="Book Antiqua"/>
        </w:rPr>
        <w:t>PMID</w:t>
      </w:r>
      <w:proofErr w:type="spellEnd"/>
      <w:r>
        <w:rPr>
          <w:rFonts w:ascii="Book Antiqua" w:eastAsia="Book Antiqua" w:hAnsi="Book Antiqua" w:cs="Book Antiqua"/>
        </w:rPr>
        <w:t>: 17385040 DOI: 10.1007/</w:t>
      </w:r>
      <w:proofErr w:type="spellStart"/>
      <w:r>
        <w:rPr>
          <w:rFonts w:ascii="Book Antiqua" w:eastAsia="Book Antiqua" w:hAnsi="Book Antiqua" w:cs="Book Antiqua"/>
        </w:rPr>
        <w:t>s10620</w:t>
      </w:r>
      <w:proofErr w:type="spellEnd"/>
      <w:r>
        <w:rPr>
          <w:rFonts w:ascii="Book Antiqua" w:eastAsia="Book Antiqua" w:hAnsi="Book Antiqua" w:cs="Book Antiqua"/>
        </w:rPr>
        <w:t>-006-9307-x]</w:t>
      </w:r>
    </w:p>
    <w:p w14:paraId="4C2934A2" w14:textId="77777777" w:rsidR="00A77B3E"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Abraham M</w:t>
      </w:r>
      <w:r>
        <w:rPr>
          <w:rFonts w:ascii="Book Antiqua" w:eastAsia="Book Antiqua" w:hAnsi="Book Antiqua" w:cs="Book Antiqua"/>
        </w:rPr>
        <w:t xml:space="preserve">, Doshi S, </w:t>
      </w:r>
      <w:proofErr w:type="spellStart"/>
      <w:r>
        <w:rPr>
          <w:rFonts w:ascii="Book Antiqua" w:eastAsia="Book Antiqua" w:hAnsi="Book Antiqua" w:cs="Book Antiqua"/>
        </w:rPr>
        <w:t>Asfari</w:t>
      </w:r>
      <w:proofErr w:type="spellEnd"/>
      <w:r>
        <w:rPr>
          <w:rFonts w:ascii="Book Antiqua" w:eastAsia="Book Antiqua" w:hAnsi="Book Antiqua" w:cs="Book Antiqua"/>
        </w:rPr>
        <w:t xml:space="preserve"> MM, Yap JEL, Bowers HG. Isolated Gastric Variceal Hemorrhage Secondary to Idiopathic Sinistral Portal Hypertension.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w:t>
      </w:r>
      <w:proofErr w:type="spellStart"/>
      <w:r>
        <w:rPr>
          <w:rFonts w:ascii="Book Antiqua" w:eastAsia="Book Antiqua" w:hAnsi="Book Antiqua" w:cs="Book Antiqua"/>
        </w:rPr>
        <w:t>e16165</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34367775 DOI: 10.7759/</w:t>
      </w:r>
      <w:proofErr w:type="spellStart"/>
      <w:r>
        <w:rPr>
          <w:rFonts w:ascii="Book Antiqua" w:eastAsia="Book Antiqua" w:hAnsi="Book Antiqua" w:cs="Book Antiqua"/>
        </w:rPr>
        <w:t>cureus.16165</w:t>
      </w:r>
      <w:proofErr w:type="spellEnd"/>
      <w:r>
        <w:rPr>
          <w:rFonts w:ascii="Book Antiqua" w:eastAsia="Book Antiqua" w:hAnsi="Book Antiqua" w:cs="Book Antiqua"/>
        </w:rPr>
        <w:t>]</w:t>
      </w:r>
    </w:p>
    <w:bookmarkEnd w:id="185"/>
    <w:bookmarkEnd w:id="186"/>
    <w:p w14:paraId="63D4FA93" w14:textId="77777777" w:rsidR="00A77B3E" w:rsidRDefault="00A77B3E">
      <w:pPr>
        <w:spacing w:line="360" w:lineRule="auto"/>
        <w:jc w:val="both"/>
        <w:sectPr w:rsidR="00A77B3E" w:rsidSect="00E0199D">
          <w:pgSz w:w="12240" w:h="15840"/>
          <w:pgMar w:top="1440" w:right="1440" w:bottom="1440" w:left="1440" w:header="720" w:footer="720" w:gutter="0"/>
          <w:cols w:space="720"/>
          <w:docGrid w:linePitch="360"/>
        </w:sectPr>
      </w:pPr>
    </w:p>
    <w:p w14:paraId="7C9DBD6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A79119B"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retrospective study received approval from the Ethics Committee of The First Affiliated Hospital of Chongqing Medical University.</w:t>
      </w:r>
    </w:p>
    <w:p w14:paraId="21A54FD6" w14:textId="77777777" w:rsidR="00A77B3E" w:rsidRDefault="00A77B3E">
      <w:pPr>
        <w:spacing w:line="360" w:lineRule="auto"/>
        <w:jc w:val="both"/>
      </w:pPr>
    </w:p>
    <w:p w14:paraId="5DF48721"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08F0D449" w14:textId="77777777" w:rsidR="00A77B3E" w:rsidRDefault="00A77B3E">
      <w:pPr>
        <w:spacing w:line="360" w:lineRule="auto"/>
        <w:jc w:val="both"/>
      </w:pPr>
    </w:p>
    <w:p w14:paraId="1A0C9916" w14:textId="31216F3D"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Style w:val="src"/>
          <w:rFonts w:ascii="Book Antiqua" w:eastAsia="Book Antiqua" w:hAnsi="Book Antiqua" w:cs="Book Antiqua"/>
          <w:color w:val="2A2B2E"/>
          <w:shd w:val="clear" w:color="auto" w:fill="FFFFFF"/>
        </w:rPr>
        <w:t>The authors declare that they have no competing interests.</w:t>
      </w:r>
    </w:p>
    <w:p w14:paraId="7059AD0B" w14:textId="77777777" w:rsidR="00A77B3E" w:rsidRDefault="00A77B3E">
      <w:pPr>
        <w:spacing w:line="360" w:lineRule="auto"/>
        <w:jc w:val="both"/>
      </w:pPr>
    </w:p>
    <w:p w14:paraId="3B5066D9" w14:textId="77777777" w:rsidR="00A77B3E" w:rsidRPr="00484432" w:rsidRDefault="00000000">
      <w:pPr>
        <w:spacing w:line="360" w:lineRule="auto"/>
        <w:jc w:val="both"/>
        <w:rPr>
          <w:rStyle w:val="src"/>
          <w:rFonts w:ascii="Book Antiqua" w:eastAsia="Book Antiqua" w:hAnsi="Book Antiqua" w:cs="Book Antiqua"/>
          <w:color w:val="2A2B2E"/>
          <w:shd w:val="clear" w:color="auto" w:fill="FFFFFF"/>
        </w:rPr>
      </w:pPr>
      <w:r>
        <w:rPr>
          <w:rFonts w:ascii="Book Antiqua" w:eastAsia="Book Antiqua" w:hAnsi="Book Antiqua" w:cs="Book Antiqua"/>
          <w:b/>
          <w:bCs/>
          <w:color w:val="000000"/>
        </w:rPr>
        <w:t>Data sharing statement</w:t>
      </w:r>
      <w:r w:rsidRPr="00484432">
        <w:rPr>
          <w:rFonts w:ascii="Book Antiqua" w:eastAsia="Book Antiqua" w:hAnsi="Book Antiqua" w:cs="Book Antiqua"/>
          <w:b/>
          <w:bCs/>
        </w:rPr>
        <w:t>:</w:t>
      </w:r>
      <w:r w:rsidRPr="00484432">
        <w:rPr>
          <w:rStyle w:val="src"/>
          <w:rFonts w:ascii="Book Antiqua" w:hAnsi="Book Antiqua"/>
          <w:shd w:val="clear" w:color="auto" w:fill="FFFFFF"/>
        </w:rPr>
        <w:t xml:space="preserve"> No additional data are available.</w:t>
      </w:r>
    </w:p>
    <w:p w14:paraId="16866362" w14:textId="77777777" w:rsidR="00A77B3E" w:rsidRDefault="00A77B3E">
      <w:pPr>
        <w:spacing w:line="360" w:lineRule="auto"/>
        <w:jc w:val="both"/>
      </w:pPr>
    </w:p>
    <w:p w14:paraId="3C9F6431" w14:textId="2204E5C4" w:rsidR="00A77B3E"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sidR="00484432">
        <w:rPr>
          <w:rFonts w:ascii="Book Antiqua" w:eastAsia="Book Antiqua" w:hAnsi="Book Antiqua" w:cs="Book Antiqua"/>
        </w:rPr>
        <w:t>-</w:t>
      </w:r>
      <w:r>
        <w:rPr>
          <w:rFonts w:ascii="Book Antiqua" w:eastAsia="Book Antiqua" w:hAnsi="Book Antiqua" w:cs="Book Antiqua"/>
        </w:rPr>
        <w:t>checklist of items, and the manuscript was prepared and revised according to the STROBE Statement</w:t>
      </w:r>
      <w:r w:rsidR="00484432">
        <w:rPr>
          <w:rFonts w:ascii="Book Antiqua" w:eastAsia="Book Antiqua" w:hAnsi="Book Antiqua" w:cs="Book Antiqua"/>
        </w:rPr>
        <w:t>-</w:t>
      </w:r>
      <w:r>
        <w:rPr>
          <w:rFonts w:ascii="Book Antiqua" w:eastAsia="Book Antiqua" w:hAnsi="Book Antiqua" w:cs="Book Antiqua"/>
        </w:rPr>
        <w:t>checklist of items.</w:t>
      </w:r>
    </w:p>
    <w:p w14:paraId="49D3917A" w14:textId="77777777" w:rsidR="00A77B3E" w:rsidRDefault="00A77B3E">
      <w:pPr>
        <w:spacing w:line="360" w:lineRule="auto"/>
        <w:jc w:val="both"/>
      </w:pPr>
    </w:p>
    <w:p w14:paraId="5480E1D1"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6F63E95D" w14:textId="77777777" w:rsidR="00A77B3E" w:rsidRDefault="00A77B3E">
      <w:pPr>
        <w:spacing w:line="360" w:lineRule="auto"/>
        <w:jc w:val="both"/>
      </w:pPr>
    </w:p>
    <w:p w14:paraId="66FC77D7"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E8E520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4EE28CB" w14:textId="208730DD"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Digestive Endoscopy Branch of Chinese Medical Association.</w:t>
      </w:r>
    </w:p>
    <w:p w14:paraId="2F9FC199" w14:textId="77777777" w:rsidR="00A77B3E" w:rsidRDefault="00A77B3E">
      <w:pPr>
        <w:spacing w:line="360" w:lineRule="auto"/>
        <w:jc w:val="both"/>
      </w:pPr>
    </w:p>
    <w:p w14:paraId="1ED2D9DC"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6, 2023</w:t>
      </w:r>
    </w:p>
    <w:p w14:paraId="19FC872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07D94F17" w14:textId="2374F1C7" w:rsidR="00A77B3E" w:rsidRDefault="00000000">
      <w:pPr>
        <w:spacing w:line="360" w:lineRule="auto"/>
        <w:jc w:val="both"/>
      </w:pPr>
      <w:r>
        <w:rPr>
          <w:rFonts w:ascii="Book Antiqua" w:eastAsia="Book Antiqua" w:hAnsi="Book Antiqua" w:cs="Book Antiqua"/>
          <w:b/>
          <w:color w:val="000000"/>
        </w:rPr>
        <w:lastRenderedPageBreak/>
        <w:t xml:space="preserve">Article in press: </w:t>
      </w:r>
      <w:r w:rsidR="00FB21A6" w:rsidRPr="00E0103E">
        <w:rPr>
          <w:rFonts w:ascii="Book Antiqua" w:hAnsi="Book Antiqua"/>
        </w:rPr>
        <w:t xml:space="preserve">December </w:t>
      </w:r>
      <w:r w:rsidR="00FB21A6">
        <w:rPr>
          <w:rFonts w:ascii="Book Antiqua" w:hAnsi="Book Antiqua"/>
        </w:rPr>
        <w:t>27</w:t>
      </w:r>
      <w:r w:rsidR="00FB21A6" w:rsidRPr="00E0103E">
        <w:rPr>
          <w:rFonts w:ascii="Book Antiqua" w:hAnsi="Book Antiqua"/>
        </w:rPr>
        <w:t>, 2023</w:t>
      </w:r>
    </w:p>
    <w:p w14:paraId="36BBE51F" w14:textId="77777777" w:rsidR="00A77B3E" w:rsidRDefault="00A77B3E">
      <w:pPr>
        <w:spacing w:line="360" w:lineRule="auto"/>
        <w:jc w:val="both"/>
      </w:pPr>
    </w:p>
    <w:p w14:paraId="61519FD7" w14:textId="050C9702" w:rsidR="00A77B3E" w:rsidRDefault="00000000">
      <w:pPr>
        <w:spacing w:line="360" w:lineRule="auto"/>
        <w:jc w:val="both"/>
      </w:pPr>
      <w:r>
        <w:rPr>
          <w:rFonts w:ascii="Book Antiqua" w:eastAsia="Book Antiqua" w:hAnsi="Book Antiqua" w:cs="Book Antiqua"/>
          <w:b/>
          <w:color w:val="000000"/>
        </w:rPr>
        <w:t xml:space="preserve">Specialty type: </w:t>
      </w:r>
      <w:r w:rsidR="006A63B1" w:rsidRPr="00E700C2">
        <w:rPr>
          <w:rFonts w:ascii="Book Antiqua" w:eastAsia="微软雅黑" w:hAnsi="Book Antiqua" w:cs="宋体"/>
        </w:rPr>
        <w:t>Gastroenterology and hepatology</w:t>
      </w:r>
    </w:p>
    <w:p w14:paraId="136DE32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9B1410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018001C" w14:textId="77777777" w:rsidR="00A77B3E" w:rsidRDefault="00000000">
      <w:pPr>
        <w:spacing w:line="360" w:lineRule="auto"/>
        <w:jc w:val="both"/>
      </w:pPr>
      <w:r>
        <w:rPr>
          <w:rFonts w:ascii="Book Antiqua" w:eastAsia="Book Antiqua" w:hAnsi="Book Antiqua" w:cs="Book Antiqua"/>
        </w:rPr>
        <w:t>Grade A (Excellent): 0</w:t>
      </w:r>
    </w:p>
    <w:p w14:paraId="53C8FAED" w14:textId="77777777" w:rsidR="00A77B3E" w:rsidRDefault="00000000">
      <w:pPr>
        <w:spacing w:line="360" w:lineRule="auto"/>
        <w:jc w:val="both"/>
      </w:pPr>
      <w:r>
        <w:rPr>
          <w:rFonts w:ascii="Book Antiqua" w:eastAsia="Book Antiqua" w:hAnsi="Book Antiqua" w:cs="Book Antiqua"/>
        </w:rPr>
        <w:t>Grade B (Very good): B</w:t>
      </w:r>
    </w:p>
    <w:p w14:paraId="604F3E3F" w14:textId="77777777" w:rsidR="00A77B3E" w:rsidRDefault="00000000">
      <w:pPr>
        <w:spacing w:line="360" w:lineRule="auto"/>
        <w:jc w:val="both"/>
      </w:pPr>
      <w:r>
        <w:rPr>
          <w:rFonts w:ascii="Book Antiqua" w:eastAsia="Book Antiqua" w:hAnsi="Book Antiqua" w:cs="Book Antiqua"/>
        </w:rPr>
        <w:t>Grade C (Good): 0</w:t>
      </w:r>
    </w:p>
    <w:p w14:paraId="5B13E328" w14:textId="77777777" w:rsidR="00A77B3E" w:rsidRDefault="00000000">
      <w:pPr>
        <w:spacing w:line="360" w:lineRule="auto"/>
        <w:jc w:val="both"/>
      </w:pPr>
      <w:r>
        <w:rPr>
          <w:rFonts w:ascii="Book Antiqua" w:eastAsia="Book Antiqua" w:hAnsi="Book Antiqua" w:cs="Book Antiqua"/>
        </w:rPr>
        <w:t>Grade D (Fair): 0</w:t>
      </w:r>
    </w:p>
    <w:p w14:paraId="24FE616E" w14:textId="77777777" w:rsidR="00A77B3E" w:rsidRDefault="00000000">
      <w:pPr>
        <w:spacing w:line="360" w:lineRule="auto"/>
        <w:jc w:val="both"/>
      </w:pPr>
      <w:r>
        <w:rPr>
          <w:rFonts w:ascii="Book Antiqua" w:eastAsia="Book Antiqua" w:hAnsi="Book Antiqua" w:cs="Book Antiqua"/>
        </w:rPr>
        <w:t>Grade E (Poor): 0</w:t>
      </w:r>
    </w:p>
    <w:p w14:paraId="4DEC8204" w14:textId="77777777" w:rsidR="00A77B3E" w:rsidRDefault="00A77B3E">
      <w:pPr>
        <w:spacing w:line="360" w:lineRule="auto"/>
        <w:jc w:val="both"/>
      </w:pPr>
    </w:p>
    <w:p w14:paraId="47E16EF1" w14:textId="5E4E98C2" w:rsidR="00A77B3E" w:rsidRPr="00FB21A6"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Burnet M</w:t>
      </w:r>
      <w:r w:rsidR="006A63B1">
        <w:rPr>
          <w:rFonts w:ascii="Book Antiqua" w:eastAsia="Book Antiqua" w:hAnsi="Book Antiqua" w:cs="Book Antiqua"/>
        </w:rPr>
        <w:t xml:space="preserve">, </w:t>
      </w:r>
      <w:r w:rsidR="006A63B1" w:rsidRPr="006A63B1">
        <w:rPr>
          <w:rFonts w:ascii="Book Antiqua" w:eastAsia="Book Antiqua" w:hAnsi="Book Antiqua" w:cs="Book Antiqua"/>
        </w:rPr>
        <w:t>Germany</w:t>
      </w:r>
      <w:r>
        <w:rPr>
          <w:rFonts w:ascii="Book Antiqua" w:eastAsia="Book Antiqua" w:hAnsi="Book Antiqua" w:cs="Book Antiqua"/>
          <w:b/>
          <w:color w:val="000000"/>
        </w:rPr>
        <w:t xml:space="preserve"> S-Editor: </w:t>
      </w:r>
      <w:r w:rsidR="00210A58">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sidR="00346B20" w:rsidRPr="00346B20">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FB21A6" w:rsidRPr="00FB21A6">
        <w:rPr>
          <w:rFonts w:ascii="Book Antiqua" w:eastAsia="Book Antiqua" w:hAnsi="Book Antiqua" w:cs="Book Antiqua"/>
          <w:bCs/>
          <w:color w:val="000000"/>
        </w:rPr>
        <w:t xml:space="preserve">Cai </w:t>
      </w:r>
      <w:proofErr w:type="spellStart"/>
      <w:r w:rsidR="00FB21A6" w:rsidRPr="00FB21A6">
        <w:rPr>
          <w:rFonts w:ascii="Book Antiqua" w:eastAsia="Book Antiqua" w:hAnsi="Book Antiqua" w:cs="Book Antiqua"/>
          <w:bCs/>
          <w:color w:val="000000"/>
        </w:rPr>
        <w:t>YX</w:t>
      </w:r>
      <w:proofErr w:type="spellEnd"/>
    </w:p>
    <w:p w14:paraId="0544B11E" w14:textId="5CD4F892" w:rsidR="00210A58" w:rsidRDefault="00210A58">
      <w:pPr>
        <w:spacing w:line="360" w:lineRule="auto"/>
        <w:jc w:val="both"/>
        <w:sectPr w:rsidR="00210A58" w:rsidSect="00E0199D">
          <w:pgSz w:w="12240" w:h="15840"/>
          <w:pgMar w:top="1440" w:right="1440" w:bottom="1440" w:left="1440" w:header="720" w:footer="720" w:gutter="0"/>
          <w:cols w:space="720"/>
          <w:docGrid w:linePitch="360"/>
        </w:sectPr>
      </w:pPr>
    </w:p>
    <w:p w14:paraId="374B8153"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D444FE" w14:textId="58C4D891" w:rsidR="007A3E10" w:rsidRPr="007A3E10" w:rsidRDefault="00F90AD3">
      <w:pPr>
        <w:spacing w:line="360" w:lineRule="auto"/>
        <w:jc w:val="both"/>
        <w:rPr>
          <w:rFonts w:ascii="Book Antiqua" w:hAnsi="Book Antiqua"/>
          <w:lang w:eastAsia="zh-CN"/>
        </w:rPr>
      </w:pPr>
      <w:r w:rsidRPr="00F90AD3">
        <w:rPr>
          <w:rFonts w:ascii="Book Antiqua" w:hAnsi="Book Antiqua"/>
          <w:noProof/>
          <w:lang w:eastAsia="zh-CN"/>
        </w:rPr>
        <w:drawing>
          <wp:inline distT="0" distB="0" distL="0" distR="0" wp14:anchorId="68A2B9EC" wp14:editId="5B229F8D">
            <wp:extent cx="5943600" cy="4298315"/>
            <wp:effectExtent l="0" t="0" r="0" b="6985"/>
            <wp:docPr id="20231116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98315"/>
                    </a:xfrm>
                    <a:prstGeom prst="rect">
                      <a:avLst/>
                    </a:prstGeom>
                    <a:noFill/>
                    <a:ln>
                      <a:noFill/>
                    </a:ln>
                  </pic:spPr>
                </pic:pic>
              </a:graphicData>
            </a:graphic>
          </wp:inline>
        </w:drawing>
      </w:r>
    </w:p>
    <w:p w14:paraId="66AD142F" w14:textId="771686F7" w:rsidR="00A77B3E" w:rsidRDefault="00000000">
      <w:pPr>
        <w:spacing w:line="360" w:lineRule="auto"/>
        <w:jc w:val="both"/>
      </w:pPr>
      <w:r>
        <w:rPr>
          <w:rFonts w:ascii="Book Antiqua" w:eastAsia="Book Antiqua" w:hAnsi="Book Antiqua" w:cs="Book Antiqua"/>
          <w:b/>
          <w:bCs/>
          <w:color w:val="000000"/>
        </w:rPr>
        <w:t xml:space="preserve">Figure 1 Endoscopic procedure for patients in modified group. </w:t>
      </w:r>
      <w:r>
        <w:rPr>
          <w:rFonts w:ascii="Book Antiqua" w:eastAsia="Book Antiqua" w:hAnsi="Book Antiqua" w:cs="Book Antiqua"/>
          <w:color w:val="000000"/>
        </w:rPr>
        <w:t xml:space="preserve">A: Gastroscopy revealed gastric varices </w:t>
      </w:r>
      <w:r w:rsidR="00346B20">
        <w:rPr>
          <w:rFonts w:ascii="Book Antiqua" w:eastAsia="Book Antiqua" w:hAnsi="Book Antiqua" w:cs="Book Antiqua"/>
          <w:color w:val="000000"/>
        </w:rPr>
        <w:t>(</w:t>
      </w:r>
      <w:proofErr w:type="spellStart"/>
      <w:r w:rsidR="00346B20">
        <w:rPr>
          <w:rFonts w:ascii="Book Antiqua" w:eastAsia="Book Antiqua" w:hAnsi="Book Antiqua" w:cs="Book Antiqua"/>
          <w:color w:val="000000"/>
        </w:rPr>
        <w:t>GV</w:t>
      </w:r>
      <w:proofErr w:type="spellEnd"/>
      <w:r w:rsidR="00346B20">
        <w:rPr>
          <w:rFonts w:ascii="Book Antiqua" w:eastAsia="Book Antiqua" w:hAnsi="Book Antiqua" w:cs="Book Antiqua"/>
          <w:color w:val="000000"/>
        </w:rPr>
        <w:t xml:space="preserve">) </w:t>
      </w:r>
      <w:r>
        <w:rPr>
          <w:rFonts w:ascii="Book Antiqua" w:eastAsia="Book Antiqua" w:hAnsi="Book Antiqua" w:cs="Book Antiqua"/>
          <w:color w:val="000000"/>
        </w:rPr>
        <w:t xml:space="preserve">with active bleeding; B: A confluence of </w:t>
      </w:r>
      <w:proofErr w:type="spellStart"/>
      <w:r w:rsidR="00346B20">
        <w:rPr>
          <w:rFonts w:ascii="Book Antiqua" w:eastAsia="Book Antiqua" w:hAnsi="Book Antiqua" w:cs="Book Antiqua"/>
          <w:color w:val="000000"/>
        </w:rPr>
        <w:t>GV</w:t>
      </w:r>
      <w:proofErr w:type="spellEnd"/>
      <w:r>
        <w:rPr>
          <w:rFonts w:ascii="Book Antiqua" w:eastAsia="Book Antiqua" w:hAnsi="Book Antiqua" w:cs="Book Antiqua"/>
          <w:color w:val="000000"/>
        </w:rPr>
        <w:t xml:space="preserve"> was identified and selected as the injection site; C: N-butyl-2-cyanoacrylate (</w:t>
      </w:r>
      <w:r w:rsidR="009C3409" w:rsidRPr="009C3409">
        <w:rPr>
          <w:rFonts w:ascii="Book Antiqua" w:eastAsia="Book Antiqua" w:hAnsi="Book Antiqua" w:cs="Book Antiqua"/>
          <w:color w:val="000000"/>
        </w:rPr>
        <w:t>orange</w:t>
      </w:r>
      <w:r>
        <w:rPr>
          <w:rFonts w:ascii="Book Antiqua" w:eastAsia="Book Antiqua" w:hAnsi="Book Antiqua" w:cs="Book Antiqua"/>
          <w:color w:val="000000"/>
        </w:rPr>
        <w:t xml:space="preserve"> arrow) was injected into the selected gastric varix; D: Hyperechoic fillings (</w:t>
      </w:r>
      <w:r w:rsidR="009C3409" w:rsidRPr="009C3409">
        <w:rPr>
          <w:rFonts w:ascii="Book Antiqua" w:eastAsia="Book Antiqua" w:hAnsi="Book Antiqua" w:cs="Book Antiqua"/>
          <w:color w:val="000000"/>
        </w:rPr>
        <w:t>orange</w:t>
      </w:r>
      <w:r>
        <w:rPr>
          <w:rFonts w:ascii="Book Antiqua" w:eastAsia="Book Antiqua" w:hAnsi="Book Antiqua" w:cs="Book Antiqua"/>
          <w:color w:val="000000"/>
        </w:rPr>
        <w:t xml:space="preserve"> arrow) and decreased blood flow signals were observed after injections.</w:t>
      </w:r>
    </w:p>
    <w:p w14:paraId="18EC3069" w14:textId="258C95D7" w:rsidR="00A77B3E" w:rsidRDefault="007A3E10">
      <w:pPr>
        <w:spacing w:line="360" w:lineRule="auto"/>
        <w:jc w:val="both"/>
      </w:pPr>
      <w:r>
        <w:br w:type="page"/>
      </w:r>
    </w:p>
    <w:p w14:paraId="73064225" w14:textId="77777777" w:rsidR="00F90AD3" w:rsidRDefault="00F90AD3">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0BC8D7F" wp14:editId="5224717D">
            <wp:extent cx="4928235" cy="2078355"/>
            <wp:effectExtent l="0" t="0" r="5715" b="0"/>
            <wp:docPr id="6971323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8235" cy="2078355"/>
                    </a:xfrm>
                    <a:prstGeom prst="rect">
                      <a:avLst/>
                    </a:prstGeom>
                    <a:noFill/>
                    <a:ln>
                      <a:noFill/>
                    </a:ln>
                  </pic:spPr>
                </pic:pic>
              </a:graphicData>
            </a:graphic>
          </wp:inline>
        </w:drawing>
      </w:r>
    </w:p>
    <w:p w14:paraId="3809DDBF" w14:textId="50F5713E" w:rsidR="00390173"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Flowchart of patients included in the study</w:t>
      </w:r>
      <w:r w:rsidR="00E23EB4">
        <w:rPr>
          <w:rFonts w:ascii="Book Antiqua" w:eastAsia="Book Antiqua" w:hAnsi="Book Antiqua" w:cs="Book Antiqua"/>
          <w:b/>
          <w:bCs/>
          <w:color w:val="000000"/>
        </w:rPr>
        <w:t>.</w:t>
      </w:r>
    </w:p>
    <w:p w14:paraId="0F202910" w14:textId="0349D5CA" w:rsidR="00A77B3E" w:rsidRDefault="0039017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390173">
        <w:rPr>
          <w:rFonts w:ascii="Book Antiqua" w:eastAsia="Book Antiqua" w:hAnsi="Book Antiqua" w:cs="Book Antiqua"/>
          <w:b/>
          <w:bCs/>
          <w:color w:val="000000"/>
        </w:rPr>
        <w:lastRenderedPageBreak/>
        <w:t xml:space="preserve">Table 1 Study population and comparison of two groups, </w:t>
      </w:r>
      <w:r w:rsidRPr="00390173">
        <w:rPr>
          <w:rFonts w:ascii="Book Antiqua" w:eastAsia="Book Antiqua" w:hAnsi="Book Antiqua" w:cs="Book Antiqua"/>
          <w:b/>
          <w:bCs/>
          <w:i/>
          <w:iCs/>
          <w:color w:val="000000"/>
        </w:rPr>
        <w:t>n</w:t>
      </w:r>
      <w:r w:rsidRPr="00390173">
        <w:rPr>
          <w:rFonts w:ascii="Book Antiqua" w:eastAsia="Book Antiqua" w:hAnsi="Book Antiqua" w:cs="Book Antiqua"/>
          <w:b/>
          <w:bCs/>
          <w:color w:val="000000"/>
        </w:rPr>
        <w:t xml:space="preserve">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841"/>
        <w:gridCol w:w="2120"/>
        <w:gridCol w:w="2684"/>
        <w:gridCol w:w="1715"/>
      </w:tblGrid>
      <w:tr w:rsidR="00390173" w:rsidRPr="00390173" w14:paraId="52BA8A1A" w14:textId="21928E5C" w:rsidTr="00390173">
        <w:tc>
          <w:tcPr>
            <w:tcW w:w="2850" w:type="dxa"/>
            <w:tcBorders>
              <w:top w:val="single" w:sz="4" w:space="0" w:color="auto"/>
              <w:bottom w:val="single" w:sz="4" w:space="0" w:color="auto"/>
            </w:tcBorders>
            <w:shd w:val="clear" w:color="auto" w:fill="auto"/>
          </w:tcPr>
          <w:p w14:paraId="7E5118F5" w14:textId="77777777" w:rsidR="00390173" w:rsidRPr="00390173" w:rsidRDefault="00390173" w:rsidP="00390173">
            <w:pPr>
              <w:spacing w:line="360" w:lineRule="auto"/>
              <w:textAlignment w:val="center"/>
              <w:rPr>
                <w:rFonts w:ascii="Book Antiqua" w:hAnsi="Book Antiqua"/>
                <w:b/>
                <w:bCs/>
                <w:lang w:eastAsia="zh-Hans" w:bidi="ar"/>
              </w:rPr>
            </w:pPr>
            <w:r w:rsidRPr="00390173">
              <w:rPr>
                <w:rFonts w:ascii="Book Antiqua" w:hAnsi="Book Antiqua"/>
                <w:b/>
                <w:bCs/>
                <w:lang w:eastAsia="zh-Hans" w:bidi="ar"/>
              </w:rPr>
              <w:t>Value</w:t>
            </w:r>
          </w:p>
        </w:tc>
        <w:tc>
          <w:tcPr>
            <w:tcW w:w="2127" w:type="dxa"/>
            <w:tcBorders>
              <w:top w:val="single" w:sz="4" w:space="0" w:color="auto"/>
              <w:bottom w:val="single" w:sz="4" w:space="0" w:color="auto"/>
            </w:tcBorders>
            <w:shd w:val="clear" w:color="auto" w:fill="auto"/>
          </w:tcPr>
          <w:p w14:paraId="0837761A" w14:textId="0D53B202" w:rsidR="00390173" w:rsidRPr="00390173" w:rsidRDefault="00390173" w:rsidP="00390173">
            <w:pPr>
              <w:spacing w:line="360" w:lineRule="auto"/>
              <w:textAlignment w:val="center"/>
              <w:rPr>
                <w:rFonts w:ascii="Book Antiqua" w:hAnsi="Book Antiqua"/>
                <w:b/>
                <w:bCs/>
                <w:lang w:eastAsia="zh-Hans" w:bidi="ar"/>
              </w:rPr>
            </w:pPr>
            <w:r w:rsidRPr="00390173">
              <w:rPr>
                <w:rFonts w:ascii="Book Antiqua" w:hAnsi="Book Antiqua"/>
                <w:b/>
                <w:bCs/>
                <w:lang w:eastAsia="zh-Hans" w:bidi="ar"/>
              </w:rPr>
              <w:t xml:space="preserve">Modified group </w:t>
            </w:r>
            <w:r w:rsidRPr="00390173">
              <w:rPr>
                <w:rFonts w:ascii="Book Antiqua" w:hAnsi="Book Antiqua"/>
                <w:b/>
                <w:bCs/>
                <w:lang w:bidi="ar"/>
              </w:rPr>
              <w:t>(</w:t>
            </w:r>
            <w:r w:rsidRPr="00390173">
              <w:rPr>
                <w:rFonts w:ascii="Book Antiqua" w:hAnsi="Book Antiqua"/>
                <w:b/>
                <w:bCs/>
                <w:i/>
                <w:iCs/>
                <w:lang w:eastAsia="zh-Hans" w:bidi="ar"/>
              </w:rPr>
              <w:t>n</w:t>
            </w:r>
            <w:r>
              <w:rPr>
                <w:rFonts w:ascii="Book Antiqua" w:hAnsi="Book Antiqua"/>
                <w:b/>
                <w:bCs/>
                <w:lang w:eastAsia="zh-Hans" w:bidi="ar"/>
              </w:rPr>
              <w:t xml:space="preserve"> </w:t>
            </w:r>
            <w:r w:rsidRPr="00390173">
              <w:rPr>
                <w:rFonts w:ascii="Book Antiqua" w:hAnsi="Book Antiqua"/>
                <w:b/>
                <w:bCs/>
                <w:lang w:eastAsia="zh-Hans" w:bidi="ar"/>
              </w:rPr>
              <w:t>=</w:t>
            </w:r>
            <w:r>
              <w:rPr>
                <w:rFonts w:ascii="Book Antiqua" w:hAnsi="Book Antiqua"/>
                <w:b/>
                <w:bCs/>
                <w:lang w:eastAsia="zh-Hans" w:bidi="ar"/>
              </w:rPr>
              <w:t xml:space="preserve"> </w:t>
            </w:r>
            <w:r w:rsidRPr="00390173">
              <w:rPr>
                <w:rFonts w:ascii="Book Antiqua" w:hAnsi="Book Antiqua"/>
                <w:b/>
                <w:bCs/>
                <w:lang w:eastAsia="zh-Hans" w:bidi="ar"/>
              </w:rPr>
              <w:t>11)</w:t>
            </w:r>
          </w:p>
        </w:tc>
        <w:tc>
          <w:tcPr>
            <w:tcW w:w="2693" w:type="dxa"/>
            <w:tcBorders>
              <w:top w:val="single" w:sz="4" w:space="0" w:color="auto"/>
              <w:bottom w:val="single" w:sz="4" w:space="0" w:color="auto"/>
            </w:tcBorders>
          </w:tcPr>
          <w:p w14:paraId="7A9688B1" w14:textId="0DA6ADC7" w:rsidR="00390173" w:rsidRPr="00390173" w:rsidRDefault="00390173" w:rsidP="00390173">
            <w:pPr>
              <w:spacing w:line="360" w:lineRule="auto"/>
              <w:textAlignment w:val="center"/>
              <w:rPr>
                <w:rFonts w:ascii="Book Antiqua" w:hAnsi="Book Antiqua"/>
                <w:b/>
                <w:bCs/>
                <w:lang w:eastAsia="zh-Hans" w:bidi="ar"/>
              </w:rPr>
            </w:pPr>
            <w:r w:rsidRPr="00390173">
              <w:rPr>
                <w:rFonts w:ascii="Book Antiqua" w:hAnsi="Book Antiqua"/>
                <w:b/>
                <w:bCs/>
              </w:rPr>
              <w:t>Conventional</w:t>
            </w:r>
            <w:r w:rsidRPr="00390173">
              <w:rPr>
                <w:rFonts w:ascii="Book Antiqua" w:hAnsi="Book Antiqua"/>
              </w:rPr>
              <w:t xml:space="preserve"> </w:t>
            </w:r>
            <w:r w:rsidRPr="00390173">
              <w:rPr>
                <w:rFonts w:ascii="Book Antiqua" w:hAnsi="Book Antiqua"/>
                <w:b/>
                <w:bCs/>
                <w:lang w:eastAsia="zh-Hans" w:bidi="ar"/>
              </w:rPr>
              <w:t>group (</w:t>
            </w:r>
            <w:r w:rsidRPr="00390173">
              <w:rPr>
                <w:rFonts w:ascii="Book Antiqua" w:hAnsi="Book Antiqua"/>
                <w:b/>
                <w:bCs/>
                <w:i/>
                <w:iCs/>
                <w:lang w:eastAsia="zh-Hans" w:bidi="ar"/>
              </w:rPr>
              <w:t>n</w:t>
            </w:r>
            <w:r>
              <w:rPr>
                <w:rFonts w:ascii="Book Antiqua" w:hAnsi="Book Antiqua"/>
                <w:b/>
                <w:bCs/>
                <w:lang w:eastAsia="zh-Hans" w:bidi="ar"/>
              </w:rPr>
              <w:t xml:space="preserve"> </w:t>
            </w:r>
            <w:r w:rsidRPr="00390173">
              <w:rPr>
                <w:rFonts w:ascii="Book Antiqua" w:hAnsi="Book Antiqua"/>
                <w:b/>
                <w:bCs/>
                <w:lang w:eastAsia="zh-Hans" w:bidi="ar"/>
              </w:rPr>
              <w:t>=</w:t>
            </w:r>
            <w:r>
              <w:rPr>
                <w:rFonts w:ascii="Book Antiqua" w:hAnsi="Book Antiqua"/>
                <w:b/>
                <w:bCs/>
                <w:lang w:eastAsia="zh-Hans" w:bidi="ar"/>
              </w:rPr>
              <w:t xml:space="preserve"> </w:t>
            </w:r>
            <w:r w:rsidRPr="00390173">
              <w:rPr>
                <w:rFonts w:ascii="Book Antiqua" w:hAnsi="Book Antiqua"/>
                <w:b/>
                <w:bCs/>
                <w:lang w:eastAsia="zh-Hans" w:bidi="ar"/>
              </w:rPr>
              <w:t>16)</w:t>
            </w:r>
          </w:p>
        </w:tc>
        <w:tc>
          <w:tcPr>
            <w:tcW w:w="1720" w:type="dxa"/>
            <w:tcBorders>
              <w:top w:val="single" w:sz="4" w:space="0" w:color="auto"/>
              <w:bottom w:val="single" w:sz="4" w:space="0" w:color="auto"/>
            </w:tcBorders>
          </w:tcPr>
          <w:p w14:paraId="0E6C20C4" w14:textId="593A55EB" w:rsidR="00390173" w:rsidRPr="00390173" w:rsidRDefault="00390173" w:rsidP="00390173">
            <w:pPr>
              <w:spacing w:line="360" w:lineRule="auto"/>
              <w:textAlignment w:val="center"/>
              <w:rPr>
                <w:rFonts w:ascii="Book Antiqua" w:hAnsi="Book Antiqua"/>
                <w:b/>
                <w:bCs/>
                <w:lang w:eastAsia="zh-Hans" w:bidi="ar"/>
              </w:rPr>
            </w:pPr>
            <w:r w:rsidRPr="00390173">
              <w:rPr>
                <w:rFonts w:ascii="Book Antiqua" w:hAnsi="Book Antiqua"/>
                <w:b/>
                <w:bCs/>
                <w:i/>
                <w:iCs/>
                <w:lang w:eastAsia="zh-Hans" w:bidi="ar"/>
              </w:rPr>
              <w:t xml:space="preserve">P </w:t>
            </w:r>
            <w:r w:rsidRPr="00390173">
              <w:rPr>
                <w:rFonts w:ascii="Book Antiqua" w:hAnsi="Book Antiqua"/>
                <w:b/>
                <w:bCs/>
                <w:lang w:eastAsia="zh-Hans" w:bidi="ar"/>
              </w:rPr>
              <w:t>value</w:t>
            </w:r>
          </w:p>
        </w:tc>
      </w:tr>
      <w:tr w:rsidR="00390173" w:rsidRPr="00390173" w14:paraId="018E221F" w14:textId="6531A6CD" w:rsidTr="00390173">
        <w:tc>
          <w:tcPr>
            <w:tcW w:w="2850" w:type="dxa"/>
            <w:tcBorders>
              <w:top w:val="single" w:sz="4" w:space="0" w:color="auto"/>
            </w:tcBorders>
            <w:shd w:val="clear" w:color="auto" w:fill="auto"/>
          </w:tcPr>
          <w:p w14:paraId="5950EC4C" w14:textId="77777777" w:rsidR="00390173" w:rsidRPr="00390173" w:rsidRDefault="00390173" w:rsidP="00390173">
            <w:pPr>
              <w:spacing w:line="360" w:lineRule="auto"/>
              <w:textAlignment w:val="center"/>
              <w:rPr>
                <w:rFonts w:ascii="Book Antiqua" w:hAnsi="Book Antiqua"/>
              </w:rPr>
            </w:pPr>
            <w:r w:rsidRPr="00390173">
              <w:rPr>
                <w:rFonts w:ascii="Book Antiqua" w:hAnsi="Book Antiqua"/>
              </w:rPr>
              <w:t>Age</w:t>
            </w:r>
            <w:r w:rsidRPr="00390173">
              <w:rPr>
                <w:rFonts w:ascii="Book Antiqua" w:hAnsi="Book Antiqua"/>
                <w:lang w:eastAsia="zh-Hans" w:bidi="ar"/>
              </w:rPr>
              <w:t xml:space="preserve"> (</w:t>
            </w:r>
            <w:proofErr w:type="spellStart"/>
            <w:r w:rsidRPr="00390173">
              <w:rPr>
                <w:rFonts w:ascii="Book Antiqua" w:hAnsi="Book Antiqua"/>
                <w:lang w:eastAsia="zh-Hans" w:bidi="ar"/>
              </w:rPr>
              <w:t>yr</w:t>
            </w:r>
            <w:proofErr w:type="spellEnd"/>
            <w:r w:rsidRPr="00390173">
              <w:rPr>
                <w:rFonts w:ascii="Book Antiqua" w:hAnsi="Book Antiqua"/>
                <w:lang w:eastAsia="zh-Hans" w:bidi="ar"/>
              </w:rPr>
              <w:t>)</w:t>
            </w:r>
          </w:p>
        </w:tc>
        <w:tc>
          <w:tcPr>
            <w:tcW w:w="2127" w:type="dxa"/>
            <w:tcBorders>
              <w:top w:val="single" w:sz="4" w:space="0" w:color="auto"/>
            </w:tcBorders>
            <w:shd w:val="clear" w:color="auto" w:fill="auto"/>
          </w:tcPr>
          <w:p w14:paraId="10860C2F" w14:textId="457D5ACB"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46.6 ± 11.6</w:t>
            </w:r>
          </w:p>
        </w:tc>
        <w:tc>
          <w:tcPr>
            <w:tcW w:w="2693" w:type="dxa"/>
            <w:tcBorders>
              <w:top w:val="single" w:sz="4" w:space="0" w:color="auto"/>
            </w:tcBorders>
          </w:tcPr>
          <w:p w14:paraId="2D2D0853" w14:textId="1439E19F"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47.9</w:t>
            </w:r>
            <w:r w:rsidR="00996D2E">
              <w:rPr>
                <w:rFonts w:ascii="Book Antiqua" w:hAnsi="Book Antiqua"/>
                <w:lang w:bidi="ar"/>
              </w:rPr>
              <w:t xml:space="preserve"> </w:t>
            </w:r>
            <w:r w:rsidRPr="00390173">
              <w:rPr>
                <w:rFonts w:ascii="Book Antiqua" w:hAnsi="Book Antiqua"/>
                <w:lang w:bidi="ar"/>
              </w:rPr>
              <w:t>±</w:t>
            </w:r>
            <w:r w:rsidR="00996D2E">
              <w:rPr>
                <w:rFonts w:ascii="Book Antiqua" w:hAnsi="Book Antiqua"/>
                <w:lang w:bidi="ar"/>
              </w:rPr>
              <w:t xml:space="preserve"> </w:t>
            </w:r>
            <w:r w:rsidRPr="00390173">
              <w:rPr>
                <w:rFonts w:ascii="Book Antiqua" w:hAnsi="Book Antiqua"/>
                <w:lang w:bidi="ar"/>
              </w:rPr>
              <w:t>10.2</w:t>
            </w:r>
          </w:p>
        </w:tc>
        <w:tc>
          <w:tcPr>
            <w:tcW w:w="1720" w:type="dxa"/>
            <w:tcBorders>
              <w:top w:val="single" w:sz="4" w:space="0" w:color="auto"/>
            </w:tcBorders>
          </w:tcPr>
          <w:p w14:paraId="3CD8F362" w14:textId="281EED2B"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0.756</w:t>
            </w:r>
          </w:p>
        </w:tc>
      </w:tr>
      <w:tr w:rsidR="00390173" w:rsidRPr="00390173" w14:paraId="2E04984D" w14:textId="69FDBDC8" w:rsidTr="00390173">
        <w:tc>
          <w:tcPr>
            <w:tcW w:w="2850" w:type="dxa"/>
            <w:shd w:val="clear" w:color="auto" w:fill="auto"/>
          </w:tcPr>
          <w:p w14:paraId="44BFB7D5" w14:textId="77777777" w:rsidR="00390173" w:rsidRPr="00390173" w:rsidRDefault="00390173" w:rsidP="00390173">
            <w:pPr>
              <w:spacing w:line="360" w:lineRule="auto"/>
              <w:textAlignment w:val="center"/>
              <w:rPr>
                <w:rFonts w:ascii="Book Antiqua" w:hAnsi="Book Antiqua"/>
              </w:rPr>
            </w:pPr>
            <w:r w:rsidRPr="00390173">
              <w:rPr>
                <w:rFonts w:ascii="Book Antiqua" w:hAnsi="Book Antiqua"/>
              </w:rPr>
              <w:t>Gender</w:t>
            </w:r>
          </w:p>
        </w:tc>
        <w:tc>
          <w:tcPr>
            <w:tcW w:w="2127" w:type="dxa"/>
            <w:shd w:val="clear" w:color="auto" w:fill="auto"/>
          </w:tcPr>
          <w:p w14:paraId="09FC458B" w14:textId="77055830" w:rsidR="00390173" w:rsidRPr="00390173" w:rsidRDefault="00390173" w:rsidP="00390173">
            <w:pPr>
              <w:spacing w:line="360" w:lineRule="auto"/>
              <w:rPr>
                <w:rFonts w:ascii="Book Antiqua" w:hAnsi="Book Antiqua"/>
              </w:rPr>
            </w:pPr>
          </w:p>
        </w:tc>
        <w:tc>
          <w:tcPr>
            <w:tcW w:w="2693" w:type="dxa"/>
          </w:tcPr>
          <w:p w14:paraId="607F1158" w14:textId="77777777" w:rsidR="00390173" w:rsidRPr="00390173" w:rsidRDefault="00390173" w:rsidP="00390173">
            <w:pPr>
              <w:spacing w:line="360" w:lineRule="auto"/>
              <w:rPr>
                <w:rFonts w:ascii="Book Antiqua" w:hAnsi="Book Antiqua"/>
              </w:rPr>
            </w:pPr>
          </w:p>
        </w:tc>
        <w:tc>
          <w:tcPr>
            <w:tcW w:w="1720" w:type="dxa"/>
          </w:tcPr>
          <w:p w14:paraId="466690ED" w14:textId="059F975E" w:rsidR="00390173" w:rsidRPr="00390173" w:rsidRDefault="00390173" w:rsidP="00390173">
            <w:pPr>
              <w:spacing w:line="360" w:lineRule="auto"/>
              <w:rPr>
                <w:rFonts w:ascii="Book Antiqua" w:hAnsi="Book Antiqua"/>
              </w:rPr>
            </w:pPr>
            <w:r w:rsidRPr="00390173">
              <w:rPr>
                <w:rFonts w:ascii="Book Antiqua" w:hAnsi="Book Antiqua"/>
              </w:rPr>
              <w:t>1.000</w:t>
            </w:r>
          </w:p>
        </w:tc>
      </w:tr>
      <w:tr w:rsidR="00390173" w:rsidRPr="00390173" w14:paraId="7752EEA3" w14:textId="67D2A3D2" w:rsidTr="00390173">
        <w:tc>
          <w:tcPr>
            <w:tcW w:w="2850" w:type="dxa"/>
            <w:shd w:val="clear" w:color="auto" w:fill="auto"/>
          </w:tcPr>
          <w:p w14:paraId="01537B4C" w14:textId="77777777"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 xml:space="preserve">Female </w:t>
            </w:r>
          </w:p>
        </w:tc>
        <w:tc>
          <w:tcPr>
            <w:tcW w:w="2127" w:type="dxa"/>
            <w:shd w:val="clear" w:color="auto" w:fill="auto"/>
          </w:tcPr>
          <w:p w14:paraId="7AADC45C" w14:textId="3C13BE39"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4 (36.4)</w:t>
            </w:r>
          </w:p>
        </w:tc>
        <w:tc>
          <w:tcPr>
            <w:tcW w:w="2693" w:type="dxa"/>
          </w:tcPr>
          <w:p w14:paraId="16844FA1" w14:textId="4EB9396D"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5 (31.3)</w:t>
            </w:r>
          </w:p>
        </w:tc>
        <w:tc>
          <w:tcPr>
            <w:tcW w:w="1720" w:type="dxa"/>
          </w:tcPr>
          <w:p w14:paraId="16E39352" w14:textId="05C94C64" w:rsidR="00390173" w:rsidRPr="00390173" w:rsidRDefault="00390173" w:rsidP="00390173">
            <w:pPr>
              <w:spacing w:line="360" w:lineRule="auto"/>
              <w:textAlignment w:val="center"/>
              <w:rPr>
                <w:rFonts w:ascii="Book Antiqua" w:hAnsi="Book Antiqua"/>
                <w:lang w:bidi="ar"/>
              </w:rPr>
            </w:pPr>
          </w:p>
        </w:tc>
      </w:tr>
      <w:tr w:rsidR="00390173" w:rsidRPr="00390173" w14:paraId="3CD78419" w14:textId="33977713" w:rsidTr="00390173">
        <w:tc>
          <w:tcPr>
            <w:tcW w:w="2850" w:type="dxa"/>
            <w:shd w:val="clear" w:color="auto" w:fill="auto"/>
          </w:tcPr>
          <w:p w14:paraId="4399DA47" w14:textId="77777777"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Male</w:t>
            </w:r>
          </w:p>
        </w:tc>
        <w:tc>
          <w:tcPr>
            <w:tcW w:w="2127" w:type="dxa"/>
            <w:shd w:val="clear" w:color="auto" w:fill="auto"/>
          </w:tcPr>
          <w:p w14:paraId="0057A166" w14:textId="6494D09B"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7 (63.6)</w:t>
            </w:r>
          </w:p>
        </w:tc>
        <w:tc>
          <w:tcPr>
            <w:tcW w:w="2693" w:type="dxa"/>
          </w:tcPr>
          <w:p w14:paraId="3C64400A" w14:textId="73497830"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11 (68.8)</w:t>
            </w:r>
          </w:p>
        </w:tc>
        <w:tc>
          <w:tcPr>
            <w:tcW w:w="1720" w:type="dxa"/>
          </w:tcPr>
          <w:p w14:paraId="54BFD5EA" w14:textId="6CEF88E9" w:rsidR="00390173" w:rsidRPr="00390173" w:rsidRDefault="00390173" w:rsidP="00390173">
            <w:pPr>
              <w:spacing w:line="360" w:lineRule="auto"/>
              <w:textAlignment w:val="center"/>
              <w:rPr>
                <w:rFonts w:ascii="Book Antiqua" w:hAnsi="Book Antiqua"/>
                <w:lang w:bidi="ar"/>
              </w:rPr>
            </w:pPr>
          </w:p>
        </w:tc>
      </w:tr>
      <w:tr w:rsidR="00390173" w:rsidRPr="00390173" w14:paraId="3B9CEF04" w14:textId="5E7E4CD2" w:rsidTr="00390173">
        <w:tc>
          <w:tcPr>
            <w:tcW w:w="2850" w:type="dxa"/>
            <w:shd w:val="clear" w:color="auto" w:fill="auto"/>
          </w:tcPr>
          <w:p w14:paraId="32F375D9" w14:textId="77777777" w:rsidR="00390173" w:rsidRPr="00390173" w:rsidRDefault="00390173" w:rsidP="00390173">
            <w:pPr>
              <w:spacing w:line="360" w:lineRule="auto"/>
              <w:textAlignment w:val="center"/>
              <w:rPr>
                <w:rFonts w:ascii="Book Antiqua" w:hAnsi="Book Antiqua"/>
                <w:lang w:eastAsia="zh-Hans"/>
              </w:rPr>
            </w:pPr>
            <w:r w:rsidRPr="00390173">
              <w:rPr>
                <w:rFonts w:ascii="Book Antiqua" w:hAnsi="Book Antiqua"/>
                <w:lang w:eastAsia="zh-Hans"/>
              </w:rPr>
              <w:t>Etiology</w:t>
            </w:r>
          </w:p>
        </w:tc>
        <w:tc>
          <w:tcPr>
            <w:tcW w:w="2127" w:type="dxa"/>
            <w:shd w:val="clear" w:color="auto" w:fill="auto"/>
          </w:tcPr>
          <w:p w14:paraId="40FCC1A0" w14:textId="41C967F6" w:rsidR="00390173" w:rsidRPr="00390173" w:rsidRDefault="00390173" w:rsidP="00390173">
            <w:pPr>
              <w:spacing w:line="360" w:lineRule="auto"/>
              <w:rPr>
                <w:rFonts w:ascii="Book Antiqua" w:hAnsi="Book Antiqua"/>
              </w:rPr>
            </w:pPr>
          </w:p>
        </w:tc>
        <w:tc>
          <w:tcPr>
            <w:tcW w:w="2693" w:type="dxa"/>
          </w:tcPr>
          <w:p w14:paraId="3FA0FBB2" w14:textId="77777777" w:rsidR="00390173" w:rsidRPr="00390173" w:rsidRDefault="00390173" w:rsidP="00390173">
            <w:pPr>
              <w:spacing w:line="360" w:lineRule="auto"/>
              <w:rPr>
                <w:rFonts w:ascii="Book Antiqua" w:hAnsi="Book Antiqua"/>
              </w:rPr>
            </w:pPr>
          </w:p>
        </w:tc>
        <w:tc>
          <w:tcPr>
            <w:tcW w:w="1720" w:type="dxa"/>
          </w:tcPr>
          <w:p w14:paraId="2E55F3D3" w14:textId="3DCD6022" w:rsidR="00390173" w:rsidRPr="00390173" w:rsidRDefault="00390173" w:rsidP="00390173">
            <w:pPr>
              <w:spacing w:line="360" w:lineRule="auto"/>
              <w:rPr>
                <w:rFonts w:ascii="Book Antiqua" w:hAnsi="Book Antiqua"/>
              </w:rPr>
            </w:pPr>
            <w:r w:rsidRPr="00390173">
              <w:rPr>
                <w:rFonts w:ascii="Book Antiqua" w:hAnsi="Book Antiqua"/>
              </w:rPr>
              <w:t>0.932</w:t>
            </w:r>
          </w:p>
        </w:tc>
      </w:tr>
      <w:tr w:rsidR="00390173" w:rsidRPr="00390173" w14:paraId="7653C326" w14:textId="3277AFD5" w:rsidTr="00390173">
        <w:tc>
          <w:tcPr>
            <w:tcW w:w="2850" w:type="dxa"/>
            <w:shd w:val="clear" w:color="auto" w:fill="auto"/>
          </w:tcPr>
          <w:p w14:paraId="0E8A48C5" w14:textId="0D21CC1E"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Pancreatitis</w:t>
            </w:r>
          </w:p>
        </w:tc>
        <w:tc>
          <w:tcPr>
            <w:tcW w:w="2127" w:type="dxa"/>
            <w:shd w:val="clear" w:color="auto" w:fill="auto"/>
          </w:tcPr>
          <w:p w14:paraId="6A1658A6" w14:textId="520B67AF"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2 (18.1)</w:t>
            </w:r>
          </w:p>
        </w:tc>
        <w:tc>
          <w:tcPr>
            <w:tcW w:w="2693" w:type="dxa"/>
          </w:tcPr>
          <w:p w14:paraId="6B83D6FB" w14:textId="6787711E"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3 (18.8)</w:t>
            </w:r>
          </w:p>
        </w:tc>
        <w:tc>
          <w:tcPr>
            <w:tcW w:w="1720" w:type="dxa"/>
          </w:tcPr>
          <w:p w14:paraId="34A1517A" w14:textId="1DE4BF19" w:rsidR="00390173" w:rsidRPr="00390173" w:rsidRDefault="00390173" w:rsidP="00390173">
            <w:pPr>
              <w:spacing w:line="360" w:lineRule="auto"/>
              <w:textAlignment w:val="center"/>
              <w:rPr>
                <w:rFonts w:ascii="Book Antiqua" w:hAnsi="Book Antiqua"/>
                <w:lang w:bidi="ar"/>
              </w:rPr>
            </w:pPr>
          </w:p>
        </w:tc>
      </w:tr>
      <w:tr w:rsidR="00390173" w:rsidRPr="00390173" w14:paraId="06299C3A" w14:textId="2BBF79A8" w:rsidTr="00390173">
        <w:tc>
          <w:tcPr>
            <w:tcW w:w="2850" w:type="dxa"/>
            <w:shd w:val="clear" w:color="auto" w:fill="auto"/>
          </w:tcPr>
          <w:p w14:paraId="067289C3" w14:textId="2B3C4859"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Pancreatic</w:t>
            </w:r>
            <w:r>
              <w:rPr>
                <w:rFonts w:ascii="Book Antiqua" w:hAnsi="Book Antiqua"/>
              </w:rPr>
              <w:t xml:space="preserve"> </w:t>
            </w:r>
            <w:r w:rsidRPr="00390173">
              <w:rPr>
                <w:rFonts w:ascii="Book Antiqua" w:hAnsi="Book Antiqua"/>
              </w:rPr>
              <w:t>pseudocyst</w:t>
            </w:r>
          </w:p>
        </w:tc>
        <w:tc>
          <w:tcPr>
            <w:tcW w:w="2127" w:type="dxa"/>
            <w:shd w:val="clear" w:color="auto" w:fill="auto"/>
          </w:tcPr>
          <w:p w14:paraId="731BA22D" w14:textId="2C0748BE"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4 (36.4)</w:t>
            </w:r>
          </w:p>
        </w:tc>
        <w:tc>
          <w:tcPr>
            <w:tcW w:w="2693" w:type="dxa"/>
          </w:tcPr>
          <w:p w14:paraId="64ECA926" w14:textId="64690590"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4 (25.0)</w:t>
            </w:r>
          </w:p>
        </w:tc>
        <w:tc>
          <w:tcPr>
            <w:tcW w:w="1720" w:type="dxa"/>
          </w:tcPr>
          <w:p w14:paraId="6BAAEEAE" w14:textId="3BDB3E2A" w:rsidR="00390173" w:rsidRPr="00390173" w:rsidRDefault="00390173" w:rsidP="00390173">
            <w:pPr>
              <w:spacing w:line="360" w:lineRule="auto"/>
              <w:textAlignment w:val="center"/>
              <w:rPr>
                <w:rFonts w:ascii="Book Antiqua" w:hAnsi="Book Antiqua"/>
                <w:lang w:bidi="ar"/>
              </w:rPr>
            </w:pPr>
          </w:p>
        </w:tc>
      </w:tr>
      <w:tr w:rsidR="00390173" w:rsidRPr="00390173" w14:paraId="6DFDB84A" w14:textId="17938273" w:rsidTr="00390173">
        <w:tc>
          <w:tcPr>
            <w:tcW w:w="2850" w:type="dxa"/>
            <w:shd w:val="clear" w:color="auto" w:fill="auto"/>
          </w:tcPr>
          <w:p w14:paraId="055B0490" w14:textId="77777777"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Walled-off necrosis</w:t>
            </w:r>
          </w:p>
        </w:tc>
        <w:tc>
          <w:tcPr>
            <w:tcW w:w="2127" w:type="dxa"/>
            <w:shd w:val="clear" w:color="auto" w:fill="auto"/>
          </w:tcPr>
          <w:p w14:paraId="0FCAB13A" w14:textId="6D733DC4"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4 (36.4)</w:t>
            </w:r>
          </w:p>
        </w:tc>
        <w:tc>
          <w:tcPr>
            <w:tcW w:w="2693" w:type="dxa"/>
          </w:tcPr>
          <w:p w14:paraId="3F789759" w14:textId="62F50950"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8 (50.0)</w:t>
            </w:r>
          </w:p>
        </w:tc>
        <w:tc>
          <w:tcPr>
            <w:tcW w:w="1720" w:type="dxa"/>
          </w:tcPr>
          <w:p w14:paraId="1100255C" w14:textId="6621F31D" w:rsidR="00390173" w:rsidRPr="00390173" w:rsidRDefault="00390173" w:rsidP="00390173">
            <w:pPr>
              <w:spacing w:line="360" w:lineRule="auto"/>
              <w:textAlignment w:val="center"/>
              <w:rPr>
                <w:rFonts w:ascii="Book Antiqua" w:hAnsi="Book Antiqua"/>
                <w:lang w:bidi="ar"/>
              </w:rPr>
            </w:pPr>
          </w:p>
        </w:tc>
      </w:tr>
      <w:tr w:rsidR="00390173" w:rsidRPr="00390173" w14:paraId="3E0F4595" w14:textId="4DA5FB02" w:rsidTr="00390173">
        <w:tc>
          <w:tcPr>
            <w:tcW w:w="2850" w:type="dxa"/>
            <w:tcBorders>
              <w:bottom w:val="single" w:sz="4" w:space="0" w:color="auto"/>
            </w:tcBorders>
            <w:shd w:val="clear" w:color="auto" w:fill="auto"/>
          </w:tcPr>
          <w:p w14:paraId="3993CDE5" w14:textId="77777777" w:rsidR="00390173" w:rsidRPr="00390173" w:rsidRDefault="00390173" w:rsidP="00390173">
            <w:pPr>
              <w:spacing w:line="360" w:lineRule="auto"/>
              <w:ind w:firstLineChars="100" w:firstLine="240"/>
              <w:textAlignment w:val="center"/>
              <w:rPr>
                <w:rFonts w:ascii="Book Antiqua" w:hAnsi="Book Antiqua"/>
              </w:rPr>
            </w:pPr>
            <w:r w:rsidRPr="00390173">
              <w:rPr>
                <w:rFonts w:ascii="Book Antiqua" w:hAnsi="Book Antiqua"/>
              </w:rPr>
              <w:t>Pancreatic tumors</w:t>
            </w:r>
          </w:p>
        </w:tc>
        <w:tc>
          <w:tcPr>
            <w:tcW w:w="2127" w:type="dxa"/>
            <w:tcBorders>
              <w:bottom w:val="single" w:sz="4" w:space="0" w:color="auto"/>
            </w:tcBorders>
            <w:shd w:val="clear" w:color="auto" w:fill="auto"/>
          </w:tcPr>
          <w:p w14:paraId="764E89F4" w14:textId="7473FDB9" w:rsidR="00390173" w:rsidRPr="00390173" w:rsidRDefault="00390173" w:rsidP="00390173">
            <w:pPr>
              <w:spacing w:line="360" w:lineRule="auto"/>
              <w:textAlignment w:val="center"/>
              <w:rPr>
                <w:rFonts w:ascii="Book Antiqua" w:hAnsi="Book Antiqua"/>
              </w:rPr>
            </w:pPr>
            <w:r w:rsidRPr="00390173">
              <w:rPr>
                <w:rFonts w:ascii="Book Antiqua" w:hAnsi="Book Antiqua"/>
                <w:lang w:bidi="ar"/>
              </w:rPr>
              <w:t>1 (9.1)</w:t>
            </w:r>
          </w:p>
        </w:tc>
        <w:tc>
          <w:tcPr>
            <w:tcW w:w="2693" w:type="dxa"/>
            <w:tcBorders>
              <w:bottom w:val="single" w:sz="4" w:space="0" w:color="auto"/>
            </w:tcBorders>
          </w:tcPr>
          <w:p w14:paraId="59AD2D83" w14:textId="0D619A95" w:rsidR="00390173" w:rsidRPr="00390173" w:rsidRDefault="00390173" w:rsidP="00390173">
            <w:pPr>
              <w:spacing w:line="360" w:lineRule="auto"/>
              <w:textAlignment w:val="center"/>
              <w:rPr>
                <w:rFonts w:ascii="Book Antiqua" w:hAnsi="Book Antiqua"/>
                <w:lang w:bidi="ar"/>
              </w:rPr>
            </w:pPr>
            <w:r w:rsidRPr="00390173">
              <w:rPr>
                <w:rFonts w:ascii="Book Antiqua" w:hAnsi="Book Antiqua"/>
                <w:lang w:bidi="ar"/>
              </w:rPr>
              <w:t>1 (6.2)</w:t>
            </w:r>
          </w:p>
        </w:tc>
        <w:tc>
          <w:tcPr>
            <w:tcW w:w="1720" w:type="dxa"/>
            <w:tcBorders>
              <w:bottom w:val="single" w:sz="4" w:space="0" w:color="auto"/>
            </w:tcBorders>
          </w:tcPr>
          <w:p w14:paraId="739B6B97" w14:textId="1052F5D2" w:rsidR="00390173" w:rsidRPr="00390173" w:rsidRDefault="00390173" w:rsidP="00390173">
            <w:pPr>
              <w:spacing w:line="360" w:lineRule="auto"/>
              <w:textAlignment w:val="center"/>
              <w:rPr>
                <w:rFonts w:ascii="Book Antiqua" w:hAnsi="Book Antiqua"/>
                <w:lang w:bidi="ar"/>
              </w:rPr>
            </w:pPr>
          </w:p>
        </w:tc>
      </w:tr>
    </w:tbl>
    <w:p w14:paraId="5A15BE26" w14:textId="52822ADA" w:rsidR="00390173" w:rsidRDefault="00390173">
      <w:pPr>
        <w:spacing w:line="360" w:lineRule="auto"/>
        <w:jc w:val="both"/>
      </w:pPr>
    </w:p>
    <w:p w14:paraId="3D892CA2" w14:textId="6A58BDF5" w:rsidR="00390173" w:rsidRDefault="00390173">
      <w:pPr>
        <w:spacing w:line="360" w:lineRule="auto"/>
        <w:jc w:val="both"/>
        <w:rPr>
          <w:rFonts w:ascii="Book Antiqua" w:hAnsi="Book Antiqua"/>
          <w:b/>
          <w:bCs/>
        </w:rPr>
      </w:pPr>
      <w:r>
        <w:br w:type="page"/>
      </w:r>
      <w:r w:rsidRPr="00390173">
        <w:rPr>
          <w:rFonts w:ascii="Book Antiqua" w:hAnsi="Book Antiqua"/>
          <w:b/>
          <w:bCs/>
        </w:rPr>
        <w:lastRenderedPageBreak/>
        <w:t xml:space="preserve">Table 2 Endoscopic operation and follow-up data of two groups, </w:t>
      </w:r>
      <w:r w:rsidRPr="00390173">
        <w:rPr>
          <w:rFonts w:ascii="Book Antiqua" w:hAnsi="Book Antiqua"/>
          <w:b/>
          <w:bCs/>
          <w:i/>
          <w:iCs/>
        </w:rPr>
        <w:t>n</w:t>
      </w:r>
      <w:r w:rsidRPr="00390173">
        <w:rPr>
          <w:rFonts w:ascii="Book Antiqua" w:hAnsi="Book Antiqua"/>
          <w:b/>
          <w:bCs/>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57"/>
        <w:gridCol w:w="2269"/>
        <w:gridCol w:w="2484"/>
        <w:gridCol w:w="1350"/>
      </w:tblGrid>
      <w:tr w:rsidR="008323D3" w:rsidRPr="00390173" w14:paraId="21141B65" w14:textId="198FC903" w:rsidTr="008323D3">
        <w:tc>
          <w:tcPr>
            <w:tcW w:w="0" w:type="auto"/>
            <w:tcBorders>
              <w:top w:val="single" w:sz="4" w:space="0" w:color="auto"/>
              <w:bottom w:val="single" w:sz="4" w:space="0" w:color="auto"/>
            </w:tcBorders>
            <w:shd w:val="clear" w:color="auto" w:fill="auto"/>
          </w:tcPr>
          <w:p w14:paraId="4D99D126" w14:textId="77777777" w:rsidR="008323D3" w:rsidRPr="00390173" w:rsidRDefault="008323D3" w:rsidP="00390173">
            <w:pPr>
              <w:spacing w:line="360" w:lineRule="auto"/>
              <w:textAlignment w:val="center"/>
              <w:rPr>
                <w:rFonts w:ascii="Book Antiqua" w:hAnsi="Book Antiqua"/>
                <w:b/>
                <w:bCs/>
                <w:lang w:eastAsia="zh-Hans" w:bidi="ar"/>
              </w:rPr>
            </w:pPr>
            <w:r w:rsidRPr="00390173">
              <w:rPr>
                <w:rFonts w:ascii="Book Antiqua" w:hAnsi="Book Antiqua"/>
                <w:b/>
                <w:bCs/>
                <w:lang w:eastAsia="zh-Hans" w:bidi="ar"/>
              </w:rPr>
              <w:t>Value</w:t>
            </w:r>
          </w:p>
        </w:tc>
        <w:tc>
          <w:tcPr>
            <w:tcW w:w="1212" w:type="pct"/>
            <w:tcBorders>
              <w:top w:val="single" w:sz="4" w:space="0" w:color="auto"/>
              <w:bottom w:val="single" w:sz="4" w:space="0" w:color="auto"/>
            </w:tcBorders>
            <w:shd w:val="clear" w:color="auto" w:fill="auto"/>
          </w:tcPr>
          <w:p w14:paraId="20F98FF3" w14:textId="3DCE61BE" w:rsidR="008323D3" w:rsidRPr="00390173" w:rsidRDefault="008323D3" w:rsidP="00390173">
            <w:pPr>
              <w:spacing w:line="360" w:lineRule="auto"/>
              <w:textAlignment w:val="center"/>
              <w:rPr>
                <w:rFonts w:ascii="Book Antiqua" w:hAnsi="Book Antiqua"/>
                <w:b/>
                <w:bCs/>
                <w:lang w:eastAsia="zh-Hans" w:bidi="ar"/>
              </w:rPr>
            </w:pPr>
            <w:r w:rsidRPr="00390173">
              <w:rPr>
                <w:rFonts w:ascii="Book Antiqua" w:hAnsi="Book Antiqua"/>
                <w:b/>
                <w:bCs/>
                <w:lang w:eastAsia="zh-Hans" w:bidi="ar"/>
              </w:rPr>
              <w:t xml:space="preserve">Modified group </w:t>
            </w:r>
            <w:r w:rsidRPr="00390173">
              <w:rPr>
                <w:rFonts w:ascii="Book Antiqua" w:hAnsi="Book Antiqua"/>
                <w:b/>
                <w:bCs/>
                <w:lang w:bidi="ar"/>
              </w:rPr>
              <w:t>(</w:t>
            </w:r>
            <w:r w:rsidRPr="008323D3">
              <w:rPr>
                <w:rFonts w:ascii="Book Antiqua" w:hAnsi="Book Antiqua"/>
                <w:b/>
                <w:bCs/>
                <w:i/>
                <w:iCs/>
                <w:lang w:eastAsia="zh-Hans" w:bidi="ar"/>
              </w:rPr>
              <w:t>n</w:t>
            </w:r>
            <w:r>
              <w:rPr>
                <w:rFonts w:ascii="Book Antiqua" w:hAnsi="Book Antiqua"/>
                <w:b/>
                <w:bCs/>
                <w:lang w:eastAsia="zh-Hans" w:bidi="ar"/>
              </w:rPr>
              <w:t xml:space="preserve"> </w:t>
            </w:r>
            <w:r w:rsidRPr="00390173">
              <w:rPr>
                <w:rFonts w:ascii="Book Antiqua" w:hAnsi="Book Antiqua"/>
                <w:b/>
                <w:bCs/>
                <w:lang w:eastAsia="zh-Hans" w:bidi="ar"/>
              </w:rPr>
              <w:t>=</w:t>
            </w:r>
            <w:r>
              <w:rPr>
                <w:rFonts w:ascii="Book Antiqua" w:hAnsi="Book Antiqua"/>
                <w:b/>
                <w:bCs/>
                <w:lang w:eastAsia="zh-Hans" w:bidi="ar"/>
              </w:rPr>
              <w:t xml:space="preserve"> </w:t>
            </w:r>
            <w:r w:rsidRPr="00390173">
              <w:rPr>
                <w:rFonts w:ascii="Book Antiqua" w:hAnsi="Book Antiqua"/>
                <w:b/>
                <w:bCs/>
                <w:lang w:eastAsia="zh-Hans" w:bidi="ar"/>
              </w:rPr>
              <w:t>11)</w:t>
            </w:r>
          </w:p>
        </w:tc>
        <w:tc>
          <w:tcPr>
            <w:tcW w:w="1327" w:type="pct"/>
            <w:tcBorders>
              <w:top w:val="single" w:sz="4" w:space="0" w:color="auto"/>
              <w:bottom w:val="single" w:sz="4" w:space="0" w:color="auto"/>
            </w:tcBorders>
          </w:tcPr>
          <w:p w14:paraId="5EA8AEE4" w14:textId="5522B1C4" w:rsidR="008323D3" w:rsidRPr="00390173" w:rsidRDefault="008323D3" w:rsidP="00390173">
            <w:pPr>
              <w:spacing w:line="360" w:lineRule="auto"/>
              <w:textAlignment w:val="center"/>
              <w:rPr>
                <w:rFonts w:ascii="Book Antiqua" w:hAnsi="Book Antiqua"/>
                <w:b/>
                <w:bCs/>
                <w:lang w:eastAsia="zh-Hans" w:bidi="ar"/>
              </w:rPr>
            </w:pPr>
            <w:r w:rsidRPr="00390173">
              <w:rPr>
                <w:rFonts w:ascii="Book Antiqua" w:hAnsi="Book Antiqua"/>
                <w:b/>
                <w:bCs/>
              </w:rPr>
              <w:t>Conventional</w:t>
            </w:r>
            <w:r w:rsidRPr="00390173">
              <w:rPr>
                <w:rFonts w:ascii="Book Antiqua" w:hAnsi="Book Antiqua"/>
              </w:rPr>
              <w:t xml:space="preserve"> </w:t>
            </w:r>
            <w:r w:rsidRPr="00390173">
              <w:rPr>
                <w:rFonts w:ascii="Book Antiqua" w:hAnsi="Book Antiqua"/>
                <w:b/>
                <w:bCs/>
                <w:lang w:eastAsia="zh-Hans" w:bidi="ar"/>
              </w:rPr>
              <w:t>group (</w:t>
            </w:r>
            <w:r w:rsidRPr="008323D3">
              <w:rPr>
                <w:rFonts w:ascii="Book Antiqua" w:hAnsi="Book Antiqua"/>
                <w:b/>
                <w:bCs/>
                <w:i/>
                <w:iCs/>
                <w:lang w:eastAsia="zh-Hans" w:bidi="ar"/>
              </w:rPr>
              <w:t>n</w:t>
            </w:r>
            <w:r>
              <w:rPr>
                <w:rFonts w:ascii="Book Antiqua" w:hAnsi="Book Antiqua"/>
                <w:b/>
                <w:bCs/>
                <w:lang w:eastAsia="zh-Hans" w:bidi="ar"/>
              </w:rPr>
              <w:t xml:space="preserve"> </w:t>
            </w:r>
            <w:r w:rsidRPr="00390173">
              <w:rPr>
                <w:rFonts w:ascii="Book Antiqua" w:hAnsi="Book Antiqua"/>
                <w:b/>
                <w:bCs/>
                <w:lang w:eastAsia="zh-Hans" w:bidi="ar"/>
              </w:rPr>
              <w:t>=</w:t>
            </w:r>
            <w:r>
              <w:rPr>
                <w:rFonts w:ascii="Book Antiqua" w:hAnsi="Book Antiqua"/>
                <w:b/>
                <w:bCs/>
                <w:lang w:eastAsia="zh-Hans" w:bidi="ar"/>
              </w:rPr>
              <w:t xml:space="preserve"> </w:t>
            </w:r>
            <w:r w:rsidRPr="00390173">
              <w:rPr>
                <w:rFonts w:ascii="Book Antiqua" w:hAnsi="Book Antiqua"/>
                <w:b/>
                <w:bCs/>
                <w:lang w:eastAsia="zh-Hans" w:bidi="ar"/>
              </w:rPr>
              <w:t>16)</w:t>
            </w:r>
          </w:p>
        </w:tc>
        <w:tc>
          <w:tcPr>
            <w:tcW w:w="721" w:type="pct"/>
            <w:tcBorders>
              <w:top w:val="single" w:sz="4" w:space="0" w:color="auto"/>
              <w:bottom w:val="single" w:sz="4" w:space="0" w:color="auto"/>
            </w:tcBorders>
          </w:tcPr>
          <w:p w14:paraId="3C1F3528" w14:textId="16CDFA73" w:rsidR="008323D3" w:rsidRPr="00390173" w:rsidRDefault="008323D3" w:rsidP="00390173">
            <w:pPr>
              <w:spacing w:line="360" w:lineRule="auto"/>
              <w:textAlignment w:val="center"/>
              <w:rPr>
                <w:rFonts w:ascii="Book Antiqua" w:hAnsi="Book Antiqua"/>
                <w:b/>
                <w:bCs/>
                <w:lang w:eastAsia="zh-Hans" w:bidi="ar"/>
              </w:rPr>
            </w:pPr>
            <w:r w:rsidRPr="00390173">
              <w:rPr>
                <w:rFonts w:ascii="Book Antiqua" w:hAnsi="Book Antiqua"/>
                <w:b/>
                <w:bCs/>
                <w:i/>
                <w:iCs/>
                <w:lang w:eastAsia="zh-Hans" w:bidi="ar"/>
              </w:rPr>
              <w:t xml:space="preserve">P </w:t>
            </w:r>
            <w:r w:rsidRPr="00390173">
              <w:rPr>
                <w:rFonts w:ascii="Book Antiqua" w:hAnsi="Book Antiqua"/>
                <w:b/>
                <w:bCs/>
                <w:lang w:eastAsia="zh-Hans" w:bidi="ar"/>
              </w:rPr>
              <w:t>value</w:t>
            </w:r>
          </w:p>
        </w:tc>
      </w:tr>
      <w:tr w:rsidR="008323D3" w:rsidRPr="00390173" w14:paraId="580FD429" w14:textId="14471ACC" w:rsidTr="008323D3">
        <w:tc>
          <w:tcPr>
            <w:tcW w:w="0" w:type="auto"/>
            <w:tcBorders>
              <w:top w:val="single" w:sz="4" w:space="0" w:color="auto"/>
            </w:tcBorders>
            <w:shd w:val="clear" w:color="auto" w:fill="auto"/>
          </w:tcPr>
          <w:p w14:paraId="1B6BBB6C" w14:textId="7777777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Technical success rates</w:t>
            </w:r>
          </w:p>
        </w:tc>
        <w:tc>
          <w:tcPr>
            <w:tcW w:w="1212" w:type="pct"/>
            <w:tcBorders>
              <w:top w:val="single" w:sz="4" w:space="0" w:color="auto"/>
            </w:tcBorders>
            <w:shd w:val="clear" w:color="auto" w:fill="auto"/>
          </w:tcPr>
          <w:p w14:paraId="0F01EDE3" w14:textId="10E03B33"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11/11 (100)</w:t>
            </w:r>
          </w:p>
        </w:tc>
        <w:tc>
          <w:tcPr>
            <w:tcW w:w="1327" w:type="pct"/>
            <w:tcBorders>
              <w:top w:val="single" w:sz="4" w:space="0" w:color="auto"/>
            </w:tcBorders>
          </w:tcPr>
          <w:p w14:paraId="2770CD7A" w14:textId="3A15C928"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16/16 (100</w:t>
            </w:r>
            <w:r>
              <w:rPr>
                <w:rFonts w:ascii="Book Antiqua" w:hAnsi="Book Antiqua"/>
                <w:lang w:bidi="ar"/>
              </w:rPr>
              <w:t>)</w:t>
            </w:r>
          </w:p>
        </w:tc>
        <w:tc>
          <w:tcPr>
            <w:tcW w:w="721" w:type="pct"/>
            <w:tcBorders>
              <w:top w:val="single" w:sz="4" w:space="0" w:color="auto"/>
            </w:tcBorders>
          </w:tcPr>
          <w:p w14:paraId="06DBC0BB" w14:textId="084A5A24" w:rsidR="008323D3" w:rsidRPr="00390173" w:rsidRDefault="008323D3" w:rsidP="008323D3">
            <w:pPr>
              <w:spacing w:line="360" w:lineRule="auto"/>
              <w:jc w:val="both"/>
              <w:textAlignment w:val="center"/>
              <w:rPr>
                <w:rFonts w:ascii="Book Antiqua" w:hAnsi="Book Antiqua"/>
                <w:lang w:bidi="ar"/>
              </w:rPr>
            </w:pPr>
          </w:p>
        </w:tc>
      </w:tr>
      <w:tr w:rsidR="008323D3" w:rsidRPr="00390173" w14:paraId="7A2D1106" w14:textId="377D7763" w:rsidTr="008323D3">
        <w:tc>
          <w:tcPr>
            <w:tcW w:w="0" w:type="auto"/>
            <w:shd w:val="clear" w:color="auto" w:fill="auto"/>
          </w:tcPr>
          <w:p w14:paraId="724B19A9" w14:textId="7777777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Clinical success rates</w:t>
            </w:r>
          </w:p>
        </w:tc>
        <w:tc>
          <w:tcPr>
            <w:tcW w:w="1212" w:type="pct"/>
            <w:shd w:val="clear" w:color="auto" w:fill="auto"/>
          </w:tcPr>
          <w:p w14:paraId="46245065" w14:textId="36106B92" w:rsidR="008323D3" w:rsidRPr="00390173" w:rsidRDefault="008323D3" w:rsidP="008323D3">
            <w:pPr>
              <w:spacing w:line="360" w:lineRule="auto"/>
              <w:jc w:val="both"/>
              <w:rPr>
                <w:rFonts w:ascii="Book Antiqua" w:hAnsi="Book Antiqua"/>
              </w:rPr>
            </w:pPr>
            <w:r w:rsidRPr="00390173">
              <w:rPr>
                <w:rFonts w:ascii="Book Antiqua" w:hAnsi="Book Antiqua"/>
              </w:rPr>
              <w:t xml:space="preserve">10/11 </w:t>
            </w:r>
            <w:r w:rsidRPr="00390173">
              <w:rPr>
                <w:rFonts w:ascii="Book Antiqua" w:hAnsi="Book Antiqua"/>
                <w:lang w:bidi="ar"/>
              </w:rPr>
              <w:t>(90.9)</w:t>
            </w:r>
          </w:p>
        </w:tc>
        <w:tc>
          <w:tcPr>
            <w:tcW w:w="1327" w:type="pct"/>
          </w:tcPr>
          <w:p w14:paraId="459A8E1A" w14:textId="4D577DB2" w:rsidR="008323D3" w:rsidRPr="00390173" w:rsidRDefault="008323D3" w:rsidP="008323D3">
            <w:pPr>
              <w:spacing w:line="360" w:lineRule="auto"/>
              <w:jc w:val="both"/>
              <w:rPr>
                <w:rFonts w:ascii="Book Antiqua" w:hAnsi="Book Antiqua"/>
              </w:rPr>
            </w:pPr>
            <w:r w:rsidRPr="00390173">
              <w:rPr>
                <w:rFonts w:ascii="Book Antiqua" w:hAnsi="Book Antiqua"/>
              </w:rPr>
              <w:t xml:space="preserve">16/16 </w:t>
            </w:r>
            <w:r w:rsidRPr="00390173">
              <w:rPr>
                <w:rFonts w:ascii="Book Antiqua" w:hAnsi="Book Antiqua"/>
                <w:lang w:bidi="ar"/>
              </w:rPr>
              <w:t>(100)</w:t>
            </w:r>
          </w:p>
        </w:tc>
        <w:tc>
          <w:tcPr>
            <w:tcW w:w="721" w:type="pct"/>
          </w:tcPr>
          <w:p w14:paraId="6359E64E" w14:textId="413DFCDF" w:rsidR="008323D3" w:rsidRPr="00390173" w:rsidRDefault="008323D3" w:rsidP="008323D3">
            <w:pPr>
              <w:spacing w:line="360" w:lineRule="auto"/>
              <w:jc w:val="both"/>
              <w:rPr>
                <w:rFonts w:ascii="Book Antiqua" w:hAnsi="Book Antiqua"/>
              </w:rPr>
            </w:pPr>
            <w:r w:rsidRPr="00390173">
              <w:rPr>
                <w:rFonts w:ascii="Book Antiqua" w:hAnsi="Book Antiqua"/>
              </w:rPr>
              <w:t>0.407</w:t>
            </w:r>
          </w:p>
        </w:tc>
      </w:tr>
      <w:tr w:rsidR="008323D3" w:rsidRPr="00390173" w14:paraId="64D94629" w14:textId="0AE53A45" w:rsidTr="008323D3">
        <w:tc>
          <w:tcPr>
            <w:tcW w:w="0" w:type="auto"/>
            <w:shd w:val="clear" w:color="auto" w:fill="auto"/>
          </w:tcPr>
          <w:p w14:paraId="2DF30752" w14:textId="2EFBA08C"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Operation time (min)</w:t>
            </w:r>
          </w:p>
        </w:tc>
        <w:tc>
          <w:tcPr>
            <w:tcW w:w="1212" w:type="pct"/>
            <w:shd w:val="clear" w:color="auto" w:fill="auto"/>
          </w:tcPr>
          <w:p w14:paraId="5F6C9D3E" w14:textId="3B0EEEF0" w:rsidR="008323D3" w:rsidRPr="00390173" w:rsidRDefault="008323D3" w:rsidP="008323D3">
            <w:pPr>
              <w:spacing w:line="360" w:lineRule="auto"/>
              <w:jc w:val="both"/>
              <w:textAlignment w:val="center"/>
              <w:rPr>
                <w:rFonts w:ascii="Book Antiqua" w:hAnsi="Book Antiqua"/>
              </w:rPr>
            </w:pPr>
            <w:r w:rsidRPr="00390173">
              <w:rPr>
                <w:rFonts w:ascii="Book Antiqua" w:hAnsi="Book Antiqua"/>
                <w:lang w:bidi="ar"/>
              </w:rPr>
              <w:t>71.9</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11.9</w:t>
            </w:r>
          </w:p>
        </w:tc>
        <w:tc>
          <w:tcPr>
            <w:tcW w:w="1327" w:type="pct"/>
          </w:tcPr>
          <w:p w14:paraId="20299E05" w14:textId="31FC60AE"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22.5</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6.7</w:t>
            </w:r>
          </w:p>
        </w:tc>
        <w:tc>
          <w:tcPr>
            <w:tcW w:w="721" w:type="pct"/>
          </w:tcPr>
          <w:p w14:paraId="16F92D2E" w14:textId="1DD9794B" w:rsidR="008323D3" w:rsidRPr="00390173" w:rsidRDefault="008323D3" w:rsidP="008323D3">
            <w:pPr>
              <w:spacing w:line="360" w:lineRule="auto"/>
              <w:jc w:val="both"/>
              <w:textAlignment w:val="center"/>
              <w:rPr>
                <w:rFonts w:ascii="Book Antiqua" w:hAnsi="Book Antiqua"/>
                <w:lang w:eastAsia="zh-CN" w:bidi="ar"/>
              </w:rPr>
            </w:pPr>
            <w:r>
              <w:rPr>
                <w:rFonts w:ascii="Book Antiqua" w:hAnsi="Book Antiqua" w:hint="eastAsia"/>
                <w:lang w:eastAsia="zh-CN" w:bidi="ar"/>
              </w:rPr>
              <w:t>&lt;</w:t>
            </w:r>
            <w:r>
              <w:rPr>
                <w:rFonts w:ascii="Book Antiqua" w:hAnsi="Book Antiqua"/>
                <w:lang w:eastAsia="zh-CN" w:bidi="ar"/>
              </w:rPr>
              <w:t xml:space="preserve"> </w:t>
            </w:r>
            <w:r w:rsidRPr="00390173">
              <w:rPr>
                <w:rFonts w:ascii="Book Antiqua" w:hAnsi="Book Antiqua"/>
                <w:lang w:bidi="ar"/>
              </w:rPr>
              <w:t>0.001</w:t>
            </w:r>
          </w:p>
        </w:tc>
      </w:tr>
      <w:tr w:rsidR="008323D3" w:rsidRPr="00390173" w14:paraId="7D2E7987" w14:textId="7046F574" w:rsidTr="008323D3">
        <w:tc>
          <w:tcPr>
            <w:tcW w:w="0" w:type="auto"/>
            <w:shd w:val="clear" w:color="auto" w:fill="auto"/>
          </w:tcPr>
          <w:p w14:paraId="7E658FA6" w14:textId="7777777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NBC doses (mL)</w:t>
            </w:r>
          </w:p>
        </w:tc>
        <w:tc>
          <w:tcPr>
            <w:tcW w:w="1212" w:type="pct"/>
            <w:shd w:val="clear" w:color="auto" w:fill="auto"/>
          </w:tcPr>
          <w:p w14:paraId="1944BDB5" w14:textId="2D444354" w:rsidR="008323D3" w:rsidRPr="00390173" w:rsidRDefault="008323D3" w:rsidP="008323D3">
            <w:pPr>
              <w:spacing w:line="360" w:lineRule="auto"/>
              <w:jc w:val="both"/>
              <w:textAlignment w:val="center"/>
              <w:rPr>
                <w:rFonts w:ascii="Book Antiqua" w:hAnsi="Book Antiqua"/>
              </w:rPr>
            </w:pPr>
            <w:r w:rsidRPr="00390173">
              <w:rPr>
                <w:rFonts w:ascii="Book Antiqua" w:hAnsi="Book Antiqua"/>
                <w:lang w:bidi="ar"/>
              </w:rPr>
              <w:t>2.0</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0.6</w:t>
            </w:r>
          </w:p>
        </w:tc>
        <w:tc>
          <w:tcPr>
            <w:tcW w:w="1327" w:type="pct"/>
          </w:tcPr>
          <w:p w14:paraId="4E597623" w14:textId="25BA4EBC"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3.1</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1.0</w:t>
            </w:r>
          </w:p>
        </w:tc>
        <w:tc>
          <w:tcPr>
            <w:tcW w:w="721" w:type="pct"/>
          </w:tcPr>
          <w:p w14:paraId="6D4368BC" w14:textId="7564E6AF"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0.004</w:t>
            </w:r>
          </w:p>
        </w:tc>
      </w:tr>
      <w:tr w:rsidR="008323D3" w:rsidRPr="00390173" w14:paraId="4B0F3945" w14:textId="4E15EF67" w:rsidTr="008323D3">
        <w:tc>
          <w:tcPr>
            <w:tcW w:w="0" w:type="auto"/>
            <w:shd w:val="clear" w:color="auto" w:fill="auto"/>
          </w:tcPr>
          <w:p w14:paraId="7AF939C2" w14:textId="77777777" w:rsidR="008323D3" w:rsidRPr="00390173" w:rsidRDefault="008323D3" w:rsidP="008323D3">
            <w:pPr>
              <w:spacing w:line="360" w:lineRule="auto"/>
              <w:jc w:val="both"/>
              <w:textAlignment w:val="center"/>
              <w:rPr>
                <w:rFonts w:ascii="Book Antiqua" w:hAnsi="Book Antiqua"/>
                <w:lang w:eastAsia="zh-Hans"/>
              </w:rPr>
            </w:pPr>
            <w:r w:rsidRPr="00390173">
              <w:rPr>
                <w:rFonts w:ascii="Book Antiqua" w:hAnsi="Book Antiqua"/>
                <w:lang w:eastAsia="zh-Hans"/>
              </w:rPr>
              <w:t>Perioperative complications</w:t>
            </w:r>
          </w:p>
        </w:tc>
        <w:tc>
          <w:tcPr>
            <w:tcW w:w="1212" w:type="pct"/>
            <w:shd w:val="clear" w:color="auto" w:fill="auto"/>
          </w:tcPr>
          <w:p w14:paraId="4629C249" w14:textId="0EA0A5BA" w:rsidR="008323D3" w:rsidRPr="00390173" w:rsidRDefault="008323D3" w:rsidP="008323D3">
            <w:pPr>
              <w:spacing w:line="360" w:lineRule="auto"/>
              <w:jc w:val="both"/>
              <w:rPr>
                <w:rFonts w:ascii="Book Antiqua" w:hAnsi="Book Antiqua"/>
              </w:rPr>
            </w:pPr>
          </w:p>
        </w:tc>
        <w:tc>
          <w:tcPr>
            <w:tcW w:w="1327" w:type="pct"/>
          </w:tcPr>
          <w:p w14:paraId="3A66F9D8" w14:textId="77777777" w:rsidR="008323D3" w:rsidRPr="00390173" w:rsidRDefault="008323D3" w:rsidP="008323D3">
            <w:pPr>
              <w:spacing w:line="360" w:lineRule="auto"/>
              <w:jc w:val="both"/>
              <w:rPr>
                <w:rFonts w:ascii="Book Antiqua" w:hAnsi="Book Antiqua"/>
              </w:rPr>
            </w:pPr>
          </w:p>
        </w:tc>
        <w:tc>
          <w:tcPr>
            <w:tcW w:w="721" w:type="pct"/>
          </w:tcPr>
          <w:p w14:paraId="3A8E2D0B" w14:textId="4FB21630" w:rsidR="008323D3" w:rsidRPr="00390173" w:rsidRDefault="008323D3" w:rsidP="008323D3">
            <w:pPr>
              <w:spacing w:line="360" w:lineRule="auto"/>
              <w:jc w:val="both"/>
              <w:rPr>
                <w:rFonts w:ascii="Book Antiqua" w:hAnsi="Book Antiqua"/>
              </w:rPr>
            </w:pPr>
            <w:r w:rsidRPr="00390173">
              <w:rPr>
                <w:rFonts w:ascii="Book Antiqua" w:hAnsi="Book Antiqua"/>
              </w:rPr>
              <w:t>1.000</w:t>
            </w:r>
          </w:p>
        </w:tc>
      </w:tr>
      <w:tr w:rsidR="008323D3" w:rsidRPr="00390173" w14:paraId="7A971362" w14:textId="7B62C4AD" w:rsidTr="008323D3">
        <w:tc>
          <w:tcPr>
            <w:tcW w:w="0" w:type="auto"/>
            <w:shd w:val="clear" w:color="auto" w:fill="auto"/>
          </w:tcPr>
          <w:p w14:paraId="2214E23C" w14:textId="77777777" w:rsidR="008323D3" w:rsidRPr="00390173" w:rsidRDefault="008323D3" w:rsidP="008323D3">
            <w:pPr>
              <w:spacing w:line="360" w:lineRule="auto"/>
              <w:ind w:firstLineChars="100" w:firstLine="240"/>
              <w:jc w:val="both"/>
              <w:textAlignment w:val="center"/>
              <w:rPr>
                <w:rFonts w:ascii="Book Antiqua" w:hAnsi="Book Antiqua"/>
                <w:lang w:eastAsia="zh-Hans"/>
              </w:rPr>
            </w:pPr>
            <w:r w:rsidRPr="00390173">
              <w:rPr>
                <w:rFonts w:ascii="Book Antiqua" w:hAnsi="Book Antiqua"/>
                <w:lang w:eastAsia="zh-Hans" w:bidi="ar"/>
              </w:rPr>
              <w:t>Ectopic embolization</w:t>
            </w:r>
          </w:p>
        </w:tc>
        <w:tc>
          <w:tcPr>
            <w:tcW w:w="1212" w:type="pct"/>
            <w:shd w:val="clear" w:color="auto" w:fill="auto"/>
          </w:tcPr>
          <w:p w14:paraId="1637ED4B" w14:textId="7C795FA1" w:rsidR="008323D3" w:rsidRPr="00390173" w:rsidRDefault="008323D3" w:rsidP="008323D3">
            <w:pPr>
              <w:spacing w:line="360" w:lineRule="auto"/>
              <w:jc w:val="both"/>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594DB851" w14:textId="3D81ABFA" w:rsidR="008323D3" w:rsidRPr="00390173" w:rsidRDefault="008323D3" w:rsidP="008323D3">
            <w:pPr>
              <w:spacing w:line="360" w:lineRule="auto"/>
              <w:jc w:val="both"/>
              <w:rPr>
                <w:rFonts w:ascii="Book Antiqua" w:hAnsi="Book Antiqua"/>
              </w:rPr>
            </w:pPr>
            <w:r w:rsidRPr="00390173">
              <w:rPr>
                <w:rFonts w:ascii="Book Antiqua" w:hAnsi="Book Antiqua"/>
              </w:rPr>
              <w:t xml:space="preserve">0/16 </w:t>
            </w:r>
            <w:r w:rsidRPr="00390173">
              <w:rPr>
                <w:rFonts w:ascii="Book Antiqua" w:hAnsi="Book Antiqua"/>
                <w:lang w:bidi="ar"/>
              </w:rPr>
              <w:t>(0)</w:t>
            </w:r>
          </w:p>
        </w:tc>
        <w:tc>
          <w:tcPr>
            <w:tcW w:w="721" w:type="pct"/>
          </w:tcPr>
          <w:p w14:paraId="17201E35" w14:textId="1B8BB28E" w:rsidR="008323D3" w:rsidRPr="00390173" w:rsidRDefault="008323D3" w:rsidP="008323D3">
            <w:pPr>
              <w:spacing w:line="360" w:lineRule="auto"/>
              <w:jc w:val="both"/>
              <w:rPr>
                <w:rFonts w:ascii="Book Antiqua" w:hAnsi="Book Antiqua"/>
              </w:rPr>
            </w:pPr>
          </w:p>
        </w:tc>
      </w:tr>
      <w:tr w:rsidR="008323D3" w:rsidRPr="00390173" w14:paraId="13AB3E3E" w14:textId="46338662" w:rsidTr="008323D3">
        <w:tc>
          <w:tcPr>
            <w:tcW w:w="0" w:type="auto"/>
            <w:shd w:val="clear" w:color="auto" w:fill="auto"/>
          </w:tcPr>
          <w:p w14:paraId="10CF9F33" w14:textId="77777777" w:rsidR="008323D3" w:rsidRPr="00390173" w:rsidRDefault="008323D3" w:rsidP="008323D3">
            <w:pPr>
              <w:spacing w:line="360" w:lineRule="auto"/>
              <w:ind w:firstLineChars="100" w:firstLine="240"/>
              <w:jc w:val="both"/>
              <w:textAlignment w:val="center"/>
              <w:rPr>
                <w:rFonts w:ascii="Book Antiqua" w:hAnsi="Book Antiqua"/>
                <w:lang w:eastAsia="zh-Hans"/>
              </w:rPr>
            </w:pPr>
            <w:r w:rsidRPr="00390173">
              <w:rPr>
                <w:rFonts w:ascii="Book Antiqua" w:hAnsi="Book Antiqua"/>
                <w:lang w:eastAsia="zh-Hans" w:bidi="ar"/>
              </w:rPr>
              <w:t>Local venous thrombosis</w:t>
            </w:r>
          </w:p>
        </w:tc>
        <w:tc>
          <w:tcPr>
            <w:tcW w:w="1212" w:type="pct"/>
            <w:shd w:val="clear" w:color="auto" w:fill="auto"/>
          </w:tcPr>
          <w:p w14:paraId="081B201A" w14:textId="2EFB4FD8" w:rsidR="008323D3" w:rsidRPr="00390173" w:rsidRDefault="008323D3" w:rsidP="008323D3">
            <w:pPr>
              <w:spacing w:line="360" w:lineRule="auto"/>
              <w:jc w:val="both"/>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72484456" w14:textId="1D81B312" w:rsidR="008323D3" w:rsidRPr="00390173" w:rsidRDefault="008323D3" w:rsidP="008323D3">
            <w:pPr>
              <w:spacing w:line="360" w:lineRule="auto"/>
              <w:jc w:val="both"/>
              <w:rPr>
                <w:rFonts w:ascii="Book Antiqua" w:hAnsi="Book Antiqua"/>
              </w:rPr>
            </w:pPr>
            <w:r w:rsidRPr="00390173">
              <w:rPr>
                <w:rFonts w:ascii="Book Antiqua" w:hAnsi="Book Antiqua"/>
              </w:rPr>
              <w:t xml:space="preserve">0/16 </w:t>
            </w:r>
            <w:r w:rsidRPr="00390173">
              <w:rPr>
                <w:rFonts w:ascii="Book Antiqua" w:hAnsi="Book Antiqua"/>
                <w:lang w:bidi="ar"/>
              </w:rPr>
              <w:t>(0)</w:t>
            </w:r>
          </w:p>
        </w:tc>
        <w:tc>
          <w:tcPr>
            <w:tcW w:w="721" w:type="pct"/>
          </w:tcPr>
          <w:p w14:paraId="41B7411B" w14:textId="15A4E740" w:rsidR="008323D3" w:rsidRPr="00390173" w:rsidRDefault="008323D3" w:rsidP="008323D3">
            <w:pPr>
              <w:spacing w:line="360" w:lineRule="auto"/>
              <w:jc w:val="both"/>
              <w:rPr>
                <w:rFonts w:ascii="Book Antiqua" w:hAnsi="Book Antiqua"/>
              </w:rPr>
            </w:pPr>
          </w:p>
        </w:tc>
      </w:tr>
      <w:tr w:rsidR="008323D3" w:rsidRPr="00390173" w14:paraId="61ABF69B" w14:textId="2E498B0A" w:rsidTr="008323D3">
        <w:tc>
          <w:tcPr>
            <w:tcW w:w="0" w:type="auto"/>
            <w:shd w:val="clear" w:color="auto" w:fill="auto"/>
          </w:tcPr>
          <w:p w14:paraId="2B7F9E3A" w14:textId="77777777" w:rsidR="008323D3" w:rsidRPr="00390173" w:rsidRDefault="008323D3" w:rsidP="008323D3">
            <w:pPr>
              <w:spacing w:line="360" w:lineRule="auto"/>
              <w:ind w:firstLineChars="100" w:firstLine="240"/>
              <w:jc w:val="both"/>
              <w:textAlignment w:val="center"/>
              <w:rPr>
                <w:rFonts w:ascii="Book Antiqua" w:hAnsi="Book Antiqua"/>
                <w:lang w:eastAsia="zh-Hans"/>
              </w:rPr>
            </w:pPr>
            <w:r w:rsidRPr="00390173">
              <w:rPr>
                <w:rFonts w:ascii="Book Antiqua" w:hAnsi="Book Antiqua"/>
                <w:lang w:eastAsia="zh-Hans" w:bidi="ar"/>
              </w:rPr>
              <w:t>Extravascular injection</w:t>
            </w:r>
          </w:p>
        </w:tc>
        <w:tc>
          <w:tcPr>
            <w:tcW w:w="1212" w:type="pct"/>
            <w:shd w:val="clear" w:color="auto" w:fill="auto"/>
          </w:tcPr>
          <w:p w14:paraId="59E5D868" w14:textId="0BC5468B" w:rsidR="008323D3" w:rsidRPr="00390173" w:rsidRDefault="008323D3" w:rsidP="008323D3">
            <w:pPr>
              <w:spacing w:line="360" w:lineRule="auto"/>
              <w:jc w:val="both"/>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1799B6AC" w14:textId="13FD877C" w:rsidR="008323D3" w:rsidRPr="00390173" w:rsidRDefault="008323D3" w:rsidP="008323D3">
            <w:pPr>
              <w:spacing w:line="360" w:lineRule="auto"/>
              <w:jc w:val="both"/>
              <w:rPr>
                <w:rFonts w:ascii="Book Antiqua" w:hAnsi="Book Antiqua"/>
              </w:rPr>
            </w:pPr>
            <w:r w:rsidRPr="00390173">
              <w:rPr>
                <w:rFonts w:ascii="Book Antiqua" w:hAnsi="Book Antiqua"/>
              </w:rPr>
              <w:t xml:space="preserve">0/16 </w:t>
            </w:r>
            <w:r w:rsidRPr="00390173">
              <w:rPr>
                <w:rFonts w:ascii="Book Antiqua" w:hAnsi="Book Antiqua"/>
                <w:lang w:bidi="ar"/>
              </w:rPr>
              <w:t>(0)</w:t>
            </w:r>
          </w:p>
        </w:tc>
        <w:tc>
          <w:tcPr>
            <w:tcW w:w="721" w:type="pct"/>
          </w:tcPr>
          <w:p w14:paraId="5667DD7E" w14:textId="59727906" w:rsidR="008323D3" w:rsidRPr="00390173" w:rsidRDefault="008323D3" w:rsidP="008323D3">
            <w:pPr>
              <w:spacing w:line="360" w:lineRule="auto"/>
              <w:jc w:val="both"/>
              <w:rPr>
                <w:rFonts w:ascii="Book Antiqua" w:hAnsi="Book Antiqua"/>
              </w:rPr>
            </w:pPr>
          </w:p>
        </w:tc>
      </w:tr>
      <w:tr w:rsidR="008323D3" w:rsidRPr="00390173" w14:paraId="7B28A241" w14:textId="69A902F6" w:rsidTr="008323D3">
        <w:tc>
          <w:tcPr>
            <w:tcW w:w="0" w:type="auto"/>
            <w:shd w:val="clear" w:color="auto" w:fill="auto"/>
          </w:tcPr>
          <w:p w14:paraId="1D207692" w14:textId="77777777" w:rsidR="008323D3" w:rsidRPr="00390173" w:rsidRDefault="008323D3" w:rsidP="008323D3">
            <w:pPr>
              <w:spacing w:line="360" w:lineRule="auto"/>
              <w:ind w:firstLineChars="100" w:firstLine="240"/>
              <w:jc w:val="both"/>
              <w:textAlignment w:val="center"/>
              <w:rPr>
                <w:rFonts w:ascii="Book Antiqua" w:hAnsi="Book Antiqua"/>
                <w:lang w:eastAsia="zh-Hans"/>
              </w:rPr>
            </w:pPr>
            <w:r w:rsidRPr="00390173">
              <w:rPr>
                <w:rFonts w:ascii="Book Antiqua" w:hAnsi="Book Antiqua"/>
                <w:lang w:eastAsia="zh-Hans" w:bidi="ar"/>
              </w:rPr>
              <w:t>Severe new-onset bleeding</w:t>
            </w:r>
          </w:p>
        </w:tc>
        <w:tc>
          <w:tcPr>
            <w:tcW w:w="1212" w:type="pct"/>
            <w:shd w:val="clear" w:color="auto" w:fill="auto"/>
          </w:tcPr>
          <w:p w14:paraId="017185DA" w14:textId="7DD35351" w:rsidR="008323D3" w:rsidRPr="00390173" w:rsidRDefault="008323D3" w:rsidP="008323D3">
            <w:pPr>
              <w:spacing w:line="360" w:lineRule="auto"/>
              <w:jc w:val="both"/>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79F07864" w14:textId="402DC24E" w:rsidR="008323D3" w:rsidRPr="00390173" w:rsidRDefault="008323D3" w:rsidP="008323D3">
            <w:pPr>
              <w:spacing w:line="360" w:lineRule="auto"/>
              <w:jc w:val="both"/>
              <w:rPr>
                <w:rFonts w:ascii="Book Antiqua" w:hAnsi="Book Antiqua"/>
              </w:rPr>
            </w:pPr>
            <w:r w:rsidRPr="00390173">
              <w:rPr>
                <w:rFonts w:ascii="Book Antiqua" w:hAnsi="Book Antiqua"/>
              </w:rPr>
              <w:t xml:space="preserve">1/16 </w:t>
            </w:r>
            <w:r w:rsidRPr="00390173">
              <w:rPr>
                <w:rFonts w:ascii="Book Antiqua" w:hAnsi="Book Antiqua"/>
                <w:lang w:bidi="ar"/>
              </w:rPr>
              <w:t>(6.3)</w:t>
            </w:r>
          </w:p>
        </w:tc>
        <w:tc>
          <w:tcPr>
            <w:tcW w:w="721" w:type="pct"/>
          </w:tcPr>
          <w:p w14:paraId="13E38F8E" w14:textId="7F018FA4" w:rsidR="008323D3" w:rsidRPr="00390173" w:rsidRDefault="008323D3" w:rsidP="008323D3">
            <w:pPr>
              <w:spacing w:line="360" w:lineRule="auto"/>
              <w:jc w:val="both"/>
              <w:rPr>
                <w:rFonts w:ascii="Book Antiqua" w:hAnsi="Book Antiqua"/>
              </w:rPr>
            </w:pPr>
          </w:p>
        </w:tc>
      </w:tr>
      <w:tr w:rsidR="008323D3" w:rsidRPr="00390173" w14:paraId="155C819F" w14:textId="1C06FB8D" w:rsidTr="008323D3">
        <w:tc>
          <w:tcPr>
            <w:tcW w:w="0" w:type="auto"/>
            <w:shd w:val="clear" w:color="auto" w:fill="auto"/>
          </w:tcPr>
          <w:p w14:paraId="60E5A24E" w14:textId="77777777" w:rsidR="008323D3" w:rsidRPr="00390173" w:rsidRDefault="008323D3" w:rsidP="008323D3">
            <w:pPr>
              <w:spacing w:line="360" w:lineRule="auto"/>
              <w:ind w:firstLineChars="100" w:firstLine="240"/>
              <w:jc w:val="both"/>
              <w:textAlignment w:val="center"/>
              <w:rPr>
                <w:rFonts w:ascii="Book Antiqua" w:hAnsi="Book Antiqua"/>
                <w:lang w:eastAsia="zh-Hans" w:bidi="ar"/>
              </w:rPr>
            </w:pPr>
            <w:r w:rsidRPr="00390173">
              <w:rPr>
                <w:rFonts w:ascii="Book Antiqua" w:hAnsi="Book Antiqua"/>
                <w:lang w:eastAsia="zh-Hans" w:bidi="ar"/>
              </w:rPr>
              <w:t>Early appearance of glue ulcers</w:t>
            </w:r>
          </w:p>
        </w:tc>
        <w:tc>
          <w:tcPr>
            <w:tcW w:w="1212" w:type="pct"/>
            <w:shd w:val="clear" w:color="auto" w:fill="auto"/>
          </w:tcPr>
          <w:p w14:paraId="6490781B" w14:textId="50C3AD11" w:rsidR="008323D3" w:rsidRPr="00390173" w:rsidRDefault="008323D3" w:rsidP="008323D3">
            <w:pPr>
              <w:spacing w:line="360" w:lineRule="auto"/>
              <w:jc w:val="both"/>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699B7CD7" w14:textId="628CDB3D" w:rsidR="008323D3" w:rsidRPr="00390173" w:rsidRDefault="008323D3" w:rsidP="008323D3">
            <w:pPr>
              <w:spacing w:line="360" w:lineRule="auto"/>
              <w:jc w:val="both"/>
              <w:rPr>
                <w:rFonts w:ascii="Book Antiqua" w:hAnsi="Book Antiqua"/>
              </w:rPr>
            </w:pPr>
            <w:r w:rsidRPr="00390173">
              <w:rPr>
                <w:rFonts w:ascii="Book Antiqua" w:hAnsi="Book Antiqua"/>
              </w:rPr>
              <w:t xml:space="preserve">0/16 </w:t>
            </w:r>
            <w:r w:rsidRPr="00390173">
              <w:rPr>
                <w:rFonts w:ascii="Book Antiqua" w:hAnsi="Book Antiqua"/>
                <w:lang w:bidi="ar"/>
              </w:rPr>
              <w:t>(0)</w:t>
            </w:r>
          </w:p>
        </w:tc>
        <w:tc>
          <w:tcPr>
            <w:tcW w:w="721" w:type="pct"/>
          </w:tcPr>
          <w:p w14:paraId="52ED1634" w14:textId="1947913C" w:rsidR="008323D3" w:rsidRPr="00390173" w:rsidRDefault="008323D3" w:rsidP="008323D3">
            <w:pPr>
              <w:spacing w:line="360" w:lineRule="auto"/>
              <w:jc w:val="both"/>
              <w:rPr>
                <w:rFonts w:ascii="Book Antiqua" w:hAnsi="Book Antiqua"/>
              </w:rPr>
            </w:pPr>
          </w:p>
        </w:tc>
      </w:tr>
      <w:tr w:rsidR="008323D3" w:rsidRPr="00390173" w14:paraId="09C3FA98" w14:textId="6C79BBC1" w:rsidTr="008323D3">
        <w:tc>
          <w:tcPr>
            <w:tcW w:w="0" w:type="auto"/>
            <w:shd w:val="clear" w:color="auto" w:fill="auto"/>
          </w:tcPr>
          <w:p w14:paraId="18E57420" w14:textId="2A2FF154"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 xml:space="preserve">Postoperative hospital </w:t>
            </w:r>
            <w:proofErr w:type="gramStart"/>
            <w:r w:rsidRPr="00390173">
              <w:rPr>
                <w:rFonts w:ascii="Book Antiqua" w:hAnsi="Book Antiqua"/>
              </w:rPr>
              <w:t>stay</w:t>
            </w:r>
            <w:proofErr w:type="gramEnd"/>
            <w:r w:rsidRPr="00390173">
              <w:rPr>
                <w:rFonts w:ascii="Book Antiqua" w:hAnsi="Book Antiqua"/>
              </w:rPr>
              <w:t xml:space="preserve"> (d)</w:t>
            </w:r>
          </w:p>
        </w:tc>
        <w:tc>
          <w:tcPr>
            <w:tcW w:w="1212" w:type="pct"/>
            <w:shd w:val="clear" w:color="auto" w:fill="auto"/>
          </w:tcPr>
          <w:p w14:paraId="35A4AE6A" w14:textId="01A270FF" w:rsidR="008323D3" w:rsidRPr="00390173" w:rsidRDefault="008323D3" w:rsidP="008323D3">
            <w:pPr>
              <w:spacing w:line="360" w:lineRule="auto"/>
              <w:jc w:val="both"/>
              <w:textAlignment w:val="center"/>
              <w:rPr>
                <w:rFonts w:ascii="Book Antiqua" w:hAnsi="Book Antiqua"/>
              </w:rPr>
            </w:pPr>
            <w:r w:rsidRPr="00390173">
              <w:rPr>
                <w:rFonts w:ascii="Book Antiqua" w:hAnsi="Book Antiqua"/>
                <w:lang w:bidi="ar"/>
              </w:rPr>
              <w:t>4.4</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1.6</w:t>
            </w:r>
          </w:p>
        </w:tc>
        <w:tc>
          <w:tcPr>
            <w:tcW w:w="1327" w:type="pct"/>
          </w:tcPr>
          <w:p w14:paraId="69DE0339" w14:textId="515DB282"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5.8</w:t>
            </w:r>
            <w:r>
              <w:rPr>
                <w:rFonts w:ascii="Book Antiqua" w:hAnsi="Book Antiqua"/>
                <w:lang w:bidi="ar"/>
              </w:rPr>
              <w:t xml:space="preserve"> </w:t>
            </w:r>
            <w:r w:rsidRPr="00390173">
              <w:rPr>
                <w:rFonts w:ascii="Book Antiqua" w:hAnsi="Book Antiqua"/>
                <w:lang w:bidi="ar"/>
              </w:rPr>
              <w:t>±</w:t>
            </w:r>
            <w:r>
              <w:rPr>
                <w:rFonts w:ascii="Book Antiqua" w:hAnsi="Book Antiqua"/>
                <w:lang w:bidi="ar"/>
              </w:rPr>
              <w:t xml:space="preserve"> </w:t>
            </w:r>
            <w:r w:rsidRPr="00390173">
              <w:rPr>
                <w:rFonts w:ascii="Book Antiqua" w:hAnsi="Book Antiqua"/>
                <w:lang w:bidi="ar"/>
              </w:rPr>
              <w:t>2.2</w:t>
            </w:r>
          </w:p>
        </w:tc>
        <w:tc>
          <w:tcPr>
            <w:tcW w:w="721" w:type="pct"/>
          </w:tcPr>
          <w:p w14:paraId="1524C66A" w14:textId="67C419AB"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0.072</w:t>
            </w:r>
          </w:p>
        </w:tc>
      </w:tr>
      <w:tr w:rsidR="008323D3" w:rsidRPr="00390173" w14:paraId="727BF5A4" w14:textId="3EDC882E" w:rsidTr="008323D3">
        <w:tc>
          <w:tcPr>
            <w:tcW w:w="0" w:type="auto"/>
            <w:shd w:val="clear" w:color="auto" w:fill="auto"/>
          </w:tcPr>
          <w:p w14:paraId="3E7143C7" w14:textId="7777777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Recurrent bleeding</w:t>
            </w:r>
          </w:p>
        </w:tc>
        <w:tc>
          <w:tcPr>
            <w:tcW w:w="1212" w:type="pct"/>
            <w:shd w:val="clear" w:color="auto" w:fill="auto"/>
          </w:tcPr>
          <w:p w14:paraId="1A4209BA" w14:textId="03DF5454" w:rsidR="008323D3" w:rsidRPr="00390173" w:rsidRDefault="008323D3" w:rsidP="008323D3">
            <w:pPr>
              <w:spacing w:line="360" w:lineRule="auto"/>
              <w:jc w:val="both"/>
              <w:textAlignment w:val="center"/>
              <w:rPr>
                <w:rFonts w:ascii="Book Antiqua" w:hAnsi="Book Antiqua"/>
              </w:rPr>
            </w:pPr>
          </w:p>
        </w:tc>
        <w:tc>
          <w:tcPr>
            <w:tcW w:w="1327" w:type="pct"/>
          </w:tcPr>
          <w:p w14:paraId="6731AE65" w14:textId="77777777" w:rsidR="008323D3" w:rsidRPr="00390173" w:rsidRDefault="008323D3" w:rsidP="008323D3">
            <w:pPr>
              <w:spacing w:line="360" w:lineRule="auto"/>
              <w:jc w:val="both"/>
              <w:textAlignment w:val="center"/>
              <w:rPr>
                <w:rFonts w:ascii="Book Antiqua" w:hAnsi="Book Antiqua"/>
                <w:lang w:bidi="ar"/>
              </w:rPr>
            </w:pPr>
          </w:p>
        </w:tc>
        <w:tc>
          <w:tcPr>
            <w:tcW w:w="721" w:type="pct"/>
          </w:tcPr>
          <w:p w14:paraId="2D6124FA" w14:textId="3D0724E4"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lang w:bidi="ar"/>
              </w:rPr>
              <w:t>0.624</w:t>
            </w:r>
          </w:p>
        </w:tc>
      </w:tr>
      <w:tr w:rsidR="008323D3" w:rsidRPr="00390173" w14:paraId="0C0873CD" w14:textId="02D4639D" w:rsidTr="008323D3">
        <w:tc>
          <w:tcPr>
            <w:tcW w:w="0" w:type="auto"/>
            <w:shd w:val="clear" w:color="auto" w:fill="auto"/>
          </w:tcPr>
          <w:p w14:paraId="188B82F3" w14:textId="084180D4" w:rsidR="008323D3" w:rsidRPr="00390173" w:rsidRDefault="008323D3" w:rsidP="008323D3">
            <w:pPr>
              <w:spacing w:line="360" w:lineRule="auto"/>
              <w:ind w:firstLineChars="100" w:firstLine="240"/>
              <w:jc w:val="both"/>
              <w:textAlignment w:val="center"/>
              <w:rPr>
                <w:rFonts w:ascii="Book Antiqua" w:hAnsi="Book Antiqua"/>
                <w:highlight w:val="yellow"/>
              </w:rPr>
            </w:pPr>
            <w:r w:rsidRPr="00390173">
              <w:rPr>
                <w:rFonts w:ascii="Book Antiqua" w:hAnsi="Book Antiqua"/>
              </w:rPr>
              <w:t xml:space="preserve">Rebleeding in 1 </w:t>
            </w:r>
            <w:proofErr w:type="spellStart"/>
            <w:r w:rsidRPr="00390173">
              <w:rPr>
                <w:rFonts w:ascii="Book Antiqua" w:hAnsi="Book Antiqua"/>
              </w:rPr>
              <w:t>mo</w:t>
            </w:r>
            <w:proofErr w:type="spellEnd"/>
          </w:p>
        </w:tc>
        <w:tc>
          <w:tcPr>
            <w:tcW w:w="1212" w:type="pct"/>
            <w:shd w:val="clear" w:color="auto" w:fill="auto"/>
          </w:tcPr>
          <w:p w14:paraId="3B2B6D2F" w14:textId="6A3A0F9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24085C1A" w14:textId="372CA81E"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 xml:space="preserve">0/16 </w:t>
            </w:r>
            <w:r w:rsidRPr="00390173">
              <w:rPr>
                <w:rFonts w:ascii="Book Antiqua" w:hAnsi="Book Antiqua"/>
                <w:lang w:bidi="ar"/>
              </w:rPr>
              <w:t>(0)</w:t>
            </w:r>
          </w:p>
        </w:tc>
        <w:tc>
          <w:tcPr>
            <w:tcW w:w="721" w:type="pct"/>
          </w:tcPr>
          <w:p w14:paraId="28FE3AE1" w14:textId="77FC45A2" w:rsidR="008323D3" w:rsidRPr="00390173" w:rsidRDefault="008323D3" w:rsidP="008323D3">
            <w:pPr>
              <w:spacing w:line="360" w:lineRule="auto"/>
              <w:jc w:val="both"/>
              <w:textAlignment w:val="center"/>
              <w:rPr>
                <w:rFonts w:ascii="Book Antiqua" w:hAnsi="Book Antiqua"/>
              </w:rPr>
            </w:pPr>
          </w:p>
        </w:tc>
      </w:tr>
      <w:tr w:rsidR="008323D3" w:rsidRPr="00390173" w14:paraId="375635CC" w14:textId="3C259019" w:rsidTr="008323D3">
        <w:tc>
          <w:tcPr>
            <w:tcW w:w="0" w:type="auto"/>
            <w:shd w:val="clear" w:color="auto" w:fill="auto"/>
          </w:tcPr>
          <w:p w14:paraId="3B4F3D24" w14:textId="53F80321" w:rsidR="008323D3" w:rsidRPr="00390173" w:rsidRDefault="008323D3" w:rsidP="008323D3">
            <w:pPr>
              <w:spacing w:line="360" w:lineRule="auto"/>
              <w:ind w:firstLineChars="100" w:firstLine="240"/>
              <w:jc w:val="both"/>
              <w:textAlignment w:val="center"/>
              <w:rPr>
                <w:rFonts w:ascii="Book Antiqua" w:hAnsi="Book Antiqua"/>
                <w:highlight w:val="yellow"/>
              </w:rPr>
            </w:pPr>
            <w:r w:rsidRPr="00390173">
              <w:rPr>
                <w:rFonts w:ascii="Book Antiqua" w:hAnsi="Book Antiqua"/>
              </w:rPr>
              <w:t xml:space="preserve">Rebleeding in 1-3 </w:t>
            </w:r>
            <w:proofErr w:type="spellStart"/>
            <w:r w:rsidRPr="00390173">
              <w:rPr>
                <w:rFonts w:ascii="Book Antiqua" w:hAnsi="Book Antiqua"/>
              </w:rPr>
              <w:t>mo</w:t>
            </w:r>
            <w:proofErr w:type="spellEnd"/>
          </w:p>
        </w:tc>
        <w:tc>
          <w:tcPr>
            <w:tcW w:w="1212" w:type="pct"/>
            <w:shd w:val="clear" w:color="auto" w:fill="auto"/>
          </w:tcPr>
          <w:p w14:paraId="69E9545C" w14:textId="279DC277"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 xml:space="preserve">0/11 </w:t>
            </w:r>
            <w:r w:rsidRPr="00390173">
              <w:rPr>
                <w:rFonts w:ascii="Book Antiqua" w:hAnsi="Book Antiqua"/>
                <w:lang w:bidi="ar"/>
              </w:rPr>
              <w:t>(0)</w:t>
            </w:r>
          </w:p>
        </w:tc>
        <w:tc>
          <w:tcPr>
            <w:tcW w:w="1327" w:type="pct"/>
          </w:tcPr>
          <w:p w14:paraId="04B33BD6" w14:textId="72F4779D" w:rsidR="008323D3" w:rsidRPr="00390173" w:rsidRDefault="008323D3" w:rsidP="008323D3">
            <w:pPr>
              <w:spacing w:line="360" w:lineRule="auto"/>
              <w:jc w:val="both"/>
              <w:textAlignment w:val="center"/>
              <w:rPr>
                <w:rFonts w:ascii="Book Antiqua" w:hAnsi="Book Antiqua"/>
              </w:rPr>
            </w:pPr>
            <w:r w:rsidRPr="00390173">
              <w:rPr>
                <w:rFonts w:ascii="Book Antiqua" w:hAnsi="Book Antiqua"/>
              </w:rPr>
              <w:t xml:space="preserve">1/16 </w:t>
            </w:r>
            <w:r w:rsidRPr="00390173">
              <w:rPr>
                <w:rFonts w:ascii="Book Antiqua" w:hAnsi="Book Antiqua"/>
                <w:lang w:bidi="ar"/>
              </w:rPr>
              <w:t>(6.3)</w:t>
            </w:r>
          </w:p>
        </w:tc>
        <w:tc>
          <w:tcPr>
            <w:tcW w:w="721" w:type="pct"/>
          </w:tcPr>
          <w:p w14:paraId="0815EF12" w14:textId="6FC21BD9" w:rsidR="008323D3" w:rsidRPr="00390173" w:rsidRDefault="008323D3" w:rsidP="008323D3">
            <w:pPr>
              <w:spacing w:line="360" w:lineRule="auto"/>
              <w:jc w:val="both"/>
              <w:textAlignment w:val="center"/>
              <w:rPr>
                <w:rFonts w:ascii="Book Antiqua" w:hAnsi="Book Antiqua"/>
              </w:rPr>
            </w:pPr>
          </w:p>
        </w:tc>
      </w:tr>
      <w:tr w:rsidR="008323D3" w:rsidRPr="00390173" w14:paraId="39961F3F" w14:textId="4C812CCD" w:rsidTr="008323D3">
        <w:tc>
          <w:tcPr>
            <w:tcW w:w="0" w:type="auto"/>
            <w:tcBorders>
              <w:bottom w:val="single" w:sz="4" w:space="0" w:color="auto"/>
            </w:tcBorders>
            <w:shd w:val="clear" w:color="auto" w:fill="auto"/>
          </w:tcPr>
          <w:p w14:paraId="015AADED" w14:textId="6C9CF914" w:rsidR="008323D3" w:rsidRPr="00390173" w:rsidRDefault="008323D3" w:rsidP="008323D3">
            <w:pPr>
              <w:spacing w:line="360" w:lineRule="auto"/>
              <w:ind w:firstLineChars="100" w:firstLine="240"/>
              <w:jc w:val="both"/>
              <w:textAlignment w:val="center"/>
              <w:rPr>
                <w:rFonts w:ascii="Book Antiqua" w:hAnsi="Book Antiqua"/>
              </w:rPr>
            </w:pPr>
            <w:r w:rsidRPr="00390173">
              <w:rPr>
                <w:rFonts w:ascii="Book Antiqua" w:hAnsi="Book Antiqua"/>
              </w:rPr>
              <w:t xml:space="preserve">Rebleeding in 4-6 </w:t>
            </w:r>
            <w:proofErr w:type="spellStart"/>
            <w:r w:rsidRPr="00390173">
              <w:rPr>
                <w:rFonts w:ascii="Book Antiqua" w:hAnsi="Book Antiqua"/>
              </w:rPr>
              <w:t>mo</w:t>
            </w:r>
            <w:proofErr w:type="spellEnd"/>
          </w:p>
        </w:tc>
        <w:tc>
          <w:tcPr>
            <w:tcW w:w="1212" w:type="pct"/>
            <w:tcBorders>
              <w:bottom w:val="single" w:sz="4" w:space="0" w:color="auto"/>
            </w:tcBorders>
            <w:shd w:val="clear" w:color="auto" w:fill="auto"/>
          </w:tcPr>
          <w:p w14:paraId="0ECF1645" w14:textId="6926957B"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rPr>
              <w:t xml:space="preserve">1/11 </w:t>
            </w:r>
            <w:r w:rsidRPr="00390173">
              <w:rPr>
                <w:rFonts w:ascii="Book Antiqua" w:hAnsi="Book Antiqua"/>
                <w:lang w:bidi="ar"/>
              </w:rPr>
              <w:t>(9.1)</w:t>
            </w:r>
          </w:p>
        </w:tc>
        <w:tc>
          <w:tcPr>
            <w:tcW w:w="1327" w:type="pct"/>
            <w:tcBorders>
              <w:bottom w:val="single" w:sz="4" w:space="0" w:color="auto"/>
            </w:tcBorders>
          </w:tcPr>
          <w:p w14:paraId="288B9242" w14:textId="3D907007" w:rsidR="008323D3" w:rsidRPr="00390173" w:rsidRDefault="008323D3" w:rsidP="008323D3">
            <w:pPr>
              <w:spacing w:line="360" w:lineRule="auto"/>
              <w:jc w:val="both"/>
              <w:textAlignment w:val="center"/>
              <w:rPr>
                <w:rFonts w:ascii="Book Antiqua" w:hAnsi="Book Antiqua"/>
                <w:lang w:bidi="ar"/>
              </w:rPr>
            </w:pPr>
            <w:r w:rsidRPr="00390173">
              <w:rPr>
                <w:rFonts w:ascii="Book Antiqua" w:hAnsi="Book Antiqua"/>
              </w:rPr>
              <w:t xml:space="preserve">2/16 </w:t>
            </w:r>
            <w:r w:rsidRPr="00390173">
              <w:rPr>
                <w:rFonts w:ascii="Book Antiqua" w:hAnsi="Book Antiqua"/>
                <w:lang w:bidi="ar"/>
              </w:rPr>
              <w:t>(12.5)</w:t>
            </w:r>
          </w:p>
        </w:tc>
        <w:tc>
          <w:tcPr>
            <w:tcW w:w="721" w:type="pct"/>
            <w:tcBorders>
              <w:bottom w:val="single" w:sz="4" w:space="0" w:color="auto"/>
            </w:tcBorders>
          </w:tcPr>
          <w:p w14:paraId="12A09535" w14:textId="6B0B38B6" w:rsidR="008323D3" w:rsidRPr="00390173" w:rsidRDefault="008323D3" w:rsidP="008323D3">
            <w:pPr>
              <w:spacing w:line="360" w:lineRule="auto"/>
              <w:jc w:val="both"/>
              <w:textAlignment w:val="center"/>
              <w:rPr>
                <w:rFonts w:ascii="Book Antiqua" w:hAnsi="Book Antiqua"/>
                <w:lang w:bidi="ar"/>
              </w:rPr>
            </w:pPr>
          </w:p>
        </w:tc>
      </w:tr>
    </w:tbl>
    <w:p w14:paraId="34720F7C" w14:textId="4D47891C" w:rsidR="00FB603F" w:rsidRDefault="00FB603F">
      <w:pPr>
        <w:spacing w:line="360" w:lineRule="auto"/>
        <w:jc w:val="both"/>
        <w:rPr>
          <w:rFonts w:ascii="Book Antiqua" w:hAnsi="Book Antiqua"/>
          <w:b/>
          <w:bCs/>
        </w:rPr>
      </w:pPr>
    </w:p>
    <w:p w14:paraId="4C63D7E7" w14:textId="77777777" w:rsidR="00FB603F" w:rsidRDefault="00FB603F">
      <w:pPr>
        <w:rPr>
          <w:rFonts w:ascii="Book Antiqua" w:hAnsi="Book Antiqua"/>
          <w:b/>
          <w:bCs/>
        </w:rPr>
      </w:pPr>
      <w:r>
        <w:rPr>
          <w:rFonts w:ascii="Book Antiqua" w:hAnsi="Book Antiqua"/>
          <w:b/>
          <w:bCs/>
        </w:rPr>
        <w:br w:type="page"/>
      </w:r>
    </w:p>
    <w:p w14:paraId="3032222C" w14:textId="77777777" w:rsidR="00F33D13" w:rsidRPr="006D4EDA" w:rsidRDefault="00F33D13" w:rsidP="00F33D13">
      <w:pPr>
        <w:rPr>
          <w:rFonts w:ascii="Book Antiqua" w:hAnsi="Book Antiqua"/>
        </w:rPr>
      </w:pPr>
    </w:p>
    <w:p w14:paraId="0E55ADDB" w14:textId="77777777" w:rsidR="00F33D13" w:rsidRPr="006D4EDA" w:rsidRDefault="00F33D13" w:rsidP="00F33D13">
      <w:pPr>
        <w:snapToGrid w:val="0"/>
        <w:ind w:leftChars="100" w:left="240"/>
        <w:jc w:val="center"/>
        <w:rPr>
          <w:rFonts w:ascii="Book Antiqua" w:hAnsi="Book Antiqua"/>
        </w:rPr>
      </w:pPr>
    </w:p>
    <w:p w14:paraId="07FB630F" w14:textId="77777777" w:rsidR="00F33D13" w:rsidRPr="006D4EDA" w:rsidRDefault="00F33D13" w:rsidP="00F33D13">
      <w:pPr>
        <w:snapToGrid w:val="0"/>
        <w:ind w:leftChars="100" w:left="240"/>
        <w:jc w:val="center"/>
        <w:rPr>
          <w:rFonts w:ascii="Book Antiqua" w:hAnsi="Book Antiqua"/>
        </w:rPr>
      </w:pPr>
    </w:p>
    <w:p w14:paraId="5213E847" w14:textId="77777777" w:rsidR="00F33D13" w:rsidRPr="006D4EDA" w:rsidRDefault="00F33D13" w:rsidP="00F33D13">
      <w:pPr>
        <w:snapToGrid w:val="0"/>
        <w:ind w:leftChars="100" w:left="240"/>
        <w:jc w:val="center"/>
        <w:rPr>
          <w:rFonts w:ascii="Book Antiqua" w:hAnsi="Book Antiqua"/>
        </w:rPr>
      </w:pPr>
    </w:p>
    <w:p w14:paraId="60C2BD9D" w14:textId="77777777" w:rsidR="00F33D13" w:rsidRPr="006D4EDA" w:rsidRDefault="00F33D13" w:rsidP="00F33D13">
      <w:pPr>
        <w:snapToGrid w:val="0"/>
        <w:ind w:leftChars="100" w:left="240"/>
        <w:jc w:val="center"/>
        <w:rPr>
          <w:rFonts w:ascii="Book Antiqua" w:hAnsi="Book Antiqua"/>
        </w:rPr>
      </w:pPr>
    </w:p>
    <w:p w14:paraId="29F1175D" w14:textId="77777777" w:rsidR="00F33D13" w:rsidRPr="006D4EDA" w:rsidRDefault="00F33D13" w:rsidP="00F33D13">
      <w:pPr>
        <w:snapToGrid w:val="0"/>
        <w:ind w:leftChars="100" w:left="240"/>
        <w:jc w:val="center"/>
        <w:rPr>
          <w:rFonts w:ascii="Book Antiqua" w:hAnsi="Book Antiqua"/>
        </w:rPr>
      </w:pPr>
      <w:r w:rsidRPr="006D4EDA">
        <w:rPr>
          <w:rFonts w:ascii="Book Antiqua" w:hAnsi="Book Antiqua"/>
          <w:noProof/>
        </w:rPr>
        <w:drawing>
          <wp:inline distT="0" distB="0" distL="0" distR="0" wp14:anchorId="60F3597A" wp14:editId="72BC7D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11A10C5" w14:textId="77777777" w:rsidR="00F33D13" w:rsidRPr="006D4EDA" w:rsidRDefault="00F33D13" w:rsidP="00F33D13">
      <w:pPr>
        <w:snapToGrid w:val="0"/>
        <w:ind w:leftChars="100" w:left="240"/>
        <w:jc w:val="center"/>
        <w:rPr>
          <w:rFonts w:ascii="Book Antiqua" w:hAnsi="Book Antiqua"/>
        </w:rPr>
      </w:pPr>
    </w:p>
    <w:p w14:paraId="00022213" w14:textId="77777777" w:rsidR="00F33D13" w:rsidRPr="006D4EDA" w:rsidRDefault="00F33D13" w:rsidP="00F33D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CE1D178" w14:textId="77777777" w:rsidR="00F33D13" w:rsidRPr="006D4EDA" w:rsidRDefault="00F33D13" w:rsidP="00F33D1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E2DECFF" w14:textId="77777777" w:rsidR="00F33D13" w:rsidRPr="006D4EDA" w:rsidRDefault="00F33D13" w:rsidP="00F33D1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2E9B267" w14:textId="77777777" w:rsidR="00F33D13" w:rsidRPr="006D4EDA" w:rsidRDefault="00F33D13" w:rsidP="00F33D1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4A6DE2FF" w14:textId="77777777" w:rsidR="00F33D13" w:rsidRPr="006D4EDA" w:rsidRDefault="00F33D13" w:rsidP="00F33D1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74AA38B6" w14:textId="77777777" w:rsidR="00F33D13" w:rsidRPr="006D4EDA" w:rsidRDefault="00F33D13" w:rsidP="00F33D1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414E836C" w14:textId="77777777" w:rsidR="00F33D13" w:rsidRPr="006D4EDA" w:rsidRDefault="00F33D13" w:rsidP="00F33D13">
      <w:pPr>
        <w:snapToGrid w:val="0"/>
        <w:ind w:leftChars="100" w:left="240"/>
        <w:jc w:val="center"/>
        <w:rPr>
          <w:rFonts w:ascii="Book Antiqua" w:hAnsi="Book Antiqua"/>
        </w:rPr>
      </w:pPr>
    </w:p>
    <w:p w14:paraId="7C148FE3" w14:textId="77777777" w:rsidR="00F33D13" w:rsidRPr="006D4EDA" w:rsidRDefault="00F33D13" w:rsidP="00F33D13">
      <w:pPr>
        <w:snapToGrid w:val="0"/>
        <w:ind w:leftChars="100" w:left="240"/>
        <w:jc w:val="center"/>
        <w:rPr>
          <w:rFonts w:ascii="Book Antiqua" w:hAnsi="Book Antiqua"/>
        </w:rPr>
      </w:pPr>
    </w:p>
    <w:p w14:paraId="3BE0E682" w14:textId="77777777" w:rsidR="00F33D13" w:rsidRPr="006D4EDA" w:rsidRDefault="00F33D13" w:rsidP="00F33D13">
      <w:pPr>
        <w:snapToGrid w:val="0"/>
        <w:ind w:leftChars="100" w:left="240"/>
        <w:jc w:val="center"/>
        <w:rPr>
          <w:rFonts w:ascii="Book Antiqua" w:hAnsi="Book Antiqua"/>
        </w:rPr>
      </w:pPr>
    </w:p>
    <w:p w14:paraId="3DF7EA8F" w14:textId="77777777" w:rsidR="00F33D13" w:rsidRPr="006D4EDA" w:rsidRDefault="00F33D13" w:rsidP="00F33D13">
      <w:pPr>
        <w:snapToGrid w:val="0"/>
        <w:ind w:leftChars="100" w:left="240"/>
        <w:jc w:val="center"/>
        <w:rPr>
          <w:rFonts w:ascii="Book Antiqua" w:hAnsi="Book Antiqua"/>
        </w:rPr>
      </w:pPr>
      <w:r w:rsidRPr="006D4EDA">
        <w:rPr>
          <w:rFonts w:ascii="Book Antiqua" w:hAnsi="Book Antiqua"/>
          <w:noProof/>
        </w:rPr>
        <w:drawing>
          <wp:inline distT="0" distB="0" distL="0" distR="0" wp14:anchorId="4434060E" wp14:editId="1AD931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EE47EA" w14:textId="77777777" w:rsidR="00F33D13" w:rsidRPr="006D4EDA" w:rsidRDefault="00F33D13" w:rsidP="00F33D13">
      <w:pPr>
        <w:snapToGrid w:val="0"/>
        <w:ind w:leftChars="100" w:left="240"/>
        <w:jc w:val="center"/>
        <w:rPr>
          <w:rFonts w:ascii="Book Antiqua" w:hAnsi="Book Antiqua"/>
        </w:rPr>
      </w:pPr>
    </w:p>
    <w:p w14:paraId="5249BF49" w14:textId="77777777" w:rsidR="00F33D13" w:rsidRPr="006D4EDA" w:rsidRDefault="00F33D13" w:rsidP="00F33D13">
      <w:pPr>
        <w:snapToGrid w:val="0"/>
        <w:ind w:leftChars="100" w:left="240"/>
        <w:jc w:val="center"/>
        <w:rPr>
          <w:rFonts w:ascii="Book Antiqua" w:hAnsi="Book Antiqua"/>
        </w:rPr>
      </w:pPr>
    </w:p>
    <w:p w14:paraId="723C4748" w14:textId="77777777" w:rsidR="00F33D13" w:rsidRPr="006D4EDA" w:rsidRDefault="00F33D13" w:rsidP="00F33D13">
      <w:pPr>
        <w:snapToGrid w:val="0"/>
        <w:ind w:leftChars="100" w:left="240"/>
        <w:jc w:val="center"/>
        <w:rPr>
          <w:rFonts w:ascii="Book Antiqua" w:hAnsi="Book Antiqua"/>
        </w:rPr>
      </w:pPr>
    </w:p>
    <w:p w14:paraId="0D87875A" w14:textId="77777777" w:rsidR="00F33D13" w:rsidRPr="006D4EDA" w:rsidRDefault="00F33D13" w:rsidP="00F33D13">
      <w:pPr>
        <w:snapToGrid w:val="0"/>
        <w:ind w:leftChars="100" w:left="240"/>
        <w:jc w:val="center"/>
        <w:rPr>
          <w:rFonts w:ascii="Book Antiqua" w:hAnsi="Book Antiqua"/>
        </w:rPr>
      </w:pPr>
    </w:p>
    <w:p w14:paraId="23603448" w14:textId="77777777" w:rsidR="00F33D13" w:rsidRPr="006D4EDA" w:rsidRDefault="00F33D13" w:rsidP="00F33D13">
      <w:pPr>
        <w:snapToGrid w:val="0"/>
        <w:ind w:leftChars="100" w:left="240"/>
        <w:jc w:val="center"/>
        <w:rPr>
          <w:rFonts w:ascii="Book Antiqua" w:hAnsi="Book Antiqua"/>
        </w:rPr>
      </w:pPr>
    </w:p>
    <w:p w14:paraId="3CC2648E" w14:textId="77777777" w:rsidR="00F33D13" w:rsidRPr="006D4EDA" w:rsidRDefault="00F33D13" w:rsidP="00F33D13">
      <w:pPr>
        <w:snapToGrid w:val="0"/>
        <w:ind w:leftChars="100" w:left="240"/>
        <w:jc w:val="center"/>
        <w:rPr>
          <w:rFonts w:ascii="Book Antiqua" w:hAnsi="Book Antiqua"/>
        </w:rPr>
      </w:pPr>
    </w:p>
    <w:p w14:paraId="0898707C" w14:textId="77777777" w:rsidR="00F33D13" w:rsidRPr="006D4EDA" w:rsidRDefault="00F33D13" w:rsidP="00F33D13">
      <w:pPr>
        <w:snapToGrid w:val="0"/>
        <w:ind w:leftChars="100" w:left="240"/>
        <w:jc w:val="center"/>
        <w:rPr>
          <w:rFonts w:ascii="Book Antiqua" w:hAnsi="Book Antiqua"/>
        </w:rPr>
      </w:pPr>
    </w:p>
    <w:p w14:paraId="5B1FF0CE" w14:textId="77777777" w:rsidR="00F33D13" w:rsidRPr="006D4EDA" w:rsidRDefault="00F33D13" w:rsidP="00F33D13">
      <w:pPr>
        <w:snapToGrid w:val="0"/>
        <w:ind w:leftChars="100" w:left="240"/>
        <w:jc w:val="center"/>
        <w:rPr>
          <w:rFonts w:ascii="Book Antiqua" w:hAnsi="Book Antiqua"/>
        </w:rPr>
      </w:pPr>
    </w:p>
    <w:p w14:paraId="7365EBAB" w14:textId="77777777" w:rsidR="00F33D13" w:rsidRPr="006D4EDA" w:rsidRDefault="00F33D13" w:rsidP="00F33D13">
      <w:pPr>
        <w:snapToGrid w:val="0"/>
        <w:ind w:leftChars="100" w:left="240"/>
        <w:jc w:val="center"/>
        <w:rPr>
          <w:rFonts w:ascii="Book Antiqua" w:hAnsi="Book Antiqua"/>
        </w:rPr>
      </w:pPr>
    </w:p>
    <w:p w14:paraId="280F0159" w14:textId="77777777" w:rsidR="00F33D13" w:rsidRPr="006D4EDA" w:rsidRDefault="00F33D13" w:rsidP="00F33D13">
      <w:pPr>
        <w:snapToGrid w:val="0"/>
        <w:ind w:leftChars="100" w:left="240"/>
        <w:jc w:val="right"/>
        <w:rPr>
          <w:rFonts w:ascii="Book Antiqua" w:hAnsi="Book Antiqua"/>
          <w:color w:val="000000" w:themeColor="text1"/>
        </w:rPr>
      </w:pPr>
    </w:p>
    <w:p w14:paraId="62B3817B" w14:textId="77777777" w:rsidR="00F33D13" w:rsidRPr="006D4EDA" w:rsidRDefault="00F33D13" w:rsidP="00F33D1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BB797CD" w14:textId="77777777" w:rsidR="00390173" w:rsidRPr="00390173" w:rsidRDefault="00390173">
      <w:pPr>
        <w:spacing w:line="360" w:lineRule="auto"/>
        <w:jc w:val="both"/>
        <w:rPr>
          <w:rFonts w:ascii="Book Antiqua" w:hAnsi="Book Antiqua"/>
          <w:b/>
          <w:bCs/>
        </w:rPr>
      </w:pPr>
    </w:p>
    <w:sectPr w:rsidR="00390173" w:rsidRPr="00390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AD5B" w14:textId="77777777" w:rsidR="00E0199D" w:rsidRDefault="00E0199D" w:rsidP="00750CF2">
      <w:r>
        <w:separator/>
      </w:r>
    </w:p>
  </w:endnote>
  <w:endnote w:type="continuationSeparator" w:id="0">
    <w:p w14:paraId="2A28CCD5" w14:textId="77777777" w:rsidR="00E0199D" w:rsidRDefault="00E0199D" w:rsidP="0075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323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45B430D" w14:textId="4EC030C1" w:rsidR="00750CF2" w:rsidRPr="00750CF2" w:rsidRDefault="00750CF2">
            <w:pPr>
              <w:pStyle w:val="ab"/>
              <w:jc w:val="right"/>
              <w:rPr>
                <w:rFonts w:ascii="Book Antiqua" w:hAnsi="Book Antiqua"/>
                <w:sz w:val="24"/>
                <w:szCs w:val="24"/>
              </w:rPr>
            </w:pPr>
            <w:r w:rsidRPr="00750CF2">
              <w:rPr>
                <w:rFonts w:ascii="Book Antiqua" w:hAnsi="Book Antiqua"/>
                <w:sz w:val="24"/>
                <w:szCs w:val="24"/>
                <w:lang w:val="zh-CN" w:eastAsia="zh-CN"/>
              </w:rPr>
              <w:t xml:space="preserve"> </w:t>
            </w:r>
            <w:r w:rsidRPr="00750CF2">
              <w:rPr>
                <w:rFonts w:ascii="Book Antiqua" w:hAnsi="Book Antiqua"/>
                <w:sz w:val="24"/>
                <w:szCs w:val="24"/>
              </w:rPr>
              <w:fldChar w:fldCharType="begin"/>
            </w:r>
            <w:r w:rsidRPr="00750CF2">
              <w:rPr>
                <w:rFonts w:ascii="Book Antiqua" w:hAnsi="Book Antiqua"/>
                <w:sz w:val="24"/>
                <w:szCs w:val="24"/>
              </w:rPr>
              <w:instrText>PAGE</w:instrText>
            </w:r>
            <w:r w:rsidRPr="00750CF2">
              <w:rPr>
                <w:rFonts w:ascii="Book Antiqua" w:hAnsi="Book Antiqua"/>
                <w:sz w:val="24"/>
                <w:szCs w:val="24"/>
              </w:rPr>
              <w:fldChar w:fldCharType="separate"/>
            </w:r>
            <w:r w:rsidRPr="00750CF2">
              <w:rPr>
                <w:rFonts w:ascii="Book Antiqua" w:hAnsi="Book Antiqua"/>
                <w:sz w:val="24"/>
                <w:szCs w:val="24"/>
                <w:lang w:val="zh-CN" w:eastAsia="zh-CN"/>
              </w:rPr>
              <w:t>2</w:t>
            </w:r>
            <w:r w:rsidRPr="00750CF2">
              <w:rPr>
                <w:rFonts w:ascii="Book Antiqua" w:hAnsi="Book Antiqua"/>
                <w:sz w:val="24"/>
                <w:szCs w:val="24"/>
              </w:rPr>
              <w:fldChar w:fldCharType="end"/>
            </w:r>
            <w:r w:rsidRPr="00750CF2">
              <w:rPr>
                <w:rFonts w:ascii="Book Antiqua" w:hAnsi="Book Antiqua"/>
                <w:sz w:val="24"/>
                <w:szCs w:val="24"/>
                <w:lang w:val="zh-CN" w:eastAsia="zh-CN"/>
              </w:rPr>
              <w:t xml:space="preserve"> / </w:t>
            </w:r>
            <w:r w:rsidRPr="00750CF2">
              <w:rPr>
                <w:rFonts w:ascii="Book Antiqua" w:hAnsi="Book Antiqua"/>
                <w:sz w:val="24"/>
                <w:szCs w:val="24"/>
              </w:rPr>
              <w:fldChar w:fldCharType="begin"/>
            </w:r>
            <w:r w:rsidRPr="00750CF2">
              <w:rPr>
                <w:rFonts w:ascii="Book Antiqua" w:hAnsi="Book Antiqua"/>
                <w:sz w:val="24"/>
                <w:szCs w:val="24"/>
              </w:rPr>
              <w:instrText>NUMPAGES</w:instrText>
            </w:r>
            <w:r w:rsidRPr="00750CF2">
              <w:rPr>
                <w:rFonts w:ascii="Book Antiqua" w:hAnsi="Book Antiqua"/>
                <w:sz w:val="24"/>
                <w:szCs w:val="24"/>
              </w:rPr>
              <w:fldChar w:fldCharType="separate"/>
            </w:r>
            <w:r w:rsidRPr="00750CF2">
              <w:rPr>
                <w:rFonts w:ascii="Book Antiqua" w:hAnsi="Book Antiqua"/>
                <w:sz w:val="24"/>
                <w:szCs w:val="24"/>
                <w:lang w:val="zh-CN" w:eastAsia="zh-CN"/>
              </w:rPr>
              <w:t>2</w:t>
            </w:r>
            <w:r w:rsidRPr="00750CF2">
              <w:rPr>
                <w:rFonts w:ascii="Book Antiqua" w:hAnsi="Book Antiqua"/>
                <w:sz w:val="24"/>
                <w:szCs w:val="24"/>
              </w:rPr>
              <w:fldChar w:fldCharType="end"/>
            </w:r>
          </w:p>
        </w:sdtContent>
      </w:sdt>
    </w:sdtContent>
  </w:sdt>
  <w:p w14:paraId="6235FD2A" w14:textId="77777777" w:rsidR="00750CF2" w:rsidRDefault="00750C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22D3" w14:textId="77777777" w:rsidR="00E0199D" w:rsidRDefault="00E0199D" w:rsidP="00750CF2">
      <w:r>
        <w:separator/>
      </w:r>
    </w:p>
  </w:footnote>
  <w:footnote w:type="continuationSeparator" w:id="0">
    <w:p w14:paraId="05A5CFDF" w14:textId="77777777" w:rsidR="00E0199D" w:rsidRDefault="00E0199D" w:rsidP="0075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yA5JGhoaGJuYGRko6SsGpxcWZ+XkgBYa1AD4xvNcsAAAA"/>
    <w:docVar w:name="KY_MEDREF_DOCUID" w:val="{E101464D-4997-423C-9968-126E4D310A9D}"/>
    <w:docVar w:name="KY_MEDREF_VERSION" w:val="3"/>
  </w:docVars>
  <w:rsids>
    <w:rsidRoot w:val="00A77B3E"/>
    <w:rsid w:val="00165FD3"/>
    <w:rsid w:val="001B41E3"/>
    <w:rsid w:val="001D7E54"/>
    <w:rsid w:val="00210A58"/>
    <w:rsid w:val="003240DB"/>
    <w:rsid w:val="00346B20"/>
    <w:rsid w:val="00380E7B"/>
    <w:rsid w:val="00390173"/>
    <w:rsid w:val="00446C99"/>
    <w:rsid w:val="00484432"/>
    <w:rsid w:val="00486BD4"/>
    <w:rsid w:val="0052469E"/>
    <w:rsid w:val="00530380"/>
    <w:rsid w:val="00592A0C"/>
    <w:rsid w:val="005F084F"/>
    <w:rsid w:val="006164A5"/>
    <w:rsid w:val="006409A0"/>
    <w:rsid w:val="006A63B1"/>
    <w:rsid w:val="00750CF2"/>
    <w:rsid w:val="007A3E10"/>
    <w:rsid w:val="007D6BB7"/>
    <w:rsid w:val="007F7F54"/>
    <w:rsid w:val="008005A8"/>
    <w:rsid w:val="008323D3"/>
    <w:rsid w:val="008D591D"/>
    <w:rsid w:val="009203EC"/>
    <w:rsid w:val="00996D2E"/>
    <w:rsid w:val="009B5663"/>
    <w:rsid w:val="009C3409"/>
    <w:rsid w:val="00A12498"/>
    <w:rsid w:val="00A720A8"/>
    <w:rsid w:val="00A77B3E"/>
    <w:rsid w:val="00AC34EF"/>
    <w:rsid w:val="00AC4B58"/>
    <w:rsid w:val="00AE08C4"/>
    <w:rsid w:val="00B13260"/>
    <w:rsid w:val="00B70C57"/>
    <w:rsid w:val="00CA2A55"/>
    <w:rsid w:val="00D23BB3"/>
    <w:rsid w:val="00D257CE"/>
    <w:rsid w:val="00D36DF5"/>
    <w:rsid w:val="00E0199D"/>
    <w:rsid w:val="00E23EB4"/>
    <w:rsid w:val="00E80931"/>
    <w:rsid w:val="00E94AE2"/>
    <w:rsid w:val="00EB71EE"/>
    <w:rsid w:val="00F33D13"/>
    <w:rsid w:val="00F34128"/>
    <w:rsid w:val="00F7611E"/>
    <w:rsid w:val="00F90AD3"/>
    <w:rsid w:val="00FB21A6"/>
    <w:rsid w:val="00FB6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BFCA4"/>
  <w15:docId w15:val="{73A1A9C3-53AD-4155-B5D3-AE01E87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styleId="a3">
    <w:name w:val="annotation reference"/>
    <w:basedOn w:val="a0"/>
    <w:rsid w:val="00210A58"/>
    <w:rPr>
      <w:sz w:val="21"/>
      <w:szCs w:val="21"/>
    </w:rPr>
  </w:style>
  <w:style w:type="paragraph" w:styleId="a4">
    <w:name w:val="annotation text"/>
    <w:basedOn w:val="a"/>
    <w:link w:val="a5"/>
    <w:rsid w:val="00210A58"/>
  </w:style>
  <w:style w:type="character" w:customStyle="1" w:styleId="a5">
    <w:name w:val="批注文字 字符"/>
    <w:basedOn w:val="a0"/>
    <w:link w:val="a4"/>
    <w:rsid w:val="00210A58"/>
    <w:rPr>
      <w:sz w:val="24"/>
      <w:szCs w:val="24"/>
    </w:rPr>
  </w:style>
  <w:style w:type="paragraph" w:styleId="a6">
    <w:name w:val="annotation subject"/>
    <w:basedOn w:val="a4"/>
    <w:next w:val="a4"/>
    <w:link w:val="a7"/>
    <w:rsid w:val="00210A58"/>
    <w:rPr>
      <w:b/>
      <w:bCs/>
    </w:rPr>
  </w:style>
  <w:style w:type="character" w:customStyle="1" w:styleId="a7">
    <w:name w:val="批注主题 字符"/>
    <w:basedOn w:val="a5"/>
    <w:link w:val="a6"/>
    <w:rsid w:val="00210A58"/>
    <w:rPr>
      <w:b/>
      <w:bCs/>
      <w:sz w:val="24"/>
      <w:szCs w:val="24"/>
    </w:rPr>
  </w:style>
  <w:style w:type="paragraph" w:styleId="a8">
    <w:name w:val="Revision"/>
    <w:hidden/>
    <w:uiPriority w:val="99"/>
    <w:semiHidden/>
    <w:rsid w:val="00484432"/>
    <w:rPr>
      <w:sz w:val="24"/>
      <w:szCs w:val="24"/>
    </w:rPr>
  </w:style>
  <w:style w:type="paragraph" w:styleId="a9">
    <w:name w:val="header"/>
    <w:basedOn w:val="a"/>
    <w:link w:val="aa"/>
    <w:rsid w:val="00750CF2"/>
    <w:pPr>
      <w:tabs>
        <w:tab w:val="center" w:pos="4153"/>
        <w:tab w:val="right" w:pos="8306"/>
      </w:tabs>
      <w:snapToGrid w:val="0"/>
      <w:jc w:val="center"/>
    </w:pPr>
    <w:rPr>
      <w:sz w:val="18"/>
      <w:szCs w:val="18"/>
    </w:rPr>
  </w:style>
  <w:style w:type="character" w:customStyle="1" w:styleId="aa">
    <w:name w:val="页眉 字符"/>
    <w:basedOn w:val="a0"/>
    <w:link w:val="a9"/>
    <w:rsid w:val="00750CF2"/>
    <w:rPr>
      <w:sz w:val="18"/>
      <w:szCs w:val="18"/>
    </w:rPr>
  </w:style>
  <w:style w:type="paragraph" w:styleId="ab">
    <w:name w:val="footer"/>
    <w:basedOn w:val="a"/>
    <w:link w:val="ac"/>
    <w:uiPriority w:val="99"/>
    <w:rsid w:val="00750CF2"/>
    <w:pPr>
      <w:tabs>
        <w:tab w:val="center" w:pos="4153"/>
        <w:tab w:val="right" w:pos="8306"/>
      </w:tabs>
      <w:snapToGrid w:val="0"/>
    </w:pPr>
    <w:rPr>
      <w:sz w:val="18"/>
      <w:szCs w:val="18"/>
    </w:rPr>
  </w:style>
  <w:style w:type="character" w:customStyle="1" w:styleId="ac">
    <w:name w:val="页脚 字符"/>
    <w:basedOn w:val="a0"/>
    <w:link w:val="ab"/>
    <w:uiPriority w:val="99"/>
    <w:rsid w:val="00750CF2"/>
    <w:rPr>
      <w:sz w:val="18"/>
      <w:szCs w:val="18"/>
    </w:rPr>
  </w:style>
  <w:style w:type="character" w:styleId="ad">
    <w:name w:val="Hyperlink"/>
    <w:basedOn w:val="a0"/>
    <w:rsid w:val="00FB603F"/>
    <w:rPr>
      <w:color w:val="0000FF" w:themeColor="hyperlink"/>
      <w:u w:val="single"/>
    </w:rPr>
  </w:style>
  <w:style w:type="character" w:styleId="ae">
    <w:name w:val="Unresolved Mention"/>
    <w:basedOn w:val="a0"/>
    <w:uiPriority w:val="99"/>
    <w:semiHidden/>
    <w:unhideWhenUsed/>
    <w:rsid w:val="00FB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6/i1/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一瑄 蔡</cp:lastModifiedBy>
  <cp:revision>32</cp:revision>
  <dcterms:created xsi:type="dcterms:W3CDTF">2023-12-17T04:37:00Z</dcterms:created>
  <dcterms:modified xsi:type="dcterms:W3CDTF">2024-01-15T00:19:00Z</dcterms:modified>
</cp:coreProperties>
</file>