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C5978"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Name of Journal: </w:t>
      </w:r>
      <w:r w:rsidRPr="00CD7EA8">
        <w:rPr>
          <w:rFonts w:ascii="Book Antiqua" w:eastAsia="Book Antiqua" w:hAnsi="Book Antiqua" w:cs="Book Antiqua"/>
          <w:i/>
        </w:rPr>
        <w:t>World Journal of Gastroenterology</w:t>
      </w:r>
    </w:p>
    <w:p w14:paraId="6DA11A5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Manuscript NO: </w:t>
      </w:r>
      <w:r w:rsidRPr="00CD7EA8">
        <w:rPr>
          <w:rFonts w:ascii="Book Antiqua" w:eastAsia="Book Antiqua" w:hAnsi="Book Antiqua" w:cs="Book Antiqua"/>
        </w:rPr>
        <w:t>88707</w:t>
      </w:r>
    </w:p>
    <w:p w14:paraId="587BB1C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rPr>
        <w:t xml:space="preserve">Manuscript Type: </w:t>
      </w:r>
      <w:r w:rsidRPr="00CD7EA8">
        <w:rPr>
          <w:rFonts w:ascii="Book Antiqua" w:eastAsia="Book Antiqua" w:hAnsi="Book Antiqua" w:cs="Book Antiqua"/>
        </w:rPr>
        <w:t>ORIGINAL ARTICLE</w:t>
      </w:r>
    </w:p>
    <w:p w14:paraId="1C60E29C" w14:textId="77777777" w:rsidR="00A77B3E" w:rsidRPr="00CD7EA8" w:rsidRDefault="00A77B3E" w:rsidP="00CD7EA8">
      <w:pPr>
        <w:spacing w:line="360" w:lineRule="auto"/>
        <w:jc w:val="both"/>
        <w:rPr>
          <w:rFonts w:ascii="Book Antiqua" w:hAnsi="Book Antiqua"/>
        </w:rPr>
      </w:pPr>
    </w:p>
    <w:p w14:paraId="4BE24C0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rPr>
        <w:t>Clinical Trials Study</w:t>
      </w:r>
    </w:p>
    <w:p w14:paraId="438C25E0" w14:textId="2F071DC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Optimized sequential therapy </w:t>
      </w:r>
      <w:proofErr w:type="spellStart"/>
      <w:r w:rsidRPr="00CD7EA8">
        <w:rPr>
          <w:rFonts w:ascii="Book Antiqua" w:eastAsia="Book Antiqua" w:hAnsi="Book Antiqua" w:cs="Book Antiqua"/>
          <w:b/>
          <w:bCs/>
          <w:i/>
          <w:iCs/>
          <w:color w:val="000000"/>
        </w:rPr>
        <w:t>vs</w:t>
      </w:r>
      <w:proofErr w:type="spellEnd"/>
      <w:r w:rsidRPr="00CD7EA8">
        <w:rPr>
          <w:rFonts w:ascii="Book Antiqua" w:eastAsia="Book Antiqua" w:hAnsi="Book Antiqua" w:cs="Book Antiqua"/>
          <w:b/>
          <w:bCs/>
          <w:color w:val="000000"/>
        </w:rPr>
        <w:t xml:space="preserve"> 10</w:t>
      </w:r>
      <w:r w:rsidR="00B1076F">
        <w:rPr>
          <w:rFonts w:ascii="Book Antiqua" w:eastAsia="Book Antiqua" w:hAnsi="Book Antiqua" w:cs="Book Antiqua"/>
          <w:b/>
          <w:bCs/>
          <w:color w:val="000000"/>
        </w:rPr>
        <w:t>-</w:t>
      </w:r>
      <w:r w:rsidRPr="00CD7EA8">
        <w:rPr>
          <w:rFonts w:ascii="Book Antiqua" w:eastAsia="Book Antiqua" w:hAnsi="Book Antiqua" w:cs="Book Antiqua"/>
          <w:b/>
          <w:bCs/>
          <w:color w:val="000000"/>
        </w:rPr>
        <w:t xml:space="preserve"> and 14-d concomitant therapy for eradicating </w:t>
      </w:r>
      <w:r w:rsidRPr="00CD7EA8">
        <w:rPr>
          <w:rFonts w:ascii="Book Antiqua" w:eastAsia="Book Antiqua" w:hAnsi="Book Antiqua" w:cs="Book Antiqua"/>
          <w:b/>
          <w:bCs/>
          <w:i/>
          <w:iCs/>
          <w:color w:val="000000"/>
        </w:rPr>
        <w:t>Helicobacter pylori</w:t>
      </w:r>
      <w:r w:rsidRPr="00CD7EA8">
        <w:rPr>
          <w:rFonts w:ascii="Book Antiqua" w:eastAsia="Book Antiqua" w:hAnsi="Book Antiqua" w:cs="Book Antiqua"/>
          <w:b/>
          <w:bCs/>
          <w:color w:val="000000"/>
        </w:rPr>
        <w:t>: A randomized clinical trial</w:t>
      </w:r>
    </w:p>
    <w:p w14:paraId="7295E115" w14:textId="77777777" w:rsidR="00A77B3E" w:rsidRPr="00CD7EA8" w:rsidRDefault="00A77B3E" w:rsidP="00CD7EA8">
      <w:pPr>
        <w:spacing w:line="360" w:lineRule="auto"/>
        <w:jc w:val="both"/>
        <w:rPr>
          <w:rFonts w:ascii="Book Antiqua" w:hAnsi="Book Antiqua"/>
        </w:rPr>
      </w:pPr>
    </w:p>
    <w:p w14:paraId="7AE8D33E" w14:textId="1E607256" w:rsidR="00A77B3E" w:rsidRPr="00CD7EA8" w:rsidRDefault="00205971" w:rsidP="00CD7EA8">
      <w:pPr>
        <w:spacing w:line="360" w:lineRule="auto"/>
        <w:jc w:val="both"/>
        <w:rPr>
          <w:rFonts w:ascii="Book Antiqua" w:hAnsi="Book Antiqua"/>
        </w:rPr>
      </w:pPr>
      <w:proofErr w:type="spellStart"/>
      <w:r w:rsidRPr="00CD7EA8">
        <w:rPr>
          <w:rFonts w:ascii="Book Antiqua" w:eastAsia="Book Antiqua" w:hAnsi="Book Antiqua" w:cs="Book Antiqua"/>
        </w:rPr>
        <w:t>Seddik</w:t>
      </w:r>
      <w:proofErr w:type="spellEnd"/>
      <w:r w:rsidRPr="00CD7EA8">
        <w:rPr>
          <w:rFonts w:ascii="Book Antiqua" w:eastAsia="Book Antiqua" w:hAnsi="Book Antiqua" w:cs="Book Antiqua"/>
        </w:rPr>
        <w:t xml:space="preserve"> H </w:t>
      </w:r>
      <w:r w:rsidRPr="00CD7EA8">
        <w:rPr>
          <w:rFonts w:ascii="Book Antiqua" w:eastAsia="Book Antiqua" w:hAnsi="Book Antiqua" w:cs="Book Antiqua"/>
          <w:i/>
          <w:iCs/>
        </w:rPr>
        <w:t>et al</w:t>
      </w:r>
      <w:r w:rsidRPr="00CD7EA8">
        <w:rPr>
          <w:rFonts w:ascii="Book Antiqua" w:eastAsia="Book Antiqua" w:hAnsi="Book Antiqua" w:cs="Book Antiqua"/>
        </w:rPr>
        <w:t>.</w:t>
      </w:r>
      <w:r w:rsidRPr="00CD7EA8">
        <w:rPr>
          <w:rFonts w:ascii="Book Antiqua" w:eastAsia="Book Antiqua" w:hAnsi="Book Antiqua" w:cs="Book Antiqua"/>
          <w:i/>
          <w:iCs/>
          <w:color w:val="000000"/>
        </w:rPr>
        <w:t xml:space="preserve"> H. pylori</w:t>
      </w:r>
      <w:r w:rsidRPr="00CD7EA8">
        <w:rPr>
          <w:rFonts w:ascii="Book Antiqua" w:eastAsia="Book Antiqua" w:hAnsi="Book Antiqua" w:cs="Book Antiqua"/>
          <w:color w:val="000000"/>
        </w:rPr>
        <w:t xml:space="preserve"> randomized clinical trial</w:t>
      </w:r>
    </w:p>
    <w:p w14:paraId="50FCF206" w14:textId="77777777" w:rsidR="00A77B3E" w:rsidRPr="00CD7EA8" w:rsidRDefault="00A77B3E" w:rsidP="00CD7EA8">
      <w:pPr>
        <w:spacing w:line="360" w:lineRule="auto"/>
        <w:jc w:val="both"/>
        <w:rPr>
          <w:rFonts w:ascii="Book Antiqua" w:hAnsi="Book Antiqua"/>
        </w:rPr>
      </w:pPr>
    </w:p>
    <w:p w14:paraId="12DDBDCE" w14:textId="77777777" w:rsidR="00A77B3E" w:rsidRPr="00B1076F" w:rsidRDefault="001060FD" w:rsidP="00CD7EA8">
      <w:pPr>
        <w:spacing w:line="360" w:lineRule="auto"/>
        <w:jc w:val="both"/>
        <w:rPr>
          <w:rFonts w:ascii="Book Antiqua" w:hAnsi="Book Antiqua"/>
        </w:rPr>
      </w:pPr>
      <w:r w:rsidRPr="00B1076F">
        <w:rPr>
          <w:rFonts w:ascii="Book Antiqua" w:eastAsia="Book Antiqua" w:hAnsi="Book Antiqua" w:cs="Book Antiqua"/>
          <w:color w:val="000000"/>
        </w:rPr>
        <w:t xml:space="preserve">Hassan </w:t>
      </w:r>
      <w:proofErr w:type="spellStart"/>
      <w:r w:rsidRPr="00B1076F">
        <w:rPr>
          <w:rFonts w:ascii="Book Antiqua" w:eastAsia="Book Antiqua" w:hAnsi="Book Antiqua" w:cs="Book Antiqua"/>
          <w:color w:val="000000"/>
        </w:rPr>
        <w:t>Seddik</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Jihane</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Benass</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Sanaa</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Berrag</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Asmae</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Sair</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Reda</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Berraida</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Hanae</w:t>
      </w:r>
      <w:proofErr w:type="spellEnd"/>
      <w:r w:rsidRPr="00B1076F">
        <w:rPr>
          <w:rFonts w:ascii="Book Antiqua" w:eastAsia="Book Antiqua" w:hAnsi="Book Antiqua" w:cs="Book Antiqua"/>
          <w:color w:val="000000"/>
        </w:rPr>
        <w:t xml:space="preserve"> </w:t>
      </w:r>
      <w:proofErr w:type="spellStart"/>
      <w:r w:rsidRPr="00B1076F">
        <w:rPr>
          <w:rFonts w:ascii="Book Antiqua" w:eastAsia="Book Antiqua" w:hAnsi="Book Antiqua" w:cs="Book Antiqua"/>
          <w:color w:val="000000"/>
        </w:rPr>
        <w:t>Boutallaka</w:t>
      </w:r>
      <w:proofErr w:type="spellEnd"/>
    </w:p>
    <w:p w14:paraId="5FC73158" w14:textId="77777777" w:rsidR="00A77B3E" w:rsidRPr="00CD7EA8" w:rsidRDefault="00A77B3E" w:rsidP="00CD7EA8">
      <w:pPr>
        <w:spacing w:line="360" w:lineRule="auto"/>
        <w:jc w:val="both"/>
        <w:rPr>
          <w:rFonts w:ascii="Book Antiqua" w:hAnsi="Book Antiqua"/>
        </w:rPr>
      </w:pPr>
    </w:p>
    <w:p w14:paraId="77BCEEE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Hassan </w:t>
      </w:r>
      <w:proofErr w:type="spellStart"/>
      <w:r w:rsidRPr="00CD7EA8">
        <w:rPr>
          <w:rFonts w:ascii="Book Antiqua" w:eastAsia="Book Antiqua" w:hAnsi="Book Antiqua" w:cs="Book Antiqua"/>
          <w:b/>
          <w:bCs/>
          <w:color w:val="000000"/>
        </w:rPr>
        <w:t>Seddik</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Jihane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Benass</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Asmae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Sair</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Reda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Berraida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Hanae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Boutallaka</w:t>
      </w:r>
      <w:proofErr w:type="spellEnd"/>
      <w:r w:rsidRPr="00CD7EA8">
        <w:rPr>
          <w:rFonts w:ascii="Book Antiqua" w:eastAsia="Book Antiqua" w:hAnsi="Book Antiqua" w:cs="Book Antiqua"/>
          <w:b/>
          <w:bCs/>
          <w:color w:val="000000"/>
        </w:rPr>
        <w:t xml:space="preserve">, </w:t>
      </w:r>
      <w:r w:rsidRPr="00CD7EA8">
        <w:rPr>
          <w:rFonts w:ascii="Book Antiqua" w:eastAsia="Book Antiqua" w:hAnsi="Book Antiqua" w:cs="Book Antiqua"/>
          <w:color w:val="000000"/>
        </w:rPr>
        <w:t>Department of Gastroenterology II, Mohammed V Military Teaching Hospital of Rabat, Rabat 10100, Morocco</w:t>
      </w:r>
    </w:p>
    <w:p w14:paraId="26272B3B" w14:textId="77777777" w:rsidR="00A77B3E" w:rsidRPr="00CD7EA8" w:rsidRDefault="00A77B3E" w:rsidP="00CD7EA8">
      <w:pPr>
        <w:spacing w:line="360" w:lineRule="auto"/>
        <w:jc w:val="both"/>
        <w:rPr>
          <w:rFonts w:ascii="Book Antiqua" w:hAnsi="Book Antiqua"/>
        </w:rPr>
      </w:pPr>
    </w:p>
    <w:p w14:paraId="47B2393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Hassan </w:t>
      </w:r>
      <w:proofErr w:type="spellStart"/>
      <w:r w:rsidRPr="00CD7EA8">
        <w:rPr>
          <w:rFonts w:ascii="Book Antiqua" w:eastAsia="Book Antiqua" w:hAnsi="Book Antiqua" w:cs="Book Antiqua"/>
          <w:b/>
          <w:bCs/>
          <w:color w:val="000000"/>
        </w:rPr>
        <w:t>Seddik</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Jihane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Benass</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Sanaa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Berrag</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Asmae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Sair</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Reda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Berraida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Hanae</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Boutallaka</w:t>
      </w:r>
      <w:proofErr w:type="spellEnd"/>
      <w:r w:rsidRPr="00CD7EA8">
        <w:rPr>
          <w:rFonts w:ascii="Book Antiqua" w:eastAsia="Book Antiqua" w:hAnsi="Book Antiqua" w:cs="Book Antiqua"/>
          <w:b/>
          <w:bCs/>
          <w:color w:val="000000"/>
        </w:rPr>
        <w:t xml:space="preserve">, </w:t>
      </w:r>
      <w:r w:rsidRPr="00CD7EA8">
        <w:rPr>
          <w:rFonts w:ascii="Book Antiqua" w:eastAsia="Book Antiqua" w:hAnsi="Book Antiqua" w:cs="Book Antiqua"/>
          <w:color w:val="000000"/>
        </w:rPr>
        <w:t>Department of Gastroenterology, Mohammed V University in Rabat, Rabat 10100, Morocco</w:t>
      </w:r>
    </w:p>
    <w:p w14:paraId="1B4906F0" w14:textId="77777777" w:rsidR="00A77B3E" w:rsidRPr="00CD7EA8" w:rsidRDefault="00A77B3E" w:rsidP="00CD7EA8">
      <w:pPr>
        <w:spacing w:line="360" w:lineRule="auto"/>
        <w:jc w:val="both"/>
        <w:rPr>
          <w:rFonts w:ascii="Book Antiqua" w:hAnsi="Book Antiqua"/>
        </w:rPr>
      </w:pPr>
    </w:p>
    <w:p w14:paraId="5B9BDB82" w14:textId="77777777" w:rsidR="00A77B3E" w:rsidRPr="00CD7EA8" w:rsidRDefault="001060FD" w:rsidP="00CD7EA8">
      <w:pPr>
        <w:spacing w:line="360" w:lineRule="auto"/>
        <w:jc w:val="both"/>
        <w:rPr>
          <w:rFonts w:ascii="Book Antiqua" w:hAnsi="Book Antiqua"/>
        </w:rPr>
      </w:pPr>
      <w:proofErr w:type="spellStart"/>
      <w:r w:rsidRPr="00CD7EA8">
        <w:rPr>
          <w:rFonts w:ascii="Book Antiqua" w:eastAsia="Book Antiqua" w:hAnsi="Book Antiqua" w:cs="Book Antiqua"/>
          <w:b/>
          <w:bCs/>
          <w:color w:val="000000"/>
        </w:rPr>
        <w:t>Sanaa</w:t>
      </w:r>
      <w:proofErr w:type="spellEnd"/>
      <w:r w:rsidRPr="00CD7EA8">
        <w:rPr>
          <w:rFonts w:ascii="Book Antiqua" w:eastAsia="Book Antiqua" w:hAnsi="Book Antiqua" w:cs="Book Antiqua"/>
          <w:b/>
          <w:bCs/>
          <w:color w:val="000000"/>
        </w:rPr>
        <w:t xml:space="preserve"> </w:t>
      </w:r>
      <w:proofErr w:type="spellStart"/>
      <w:r w:rsidRPr="00CD7EA8">
        <w:rPr>
          <w:rFonts w:ascii="Book Antiqua" w:eastAsia="Book Antiqua" w:hAnsi="Book Antiqua" w:cs="Book Antiqua"/>
          <w:b/>
          <w:bCs/>
          <w:color w:val="000000"/>
        </w:rPr>
        <w:t>Berrag</w:t>
      </w:r>
      <w:proofErr w:type="spellEnd"/>
      <w:r w:rsidRPr="00CD7EA8">
        <w:rPr>
          <w:rFonts w:ascii="Book Antiqua" w:eastAsia="Book Antiqua" w:hAnsi="Book Antiqua" w:cs="Book Antiqua"/>
          <w:b/>
          <w:bCs/>
          <w:color w:val="000000"/>
        </w:rPr>
        <w:t xml:space="preserve">, </w:t>
      </w:r>
      <w:r w:rsidRPr="00CD7EA8">
        <w:rPr>
          <w:rFonts w:ascii="Book Antiqua" w:eastAsia="Book Antiqua" w:hAnsi="Book Antiqua" w:cs="Book Antiqua"/>
          <w:color w:val="000000"/>
        </w:rPr>
        <w:t>Department of Gastroenterology I, Mohammed V Military Teaching Hospital of Rabat, Rabat 10100, Morocco</w:t>
      </w:r>
    </w:p>
    <w:p w14:paraId="0540FE85" w14:textId="77777777" w:rsidR="00A77B3E" w:rsidRPr="00CD7EA8" w:rsidRDefault="00A77B3E" w:rsidP="00CD7EA8">
      <w:pPr>
        <w:spacing w:line="360" w:lineRule="auto"/>
        <w:jc w:val="both"/>
        <w:rPr>
          <w:rFonts w:ascii="Book Antiqua" w:hAnsi="Book Antiqua"/>
        </w:rPr>
      </w:pPr>
    </w:p>
    <w:p w14:paraId="2970E433" w14:textId="2B81E94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color w:val="000000"/>
        </w:rPr>
        <w:t xml:space="preserve">Author contributions: </w:t>
      </w:r>
      <w:proofErr w:type="spellStart"/>
      <w:r w:rsidRPr="00CD7EA8">
        <w:rPr>
          <w:rFonts w:ascii="Book Antiqua" w:eastAsia="Book Antiqua" w:hAnsi="Book Antiqua" w:cs="Book Antiqua"/>
          <w:color w:val="000000"/>
        </w:rPr>
        <w:t>Seddik</w:t>
      </w:r>
      <w:proofErr w:type="spellEnd"/>
      <w:r w:rsidRPr="00CD7EA8">
        <w:rPr>
          <w:rFonts w:ascii="Book Antiqua" w:eastAsia="Book Antiqua" w:hAnsi="Book Antiqua" w:cs="Book Antiqua"/>
          <w:color w:val="000000"/>
        </w:rPr>
        <w:t xml:space="preserve"> H was responsible for study concept and planning and supervised the statistical analysis and </w:t>
      </w:r>
      <w:r w:rsidR="00862B30">
        <w:rPr>
          <w:rFonts w:ascii="Book Antiqua" w:eastAsia="Book Antiqua" w:hAnsi="Book Antiqua" w:cs="Book Antiqua"/>
          <w:color w:val="000000"/>
        </w:rPr>
        <w:t>manuscript</w:t>
      </w:r>
      <w:r w:rsidR="00862B30" w:rsidRPr="00CD7EA8">
        <w:rPr>
          <w:rFonts w:ascii="Book Antiqua" w:eastAsia="Book Antiqua" w:hAnsi="Book Antiqua" w:cs="Book Antiqua"/>
          <w:color w:val="000000"/>
        </w:rPr>
        <w:t xml:space="preserve"> </w:t>
      </w:r>
      <w:r w:rsidR="00862B30">
        <w:rPr>
          <w:rFonts w:ascii="Book Antiqua" w:eastAsia="Book Antiqua" w:hAnsi="Book Antiqua" w:cs="Book Antiqua"/>
          <w:color w:val="000000"/>
        </w:rPr>
        <w:t>revision</w:t>
      </w:r>
      <w:r w:rsidRPr="00CD7EA8">
        <w:rPr>
          <w:rFonts w:ascii="Book Antiqua" w:eastAsia="Book Antiqua" w:hAnsi="Book Antiqua" w:cs="Book Antiqua"/>
          <w:color w:val="000000"/>
        </w:rPr>
        <w:t xml:space="preserve">; </w:t>
      </w:r>
      <w:proofErr w:type="spellStart"/>
      <w:r w:rsidRPr="00CD7EA8">
        <w:rPr>
          <w:rFonts w:ascii="Book Antiqua" w:eastAsia="Book Antiqua" w:hAnsi="Book Antiqua" w:cs="Book Antiqua"/>
          <w:color w:val="000000"/>
        </w:rPr>
        <w:t>Benass</w:t>
      </w:r>
      <w:proofErr w:type="spellEnd"/>
      <w:r w:rsidRPr="00CD7EA8">
        <w:rPr>
          <w:rFonts w:ascii="Book Antiqua" w:eastAsia="Book Antiqua" w:hAnsi="Book Antiqua" w:cs="Book Antiqua"/>
          <w:color w:val="000000"/>
        </w:rPr>
        <w:t xml:space="preserve"> J and </w:t>
      </w:r>
      <w:proofErr w:type="spellStart"/>
      <w:r w:rsidRPr="00CD7EA8">
        <w:rPr>
          <w:rFonts w:ascii="Book Antiqua" w:eastAsia="Book Antiqua" w:hAnsi="Book Antiqua" w:cs="Book Antiqua"/>
          <w:color w:val="000000"/>
        </w:rPr>
        <w:t>Boutallaka</w:t>
      </w:r>
      <w:proofErr w:type="spellEnd"/>
      <w:r w:rsidRPr="00CD7EA8">
        <w:rPr>
          <w:rFonts w:ascii="Book Antiqua" w:eastAsia="Book Antiqua" w:hAnsi="Book Antiqua" w:cs="Book Antiqua"/>
          <w:color w:val="000000"/>
        </w:rPr>
        <w:t xml:space="preserve"> H were involved in performing the statistical analysis and writing the manuscript, with input from all authors; </w:t>
      </w:r>
      <w:proofErr w:type="spellStart"/>
      <w:r w:rsidRPr="00CD7EA8">
        <w:rPr>
          <w:rFonts w:ascii="Book Antiqua" w:eastAsia="Book Antiqua" w:hAnsi="Book Antiqua" w:cs="Book Antiqua"/>
          <w:color w:val="000000"/>
        </w:rPr>
        <w:t>Berrag</w:t>
      </w:r>
      <w:proofErr w:type="spellEnd"/>
      <w:r w:rsidRPr="00CD7EA8">
        <w:rPr>
          <w:rFonts w:ascii="Book Antiqua" w:eastAsia="Book Antiqua" w:hAnsi="Book Antiqua" w:cs="Book Antiqua"/>
          <w:color w:val="000000"/>
        </w:rPr>
        <w:t xml:space="preserve"> S, </w:t>
      </w:r>
      <w:proofErr w:type="spellStart"/>
      <w:r w:rsidRPr="00CD7EA8">
        <w:rPr>
          <w:rFonts w:ascii="Book Antiqua" w:eastAsia="Book Antiqua" w:hAnsi="Book Antiqua" w:cs="Book Antiqua"/>
          <w:color w:val="000000"/>
        </w:rPr>
        <w:t>Sair</w:t>
      </w:r>
      <w:proofErr w:type="spellEnd"/>
      <w:r w:rsidRPr="00CD7EA8">
        <w:rPr>
          <w:rFonts w:ascii="Book Antiqua" w:eastAsia="Book Antiqua" w:hAnsi="Book Antiqua" w:cs="Book Antiqua"/>
          <w:color w:val="000000"/>
        </w:rPr>
        <w:t xml:space="preserve"> A, and </w:t>
      </w:r>
      <w:proofErr w:type="spellStart"/>
      <w:r w:rsidRPr="00CD7EA8">
        <w:rPr>
          <w:rFonts w:ascii="Book Antiqua" w:eastAsia="Book Antiqua" w:hAnsi="Book Antiqua" w:cs="Book Antiqua"/>
          <w:color w:val="000000"/>
        </w:rPr>
        <w:t>Berraida</w:t>
      </w:r>
      <w:proofErr w:type="spellEnd"/>
      <w:r w:rsidRPr="00CD7EA8">
        <w:rPr>
          <w:rFonts w:ascii="Book Antiqua" w:eastAsia="Book Antiqua" w:hAnsi="Book Antiqua" w:cs="Book Antiqua"/>
          <w:color w:val="000000"/>
        </w:rPr>
        <w:t xml:space="preserve"> R were involved in patient </w:t>
      </w:r>
      <w:r w:rsidRPr="00CD7EA8">
        <w:rPr>
          <w:rFonts w:ascii="Book Antiqua" w:eastAsia="Book Antiqua" w:hAnsi="Book Antiqua" w:cs="Book Antiqua"/>
          <w:color w:val="000000"/>
        </w:rPr>
        <w:lastRenderedPageBreak/>
        <w:t xml:space="preserve">enrollment and data collection and were involved in </w:t>
      </w:r>
      <w:r w:rsidR="008D0A0D">
        <w:rPr>
          <w:rFonts w:ascii="Book Antiqua" w:eastAsia="Book Antiqua" w:hAnsi="Book Antiqua" w:cs="Book Antiqua"/>
          <w:color w:val="000000"/>
        </w:rPr>
        <w:t>manuscript</w:t>
      </w:r>
      <w:r w:rsidR="008D0A0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preparation; </w:t>
      </w:r>
      <w:r w:rsidR="00B1076F">
        <w:rPr>
          <w:rFonts w:ascii="Book Antiqua" w:eastAsia="Book Antiqua" w:hAnsi="Book Antiqua" w:cs="Book Antiqua"/>
          <w:color w:val="000000"/>
        </w:rPr>
        <w:t>A</w:t>
      </w:r>
      <w:r w:rsidRPr="00CD7EA8">
        <w:rPr>
          <w:rFonts w:ascii="Book Antiqua" w:eastAsia="Book Antiqua" w:hAnsi="Book Antiqua" w:cs="Book Antiqua"/>
          <w:color w:val="000000"/>
        </w:rPr>
        <w:t>ll authors reviewed the manuscript.</w:t>
      </w:r>
    </w:p>
    <w:p w14:paraId="6AEF2EA0" w14:textId="77777777" w:rsidR="00A77B3E" w:rsidRPr="00CD7EA8" w:rsidRDefault="00A77B3E" w:rsidP="00CD7EA8">
      <w:pPr>
        <w:spacing w:line="360" w:lineRule="auto"/>
        <w:jc w:val="both"/>
        <w:rPr>
          <w:rFonts w:ascii="Book Antiqua" w:hAnsi="Book Antiqua"/>
        </w:rPr>
      </w:pPr>
    </w:p>
    <w:p w14:paraId="33928AC7" w14:textId="0A15DCEF" w:rsidR="00222E45" w:rsidRPr="00CD7EA8" w:rsidRDefault="001060FD" w:rsidP="00CD7EA8">
      <w:pPr>
        <w:spacing w:line="360" w:lineRule="auto"/>
        <w:jc w:val="both"/>
        <w:rPr>
          <w:rFonts w:ascii="Book Antiqua" w:eastAsia="Book Antiqua" w:hAnsi="Book Antiqua" w:cs="Book Antiqua"/>
          <w:color w:val="000000"/>
        </w:rPr>
      </w:pPr>
      <w:r w:rsidRPr="00CD7EA8">
        <w:rPr>
          <w:rFonts w:ascii="Book Antiqua" w:eastAsia="Book Antiqua" w:hAnsi="Book Antiqua" w:cs="Book Antiqua"/>
          <w:b/>
          <w:bCs/>
          <w:color w:val="000000"/>
        </w:rPr>
        <w:t>Corresponding author:</w:t>
      </w:r>
      <w:r w:rsidR="00222E45" w:rsidRPr="00CD7EA8">
        <w:rPr>
          <w:rFonts w:ascii="Book Antiqua" w:eastAsia="Book Antiqua" w:hAnsi="Book Antiqua" w:cs="Book Antiqua"/>
          <w:b/>
          <w:bCs/>
          <w:color w:val="000000"/>
        </w:rPr>
        <w:t xml:space="preserve"> </w:t>
      </w:r>
      <w:proofErr w:type="spellStart"/>
      <w:r w:rsidR="00CD7EA8" w:rsidRPr="00CD7EA8">
        <w:rPr>
          <w:rFonts w:ascii="Book Antiqua" w:eastAsia="Book Antiqua" w:hAnsi="Book Antiqua" w:cs="Book Antiqua"/>
          <w:b/>
          <w:bCs/>
          <w:color w:val="000000"/>
        </w:rPr>
        <w:t>Jihane</w:t>
      </w:r>
      <w:proofErr w:type="spellEnd"/>
      <w:r w:rsidR="00CD7EA8" w:rsidRPr="00CD7EA8">
        <w:rPr>
          <w:rFonts w:ascii="Book Antiqua" w:eastAsia="Book Antiqua" w:hAnsi="Book Antiqua" w:cs="Book Antiqua"/>
          <w:b/>
          <w:bCs/>
          <w:color w:val="000000"/>
        </w:rPr>
        <w:t xml:space="preserve"> </w:t>
      </w:r>
      <w:proofErr w:type="spellStart"/>
      <w:r w:rsidR="00CD7EA8" w:rsidRPr="00CD7EA8">
        <w:rPr>
          <w:rFonts w:ascii="Book Antiqua" w:eastAsia="Book Antiqua" w:hAnsi="Book Antiqua" w:cs="Book Antiqua"/>
          <w:b/>
          <w:bCs/>
          <w:color w:val="000000"/>
        </w:rPr>
        <w:t>Benass</w:t>
      </w:r>
      <w:proofErr w:type="spellEnd"/>
      <w:r w:rsidR="00CD7EA8" w:rsidRPr="00CD7EA8">
        <w:rPr>
          <w:rFonts w:ascii="Book Antiqua" w:eastAsia="Book Antiqua" w:hAnsi="Book Antiqua" w:cs="Book Antiqua"/>
          <w:b/>
          <w:bCs/>
          <w:color w:val="000000"/>
        </w:rPr>
        <w:t>,</w:t>
      </w:r>
      <w:r w:rsidR="00113E1B" w:rsidRPr="00CD7EA8">
        <w:rPr>
          <w:rFonts w:ascii="Book Antiqua" w:eastAsia="Book Antiqua" w:hAnsi="Book Antiqua" w:cs="Book Antiqua"/>
          <w:b/>
          <w:bCs/>
          <w:color w:val="000000"/>
        </w:rPr>
        <w:t xml:space="preserve"> </w:t>
      </w:r>
      <w:r w:rsidR="00CF3DFA" w:rsidRPr="00CD7EA8">
        <w:rPr>
          <w:rFonts w:ascii="Book Antiqua" w:eastAsia="Book Antiqua" w:hAnsi="Book Antiqua" w:cs="Book Antiqua"/>
          <w:b/>
          <w:bCs/>
          <w:color w:val="000000"/>
        </w:rPr>
        <w:t>MD</w:t>
      </w:r>
      <w:r w:rsidR="00CD7EA8" w:rsidRPr="00CD7EA8">
        <w:rPr>
          <w:rFonts w:ascii="Book Antiqua" w:eastAsia="Book Antiqua" w:hAnsi="Book Antiqua" w:cs="Book Antiqua"/>
          <w:b/>
          <w:bCs/>
          <w:color w:val="000000"/>
        </w:rPr>
        <w:t>,</w:t>
      </w:r>
      <w:r w:rsidR="00CD7EA8" w:rsidRPr="00CD7EA8">
        <w:rPr>
          <w:rFonts w:ascii="Book Antiqua" w:eastAsia="Book Antiqua" w:hAnsi="Book Antiqua" w:cs="Book Antiqua"/>
          <w:color w:val="000000"/>
        </w:rPr>
        <w:t xml:space="preserve"> </w:t>
      </w:r>
      <w:r w:rsidR="008D2855">
        <w:rPr>
          <w:rFonts w:ascii="Book Antiqua" w:eastAsia="Book Antiqua" w:hAnsi="Book Antiqua" w:cs="Book Antiqua"/>
          <w:b/>
          <w:bCs/>
          <w:color w:val="000000"/>
        </w:rPr>
        <w:t>Senior Resident</w:t>
      </w:r>
      <w:r w:rsidR="00B1076F" w:rsidRPr="00E31A7A">
        <w:rPr>
          <w:rFonts w:ascii="Book Antiqua" w:eastAsia="Book Antiqua" w:hAnsi="Book Antiqua" w:cs="Book Antiqua"/>
          <w:b/>
          <w:bCs/>
          <w:color w:val="000000"/>
        </w:rPr>
        <w:t>,</w:t>
      </w:r>
      <w:r w:rsidR="00B1076F" w:rsidRPr="0011546F">
        <w:rPr>
          <w:rFonts w:ascii="Book Antiqua" w:eastAsia="Book Antiqua" w:hAnsi="Book Antiqua" w:cs="Book Antiqua"/>
          <w:b/>
          <w:color w:val="000000"/>
        </w:rPr>
        <w:t xml:space="preserve"> </w:t>
      </w:r>
      <w:r w:rsidR="00CD7EA8" w:rsidRPr="00CD7EA8">
        <w:rPr>
          <w:rFonts w:ascii="Book Antiqua" w:eastAsia="Book Antiqua" w:hAnsi="Book Antiqua" w:cs="Book Antiqua"/>
          <w:color w:val="000000"/>
        </w:rPr>
        <w:t xml:space="preserve">Department of Gastroenterology II, Mohammed V Military Teaching Hospital of Rabat, Avenue des Forces </w:t>
      </w:r>
      <w:proofErr w:type="spellStart"/>
      <w:r w:rsidR="00CD7EA8" w:rsidRPr="00CD7EA8">
        <w:rPr>
          <w:rFonts w:ascii="Book Antiqua" w:eastAsia="Book Antiqua" w:hAnsi="Book Antiqua" w:cs="Book Antiqua"/>
          <w:color w:val="000000"/>
        </w:rPr>
        <w:t>Armées</w:t>
      </w:r>
      <w:proofErr w:type="spellEnd"/>
      <w:r w:rsidR="00CD7EA8" w:rsidRPr="00CD7EA8">
        <w:rPr>
          <w:rFonts w:ascii="Book Antiqua" w:eastAsia="Book Antiqua" w:hAnsi="Book Antiqua" w:cs="Book Antiqua"/>
          <w:color w:val="000000"/>
        </w:rPr>
        <w:t xml:space="preserve"> </w:t>
      </w:r>
      <w:proofErr w:type="spellStart"/>
      <w:r w:rsidR="00CD7EA8" w:rsidRPr="00CD7EA8">
        <w:rPr>
          <w:rFonts w:ascii="Book Antiqua" w:eastAsia="Book Antiqua" w:hAnsi="Book Antiqua" w:cs="Book Antiqua"/>
          <w:color w:val="000000"/>
        </w:rPr>
        <w:t>Royales</w:t>
      </w:r>
      <w:proofErr w:type="spellEnd"/>
      <w:r w:rsidR="00CD7EA8" w:rsidRPr="00CD7EA8">
        <w:rPr>
          <w:rFonts w:ascii="Book Antiqua" w:eastAsia="Book Antiqua" w:hAnsi="Book Antiqua" w:cs="Book Antiqua"/>
          <w:color w:val="000000"/>
        </w:rPr>
        <w:t>, Rabat 10100, Morocco.</w:t>
      </w:r>
      <w:r w:rsidR="00CD7EA8" w:rsidRPr="00CD7EA8">
        <w:rPr>
          <w:rFonts w:ascii="Book Antiqua" w:hAnsi="Book Antiqua" w:cs="Book Antiqua"/>
          <w:b/>
          <w:bCs/>
          <w:color w:val="000000"/>
          <w:lang w:eastAsia="zh-CN"/>
        </w:rPr>
        <w:t xml:space="preserve"> </w:t>
      </w:r>
      <w:hyperlink r:id="rId7" w:history="1">
        <w:r w:rsidR="00CD7EA8" w:rsidRPr="00CD7EA8">
          <w:rPr>
            <w:rStyle w:val="ab"/>
            <w:rFonts w:ascii="Book Antiqua" w:eastAsia="Book Antiqua" w:hAnsi="Book Antiqua" w:cs="Book Antiqua"/>
            <w:color w:val="000000" w:themeColor="text1"/>
            <w:u w:val="none"/>
          </w:rPr>
          <w:t>jihane.benass@gmail.com</w:t>
        </w:r>
      </w:hyperlink>
    </w:p>
    <w:p w14:paraId="4C7A50E8" w14:textId="77777777" w:rsidR="00A77B3E" w:rsidRPr="00CD7EA8" w:rsidRDefault="00A77B3E" w:rsidP="00CD7EA8">
      <w:pPr>
        <w:spacing w:line="360" w:lineRule="auto"/>
        <w:jc w:val="both"/>
        <w:rPr>
          <w:rFonts w:ascii="Book Antiqua" w:hAnsi="Book Antiqua"/>
        </w:rPr>
      </w:pPr>
    </w:p>
    <w:p w14:paraId="0B7EB6A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Received: </w:t>
      </w:r>
      <w:r w:rsidRPr="00CD7EA8">
        <w:rPr>
          <w:rFonts w:ascii="Book Antiqua" w:eastAsia="Book Antiqua" w:hAnsi="Book Antiqua" w:cs="Book Antiqua"/>
        </w:rPr>
        <w:t>October 6, 2023</w:t>
      </w:r>
    </w:p>
    <w:p w14:paraId="17325E3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Revised: </w:t>
      </w:r>
      <w:r w:rsidRPr="00CD7EA8">
        <w:rPr>
          <w:rFonts w:ascii="Book Antiqua" w:eastAsia="Book Antiqua" w:hAnsi="Book Antiqua" w:cs="Book Antiqua"/>
        </w:rPr>
        <w:t>November 26, 2023</w:t>
      </w:r>
    </w:p>
    <w:p w14:paraId="02544DC1" w14:textId="20F14985" w:rsidR="00A77B3E" w:rsidRPr="00CD7EA8" w:rsidRDefault="001060FD" w:rsidP="00AB2ADE">
      <w:pPr>
        <w:spacing w:line="360" w:lineRule="auto"/>
        <w:rPr>
          <w:rFonts w:ascii="Book Antiqua" w:hAnsi="Book Antiqua"/>
        </w:rPr>
      </w:pPr>
      <w:r w:rsidRPr="00CD7EA8">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r w:rsidR="00ED3485" w:rsidRPr="00E0103E">
        <w:rPr>
          <w:rFonts w:ascii="Book Antiqua" w:hAnsi="Book Antiqua"/>
        </w:rPr>
        <w:t xml:space="preserve">December </w:t>
      </w:r>
      <w:r w:rsidR="00ED3485">
        <w:rPr>
          <w:rFonts w:ascii="Book Antiqua" w:hAnsi="Book Antiqua"/>
        </w:rPr>
        <w:t>29</w:t>
      </w:r>
      <w:r w:rsidR="00ED3485"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7379151" w14:textId="7B225DB2"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Published online: </w:t>
      </w:r>
      <w:r w:rsidR="007F63E6" w:rsidRPr="0058027F">
        <w:rPr>
          <w:rFonts w:ascii="Book Antiqua" w:hAnsi="Book Antiqua"/>
        </w:rPr>
        <w:t>February</w:t>
      </w:r>
      <w:r w:rsidR="007F63E6">
        <w:rPr>
          <w:rFonts w:ascii="Book Antiqua" w:hAnsi="Book Antiqua"/>
        </w:rPr>
        <w:t xml:space="preserve"> 1</w:t>
      </w:r>
      <w:r w:rsidR="007F63E6">
        <w:rPr>
          <w:rFonts w:ascii="Book Antiqua" w:hAnsi="Book Antiqua" w:hint="eastAsia"/>
          <w:lang w:eastAsia="zh-CN"/>
        </w:rPr>
        <w:t>4</w:t>
      </w:r>
      <w:r w:rsidR="007F63E6">
        <w:rPr>
          <w:rFonts w:ascii="Book Antiqua" w:hAnsi="Book Antiqua"/>
        </w:rPr>
        <w:t>, 2024</w:t>
      </w:r>
    </w:p>
    <w:p w14:paraId="29CED713" w14:textId="77777777" w:rsidR="00A77B3E" w:rsidRPr="00CD7EA8" w:rsidRDefault="00A77B3E" w:rsidP="00CD7EA8">
      <w:pPr>
        <w:spacing w:line="360" w:lineRule="auto"/>
        <w:jc w:val="both"/>
        <w:rPr>
          <w:rFonts w:ascii="Book Antiqua" w:hAnsi="Book Antiqua"/>
        </w:rPr>
        <w:sectPr w:rsidR="00A77B3E" w:rsidRPr="00CD7EA8">
          <w:footerReference w:type="default" r:id="rId8"/>
          <w:pgSz w:w="12240" w:h="15840"/>
          <w:pgMar w:top="1440" w:right="1440" w:bottom="1440" w:left="1440" w:header="720" w:footer="720" w:gutter="0"/>
          <w:cols w:space="720"/>
          <w:docGrid w:linePitch="360"/>
        </w:sectPr>
      </w:pPr>
    </w:p>
    <w:p w14:paraId="7F1DCE0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lastRenderedPageBreak/>
        <w:t>Abstract</w:t>
      </w:r>
    </w:p>
    <w:p w14:paraId="3576432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BACKGROUND</w:t>
      </w:r>
    </w:p>
    <w:p w14:paraId="14FC04C5" w14:textId="1D56748E" w:rsidR="00A77B3E" w:rsidRPr="00CD7EA8" w:rsidRDefault="00E95D24" w:rsidP="00CD7EA8">
      <w:pPr>
        <w:spacing w:line="360" w:lineRule="auto"/>
        <w:jc w:val="both"/>
        <w:rPr>
          <w:rFonts w:ascii="Book Antiqua" w:hAnsi="Book Antiqua"/>
        </w:rPr>
      </w:pPr>
      <w:r>
        <w:rPr>
          <w:rFonts w:ascii="Book Antiqua" w:eastAsia="Book Antiqua" w:hAnsi="Book Antiqua" w:cs="Book Antiqua"/>
        </w:rPr>
        <w:t xml:space="preserve">A cure for </w:t>
      </w:r>
      <w:r w:rsidR="001060FD" w:rsidRPr="00CD7EA8">
        <w:rPr>
          <w:rFonts w:ascii="Book Antiqua" w:eastAsia="Book Antiqua" w:hAnsi="Book Antiqua" w:cs="Book Antiqua"/>
          <w:i/>
          <w:iCs/>
        </w:rPr>
        <w:t>Helicobacter pylori</w:t>
      </w:r>
      <w:r w:rsidR="001060FD" w:rsidRPr="00CD7EA8">
        <w:rPr>
          <w:rFonts w:ascii="Book Antiqua" w:eastAsia="Book Antiqua" w:hAnsi="Book Antiqua" w:cs="Book Antiqua"/>
        </w:rPr>
        <w:t xml:space="preserve"> (</w:t>
      </w:r>
      <w:r w:rsidR="001060FD" w:rsidRPr="00CD7EA8">
        <w:rPr>
          <w:rFonts w:ascii="Book Antiqua" w:eastAsia="Book Antiqua" w:hAnsi="Book Antiqua" w:cs="Book Antiqua"/>
          <w:i/>
          <w:iCs/>
        </w:rPr>
        <w:t>H. pylori</w:t>
      </w:r>
      <w:r w:rsidR="001060FD" w:rsidRPr="00CD7EA8">
        <w:rPr>
          <w:rFonts w:ascii="Book Antiqua" w:eastAsia="Book Antiqua" w:hAnsi="Book Antiqua" w:cs="Book Antiqua"/>
        </w:rPr>
        <w:t xml:space="preserve">) remains a problem of global concern. The prevalence of antimicrobial resistance is widely rising and becoming a challenging issue worldwide. Optimizing sequential therapy seems to be one of the most attractive strategies in terms of efficacy, tolerability and cost. The most common sequential therapy consists of a dual therapy </w:t>
      </w:r>
      <w:r w:rsidR="00205971" w:rsidRPr="00CD7EA8">
        <w:rPr>
          <w:rFonts w:ascii="Book Antiqua" w:eastAsia="Book Antiqua" w:hAnsi="Book Antiqua" w:cs="Book Antiqua"/>
        </w:rPr>
        <w:t>[prot</w:t>
      </w:r>
      <w:r w:rsidR="00222E45" w:rsidRPr="00CD7EA8">
        <w:rPr>
          <w:rFonts w:ascii="Book Antiqua" w:eastAsia="Book Antiqua" w:hAnsi="Book Antiqua" w:cs="Book Antiqua"/>
        </w:rPr>
        <w:t>on</w:t>
      </w:r>
      <w:r w:rsidR="00205971" w:rsidRPr="00CD7EA8">
        <w:rPr>
          <w:rFonts w:ascii="Book Antiqua" w:eastAsia="Book Antiqua" w:hAnsi="Book Antiqua" w:cs="Book Antiqua"/>
        </w:rPr>
        <w:t>-</w:t>
      </w:r>
      <w:r w:rsidR="00222E45" w:rsidRPr="00CD7EA8">
        <w:rPr>
          <w:rFonts w:ascii="Book Antiqua" w:eastAsia="Book Antiqua" w:hAnsi="Book Antiqua" w:cs="Book Antiqua"/>
        </w:rPr>
        <w:t>pump</w:t>
      </w:r>
      <w:r w:rsidR="00205971" w:rsidRPr="00CD7EA8">
        <w:rPr>
          <w:rFonts w:ascii="Book Antiqua" w:eastAsia="Book Antiqua" w:hAnsi="Book Antiqua" w:cs="Book Antiqua"/>
        </w:rPr>
        <w:t xml:space="preserve"> </w:t>
      </w:r>
      <w:r w:rsidR="00222E45" w:rsidRPr="00CD7EA8">
        <w:rPr>
          <w:rFonts w:ascii="Book Antiqua" w:eastAsia="Book Antiqua" w:hAnsi="Book Antiqua" w:cs="Book Antiqua"/>
        </w:rPr>
        <w:t>inhibitors</w:t>
      </w:r>
      <w:r w:rsidR="00205971" w:rsidRPr="00CD7EA8">
        <w:rPr>
          <w:rFonts w:ascii="Book Antiqua" w:eastAsia="Book Antiqua" w:hAnsi="Book Antiqua" w:cs="Book Antiqua"/>
        </w:rPr>
        <w:t xml:space="preserve"> (</w:t>
      </w:r>
      <w:r w:rsidR="001060FD" w:rsidRPr="00CD7EA8">
        <w:rPr>
          <w:rFonts w:ascii="Book Antiqua" w:eastAsia="Book Antiqua" w:hAnsi="Book Antiqua" w:cs="Book Antiqua"/>
        </w:rPr>
        <w:t>PPI</w:t>
      </w:r>
      <w:r w:rsidR="00B1076F">
        <w:rPr>
          <w:rFonts w:ascii="Book Antiqua" w:eastAsia="Book Antiqua" w:hAnsi="Book Antiqua" w:cs="Book Antiqua"/>
        </w:rPr>
        <w:t>s</w:t>
      </w:r>
      <w:r w:rsidR="00205971" w:rsidRPr="00CD7EA8">
        <w:rPr>
          <w:rFonts w:ascii="Book Antiqua" w:eastAsia="Book Antiqua" w:hAnsi="Book Antiqua" w:cs="Book Antiqua"/>
        </w:rPr>
        <w:t>)</w:t>
      </w:r>
      <w:r w:rsidR="001060FD" w:rsidRPr="00CD7EA8">
        <w:rPr>
          <w:rFonts w:ascii="Book Antiqua" w:eastAsia="Book Antiqua" w:hAnsi="Book Antiqua" w:cs="Book Antiqua"/>
        </w:rPr>
        <w:t xml:space="preserve"> and </w:t>
      </w:r>
      <w:r w:rsidR="00DC288A">
        <w:rPr>
          <w:rFonts w:ascii="Book Antiqua" w:eastAsia="Book Antiqua" w:hAnsi="Book Antiqua" w:cs="Book Antiqua"/>
        </w:rPr>
        <w:t>a</w:t>
      </w:r>
      <w:r w:rsidR="001060FD" w:rsidRPr="00CD7EA8">
        <w:rPr>
          <w:rFonts w:ascii="Book Antiqua" w:eastAsia="Book Antiqua" w:hAnsi="Book Antiqua" w:cs="Book Antiqua"/>
        </w:rPr>
        <w:t>moxicillin</w:t>
      </w:r>
      <w:r w:rsidR="00205971" w:rsidRPr="00CD7EA8">
        <w:rPr>
          <w:rFonts w:ascii="Book Antiqua" w:eastAsia="Book Antiqua" w:hAnsi="Book Antiqua" w:cs="Book Antiqua"/>
        </w:rPr>
        <w:t>]</w:t>
      </w:r>
      <w:r w:rsidR="001060FD" w:rsidRPr="00CD7EA8">
        <w:rPr>
          <w:rFonts w:ascii="Book Antiqua" w:eastAsia="Book Antiqua" w:hAnsi="Book Antiqua" w:cs="Book Antiqua"/>
        </w:rPr>
        <w:t xml:space="preserve"> for the first period (5 to 7 d), followed by a triple therapy for the second period (PPI, </w:t>
      </w:r>
      <w:r w:rsidR="00DC288A">
        <w:rPr>
          <w:rFonts w:ascii="Book Antiqua" w:eastAsia="Book Antiqua" w:hAnsi="Book Antiqua" w:cs="Book Antiqua"/>
        </w:rPr>
        <w:t>c</w:t>
      </w:r>
      <w:r w:rsidR="001060FD" w:rsidRPr="00CD7EA8">
        <w:rPr>
          <w:rFonts w:ascii="Book Antiqua" w:eastAsia="Book Antiqua" w:hAnsi="Book Antiqua" w:cs="Book Antiqua"/>
        </w:rPr>
        <w:t xml:space="preserve">larithromycin and </w:t>
      </w:r>
      <w:r w:rsidR="00DC288A">
        <w:rPr>
          <w:rFonts w:ascii="Book Antiqua" w:eastAsia="Book Antiqua" w:hAnsi="Book Antiqua" w:cs="Book Antiqua"/>
        </w:rPr>
        <w:t>m</w:t>
      </w:r>
      <w:r w:rsidR="001060FD" w:rsidRPr="00CD7EA8">
        <w:rPr>
          <w:rFonts w:ascii="Book Antiqua" w:eastAsia="Book Antiqua" w:hAnsi="Book Antiqua" w:cs="Book Antiqua"/>
        </w:rPr>
        <w:t xml:space="preserve">etronidazole). PPIs play a key role in maintaining a gastric </w:t>
      </w:r>
      <w:r w:rsidR="00222E45" w:rsidRPr="00CD7EA8">
        <w:rPr>
          <w:rFonts w:ascii="Book Antiqua" w:eastAsia="Book Antiqua" w:hAnsi="Book Antiqua" w:cs="Book Antiqua"/>
        </w:rPr>
        <w:t>pH</w:t>
      </w:r>
      <w:r w:rsidR="001060FD" w:rsidRPr="00CD7EA8">
        <w:rPr>
          <w:rFonts w:ascii="Book Antiqua" w:eastAsia="Book Antiqua" w:hAnsi="Book Antiqua" w:cs="Book Antiqua"/>
        </w:rPr>
        <w:t xml:space="preserve"> at a level that allows an optimal efficacy of antibiotics, hence the idea of using new generation molecules.</w:t>
      </w:r>
    </w:p>
    <w:p w14:paraId="234FB0DE" w14:textId="77777777" w:rsidR="00A77B3E" w:rsidRPr="00CD7EA8" w:rsidRDefault="00A77B3E" w:rsidP="00CD7EA8">
      <w:pPr>
        <w:spacing w:line="360" w:lineRule="auto"/>
        <w:jc w:val="both"/>
        <w:rPr>
          <w:rFonts w:ascii="Book Antiqua" w:hAnsi="Book Antiqua"/>
        </w:rPr>
      </w:pPr>
    </w:p>
    <w:p w14:paraId="4340EA13"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AIM</w:t>
      </w:r>
    </w:p>
    <w:p w14:paraId="2C60A1F0" w14:textId="2A94B496"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To compare an optimized sequential therapy with the standard non-bismuth quadruple therapies of 10 and 14 d, in terms of efficacy, incidence of adverse </w:t>
      </w:r>
      <w:proofErr w:type="gramStart"/>
      <w:r w:rsidRPr="00CD7EA8">
        <w:rPr>
          <w:rFonts w:ascii="Book Antiqua" w:eastAsia="Book Antiqua" w:hAnsi="Book Antiqua" w:cs="Book Antiqua"/>
        </w:rPr>
        <w:t>effects</w:t>
      </w:r>
      <w:proofErr w:type="gramEnd"/>
      <w:r w:rsidRPr="00CD7EA8">
        <w:rPr>
          <w:rFonts w:ascii="Book Antiqua" w:eastAsia="Book Antiqua" w:hAnsi="Book Antiqua" w:cs="Book Antiqua"/>
        </w:rPr>
        <w:t xml:space="preserve"> (AEs) and cost.</w:t>
      </w:r>
    </w:p>
    <w:p w14:paraId="12312F29" w14:textId="77777777" w:rsidR="00A77B3E" w:rsidRPr="00CD7EA8" w:rsidRDefault="00A77B3E" w:rsidP="00CD7EA8">
      <w:pPr>
        <w:spacing w:line="360" w:lineRule="auto"/>
        <w:jc w:val="both"/>
        <w:rPr>
          <w:rFonts w:ascii="Book Antiqua" w:hAnsi="Book Antiqua"/>
        </w:rPr>
      </w:pPr>
    </w:p>
    <w:p w14:paraId="03EAE98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METHODS</w:t>
      </w:r>
    </w:p>
    <w:p w14:paraId="660C906A" w14:textId="3B6020E5"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This open-label prospective study randomized 328 patients with confirmed </w:t>
      </w:r>
      <w:r w:rsidRPr="00CD7EA8">
        <w:rPr>
          <w:rFonts w:ascii="Book Antiqua" w:eastAsia="Book Antiqua" w:hAnsi="Book Antiqua" w:cs="Book Antiqua"/>
          <w:i/>
          <w:iCs/>
        </w:rPr>
        <w:t>H.</w:t>
      </w:r>
      <w:r w:rsidR="00205971" w:rsidRPr="00CD7EA8">
        <w:rPr>
          <w:rFonts w:ascii="Book Antiqua" w:eastAsia="Book Antiqua" w:hAnsi="Book Antiqua" w:cs="Book Antiqua"/>
          <w:i/>
          <w:iCs/>
        </w:rPr>
        <w:t xml:space="preserve"> p</w:t>
      </w:r>
      <w:r w:rsidRPr="00CD7EA8">
        <w:rPr>
          <w:rFonts w:ascii="Book Antiqua" w:eastAsia="Book Antiqua" w:hAnsi="Book Antiqua" w:cs="Book Antiqua"/>
          <w:i/>
          <w:iCs/>
        </w:rPr>
        <w:t>ylori</w:t>
      </w:r>
      <w:r w:rsidRPr="00CD7EA8">
        <w:rPr>
          <w:rFonts w:ascii="Book Antiqua" w:eastAsia="Book Antiqua" w:hAnsi="Book Antiqua" w:cs="Book Antiqua"/>
        </w:rPr>
        <w:t xml:space="preserve"> infection into </w:t>
      </w:r>
      <w:r w:rsidR="00BE5C88">
        <w:rPr>
          <w:rFonts w:ascii="Book Antiqua" w:eastAsia="Book Antiqua" w:hAnsi="Book Antiqua" w:cs="Book Antiqua"/>
        </w:rPr>
        <w:t>three</w:t>
      </w:r>
      <w:r w:rsidR="00BE5C88" w:rsidRPr="00CD7EA8">
        <w:rPr>
          <w:rFonts w:ascii="Book Antiqua" w:eastAsia="Book Antiqua" w:hAnsi="Book Antiqua" w:cs="Book Antiqua"/>
        </w:rPr>
        <w:t xml:space="preserve"> </w:t>
      </w:r>
      <w:r w:rsidRPr="00CD7EA8">
        <w:rPr>
          <w:rFonts w:ascii="Book Antiqua" w:eastAsia="Book Antiqua" w:hAnsi="Book Antiqua" w:cs="Book Antiqua"/>
        </w:rPr>
        <w:t xml:space="preserve">groups (1:1:1): The first group received quadruple therapy consisting of twice-daily (bid) </w:t>
      </w:r>
      <w:r w:rsidR="00DC288A">
        <w:rPr>
          <w:rFonts w:ascii="Book Antiqua" w:eastAsia="Book Antiqua" w:hAnsi="Book Antiqua" w:cs="Book Antiqua"/>
        </w:rPr>
        <w:t>o</w:t>
      </w:r>
      <w:r w:rsidRPr="00CD7EA8">
        <w:rPr>
          <w:rFonts w:ascii="Book Antiqua" w:eastAsia="Book Antiqua" w:hAnsi="Book Antiqua" w:cs="Book Antiqua"/>
        </w:rPr>
        <w:t>meprazole 20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mg, </w:t>
      </w:r>
      <w:r w:rsidR="00DC288A">
        <w:rPr>
          <w:rFonts w:ascii="Book Antiqua" w:eastAsia="Book Antiqua" w:hAnsi="Book Antiqua" w:cs="Book Antiqua"/>
        </w:rPr>
        <w:t>a</w:t>
      </w:r>
      <w:r w:rsidRPr="00CD7EA8">
        <w:rPr>
          <w:rFonts w:ascii="Book Antiqua" w:eastAsia="Book Antiqua" w:hAnsi="Book Antiqua" w:cs="Book Antiqua"/>
        </w:rPr>
        <w:t>moxicillin 1</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g, </w:t>
      </w:r>
      <w:r w:rsidR="00DC288A">
        <w:rPr>
          <w:rFonts w:ascii="Book Antiqua" w:eastAsia="Book Antiqua" w:hAnsi="Book Antiqua" w:cs="Book Antiqua"/>
        </w:rPr>
        <w:t>c</w:t>
      </w:r>
      <w:r w:rsidRPr="00CD7EA8">
        <w:rPr>
          <w:rFonts w:ascii="Book Antiqua" w:eastAsia="Book Antiqua" w:hAnsi="Book Antiqua" w:cs="Book Antiqua"/>
        </w:rPr>
        <w:t>larithromycin 500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mg and </w:t>
      </w:r>
      <w:r w:rsidR="00DC288A">
        <w:rPr>
          <w:rFonts w:ascii="Book Antiqua" w:eastAsia="Book Antiqua" w:hAnsi="Book Antiqua" w:cs="Book Antiqua"/>
        </w:rPr>
        <w:t>m</w:t>
      </w:r>
      <w:r w:rsidRPr="00CD7EA8">
        <w:rPr>
          <w:rFonts w:ascii="Book Antiqua" w:eastAsia="Book Antiqua" w:hAnsi="Book Antiqua" w:cs="Book Antiqua"/>
        </w:rPr>
        <w:t>etronidazole 500</w:t>
      </w:r>
      <w:r w:rsidR="00205971" w:rsidRPr="00CD7EA8">
        <w:rPr>
          <w:rFonts w:ascii="Book Antiqua" w:eastAsia="Book Antiqua" w:hAnsi="Book Antiqua" w:cs="Book Antiqua"/>
        </w:rPr>
        <w:t xml:space="preserve"> </w:t>
      </w:r>
      <w:r w:rsidRPr="00CD7EA8">
        <w:rPr>
          <w:rFonts w:ascii="Book Antiqua" w:eastAsia="Book Antiqua" w:hAnsi="Book Antiqua" w:cs="Book Antiqua"/>
        </w:rPr>
        <w:t>mg for 10</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d (QT-10), the second group received a 14 d quadruple therapy following the same regimen (QT-14), and the third group received an optimized sequential therapy consisting of bid </w:t>
      </w:r>
      <w:proofErr w:type="spellStart"/>
      <w:r w:rsidR="007256AE">
        <w:rPr>
          <w:rFonts w:ascii="Book Antiqua" w:eastAsia="Book Antiqua" w:hAnsi="Book Antiqua" w:cs="Book Antiqua"/>
        </w:rPr>
        <w:t>r</w:t>
      </w:r>
      <w:r w:rsidRPr="00CD7EA8">
        <w:rPr>
          <w:rFonts w:ascii="Book Antiqua" w:eastAsia="Book Antiqua" w:hAnsi="Book Antiqua" w:cs="Book Antiqua"/>
        </w:rPr>
        <w:t>abeprazole</w:t>
      </w:r>
      <w:proofErr w:type="spellEnd"/>
      <w:r w:rsidRPr="00CD7EA8">
        <w:rPr>
          <w:rFonts w:ascii="Book Antiqua" w:eastAsia="Book Antiqua" w:hAnsi="Book Antiqua" w:cs="Book Antiqua"/>
        </w:rPr>
        <w:t xml:space="preserve"> 20 mg plus amoxicillin 1</w:t>
      </w:r>
      <w:r w:rsidR="00205971" w:rsidRPr="00CD7EA8">
        <w:rPr>
          <w:rFonts w:ascii="Book Antiqua" w:eastAsia="Book Antiqua" w:hAnsi="Book Antiqua" w:cs="Book Antiqua"/>
        </w:rPr>
        <w:t xml:space="preserve"> </w:t>
      </w:r>
      <w:r w:rsidRPr="00CD7EA8">
        <w:rPr>
          <w:rFonts w:ascii="Book Antiqua" w:eastAsia="Book Antiqua" w:hAnsi="Book Antiqua" w:cs="Book Antiqua"/>
        </w:rPr>
        <w:t xml:space="preserve">g for 7 d, followed by bid </w:t>
      </w:r>
      <w:proofErr w:type="spellStart"/>
      <w:r w:rsidR="007256AE">
        <w:rPr>
          <w:rFonts w:ascii="Book Antiqua" w:eastAsia="Book Antiqua" w:hAnsi="Book Antiqua" w:cs="Book Antiqua"/>
        </w:rPr>
        <w:t>r</w:t>
      </w:r>
      <w:r w:rsidRPr="00CD7EA8">
        <w:rPr>
          <w:rFonts w:ascii="Book Antiqua" w:eastAsia="Book Antiqua" w:hAnsi="Book Antiqua" w:cs="Book Antiqua"/>
        </w:rPr>
        <w:t>abeprazole</w:t>
      </w:r>
      <w:proofErr w:type="spellEnd"/>
      <w:r w:rsidRPr="00CD7EA8">
        <w:rPr>
          <w:rFonts w:ascii="Book Antiqua" w:eastAsia="Book Antiqua" w:hAnsi="Book Antiqua" w:cs="Book Antiqua"/>
        </w:rPr>
        <w:t xml:space="preserve"> 20 mg, </w:t>
      </w:r>
      <w:r w:rsidR="00DC288A">
        <w:rPr>
          <w:rFonts w:ascii="Book Antiqua" w:eastAsia="Book Antiqua" w:hAnsi="Book Antiqua" w:cs="Book Antiqua"/>
        </w:rPr>
        <w:t>c</w:t>
      </w:r>
      <w:r w:rsidRPr="00CD7EA8">
        <w:rPr>
          <w:rFonts w:ascii="Book Antiqua" w:eastAsia="Book Antiqua" w:hAnsi="Book Antiqua" w:cs="Book Antiqua"/>
        </w:rPr>
        <w:t xml:space="preserve">larithromycin 500 mg and </w:t>
      </w:r>
      <w:r w:rsidR="00DC288A">
        <w:rPr>
          <w:rFonts w:ascii="Book Antiqua" w:eastAsia="Book Antiqua" w:hAnsi="Book Antiqua" w:cs="Book Antiqua"/>
        </w:rPr>
        <w:t>m</w:t>
      </w:r>
      <w:r w:rsidRPr="00CD7EA8">
        <w:rPr>
          <w:rFonts w:ascii="Book Antiqua" w:eastAsia="Book Antiqua" w:hAnsi="Book Antiqua" w:cs="Book Antiqua"/>
        </w:rPr>
        <w:t xml:space="preserve">etronidazole 500 mg for the next 7 d (OST-14). AEs were recorded throughout the study, and the </w:t>
      </w:r>
      <w:r w:rsidRPr="00CD7EA8">
        <w:rPr>
          <w:rFonts w:ascii="Book Antiqua" w:eastAsia="Book Antiqua" w:hAnsi="Book Antiqua" w:cs="Book Antiqua"/>
          <w:i/>
          <w:iCs/>
        </w:rPr>
        <w:t>H.</w:t>
      </w:r>
      <w:r w:rsidR="00205971" w:rsidRPr="00CD7EA8">
        <w:rPr>
          <w:rFonts w:ascii="Book Antiqua" w:eastAsia="Book Antiqua" w:hAnsi="Book Antiqua" w:cs="Book Antiqua"/>
          <w:i/>
          <w:iCs/>
        </w:rPr>
        <w:t xml:space="preserve"> p</w:t>
      </w:r>
      <w:r w:rsidRPr="00CD7EA8">
        <w:rPr>
          <w:rFonts w:ascii="Book Antiqua" w:eastAsia="Book Antiqua" w:hAnsi="Book Antiqua" w:cs="Book Antiqua"/>
          <w:i/>
          <w:iCs/>
        </w:rPr>
        <w:t>ylori</w:t>
      </w:r>
      <w:r w:rsidRPr="00CD7EA8">
        <w:rPr>
          <w:rFonts w:ascii="Book Antiqua" w:eastAsia="Book Antiqua" w:hAnsi="Book Antiqua" w:cs="Book Antiqua"/>
        </w:rPr>
        <w:t xml:space="preserve"> eradication rate was determined 4 to 6 </w:t>
      </w:r>
      <w:proofErr w:type="spellStart"/>
      <w:r w:rsidRPr="00CD7EA8">
        <w:rPr>
          <w:rFonts w:ascii="Book Antiqua" w:eastAsia="Book Antiqua" w:hAnsi="Book Antiqua" w:cs="Book Antiqua"/>
        </w:rPr>
        <w:t>wk</w:t>
      </w:r>
      <w:proofErr w:type="spellEnd"/>
      <w:r w:rsidRPr="00CD7EA8">
        <w:rPr>
          <w:rFonts w:ascii="Book Antiqua" w:eastAsia="Book Antiqua" w:hAnsi="Book Antiqua" w:cs="Book Antiqua"/>
        </w:rPr>
        <w:t xml:space="preserve"> after the end of treatment, using the 13C urea breath test.</w:t>
      </w:r>
    </w:p>
    <w:p w14:paraId="0B0D2633" w14:textId="77777777" w:rsidR="00A77B3E" w:rsidRPr="00CD7EA8" w:rsidRDefault="00A77B3E" w:rsidP="00CD7EA8">
      <w:pPr>
        <w:spacing w:line="360" w:lineRule="auto"/>
        <w:jc w:val="both"/>
        <w:rPr>
          <w:rFonts w:ascii="Book Antiqua" w:hAnsi="Book Antiqua"/>
        </w:rPr>
      </w:pPr>
    </w:p>
    <w:p w14:paraId="127F376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RESULTS</w:t>
      </w:r>
    </w:p>
    <w:p w14:paraId="357CA808" w14:textId="53FF8255"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lastRenderedPageBreak/>
        <w:t xml:space="preserve">In the intention-to-treat and per-protocol analysis, the eradication rate was higher in the OST-14 group compared to the QT-10 group: (93.5%, 85.5% </w:t>
      </w:r>
      <w:r w:rsidRPr="00CD7EA8">
        <w:rPr>
          <w:rFonts w:ascii="Book Antiqua" w:eastAsia="Book Antiqua" w:hAnsi="Book Antiqua" w:cs="Book Antiqua"/>
          <w:i/>
          <w:iCs/>
        </w:rPr>
        <w:t>P</w:t>
      </w:r>
      <w:r w:rsidRPr="00CD7EA8">
        <w:rPr>
          <w:rFonts w:ascii="Book Antiqua" w:eastAsia="Book Antiqua" w:hAnsi="Book Antiqua" w:cs="Book Antiqua"/>
        </w:rPr>
        <w:t xml:space="preserve"> = 0.04) and (96.2%, 89.5% </w:t>
      </w:r>
      <w:r w:rsidRPr="00CD7EA8">
        <w:rPr>
          <w:rFonts w:ascii="Book Antiqua" w:eastAsia="Book Antiqua" w:hAnsi="Book Antiqua" w:cs="Book Antiqua"/>
          <w:i/>
          <w:iCs/>
        </w:rPr>
        <w:t>P</w:t>
      </w:r>
      <w:r w:rsidRPr="00CD7EA8">
        <w:rPr>
          <w:rFonts w:ascii="Book Antiqua" w:eastAsia="Book Antiqua" w:hAnsi="Book Antiqua" w:cs="Book Antiqua"/>
        </w:rPr>
        <w:t xml:space="preserve"> = 0.03) respectively. However, there was no statistically significant difference </w:t>
      </w:r>
      <w:r w:rsidR="00C315CB">
        <w:rPr>
          <w:rFonts w:ascii="Book Antiqua" w:eastAsia="Book Antiqua" w:hAnsi="Book Antiqua" w:cs="Book Antiqua"/>
        </w:rPr>
        <w:t>in</w:t>
      </w:r>
      <w:r w:rsidRPr="00CD7EA8">
        <w:rPr>
          <w:rFonts w:ascii="Book Antiqua" w:eastAsia="Book Antiqua" w:hAnsi="Book Antiqua" w:cs="Book Antiqua"/>
        </w:rPr>
        <w:t xml:space="preserve"> eradication rates </w:t>
      </w:r>
      <w:r w:rsidR="00C315CB">
        <w:rPr>
          <w:rFonts w:ascii="Book Antiqua" w:eastAsia="Book Antiqua" w:hAnsi="Book Antiqua" w:cs="Book Antiqua"/>
        </w:rPr>
        <w:t>between</w:t>
      </w:r>
      <w:r w:rsidR="00C315CB" w:rsidRPr="00CD7EA8">
        <w:rPr>
          <w:rFonts w:ascii="Book Antiqua" w:eastAsia="Book Antiqua" w:hAnsi="Book Antiqua" w:cs="Book Antiqua"/>
        </w:rPr>
        <w:t xml:space="preserve"> </w:t>
      </w:r>
      <w:r w:rsidRPr="00CD7EA8">
        <w:rPr>
          <w:rFonts w:ascii="Book Antiqua" w:eastAsia="Book Antiqua" w:hAnsi="Book Antiqua" w:cs="Book Antiqua"/>
        </w:rPr>
        <w:t xml:space="preserve">the OST-14 and QT-14 groups: (93.5%, 91.8% </w:t>
      </w:r>
      <w:r w:rsidRPr="00CD7EA8">
        <w:rPr>
          <w:rFonts w:ascii="Book Antiqua" w:eastAsia="Book Antiqua" w:hAnsi="Book Antiqua" w:cs="Book Antiqua"/>
          <w:i/>
          <w:iCs/>
        </w:rPr>
        <w:t>P</w:t>
      </w:r>
      <w:r w:rsidRPr="00CD7EA8">
        <w:rPr>
          <w:rFonts w:ascii="Book Antiqua" w:eastAsia="Book Antiqua" w:hAnsi="Book Antiqua" w:cs="Book Antiqua"/>
        </w:rPr>
        <w:t xml:space="preserve"> = 0.34) and (96.2%, 94.4% </w:t>
      </w:r>
      <w:r w:rsidRPr="00CD7EA8">
        <w:rPr>
          <w:rFonts w:ascii="Book Antiqua" w:eastAsia="Book Antiqua" w:hAnsi="Book Antiqua" w:cs="Book Antiqua"/>
          <w:i/>
          <w:iCs/>
        </w:rPr>
        <w:t>P</w:t>
      </w:r>
      <w:r w:rsidRPr="00CD7EA8">
        <w:rPr>
          <w:rFonts w:ascii="Book Antiqua" w:eastAsia="Book Antiqua" w:hAnsi="Book Antiqua" w:cs="Book Antiqua"/>
        </w:rPr>
        <w:t xml:space="preserve"> = 0.35)</w:t>
      </w:r>
      <w:r w:rsidR="004264C3">
        <w:rPr>
          <w:rFonts w:ascii="Book Antiqua" w:eastAsia="Book Antiqua" w:hAnsi="Book Antiqua" w:cs="Book Antiqua"/>
        </w:rPr>
        <w:t>,</w:t>
      </w:r>
      <w:r w:rsidRPr="00CD7EA8">
        <w:rPr>
          <w:rFonts w:ascii="Book Antiqua" w:eastAsia="Book Antiqua" w:hAnsi="Book Antiqua" w:cs="Book Antiqua"/>
        </w:rPr>
        <w:t xml:space="preserve"> respectively. The overall incidence of AEs was significantly lower in the OST-14 group (</w:t>
      </w:r>
      <w:r w:rsidRPr="00CD7EA8">
        <w:rPr>
          <w:rFonts w:ascii="Book Antiqua" w:eastAsia="Book Antiqua" w:hAnsi="Book Antiqua" w:cs="Book Antiqua"/>
          <w:i/>
          <w:iCs/>
        </w:rPr>
        <w:t>P</w:t>
      </w:r>
      <w:r w:rsidRPr="00CD7EA8">
        <w:rPr>
          <w:rFonts w:ascii="Book Antiqua" w:eastAsia="Book Antiqua" w:hAnsi="Book Antiqua" w:cs="Book Antiqua"/>
        </w:rPr>
        <w:t xml:space="preserve"> = 0.01). Furthermore, OST-14 was the most cost-effective among the three groups.</w:t>
      </w:r>
    </w:p>
    <w:p w14:paraId="0A47174C" w14:textId="77777777" w:rsidR="00A77B3E" w:rsidRPr="00CD7EA8" w:rsidRDefault="00A77B3E" w:rsidP="00CD7EA8">
      <w:pPr>
        <w:spacing w:line="360" w:lineRule="auto"/>
        <w:jc w:val="both"/>
        <w:rPr>
          <w:rFonts w:ascii="Book Antiqua" w:hAnsi="Book Antiqua"/>
        </w:rPr>
      </w:pPr>
    </w:p>
    <w:p w14:paraId="645570A9"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CONCLUSION</w:t>
      </w:r>
    </w:p>
    <w:p w14:paraId="3CCFEA1F" w14:textId="0C37E88C"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The optimized 14-d sequential therapy is a safe and effective alternative. Its eradication rate is comparable to that of the 14-d concomitant therapy while causing fewer AEs and allowing a gain in terms of cost.</w:t>
      </w:r>
    </w:p>
    <w:p w14:paraId="0F55823A" w14:textId="77777777" w:rsidR="00A77B3E" w:rsidRPr="00CD7EA8" w:rsidRDefault="00A77B3E" w:rsidP="00CD7EA8">
      <w:pPr>
        <w:spacing w:line="360" w:lineRule="auto"/>
        <w:jc w:val="both"/>
        <w:rPr>
          <w:rFonts w:ascii="Book Antiqua" w:hAnsi="Book Antiqua"/>
        </w:rPr>
      </w:pPr>
    </w:p>
    <w:p w14:paraId="5E71B22D" w14:textId="02ACC86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Key Words: </w:t>
      </w:r>
      <w:r w:rsidRPr="00CD7EA8">
        <w:rPr>
          <w:rFonts w:ascii="Book Antiqua" w:eastAsia="Book Antiqua" w:hAnsi="Book Antiqua" w:cs="Book Antiqua"/>
          <w:i/>
          <w:iCs/>
        </w:rPr>
        <w:t>Helicobacter pylori</w:t>
      </w:r>
      <w:r w:rsidRPr="00CD7EA8">
        <w:rPr>
          <w:rFonts w:ascii="Book Antiqua" w:eastAsia="Book Antiqua" w:hAnsi="Book Antiqua" w:cs="Book Antiqua"/>
        </w:rPr>
        <w:t xml:space="preserve">; </w:t>
      </w:r>
      <w:proofErr w:type="gramStart"/>
      <w:r w:rsidRPr="00CD7EA8">
        <w:rPr>
          <w:rFonts w:ascii="Book Antiqua" w:eastAsia="Book Antiqua" w:hAnsi="Book Antiqua" w:cs="Book Antiqua"/>
        </w:rPr>
        <w:t>Quadruple</w:t>
      </w:r>
      <w:proofErr w:type="gramEnd"/>
      <w:r w:rsidRPr="00CD7EA8">
        <w:rPr>
          <w:rFonts w:ascii="Book Antiqua" w:eastAsia="Book Antiqua" w:hAnsi="Book Antiqua" w:cs="Book Antiqua"/>
        </w:rPr>
        <w:t xml:space="preserve"> therapy; Sequential; Pr</w:t>
      </w:r>
      <w:r w:rsidR="00222E45" w:rsidRPr="00CD7EA8">
        <w:rPr>
          <w:rFonts w:ascii="Book Antiqua" w:eastAsia="Book Antiqua" w:hAnsi="Book Antiqua" w:cs="Book Antiqua"/>
        </w:rPr>
        <w:t>oton-pump inhibitor</w:t>
      </w:r>
      <w:r w:rsidRPr="00CD7EA8">
        <w:rPr>
          <w:rFonts w:ascii="Book Antiqua" w:eastAsia="Book Antiqua" w:hAnsi="Book Antiqua" w:cs="Book Antiqua"/>
        </w:rPr>
        <w:t>; Optimization</w:t>
      </w:r>
    </w:p>
    <w:p w14:paraId="60C2612C" w14:textId="77777777" w:rsidR="005F6707" w:rsidRDefault="005F6707" w:rsidP="00CD7EA8">
      <w:pPr>
        <w:spacing w:line="360" w:lineRule="auto"/>
        <w:jc w:val="both"/>
        <w:rPr>
          <w:rFonts w:ascii="Book Antiqua" w:hAnsi="Book Antiqua"/>
          <w:lang w:eastAsia="zh-CN"/>
        </w:rPr>
      </w:pPr>
    </w:p>
    <w:p w14:paraId="0857B7BC" w14:textId="77777777" w:rsidR="00597CB6" w:rsidRDefault="00597CB6" w:rsidP="00597CB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E01EACC" w14:textId="77777777" w:rsidR="00155682" w:rsidRPr="00597CB6" w:rsidRDefault="00155682" w:rsidP="00CD7EA8">
      <w:pPr>
        <w:spacing w:line="360" w:lineRule="auto"/>
        <w:jc w:val="both"/>
        <w:rPr>
          <w:rFonts w:ascii="Book Antiqua" w:hAnsi="Book Antiqua"/>
          <w:lang w:eastAsia="zh-CN"/>
        </w:rPr>
      </w:pPr>
    </w:p>
    <w:p w14:paraId="3312C011" w14:textId="258D7A13" w:rsidR="00155682" w:rsidRPr="00A41DEA" w:rsidRDefault="00155682" w:rsidP="00CD7EA8">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proofErr w:type="spellStart"/>
      <w:r w:rsidR="001060FD" w:rsidRPr="00CD7EA8">
        <w:rPr>
          <w:rFonts w:ascii="Book Antiqua" w:eastAsia="Book Antiqua" w:hAnsi="Book Antiqua" w:cs="Book Antiqua"/>
        </w:rPr>
        <w:t>Seddik</w:t>
      </w:r>
      <w:proofErr w:type="spellEnd"/>
      <w:r w:rsidR="001060FD" w:rsidRPr="00CD7EA8">
        <w:rPr>
          <w:rFonts w:ascii="Book Antiqua" w:eastAsia="Book Antiqua" w:hAnsi="Book Antiqua" w:cs="Book Antiqua"/>
        </w:rPr>
        <w:t xml:space="preserve"> H, </w:t>
      </w:r>
      <w:proofErr w:type="spellStart"/>
      <w:r w:rsidR="001060FD" w:rsidRPr="00CD7EA8">
        <w:rPr>
          <w:rFonts w:ascii="Book Antiqua" w:eastAsia="Book Antiqua" w:hAnsi="Book Antiqua" w:cs="Book Antiqua"/>
        </w:rPr>
        <w:t>Benass</w:t>
      </w:r>
      <w:proofErr w:type="spellEnd"/>
      <w:r w:rsidR="001060FD" w:rsidRPr="00CD7EA8">
        <w:rPr>
          <w:rFonts w:ascii="Book Antiqua" w:eastAsia="Book Antiqua" w:hAnsi="Book Antiqua" w:cs="Book Antiqua"/>
        </w:rPr>
        <w:t xml:space="preserve"> J, </w:t>
      </w:r>
      <w:proofErr w:type="spellStart"/>
      <w:r w:rsidR="001060FD" w:rsidRPr="00CD7EA8">
        <w:rPr>
          <w:rFonts w:ascii="Book Antiqua" w:eastAsia="Book Antiqua" w:hAnsi="Book Antiqua" w:cs="Book Antiqua"/>
        </w:rPr>
        <w:t>Berrag</w:t>
      </w:r>
      <w:proofErr w:type="spellEnd"/>
      <w:r w:rsidR="001060FD" w:rsidRPr="00CD7EA8">
        <w:rPr>
          <w:rFonts w:ascii="Book Antiqua" w:eastAsia="Book Antiqua" w:hAnsi="Book Antiqua" w:cs="Book Antiqua"/>
        </w:rPr>
        <w:t xml:space="preserve"> S, </w:t>
      </w:r>
      <w:proofErr w:type="spellStart"/>
      <w:r w:rsidR="001060FD" w:rsidRPr="00CD7EA8">
        <w:rPr>
          <w:rFonts w:ascii="Book Antiqua" w:eastAsia="Book Antiqua" w:hAnsi="Book Antiqua" w:cs="Book Antiqua"/>
        </w:rPr>
        <w:t>Sair</w:t>
      </w:r>
      <w:proofErr w:type="spellEnd"/>
      <w:r w:rsidR="001060FD" w:rsidRPr="00CD7EA8">
        <w:rPr>
          <w:rFonts w:ascii="Book Antiqua" w:eastAsia="Book Antiqua" w:hAnsi="Book Antiqua" w:cs="Book Antiqua"/>
        </w:rPr>
        <w:t xml:space="preserve"> A, </w:t>
      </w:r>
      <w:proofErr w:type="spellStart"/>
      <w:r w:rsidR="001060FD" w:rsidRPr="00CD7EA8">
        <w:rPr>
          <w:rFonts w:ascii="Book Antiqua" w:eastAsia="Book Antiqua" w:hAnsi="Book Antiqua" w:cs="Book Antiqua"/>
        </w:rPr>
        <w:t>Berraida</w:t>
      </w:r>
      <w:proofErr w:type="spellEnd"/>
      <w:r w:rsidR="001060FD" w:rsidRPr="00CD7EA8">
        <w:rPr>
          <w:rFonts w:ascii="Book Antiqua" w:eastAsia="Book Antiqua" w:hAnsi="Book Antiqua" w:cs="Book Antiqua"/>
        </w:rPr>
        <w:t xml:space="preserve"> R, </w:t>
      </w:r>
      <w:proofErr w:type="spellStart"/>
      <w:r w:rsidR="001060FD" w:rsidRPr="00CD7EA8">
        <w:rPr>
          <w:rFonts w:ascii="Book Antiqua" w:eastAsia="Book Antiqua" w:hAnsi="Book Antiqua" w:cs="Book Antiqua"/>
        </w:rPr>
        <w:t>Boutallaka</w:t>
      </w:r>
      <w:proofErr w:type="spellEnd"/>
      <w:r w:rsidR="001060FD" w:rsidRPr="00CD7EA8">
        <w:rPr>
          <w:rFonts w:ascii="Book Antiqua" w:eastAsia="Book Antiqua" w:hAnsi="Book Antiqua" w:cs="Book Antiqua"/>
        </w:rPr>
        <w:t xml:space="preserve"> H. Optimized sequential therapy </w:t>
      </w:r>
      <w:proofErr w:type="spellStart"/>
      <w:r w:rsidR="001060FD" w:rsidRPr="00CD7EA8">
        <w:rPr>
          <w:rFonts w:ascii="Book Antiqua" w:eastAsia="Book Antiqua" w:hAnsi="Book Antiqua" w:cs="Book Antiqua"/>
          <w:i/>
          <w:iCs/>
        </w:rPr>
        <w:t>vs</w:t>
      </w:r>
      <w:proofErr w:type="spellEnd"/>
      <w:r w:rsidR="001060FD" w:rsidRPr="00CD7EA8">
        <w:rPr>
          <w:rFonts w:ascii="Book Antiqua" w:eastAsia="Book Antiqua" w:hAnsi="Book Antiqua" w:cs="Book Antiqua"/>
        </w:rPr>
        <w:t xml:space="preserve"> 10 and 14-d concomitant therapy for eradicating </w:t>
      </w:r>
      <w:r w:rsidR="001060FD" w:rsidRPr="00E31A7A">
        <w:rPr>
          <w:rFonts w:ascii="Book Antiqua" w:eastAsia="Book Antiqua" w:hAnsi="Book Antiqua" w:cs="Book Antiqua"/>
          <w:i/>
          <w:iCs/>
        </w:rPr>
        <w:t>Helicobacter pylori</w:t>
      </w:r>
      <w:r w:rsidR="001060FD" w:rsidRPr="00CD7EA8">
        <w:rPr>
          <w:rFonts w:ascii="Book Antiqua" w:eastAsia="Book Antiqua" w:hAnsi="Book Antiqua" w:cs="Book Antiqua"/>
        </w:rPr>
        <w:t xml:space="preserve">: A randomized clinical trial. </w:t>
      </w:r>
      <w:r w:rsidR="001060FD" w:rsidRPr="00CD7EA8">
        <w:rPr>
          <w:rFonts w:ascii="Book Antiqua" w:eastAsia="Book Antiqua" w:hAnsi="Book Antiqua" w:cs="Book Antiqua"/>
          <w:i/>
          <w:iCs/>
        </w:rPr>
        <w:t xml:space="preserve">World J </w:t>
      </w:r>
      <w:proofErr w:type="spellStart"/>
      <w:r w:rsidR="001060FD" w:rsidRPr="00CD7EA8">
        <w:rPr>
          <w:rFonts w:ascii="Book Antiqua" w:eastAsia="Book Antiqua" w:hAnsi="Book Antiqua" w:cs="Book Antiqua"/>
          <w:i/>
          <w:iCs/>
        </w:rPr>
        <w:t>Gastroenterol</w:t>
      </w:r>
      <w:proofErr w:type="spellEnd"/>
      <w:r w:rsidR="001060FD" w:rsidRPr="00CD7EA8">
        <w:rPr>
          <w:rFonts w:ascii="Book Antiqua" w:eastAsia="Book Antiqua" w:hAnsi="Book Antiqua" w:cs="Book Antiqua"/>
        </w:rPr>
        <w:t xml:space="preserve"> 202</w:t>
      </w:r>
      <w:r w:rsidR="005F6707">
        <w:rPr>
          <w:rFonts w:ascii="Book Antiqua" w:hAnsi="Book Antiqua" w:cs="Book Antiqua" w:hint="eastAsia"/>
          <w:lang w:eastAsia="zh-CN"/>
        </w:rPr>
        <w:t>4</w:t>
      </w:r>
      <w:r w:rsidR="001060FD" w:rsidRPr="00CD7EA8">
        <w:rPr>
          <w:rFonts w:ascii="Book Antiqua" w:eastAsia="Book Antiqua" w:hAnsi="Book Antiqua" w:cs="Book Antiqua"/>
        </w:rPr>
        <w:t>;</w:t>
      </w:r>
      <w:r w:rsidR="007F63E6" w:rsidRPr="007F63E6">
        <w:rPr>
          <w:rFonts w:ascii="Book Antiqua" w:eastAsia="Book Antiqua" w:hAnsi="Book Antiqua" w:cs="Book Antiqua"/>
        </w:rPr>
        <w:t xml:space="preserve"> 30(6): </w:t>
      </w:r>
      <w:r w:rsidR="00A41DEA">
        <w:rPr>
          <w:rFonts w:ascii="Book Antiqua" w:hAnsi="Book Antiqua" w:cs="Book Antiqua" w:hint="eastAsia"/>
          <w:lang w:eastAsia="zh-CN"/>
        </w:rPr>
        <w:t>556</w:t>
      </w:r>
      <w:r w:rsidR="007F63E6" w:rsidRPr="007F63E6">
        <w:rPr>
          <w:rFonts w:ascii="Book Antiqua" w:eastAsia="Book Antiqua" w:hAnsi="Book Antiqua" w:cs="Book Antiqua"/>
        </w:rPr>
        <w:t>-</w:t>
      </w:r>
      <w:r w:rsidR="00A41DEA">
        <w:rPr>
          <w:rFonts w:ascii="Book Antiqua" w:hAnsi="Book Antiqua" w:cs="Book Antiqua" w:hint="eastAsia"/>
          <w:lang w:eastAsia="zh-CN"/>
        </w:rPr>
        <w:t>564</w:t>
      </w:r>
    </w:p>
    <w:p w14:paraId="196CA85A" w14:textId="040B76E3" w:rsidR="00155682" w:rsidRDefault="007F63E6" w:rsidP="00CD7EA8">
      <w:pPr>
        <w:spacing w:line="360" w:lineRule="auto"/>
        <w:jc w:val="both"/>
        <w:rPr>
          <w:rFonts w:ascii="Book Antiqua" w:hAnsi="Book Antiqua" w:cs="Book Antiqua"/>
          <w:lang w:eastAsia="zh-CN"/>
        </w:rPr>
      </w:pPr>
      <w:r w:rsidRPr="00155682">
        <w:rPr>
          <w:rFonts w:ascii="Book Antiqua" w:eastAsia="Book Antiqua" w:hAnsi="Book Antiqua" w:cs="Book Antiqua"/>
          <w:b/>
        </w:rPr>
        <w:t xml:space="preserve">URL: </w:t>
      </w:r>
      <w:r w:rsidR="00155682" w:rsidRPr="00155682">
        <w:rPr>
          <w:rFonts w:ascii="Book Antiqua" w:eastAsia="Book Antiqua" w:hAnsi="Book Antiqua" w:cs="Book Antiqua"/>
        </w:rPr>
        <w:t>https://www.wjgnet.com/1007-9327/full/v30/i6/</w:t>
      </w:r>
      <w:r w:rsidR="00A41DEA">
        <w:rPr>
          <w:rFonts w:ascii="Book Antiqua" w:hAnsi="Book Antiqua" w:cs="Book Antiqua" w:hint="eastAsia"/>
          <w:lang w:eastAsia="zh-CN"/>
        </w:rPr>
        <w:t>556</w:t>
      </w:r>
      <w:r w:rsidR="00155682" w:rsidRPr="00155682">
        <w:rPr>
          <w:rFonts w:ascii="Book Antiqua" w:eastAsia="Book Antiqua" w:hAnsi="Book Antiqua" w:cs="Book Antiqua"/>
        </w:rPr>
        <w:t>.htm</w:t>
      </w:r>
    </w:p>
    <w:p w14:paraId="419BC426" w14:textId="5C0EF8FC" w:rsidR="00A77B3E" w:rsidRPr="00A41DEA" w:rsidRDefault="007F63E6" w:rsidP="00CD7EA8">
      <w:pPr>
        <w:spacing w:line="360" w:lineRule="auto"/>
        <w:jc w:val="both"/>
        <w:rPr>
          <w:rFonts w:ascii="Book Antiqua" w:hAnsi="Book Antiqua"/>
          <w:lang w:eastAsia="zh-CN"/>
        </w:rPr>
      </w:pPr>
      <w:r w:rsidRPr="00155682">
        <w:rPr>
          <w:rFonts w:ascii="Book Antiqua" w:eastAsia="Book Antiqua" w:hAnsi="Book Antiqua" w:cs="Book Antiqua"/>
          <w:b/>
        </w:rPr>
        <w:t xml:space="preserve">DOI: </w:t>
      </w:r>
      <w:r w:rsidRPr="007F63E6">
        <w:rPr>
          <w:rFonts w:ascii="Book Antiqua" w:eastAsia="Book Antiqua" w:hAnsi="Book Antiqua" w:cs="Book Antiqua"/>
        </w:rPr>
        <w:t>https://dx.doi.org/10.3748/wjg.v30.i6.</w:t>
      </w:r>
      <w:r w:rsidR="00A41DEA">
        <w:rPr>
          <w:rFonts w:ascii="Book Antiqua" w:hAnsi="Book Antiqua" w:cs="Book Antiqua" w:hint="eastAsia"/>
          <w:lang w:eastAsia="zh-CN"/>
        </w:rPr>
        <w:t>556</w:t>
      </w:r>
    </w:p>
    <w:p w14:paraId="0FC0C976" w14:textId="77777777" w:rsidR="00A77B3E" w:rsidRPr="00CD7EA8" w:rsidRDefault="00A77B3E" w:rsidP="00CD7EA8">
      <w:pPr>
        <w:spacing w:line="360" w:lineRule="auto"/>
        <w:jc w:val="both"/>
        <w:rPr>
          <w:rFonts w:ascii="Book Antiqua" w:hAnsi="Book Antiqua"/>
        </w:rPr>
      </w:pPr>
    </w:p>
    <w:p w14:paraId="71FD7DAB" w14:textId="47C02A9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Core Tip: </w:t>
      </w:r>
      <w:r w:rsidRPr="00CD7EA8">
        <w:rPr>
          <w:rFonts w:ascii="Book Antiqua" w:eastAsia="Book Antiqua" w:hAnsi="Book Antiqua" w:cs="Book Antiqua"/>
          <w:i/>
          <w:iCs/>
        </w:rPr>
        <w:t>Helicobacter pylori</w:t>
      </w:r>
      <w:r w:rsidRPr="00CD7EA8">
        <w:rPr>
          <w:rFonts w:ascii="Book Antiqua" w:eastAsia="Book Antiqua" w:hAnsi="Book Antiqua" w:cs="Book Antiqua"/>
        </w:rPr>
        <w:t xml:space="preserve"> infection remains a common infection worldwide. The decline in the efficacy of traditional triple therapies</w:t>
      </w:r>
      <w:r w:rsidR="00383484" w:rsidRPr="00383484">
        <w:rPr>
          <w:rFonts w:ascii="Book Antiqua" w:eastAsia="Book Antiqua" w:hAnsi="Book Antiqua" w:cs="Book Antiqua"/>
        </w:rPr>
        <w:t xml:space="preserve"> </w:t>
      </w:r>
      <w:r w:rsidR="00383484" w:rsidRPr="00CD7EA8">
        <w:rPr>
          <w:rFonts w:ascii="Book Antiqua" w:eastAsia="Book Antiqua" w:hAnsi="Book Antiqua" w:cs="Book Antiqua"/>
        </w:rPr>
        <w:t xml:space="preserve">since 2010 </w:t>
      </w:r>
      <w:r w:rsidRPr="00CD7EA8">
        <w:rPr>
          <w:rFonts w:ascii="Book Antiqua" w:eastAsia="Book Antiqua" w:hAnsi="Book Antiqua" w:cs="Book Antiqua"/>
        </w:rPr>
        <w:t xml:space="preserve">has </w:t>
      </w:r>
      <w:r w:rsidR="00765C1B">
        <w:rPr>
          <w:rFonts w:ascii="Book Antiqua" w:eastAsia="Book Antiqua" w:hAnsi="Book Antiqua" w:cs="Book Antiqua"/>
        </w:rPr>
        <w:t>required</w:t>
      </w:r>
      <w:r w:rsidR="00765C1B" w:rsidRPr="00CD7EA8">
        <w:rPr>
          <w:rFonts w:ascii="Book Antiqua" w:eastAsia="Book Antiqua" w:hAnsi="Book Antiqua" w:cs="Book Antiqua"/>
        </w:rPr>
        <w:t xml:space="preserve"> </w:t>
      </w:r>
      <w:r w:rsidRPr="00CD7EA8">
        <w:rPr>
          <w:rFonts w:ascii="Book Antiqua" w:eastAsia="Book Antiqua" w:hAnsi="Book Antiqua" w:cs="Book Antiqua"/>
        </w:rPr>
        <w:t xml:space="preserve">new combinations of antibiotics. The last guidelines of Maastricht VI recommend bismuth quadruple therapies or concomitant quadruple therapies to reach an eradication rate of </w:t>
      </w:r>
      <w:r w:rsidRPr="00CD7EA8">
        <w:rPr>
          <w:rFonts w:ascii="Book Antiqua" w:eastAsia="Book Antiqua" w:hAnsi="Book Antiqua" w:cs="Book Antiqua"/>
        </w:rPr>
        <w:lastRenderedPageBreak/>
        <w:t xml:space="preserve">at least 90%. These values remain higher than those obtained with standard sequential therapy but are associated </w:t>
      </w:r>
      <w:r w:rsidR="00EB192C">
        <w:rPr>
          <w:rFonts w:ascii="Book Antiqua" w:eastAsia="Book Antiqua" w:hAnsi="Book Antiqua" w:cs="Book Antiqua"/>
        </w:rPr>
        <w:t>with</w:t>
      </w:r>
      <w:r w:rsidR="00EB192C" w:rsidRPr="00CD7EA8">
        <w:rPr>
          <w:rFonts w:ascii="Book Antiqua" w:eastAsia="Book Antiqua" w:hAnsi="Book Antiqua" w:cs="Book Antiqua"/>
        </w:rPr>
        <w:t xml:space="preserve"> </w:t>
      </w:r>
      <w:r w:rsidRPr="00CD7EA8">
        <w:rPr>
          <w:rFonts w:ascii="Book Antiqua" w:eastAsia="Book Antiqua" w:hAnsi="Book Antiqua" w:cs="Book Antiqua"/>
        </w:rPr>
        <w:t>a higher cost and more adverse effects</w:t>
      </w:r>
      <w:r w:rsidR="00205971" w:rsidRPr="00CD7EA8">
        <w:rPr>
          <w:rFonts w:ascii="Book Antiqua" w:eastAsia="Book Antiqua" w:hAnsi="Book Antiqua" w:cs="Book Antiqua"/>
        </w:rPr>
        <w:t xml:space="preserve"> (AEs)</w:t>
      </w:r>
      <w:r w:rsidRPr="00CD7EA8">
        <w:rPr>
          <w:rFonts w:ascii="Book Antiqua" w:eastAsia="Book Antiqua" w:hAnsi="Book Antiqua" w:cs="Book Antiqua"/>
        </w:rPr>
        <w:t xml:space="preserve">. The results of the present study </w:t>
      </w:r>
      <w:r w:rsidR="00EB192C">
        <w:rPr>
          <w:rFonts w:ascii="Book Antiqua" w:eastAsia="Book Antiqua" w:hAnsi="Book Antiqua" w:cs="Book Antiqua"/>
        </w:rPr>
        <w:t>demonstrate</w:t>
      </w:r>
      <w:r w:rsidR="00EB192C" w:rsidRPr="00CD7EA8">
        <w:rPr>
          <w:rFonts w:ascii="Book Antiqua" w:eastAsia="Book Antiqua" w:hAnsi="Book Antiqua" w:cs="Book Antiqua"/>
        </w:rPr>
        <w:t xml:space="preserve"> </w:t>
      </w:r>
      <w:r w:rsidRPr="00CD7EA8">
        <w:rPr>
          <w:rFonts w:ascii="Book Antiqua" w:eastAsia="Book Antiqua" w:hAnsi="Book Antiqua" w:cs="Book Antiqua"/>
        </w:rPr>
        <w:t xml:space="preserve">that optimizing sequential therapy by using second-generation </w:t>
      </w:r>
      <w:r w:rsidR="00222E45" w:rsidRPr="00CD7EA8">
        <w:rPr>
          <w:rFonts w:ascii="Book Antiqua" w:eastAsia="Book Antiqua" w:hAnsi="Book Antiqua" w:cs="Book Antiqua"/>
        </w:rPr>
        <w:t>proton-pump inhibitors</w:t>
      </w:r>
      <w:r w:rsidRPr="00CD7EA8">
        <w:rPr>
          <w:rFonts w:ascii="Book Antiqua" w:eastAsia="Book Antiqua" w:hAnsi="Book Antiqua" w:cs="Book Antiqua"/>
        </w:rPr>
        <w:t xml:space="preserve"> improved eradication rate</w:t>
      </w:r>
      <w:r w:rsidR="007F763A">
        <w:rPr>
          <w:rFonts w:ascii="Book Antiqua" w:eastAsia="Book Antiqua" w:hAnsi="Book Antiqua" w:cs="Book Antiqua"/>
        </w:rPr>
        <w:t>s</w:t>
      </w:r>
      <w:r w:rsidRPr="00CD7EA8">
        <w:rPr>
          <w:rFonts w:ascii="Book Antiqua" w:eastAsia="Book Antiqua" w:hAnsi="Book Antiqua" w:cs="Book Antiqua"/>
        </w:rPr>
        <w:t xml:space="preserve"> and reduce</w:t>
      </w:r>
      <w:r w:rsidR="00222E45" w:rsidRPr="00CD7EA8">
        <w:rPr>
          <w:rFonts w:ascii="Book Antiqua" w:eastAsia="Book Antiqua" w:hAnsi="Book Antiqua" w:cs="Book Antiqua"/>
        </w:rPr>
        <w:t>d</w:t>
      </w:r>
      <w:r w:rsidRPr="00CD7EA8">
        <w:rPr>
          <w:rFonts w:ascii="Book Antiqua" w:eastAsia="Book Antiqua" w:hAnsi="Book Antiqua" w:cs="Book Antiqua"/>
        </w:rPr>
        <w:t xml:space="preserve"> AE incidence. This combination can thus be suggested for use in clinical practice.</w:t>
      </w:r>
    </w:p>
    <w:p w14:paraId="0E86B45F" w14:textId="77777777" w:rsidR="005F6707" w:rsidRDefault="005F6707">
      <w:pPr>
        <w:rPr>
          <w:rFonts w:ascii="Book Antiqua" w:hAnsi="Book Antiqua"/>
        </w:rPr>
      </w:pPr>
      <w:r>
        <w:rPr>
          <w:rFonts w:ascii="Book Antiqua" w:hAnsi="Book Antiqua"/>
        </w:rPr>
        <w:br w:type="page"/>
      </w:r>
    </w:p>
    <w:p w14:paraId="1BB5EC63" w14:textId="309CE84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lastRenderedPageBreak/>
        <w:t>INTRODUCTION</w:t>
      </w:r>
    </w:p>
    <w:p w14:paraId="2D3A5CBF" w14:textId="322F5B52" w:rsidR="00A77B3E" w:rsidRPr="00CD7EA8" w:rsidRDefault="009728BE" w:rsidP="00CD7EA8">
      <w:pPr>
        <w:spacing w:line="360" w:lineRule="auto"/>
        <w:jc w:val="both"/>
        <w:rPr>
          <w:rFonts w:ascii="Book Antiqua" w:hAnsi="Book Antiqua"/>
        </w:rPr>
      </w:pPr>
      <w:r>
        <w:rPr>
          <w:rFonts w:ascii="Book Antiqua" w:eastAsia="Book Antiqua" w:hAnsi="Book Antiqua" w:cs="Book Antiqua"/>
          <w:color w:val="000000"/>
        </w:rPr>
        <w:t xml:space="preserve">A cure for </w:t>
      </w:r>
      <w:r w:rsidR="001060FD" w:rsidRPr="00CD7EA8">
        <w:rPr>
          <w:rFonts w:ascii="Book Antiqua" w:eastAsia="Book Antiqua" w:hAnsi="Book Antiqua" w:cs="Book Antiqua"/>
          <w:i/>
          <w:iCs/>
          <w:color w:val="000000"/>
        </w:rPr>
        <w:t xml:space="preserve">Helicobacter </w:t>
      </w:r>
      <w:r w:rsidR="00205971" w:rsidRPr="00CD7EA8">
        <w:rPr>
          <w:rFonts w:ascii="Book Antiqua" w:eastAsia="Book Antiqua" w:hAnsi="Book Antiqua" w:cs="Book Antiqua"/>
          <w:i/>
          <w:iCs/>
          <w:color w:val="000000"/>
        </w:rPr>
        <w:t>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xml:space="preserve"> (</w:t>
      </w:r>
      <w:r w:rsidR="001060FD"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xml:space="preserve">) remains a problem of global </w:t>
      </w:r>
      <w:proofErr w:type="gramStart"/>
      <w:r w:rsidR="001060FD" w:rsidRPr="00CD7EA8">
        <w:rPr>
          <w:rFonts w:ascii="Book Antiqua" w:eastAsia="Book Antiqua" w:hAnsi="Book Antiqua" w:cs="Book Antiqua"/>
          <w:color w:val="000000"/>
        </w:rPr>
        <w:t>concern</w:t>
      </w:r>
      <w:r w:rsidR="001060FD" w:rsidRPr="00CD7EA8">
        <w:rPr>
          <w:rFonts w:ascii="Book Antiqua" w:eastAsia="Book Antiqua" w:hAnsi="Book Antiqua" w:cs="Book Antiqua"/>
          <w:color w:val="000000"/>
          <w:vertAlign w:val="superscript"/>
        </w:rPr>
        <w:t>[</w:t>
      </w:r>
      <w:proofErr w:type="gramEnd"/>
      <w:r w:rsidR="001060FD" w:rsidRPr="00CD7EA8">
        <w:rPr>
          <w:rFonts w:ascii="Book Antiqua" w:eastAsia="Book Antiqua" w:hAnsi="Book Antiqua" w:cs="Book Antiqua"/>
          <w:color w:val="000000"/>
          <w:vertAlign w:val="superscript"/>
        </w:rPr>
        <w:t>1]</w:t>
      </w:r>
      <w:r w:rsidR="001060FD" w:rsidRPr="00CD7EA8">
        <w:rPr>
          <w:rFonts w:ascii="Book Antiqua" w:eastAsia="Book Antiqua" w:hAnsi="Book Antiqua" w:cs="Book Antiqua"/>
          <w:color w:val="000000"/>
        </w:rPr>
        <w:t xml:space="preserve">. This bacterium is a well-known cause of peptic ulcer, gastritis, gastric mucosa-associated lymphoid tissue lymphoma and gastric </w:t>
      </w:r>
      <w:proofErr w:type="gramStart"/>
      <w:r w:rsidR="001060FD" w:rsidRPr="00CD7EA8">
        <w:rPr>
          <w:rFonts w:ascii="Book Antiqua" w:eastAsia="Book Antiqua" w:hAnsi="Book Antiqua" w:cs="Book Antiqua"/>
          <w:color w:val="000000"/>
        </w:rPr>
        <w:t>malignancies</w:t>
      </w:r>
      <w:r w:rsidR="001060FD" w:rsidRPr="00CD7EA8">
        <w:rPr>
          <w:rFonts w:ascii="Book Antiqua" w:eastAsia="Book Antiqua" w:hAnsi="Book Antiqua" w:cs="Book Antiqua"/>
          <w:color w:val="000000"/>
          <w:vertAlign w:val="superscript"/>
        </w:rPr>
        <w:t>[</w:t>
      </w:r>
      <w:proofErr w:type="gramEnd"/>
      <w:r w:rsidR="001060FD" w:rsidRPr="00CD7EA8">
        <w:rPr>
          <w:rFonts w:ascii="Book Antiqua" w:eastAsia="Book Antiqua" w:hAnsi="Book Antiqua" w:cs="Book Antiqua"/>
          <w:color w:val="000000"/>
          <w:vertAlign w:val="superscript"/>
        </w:rPr>
        <w:t>2-4]</w:t>
      </w:r>
      <w:r w:rsidR="001060FD"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i/>
          <w:iCs/>
        </w:rPr>
        <w:t>H. pylori</w:t>
      </w:r>
      <w:r w:rsidR="001060FD" w:rsidRPr="00CD7EA8">
        <w:rPr>
          <w:rFonts w:ascii="Book Antiqua" w:eastAsia="Book Antiqua" w:hAnsi="Book Antiqua" w:cs="Book Antiqua"/>
          <w:i/>
          <w:iCs/>
          <w:color w:val="000000"/>
        </w:rPr>
        <w:t xml:space="preserve"> </w:t>
      </w:r>
      <w:r w:rsidR="001060FD" w:rsidRPr="00CD7EA8">
        <w:rPr>
          <w:rFonts w:ascii="Book Antiqua" w:eastAsia="Book Antiqua" w:hAnsi="Book Antiqua" w:cs="Book Antiqua"/>
          <w:color w:val="000000"/>
        </w:rPr>
        <w:t xml:space="preserve">eradication is thus an effective strategy in preventing gastric </w:t>
      </w:r>
      <w:proofErr w:type="gramStart"/>
      <w:r w:rsidR="001060FD" w:rsidRPr="00CD7EA8">
        <w:rPr>
          <w:rFonts w:ascii="Book Antiqua" w:eastAsia="Book Antiqua" w:hAnsi="Book Antiqua" w:cs="Book Antiqua"/>
          <w:color w:val="000000"/>
        </w:rPr>
        <w:t>malignancies</w:t>
      </w:r>
      <w:r w:rsidR="001060FD" w:rsidRPr="00CD7EA8">
        <w:rPr>
          <w:rFonts w:ascii="Book Antiqua" w:eastAsia="Book Antiqua" w:hAnsi="Book Antiqua" w:cs="Book Antiqua"/>
          <w:color w:val="000000"/>
          <w:vertAlign w:val="superscript"/>
        </w:rPr>
        <w:t>[</w:t>
      </w:r>
      <w:proofErr w:type="gramEnd"/>
      <w:r w:rsidR="001060FD" w:rsidRPr="00CD7EA8">
        <w:rPr>
          <w:rFonts w:ascii="Book Antiqua" w:eastAsia="Book Antiqua" w:hAnsi="Book Antiqua" w:cs="Book Antiqua"/>
          <w:color w:val="000000"/>
          <w:vertAlign w:val="superscript"/>
        </w:rPr>
        <w:t>5,6]</w:t>
      </w:r>
      <w:r w:rsidR="001060FD" w:rsidRPr="00CD7EA8">
        <w:rPr>
          <w:rFonts w:ascii="Book Antiqua" w:eastAsia="Book Antiqua" w:hAnsi="Book Antiqua" w:cs="Book Antiqua"/>
          <w:color w:val="000000"/>
        </w:rPr>
        <w:t>.</w:t>
      </w:r>
    </w:p>
    <w:p w14:paraId="3304C981" w14:textId="5BB933CD"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Even though </w:t>
      </w:r>
      <w:r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 xml:space="preserve">ylori </w:t>
      </w:r>
      <w:r w:rsidRPr="00CD7EA8">
        <w:rPr>
          <w:rFonts w:ascii="Book Antiqua" w:eastAsia="Book Antiqua" w:hAnsi="Book Antiqua" w:cs="Book Antiqua"/>
          <w:color w:val="000000"/>
        </w:rPr>
        <w:t xml:space="preserve">infection management is evolving, no regimen can currently achieve a cure rate of 100%. The </w:t>
      </w:r>
      <w:r w:rsidR="0038478A">
        <w:rPr>
          <w:rFonts w:ascii="Book Antiqua" w:eastAsia="Book Antiqua" w:hAnsi="Book Antiqua" w:cs="Book Antiqua"/>
          <w:color w:val="000000"/>
        </w:rPr>
        <w:t>most recent</w:t>
      </w:r>
      <w:r w:rsidR="0038478A"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Maastricht VI consensus recommends (in the absence of antibiotic susceptibility testing) quadruple Bismuth therapy or non-Bismuth quadruple concomitant therapy to achieve a cure rate of at least 90% despite </w:t>
      </w:r>
      <w:r w:rsidR="0038478A">
        <w:rPr>
          <w:rFonts w:ascii="Book Antiqua" w:eastAsia="Book Antiqua" w:hAnsi="Book Antiqua" w:cs="Book Antiqua"/>
          <w:color w:val="000000"/>
        </w:rPr>
        <w:t xml:space="preserve">the association of </w:t>
      </w:r>
      <w:r w:rsidRPr="00CD7EA8">
        <w:rPr>
          <w:rFonts w:ascii="Book Antiqua" w:eastAsia="Book Antiqua" w:hAnsi="Book Antiqua" w:cs="Book Antiqua"/>
          <w:color w:val="000000"/>
        </w:rPr>
        <w:t xml:space="preserve">both </w:t>
      </w:r>
      <w:r w:rsidR="00222E45" w:rsidRPr="00CD7EA8">
        <w:rPr>
          <w:rFonts w:ascii="Book Antiqua" w:eastAsia="Book Antiqua" w:hAnsi="Book Antiqua" w:cs="Book Antiqua"/>
          <w:color w:val="000000"/>
        </w:rPr>
        <w:t xml:space="preserve">regimens </w:t>
      </w:r>
      <w:r w:rsidRPr="00CD7EA8">
        <w:rPr>
          <w:rFonts w:ascii="Book Antiqua" w:eastAsia="Book Antiqua" w:hAnsi="Book Antiqua" w:cs="Book Antiqua"/>
          <w:color w:val="000000"/>
        </w:rPr>
        <w:t xml:space="preserve">with a significant rate of adverse effects </w:t>
      </w:r>
      <w:r w:rsidR="00205971" w:rsidRPr="00CD7EA8">
        <w:rPr>
          <w:rFonts w:ascii="Book Antiqua" w:eastAsia="Book Antiqua" w:hAnsi="Book Antiqua" w:cs="Book Antiqua"/>
          <w:color w:val="000000"/>
        </w:rPr>
        <w:t>(AEs)</w:t>
      </w:r>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xml:space="preserve">. Furthermore, the prevalence of antimicrobial resistance is widely rising and becoming a problem of great interest </w:t>
      </w:r>
      <w:proofErr w:type="gramStart"/>
      <w:r w:rsidRPr="00CD7EA8">
        <w:rPr>
          <w:rFonts w:ascii="Book Antiqua" w:eastAsia="Book Antiqua" w:hAnsi="Book Antiqua" w:cs="Book Antiqua"/>
          <w:color w:val="000000"/>
        </w:rPr>
        <w:t>worldwide</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8]</w:t>
      </w:r>
      <w:r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color w:val="000000"/>
        </w:rPr>
        <w:t>i</w:t>
      </w:r>
      <w:r w:rsidRPr="00CD7EA8">
        <w:rPr>
          <w:rFonts w:ascii="Book Antiqua" w:eastAsia="Book Antiqua" w:hAnsi="Book Antiqua" w:cs="Book Antiqua"/>
          <w:color w:val="000000"/>
        </w:rPr>
        <w:t xml:space="preserve">n Morocco, a previous study showed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larithromycin resistance of more than 15%</w:t>
      </w:r>
      <w:r w:rsidRPr="00CD7EA8">
        <w:rPr>
          <w:rFonts w:ascii="Book Antiqua" w:eastAsia="Book Antiqua" w:hAnsi="Book Antiqua" w:cs="Book Antiqua"/>
          <w:color w:val="000000"/>
          <w:vertAlign w:val="superscript"/>
        </w:rPr>
        <w:t>[9]</w:t>
      </w:r>
      <w:r w:rsidRPr="00CD7EA8">
        <w:rPr>
          <w:rFonts w:ascii="Book Antiqua" w:eastAsia="Book Antiqua" w:hAnsi="Book Antiqua" w:cs="Book Antiqua"/>
          <w:color w:val="000000"/>
        </w:rPr>
        <w:t xml:space="preserve">. Therefore, the best strategy to increase </w:t>
      </w:r>
      <w:r w:rsidR="008F14E3" w:rsidRPr="00CD7EA8">
        <w:rPr>
          <w:rFonts w:ascii="Book Antiqua" w:eastAsia="Book Antiqua" w:hAnsi="Book Antiqua" w:cs="Book Antiqua"/>
          <w:i/>
          <w:iCs/>
          <w:color w:val="000000"/>
        </w:rPr>
        <w:t xml:space="preserve">H. pylori </w:t>
      </w:r>
      <w:r w:rsidRPr="00CD7EA8">
        <w:rPr>
          <w:rFonts w:ascii="Book Antiqua" w:eastAsia="Book Antiqua" w:hAnsi="Book Antiqua" w:cs="Book Antiqua"/>
          <w:color w:val="000000"/>
        </w:rPr>
        <w:t xml:space="preserve">eradication rate would be a personalized treatment </w:t>
      </w:r>
      <w:r w:rsidR="00222E45" w:rsidRPr="00CD7EA8">
        <w:rPr>
          <w:rFonts w:ascii="Book Antiqua" w:eastAsia="Book Antiqua" w:hAnsi="Book Antiqua" w:cs="Book Antiqua"/>
          <w:color w:val="000000"/>
        </w:rPr>
        <w:t>based on</w:t>
      </w:r>
      <w:r w:rsidRPr="00CD7EA8">
        <w:rPr>
          <w:rFonts w:ascii="Book Antiqua" w:eastAsia="Book Antiqua" w:hAnsi="Book Antiqua" w:cs="Book Antiqua"/>
          <w:color w:val="000000"/>
        </w:rPr>
        <w:t xml:space="preserve"> antibiotic </w:t>
      </w:r>
      <w:proofErr w:type="gramStart"/>
      <w:r w:rsidRPr="00CD7EA8">
        <w:rPr>
          <w:rFonts w:ascii="Book Antiqua" w:eastAsia="Book Antiqua" w:hAnsi="Book Antiqua" w:cs="Book Antiqua"/>
          <w:color w:val="000000"/>
        </w:rPr>
        <w:t>susceptibility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10]</w:t>
      </w:r>
      <w:r w:rsidRPr="00CD7EA8">
        <w:rPr>
          <w:rFonts w:ascii="Book Antiqua" w:eastAsia="Book Antiqua" w:hAnsi="Book Antiqua" w:cs="Book Antiqua"/>
          <w:color w:val="000000"/>
        </w:rPr>
        <w:t>.</w:t>
      </w:r>
    </w:p>
    <w:p w14:paraId="59B32397" w14:textId="3096A578"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However, this strategy is not possible in many developing countries, which is why many studies have </w:t>
      </w:r>
      <w:r w:rsidR="001C0535" w:rsidRPr="00CD7EA8">
        <w:rPr>
          <w:rFonts w:ascii="Book Antiqua" w:eastAsia="Book Antiqua" w:hAnsi="Book Antiqua" w:cs="Book Antiqua"/>
          <w:color w:val="000000"/>
        </w:rPr>
        <w:t xml:space="preserve">instead </w:t>
      </w:r>
      <w:r w:rsidRPr="00CD7EA8">
        <w:rPr>
          <w:rFonts w:ascii="Book Antiqua" w:eastAsia="Book Antiqua" w:hAnsi="Book Antiqua" w:cs="Book Antiqua"/>
          <w:color w:val="000000"/>
        </w:rPr>
        <w:t xml:space="preserve">focused on optimizing the recommended </w:t>
      </w:r>
      <w:proofErr w:type="gramStart"/>
      <w:r w:rsidRPr="00CD7EA8">
        <w:rPr>
          <w:rFonts w:ascii="Book Antiqua" w:eastAsia="Book Antiqua" w:hAnsi="Book Antiqua" w:cs="Book Antiqua"/>
          <w:color w:val="000000"/>
        </w:rPr>
        <w:t>regimens</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11]</w:t>
      </w:r>
      <w:r w:rsidRPr="00CD7EA8">
        <w:rPr>
          <w:rFonts w:ascii="Book Antiqua" w:eastAsia="Book Antiqua" w:hAnsi="Book Antiqua" w:cs="Book Antiqua"/>
          <w:color w:val="000000"/>
        </w:rPr>
        <w:t xml:space="preserve">. It can either be an optimization by extending the length of the </w:t>
      </w:r>
      <w:proofErr w:type="gramStart"/>
      <w:r w:rsidRPr="00CD7EA8">
        <w:rPr>
          <w:rFonts w:ascii="Book Antiqua" w:eastAsia="Book Antiqua" w:hAnsi="Book Antiqua" w:cs="Book Antiqua"/>
          <w:color w:val="000000"/>
        </w:rPr>
        <w:t>protocol</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12]</w:t>
      </w:r>
      <w:r w:rsidRPr="00CD7EA8">
        <w:rPr>
          <w:rFonts w:ascii="Book Antiqua" w:eastAsia="Book Antiqua" w:hAnsi="Book Antiqua" w:cs="Book Antiqua"/>
          <w:color w:val="000000"/>
        </w:rPr>
        <w:t xml:space="preserve">, using a higher dose and/or second-generation </w:t>
      </w:r>
      <w:r w:rsidR="00222E45" w:rsidRPr="00CD7EA8">
        <w:rPr>
          <w:rFonts w:ascii="Book Antiqua" w:eastAsia="Book Antiqua" w:hAnsi="Book Antiqua" w:cs="Book Antiqua"/>
          <w:color w:val="000000"/>
        </w:rPr>
        <w:t>proton-pump inhibitors</w:t>
      </w:r>
      <w:r w:rsidR="00205971"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PPIs</w:t>
      </w:r>
      <w:r w:rsidR="00205971"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 or switching to </w:t>
      </w:r>
      <w:proofErr w:type="spellStart"/>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w:t>
      </w:r>
      <w:proofErr w:type="spellEnd"/>
      <w:r w:rsidRPr="00CD7EA8">
        <w:rPr>
          <w:rFonts w:ascii="Book Antiqua" w:eastAsia="Book Antiqua" w:hAnsi="Book Antiqua" w:cs="Book Antiqua"/>
          <w:color w:val="000000"/>
          <w:vertAlign w:val="superscript"/>
        </w:rPr>
        <w:t>[13,14]</w:t>
      </w:r>
      <w:r w:rsidRPr="00CD7EA8">
        <w:rPr>
          <w:rFonts w:ascii="Book Antiqua" w:eastAsia="Book Antiqua" w:hAnsi="Book Antiqua" w:cs="Book Antiqua"/>
          <w:color w:val="000000"/>
        </w:rPr>
        <w:t>, changing the antibiotics used and their posology, or associating other molecules to the eradication protocol, such as probiotics</w:t>
      </w:r>
      <w:r w:rsidRPr="00CD7EA8">
        <w:rPr>
          <w:rFonts w:ascii="Book Antiqua" w:eastAsia="Book Antiqua" w:hAnsi="Book Antiqua" w:cs="Book Antiqua"/>
          <w:color w:val="000000"/>
          <w:vertAlign w:val="superscript"/>
        </w:rPr>
        <w:t>[15]</w:t>
      </w:r>
      <w:r w:rsidRPr="00CD7EA8">
        <w:rPr>
          <w:rFonts w:ascii="Book Antiqua" w:eastAsia="Book Antiqua" w:hAnsi="Book Antiqua" w:cs="Book Antiqua"/>
          <w:color w:val="000000"/>
        </w:rPr>
        <w:t>.</w:t>
      </w:r>
    </w:p>
    <w:p w14:paraId="48694DDE" w14:textId="60C5ACB9"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Optimizing the sequential therapy seems to be one of the most attractive strategies in terms of efficacy, tolerability and cost. The most common sequential therapy consists of a dual therapy (PPI and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 xml:space="preserve">moxicillin) for the first period (5 to 7 d), followed by a triple therapy for the second period (PPI,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 xml:space="preserve">etronidazole). PPIs play a key role in maintaining a gastric </w:t>
      </w:r>
      <w:r w:rsidR="00222E45" w:rsidRPr="00CD7EA8">
        <w:rPr>
          <w:rFonts w:ascii="Book Antiqua" w:eastAsia="Book Antiqua" w:hAnsi="Book Antiqua" w:cs="Book Antiqua"/>
          <w:color w:val="000000"/>
        </w:rPr>
        <w:t>p</w:t>
      </w:r>
      <w:r w:rsidRPr="00CD7EA8">
        <w:rPr>
          <w:rFonts w:ascii="Book Antiqua" w:eastAsia="Book Antiqua" w:hAnsi="Book Antiqua" w:cs="Book Antiqua"/>
          <w:color w:val="000000"/>
        </w:rPr>
        <w:t>H at a level that allows optimal</w:t>
      </w:r>
      <w:r w:rsidR="00481466" w:rsidRPr="00481466">
        <w:rPr>
          <w:rFonts w:ascii="Book Antiqua" w:eastAsia="Book Antiqua" w:hAnsi="Book Antiqua" w:cs="Book Antiqua"/>
          <w:color w:val="000000"/>
        </w:rPr>
        <w:t xml:space="preserve"> </w:t>
      </w:r>
      <w:r w:rsidR="00481466" w:rsidRPr="00CD7EA8">
        <w:rPr>
          <w:rFonts w:ascii="Book Antiqua" w:eastAsia="Book Antiqua" w:hAnsi="Book Antiqua" w:cs="Book Antiqua"/>
          <w:color w:val="000000"/>
        </w:rPr>
        <w:t>antibiotic</w:t>
      </w:r>
      <w:r w:rsidRPr="00CD7EA8">
        <w:rPr>
          <w:rFonts w:ascii="Book Antiqua" w:eastAsia="Book Antiqua" w:hAnsi="Book Antiqua" w:cs="Book Antiqua"/>
          <w:color w:val="000000"/>
        </w:rPr>
        <w:t xml:space="preserve"> </w:t>
      </w:r>
      <w:proofErr w:type="gramStart"/>
      <w:r w:rsidRPr="00CD7EA8">
        <w:rPr>
          <w:rFonts w:ascii="Book Antiqua" w:eastAsia="Book Antiqua" w:hAnsi="Book Antiqua" w:cs="Book Antiqua"/>
          <w:color w:val="000000"/>
        </w:rPr>
        <w:t>efficacy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16]</w:t>
      </w:r>
      <w:r w:rsidRPr="00CD7EA8">
        <w:rPr>
          <w:rFonts w:ascii="Book Antiqua" w:eastAsia="Book Antiqua" w:hAnsi="Book Antiqua" w:cs="Book Antiqua"/>
          <w:color w:val="000000"/>
        </w:rPr>
        <w:t xml:space="preserve">, hence the idea of </w:t>
      </w:r>
      <w:r w:rsidR="00222E45" w:rsidRPr="00CD7EA8">
        <w:rPr>
          <w:rFonts w:ascii="Book Antiqua" w:eastAsia="Book Antiqua" w:hAnsi="Book Antiqua" w:cs="Book Antiqua"/>
          <w:color w:val="000000"/>
        </w:rPr>
        <w:t>using</w:t>
      </w:r>
      <w:r w:rsidRPr="00CD7EA8">
        <w:rPr>
          <w:rFonts w:ascii="Book Antiqua" w:eastAsia="Book Antiqua" w:hAnsi="Book Antiqua" w:cs="Book Antiqua"/>
          <w:color w:val="000000"/>
        </w:rPr>
        <w:t xml:space="preserve"> new generation molecules.</w:t>
      </w:r>
    </w:p>
    <w:p w14:paraId="0ADD1AB7" w14:textId="69DEF64C"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primary aim of this study was to compare the efficacy of the 14-d sequential therapy (optimized by using a second-generation PPI) and standard non-bismuth </w:t>
      </w:r>
      <w:r w:rsidRPr="00CD7EA8">
        <w:rPr>
          <w:rFonts w:ascii="Book Antiqua" w:eastAsia="Book Antiqua" w:hAnsi="Book Antiqua" w:cs="Book Antiqua"/>
          <w:color w:val="000000"/>
        </w:rPr>
        <w:lastRenderedPageBreak/>
        <w:t xml:space="preserve">quadruple therapies of 10 and 14 d. The secondary aims were to compare the tolerability and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among the groups, as well as their cost-effectiveness.</w:t>
      </w:r>
    </w:p>
    <w:p w14:paraId="5F568285" w14:textId="77777777" w:rsidR="00A77B3E" w:rsidRPr="00CD7EA8" w:rsidRDefault="00A77B3E" w:rsidP="00CD7EA8">
      <w:pPr>
        <w:spacing w:line="360" w:lineRule="auto"/>
        <w:ind w:firstLine="240"/>
        <w:jc w:val="both"/>
        <w:rPr>
          <w:rFonts w:ascii="Book Antiqua" w:hAnsi="Book Antiqua"/>
        </w:rPr>
      </w:pPr>
    </w:p>
    <w:p w14:paraId="14DA105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MATERIALS AND METHODS</w:t>
      </w:r>
    </w:p>
    <w:p w14:paraId="0CB0D1C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Study design and patient selection</w:t>
      </w:r>
    </w:p>
    <w:p w14:paraId="766BF39D" w14:textId="65E736E6"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This was a single center, prospective, open-label, randomized study, conducted between January 2018 and March 2020, at the Mohammed V Military Teaching Hospital of Rabat. We included adult patients with </w:t>
      </w:r>
      <w:r w:rsidR="00205971" w:rsidRPr="00CD7EA8">
        <w:rPr>
          <w:rFonts w:ascii="Book Antiqua" w:eastAsia="Book Antiqua" w:hAnsi="Book Antiqua" w:cs="Book Antiqua"/>
          <w:i/>
          <w:iCs/>
        </w:rPr>
        <w:t>H. pylori</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infection confirmed by histological analysis of gastric biopsies performed during upper endoscopy. Five gastric biopsy samples were taken systematically according to the recommended Sydney system (</w:t>
      </w:r>
      <w:proofErr w:type="spellStart"/>
      <w:r w:rsidRPr="00CD7EA8">
        <w:rPr>
          <w:rFonts w:ascii="Book Antiqua" w:eastAsia="Book Antiqua" w:hAnsi="Book Antiqua" w:cs="Book Antiqua"/>
          <w:color w:val="000000"/>
        </w:rPr>
        <w:t>antrum</w:t>
      </w:r>
      <w:proofErr w:type="spellEnd"/>
      <w:r w:rsidRPr="00CD7EA8">
        <w:rPr>
          <w:rFonts w:ascii="Book Antiqua" w:eastAsia="Book Antiqua" w:hAnsi="Book Antiqua" w:cs="Book Antiqua"/>
          <w:color w:val="000000"/>
        </w:rPr>
        <w:t xml:space="preserve">, </w:t>
      </w:r>
      <w:proofErr w:type="spellStart"/>
      <w:r w:rsidRPr="00CD7EA8">
        <w:rPr>
          <w:rFonts w:ascii="Book Antiqua" w:eastAsia="Book Antiqua" w:hAnsi="Book Antiqua" w:cs="Book Antiqua"/>
          <w:color w:val="000000"/>
        </w:rPr>
        <w:t>incisura</w:t>
      </w:r>
      <w:proofErr w:type="spellEnd"/>
      <w:r w:rsidRPr="00CD7EA8">
        <w:rPr>
          <w:rFonts w:ascii="Book Antiqua" w:eastAsia="Book Antiqua" w:hAnsi="Book Antiqua" w:cs="Book Antiqua"/>
          <w:color w:val="000000"/>
        </w:rPr>
        <w:t>, greater and lesser curvature</w:t>
      </w:r>
      <w:proofErr w:type="gramStart"/>
      <w:r w:rsidRPr="00CD7EA8">
        <w:rPr>
          <w:rFonts w:ascii="Book Antiqua" w:eastAsia="Book Antiqua" w:hAnsi="Book Antiqua" w:cs="Book Antiqua"/>
          <w:color w:val="000000"/>
        </w:rPr>
        <w:t>)</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17]</w:t>
      </w:r>
      <w:r w:rsidRPr="00CD7EA8">
        <w:rPr>
          <w:rFonts w:ascii="Book Antiqua" w:eastAsia="Book Antiqua" w:hAnsi="Book Antiqua" w:cs="Book Antiqua"/>
          <w:color w:val="000000"/>
        </w:rPr>
        <w:t xml:space="preserve">, and then studied for the presence of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 xml:space="preserve">ylori </w:t>
      </w:r>
      <w:r w:rsidRPr="00CD7EA8">
        <w:rPr>
          <w:rFonts w:ascii="Book Antiqua" w:eastAsia="Book Antiqua" w:hAnsi="Book Antiqua" w:cs="Book Antiqua"/>
          <w:color w:val="000000"/>
        </w:rPr>
        <w:t xml:space="preserve">using </w:t>
      </w:r>
      <w:proofErr w:type="spellStart"/>
      <w:r w:rsidRPr="00CD7EA8">
        <w:rPr>
          <w:rFonts w:ascii="Book Antiqua" w:eastAsia="Book Antiqua" w:hAnsi="Book Antiqua" w:cs="Book Antiqua"/>
          <w:color w:val="000000"/>
        </w:rPr>
        <w:t>Hematoxylin</w:t>
      </w:r>
      <w:proofErr w:type="spellEnd"/>
      <w:r w:rsidRPr="00CD7EA8">
        <w:rPr>
          <w:rFonts w:ascii="Book Antiqua" w:eastAsia="Book Antiqua" w:hAnsi="Book Antiqua" w:cs="Book Antiqua"/>
          <w:color w:val="000000"/>
        </w:rPr>
        <w:t xml:space="preserve"> and eosin staining at the pathology laboratory of our hospital. Patients who previously received an eradication therapy, PPI, H</w:t>
      </w:r>
      <w:r w:rsidRPr="00CD7EA8">
        <w:rPr>
          <w:rFonts w:ascii="Book Antiqua" w:eastAsia="Book Antiqua" w:hAnsi="Book Antiqua" w:cs="Book Antiqua"/>
          <w:color w:val="000000"/>
          <w:vertAlign w:val="subscript"/>
        </w:rPr>
        <w:t>2</w:t>
      </w:r>
      <w:r w:rsidRPr="00CD7EA8">
        <w:rPr>
          <w:rFonts w:ascii="Book Antiqua" w:eastAsia="Book Antiqua" w:hAnsi="Book Antiqua" w:cs="Book Antiqua"/>
          <w:color w:val="000000"/>
        </w:rPr>
        <w:t xml:space="preserve">-blockers, </w:t>
      </w:r>
      <w:r w:rsidR="008F6B32" w:rsidRPr="00CD7EA8">
        <w:rPr>
          <w:rFonts w:ascii="Book Antiqua" w:eastAsia="Book Antiqua" w:hAnsi="Book Antiqua" w:cs="Book Antiqua"/>
          <w:color w:val="000000"/>
        </w:rPr>
        <w:t>non-steroidal anti-inflammatory drugs</w:t>
      </w:r>
      <w:r w:rsidRPr="00CD7EA8">
        <w:rPr>
          <w:rFonts w:ascii="Book Antiqua" w:eastAsia="Book Antiqua" w:hAnsi="Book Antiqua" w:cs="Book Antiqua"/>
          <w:color w:val="000000"/>
        </w:rPr>
        <w:t xml:space="preserve"> or Bismuth containing compounds</w:t>
      </w:r>
      <w:r w:rsidR="004655BF">
        <w:rPr>
          <w:rFonts w:ascii="Book Antiqua" w:eastAsia="Book Antiqua" w:hAnsi="Book Antiqua" w:cs="Book Antiqua"/>
          <w:color w:val="000000"/>
        </w:rPr>
        <w:t xml:space="preserve"> </w:t>
      </w:r>
      <w:r w:rsidR="004655BF" w:rsidRPr="00CD7EA8">
        <w:rPr>
          <w:rFonts w:ascii="Book Antiqua" w:eastAsia="Book Antiqua" w:hAnsi="Book Antiqua" w:cs="Book Antiqua"/>
          <w:color w:val="000000"/>
        </w:rPr>
        <w:t xml:space="preserve">4 </w:t>
      </w:r>
      <w:proofErr w:type="spellStart"/>
      <w:r w:rsidR="004655BF" w:rsidRPr="00CD7EA8">
        <w:rPr>
          <w:rFonts w:ascii="Book Antiqua" w:eastAsia="Book Antiqua" w:hAnsi="Book Antiqua" w:cs="Book Antiqua"/>
          <w:color w:val="000000"/>
        </w:rPr>
        <w:t>wk</w:t>
      </w:r>
      <w:proofErr w:type="spellEnd"/>
      <w:r w:rsidR="004655BF" w:rsidRPr="00CD7EA8">
        <w:rPr>
          <w:rFonts w:ascii="Book Antiqua" w:eastAsia="Book Antiqua" w:hAnsi="Book Antiqua" w:cs="Book Antiqua"/>
          <w:color w:val="000000"/>
        </w:rPr>
        <w:t xml:space="preserve"> prior to the study</w:t>
      </w:r>
      <w:r w:rsidRPr="00CD7EA8">
        <w:rPr>
          <w:rFonts w:ascii="Book Antiqua" w:eastAsia="Book Antiqua" w:hAnsi="Book Antiqua" w:cs="Book Antiqua"/>
          <w:color w:val="000000"/>
        </w:rPr>
        <w:t>, and/or patients who were allergic to the prescribed antibiotics were excluded from the study. Pregnant and breastfeeding females, patients with history of gastric surgery, kidney or liver failure, or severe psychiatric conditions were also excluded. All patients provided written informed consent to be included in the study. The protocol followed Helsinki Declaration guidelines and was approved by our local scientific committee at Mohammed V Military Teaching Hospital of Rabat. Our clinical trial was registered in the Pan African Clinical Trial Registry (</w:t>
      </w:r>
      <w:hyperlink r:id="rId9" w:history="1">
        <w:r w:rsidRPr="00CD7EA8">
          <w:rPr>
            <w:rFonts w:ascii="Book Antiqua" w:eastAsia="Book Antiqua" w:hAnsi="Book Antiqua" w:cs="Book Antiqua"/>
            <w:color w:val="000000"/>
            <w:u w:color="0000EE"/>
          </w:rPr>
          <w:t>www.pactr.org</w:t>
        </w:r>
      </w:hyperlink>
      <w:r w:rsidRPr="00CD7EA8">
        <w:rPr>
          <w:rFonts w:ascii="Book Antiqua" w:eastAsia="Book Antiqua" w:hAnsi="Book Antiqua" w:cs="Book Antiqua"/>
          <w:color w:val="000000"/>
        </w:rPr>
        <w:t xml:space="preserve">) on </w:t>
      </w:r>
      <w:r w:rsidR="008F6B32" w:rsidRPr="00CD7EA8">
        <w:rPr>
          <w:rFonts w:ascii="Book Antiqua" w:eastAsia="Book Antiqua" w:hAnsi="Book Antiqua" w:cs="Book Antiqua"/>
          <w:color w:val="000000"/>
        </w:rPr>
        <w:t xml:space="preserve">December </w:t>
      </w:r>
      <w:r w:rsidRPr="00CD7EA8">
        <w:rPr>
          <w:rFonts w:ascii="Book Antiqua" w:eastAsia="Book Antiqua" w:hAnsi="Book Antiqua" w:cs="Book Antiqua"/>
          <w:color w:val="000000"/>
        </w:rPr>
        <w:t>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2021</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 registration number: PACTR202112632957229.</w:t>
      </w:r>
    </w:p>
    <w:p w14:paraId="266DBCB5" w14:textId="77777777" w:rsidR="00A77B3E" w:rsidRPr="00CD7EA8" w:rsidRDefault="00A77B3E" w:rsidP="00CD7EA8">
      <w:pPr>
        <w:spacing w:line="360" w:lineRule="auto"/>
        <w:jc w:val="both"/>
        <w:rPr>
          <w:rFonts w:ascii="Book Antiqua" w:hAnsi="Book Antiqua"/>
        </w:rPr>
      </w:pPr>
    </w:p>
    <w:p w14:paraId="5AED2A2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Randomization and treatment</w:t>
      </w:r>
    </w:p>
    <w:p w14:paraId="57779939" w14:textId="7885E324"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Patients were randomly assigned into three groups in </w:t>
      </w:r>
      <w:r w:rsidR="00062C3C">
        <w:rPr>
          <w:rFonts w:ascii="Book Antiqua" w:eastAsia="Book Antiqua" w:hAnsi="Book Antiqua" w:cs="Book Antiqua"/>
          <w:color w:val="000000"/>
        </w:rPr>
        <w:t xml:space="preserve">a </w:t>
      </w:r>
      <w:r w:rsidRPr="00CD7EA8">
        <w:rPr>
          <w:rFonts w:ascii="Book Antiqua" w:eastAsia="Book Antiqua" w:hAnsi="Book Antiqua" w:cs="Book Antiqua"/>
          <w:color w:val="000000"/>
        </w:rPr>
        <w:t xml:space="preserve">1:1:1 ratio, using a computer-generated table: QT-14, QT-10 and OST-14. Allocations were concealed in a sealed opaque envelope which was to be opened during the consultation day. The QT-14 and QT-10 groups received </w:t>
      </w:r>
      <w:r w:rsidR="00DC288A">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20 mg,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 1</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g,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500 mg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 xml:space="preserve">etronidazole 500 mg, all twice daily for 14 and 10 d, respectively. The OST-14 group </w:t>
      </w:r>
      <w:r w:rsidRPr="00CD7EA8">
        <w:rPr>
          <w:rFonts w:ascii="Book Antiqua" w:eastAsia="Book Antiqua" w:hAnsi="Book Antiqua" w:cs="Book Antiqua"/>
          <w:color w:val="000000"/>
        </w:rPr>
        <w:lastRenderedPageBreak/>
        <w:t>received an optimized sequential therapy consisting o</w:t>
      </w:r>
      <w:r w:rsidR="00A04AFD">
        <w:rPr>
          <w:rFonts w:ascii="Book Antiqua" w:eastAsia="Book Antiqua" w:hAnsi="Book Antiqua" w:cs="Book Antiqua"/>
          <w:color w:val="000000"/>
        </w:rPr>
        <w:t>f</w:t>
      </w:r>
      <w:r w:rsidRPr="00CD7EA8">
        <w:rPr>
          <w:rFonts w:ascii="Book Antiqua" w:eastAsia="Book Antiqua" w:hAnsi="Book Antiqua" w:cs="Book Antiqua"/>
          <w:color w:val="000000"/>
        </w:rPr>
        <w:t xml:space="preserve"> twice daily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20 mg and </w:t>
      </w:r>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 1</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g during 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d, followed by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20 mg,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500 mg and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etronidazole 500 mg, all twice daily for the remaining 7</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d. PPI was administered 30 min before breakfast and supper, whereas antibiotics were administered every 12 h after meals.</w:t>
      </w:r>
    </w:p>
    <w:p w14:paraId="223E053D" w14:textId="77777777" w:rsidR="00A77B3E" w:rsidRPr="00CD7EA8" w:rsidRDefault="00A77B3E" w:rsidP="00CD7EA8">
      <w:pPr>
        <w:spacing w:line="360" w:lineRule="auto"/>
        <w:jc w:val="both"/>
        <w:rPr>
          <w:rFonts w:ascii="Book Antiqua" w:hAnsi="Book Antiqua"/>
        </w:rPr>
      </w:pPr>
    </w:p>
    <w:p w14:paraId="405BAD5B"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Follow-up and outcomes</w:t>
      </w:r>
    </w:p>
    <w:p w14:paraId="18165EBE" w14:textId="370ACD1E"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The </w:t>
      </w:r>
      <w:r w:rsidRPr="00CD7EA8">
        <w:rPr>
          <w:rFonts w:ascii="Book Antiqua" w:eastAsia="Book Antiqua" w:hAnsi="Book Antiqua" w:cs="Book Antiqua"/>
          <w:i/>
          <w:iCs/>
          <w:color w:val="000000"/>
        </w:rPr>
        <w:t>H.</w:t>
      </w:r>
      <w:r w:rsidRPr="00CD7EA8">
        <w:rPr>
          <w:rFonts w:ascii="Book Antiqua" w:eastAsia="Book Antiqua" w:hAnsi="Book Antiqua" w:cs="Book Antiqua"/>
          <w:color w:val="000000"/>
        </w:rPr>
        <w:t xml:space="preserve"> </w:t>
      </w:r>
      <w:r w:rsidRPr="00CD7EA8">
        <w:rPr>
          <w:rFonts w:ascii="Book Antiqua" w:eastAsia="Book Antiqua" w:hAnsi="Book Antiqua" w:cs="Book Antiqua"/>
          <w:i/>
          <w:iCs/>
          <w:color w:val="000000"/>
        </w:rPr>
        <w:t xml:space="preserve">pylori </w:t>
      </w:r>
      <w:r w:rsidRPr="00CD7EA8">
        <w:rPr>
          <w:rFonts w:ascii="Book Antiqua" w:eastAsia="Book Antiqua" w:hAnsi="Book Antiqua" w:cs="Book Antiqua"/>
          <w:color w:val="000000"/>
        </w:rPr>
        <w:t xml:space="preserve">eradication was </w:t>
      </w:r>
      <w:r w:rsidR="00AE2556">
        <w:rPr>
          <w:rFonts w:ascii="Book Antiqua" w:eastAsia="Book Antiqua" w:hAnsi="Book Antiqua" w:cs="Book Antiqua"/>
          <w:color w:val="000000"/>
        </w:rPr>
        <w:t>assessed</w:t>
      </w:r>
      <w:r w:rsidRPr="00CD7EA8">
        <w:rPr>
          <w:rFonts w:ascii="Book Antiqua" w:eastAsia="Book Antiqua" w:hAnsi="Book Antiqua" w:cs="Book Antiqua"/>
          <w:color w:val="000000"/>
        </w:rPr>
        <w:t xml:space="preserve"> at least 4 </w:t>
      </w:r>
      <w:proofErr w:type="spellStart"/>
      <w:r w:rsidRPr="00CD7EA8">
        <w:rPr>
          <w:rFonts w:ascii="Book Antiqua" w:eastAsia="Book Antiqua" w:hAnsi="Book Antiqua" w:cs="Book Antiqua"/>
          <w:color w:val="000000"/>
        </w:rPr>
        <w:t>wk</w:t>
      </w:r>
      <w:proofErr w:type="spellEnd"/>
      <w:r w:rsidRPr="00CD7EA8">
        <w:rPr>
          <w:rFonts w:ascii="Book Antiqua" w:eastAsia="Book Antiqua" w:hAnsi="Book Antiqua" w:cs="Book Antiqua"/>
          <w:color w:val="000000"/>
        </w:rPr>
        <w:t xml:space="preserve"> after the last day of the treatment using the 13C-urea </w:t>
      </w:r>
      <w:r w:rsidR="009A220E">
        <w:rPr>
          <w:rFonts w:ascii="Book Antiqua" w:eastAsia="Book Antiqua" w:hAnsi="Book Antiqua" w:cs="Book Antiqua"/>
          <w:color w:val="000000"/>
        </w:rPr>
        <w:t>b</w:t>
      </w:r>
      <w:r w:rsidRPr="00CD7EA8">
        <w:rPr>
          <w:rFonts w:ascii="Book Antiqua" w:eastAsia="Book Antiqua" w:hAnsi="Book Antiqua" w:cs="Book Antiqua"/>
          <w:color w:val="000000"/>
        </w:rPr>
        <w:t>reath test (UBT), which was performed blindly at the same laboratory for all patients. The cut-off value for the UBT was 2</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5 per thousand. The patients </w:t>
      </w:r>
      <w:r w:rsidR="00710739">
        <w:rPr>
          <w:rFonts w:ascii="Book Antiqua" w:eastAsia="Book Antiqua" w:hAnsi="Book Antiqua" w:cs="Book Antiqua"/>
          <w:color w:val="000000"/>
        </w:rPr>
        <w:t>did not</w:t>
      </w:r>
      <w:r w:rsidR="00710739"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undergo additional therapy with PPI after completion of eradication therapy.</w:t>
      </w:r>
    </w:p>
    <w:p w14:paraId="749C228E" w14:textId="178D58A5" w:rsidR="008F6B32"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All patients were evaluated </w:t>
      </w:r>
      <w:r w:rsidR="007550A4">
        <w:rPr>
          <w:rFonts w:ascii="Book Antiqua" w:eastAsia="Book Antiqua" w:hAnsi="Book Antiqua" w:cs="Book Antiqua"/>
          <w:color w:val="000000"/>
        </w:rPr>
        <w:t xml:space="preserve">2 </w:t>
      </w:r>
      <w:proofErr w:type="spellStart"/>
      <w:r w:rsidR="007550A4">
        <w:rPr>
          <w:rFonts w:ascii="Book Antiqua" w:eastAsia="Book Antiqua" w:hAnsi="Book Antiqua" w:cs="Book Antiqua"/>
          <w:color w:val="000000"/>
        </w:rPr>
        <w:t>wk</w:t>
      </w:r>
      <w:proofErr w:type="spellEnd"/>
      <w:r w:rsidRPr="00CD7EA8">
        <w:rPr>
          <w:rFonts w:ascii="Book Antiqua" w:eastAsia="Book Antiqua" w:hAnsi="Book Antiqua" w:cs="Book Antiqua"/>
          <w:color w:val="000000"/>
        </w:rPr>
        <w:t xml:space="preserve"> after the start of the treatment and at its end to assess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 xml:space="preserve">s and compliance. Drug compliance was defined by taking at least 90% of the prescribed protocol drugs and was assessed at the end of the protocol.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 xml:space="preserve">s were assessed using a pre-established structured questionnaire consisting of dichotomous questions about the occurrence and intensity of AEs including diarrhea, nausea and/or vomiting, </w:t>
      </w:r>
      <w:proofErr w:type="spellStart"/>
      <w:r w:rsidRPr="00CD7EA8">
        <w:rPr>
          <w:rFonts w:ascii="Book Antiqua" w:eastAsia="Book Antiqua" w:hAnsi="Book Antiqua" w:cs="Book Antiqua"/>
          <w:color w:val="000000"/>
        </w:rPr>
        <w:t>gastralgia</w:t>
      </w:r>
      <w:proofErr w:type="spellEnd"/>
      <w:r w:rsidRPr="00CD7EA8">
        <w:rPr>
          <w:rFonts w:ascii="Book Antiqua" w:eastAsia="Book Antiqua" w:hAnsi="Book Antiqua" w:cs="Book Antiqua"/>
          <w:color w:val="000000"/>
        </w:rPr>
        <w:t xml:space="preserve">, metallic taste, </w:t>
      </w:r>
      <w:proofErr w:type="spellStart"/>
      <w:r w:rsidRPr="00CD7EA8">
        <w:rPr>
          <w:rFonts w:ascii="Book Antiqua" w:eastAsia="Book Antiqua" w:hAnsi="Book Antiqua" w:cs="Book Antiqua"/>
          <w:color w:val="000000"/>
        </w:rPr>
        <w:t>dysgeusia</w:t>
      </w:r>
      <w:proofErr w:type="spellEnd"/>
      <w:r w:rsidRPr="00CD7EA8">
        <w:rPr>
          <w:rFonts w:ascii="Book Antiqua" w:eastAsia="Book Antiqua" w:hAnsi="Book Antiqua" w:cs="Book Antiqua"/>
          <w:color w:val="000000"/>
        </w:rPr>
        <w:t>, symptoms related to an allergic reaction, headache, dizziness, asthenia, or any other AE.</w:t>
      </w:r>
    </w:p>
    <w:p w14:paraId="25D79B8F" w14:textId="077938AA" w:rsidR="00A77B3E" w:rsidRPr="00CD7EA8" w:rsidRDefault="008C31B9" w:rsidP="00CD7EA8">
      <w:pPr>
        <w:spacing w:line="360" w:lineRule="auto"/>
        <w:ind w:firstLine="240"/>
        <w:jc w:val="both"/>
        <w:rPr>
          <w:rFonts w:ascii="Book Antiqua" w:hAnsi="Book Antiqua"/>
        </w:rPr>
      </w:pPr>
      <w:r>
        <w:rPr>
          <w:rFonts w:ascii="Book Antiqua" w:eastAsia="Book Antiqua" w:hAnsi="Book Antiqua" w:cs="Book Antiqua"/>
          <w:color w:val="000000"/>
        </w:rPr>
        <w:t>C</w:t>
      </w:r>
      <w:r w:rsidR="001060FD" w:rsidRPr="00CD7EA8">
        <w:rPr>
          <w:rFonts w:ascii="Book Antiqua" w:eastAsia="Book Antiqua" w:hAnsi="Book Antiqua" w:cs="Book Antiqua"/>
          <w:color w:val="000000"/>
        </w:rPr>
        <w:t xml:space="preserve">ost-effectiveness analysis was assessed by comparing the overall cost of each protocol. The cost of every drug was calculated using a national website: </w:t>
      </w:r>
      <w:hyperlink r:id="rId10" w:history="1">
        <w:r w:rsidR="001060FD" w:rsidRPr="00CD7EA8">
          <w:rPr>
            <w:rFonts w:ascii="Book Antiqua" w:eastAsia="Book Antiqua" w:hAnsi="Book Antiqua" w:cs="Book Antiqua"/>
            <w:color w:val="000000"/>
            <w:u w:color="0000EE"/>
          </w:rPr>
          <w:t xml:space="preserve">www.medicament.ma. </w:t>
        </w:r>
      </w:hyperlink>
      <w:r w:rsidR="001060FD" w:rsidRPr="00CD7EA8">
        <w:rPr>
          <w:rFonts w:ascii="Book Antiqua" w:eastAsia="Book Antiqua" w:hAnsi="Book Antiqua" w:cs="Book Antiqua"/>
          <w:color w:val="000000"/>
        </w:rPr>
        <w:t>The cost-effectiveness ratio for each regimen was calculated by dividing the total cost for 100 patients treated by the percent of patients treated.</w:t>
      </w:r>
    </w:p>
    <w:p w14:paraId="5B779104" w14:textId="77777777" w:rsidR="00A77B3E" w:rsidRPr="00CD7EA8" w:rsidRDefault="00A77B3E" w:rsidP="00CD7EA8">
      <w:pPr>
        <w:spacing w:line="360" w:lineRule="auto"/>
        <w:jc w:val="both"/>
        <w:rPr>
          <w:rFonts w:ascii="Book Antiqua" w:hAnsi="Book Antiqua"/>
        </w:rPr>
      </w:pPr>
    </w:p>
    <w:p w14:paraId="15033F0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Statistical analysis</w:t>
      </w:r>
    </w:p>
    <w:p w14:paraId="389539E5" w14:textId="168E764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This study sample size was determined as follow</w:t>
      </w:r>
      <w:r w:rsidR="006E46E5">
        <w:rPr>
          <w:rFonts w:ascii="Book Antiqua" w:eastAsia="Book Antiqua" w:hAnsi="Book Antiqua" w:cs="Book Antiqua"/>
          <w:color w:val="000000"/>
        </w:rPr>
        <w:t>s</w:t>
      </w:r>
      <w:r w:rsidRPr="00CD7EA8">
        <w:rPr>
          <w:rFonts w:ascii="Book Antiqua" w:eastAsia="Book Antiqua" w:hAnsi="Book Antiqua" w:cs="Book Antiqua"/>
          <w:color w:val="000000"/>
        </w:rPr>
        <w:t xml:space="preserve">. We presumed the eradication rate of OST-14 to be 95% and the eradication rate of QT-10 </w:t>
      </w:r>
      <w:r w:rsidR="00697D03">
        <w:rPr>
          <w:rFonts w:ascii="Book Antiqua" w:eastAsia="Book Antiqua" w:hAnsi="Book Antiqua" w:cs="Book Antiqua"/>
          <w:color w:val="000000"/>
        </w:rPr>
        <w:t>to be</w:t>
      </w:r>
      <w:r w:rsidR="00697D03"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83% (lowest eradication rate of the three treatment regimens). By setting </w:t>
      </w:r>
      <w:r w:rsidR="00222E45" w:rsidRPr="00CD7EA8">
        <w:rPr>
          <w:rFonts w:ascii="Book Antiqua" w:eastAsia="Book Antiqua" w:hAnsi="Book Antiqua" w:cs="Book Antiqua"/>
          <w:color w:val="000000"/>
        </w:rPr>
        <w:t xml:space="preserve">the </w:t>
      </w:r>
      <w:r w:rsidRPr="00CD7EA8">
        <w:rPr>
          <w:rFonts w:ascii="Book Antiqua" w:eastAsia="Book Antiqua" w:hAnsi="Book Antiqua" w:cs="Book Antiqua"/>
          <w:color w:val="000000"/>
        </w:rPr>
        <w:t xml:space="preserve">bilateral significance level to 0.05, the power to 80% and the drop-out rate to 5%, at least 104 patients were required in each </w:t>
      </w:r>
      <w:r w:rsidRPr="00CD7EA8">
        <w:rPr>
          <w:rFonts w:ascii="Book Antiqua" w:eastAsia="Book Antiqua" w:hAnsi="Book Antiqua" w:cs="Book Antiqua"/>
          <w:color w:val="000000"/>
        </w:rPr>
        <w:lastRenderedPageBreak/>
        <w:t xml:space="preserve">group. </w:t>
      </w:r>
      <w:r w:rsidR="00697D03">
        <w:rPr>
          <w:rFonts w:ascii="Book Antiqua" w:eastAsia="Book Antiqua" w:hAnsi="Book Antiqua" w:cs="Book Antiqua"/>
          <w:color w:val="000000"/>
        </w:rPr>
        <w:br/>
        <w:t>Our h</w:t>
      </w:r>
      <w:r w:rsidRPr="00CD7EA8">
        <w:rPr>
          <w:rFonts w:ascii="Book Antiqua" w:eastAsia="Book Antiqua" w:hAnsi="Book Antiqua" w:cs="Book Antiqua"/>
          <w:color w:val="000000"/>
        </w:rPr>
        <w:t>ypothesis on the QT-10 eradication rate was based on a previous meta-</w:t>
      </w:r>
      <w:proofErr w:type="gramStart"/>
      <w:r w:rsidRPr="00CD7EA8">
        <w:rPr>
          <w:rFonts w:ascii="Book Antiqua" w:eastAsia="Book Antiqua" w:hAnsi="Book Antiqua" w:cs="Book Antiqua"/>
          <w:color w:val="000000"/>
        </w:rPr>
        <w:t>analysis</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18]</w:t>
      </w:r>
      <w:r w:rsidRPr="00CD7EA8">
        <w:rPr>
          <w:rFonts w:ascii="Book Antiqua" w:eastAsia="Book Antiqua" w:hAnsi="Book Antiqua" w:cs="Book Antiqua"/>
          <w:color w:val="000000"/>
        </w:rPr>
        <w:t>.</w:t>
      </w:r>
    </w:p>
    <w:p w14:paraId="4FDADDEF" w14:textId="0B7587BB"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primary endpoint of the study was the eradication rate of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which was assessed by intention to treat (ITT) and </w:t>
      </w:r>
      <w:bookmarkStart w:id="231" w:name="_Hlk154340961"/>
      <w:r w:rsidRPr="00CD7EA8">
        <w:rPr>
          <w:rFonts w:ascii="Book Antiqua" w:eastAsia="Book Antiqua" w:hAnsi="Book Antiqua" w:cs="Book Antiqua"/>
          <w:color w:val="000000"/>
        </w:rPr>
        <w:t>per-protocol</w:t>
      </w:r>
      <w:bookmarkEnd w:id="231"/>
      <w:r w:rsidRPr="00CD7EA8">
        <w:rPr>
          <w:rFonts w:ascii="Book Antiqua" w:eastAsia="Book Antiqua" w:hAnsi="Book Antiqua" w:cs="Book Antiqua"/>
          <w:color w:val="000000"/>
        </w:rPr>
        <w:t xml:space="preserve"> (PP) analyses. The safety population included all randomized patients who received at least one treatment dose during the study, ITT population included all patients who received at least one treatment dose during the study and who were examined during the first visit, while the PP population included only patients who completed the study. Therapeutic failure was recorded as outcome for patients with missing data due to incomplete treatment. The secondary outcomes were the incidence of AEs, the therapeutic compliance and the cost-effectiveness of the protocols.</w:t>
      </w:r>
    </w:p>
    <w:p w14:paraId="1A80E834" w14:textId="734A0BDF"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Descriptive and inferential statistical analyses were performed using Software Package Social Science SPSS</w:t>
      </w:r>
      <w:r w:rsidRPr="00CD7EA8">
        <w:rPr>
          <w:rFonts w:ascii="Book Antiqua" w:eastAsia="Book Antiqua" w:hAnsi="Book Antiqua" w:cs="Book Antiqua"/>
          <w:color w:val="000000"/>
          <w:vertAlign w:val="superscript"/>
        </w:rPr>
        <w:t>®</w:t>
      </w:r>
      <w:r w:rsidRPr="00CD7EA8">
        <w:rPr>
          <w:rFonts w:ascii="Book Antiqua" w:eastAsia="Book Antiqua" w:hAnsi="Book Antiqua" w:cs="Book Antiqua"/>
          <w:color w:val="000000"/>
        </w:rPr>
        <w:t xml:space="preserve"> for mac OS version 22.0 (IBM Corp, Armonk, NY, U</w:t>
      </w:r>
      <w:r w:rsidR="008F6B32" w:rsidRPr="00CD7EA8">
        <w:rPr>
          <w:rFonts w:ascii="Book Antiqua" w:eastAsia="Book Antiqua" w:hAnsi="Book Antiqua" w:cs="Book Antiqua"/>
          <w:color w:val="000000"/>
        </w:rPr>
        <w:t xml:space="preserve">nited </w:t>
      </w:r>
      <w:r w:rsidRPr="00CD7EA8">
        <w:rPr>
          <w:rFonts w:ascii="Book Antiqua" w:eastAsia="Book Antiqua" w:hAnsi="Book Antiqua" w:cs="Book Antiqua"/>
          <w:color w:val="000000"/>
        </w:rPr>
        <w:t>S</w:t>
      </w:r>
      <w:r w:rsidR="008F6B32" w:rsidRPr="00CD7EA8">
        <w:rPr>
          <w:rFonts w:ascii="Book Antiqua" w:eastAsia="Book Antiqua" w:hAnsi="Book Antiqua" w:cs="Book Antiqua"/>
          <w:color w:val="000000"/>
        </w:rPr>
        <w:t>tates</w:t>
      </w:r>
      <w:r w:rsidRPr="00CD7EA8">
        <w:rPr>
          <w:rFonts w:ascii="Book Antiqua" w:eastAsia="Book Antiqua" w:hAnsi="Book Antiqua" w:cs="Book Antiqua"/>
          <w:color w:val="000000"/>
        </w:rPr>
        <w:t xml:space="preserve">). For all statistical analyses, </w:t>
      </w:r>
      <w:r w:rsidR="008F6B32" w:rsidRPr="00CD7EA8">
        <w:rPr>
          <w:rFonts w:ascii="Book Antiqua" w:eastAsia="Book Antiqua" w:hAnsi="Book Antiqua" w:cs="Book Antiqua"/>
          <w:i/>
          <w:iCs/>
          <w:color w:val="000000"/>
        </w:rPr>
        <w:t>P</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value</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 xml:space="preserve">less than 0.05 was considered statistically significant. Qualitative variables (eradication rates of the three groups) were compared using </w:t>
      </w:r>
      <w:r w:rsidR="008F6B32" w:rsidRPr="00CD7EA8">
        <w:rPr>
          <w:rFonts w:ascii="Book Antiqua" w:eastAsia="Book Antiqua" w:hAnsi="Book Antiqua" w:cs="Book Antiqua"/>
          <w:i/>
          <w:iCs/>
          <w:color w:val="000000"/>
        </w:rPr>
        <w:t>χ</w:t>
      </w:r>
      <w:r w:rsidR="008F6B32" w:rsidRPr="003F4858">
        <w:rPr>
          <w:rFonts w:ascii="Book Antiqua" w:eastAsia="Book Antiqua" w:hAnsi="Book Antiqua" w:cs="Book Antiqua"/>
          <w:iCs/>
          <w:color w:val="000000"/>
          <w:vertAlign w:val="superscript"/>
        </w:rPr>
        <w:t>2</w:t>
      </w:r>
      <w:r w:rsidRPr="00CD7EA8">
        <w:rPr>
          <w:rFonts w:ascii="Book Antiqua" w:eastAsia="Book Antiqua" w:hAnsi="Book Antiqua" w:cs="Book Antiqua"/>
          <w:color w:val="000000"/>
        </w:rPr>
        <w:t xml:space="preserve"> test and Fisher’s exact test. Continuous variables were compared between the three groups using </w:t>
      </w:r>
      <w:r w:rsidR="00F02140">
        <w:rPr>
          <w:rFonts w:ascii="Book Antiqua" w:eastAsia="Book Antiqua" w:hAnsi="Book Antiqua" w:cs="Book Antiqua"/>
          <w:color w:val="000000"/>
        </w:rPr>
        <w:t xml:space="preserve">a </w:t>
      </w:r>
      <w:r w:rsidRPr="00CD7EA8">
        <w:rPr>
          <w:rFonts w:ascii="Book Antiqua" w:eastAsia="Book Antiqua" w:hAnsi="Book Antiqua" w:cs="Book Antiqua"/>
          <w:color w:val="000000"/>
        </w:rPr>
        <w:t>one-way ANOVA test.</w:t>
      </w:r>
    </w:p>
    <w:p w14:paraId="5E58C637" w14:textId="77777777" w:rsidR="00A77B3E" w:rsidRPr="00CD7EA8" w:rsidRDefault="00A77B3E" w:rsidP="00CD7EA8">
      <w:pPr>
        <w:spacing w:line="360" w:lineRule="auto"/>
        <w:ind w:firstLine="240"/>
        <w:jc w:val="both"/>
        <w:rPr>
          <w:rFonts w:ascii="Book Antiqua" w:hAnsi="Book Antiqua"/>
        </w:rPr>
      </w:pPr>
    </w:p>
    <w:p w14:paraId="0EB9161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RESULTS</w:t>
      </w:r>
    </w:p>
    <w:p w14:paraId="6D90DEE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Population characteristics</w:t>
      </w:r>
    </w:p>
    <w:p w14:paraId="69C3EB07" w14:textId="4610FF6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 total of 328 patients were enrolled in the study. They were included in the ITT analysis and randomized </w:t>
      </w:r>
      <w:r w:rsidR="003F7566">
        <w:rPr>
          <w:rFonts w:ascii="Book Antiqua" w:eastAsia="Book Antiqua" w:hAnsi="Book Antiqua" w:cs="Book Antiqua"/>
          <w:color w:val="000000"/>
        </w:rPr>
        <w:t>in</w:t>
      </w:r>
      <w:r w:rsidRPr="00CD7EA8">
        <w:rPr>
          <w:rFonts w:ascii="Book Antiqua" w:eastAsia="Book Antiqua" w:hAnsi="Book Antiqua" w:cs="Book Antiqua"/>
          <w:color w:val="000000"/>
        </w:rPr>
        <w:t xml:space="preserve">to the </w:t>
      </w:r>
      <w:r w:rsidR="003F7566">
        <w:rPr>
          <w:rFonts w:ascii="Book Antiqua" w:eastAsia="Book Antiqua" w:hAnsi="Book Antiqua" w:cs="Book Antiqua"/>
          <w:color w:val="000000"/>
        </w:rPr>
        <w:t>three</w:t>
      </w:r>
      <w:r w:rsidR="003F7566"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groups. After eliminating the dropped-out patients from the study, the PP analysis included 317 patients. The study flow chart is </w:t>
      </w:r>
      <w:r w:rsidR="00A00603">
        <w:rPr>
          <w:rFonts w:ascii="Book Antiqua" w:eastAsia="Book Antiqua" w:hAnsi="Book Antiqua" w:cs="Book Antiqua"/>
          <w:color w:val="000000"/>
        </w:rPr>
        <w:t>shown</w:t>
      </w:r>
      <w:r w:rsidR="00A00603" w:rsidRPr="00CD7EA8">
        <w:rPr>
          <w:rFonts w:ascii="Book Antiqua" w:eastAsia="Book Antiqua" w:hAnsi="Book Antiqua" w:cs="Book Antiqua"/>
          <w:color w:val="000000"/>
        </w:rPr>
        <w:t xml:space="preserve"> </w:t>
      </w:r>
      <w:r w:rsidR="008F6B32" w:rsidRPr="00CD7EA8">
        <w:rPr>
          <w:rFonts w:ascii="Book Antiqua" w:eastAsia="Book Antiqua" w:hAnsi="Book Antiqua" w:cs="Book Antiqua"/>
          <w:color w:val="000000"/>
        </w:rPr>
        <w:t>in</w:t>
      </w:r>
      <w:r w:rsidRPr="00CD7EA8">
        <w:rPr>
          <w:rFonts w:ascii="Book Antiqua" w:eastAsia="Book Antiqua" w:hAnsi="Book Antiqua" w:cs="Book Antiqua"/>
          <w:color w:val="000000"/>
        </w:rPr>
        <w:t xml:space="preserve"> </w:t>
      </w:r>
      <w:r w:rsidR="008F6B32" w:rsidRPr="00CD7EA8">
        <w:rPr>
          <w:rFonts w:ascii="Book Antiqua" w:eastAsia="Book Antiqua" w:hAnsi="Book Antiqua" w:cs="Book Antiqua"/>
          <w:color w:val="000000"/>
        </w:rPr>
        <w:t>F</w:t>
      </w:r>
      <w:r w:rsidRPr="00CD7EA8">
        <w:rPr>
          <w:rFonts w:ascii="Book Antiqua" w:eastAsia="Book Antiqua" w:hAnsi="Book Antiqua" w:cs="Book Antiqua"/>
          <w:color w:val="000000"/>
        </w:rPr>
        <w:t xml:space="preserve">igure 1. Demographic and clinical characteristics of the three groups are shown in </w:t>
      </w:r>
      <w:r w:rsidR="008F6B32" w:rsidRPr="00CD7EA8">
        <w:rPr>
          <w:rFonts w:ascii="Book Antiqua" w:eastAsia="Book Antiqua" w:hAnsi="Book Antiqua" w:cs="Book Antiqua"/>
          <w:color w:val="000000"/>
        </w:rPr>
        <w:t>T</w:t>
      </w:r>
      <w:r w:rsidRPr="00CD7EA8">
        <w:rPr>
          <w:rFonts w:ascii="Book Antiqua" w:eastAsia="Book Antiqua" w:hAnsi="Book Antiqua" w:cs="Book Antiqua"/>
          <w:color w:val="000000"/>
        </w:rPr>
        <w:t>able 1 and were not significantly different between the groups.</w:t>
      </w:r>
    </w:p>
    <w:p w14:paraId="1C1C64DB" w14:textId="77777777" w:rsidR="00A77B3E" w:rsidRPr="00CD7EA8" w:rsidRDefault="00A77B3E" w:rsidP="00CD7EA8">
      <w:pPr>
        <w:spacing w:line="360" w:lineRule="auto"/>
        <w:jc w:val="both"/>
        <w:rPr>
          <w:rFonts w:ascii="Book Antiqua" w:hAnsi="Book Antiqua"/>
        </w:rPr>
      </w:pPr>
    </w:p>
    <w:p w14:paraId="0855DBF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Eradication rates</w:t>
      </w:r>
    </w:p>
    <w:p w14:paraId="60E41AE5" w14:textId="1523177E"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the ITT analysis, </w:t>
      </w:r>
      <w:r w:rsidRPr="00CD7EA8">
        <w:rPr>
          <w:rFonts w:ascii="Book Antiqua" w:eastAsia="Book Antiqua" w:hAnsi="Book Antiqua" w:cs="Book Antiqua"/>
          <w:i/>
          <w:iCs/>
          <w:color w:val="000000"/>
        </w:rPr>
        <w:t>H.</w:t>
      </w:r>
      <w:r w:rsidR="008F6B32" w:rsidRPr="00CD7EA8">
        <w:rPr>
          <w:rFonts w:ascii="Book Antiqua" w:eastAsia="Book Antiqua" w:hAnsi="Book Antiqua" w:cs="Book Antiqua"/>
          <w:i/>
          <w:iCs/>
          <w:color w:val="000000"/>
        </w:rPr>
        <w:t xml:space="preserve"> 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eradication was achieved in 85.5% </w:t>
      </w:r>
      <w:r w:rsidR="005D5C86">
        <w:rPr>
          <w:rFonts w:ascii="Book Antiqua" w:eastAsia="Book Antiqua" w:hAnsi="Book Antiqua" w:cs="Book Antiqua"/>
          <w:color w:val="000000"/>
        </w:rPr>
        <w:t>of patients in</w:t>
      </w:r>
      <w:r w:rsidR="005D5C86"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the QT-10 group, 91.8%</w:t>
      </w:r>
      <w:r w:rsidR="005D5C86">
        <w:rPr>
          <w:rFonts w:ascii="Book Antiqua" w:eastAsia="Book Antiqua" w:hAnsi="Book Antiqua" w:cs="Book Antiqua"/>
          <w:color w:val="000000"/>
        </w:rPr>
        <w:t xml:space="preserve"> of patients</w:t>
      </w:r>
      <w:r w:rsidRPr="00CD7EA8">
        <w:rPr>
          <w:rFonts w:ascii="Book Antiqua" w:eastAsia="Book Antiqua" w:hAnsi="Book Antiqua" w:cs="Book Antiqua"/>
          <w:color w:val="000000"/>
        </w:rPr>
        <w:t xml:space="preserve"> in the QT-14 group, and 93.5% </w:t>
      </w:r>
      <w:r w:rsidR="003A6BD2">
        <w:rPr>
          <w:rFonts w:ascii="Book Antiqua" w:eastAsia="Book Antiqua" w:hAnsi="Book Antiqua" w:cs="Book Antiqua"/>
          <w:color w:val="000000"/>
        </w:rPr>
        <w:t xml:space="preserve">of patients </w:t>
      </w:r>
      <w:r w:rsidRPr="00CD7EA8">
        <w:rPr>
          <w:rFonts w:ascii="Book Antiqua" w:eastAsia="Book Antiqua" w:hAnsi="Book Antiqua" w:cs="Book Antiqua"/>
          <w:color w:val="000000"/>
        </w:rPr>
        <w:t xml:space="preserve">in the OST-14 group. </w:t>
      </w:r>
      <w:r w:rsidRPr="00CD7EA8">
        <w:rPr>
          <w:rFonts w:ascii="Book Antiqua" w:eastAsia="Book Antiqua" w:hAnsi="Book Antiqua" w:cs="Book Antiqua"/>
          <w:color w:val="000000"/>
        </w:rPr>
        <w:lastRenderedPageBreak/>
        <w:t>In the PP analysis, the results were as follows: 89.5%, 94.4%, and 96.2% in the QT-10, QT-14, and OST-14 groups, respectively.</w:t>
      </w:r>
    </w:p>
    <w:p w14:paraId="29E8BBAE" w14:textId="77777777" w:rsidR="00A77B3E" w:rsidRPr="00CD7EA8" w:rsidRDefault="00A77B3E" w:rsidP="00CD7EA8">
      <w:pPr>
        <w:spacing w:line="360" w:lineRule="auto"/>
        <w:jc w:val="both"/>
        <w:rPr>
          <w:rFonts w:ascii="Book Antiqua" w:hAnsi="Book Antiqua"/>
        </w:rPr>
      </w:pPr>
    </w:p>
    <w:p w14:paraId="6074B8AF"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Comparison of eradication rates</w:t>
      </w:r>
    </w:p>
    <w:p w14:paraId="78DDED6F" w14:textId="529F719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The eradication rate in the OST-14 group was higher compared to the QT-10 group in the ITT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0.04) and in the PP analysis (0.03)</w:t>
      </w:r>
      <w:r w:rsidR="00E5670D">
        <w:rPr>
          <w:rFonts w:ascii="Book Antiqua" w:eastAsia="Book Antiqua" w:hAnsi="Book Antiqua" w:cs="Book Antiqua"/>
          <w:color w:val="000000"/>
        </w:rPr>
        <w:t>.</w:t>
      </w:r>
      <w:r w:rsidRPr="00CD7EA8">
        <w:rPr>
          <w:rFonts w:ascii="Book Antiqua" w:eastAsia="Book Antiqua" w:hAnsi="Book Antiqua" w:cs="Book Antiqua"/>
          <w:color w:val="000000"/>
        </w:rPr>
        <w:t xml:space="preserve"> </w:t>
      </w:r>
      <w:r w:rsidR="00E5670D">
        <w:rPr>
          <w:rFonts w:ascii="Book Antiqua" w:eastAsia="Book Antiqua" w:hAnsi="Book Antiqua" w:cs="Book Antiqua"/>
          <w:color w:val="000000"/>
        </w:rPr>
        <w:t>H</w:t>
      </w:r>
      <w:r w:rsidRPr="00CD7EA8">
        <w:rPr>
          <w:rFonts w:ascii="Book Antiqua" w:eastAsia="Book Antiqua" w:hAnsi="Book Antiqua" w:cs="Book Antiqua"/>
          <w:color w:val="000000"/>
        </w:rPr>
        <w:t>owever</w:t>
      </w:r>
      <w:r w:rsidR="00E5670D">
        <w:rPr>
          <w:rFonts w:ascii="Book Antiqua" w:eastAsia="Book Antiqua" w:hAnsi="Book Antiqua" w:cs="Book Antiqua"/>
          <w:color w:val="000000"/>
        </w:rPr>
        <w:t>,</w:t>
      </w:r>
      <w:r w:rsidRPr="00CD7EA8">
        <w:rPr>
          <w:rFonts w:ascii="Book Antiqua" w:eastAsia="Book Antiqua" w:hAnsi="Book Antiqua" w:cs="Book Antiqua"/>
          <w:color w:val="000000"/>
        </w:rPr>
        <w:t xml:space="preserve"> there was no statistically significant difference between the eradication rate of OST-14 and QT-14 groups (in ITT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 xml:space="preserve">0.34, in PP analysis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0.35)</w:t>
      </w:r>
      <w:r w:rsidR="008F6B32" w:rsidRPr="00CD7EA8">
        <w:rPr>
          <w:rFonts w:ascii="Book Antiqua" w:eastAsia="Book Antiqua" w:hAnsi="Book Antiqua" w:cs="Book Antiqua"/>
          <w:color w:val="000000"/>
        </w:rPr>
        <w:t>.</w:t>
      </w:r>
    </w:p>
    <w:p w14:paraId="74EAAFAF" w14:textId="77777777" w:rsidR="00A77B3E" w:rsidRPr="00CD7EA8" w:rsidRDefault="00A77B3E" w:rsidP="00CD7EA8">
      <w:pPr>
        <w:spacing w:line="360" w:lineRule="auto"/>
        <w:jc w:val="both"/>
        <w:rPr>
          <w:rFonts w:ascii="Book Antiqua" w:hAnsi="Book Antiqua"/>
        </w:rPr>
      </w:pPr>
    </w:p>
    <w:p w14:paraId="6A62D039"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Safety</w:t>
      </w:r>
    </w:p>
    <w:p w14:paraId="6BDAFA17" w14:textId="49D62E09"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The treatment tolerance was better in the OST-14 group, with an incidence of AEs of 24.7% compared to 42.7% and 39% in the QT-14 and QT-10</w:t>
      </w:r>
      <w:r w:rsidR="00382F7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w:t>
      </w:r>
      <w:r w:rsidRPr="00CD7EA8">
        <w:rPr>
          <w:rFonts w:ascii="Book Antiqua" w:eastAsia="Book Antiqua" w:hAnsi="Book Antiqua" w:cs="Book Antiqua"/>
          <w:i/>
          <w:iCs/>
          <w:color w:val="000000"/>
        </w:rPr>
        <w:t>P</w:t>
      </w:r>
      <w:r w:rsidRPr="00CD7EA8">
        <w:rPr>
          <w:rFonts w:ascii="Book Antiqua" w:eastAsia="Book Antiqua" w:hAnsi="Book Antiqua" w:cs="Book Antiqua"/>
          <w:color w:val="000000"/>
        </w:rPr>
        <w:t xml:space="preserve"> = 0.03)</w:t>
      </w:r>
      <w:r w:rsidR="008F6B32" w:rsidRPr="00CD7EA8">
        <w:rPr>
          <w:rFonts w:ascii="Book Antiqua" w:eastAsia="Book Antiqua" w:hAnsi="Book Antiqua" w:cs="Book Antiqua"/>
          <w:color w:val="000000"/>
        </w:rPr>
        <w:t xml:space="preserve"> (Table 2)</w:t>
      </w:r>
      <w:r w:rsidRPr="00CD7EA8">
        <w:rPr>
          <w:rFonts w:ascii="Book Antiqua" w:eastAsia="Book Antiqua" w:hAnsi="Book Antiqua" w:cs="Book Antiqua"/>
          <w:color w:val="000000"/>
        </w:rPr>
        <w:t xml:space="preserve">. However, the treatment was globally well tolerated among the three groups, and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were mild to moderate in all patients. The drug compliance was excellent among the three groups: 97%, 95% and 98.9% in the QT-10, QT-14 and OST-14</w:t>
      </w:r>
      <w:r w:rsidR="006C4B2E">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w:t>
      </w:r>
      <w:r w:rsidR="008F6B32" w:rsidRPr="00CD7EA8">
        <w:rPr>
          <w:rFonts w:ascii="Book Antiqua" w:eastAsia="Book Antiqua" w:hAnsi="Book Antiqua" w:cs="Book Antiqua"/>
          <w:i/>
          <w:iCs/>
          <w:color w:val="000000"/>
        </w:rPr>
        <w:t>P</w:t>
      </w:r>
      <w:r w:rsidR="008F6B32"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0.48).</w:t>
      </w:r>
    </w:p>
    <w:p w14:paraId="4AB926F6" w14:textId="77777777" w:rsidR="00A77B3E" w:rsidRPr="00CD7EA8" w:rsidRDefault="00A77B3E" w:rsidP="00CD7EA8">
      <w:pPr>
        <w:spacing w:line="360" w:lineRule="auto"/>
        <w:jc w:val="both"/>
        <w:rPr>
          <w:rFonts w:ascii="Book Antiqua" w:hAnsi="Book Antiqua"/>
        </w:rPr>
      </w:pPr>
    </w:p>
    <w:p w14:paraId="3C1886B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i/>
          <w:iCs/>
          <w:color w:val="000000"/>
        </w:rPr>
        <w:t>Cost-effectiveness</w:t>
      </w:r>
    </w:p>
    <w:p w14:paraId="13F49158" w14:textId="421B3ED2"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The overall cost was lower in the OST-14 group </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427.10</w:t>
      </w:r>
      <w:r w:rsidR="008F6B32" w:rsidRPr="00CD7EA8">
        <w:rPr>
          <w:rFonts w:ascii="Book Antiqua" w:eastAsia="Book Antiqua" w:hAnsi="Book Antiqua" w:cs="Book Antiqua"/>
          <w:color w:val="000000"/>
        </w:rPr>
        <w:t xml:space="preserve"> Moroccan dirhams (</w:t>
      </w:r>
      <w:r w:rsidRPr="00CD7EA8">
        <w:rPr>
          <w:rFonts w:ascii="Book Antiqua" w:eastAsia="Book Antiqua" w:hAnsi="Book Antiqua" w:cs="Book Antiqua"/>
          <w:color w:val="000000"/>
        </w:rPr>
        <w:t>MAD)</w:t>
      </w:r>
      <w:r w:rsidR="008F6B32" w:rsidRPr="00CD7EA8">
        <w:rPr>
          <w:rFonts w:ascii="Book Antiqua" w:eastAsia="Book Antiqua" w:hAnsi="Book Antiqua" w:cs="Book Antiqua"/>
          <w:color w:val="000000"/>
        </w:rPr>
        <w:t>]</w:t>
      </w:r>
      <w:r w:rsidRPr="00CD7EA8">
        <w:rPr>
          <w:rFonts w:ascii="Book Antiqua" w:eastAsia="Book Antiqua" w:hAnsi="Book Antiqua" w:cs="Book Antiqua"/>
          <w:color w:val="000000"/>
        </w:rPr>
        <w:t>, compared to QT-14 and QT-10 groups (691.90</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MAD and 587.10</w:t>
      </w:r>
      <w:r w:rsidR="008F6B32"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MAD</w:t>
      </w:r>
      <w:r w:rsidR="00CA063C">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 The cost-effectiveness ratio was lower in the OST-14 group</w:t>
      </w:r>
      <w:r w:rsidR="00CA063C">
        <w:rPr>
          <w:rFonts w:ascii="Book Antiqua" w:eastAsia="Book Antiqua" w:hAnsi="Book Antiqua" w:cs="Book Antiqua"/>
          <w:color w:val="000000"/>
        </w:rPr>
        <w:t>,</w:t>
      </w:r>
      <w:r w:rsidRPr="00CD7EA8">
        <w:rPr>
          <w:rFonts w:ascii="Book Antiqua" w:eastAsia="Book Antiqua" w:hAnsi="Book Antiqua" w:cs="Book Antiqua"/>
          <w:color w:val="000000"/>
        </w:rPr>
        <w:t xml:space="preserve"> as shown in </w:t>
      </w:r>
      <w:r w:rsidR="008F6B32" w:rsidRPr="00CD7EA8">
        <w:rPr>
          <w:rFonts w:ascii="Book Antiqua" w:eastAsia="Book Antiqua" w:hAnsi="Book Antiqua" w:cs="Book Antiqua"/>
          <w:color w:val="000000"/>
        </w:rPr>
        <w:t>T</w:t>
      </w:r>
      <w:r w:rsidRPr="00CD7EA8">
        <w:rPr>
          <w:rFonts w:ascii="Book Antiqua" w:eastAsia="Book Antiqua" w:hAnsi="Book Antiqua" w:cs="Book Antiqua"/>
          <w:color w:val="000000"/>
        </w:rPr>
        <w:t>able 3.</w:t>
      </w:r>
    </w:p>
    <w:p w14:paraId="28788A4D" w14:textId="77777777" w:rsidR="00A77B3E" w:rsidRPr="00CD7EA8" w:rsidRDefault="00A77B3E" w:rsidP="00CD7EA8">
      <w:pPr>
        <w:spacing w:line="360" w:lineRule="auto"/>
        <w:jc w:val="both"/>
        <w:rPr>
          <w:rFonts w:ascii="Book Antiqua" w:hAnsi="Book Antiqua"/>
        </w:rPr>
      </w:pPr>
    </w:p>
    <w:p w14:paraId="335E81B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DISCUSSION</w:t>
      </w:r>
    </w:p>
    <w:p w14:paraId="4BA23559" w14:textId="62D9743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w:t>
      </w:r>
      <w:proofErr w:type="gramStart"/>
      <w:r w:rsidRPr="00CD7EA8">
        <w:rPr>
          <w:rFonts w:ascii="Book Antiqua" w:eastAsia="Book Antiqua" w:hAnsi="Book Antiqua" w:cs="Book Antiqua"/>
          <w:color w:val="000000"/>
        </w:rPr>
        <w:t>therapy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xml:space="preserve">. However, eradication rates widely vary geographically due to varying antimicrobial resistance, especially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and </w:t>
      </w:r>
      <w:proofErr w:type="gramStart"/>
      <w:r w:rsidR="00DC288A">
        <w:rPr>
          <w:rFonts w:ascii="Book Antiqua" w:eastAsia="Book Antiqua" w:hAnsi="Book Antiqua" w:cs="Book Antiqua"/>
          <w:color w:val="000000"/>
        </w:rPr>
        <w:t>m</w:t>
      </w:r>
      <w:r w:rsidRPr="00CD7EA8">
        <w:rPr>
          <w:rFonts w:ascii="Book Antiqua" w:eastAsia="Book Antiqua" w:hAnsi="Book Antiqua" w:cs="Book Antiqua"/>
          <w:color w:val="000000"/>
        </w:rPr>
        <w:t>etronidazole</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19]</w:t>
      </w:r>
      <w:r w:rsidRPr="00CD7EA8">
        <w:rPr>
          <w:rFonts w:ascii="Book Antiqua" w:eastAsia="Book Antiqua" w:hAnsi="Book Antiqua" w:cs="Book Antiqua"/>
          <w:color w:val="000000"/>
        </w:rPr>
        <w:t>.</w:t>
      </w:r>
    </w:p>
    <w:p w14:paraId="28E56D34" w14:textId="084E128E"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It</w:t>
      </w:r>
      <w:r w:rsidR="00B50FDC">
        <w:rPr>
          <w:rFonts w:ascii="Book Antiqua" w:eastAsia="Book Antiqua" w:hAnsi="Book Antiqua" w:cs="Book Antiqua"/>
          <w:color w:val="000000"/>
        </w:rPr>
        <w:t xml:space="preserve"> is</w:t>
      </w:r>
      <w:r w:rsidRPr="00CD7EA8">
        <w:rPr>
          <w:rFonts w:ascii="Book Antiqua" w:eastAsia="Book Antiqua" w:hAnsi="Book Antiqua" w:cs="Book Antiqua"/>
          <w:color w:val="000000"/>
        </w:rPr>
        <w:t xml:space="preserve"> important to note that the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eradication rate is significantly influenced by antibiotic resistance. Furthermore, the bismuth agent is not available in all areas. </w:t>
      </w:r>
      <w:r w:rsidR="00787CB2">
        <w:rPr>
          <w:rFonts w:ascii="Book Antiqua" w:eastAsia="Book Antiqua" w:hAnsi="Book Antiqua" w:cs="Book Antiqua"/>
          <w:color w:val="000000"/>
        </w:rPr>
        <w:lastRenderedPageBreak/>
        <w:t>Therefore,</w:t>
      </w:r>
      <w:r w:rsidRPr="00CD7EA8">
        <w:rPr>
          <w:rFonts w:ascii="Book Antiqua" w:eastAsia="Book Antiqua" w:hAnsi="Book Antiqua" w:cs="Book Antiqua"/>
          <w:color w:val="000000"/>
        </w:rPr>
        <w:t xml:space="preserve"> in areas where </w:t>
      </w:r>
      <w:r w:rsidRPr="00CD7EA8">
        <w:rPr>
          <w:rFonts w:ascii="Book Antiqua" w:eastAsia="Book Antiqua" w:hAnsi="Book Antiqua" w:cs="Book Antiqua"/>
          <w:i/>
          <w:iCs/>
          <w:color w:val="000000"/>
        </w:rPr>
        <w:t xml:space="preserve">H. </w:t>
      </w:r>
      <w:proofErr w:type="gramStart"/>
      <w:r w:rsidR="008F6B32" w:rsidRPr="00CD7EA8">
        <w:rPr>
          <w:rFonts w:ascii="Book Antiqua" w:eastAsia="Book Antiqua" w:hAnsi="Book Antiqua" w:cs="Book Antiqua"/>
          <w:i/>
          <w:iCs/>
          <w:color w:val="000000"/>
        </w:rPr>
        <w:t>p</w:t>
      </w:r>
      <w:r w:rsidRPr="00CD7EA8">
        <w:rPr>
          <w:rFonts w:ascii="Book Antiqua" w:eastAsia="Book Antiqua" w:hAnsi="Book Antiqua" w:cs="Book Antiqua"/>
          <w:i/>
          <w:iCs/>
          <w:color w:val="000000"/>
        </w:rPr>
        <w:t>ylori</w:t>
      </w:r>
      <w:r w:rsidRPr="00CD7EA8">
        <w:rPr>
          <w:rFonts w:ascii="Book Antiqua" w:eastAsia="Book Antiqua" w:hAnsi="Book Antiqua" w:cs="Book Antiqua"/>
          <w:color w:val="000000"/>
        </w:rPr>
        <w:t xml:space="preserve"> is</w:t>
      </w:r>
      <w:proofErr w:type="gramEnd"/>
      <w:r w:rsidRPr="00CD7EA8">
        <w:rPr>
          <w:rFonts w:ascii="Book Antiqua" w:eastAsia="Book Antiqua" w:hAnsi="Book Antiqua" w:cs="Book Antiqua"/>
          <w:color w:val="000000"/>
        </w:rPr>
        <w:t xml:space="preserve"> highly resistant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larithromycin, non-bismuth quadruple therapies are still recommended when the bismuth agent is not available.</w:t>
      </w:r>
    </w:p>
    <w:p w14:paraId="049B1D84" w14:textId="362A7601"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Several non-bismuth regimens have been tested to improve the management of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w:t>
      </w:r>
      <w:proofErr w:type="gramStart"/>
      <w:r w:rsidRPr="00CD7EA8">
        <w:rPr>
          <w:rFonts w:ascii="Book Antiqua" w:eastAsia="Book Antiqua" w:hAnsi="Book Antiqua" w:cs="Book Antiqua"/>
          <w:color w:val="000000"/>
        </w:rPr>
        <w:t>infection</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20,21]</w:t>
      </w:r>
      <w:r w:rsidRPr="00CD7EA8">
        <w:rPr>
          <w:rFonts w:ascii="Book Antiqua" w:eastAsia="Book Antiqua" w:hAnsi="Book Antiqua" w:cs="Book Antiqua"/>
          <w:color w:val="000000"/>
        </w:rPr>
        <w:t xml:space="preserve">. One of them is modified sequential </w:t>
      </w:r>
      <w:proofErr w:type="gramStart"/>
      <w:r w:rsidRPr="00CD7EA8">
        <w:rPr>
          <w:rFonts w:ascii="Book Antiqua" w:eastAsia="Book Antiqua" w:hAnsi="Book Antiqua" w:cs="Book Antiqua"/>
          <w:color w:val="000000"/>
        </w:rPr>
        <w:t>therapy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12,22]</w:t>
      </w:r>
      <w:r w:rsidRPr="00CD7EA8">
        <w:rPr>
          <w:rFonts w:ascii="Book Antiqua" w:eastAsia="Book Antiqua" w:hAnsi="Book Antiqua" w:cs="Book Antiqua"/>
          <w:color w:val="000000"/>
        </w:rPr>
        <w:t>. In the present study, we aimed to compare the results of the standard 10- and 14-d non-bismuth quadruple therapies to an optimized sequential therapy by using a second-generation PPI.</w:t>
      </w:r>
    </w:p>
    <w:p w14:paraId="4DC7F837" w14:textId="15FDC27B"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Overall, we found that the optimized 14-d sequential regimen using </w:t>
      </w:r>
      <w:proofErr w:type="spellStart"/>
      <w:r w:rsidRPr="00CD7EA8">
        <w:rPr>
          <w:rFonts w:ascii="Book Antiqua" w:eastAsia="Book Antiqua" w:hAnsi="Book Antiqua" w:cs="Book Antiqua"/>
          <w:color w:val="000000"/>
        </w:rPr>
        <w:t>rabeprazole</w:t>
      </w:r>
      <w:proofErr w:type="spellEnd"/>
      <w:r w:rsidRPr="00CD7EA8">
        <w:rPr>
          <w:rFonts w:ascii="Book Antiqua" w:eastAsia="Book Antiqua" w:hAnsi="Book Antiqua" w:cs="Book Antiqua"/>
          <w:color w:val="000000"/>
        </w:rPr>
        <w:t xml:space="preserve"> (OST-14) achieves a higher cure rate than the standard quadruple therapy without bismuth for 10 d (85.5% and 93.5%</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i/>
          <w:iCs/>
          <w:color w:val="000000"/>
        </w:rPr>
        <w:t>P</w:t>
      </w:r>
      <w:r w:rsidRPr="00CD7EA8">
        <w:rPr>
          <w:rFonts w:ascii="Book Antiqua" w:eastAsia="Book Antiqua" w:hAnsi="Book Antiqua" w:cs="Book Antiqua"/>
          <w:color w:val="000000"/>
        </w:rPr>
        <w:t xml:space="preserve"> = 0.04)</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while there was no statistically significant difference between OST-14 and the 14-d quadruple therapy (93.2% and 91.8%</w:t>
      </w:r>
      <w:r w:rsidR="00786066">
        <w:rPr>
          <w:rFonts w:ascii="Book Antiqua" w:eastAsia="Book Antiqua" w:hAnsi="Book Antiqua" w:cs="Book Antiqua"/>
          <w:color w:val="000000"/>
        </w:rPr>
        <w:t>,</w:t>
      </w:r>
      <w:r w:rsidRPr="00CD7EA8">
        <w:rPr>
          <w:rFonts w:ascii="Book Antiqua" w:eastAsia="Book Antiqua" w:hAnsi="Book Antiqua" w:cs="Book Antiqua"/>
          <w:color w:val="000000"/>
        </w:rPr>
        <w:t xml:space="preserve"> respectively,</w:t>
      </w:r>
      <w:r w:rsidR="00A30E97"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 xml:space="preserve">0.34). OST-14 allowed a greater tolerance with fewer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compared to quadruple therapies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0.01),</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and there was no difference in term of drugs compliance between the three groups. Furthermore, the cost-effectiveness ratio was lower in the OST-14 group.</w:t>
      </w:r>
    </w:p>
    <w:p w14:paraId="0B8A36B7" w14:textId="65065CC5"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The sequential therapy was introduced for the first time in 2000 in Italy by </w:t>
      </w:r>
      <w:proofErr w:type="spellStart"/>
      <w:r w:rsidRPr="00CD7EA8">
        <w:rPr>
          <w:rFonts w:ascii="Book Antiqua" w:eastAsia="Book Antiqua" w:hAnsi="Book Antiqua" w:cs="Book Antiqua"/>
          <w:color w:val="000000"/>
        </w:rPr>
        <w:t>Zullo</w:t>
      </w:r>
      <w:proofErr w:type="spellEnd"/>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i/>
          <w:iCs/>
          <w:color w:val="000000"/>
        </w:rPr>
        <w:t xml:space="preserve">et </w:t>
      </w:r>
      <w:proofErr w:type="gramStart"/>
      <w:r w:rsidR="00A30E97" w:rsidRPr="00CD7EA8">
        <w:rPr>
          <w:rFonts w:ascii="Book Antiqua" w:eastAsia="Book Antiqua" w:hAnsi="Book Antiqua" w:cs="Book Antiqua"/>
          <w:i/>
          <w:iCs/>
          <w:color w:val="000000"/>
        </w:rPr>
        <w:t>al</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23]</w:t>
      </w:r>
      <w:r w:rsidRPr="00CD7EA8">
        <w:rPr>
          <w:rFonts w:ascii="Book Antiqua" w:eastAsia="Book Antiqua" w:hAnsi="Book Antiqua" w:cs="Book Antiqua"/>
          <w:color w:val="000000"/>
        </w:rPr>
        <w:t xml:space="preserve">. We personally demonstrated its superiority compared to the standard triple therapy in a previous </w:t>
      </w:r>
      <w:proofErr w:type="gramStart"/>
      <w:r w:rsidRPr="00CD7EA8">
        <w:rPr>
          <w:rFonts w:ascii="Book Antiqua" w:eastAsia="Book Antiqua" w:hAnsi="Book Antiqua" w:cs="Book Antiqua"/>
          <w:color w:val="000000"/>
        </w:rPr>
        <w:t>study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24]</w:t>
      </w:r>
      <w:r w:rsidRPr="00CD7EA8">
        <w:rPr>
          <w:rFonts w:ascii="Book Antiqua" w:eastAsia="Book Antiqua" w:hAnsi="Book Antiqua" w:cs="Book Antiqua"/>
          <w:color w:val="000000"/>
        </w:rPr>
        <w:t xml:space="preserve">. A recent </w:t>
      </w:r>
      <w:proofErr w:type="spellStart"/>
      <w:r w:rsidRPr="00CD7EA8">
        <w:rPr>
          <w:rFonts w:ascii="Book Antiqua" w:eastAsia="Book Antiqua" w:hAnsi="Book Antiqua" w:cs="Book Antiqua"/>
          <w:color w:val="000000"/>
        </w:rPr>
        <w:t>metanalysis</w:t>
      </w:r>
      <w:proofErr w:type="spellEnd"/>
      <w:r w:rsidRPr="00CD7EA8">
        <w:rPr>
          <w:rFonts w:ascii="Book Antiqua" w:eastAsia="Book Antiqua" w:hAnsi="Book Antiqua" w:cs="Book Antiqua"/>
          <w:color w:val="000000"/>
        </w:rPr>
        <w:t xml:space="preserve"> by </w:t>
      </w:r>
      <w:r w:rsidR="00A30E97" w:rsidRPr="00CD7EA8">
        <w:rPr>
          <w:rFonts w:ascii="Book Antiqua" w:eastAsia="Book Antiqua" w:hAnsi="Book Antiqua" w:cs="Book Antiqua"/>
          <w:color w:val="000000"/>
        </w:rPr>
        <w:t>W</w:t>
      </w:r>
      <w:r w:rsidRPr="00CD7EA8">
        <w:rPr>
          <w:rFonts w:ascii="Book Antiqua" w:eastAsia="Book Antiqua" w:hAnsi="Book Antiqua" w:cs="Book Antiqua"/>
          <w:color w:val="000000"/>
        </w:rPr>
        <w:t xml:space="preserve">ang </w:t>
      </w:r>
      <w:r w:rsidRPr="00CD7EA8">
        <w:rPr>
          <w:rFonts w:ascii="Book Antiqua" w:eastAsia="Book Antiqua" w:hAnsi="Book Antiqua" w:cs="Book Antiqua"/>
          <w:i/>
          <w:iCs/>
          <w:color w:val="000000"/>
        </w:rPr>
        <w:t xml:space="preserve">et </w:t>
      </w:r>
      <w:proofErr w:type="gramStart"/>
      <w:r w:rsidRPr="00CD7EA8">
        <w:rPr>
          <w:rFonts w:ascii="Book Antiqua" w:eastAsia="Book Antiqua" w:hAnsi="Book Antiqua" w:cs="Book Antiqua"/>
          <w:i/>
          <w:iCs/>
          <w:color w:val="000000"/>
        </w:rPr>
        <w:t>al</w:t>
      </w:r>
      <w:r w:rsidR="00A30E97" w:rsidRPr="00CD7EA8">
        <w:rPr>
          <w:rFonts w:ascii="Book Antiqua" w:eastAsia="Book Antiqua" w:hAnsi="Book Antiqua" w:cs="Book Antiqua"/>
          <w:color w:val="000000"/>
          <w:vertAlign w:val="superscript"/>
        </w:rPr>
        <w:t>[</w:t>
      </w:r>
      <w:proofErr w:type="gramEnd"/>
      <w:r w:rsidR="00A30E97" w:rsidRPr="00CD7EA8">
        <w:rPr>
          <w:rFonts w:ascii="Book Antiqua" w:eastAsia="Book Antiqua" w:hAnsi="Book Antiqua" w:cs="Book Antiqua"/>
          <w:color w:val="000000"/>
          <w:vertAlign w:val="superscript"/>
        </w:rPr>
        <w:t>18]</w:t>
      </w:r>
      <w:r w:rsidRPr="00CD7EA8">
        <w:rPr>
          <w:rFonts w:ascii="Book Antiqua" w:eastAsia="Book Antiqua" w:hAnsi="Book Antiqua" w:cs="Book Antiqua"/>
          <w:color w:val="000000"/>
        </w:rPr>
        <w:t xml:space="preserve"> showed that there is no difference in term</w:t>
      </w:r>
      <w:r w:rsidR="00C561FA">
        <w:rPr>
          <w:rFonts w:ascii="Book Antiqua" w:eastAsia="Book Antiqua" w:hAnsi="Book Antiqua" w:cs="Book Antiqua"/>
          <w:color w:val="000000"/>
        </w:rPr>
        <w:t>s</w:t>
      </w:r>
      <w:r w:rsidRPr="00CD7EA8">
        <w:rPr>
          <w:rFonts w:ascii="Book Antiqua" w:eastAsia="Book Antiqua" w:hAnsi="Book Antiqua" w:cs="Book Antiqua"/>
          <w:color w:val="000000"/>
        </w:rPr>
        <w:t xml:space="preserve"> of eradication rate between a 14-d sequential and a 14-d concomitant therapy. Another study showed that a 14-d sequential therapy is equivalent to 10</w:t>
      </w:r>
      <w:r w:rsidR="00A30E97"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d bismuth quadruple therapy in term</w:t>
      </w:r>
      <w:r w:rsidR="00C561FA">
        <w:rPr>
          <w:rFonts w:ascii="Book Antiqua" w:eastAsia="Book Antiqua" w:hAnsi="Book Antiqua" w:cs="Book Antiqua"/>
          <w:color w:val="000000"/>
        </w:rPr>
        <w:t>s</w:t>
      </w:r>
      <w:r w:rsidRPr="00CD7EA8">
        <w:rPr>
          <w:rFonts w:ascii="Book Antiqua" w:eastAsia="Book Antiqua" w:hAnsi="Book Antiqua" w:cs="Book Antiqua"/>
          <w:color w:val="000000"/>
        </w:rPr>
        <w:t xml:space="preserve"> of eradication rate (91.3% and 91.6%</w:t>
      </w:r>
      <w:r w:rsidR="00C561FA">
        <w:rPr>
          <w:rFonts w:ascii="Book Antiqua" w:eastAsia="Book Antiqua" w:hAnsi="Book Antiqua" w:cs="Book Antiqua"/>
          <w:color w:val="000000"/>
        </w:rPr>
        <w:t>, respectively</w:t>
      </w:r>
      <w:r w:rsidRPr="00CD7EA8">
        <w:rPr>
          <w:rFonts w:ascii="Book Antiqua" w:eastAsia="Book Antiqua" w:hAnsi="Book Antiqua" w:cs="Book Antiqua"/>
          <w:color w:val="000000"/>
        </w:rPr>
        <w:t>)</w:t>
      </w:r>
      <w:r w:rsidR="00083437">
        <w:rPr>
          <w:rFonts w:ascii="Book Antiqua" w:eastAsia="Book Antiqua" w:hAnsi="Book Antiqua" w:cs="Book Antiqua"/>
          <w:color w:val="000000"/>
        </w:rPr>
        <w:t>,</w:t>
      </w:r>
      <w:r w:rsidRPr="00CD7EA8">
        <w:rPr>
          <w:rFonts w:ascii="Book Antiqua" w:eastAsia="Book Antiqua" w:hAnsi="Book Antiqua" w:cs="Book Antiqua"/>
          <w:color w:val="000000"/>
        </w:rPr>
        <w:t xml:space="preserve"> but </w:t>
      </w:r>
      <w:r w:rsidR="00083437" w:rsidRPr="00CD7EA8">
        <w:rPr>
          <w:rFonts w:ascii="Book Antiqua" w:eastAsia="Book Antiqua" w:hAnsi="Book Antiqua" w:cs="Book Antiqua"/>
          <w:color w:val="000000"/>
        </w:rPr>
        <w:t>bismuth therapy</w:t>
      </w:r>
      <w:r w:rsidR="00083437" w:rsidRPr="00CD7EA8" w:rsidDel="00083437">
        <w:rPr>
          <w:rFonts w:ascii="Book Antiqua" w:eastAsia="Book Antiqua" w:hAnsi="Book Antiqua" w:cs="Book Antiqua"/>
          <w:color w:val="000000"/>
        </w:rPr>
        <w:t xml:space="preserve"> </w:t>
      </w:r>
      <w:r w:rsidR="00083437">
        <w:rPr>
          <w:rFonts w:ascii="Book Antiqua" w:eastAsia="Book Antiqua" w:hAnsi="Book Antiqua" w:cs="Book Antiqua"/>
          <w:color w:val="000000"/>
        </w:rPr>
        <w:t xml:space="preserve">led to </w:t>
      </w:r>
      <w:r w:rsidRPr="00CD7EA8">
        <w:rPr>
          <w:rFonts w:ascii="Book Antiqua" w:eastAsia="Book Antiqua" w:hAnsi="Book Antiqua" w:cs="Book Antiqua"/>
          <w:color w:val="000000"/>
        </w:rPr>
        <w:t xml:space="preserve">more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w:t>
      </w:r>
      <w:r w:rsidRPr="00CD7EA8">
        <w:rPr>
          <w:rFonts w:ascii="Book Antiqua" w:eastAsia="Book Antiqua" w:hAnsi="Book Antiqua" w:cs="Book Antiqua"/>
          <w:color w:val="000000"/>
          <w:vertAlign w:val="superscript"/>
        </w:rPr>
        <w:t>[25]</w:t>
      </w:r>
      <w:r w:rsidRPr="00CD7EA8">
        <w:rPr>
          <w:rFonts w:ascii="Book Antiqua" w:eastAsia="Book Antiqua" w:hAnsi="Book Antiqua" w:cs="Book Antiqua"/>
          <w:color w:val="000000"/>
        </w:rPr>
        <w:t xml:space="preserve">. </w:t>
      </w:r>
      <w:r w:rsidR="006F57BE">
        <w:rPr>
          <w:rFonts w:ascii="Book Antiqua" w:eastAsia="Book Antiqua" w:hAnsi="Book Antiqua" w:cs="Book Antiqua"/>
          <w:color w:val="000000"/>
        </w:rPr>
        <w:t>I</w:t>
      </w:r>
      <w:r w:rsidR="006F57BE" w:rsidRPr="00CD7EA8">
        <w:rPr>
          <w:rFonts w:ascii="Book Antiqua" w:eastAsia="Book Antiqua" w:hAnsi="Book Antiqua" w:cs="Book Antiqua"/>
          <w:color w:val="000000"/>
        </w:rPr>
        <w:t xml:space="preserve">n a </w:t>
      </w:r>
      <w:proofErr w:type="spellStart"/>
      <w:r w:rsidR="006F57BE" w:rsidRPr="00CD7EA8">
        <w:rPr>
          <w:rFonts w:ascii="Book Antiqua" w:eastAsia="Book Antiqua" w:hAnsi="Book Antiqua" w:cs="Book Antiqua"/>
          <w:color w:val="000000"/>
        </w:rPr>
        <w:t>metanalysis</w:t>
      </w:r>
      <w:proofErr w:type="spellEnd"/>
      <w:r w:rsidR="006F57BE">
        <w:rPr>
          <w:rFonts w:ascii="Book Antiqua" w:eastAsia="Book Antiqua" w:hAnsi="Book Antiqua" w:cs="Book Antiqua"/>
          <w:color w:val="000000"/>
        </w:rPr>
        <w:t>,</w:t>
      </w:r>
      <w:r w:rsidR="006F57BE" w:rsidRPr="00CD7EA8">
        <w:rPr>
          <w:rFonts w:ascii="Book Antiqua" w:eastAsia="Book Antiqua" w:hAnsi="Book Antiqua" w:cs="Book Antiqua"/>
          <w:color w:val="000000"/>
        </w:rPr>
        <w:t xml:space="preserve"> </w:t>
      </w:r>
      <w:r w:rsidR="006F57BE">
        <w:rPr>
          <w:rFonts w:ascii="Book Antiqua" w:eastAsia="Book Antiqua" w:hAnsi="Book Antiqua" w:cs="Book Antiqua"/>
          <w:color w:val="000000"/>
        </w:rPr>
        <w:t>t</w:t>
      </w:r>
      <w:r w:rsidRPr="00CD7EA8">
        <w:rPr>
          <w:rFonts w:ascii="Book Antiqua" w:eastAsia="Book Antiqua" w:hAnsi="Book Antiqua" w:cs="Book Antiqua"/>
          <w:color w:val="000000"/>
        </w:rPr>
        <w:t xml:space="preserve">he same team demonstrated that a 14-d sequential therapy is more effective than a 14-d triple </w:t>
      </w:r>
      <w:proofErr w:type="gramStart"/>
      <w:r w:rsidRPr="00CD7EA8">
        <w:rPr>
          <w:rFonts w:ascii="Book Antiqua" w:eastAsia="Book Antiqua" w:hAnsi="Book Antiqua" w:cs="Book Antiqua"/>
          <w:color w:val="000000"/>
        </w:rPr>
        <w:t>therapy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26]</w:t>
      </w:r>
      <w:r w:rsidRPr="00CD7EA8">
        <w:rPr>
          <w:rFonts w:ascii="Book Antiqua" w:eastAsia="Book Antiqua" w:hAnsi="Book Antiqua" w:cs="Book Antiqua"/>
          <w:color w:val="000000"/>
        </w:rPr>
        <w:t>.</w:t>
      </w:r>
    </w:p>
    <w:p w14:paraId="5061D110" w14:textId="137ACB31"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In the present study, the gain in terms of eradication rate can be explained by the use of a second generation PPI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20 mg bid) in the OST-14 group. In fact, the last Maastricht consensus states that switching </w:t>
      </w:r>
      <w:r w:rsidR="007256AE">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20 mg twice daily to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20 mg bid or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someprazole 40 mg bid may increase eradication rate by 8</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-12</w:t>
      </w:r>
      <w:proofErr w:type="gramStart"/>
      <w:r w:rsidRPr="00CD7EA8">
        <w:rPr>
          <w:rFonts w:ascii="Book Antiqua" w:eastAsia="Book Antiqua" w:hAnsi="Book Antiqua" w:cs="Book Antiqua"/>
          <w:color w:val="000000"/>
        </w:rPr>
        <w:t>%</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7]</w:t>
      </w:r>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color w:val="000000"/>
        </w:rPr>
        <w:t>T</w:t>
      </w:r>
      <w:r w:rsidRPr="00CD7EA8">
        <w:rPr>
          <w:rFonts w:ascii="Book Antiqua" w:eastAsia="Book Antiqua" w:hAnsi="Book Antiqua" w:cs="Book Antiqua"/>
          <w:color w:val="000000"/>
        </w:rPr>
        <w:t xml:space="preserve">he advantage of PPIs lies in the fact that the majority of proposed regimens are </w:t>
      </w:r>
      <w:r w:rsidR="006E6196">
        <w:rPr>
          <w:rFonts w:ascii="Book Antiqua" w:eastAsia="Book Antiqua" w:hAnsi="Book Antiqua" w:cs="Book Antiqua"/>
          <w:color w:val="000000"/>
        </w:rPr>
        <w:t>p</w:t>
      </w:r>
      <w:r w:rsidRPr="00CD7EA8">
        <w:rPr>
          <w:rFonts w:ascii="Book Antiqua" w:eastAsia="Book Antiqua" w:hAnsi="Book Antiqua" w:cs="Book Antiqua"/>
          <w:color w:val="000000"/>
        </w:rPr>
        <w:t>H</w:t>
      </w:r>
      <w:r w:rsidR="006E6196">
        <w:rPr>
          <w:rFonts w:ascii="Book Antiqua" w:eastAsia="Book Antiqua" w:hAnsi="Book Antiqua" w:cs="Book Antiqua"/>
          <w:color w:val="000000"/>
        </w:rPr>
        <w:t>-</w:t>
      </w:r>
      <w:r w:rsidRPr="00CD7EA8">
        <w:rPr>
          <w:rFonts w:ascii="Book Antiqua" w:eastAsia="Book Antiqua" w:hAnsi="Book Antiqua" w:cs="Book Antiqua"/>
          <w:color w:val="000000"/>
        </w:rPr>
        <w:lastRenderedPageBreak/>
        <w:t xml:space="preserve">dependent and become less effective when the </w:t>
      </w:r>
      <w:proofErr w:type="spellStart"/>
      <w:r w:rsidRPr="00CD7EA8">
        <w:rPr>
          <w:rFonts w:ascii="Book Antiqua" w:eastAsia="Book Antiqua" w:hAnsi="Book Antiqua" w:cs="Book Antiqua"/>
          <w:color w:val="000000"/>
        </w:rPr>
        <w:t>intragastric</w:t>
      </w:r>
      <w:proofErr w:type="spellEnd"/>
      <w:r w:rsidRPr="00CD7EA8">
        <w:rPr>
          <w:rFonts w:ascii="Book Antiqua" w:eastAsia="Book Antiqua" w:hAnsi="Book Antiqua" w:cs="Book Antiqua"/>
          <w:color w:val="000000"/>
        </w:rPr>
        <w:t xml:space="preserve"> </w:t>
      </w:r>
      <w:r w:rsidR="006E6196">
        <w:rPr>
          <w:rFonts w:ascii="Book Antiqua" w:eastAsia="Book Antiqua" w:hAnsi="Book Antiqua" w:cs="Book Antiqua"/>
          <w:color w:val="000000"/>
        </w:rPr>
        <w:t>p</w:t>
      </w:r>
      <w:r w:rsidRPr="00CD7EA8">
        <w:rPr>
          <w:rFonts w:ascii="Book Antiqua" w:eastAsia="Book Antiqua" w:hAnsi="Book Antiqua" w:cs="Book Antiqua"/>
          <w:color w:val="000000"/>
        </w:rPr>
        <w:t xml:space="preserve">H is </w:t>
      </w:r>
      <w:proofErr w:type="gramStart"/>
      <w:r w:rsidRPr="00CD7EA8">
        <w:rPr>
          <w:rFonts w:ascii="Book Antiqua" w:eastAsia="Book Antiqua" w:hAnsi="Book Antiqua" w:cs="Book Antiqua"/>
          <w:color w:val="000000"/>
        </w:rPr>
        <w:t>low</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27]</w:t>
      </w:r>
      <w:r w:rsidRPr="00CD7EA8">
        <w:rPr>
          <w:rFonts w:ascii="Book Antiqua" w:eastAsia="Book Antiqua" w:hAnsi="Book Antiqua" w:cs="Book Antiqua"/>
          <w:color w:val="000000"/>
        </w:rPr>
        <w:t>, hence the use of higher dose PPIs and second-generation substances. A possible explanation for the superiority of second-generation PPIs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and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w:t>
      </w:r>
      <w:r w:rsidR="00F06CCC">
        <w:rPr>
          <w:rFonts w:ascii="Book Antiqua" w:eastAsia="Book Antiqua" w:hAnsi="Book Antiqua" w:cs="Book Antiqua"/>
          <w:color w:val="000000"/>
        </w:rPr>
        <w:t>may</w:t>
      </w:r>
      <w:r w:rsidR="00F06CCC"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be their metabolism, which is less dependent on CYP2C19 genetic variables and their higher acid inhibition </w:t>
      </w:r>
      <w:proofErr w:type="gramStart"/>
      <w:r w:rsidRPr="00CD7EA8">
        <w:rPr>
          <w:rFonts w:ascii="Book Antiqua" w:eastAsia="Book Antiqua" w:hAnsi="Book Antiqua" w:cs="Book Antiqua"/>
          <w:color w:val="000000"/>
        </w:rPr>
        <w:t>power</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28]</w:t>
      </w:r>
      <w:r w:rsidRPr="00CD7EA8">
        <w:rPr>
          <w:rFonts w:ascii="Book Antiqua" w:eastAsia="Book Antiqua" w:hAnsi="Book Antiqua" w:cs="Book Antiqua"/>
          <w:color w:val="000000"/>
        </w:rPr>
        <w:t xml:space="preserve">. A further </w:t>
      </w:r>
      <w:proofErr w:type="spellStart"/>
      <w:r w:rsidRPr="00CD7EA8">
        <w:rPr>
          <w:rFonts w:ascii="Book Antiqua" w:eastAsia="Book Antiqua" w:hAnsi="Book Antiqua" w:cs="Book Antiqua"/>
          <w:color w:val="000000"/>
        </w:rPr>
        <w:t>metanalysis</w:t>
      </w:r>
      <w:proofErr w:type="spellEnd"/>
      <w:r w:rsidRPr="00CD7EA8">
        <w:rPr>
          <w:rFonts w:ascii="Book Antiqua" w:eastAsia="Book Antiqua" w:hAnsi="Book Antiqua" w:cs="Book Antiqua"/>
          <w:color w:val="000000"/>
        </w:rPr>
        <w:t xml:space="preserve"> by </w:t>
      </w:r>
      <w:proofErr w:type="spellStart"/>
      <w:r w:rsidRPr="00CD7EA8">
        <w:rPr>
          <w:rFonts w:ascii="Book Antiqua" w:eastAsia="Book Antiqua" w:hAnsi="Book Antiqua" w:cs="Book Antiqua"/>
          <w:color w:val="000000"/>
        </w:rPr>
        <w:t>McNichol</w:t>
      </w:r>
      <w:proofErr w:type="spellEnd"/>
      <w:r w:rsidRPr="00CD7EA8">
        <w:rPr>
          <w:rFonts w:ascii="Book Antiqua" w:eastAsia="Book Antiqua" w:hAnsi="Book Antiqua" w:cs="Book Antiqua"/>
          <w:color w:val="000000"/>
        </w:rPr>
        <w:t xml:space="preserve"> </w:t>
      </w:r>
      <w:r w:rsidRPr="00CD7EA8">
        <w:rPr>
          <w:rFonts w:ascii="Book Antiqua" w:eastAsia="Book Antiqua" w:hAnsi="Book Antiqua" w:cs="Book Antiqua"/>
          <w:i/>
          <w:iCs/>
          <w:color w:val="000000"/>
        </w:rPr>
        <w:t xml:space="preserve">et </w:t>
      </w:r>
      <w:proofErr w:type="gramStart"/>
      <w:r w:rsidRPr="00CD7EA8">
        <w:rPr>
          <w:rFonts w:ascii="Book Antiqua" w:eastAsia="Book Antiqua" w:hAnsi="Book Antiqua" w:cs="Book Antiqua"/>
          <w:i/>
          <w:iCs/>
          <w:color w:val="000000"/>
        </w:rPr>
        <w:t>al</w:t>
      </w:r>
      <w:r w:rsidR="00A30E97" w:rsidRPr="00CD7EA8">
        <w:rPr>
          <w:rFonts w:ascii="Book Antiqua" w:eastAsia="Book Antiqua" w:hAnsi="Book Antiqua" w:cs="Book Antiqua"/>
          <w:color w:val="000000"/>
          <w:vertAlign w:val="superscript"/>
        </w:rPr>
        <w:t>[</w:t>
      </w:r>
      <w:proofErr w:type="gramEnd"/>
      <w:r w:rsidR="00A30E97" w:rsidRPr="00CD7EA8">
        <w:rPr>
          <w:rFonts w:ascii="Book Antiqua" w:eastAsia="Book Antiqua" w:hAnsi="Book Antiqua" w:cs="Book Antiqua"/>
          <w:color w:val="000000"/>
          <w:vertAlign w:val="superscript"/>
        </w:rPr>
        <w:t>29]</w:t>
      </w:r>
      <w:r w:rsidRPr="00CD7EA8">
        <w:rPr>
          <w:rFonts w:ascii="Book Antiqua" w:eastAsia="Book Antiqua" w:hAnsi="Book Antiqua" w:cs="Book Antiqua"/>
          <w:color w:val="000000"/>
        </w:rPr>
        <w:t xml:space="preserve"> confirmed that both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and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led to higher eradication rates compared to first generation PPIs (</w:t>
      </w:r>
      <w:r w:rsidR="007256AE">
        <w:rPr>
          <w:rFonts w:ascii="Book Antiqua" w:eastAsia="Book Antiqua" w:hAnsi="Book Antiqua" w:cs="Book Antiqua"/>
          <w:color w:val="000000"/>
        </w:rPr>
        <w:t>o</w:t>
      </w:r>
      <w:r w:rsidRPr="00CD7EA8">
        <w:rPr>
          <w:rFonts w:ascii="Book Antiqua" w:eastAsia="Book Antiqua" w:hAnsi="Book Antiqua" w:cs="Book Antiqua"/>
          <w:color w:val="000000"/>
        </w:rPr>
        <w:t xml:space="preserve">meprazole, </w:t>
      </w:r>
      <w:proofErr w:type="spellStart"/>
      <w:r w:rsidR="007256AE">
        <w:rPr>
          <w:rFonts w:ascii="Book Antiqua" w:eastAsia="Book Antiqua" w:hAnsi="Book Antiqua" w:cs="Book Antiqua"/>
          <w:color w:val="000000"/>
        </w:rPr>
        <w:t>l</w:t>
      </w:r>
      <w:r w:rsidRPr="00CD7EA8">
        <w:rPr>
          <w:rFonts w:ascii="Book Antiqua" w:eastAsia="Book Antiqua" w:hAnsi="Book Antiqua" w:cs="Book Antiqua"/>
          <w:color w:val="000000"/>
        </w:rPr>
        <w:t>ansoprazole</w:t>
      </w:r>
      <w:proofErr w:type="spellEnd"/>
      <w:r w:rsidRPr="00CD7EA8">
        <w:rPr>
          <w:rFonts w:ascii="Book Antiqua" w:eastAsia="Book Antiqua" w:hAnsi="Book Antiqua" w:cs="Book Antiqua"/>
          <w:color w:val="000000"/>
        </w:rPr>
        <w:t xml:space="preserve"> and </w:t>
      </w:r>
      <w:r w:rsidR="007256AE">
        <w:rPr>
          <w:rFonts w:ascii="Book Antiqua" w:eastAsia="Book Antiqua" w:hAnsi="Book Antiqua" w:cs="Book Antiqua"/>
          <w:color w:val="000000"/>
        </w:rPr>
        <w:t>p</w:t>
      </w:r>
      <w:r w:rsidRPr="00CD7EA8">
        <w:rPr>
          <w:rFonts w:ascii="Book Antiqua" w:eastAsia="Book Antiqua" w:hAnsi="Book Antiqua" w:cs="Book Antiqua"/>
          <w:color w:val="000000"/>
        </w:rPr>
        <w:t>antoprazole). High doses of PPIs also improve</w:t>
      </w:r>
      <w:r w:rsidR="00B0417B">
        <w:rPr>
          <w:rFonts w:ascii="Book Antiqua" w:eastAsia="Book Antiqua" w:hAnsi="Book Antiqua" w:cs="Book Antiqua"/>
          <w:color w:val="000000"/>
        </w:rPr>
        <w:t>d</w:t>
      </w:r>
      <w:r w:rsidRPr="00CD7EA8">
        <w:rPr>
          <w:rFonts w:ascii="Book Antiqua" w:eastAsia="Book Antiqua" w:hAnsi="Book Antiqua" w:cs="Book Antiqua"/>
          <w:color w:val="000000"/>
        </w:rPr>
        <w:t xml:space="preserve"> the efficacy of eradication therapy. In st</w:t>
      </w:r>
      <w:r w:rsidR="00B0417B">
        <w:rPr>
          <w:rFonts w:ascii="Book Antiqua" w:eastAsia="Book Antiqua" w:hAnsi="Book Antiqua" w:cs="Book Antiqua"/>
          <w:color w:val="000000"/>
        </w:rPr>
        <w:t>r</w:t>
      </w:r>
      <w:r w:rsidRPr="00CD7EA8">
        <w:rPr>
          <w:rFonts w:ascii="Book Antiqua" w:eastAsia="Book Antiqua" w:hAnsi="Book Antiqua" w:cs="Book Antiqua"/>
          <w:color w:val="000000"/>
        </w:rPr>
        <w:t xml:space="preserve">ains resistant to clarithromycin, the eradication rate can be increased using PPI-amoxicillin dual </w:t>
      </w:r>
      <w:proofErr w:type="gramStart"/>
      <w:r w:rsidRPr="00CD7EA8">
        <w:rPr>
          <w:rFonts w:ascii="Book Antiqua" w:eastAsia="Book Antiqua" w:hAnsi="Book Antiqua" w:cs="Book Antiqua"/>
          <w:color w:val="000000"/>
        </w:rPr>
        <w:t>therapy</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30]</w:t>
      </w:r>
      <w:r w:rsidRPr="00CD7EA8">
        <w:rPr>
          <w:rFonts w:ascii="Book Antiqua" w:eastAsia="Book Antiqua" w:hAnsi="Book Antiqua" w:cs="Book Antiqua"/>
          <w:color w:val="000000"/>
        </w:rPr>
        <w:t>.</w:t>
      </w:r>
    </w:p>
    <w:p w14:paraId="539E30B2" w14:textId="1E191DF9"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All therapeutic regimens currently recommended are associated with gastrointestinal </w:t>
      </w:r>
      <w:proofErr w:type="gramStart"/>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31]</w:t>
      </w:r>
      <w:r w:rsidRPr="00CD7EA8">
        <w:rPr>
          <w:rFonts w:ascii="Book Antiqua" w:eastAsia="Book Antiqua" w:hAnsi="Book Antiqua" w:cs="Book Antiqua"/>
          <w:color w:val="000000"/>
        </w:rPr>
        <w:t>. Herein, OST-14 allowed a gain in term</w:t>
      </w:r>
      <w:r w:rsidR="00061076">
        <w:rPr>
          <w:rFonts w:ascii="Book Antiqua" w:eastAsia="Book Antiqua" w:hAnsi="Book Antiqua" w:cs="Book Antiqua"/>
          <w:color w:val="000000"/>
        </w:rPr>
        <w:t>s</w:t>
      </w:r>
      <w:r w:rsidRPr="00CD7EA8">
        <w:rPr>
          <w:rFonts w:ascii="Book Antiqua" w:eastAsia="Book Antiqua" w:hAnsi="Book Antiqua" w:cs="Book Antiqua"/>
          <w:color w:val="000000"/>
        </w:rPr>
        <w:t xml:space="preserve"> of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 xml:space="preserve"> incidence compared to quadruple concomitant therapies. These findings confirm those of previous </w:t>
      </w:r>
      <w:proofErr w:type="gramStart"/>
      <w:r w:rsidRPr="00CD7EA8">
        <w:rPr>
          <w:rFonts w:ascii="Book Antiqua" w:eastAsia="Book Antiqua" w:hAnsi="Book Antiqua" w:cs="Book Antiqua"/>
          <w:color w:val="000000"/>
        </w:rPr>
        <w:t>studies</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32-34]</w:t>
      </w:r>
      <w:r w:rsidRPr="00CD7EA8">
        <w:rPr>
          <w:rFonts w:ascii="Book Antiqua" w:eastAsia="Book Antiqua" w:hAnsi="Book Antiqua" w:cs="Book Antiqua"/>
          <w:color w:val="000000"/>
        </w:rPr>
        <w:t xml:space="preserve">. The 14-d sequential therapy consists of the same antibiotics as the 14-d concomitant regimen but for a shorter duration. It should therefore </w:t>
      </w:r>
      <w:r w:rsidR="00061076">
        <w:rPr>
          <w:rFonts w:ascii="Book Antiqua" w:eastAsia="Book Antiqua" w:hAnsi="Book Antiqua" w:cs="Book Antiqua"/>
          <w:color w:val="000000"/>
        </w:rPr>
        <w:t>lead to fewer</w:t>
      </w:r>
      <w:r w:rsidRPr="00CD7EA8">
        <w:rPr>
          <w:rFonts w:ascii="Book Antiqua" w:eastAsia="Book Antiqua" w:hAnsi="Book Antiqua" w:cs="Book Antiqua"/>
          <w:color w:val="000000"/>
        </w:rPr>
        <w:t xml:space="preserve">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This was the case in our study with a benefit of 18% in term</w:t>
      </w:r>
      <w:r w:rsidR="0062409F">
        <w:rPr>
          <w:rFonts w:ascii="Book Antiqua" w:eastAsia="Book Antiqua" w:hAnsi="Book Antiqua" w:cs="Book Antiqua"/>
          <w:color w:val="000000"/>
        </w:rPr>
        <w:t>s</w:t>
      </w:r>
      <w:r w:rsidRPr="00CD7EA8">
        <w:rPr>
          <w:rFonts w:ascii="Book Antiqua" w:eastAsia="Book Antiqua" w:hAnsi="Book Antiqua" w:cs="Book Antiqua"/>
          <w:color w:val="000000"/>
        </w:rPr>
        <w:t xml:space="preserve"> of AE occurrence (31.3% </w:t>
      </w:r>
      <w:proofErr w:type="spellStart"/>
      <w:r w:rsidRPr="00CD7EA8">
        <w:rPr>
          <w:rFonts w:ascii="Book Antiqua" w:eastAsia="Book Antiqua" w:hAnsi="Book Antiqua" w:cs="Book Antiqua"/>
          <w:i/>
          <w:iCs/>
          <w:color w:val="000000"/>
        </w:rPr>
        <w:t>vs</w:t>
      </w:r>
      <w:proofErr w:type="spellEnd"/>
      <w:r w:rsidRPr="00CD7EA8">
        <w:rPr>
          <w:rFonts w:ascii="Book Antiqua" w:eastAsia="Book Antiqua" w:hAnsi="Book Antiqua" w:cs="Book Antiqua"/>
          <w:color w:val="000000"/>
        </w:rPr>
        <w:t xml:space="preserve"> 49.5%; </w:t>
      </w:r>
      <w:r w:rsidR="00A30E97" w:rsidRPr="00CD7EA8">
        <w:rPr>
          <w:rFonts w:ascii="Book Antiqua" w:eastAsia="Book Antiqua" w:hAnsi="Book Antiqua" w:cs="Book Antiqua"/>
          <w:i/>
          <w:iCs/>
          <w:color w:val="000000"/>
        </w:rPr>
        <w:t>P</w:t>
      </w:r>
      <w:r w:rsidR="00A30E97" w:rsidRPr="00CD7EA8">
        <w:rPr>
          <w:rFonts w:ascii="Book Antiqua" w:eastAsia="Book Antiqua" w:hAnsi="Book Antiqua" w:cs="Book Antiqua"/>
          <w:color w:val="000000"/>
        </w:rPr>
        <w:t xml:space="preserve"> = </w:t>
      </w:r>
      <w:r w:rsidRPr="00CD7EA8">
        <w:rPr>
          <w:rFonts w:ascii="Book Antiqua" w:eastAsia="Book Antiqua" w:hAnsi="Book Antiqua" w:cs="Book Antiqua"/>
          <w:color w:val="000000"/>
        </w:rPr>
        <w:t>0.03).</w:t>
      </w:r>
      <w:r w:rsidRPr="00CD7EA8">
        <w:rPr>
          <w:rFonts w:ascii="Book Antiqua" w:eastAsia="Book Antiqua" w:hAnsi="Book Antiqua" w:cs="Book Antiqua"/>
          <w:i/>
          <w:iCs/>
          <w:color w:val="000000"/>
        </w:rPr>
        <w:t xml:space="preserve"> </w:t>
      </w:r>
      <w:r w:rsidRPr="00CD7EA8">
        <w:rPr>
          <w:rFonts w:ascii="Book Antiqua" w:eastAsia="Book Antiqua" w:hAnsi="Book Antiqua" w:cs="Book Antiqua"/>
          <w:color w:val="000000"/>
        </w:rPr>
        <w:t>Because treatment cost is a determining factor</w:t>
      </w:r>
      <w:r w:rsidR="0062409F">
        <w:rPr>
          <w:rFonts w:ascii="Book Antiqua" w:eastAsia="Book Antiqua" w:hAnsi="Book Antiqua" w:cs="Book Antiqua"/>
          <w:color w:val="000000"/>
        </w:rPr>
        <w:t>,</w:t>
      </w:r>
      <w:r w:rsidRPr="00CD7EA8">
        <w:rPr>
          <w:rFonts w:ascii="Book Antiqua" w:eastAsia="Book Antiqua" w:hAnsi="Book Antiqua" w:cs="Book Antiqua"/>
          <w:color w:val="000000"/>
        </w:rPr>
        <w:t xml:space="preserve"> especially in developing countries, we carried-out cost- effectiveness analysis and showed that OST-14 is the most cost-effective among our study’s groups. The same result was previously reported by </w:t>
      </w:r>
      <w:proofErr w:type="spellStart"/>
      <w:r w:rsidR="00A30E97" w:rsidRPr="00CD7EA8">
        <w:rPr>
          <w:rFonts w:ascii="Book Antiqua" w:eastAsia="Book Antiqua" w:hAnsi="Book Antiqua" w:cs="Book Antiqua"/>
          <w:color w:val="000000"/>
        </w:rPr>
        <w:t>Farhoud</w:t>
      </w:r>
      <w:proofErr w:type="spellEnd"/>
      <w:r w:rsidRPr="00CD7EA8">
        <w:rPr>
          <w:rFonts w:ascii="Book Antiqua" w:eastAsia="Book Antiqua" w:hAnsi="Book Antiqua" w:cs="Book Antiqua"/>
          <w:color w:val="000000"/>
        </w:rPr>
        <w:t xml:space="preserve"> </w:t>
      </w:r>
      <w:r w:rsidRPr="00CD7EA8">
        <w:rPr>
          <w:rFonts w:ascii="Book Antiqua" w:eastAsia="Book Antiqua" w:hAnsi="Book Antiqua" w:cs="Book Antiqua"/>
          <w:i/>
          <w:iCs/>
          <w:color w:val="000000"/>
        </w:rPr>
        <w:t xml:space="preserve">et </w:t>
      </w:r>
      <w:proofErr w:type="gramStart"/>
      <w:r w:rsidRPr="00CD7EA8">
        <w:rPr>
          <w:rFonts w:ascii="Book Antiqua" w:eastAsia="Book Antiqua" w:hAnsi="Book Antiqua" w:cs="Book Antiqua"/>
          <w:i/>
          <w:iCs/>
          <w:color w:val="000000"/>
        </w:rPr>
        <w:t>al</w:t>
      </w:r>
      <w:r w:rsidR="00A30E97" w:rsidRPr="00CD7EA8">
        <w:rPr>
          <w:rFonts w:ascii="Book Antiqua" w:eastAsia="Book Antiqua" w:hAnsi="Book Antiqua" w:cs="Book Antiqua"/>
          <w:color w:val="000000"/>
          <w:vertAlign w:val="superscript"/>
        </w:rPr>
        <w:t>[</w:t>
      </w:r>
      <w:proofErr w:type="gramEnd"/>
      <w:r w:rsidR="00A30E97" w:rsidRPr="00CD7EA8">
        <w:rPr>
          <w:rFonts w:ascii="Book Antiqua" w:eastAsia="Book Antiqua" w:hAnsi="Book Antiqua" w:cs="Book Antiqua"/>
          <w:color w:val="000000"/>
          <w:vertAlign w:val="superscript"/>
        </w:rPr>
        <w:t>33]</w:t>
      </w:r>
      <w:r w:rsidRPr="00CD7EA8">
        <w:rPr>
          <w:rFonts w:ascii="Book Antiqua" w:eastAsia="Book Antiqua" w:hAnsi="Book Antiqua" w:cs="Book Antiqua"/>
          <w:color w:val="000000"/>
        </w:rPr>
        <w:t>, who found that 14-d sequential therapy is cheaper than 14-d triple therapy</w:t>
      </w:r>
      <w:r w:rsidR="0005654F">
        <w:rPr>
          <w:rFonts w:ascii="Book Antiqua" w:eastAsia="Book Antiqua" w:hAnsi="Book Antiqua" w:cs="Book Antiqua"/>
          <w:color w:val="000000"/>
        </w:rPr>
        <w:t>. Further,</w:t>
      </w:r>
      <w:r w:rsidRPr="00CD7EA8">
        <w:rPr>
          <w:rFonts w:ascii="Book Antiqua" w:eastAsia="Book Antiqua" w:hAnsi="Book Antiqua" w:cs="Book Antiqua"/>
          <w:color w:val="000000"/>
        </w:rPr>
        <w:t xml:space="preserve"> Kate </w:t>
      </w:r>
      <w:r w:rsidRPr="00CD7EA8">
        <w:rPr>
          <w:rFonts w:ascii="Book Antiqua" w:eastAsia="Book Antiqua" w:hAnsi="Book Antiqua" w:cs="Book Antiqua"/>
          <w:i/>
          <w:iCs/>
          <w:color w:val="000000"/>
        </w:rPr>
        <w:t xml:space="preserve">et </w:t>
      </w:r>
      <w:proofErr w:type="gramStart"/>
      <w:r w:rsidRPr="00CD7EA8">
        <w:rPr>
          <w:rFonts w:ascii="Book Antiqua" w:eastAsia="Book Antiqua" w:hAnsi="Book Antiqua" w:cs="Book Antiqua"/>
          <w:i/>
          <w:iCs/>
          <w:color w:val="000000"/>
        </w:rPr>
        <w:t>al</w:t>
      </w:r>
      <w:r w:rsidR="00A30E97" w:rsidRPr="00CD7EA8">
        <w:rPr>
          <w:rFonts w:ascii="Book Antiqua" w:eastAsia="Book Antiqua" w:hAnsi="Book Antiqua" w:cs="Book Antiqua"/>
          <w:color w:val="000000"/>
          <w:vertAlign w:val="superscript"/>
        </w:rPr>
        <w:t>[</w:t>
      </w:r>
      <w:proofErr w:type="gramEnd"/>
      <w:r w:rsidR="00A30E97" w:rsidRPr="00CD7EA8">
        <w:rPr>
          <w:rFonts w:ascii="Book Antiqua" w:eastAsia="Book Antiqua" w:hAnsi="Book Antiqua" w:cs="Book Antiqua"/>
          <w:color w:val="000000"/>
          <w:vertAlign w:val="superscript"/>
        </w:rPr>
        <w:t>35]</w:t>
      </w:r>
      <w:r w:rsidRPr="00CD7EA8">
        <w:rPr>
          <w:rFonts w:ascii="Book Antiqua" w:eastAsia="Book Antiqua" w:hAnsi="Book Antiqua" w:cs="Book Antiqua"/>
          <w:color w:val="000000"/>
        </w:rPr>
        <w:t xml:space="preserve"> confirmed in a </w:t>
      </w:r>
      <w:proofErr w:type="spellStart"/>
      <w:r w:rsidRPr="00CD7EA8">
        <w:rPr>
          <w:rFonts w:ascii="Book Antiqua" w:eastAsia="Book Antiqua" w:hAnsi="Book Antiqua" w:cs="Book Antiqua"/>
          <w:color w:val="000000"/>
        </w:rPr>
        <w:t>metanalysis</w:t>
      </w:r>
      <w:proofErr w:type="spellEnd"/>
      <w:r w:rsidRPr="00CD7EA8">
        <w:rPr>
          <w:rFonts w:ascii="Book Antiqua" w:eastAsia="Book Antiqua" w:hAnsi="Book Antiqua" w:cs="Book Antiqua"/>
          <w:color w:val="000000"/>
        </w:rPr>
        <w:t xml:space="preserve"> that sequential therapies are cheaper than standard therapies. Other cost-analysis studies have shown the same results and found that sequential therapy is the most economically attractive </w:t>
      </w:r>
      <w:proofErr w:type="gramStart"/>
      <w:r w:rsidRPr="00CD7EA8">
        <w:rPr>
          <w:rFonts w:ascii="Book Antiqua" w:eastAsia="Book Antiqua" w:hAnsi="Book Antiqua" w:cs="Book Antiqua"/>
          <w:color w:val="000000"/>
        </w:rPr>
        <w:t>option</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36,37]</w:t>
      </w:r>
      <w:r w:rsidRPr="00CD7EA8">
        <w:rPr>
          <w:rFonts w:ascii="Book Antiqua" w:eastAsia="Book Antiqua" w:hAnsi="Book Antiqua" w:cs="Book Antiqua"/>
          <w:color w:val="000000"/>
        </w:rPr>
        <w:t xml:space="preserve">. This </w:t>
      </w:r>
      <w:r w:rsidR="0005654F">
        <w:rPr>
          <w:rFonts w:ascii="Book Antiqua" w:eastAsia="Book Antiqua" w:hAnsi="Book Antiqua" w:cs="Book Antiqua"/>
          <w:color w:val="000000"/>
        </w:rPr>
        <w:t>benefit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can be explained by the fact that clarithromycin is the most expensive drug used in different protocols, and</w:t>
      </w:r>
      <w:r w:rsidR="0005654F">
        <w:rPr>
          <w:rFonts w:ascii="Book Antiqua" w:eastAsia="Book Antiqua" w:hAnsi="Book Antiqua" w:cs="Book Antiqua"/>
          <w:color w:val="000000"/>
        </w:rPr>
        <w:t xml:space="preserve"> it</w:t>
      </w:r>
      <w:r w:rsidRPr="00CD7EA8">
        <w:rPr>
          <w:rFonts w:ascii="Book Antiqua" w:eastAsia="Book Antiqua" w:hAnsi="Book Antiqua" w:cs="Book Antiqua"/>
          <w:color w:val="000000"/>
        </w:rPr>
        <w:t xml:space="preserve"> is used for a shorter duration in sequential therapy.</w:t>
      </w:r>
    </w:p>
    <w:p w14:paraId="76BF0D5A" w14:textId="2FE99F3A" w:rsidR="00A77B3E" w:rsidRPr="00CD7EA8" w:rsidRDefault="001060FD" w:rsidP="00CD7EA8">
      <w:pPr>
        <w:spacing w:line="360" w:lineRule="auto"/>
        <w:ind w:firstLine="240"/>
        <w:jc w:val="both"/>
        <w:rPr>
          <w:rFonts w:ascii="Book Antiqua" w:hAnsi="Book Antiqua"/>
        </w:rPr>
      </w:pPr>
      <w:r w:rsidRPr="00CD7EA8">
        <w:rPr>
          <w:rFonts w:ascii="Book Antiqua" w:eastAsia="Book Antiqua" w:hAnsi="Book Antiqua" w:cs="Book Antiqua"/>
          <w:color w:val="000000"/>
        </w:rPr>
        <w:t xml:space="preserve">One of the limitations of this study is that we </w:t>
      </w:r>
      <w:r w:rsidR="0005654F">
        <w:rPr>
          <w:rFonts w:ascii="Book Antiqua" w:eastAsia="Book Antiqua" w:hAnsi="Book Antiqua" w:cs="Book Antiqua"/>
          <w:color w:val="000000"/>
        </w:rPr>
        <w:t>did not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perform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cultures and </w:t>
      </w:r>
      <w:r w:rsidR="0005654F">
        <w:rPr>
          <w:rFonts w:ascii="Book Antiqua" w:eastAsia="Book Antiqua" w:hAnsi="Book Antiqua" w:cs="Book Antiqua"/>
          <w:color w:val="000000"/>
        </w:rPr>
        <w:t>did not</w:t>
      </w:r>
      <w:r w:rsidR="000565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have any data about antibiotic susceptibility. However, a recent study showed that in Morocco, the local primary resistance to </w:t>
      </w:r>
      <w:r w:rsidR="00DC288A">
        <w:rPr>
          <w:rFonts w:ascii="Book Antiqua" w:eastAsia="Book Antiqua" w:hAnsi="Book Antiqua" w:cs="Book Antiqua"/>
          <w:color w:val="000000"/>
        </w:rPr>
        <w:t>c</w:t>
      </w:r>
      <w:r w:rsidRPr="00CD7EA8">
        <w:rPr>
          <w:rFonts w:ascii="Book Antiqua" w:eastAsia="Book Antiqua" w:hAnsi="Book Antiqua" w:cs="Book Antiqua"/>
          <w:color w:val="000000"/>
        </w:rPr>
        <w:t xml:space="preserve">larithromycin was 29%, 40% to </w:t>
      </w:r>
      <w:r w:rsidR="00DC288A">
        <w:rPr>
          <w:rFonts w:ascii="Book Antiqua" w:eastAsia="Book Antiqua" w:hAnsi="Book Antiqua" w:cs="Book Antiqua"/>
          <w:color w:val="000000"/>
        </w:rPr>
        <w:t>m</w:t>
      </w:r>
      <w:r w:rsidRPr="00CD7EA8">
        <w:rPr>
          <w:rFonts w:ascii="Book Antiqua" w:eastAsia="Book Antiqua" w:hAnsi="Book Antiqua" w:cs="Book Antiqua"/>
          <w:color w:val="000000"/>
        </w:rPr>
        <w:t xml:space="preserve">etronidazole and 0% to </w:t>
      </w:r>
      <w:proofErr w:type="gramStart"/>
      <w:r w:rsidR="00DC288A">
        <w:rPr>
          <w:rFonts w:ascii="Book Antiqua" w:eastAsia="Book Antiqua" w:hAnsi="Book Antiqua" w:cs="Book Antiqua"/>
          <w:color w:val="000000"/>
        </w:rPr>
        <w:t>a</w:t>
      </w:r>
      <w:r w:rsidRPr="00CD7EA8">
        <w:rPr>
          <w:rFonts w:ascii="Book Antiqua" w:eastAsia="Book Antiqua" w:hAnsi="Book Antiqua" w:cs="Book Antiqua"/>
          <w:color w:val="000000"/>
        </w:rPr>
        <w:t>moxicillin</w:t>
      </w:r>
      <w:r w:rsidRPr="00CD7EA8">
        <w:rPr>
          <w:rFonts w:ascii="Book Antiqua" w:eastAsia="Book Antiqua" w:hAnsi="Book Antiqua" w:cs="Book Antiqua"/>
          <w:color w:val="000000"/>
          <w:vertAlign w:val="superscript"/>
        </w:rPr>
        <w:t>[</w:t>
      </w:r>
      <w:proofErr w:type="gramEnd"/>
      <w:r w:rsidRPr="00CD7EA8">
        <w:rPr>
          <w:rFonts w:ascii="Book Antiqua" w:eastAsia="Book Antiqua" w:hAnsi="Book Antiqua" w:cs="Book Antiqua"/>
          <w:color w:val="000000"/>
          <w:vertAlign w:val="superscript"/>
        </w:rPr>
        <w:t>9]</w:t>
      </w:r>
      <w:r w:rsidRPr="00CD7EA8">
        <w:rPr>
          <w:rFonts w:ascii="Book Antiqua" w:eastAsia="Book Antiqua" w:hAnsi="Book Antiqua" w:cs="Book Antiqua"/>
          <w:color w:val="000000"/>
        </w:rPr>
        <w:t xml:space="preserve">. Another potential limitation is that second line treatments were not included, which makes it </w:t>
      </w:r>
      <w:r w:rsidR="00161EAD">
        <w:rPr>
          <w:rFonts w:ascii="Book Antiqua" w:eastAsia="Book Antiqua" w:hAnsi="Book Antiqua" w:cs="Book Antiqua"/>
          <w:color w:val="000000"/>
        </w:rPr>
        <w:t>difficult</w:t>
      </w:r>
      <w:r w:rsidR="00161EA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to interpret the cost effectiveness </w:t>
      </w:r>
      <w:r w:rsidRPr="00CD7EA8">
        <w:rPr>
          <w:rFonts w:ascii="Book Antiqua" w:eastAsia="Book Antiqua" w:hAnsi="Book Antiqua" w:cs="Book Antiqua"/>
          <w:color w:val="000000"/>
        </w:rPr>
        <w:lastRenderedPageBreak/>
        <w:t xml:space="preserve">analysis. Additionally, </w:t>
      </w:r>
      <w:r w:rsidR="00161EAD">
        <w:rPr>
          <w:rFonts w:ascii="Book Antiqua" w:eastAsia="Book Antiqua" w:hAnsi="Book Antiqua" w:cs="Book Antiqua"/>
          <w:color w:val="000000"/>
        </w:rPr>
        <w:t>it is</w:t>
      </w:r>
      <w:r w:rsidR="00161EAD"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difficult to generalize our results to other areas</w:t>
      </w:r>
      <w:r w:rsidR="00161EAD">
        <w:rPr>
          <w:rFonts w:ascii="Book Antiqua" w:eastAsia="Book Antiqua" w:hAnsi="Book Antiqua" w:cs="Book Antiqua"/>
          <w:color w:val="000000"/>
        </w:rPr>
        <w:t>,</w:t>
      </w:r>
      <w:r w:rsidRPr="00CD7EA8">
        <w:rPr>
          <w:rFonts w:ascii="Book Antiqua" w:eastAsia="Book Antiqua" w:hAnsi="Book Antiqua" w:cs="Book Antiqua"/>
          <w:color w:val="000000"/>
        </w:rPr>
        <w:t xml:space="preserve"> as the study was conducted in a single center. Nonetheless, the sample size was reasonable </w:t>
      </w:r>
      <w:r w:rsidR="00B27BAE">
        <w:rPr>
          <w:rFonts w:ascii="Book Antiqua" w:eastAsia="Book Antiqua" w:hAnsi="Book Antiqua" w:cs="Book Antiqua"/>
          <w:color w:val="000000"/>
        </w:rPr>
        <w:t xml:space="preserve">to </w:t>
      </w:r>
      <w:r w:rsidRPr="00CD7EA8">
        <w:rPr>
          <w:rFonts w:ascii="Book Antiqua" w:eastAsia="Book Antiqua" w:hAnsi="Book Antiqua" w:cs="Book Antiqua"/>
          <w:color w:val="000000"/>
        </w:rPr>
        <w:t>allow</w:t>
      </w:r>
      <w:r w:rsidR="00B27BAE">
        <w:rPr>
          <w:rFonts w:ascii="Book Antiqua" w:eastAsia="Book Antiqua" w:hAnsi="Book Antiqua" w:cs="Book Antiqua"/>
          <w:color w:val="000000"/>
        </w:rPr>
        <w:t xml:space="preserve"> for</w:t>
      </w:r>
      <w:r w:rsidRPr="00CD7EA8">
        <w:rPr>
          <w:rFonts w:ascii="Book Antiqua" w:eastAsia="Book Antiqua" w:hAnsi="Book Antiqua" w:cs="Book Antiqua"/>
          <w:color w:val="000000"/>
        </w:rPr>
        <w:t xml:space="preserve"> correct statistical analysis</w:t>
      </w:r>
      <w:r w:rsidR="00B27BAE">
        <w:rPr>
          <w:rFonts w:ascii="Book Antiqua" w:eastAsia="Book Antiqua" w:hAnsi="Book Antiqua" w:cs="Book Antiqua"/>
          <w:color w:val="000000"/>
        </w:rPr>
        <w:t>. However,</w:t>
      </w:r>
      <w:r w:rsidRPr="00CD7EA8">
        <w:rPr>
          <w:rFonts w:ascii="Book Antiqua" w:eastAsia="Book Antiqua" w:hAnsi="Book Antiqua" w:cs="Book Antiqua"/>
          <w:color w:val="000000"/>
        </w:rPr>
        <w:t xml:space="preserve"> our results </w:t>
      </w:r>
      <w:r w:rsidR="00B27BAE">
        <w:rPr>
          <w:rFonts w:ascii="Book Antiqua" w:eastAsia="Book Antiqua" w:hAnsi="Book Antiqua" w:cs="Book Antiqua"/>
          <w:color w:val="000000"/>
        </w:rPr>
        <w:t>should be</w:t>
      </w:r>
      <w:r w:rsidRPr="00CD7EA8">
        <w:rPr>
          <w:rFonts w:ascii="Book Antiqua" w:eastAsia="Book Antiqua" w:hAnsi="Book Antiqua" w:cs="Book Antiqua"/>
          <w:color w:val="000000"/>
        </w:rPr>
        <w:t xml:space="preserve"> </w:t>
      </w:r>
      <w:r w:rsidR="00B27BAE">
        <w:rPr>
          <w:rFonts w:ascii="Book Antiqua" w:eastAsia="Book Antiqua" w:hAnsi="Book Antiqua" w:cs="Book Antiqua"/>
          <w:color w:val="000000"/>
        </w:rPr>
        <w:t>validated</w:t>
      </w:r>
      <w:r w:rsidR="00B27BAE"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by further studies in different geographic areas. Other studies could further compare these eradication regimens to other</w:t>
      </w:r>
      <w:r w:rsidR="004728D6">
        <w:rPr>
          <w:rFonts w:ascii="Book Antiqua" w:eastAsia="Book Antiqua" w:hAnsi="Book Antiqua" w:cs="Book Antiqua"/>
          <w:color w:val="000000"/>
        </w:rPr>
        <w:t>s</w:t>
      </w:r>
      <w:r w:rsidRPr="00CD7EA8">
        <w:rPr>
          <w:rFonts w:ascii="Book Antiqua" w:eastAsia="Book Antiqua" w:hAnsi="Book Antiqua" w:cs="Book Antiqua"/>
          <w:color w:val="000000"/>
        </w:rPr>
        <w:t xml:space="preserve"> containing </w:t>
      </w:r>
      <w:proofErr w:type="spellStart"/>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w:t>
      </w:r>
      <w:proofErr w:type="spellEnd"/>
      <w:r w:rsidRPr="00CD7EA8">
        <w:rPr>
          <w:rFonts w:ascii="Book Antiqua" w:eastAsia="Book Antiqua" w:hAnsi="Book Antiqua" w:cs="Book Antiqua"/>
          <w:color w:val="000000"/>
        </w:rPr>
        <w:t>. For the moment, this molecule is still not available in Morocco.</w:t>
      </w:r>
    </w:p>
    <w:p w14:paraId="1A703D18" w14:textId="77777777" w:rsidR="00A77B3E" w:rsidRPr="00CD7EA8" w:rsidRDefault="00A77B3E" w:rsidP="00CD7EA8">
      <w:pPr>
        <w:spacing w:line="360" w:lineRule="auto"/>
        <w:ind w:firstLine="240"/>
        <w:jc w:val="both"/>
        <w:rPr>
          <w:rFonts w:ascii="Book Antiqua" w:hAnsi="Book Antiqua"/>
        </w:rPr>
      </w:pPr>
    </w:p>
    <w:p w14:paraId="5EE47DE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CONCLUSION</w:t>
      </w:r>
    </w:p>
    <w:p w14:paraId="7EBE41D5" w14:textId="000336E0"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conclusion, the results of the present study showed that the 14-d sequential therapy using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appears to be an optimal therapy that is comparable to 14-d concomitant therapy while causing fewer AEs and allowing a gain in terms of cost.</w:t>
      </w:r>
    </w:p>
    <w:p w14:paraId="63F07672" w14:textId="77777777" w:rsidR="00A77B3E" w:rsidRPr="00CD7EA8" w:rsidRDefault="00A77B3E" w:rsidP="00CD7EA8">
      <w:pPr>
        <w:spacing w:line="360" w:lineRule="auto"/>
        <w:jc w:val="both"/>
        <w:rPr>
          <w:rFonts w:ascii="Book Antiqua" w:hAnsi="Book Antiqua"/>
        </w:rPr>
      </w:pPr>
    </w:p>
    <w:p w14:paraId="1AFCED2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aps/>
          <w:color w:val="000000"/>
          <w:u w:val="single"/>
        </w:rPr>
        <w:t>ARTICLE HIGHLIGHTS</w:t>
      </w:r>
    </w:p>
    <w:p w14:paraId="7423913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background</w:t>
      </w:r>
    </w:p>
    <w:p w14:paraId="1385E756" w14:textId="05776B5D" w:rsidR="00A77B3E" w:rsidRPr="00CD7EA8" w:rsidRDefault="004564C5" w:rsidP="00CD7EA8">
      <w:pPr>
        <w:spacing w:line="360" w:lineRule="auto"/>
        <w:jc w:val="both"/>
        <w:rPr>
          <w:rFonts w:ascii="Book Antiqua" w:hAnsi="Book Antiqua"/>
        </w:rPr>
      </w:pPr>
      <w:r>
        <w:rPr>
          <w:rFonts w:ascii="Book Antiqua" w:eastAsia="Book Antiqua" w:hAnsi="Book Antiqua" w:cs="Book Antiqua"/>
          <w:color w:val="000000"/>
        </w:rPr>
        <w:t xml:space="preserve">A cure for </w:t>
      </w:r>
      <w:r w:rsidR="001060FD" w:rsidRPr="00CD7EA8">
        <w:rPr>
          <w:rFonts w:ascii="Book Antiqua" w:eastAsia="Book Antiqua" w:hAnsi="Book Antiqua" w:cs="Book Antiqua"/>
          <w:i/>
          <w:iCs/>
          <w:color w:val="000000"/>
        </w:rPr>
        <w:t xml:space="preserve">Helicobacter </w:t>
      </w:r>
      <w:r w:rsidR="00205971" w:rsidRPr="00CD7EA8">
        <w:rPr>
          <w:rFonts w:ascii="Book Antiqua" w:eastAsia="Book Antiqua" w:hAnsi="Book Antiqua" w:cs="Book Antiqua"/>
          <w:i/>
          <w:iCs/>
          <w:color w:val="000000"/>
        </w:rPr>
        <w:t>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xml:space="preserve"> (</w:t>
      </w:r>
      <w:r w:rsidR="001060FD" w:rsidRPr="00CD7EA8">
        <w:rPr>
          <w:rFonts w:ascii="Book Antiqua" w:eastAsia="Book Antiqua" w:hAnsi="Book Antiqua" w:cs="Book Antiqua"/>
          <w:i/>
          <w:iCs/>
          <w:color w:val="000000"/>
        </w:rPr>
        <w:t>H.</w:t>
      </w:r>
      <w:r w:rsidR="00205971" w:rsidRPr="00CD7EA8">
        <w:rPr>
          <w:rFonts w:ascii="Book Antiqua" w:eastAsia="Book Antiqua" w:hAnsi="Book Antiqua" w:cs="Book Antiqua"/>
          <w:i/>
          <w:iCs/>
          <w:color w:val="000000"/>
        </w:rPr>
        <w:t xml:space="preserve"> p</w:t>
      </w:r>
      <w:r w:rsidR="001060FD" w:rsidRPr="00CD7EA8">
        <w:rPr>
          <w:rFonts w:ascii="Book Antiqua" w:eastAsia="Book Antiqua" w:hAnsi="Book Antiqua" w:cs="Book Antiqua"/>
          <w:i/>
          <w:iCs/>
          <w:color w:val="000000"/>
        </w:rPr>
        <w:t>ylori</w:t>
      </w:r>
      <w:r w:rsidR="001060FD" w:rsidRPr="00CD7EA8">
        <w:rPr>
          <w:rFonts w:ascii="Book Antiqua" w:eastAsia="Book Antiqua" w:hAnsi="Book Antiqua" w:cs="Book Antiqua"/>
          <w:color w:val="000000"/>
        </w:rPr>
        <w:t>) remains a problem of global concern and none of the currently available treatments can achieve a cure rate of 100%. With the global rising issue of antibiotic resistance and the difficulty to establish personalized treatments according to antibiotic susceptibility in developing countries, optimizing sequential therapy seems to be one of the most attractive strategies in terms of efficacy, tolerability and cost.</w:t>
      </w:r>
    </w:p>
    <w:p w14:paraId="13087C53" w14:textId="77777777" w:rsidR="00A77B3E" w:rsidRPr="00CD7EA8" w:rsidRDefault="00A77B3E" w:rsidP="00CD7EA8">
      <w:pPr>
        <w:spacing w:line="360" w:lineRule="auto"/>
        <w:jc w:val="both"/>
        <w:rPr>
          <w:rFonts w:ascii="Book Antiqua" w:hAnsi="Book Antiqua"/>
        </w:rPr>
      </w:pPr>
    </w:p>
    <w:p w14:paraId="47964AD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motivation</w:t>
      </w:r>
    </w:p>
    <w:p w14:paraId="6BC17636" w14:textId="515E7A2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i/>
          <w:iCs/>
          <w:color w:val="000000"/>
        </w:rPr>
        <w:t>H. pylori</w:t>
      </w:r>
      <w:r w:rsidRPr="00CD7EA8">
        <w:rPr>
          <w:rFonts w:ascii="Book Antiqua" w:eastAsia="Book Antiqua" w:hAnsi="Book Antiqua" w:cs="Book Antiqua"/>
          <w:color w:val="000000"/>
        </w:rPr>
        <w:t xml:space="preserve"> eradication rate is significantly influenced by antibiotic resistance. 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therapy when the Bismuth agent is not available. Many studies showed that switching to high doses of second</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generation </w:t>
      </w:r>
      <w:r w:rsidR="00222E45" w:rsidRPr="00CD7EA8">
        <w:rPr>
          <w:rFonts w:ascii="Book Antiqua" w:eastAsia="Book Antiqua" w:hAnsi="Book Antiqua" w:cs="Book Antiqua"/>
          <w:color w:val="000000"/>
        </w:rPr>
        <w:t xml:space="preserve">proton-pump inhibitors </w:t>
      </w:r>
      <w:r w:rsidR="00A30E97" w:rsidRPr="00CD7EA8">
        <w:rPr>
          <w:rFonts w:ascii="Book Antiqua" w:eastAsia="Book Antiqua" w:hAnsi="Book Antiqua" w:cs="Book Antiqua"/>
          <w:color w:val="000000"/>
        </w:rPr>
        <w:t>(PPIs)</w:t>
      </w:r>
      <w:r w:rsidRPr="00CD7EA8">
        <w:rPr>
          <w:rFonts w:ascii="Book Antiqua" w:eastAsia="Book Antiqua" w:hAnsi="Book Antiqua" w:cs="Book Antiqua"/>
          <w:color w:val="000000"/>
        </w:rPr>
        <w:t xml:space="preserve"> and using a PPI-amoxicillin dual therapy can improve the eradication rate and could lead to fewer </w:t>
      </w:r>
      <w:r w:rsidRPr="00CD7EA8">
        <w:rPr>
          <w:rFonts w:ascii="Book Antiqua" w:eastAsia="Book Antiqua" w:hAnsi="Book Antiqua" w:cs="Book Antiqua"/>
          <w:color w:val="000000"/>
        </w:rPr>
        <w:lastRenderedPageBreak/>
        <w:t>adverse effects</w:t>
      </w:r>
      <w:r w:rsidR="00205971" w:rsidRPr="00CD7EA8">
        <w:rPr>
          <w:rFonts w:ascii="Book Antiqua" w:eastAsia="Book Antiqua" w:hAnsi="Book Antiqua" w:cs="Book Antiqua"/>
          <w:color w:val="000000"/>
        </w:rPr>
        <w:t xml:space="preserve"> (AEs)</w:t>
      </w:r>
      <w:r w:rsidRPr="00CD7EA8">
        <w:rPr>
          <w:rFonts w:ascii="Book Antiqua" w:eastAsia="Book Antiqua" w:hAnsi="Book Antiqua" w:cs="Book Antiqua"/>
          <w:color w:val="000000"/>
        </w:rPr>
        <w:t>. The cost of treatment is also a determining factor, especially in developing countries.</w:t>
      </w:r>
    </w:p>
    <w:p w14:paraId="77E0F597" w14:textId="77777777" w:rsidR="00A77B3E" w:rsidRPr="00CD7EA8" w:rsidRDefault="00A77B3E" w:rsidP="00CD7EA8">
      <w:pPr>
        <w:spacing w:line="360" w:lineRule="auto"/>
        <w:jc w:val="both"/>
        <w:rPr>
          <w:rFonts w:ascii="Book Antiqua" w:hAnsi="Book Antiqua"/>
        </w:rPr>
      </w:pPr>
    </w:p>
    <w:p w14:paraId="0C3AAB5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objectives</w:t>
      </w:r>
    </w:p>
    <w:p w14:paraId="41CC5B29" w14:textId="4B17545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In the present study, we aimed to compare the results of the standard 10- and 14-d non-bismuth quadruple therapies to an optimized sequential therapy by using a second-generation PPI, in terms of efficacy, tolerability and cost-effectiveness. The 14-d sequential therapy using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appears to be an optimal therapy that is comparable to 14-d concomitant therapy while causing fewer AEs and allowing a gain in terms of cost. Other studies could further </w:t>
      </w:r>
      <w:r w:rsidR="005055FB">
        <w:rPr>
          <w:rFonts w:ascii="Book Antiqua" w:eastAsia="Book Antiqua" w:hAnsi="Book Antiqua" w:cs="Book Antiqua"/>
          <w:color w:val="000000"/>
        </w:rPr>
        <w:t>validate</w:t>
      </w:r>
      <w:r w:rsidR="005055FB"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the standard eradication regimens </w:t>
      </w:r>
      <w:proofErr w:type="spellStart"/>
      <w:r w:rsidRPr="00CD7EA8">
        <w:rPr>
          <w:rFonts w:ascii="Book Antiqua" w:eastAsia="Book Antiqua" w:hAnsi="Book Antiqua" w:cs="Book Antiqua"/>
          <w:i/>
          <w:iCs/>
          <w:color w:val="000000"/>
        </w:rPr>
        <w:t>vs</w:t>
      </w:r>
      <w:proofErr w:type="spellEnd"/>
      <w:r w:rsidRPr="00CD7EA8">
        <w:rPr>
          <w:rFonts w:ascii="Book Antiqua" w:eastAsia="Book Antiqua" w:hAnsi="Book Antiqua" w:cs="Book Antiqua"/>
          <w:color w:val="000000"/>
        </w:rPr>
        <w:t xml:space="preserve"> the 14-d sequential therapy using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w:t>
      </w:r>
      <w:proofErr w:type="spellStart"/>
      <w:r w:rsidRPr="00CD7EA8">
        <w:rPr>
          <w:rFonts w:ascii="Book Antiqua" w:eastAsia="Book Antiqua" w:hAnsi="Book Antiqua" w:cs="Book Antiqua"/>
          <w:i/>
          <w:iCs/>
          <w:color w:val="000000"/>
        </w:rPr>
        <w:t>vs</w:t>
      </w:r>
      <w:proofErr w:type="spellEnd"/>
      <w:r w:rsidRPr="00CD7EA8">
        <w:rPr>
          <w:rFonts w:ascii="Book Antiqua" w:eastAsia="Book Antiqua" w:hAnsi="Book Antiqua" w:cs="Book Antiqua"/>
          <w:color w:val="000000"/>
        </w:rPr>
        <w:t xml:space="preserve"> other regimens containing </w:t>
      </w:r>
      <w:proofErr w:type="spellStart"/>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w:t>
      </w:r>
      <w:proofErr w:type="spellEnd"/>
      <w:r w:rsidRPr="00CD7EA8">
        <w:rPr>
          <w:rFonts w:ascii="Book Antiqua" w:eastAsia="Book Antiqua" w:hAnsi="Book Antiqua" w:cs="Book Antiqua"/>
          <w:color w:val="000000"/>
        </w:rPr>
        <w:t>. For the moment, this molecule is still not available in Morocco.</w:t>
      </w:r>
    </w:p>
    <w:p w14:paraId="57D207F7" w14:textId="77777777" w:rsidR="00A77B3E" w:rsidRPr="00CD7EA8" w:rsidRDefault="00A77B3E" w:rsidP="00CD7EA8">
      <w:pPr>
        <w:spacing w:line="360" w:lineRule="auto"/>
        <w:jc w:val="both"/>
        <w:rPr>
          <w:rFonts w:ascii="Book Antiqua" w:hAnsi="Book Antiqua"/>
        </w:rPr>
      </w:pPr>
    </w:p>
    <w:p w14:paraId="2F8860E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methods</w:t>
      </w:r>
    </w:p>
    <w:p w14:paraId="1DFB47E8" w14:textId="0562A541" w:rsidR="00A77B3E" w:rsidRPr="00CD7EA8" w:rsidRDefault="00222E45" w:rsidP="00CD7EA8">
      <w:pPr>
        <w:spacing w:line="360" w:lineRule="auto"/>
        <w:jc w:val="both"/>
        <w:rPr>
          <w:rFonts w:ascii="Book Antiqua" w:hAnsi="Book Antiqua"/>
        </w:rPr>
      </w:pPr>
      <w:r w:rsidRPr="00CD7EA8">
        <w:rPr>
          <w:rFonts w:ascii="Book Antiqua" w:eastAsia="Book Antiqua" w:hAnsi="Book Antiqua" w:cs="Book Antiqua"/>
          <w:color w:val="000000"/>
        </w:rPr>
        <w:t xml:space="preserve">We conducted a single center, prospective, open-label, randomized study with patients randomly assigned into three groups in </w:t>
      </w:r>
      <w:r w:rsidR="006A2B69">
        <w:rPr>
          <w:rFonts w:ascii="Book Antiqua" w:eastAsia="Book Antiqua" w:hAnsi="Book Antiqua" w:cs="Book Antiqua"/>
          <w:color w:val="000000"/>
        </w:rPr>
        <w:t xml:space="preserve">a </w:t>
      </w:r>
      <w:r w:rsidRPr="00CD7EA8">
        <w:rPr>
          <w:rFonts w:ascii="Book Antiqua" w:eastAsia="Book Antiqua" w:hAnsi="Book Antiqua" w:cs="Book Antiqua"/>
          <w:color w:val="000000"/>
        </w:rPr>
        <w:t>1:1:1 ratio using a computer-generated table: QT-14, QT-10 and OST-14. Allocations were concealed in a sealed opaque envelope to be opened during the consultation day.</w:t>
      </w:r>
    </w:p>
    <w:p w14:paraId="4C0240A9" w14:textId="77777777" w:rsidR="00A77B3E" w:rsidRPr="00CD7EA8" w:rsidRDefault="00A77B3E" w:rsidP="00CD7EA8">
      <w:pPr>
        <w:spacing w:line="360" w:lineRule="auto"/>
        <w:jc w:val="both"/>
        <w:rPr>
          <w:rFonts w:ascii="Book Antiqua" w:hAnsi="Book Antiqua"/>
        </w:rPr>
      </w:pPr>
    </w:p>
    <w:p w14:paraId="0D7761C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results</w:t>
      </w:r>
    </w:p>
    <w:p w14:paraId="37EE9C42" w14:textId="278C337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Th</w:t>
      </w:r>
      <w:r w:rsidR="00A30E97" w:rsidRPr="00CD7EA8">
        <w:rPr>
          <w:rFonts w:ascii="Book Antiqua" w:eastAsia="Book Antiqua" w:hAnsi="Book Antiqua" w:cs="Book Antiqua"/>
          <w:color w:val="000000"/>
        </w:rPr>
        <w:t>is study</w:t>
      </w:r>
      <w:r w:rsidRPr="00CD7EA8">
        <w:rPr>
          <w:rFonts w:ascii="Book Antiqua" w:eastAsia="Book Antiqua" w:hAnsi="Book Antiqua" w:cs="Book Antiqua"/>
          <w:color w:val="000000"/>
        </w:rPr>
        <w:t xml:space="preserve"> showed that the 14-d sequential therapy using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appears to be an optimal therapy that is comparable to 14-d concomitant therapy while causing fewer AEs and allowing a gain in terms of cost.</w:t>
      </w:r>
    </w:p>
    <w:p w14:paraId="57ED53B6" w14:textId="77777777" w:rsidR="00A77B3E" w:rsidRPr="00CD7EA8" w:rsidRDefault="00A77B3E" w:rsidP="00CD7EA8">
      <w:pPr>
        <w:spacing w:line="360" w:lineRule="auto"/>
        <w:jc w:val="both"/>
        <w:rPr>
          <w:rFonts w:ascii="Book Antiqua" w:hAnsi="Book Antiqua"/>
        </w:rPr>
      </w:pPr>
    </w:p>
    <w:p w14:paraId="46B14EC0"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conclusions</w:t>
      </w:r>
    </w:p>
    <w:p w14:paraId="1B26E93A" w14:textId="7BC4F6FF"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 xml:space="preserve">According to the Maastricht VI consensus, the most recommended empirical regimens for </w:t>
      </w:r>
      <w:r w:rsidR="00205971" w:rsidRPr="00CD7EA8">
        <w:rPr>
          <w:rFonts w:ascii="Book Antiqua" w:eastAsia="Book Antiqua" w:hAnsi="Book Antiqua" w:cs="Book Antiqua"/>
          <w:i/>
          <w:iCs/>
        </w:rPr>
        <w:t>H. pylori</w:t>
      </w:r>
      <w:r w:rsidRPr="00CD7EA8">
        <w:rPr>
          <w:rFonts w:ascii="Book Antiqua" w:eastAsia="Book Antiqua" w:hAnsi="Book Antiqua" w:cs="Book Antiqua"/>
          <w:color w:val="000000"/>
        </w:rPr>
        <w:t xml:space="preserve"> infection are Bismuth quadruple therapy and non-Bismuth quadruple concomitant therapy. This study suggests the use of an optimized 14-d sequential regimen using </w:t>
      </w:r>
      <w:proofErr w:type="spellStart"/>
      <w:r w:rsidRPr="00CD7EA8">
        <w:rPr>
          <w:rFonts w:ascii="Book Antiqua" w:eastAsia="Book Antiqua" w:hAnsi="Book Antiqua" w:cs="Book Antiqua"/>
          <w:color w:val="000000"/>
        </w:rPr>
        <w:t>rabeprazole</w:t>
      </w:r>
      <w:proofErr w:type="spellEnd"/>
      <w:r w:rsidRPr="00CD7EA8">
        <w:rPr>
          <w:rFonts w:ascii="Book Antiqua" w:eastAsia="Book Antiqua" w:hAnsi="Book Antiqua" w:cs="Book Antiqua"/>
          <w:color w:val="000000"/>
        </w:rPr>
        <w:t xml:space="preserve"> to achieve the same eradication rate </w:t>
      </w:r>
      <w:r w:rsidR="00B15A4F">
        <w:rPr>
          <w:rFonts w:ascii="Book Antiqua" w:eastAsia="Book Antiqua" w:hAnsi="Book Antiqua" w:cs="Book Antiqua"/>
          <w:color w:val="000000"/>
        </w:rPr>
        <w:t>as</w:t>
      </w:r>
      <w:r w:rsidR="00B15A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the non-bismuth </w:t>
      </w:r>
      <w:r w:rsidRPr="00CD7EA8">
        <w:rPr>
          <w:rFonts w:ascii="Book Antiqua" w:eastAsia="Book Antiqua" w:hAnsi="Book Antiqua" w:cs="Book Antiqua"/>
          <w:color w:val="000000"/>
        </w:rPr>
        <w:lastRenderedPageBreak/>
        <w:t xml:space="preserve">quadruple concomitant therapy while leading to fewer </w:t>
      </w:r>
      <w:r w:rsidR="00205971" w:rsidRPr="00CD7EA8">
        <w:rPr>
          <w:rFonts w:ascii="Book Antiqua" w:eastAsia="Book Antiqua" w:hAnsi="Book Antiqua" w:cs="Book Antiqua"/>
          <w:color w:val="000000"/>
        </w:rPr>
        <w:t>AE</w:t>
      </w:r>
      <w:r w:rsidRPr="00CD7EA8">
        <w:rPr>
          <w:rFonts w:ascii="Book Antiqua" w:eastAsia="Book Antiqua" w:hAnsi="Book Antiqua" w:cs="Book Antiqua"/>
          <w:color w:val="000000"/>
        </w:rPr>
        <w:t>s and being more economically attractive.</w:t>
      </w:r>
    </w:p>
    <w:p w14:paraId="3ECE28DE" w14:textId="77777777" w:rsidR="00A77B3E" w:rsidRPr="00CD7EA8" w:rsidRDefault="00A77B3E" w:rsidP="00CD7EA8">
      <w:pPr>
        <w:spacing w:line="360" w:lineRule="auto"/>
        <w:jc w:val="both"/>
        <w:rPr>
          <w:rFonts w:ascii="Book Antiqua" w:hAnsi="Book Antiqua"/>
        </w:rPr>
      </w:pPr>
    </w:p>
    <w:p w14:paraId="06029B7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i/>
          <w:color w:val="000000"/>
        </w:rPr>
        <w:t>Research perspectives</w:t>
      </w:r>
    </w:p>
    <w:p w14:paraId="2D134E18" w14:textId="52A19572"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color w:val="000000"/>
        </w:rPr>
        <w:t>Given our study</w:t>
      </w:r>
      <w:r w:rsidR="00A30E97" w:rsidRPr="00CD7EA8">
        <w:rPr>
          <w:rFonts w:ascii="Book Antiqua" w:eastAsia="Book Antiqua" w:hAnsi="Book Antiqua" w:cs="Book Antiqua"/>
          <w:color w:val="000000"/>
        </w:rPr>
        <w:t>’</w:t>
      </w:r>
      <w:r w:rsidRPr="00CD7EA8">
        <w:rPr>
          <w:rFonts w:ascii="Book Antiqua" w:eastAsia="Book Antiqua" w:hAnsi="Book Antiqua" w:cs="Book Antiqua"/>
          <w:color w:val="000000"/>
        </w:rPr>
        <w:t xml:space="preserve">s limitations, these are </w:t>
      </w:r>
      <w:r w:rsidR="00B15A4F">
        <w:rPr>
          <w:rFonts w:ascii="Book Antiqua" w:eastAsia="Book Antiqua" w:hAnsi="Book Antiqua" w:cs="Book Antiqua"/>
          <w:color w:val="000000"/>
        </w:rPr>
        <w:t xml:space="preserve">several </w:t>
      </w:r>
      <w:r w:rsidRPr="00CD7EA8">
        <w:rPr>
          <w:rFonts w:ascii="Book Antiqua" w:eastAsia="Book Antiqua" w:hAnsi="Book Antiqua" w:cs="Book Antiqua"/>
          <w:color w:val="000000"/>
        </w:rPr>
        <w:t xml:space="preserve">future research perspectives: </w:t>
      </w:r>
      <w:r w:rsidR="00A30E97" w:rsidRPr="00CD7EA8">
        <w:rPr>
          <w:rFonts w:ascii="Book Antiqua" w:eastAsia="Book Antiqua" w:hAnsi="Book Antiqua" w:cs="Book Antiqua"/>
          <w:color w:val="000000"/>
        </w:rPr>
        <w:t>(1) C</w:t>
      </w:r>
      <w:r w:rsidRPr="00CD7EA8">
        <w:rPr>
          <w:rFonts w:ascii="Book Antiqua" w:eastAsia="Book Antiqua" w:hAnsi="Book Antiqua" w:cs="Book Antiqua"/>
          <w:color w:val="000000"/>
        </w:rPr>
        <w:t xml:space="preserve">onduct a multicenter trial (in different geographical areas) to </w:t>
      </w:r>
      <w:r w:rsidR="00B15A4F">
        <w:rPr>
          <w:rFonts w:ascii="Book Antiqua" w:eastAsia="Book Antiqua" w:hAnsi="Book Antiqua" w:cs="Book Antiqua"/>
          <w:color w:val="000000"/>
        </w:rPr>
        <w:t>validate</w:t>
      </w:r>
      <w:r w:rsidR="00B15A4F" w:rsidRPr="00CD7EA8">
        <w:rPr>
          <w:rFonts w:ascii="Book Antiqua" w:eastAsia="Book Antiqua" w:hAnsi="Book Antiqua" w:cs="Book Antiqua"/>
          <w:color w:val="000000"/>
        </w:rPr>
        <w:t xml:space="preserve"> </w:t>
      </w:r>
      <w:r w:rsidRPr="00CD7EA8">
        <w:rPr>
          <w:rFonts w:ascii="Book Antiqua" w:eastAsia="Book Antiqua" w:hAnsi="Book Antiqua" w:cs="Book Antiqua"/>
          <w:color w:val="000000"/>
        </w:rPr>
        <w:t xml:space="preserve">our results; </w:t>
      </w:r>
      <w:r w:rsidR="00A30E97" w:rsidRPr="00CD7EA8">
        <w:rPr>
          <w:rFonts w:ascii="Book Antiqua" w:eastAsia="Book Antiqua" w:hAnsi="Book Antiqua" w:cs="Book Antiqua"/>
          <w:color w:val="000000"/>
        </w:rPr>
        <w:t>(2) C</w:t>
      </w:r>
      <w:r w:rsidRPr="00CD7EA8">
        <w:rPr>
          <w:rFonts w:ascii="Book Antiqua" w:eastAsia="Book Antiqua" w:hAnsi="Book Antiqua" w:cs="Book Antiqua"/>
          <w:color w:val="000000"/>
        </w:rPr>
        <w:t xml:space="preserve">ompare the sequential therapy to other therapies containing </w:t>
      </w:r>
      <w:proofErr w:type="spellStart"/>
      <w:r w:rsidR="007256AE">
        <w:rPr>
          <w:rFonts w:ascii="Book Antiqua" w:eastAsia="Book Antiqua" w:hAnsi="Book Antiqua" w:cs="Book Antiqua"/>
          <w:color w:val="000000"/>
        </w:rPr>
        <w:t>v</w:t>
      </w:r>
      <w:r w:rsidRPr="00CD7EA8">
        <w:rPr>
          <w:rFonts w:ascii="Book Antiqua" w:eastAsia="Book Antiqua" w:hAnsi="Book Antiqua" w:cs="Book Antiqua"/>
          <w:color w:val="000000"/>
        </w:rPr>
        <w:t>onoprazan</w:t>
      </w:r>
      <w:proofErr w:type="spellEnd"/>
      <w:r w:rsidRPr="00CD7EA8">
        <w:rPr>
          <w:rFonts w:ascii="Book Antiqua" w:eastAsia="Book Antiqua" w:hAnsi="Book Antiqua" w:cs="Book Antiqua"/>
          <w:color w:val="000000"/>
        </w:rPr>
        <w:t xml:space="preserve">; </w:t>
      </w:r>
      <w:r w:rsidR="00A30E97" w:rsidRPr="00CD7EA8">
        <w:rPr>
          <w:rFonts w:ascii="Book Antiqua" w:eastAsia="Book Antiqua" w:hAnsi="Book Antiqua" w:cs="Book Antiqua"/>
          <w:color w:val="000000"/>
        </w:rPr>
        <w:t>and (3) C</w:t>
      </w:r>
      <w:r w:rsidRPr="00CD7EA8">
        <w:rPr>
          <w:rFonts w:ascii="Book Antiqua" w:eastAsia="Book Antiqua" w:hAnsi="Book Antiqua" w:cs="Book Antiqua"/>
          <w:color w:val="000000"/>
        </w:rPr>
        <w:t xml:space="preserve">ompare the use of </w:t>
      </w:r>
      <w:r w:rsidR="007256AE">
        <w:rPr>
          <w:rFonts w:ascii="Book Antiqua" w:eastAsia="Book Antiqua" w:hAnsi="Book Antiqua" w:cs="Book Antiqua"/>
          <w:color w:val="000000"/>
        </w:rPr>
        <w:t>e</w:t>
      </w:r>
      <w:r w:rsidRPr="00CD7EA8">
        <w:rPr>
          <w:rFonts w:ascii="Book Antiqua" w:eastAsia="Book Antiqua" w:hAnsi="Book Antiqua" w:cs="Book Antiqua"/>
          <w:color w:val="000000"/>
        </w:rPr>
        <w:t xml:space="preserve">someprazole and </w:t>
      </w:r>
      <w:proofErr w:type="spellStart"/>
      <w:r w:rsidR="007256AE">
        <w:rPr>
          <w:rFonts w:ascii="Book Antiqua" w:eastAsia="Book Antiqua" w:hAnsi="Book Antiqua" w:cs="Book Antiqua"/>
          <w:color w:val="000000"/>
        </w:rPr>
        <w:t>r</w:t>
      </w:r>
      <w:r w:rsidRPr="00CD7EA8">
        <w:rPr>
          <w:rFonts w:ascii="Book Antiqua" w:eastAsia="Book Antiqua" w:hAnsi="Book Antiqua" w:cs="Book Antiqua"/>
          <w:color w:val="000000"/>
        </w:rPr>
        <w:t>abeprazole</w:t>
      </w:r>
      <w:proofErr w:type="spellEnd"/>
      <w:r w:rsidRPr="00CD7EA8">
        <w:rPr>
          <w:rFonts w:ascii="Book Antiqua" w:eastAsia="Book Antiqua" w:hAnsi="Book Antiqua" w:cs="Book Antiqua"/>
          <w:color w:val="000000"/>
        </w:rPr>
        <w:t xml:space="preserve"> in a sequential therapy in terms of efficacy, tolerability and cost-effectiveness.</w:t>
      </w:r>
    </w:p>
    <w:p w14:paraId="58A7C017" w14:textId="77777777" w:rsidR="00A77B3E" w:rsidRPr="00CD7EA8" w:rsidRDefault="00A77B3E" w:rsidP="00CD7EA8">
      <w:pPr>
        <w:spacing w:line="360" w:lineRule="auto"/>
        <w:jc w:val="both"/>
        <w:rPr>
          <w:rFonts w:ascii="Book Antiqua" w:hAnsi="Book Antiqua"/>
        </w:rPr>
      </w:pPr>
    </w:p>
    <w:p w14:paraId="3681163C"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REFERENCES</w:t>
      </w:r>
    </w:p>
    <w:p w14:paraId="4D745FFB" w14:textId="77777777" w:rsidR="00034735" w:rsidRPr="00CD7EA8" w:rsidRDefault="00034735" w:rsidP="00CD7EA8">
      <w:pPr>
        <w:spacing w:line="360" w:lineRule="auto"/>
        <w:jc w:val="both"/>
        <w:rPr>
          <w:rFonts w:ascii="Book Antiqua" w:hAnsi="Book Antiqua"/>
        </w:rPr>
      </w:pPr>
      <w:bookmarkStart w:id="232" w:name="OLE_LINK1257"/>
      <w:bookmarkStart w:id="233" w:name="OLE_LINK1258"/>
      <w:r w:rsidRPr="00CD7EA8">
        <w:rPr>
          <w:rFonts w:ascii="Book Antiqua" w:hAnsi="Book Antiqua"/>
        </w:rPr>
        <w:t xml:space="preserve">1 </w:t>
      </w:r>
      <w:proofErr w:type="spellStart"/>
      <w:r w:rsidRPr="00CD7EA8">
        <w:rPr>
          <w:rFonts w:ascii="Book Antiqua" w:hAnsi="Book Antiqua"/>
          <w:b/>
          <w:bCs/>
        </w:rPr>
        <w:t>Gatta</w:t>
      </w:r>
      <w:proofErr w:type="spellEnd"/>
      <w:r w:rsidRPr="00CD7EA8">
        <w:rPr>
          <w:rFonts w:ascii="Book Antiqua" w:hAnsi="Book Antiqua"/>
          <w:b/>
          <w:bCs/>
        </w:rPr>
        <w:t xml:space="preserve"> L</w:t>
      </w:r>
      <w:r w:rsidRPr="00CD7EA8">
        <w:rPr>
          <w:rFonts w:ascii="Book Antiqua" w:hAnsi="Book Antiqua"/>
        </w:rPr>
        <w:t xml:space="preserve">, </w:t>
      </w:r>
      <w:proofErr w:type="spellStart"/>
      <w:r w:rsidRPr="00CD7EA8">
        <w:rPr>
          <w:rFonts w:ascii="Book Antiqua" w:hAnsi="Book Antiqua"/>
        </w:rPr>
        <w:t>Vakil</w:t>
      </w:r>
      <w:proofErr w:type="spellEnd"/>
      <w:r w:rsidRPr="00CD7EA8">
        <w:rPr>
          <w:rFonts w:ascii="Book Antiqua" w:hAnsi="Book Antiqua"/>
        </w:rPr>
        <w:t xml:space="preserve"> N, </w:t>
      </w:r>
      <w:proofErr w:type="spellStart"/>
      <w:r w:rsidRPr="00CD7EA8">
        <w:rPr>
          <w:rFonts w:ascii="Book Antiqua" w:hAnsi="Book Antiqua"/>
        </w:rPr>
        <w:t>Vaira</w:t>
      </w:r>
      <w:proofErr w:type="spellEnd"/>
      <w:r w:rsidRPr="00CD7EA8">
        <w:rPr>
          <w:rFonts w:ascii="Book Antiqua" w:hAnsi="Book Antiqua"/>
        </w:rPr>
        <w:t xml:space="preserve"> D, </w:t>
      </w:r>
      <w:proofErr w:type="spellStart"/>
      <w:r w:rsidRPr="00CD7EA8">
        <w:rPr>
          <w:rFonts w:ascii="Book Antiqua" w:hAnsi="Book Antiqua"/>
        </w:rPr>
        <w:t>Scarpignato</w:t>
      </w:r>
      <w:proofErr w:type="spellEnd"/>
      <w:r w:rsidRPr="00CD7EA8">
        <w:rPr>
          <w:rFonts w:ascii="Book Antiqua" w:hAnsi="Book Antiqua"/>
        </w:rPr>
        <w:t xml:space="preserve"> C. Global eradication rates for Helicobacter pylori infection: systematic review and meta-analysis of sequential therapy. </w:t>
      </w:r>
      <w:r w:rsidRPr="00CD7EA8">
        <w:rPr>
          <w:rFonts w:ascii="Book Antiqua" w:hAnsi="Book Antiqua"/>
          <w:i/>
          <w:iCs/>
        </w:rPr>
        <w:t>BMJ</w:t>
      </w:r>
      <w:r w:rsidRPr="00CD7EA8">
        <w:rPr>
          <w:rFonts w:ascii="Book Antiqua" w:hAnsi="Book Antiqua"/>
        </w:rPr>
        <w:t xml:space="preserve"> 2013; </w:t>
      </w:r>
      <w:r w:rsidRPr="00CD7EA8">
        <w:rPr>
          <w:rFonts w:ascii="Book Antiqua" w:hAnsi="Book Antiqua"/>
          <w:b/>
          <w:bCs/>
        </w:rPr>
        <w:t>347</w:t>
      </w:r>
      <w:r w:rsidRPr="00CD7EA8">
        <w:rPr>
          <w:rFonts w:ascii="Book Antiqua" w:hAnsi="Book Antiqua"/>
        </w:rPr>
        <w:t>: f4587 [PMID: 23926315 DOI: 10.1136/bmj.f4587]</w:t>
      </w:r>
    </w:p>
    <w:p w14:paraId="0492FED2"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 </w:t>
      </w:r>
      <w:proofErr w:type="spellStart"/>
      <w:r w:rsidRPr="00CD7EA8">
        <w:rPr>
          <w:rFonts w:ascii="Book Antiqua" w:hAnsi="Book Antiqua"/>
          <w:b/>
          <w:bCs/>
        </w:rPr>
        <w:t>Malfertheiner</w:t>
      </w:r>
      <w:proofErr w:type="spellEnd"/>
      <w:r w:rsidRPr="00CD7EA8">
        <w:rPr>
          <w:rFonts w:ascii="Book Antiqua" w:hAnsi="Book Antiqua"/>
          <w:b/>
          <w:bCs/>
        </w:rPr>
        <w:t xml:space="preserve"> P</w:t>
      </w:r>
      <w:r w:rsidRPr="00CD7EA8">
        <w:rPr>
          <w:rFonts w:ascii="Book Antiqua" w:hAnsi="Book Antiqua"/>
        </w:rPr>
        <w:t xml:space="preserve">, </w:t>
      </w:r>
      <w:proofErr w:type="spellStart"/>
      <w:r w:rsidRPr="00CD7EA8">
        <w:rPr>
          <w:rFonts w:ascii="Book Antiqua" w:hAnsi="Book Antiqua"/>
        </w:rPr>
        <w:t>Megraud</w:t>
      </w:r>
      <w:proofErr w:type="spellEnd"/>
      <w:r w:rsidRPr="00CD7EA8">
        <w:rPr>
          <w:rFonts w:ascii="Book Antiqua" w:hAnsi="Book Antiqua"/>
        </w:rPr>
        <w:t xml:space="preserve"> F, </w:t>
      </w:r>
      <w:proofErr w:type="spellStart"/>
      <w:r w:rsidRPr="00CD7EA8">
        <w:rPr>
          <w:rFonts w:ascii="Book Antiqua" w:hAnsi="Book Antiqua"/>
        </w:rPr>
        <w:t>O'Morain</w:t>
      </w:r>
      <w:proofErr w:type="spellEnd"/>
      <w:r w:rsidRPr="00CD7EA8">
        <w:rPr>
          <w:rFonts w:ascii="Book Antiqua" w:hAnsi="Book Antiqua"/>
        </w:rPr>
        <w:t xml:space="preserve"> CA, Atherton J, Axon AT, </w:t>
      </w:r>
      <w:proofErr w:type="spellStart"/>
      <w:r w:rsidRPr="00CD7EA8">
        <w:rPr>
          <w:rFonts w:ascii="Book Antiqua" w:hAnsi="Book Antiqua"/>
        </w:rPr>
        <w:t>Bazzoli</w:t>
      </w:r>
      <w:proofErr w:type="spellEnd"/>
      <w:r w:rsidRPr="00CD7EA8">
        <w:rPr>
          <w:rFonts w:ascii="Book Antiqua" w:hAnsi="Book Antiqua"/>
        </w:rPr>
        <w:t xml:space="preserve"> F, </w:t>
      </w:r>
      <w:proofErr w:type="spellStart"/>
      <w:r w:rsidRPr="00CD7EA8">
        <w:rPr>
          <w:rFonts w:ascii="Book Antiqua" w:hAnsi="Book Antiqua"/>
        </w:rPr>
        <w:t>Gensini</w:t>
      </w:r>
      <w:proofErr w:type="spellEnd"/>
      <w:r w:rsidRPr="00CD7EA8">
        <w:rPr>
          <w:rFonts w:ascii="Book Antiqua" w:hAnsi="Book Antiqua"/>
        </w:rPr>
        <w:t xml:space="preserve"> GF, </w:t>
      </w:r>
      <w:proofErr w:type="spellStart"/>
      <w:r w:rsidRPr="00CD7EA8">
        <w:rPr>
          <w:rFonts w:ascii="Book Antiqua" w:hAnsi="Book Antiqua"/>
        </w:rPr>
        <w:t>Gisbert</w:t>
      </w:r>
      <w:proofErr w:type="spellEnd"/>
      <w:r w:rsidRPr="00CD7EA8">
        <w:rPr>
          <w:rFonts w:ascii="Book Antiqua" w:hAnsi="Book Antiqua"/>
        </w:rPr>
        <w:t xml:space="preserve"> JP, Graham DY, </w:t>
      </w:r>
      <w:proofErr w:type="spellStart"/>
      <w:r w:rsidRPr="00CD7EA8">
        <w:rPr>
          <w:rFonts w:ascii="Book Antiqua" w:hAnsi="Book Antiqua"/>
        </w:rPr>
        <w:t>Rokkas</w:t>
      </w:r>
      <w:proofErr w:type="spellEnd"/>
      <w:r w:rsidRPr="00CD7EA8">
        <w:rPr>
          <w:rFonts w:ascii="Book Antiqua" w:hAnsi="Book Antiqua"/>
        </w:rPr>
        <w:t xml:space="preserve"> T, El-Omar EM, </w:t>
      </w:r>
      <w:proofErr w:type="spellStart"/>
      <w:r w:rsidRPr="00CD7EA8">
        <w:rPr>
          <w:rFonts w:ascii="Book Antiqua" w:hAnsi="Book Antiqua"/>
        </w:rPr>
        <w:t>Kuipers</w:t>
      </w:r>
      <w:proofErr w:type="spellEnd"/>
      <w:r w:rsidRPr="00CD7EA8">
        <w:rPr>
          <w:rFonts w:ascii="Book Antiqua" w:hAnsi="Book Antiqua"/>
        </w:rPr>
        <w:t xml:space="preserve"> EJ; European Helicobacter Study Group. </w:t>
      </w:r>
      <w:proofErr w:type="gramStart"/>
      <w:r w:rsidRPr="00CD7EA8">
        <w:rPr>
          <w:rFonts w:ascii="Book Antiqua" w:hAnsi="Book Antiqua"/>
        </w:rPr>
        <w:t>Management of Helicobacter pylori infection--the Maastricht IV/ Florence Consensus Report.</w:t>
      </w:r>
      <w:proofErr w:type="gramEnd"/>
      <w:r w:rsidRPr="00CD7EA8">
        <w:rPr>
          <w:rFonts w:ascii="Book Antiqua" w:hAnsi="Book Antiqua"/>
        </w:rPr>
        <w:t xml:space="preserve"> </w:t>
      </w:r>
      <w:r w:rsidRPr="00CD7EA8">
        <w:rPr>
          <w:rFonts w:ascii="Book Antiqua" w:hAnsi="Book Antiqua"/>
          <w:i/>
          <w:iCs/>
        </w:rPr>
        <w:t>Gut</w:t>
      </w:r>
      <w:r w:rsidRPr="00CD7EA8">
        <w:rPr>
          <w:rFonts w:ascii="Book Antiqua" w:hAnsi="Book Antiqua"/>
        </w:rPr>
        <w:t xml:space="preserve"> 2012; </w:t>
      </w:r>
      <w:r w:rsidRPr="00CD7EA8">
        <w:rPr>
          <w:rFonts w:ascii="Book Antiqua" w:hAnsi="Book Antiqua"/>
          <w:b/>
          <w:bCs/>
        </w:rPr>
        <w:t>61</w:t>
      </w:r>
      <w:r w:rsidRPr="00CD7EA8">
        <w:rPr>
          <w:rFonts w:ascii="Book Antiqua" w:hAnsi="Book Antiqua"/>
        </w:rPr>
        <w:t>: 646-664 [PMID: 22491499 DOI: 10.1136/gutjnl-2012-302084]</w:t>
      </w:r>
    </w:p>
    <w:p w14:paraId="1646819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 </w:t>
      </w:r>
      <w:proofErr w:type="spellStart"/>
      <w:r w:rsidRPr="00CD7EA8">
        <w:rPr>
          <w:rFonts w:ascii="Book Antiqua" w:hAnsi="Book Antiqua"/>
          <w:b/>
          <w:bCs/>
        </w:rPr>
        <w:t>Uemura</w:t>
      </w:r>
      <w:proofErr w:type="spellEnd"/>
      <w:r w:rsidRPr="00CD7EA8">
        <w:rPr>
          <w:rFonts w:ascii="Book Antiqua" w:hAnsi="Book Antiqua"/>
          <w:b/>
          <w:bCs/>
        </w:rPr>
        <w:t xml:space="preserve"> N</w:t>
      </w:r>
      <w:r w:rsidRPr="00CD7EA8">
        <w:rPr>
          <w:rFonts w:ascii="Book Antiqua" w:hAnsi="Book Antiqua"/>
        </w:rPr>
        <w:t xml:space="preserve">, Okamoto S, Yamamoto S, Matsumura N, Yamaguchi S, </w:t>
      </w:r>
      <w:proofErr w:type="spellStart"/>
      <w:r w:rsidRPr="00CD7EA8">
        <w:rPr>
          <w:rFonts w:ascii="Book Antiqua" w:hAnsi="Book Antiqua"/>
        </w:rPr>
        <w:t>Yamakido</w:t>
      </w:r>
      <w:proofErr w:type="spellEnd"/>
      <w:r w:rsidRPr="00CD7EA8">
        <w:rPr>
          <w:rFonts w:ascii="Book Antiqua" w:hAnsi="Book Antiqua"/>
        </w:rPr>
        <w:t xml:space="preserve"> M, </w:t>
      </w:r>
      <w:proofErr w:type="spellStart"/>
      <w:r w:rsidRPr="00CD7EA8">
        <w:rPr>
          <w:rFonts w:ascii="Book Antiqua" w:hAnsi="Book Antiqua"/>
        </w:rPr>
        <w:t>Taniyama</w:t>
      </w:r>
      <w:proofErr w:type="spellEnd"/>
      <w:r w:rsidRPr="00CD7EA8">
        <w:rPr>
          <w:rFonts w:ascii="Book Antiqua" w:hAnsi="Book Antiqua"/>
        </w:rPr>
        <w:t xml:space="preserve"> K, Sasaki N, </w:t>
      </w:r>
      <w:proofErr w:type="spellStart"/>
      <w:r w:rsidRPr="00CD7EA8">
        <w:rPr>
          <w:rFonts w:ascii="Book Antiqua" w:hAnsi="Book Antiqua"/>
        </w:rPr>
        <w:t>Schlemper</w:t>
      </w:r>
      <w:proofErr w:type="spellEnd"/>
      <w:r w:rsidRPr="00CD7EA8">
        <w:rPr>
          <w:rFonts w:ascii="Book Antiqua" w:hAnsi="Book Antiqua"/>
        </w:rPr>
        <w:t xml:space="preserve"> RJ. </w:t>
      </w:r>
      <w:proofErr w:type="gramStart"/>
      <w:r w:rsidRPr="00CD7EA8">
        <w:rPr>
          <w:rFonts w:ascii="Book Antiqua" w:hAnsi="Book Antiqua"/>
        </w:rPr>
        <w:t>Helicobacter pylori infection and the development of gastric cancer.</w:t>
      </w:r>
      <w:proofErr w:type="gramEnd"/>
      <w:r w:rsidRPr="00CD7EA8">
        <w:rPr>
          <w:rFonts w:ascii="Book Antiqua" w:hAnsi="Book Antiqua"/>
        </w:rPr>
        <w:t xml:space="preserve"> </w:t>
      </w:r>
      <w:r w:rsidRPr="00CD7EA8">
        <w:rPr>
          <w:rFonts w:ascii="Book Antiqua" w:hAnsi="Book Antiqua"/>
          <w:i/>
          <w:iCs/>
        </w:rPr>
        <w:t xml:space="preserve">N </w:t>
      </w:r>
      <w:proofErr w:type="spellStart"/>
      <w:r w:rsidRPr="00CD7EA8">
        <w:rPr>
          <w:rFonts w:ascii="Book Antiqua" w:hAnsi="Book Antiqua"/>
          <w:i/>
          <w:iCs/>
        </w:rPr>
        <w:t>Engl</w:t>
      </w:r>
      <w:proofErr w:type="spellEnd"/>
      <w:r w:rsidRPr="00CD7EA8">
        <w:rPr>
          <w:rFonts w:ascii="Book Antiqua" w:hAnsi="Book Antiqua"/>
          <w:i/>
          <w:iCs/>
        </w:rPr>
        <w:t xml:space="preserve"> J Med</w:t>
      </w:r>
      <w:r w:rsidRPr="00CD7EA8">
        <w:rPr>
          <w:rFonts w:ascii="Book Antiqua" w:hAnsi="Book Antiqua"/>
        </w:rPr>
        <w:t xml:space="preserve"> 2001; </w:t>
      </w:r>
      <w:r w:rsidRPr="00CD7EA8">
        <w:rPr>
          <w:rFonts w:ascii="Book Antiqua" w:hAnsi="Book Antiqua"/>
          <w:b/>
          <w:bCs/>
        </w:rPr>
        <w:t>345</w:t>
      </w:r>
      <w:r w:rsidRPr="00CD7EA8">
        <w:rPr>
          <w:rFonts w:ascii="Book Antiqua" w:hAnsi="Book Antiqua"/>
        </w:rPr>
        <w:t>: 784-789 [PMID: 11556297 DOI: 10.1056/NEJMoa001999]</w:t>
      </w:r>
    </w:p>
    <w:p w14:paraId="29E5C297"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4 </w:t>
      </w:r>
      <w:proofErr w:type="spellStart"/>
      <w:r w:rsidRPr="00CD7EA8">
        <w:rPr>
          <w:rFonts w:ascii="Book Antiqua" w:hAnsi="Book Antiqua"/>
          <w:b/>
          <w:bCs/>
        </w:rPr>
        <w:t>Alakkari</w:t>
      </w:r>
      <w:proofErr w:type="spellEnd"/>
      <w:r w:rsidRPr="00CD7EA8">
        <w:rPr>
          <w:rFonts w:ascii="Book Antiqua" w:hAnsi="Book Antiqua"/>
          <w:b/>
          <w:bCs/>
        </w:rPr>
        <w:t xml:space="preserve"> A</w:t>
      </w:r>
      <w:r w:rsidRPr="00CD7EA8">
        <w:rPr>
          <w:rFonts w:ascii="Book Antiqua" w:hAnsi="Book Antiqua"/>
        </w:rPr>
        <w:t xml:space="preserve">, </w:t>
      </w:r>
      <w:proofErr w:type="spellStart"/>
      <w:r w:rsidRPr="00CD7EA8">
        <w:rPr>
          <w:rFonts w:ascii="Book Antiqua" w:hAnsi="Book Antiqua"/>
        </w:rPr>
        <w:t>Zullo</w:t>
      </w:r>
      <w:proofErr w:type="spellEnd"/>
      <w:r w:rsidRPr="00CD7EA8">
        <w:rPr>
          <w:rFonts w:ascii="Book Antiqua" w:hAnsi="Book Antiqua"/>
        </w:rPr>
        <w:t xml:space="preserve"> A, O'Connor HJ. </w:t>
      </w:r>
      <w:proofErr w:type="gramStart"/>
      <w:r w:rsidRPr="00CD7EA8">
        <w:rPr>
          <w:rFonts w:ascii="Book Antiqua" w:hAnsi="Book Antiqua"/>
        </w:rPr>
        <w:t>Helicobacter pylori and nonmalignant diseases.</w:t>
      </w:r>
      <w:proofErr w:type="gramEnd"/>
      <w:r w:rsidRPr="00CD7EA8">
        <w:rPr>
          <w:rFonts w:ascii="Book Antiqua" w:hAnsi="Book Antiqua"/>
        </w:rPr>
        <w:t xml:space="preserve"> </w:t>
      </w:r>
      <w:r w:rsidRPr="00CD7EA8">
        <w:rPr>
          <w:rFonts w:ascii="Book Antiqua" w:hAnsi="Book Antiqua"/>
          <w:i/>
          <w:iCs/>
        </w:rPr>
        <w:t>Helicobacter</w:t>
      </w:r>
      <w:r w:rsidRPr="00CD7EA8">
        <w:rPr>
          <w:rFonts w:ascii="Book Antiqua" w:hAnsi="Book Antiqua"/>
        </w:rPr>
        <w:t xml:space="preserve"> 2011; </w:t>
      </w:r>
      <w:r w:rsidRPr="00CD7EA8">
        <w:rPr>
          <w:rFonts w:ascii="Book Antiqua" w:hAnsi="Book Antiqua"/>
          <w:b/>
          <w:bCs/>
        </w:rPr>
        <w:t>16</w:t>
      </w:r>
      <w:r w:rsidRPr="00CD7EA8">
        <w:rPr>
          <w:rFonts w:ascii="Book Antiqua" w:hAnsi="Book Antiqua"/>
        </w:rPr>
        <w:t xml:space="preserve"> </w:t>
      </w:r>
      <w:proofErr w:type="spellStart"/>
      <w:r w:rsidRPr="00CD7EA8">
        <w:rPr>
          <w:rFonts w:ascii="Book Antiqua" w:hAnsi="Book Antiqua"/>
        </w:rPr>
        <w:t>Suppl</w:t>
      </w:r>
      <w:proofErr w:type="spellEnd"/>
      <w:r w:rsidRPr="00CD7EA8">
        <w:rPr>
          <w:rFonts w:ascii="Book Antiqua" w:hAnsi="Book Antiqua"/>
        </w:rPr>
        <w:t xml:space="preserve"> 1: 33-37 [PMID: 21896083 DOI: 10.1111/j.1523-5378.2011.00878.x]</w:t>
      </w:r>
    </w:p>
    <w:p w14:paraId="6E66DAB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5 </w:t>
      </w:r>
      <w:proofErr w:type="spellStart"/>
      <w:r w:rsidRPr="00CD7EA8">
        <w:rPr>
          <w:rFonts w:ascii="Book Antiqua" w:hAnsi="Book Antiqua"/>
          <w:b/>
          <w:bCs/>
        </w:rPr>
        <w:t>Herrero</w:t>
      </w:r>
      <w:proofErr w:type="spellEnd"/>
      <w:r w:rsidRPr="00CD7EA8">
        <w:rPr>
          <w:rFonts w:ascii="Book Antiqua" w:hAnsi="Book Antiqua"/>
          <w:b/>
          <w:bCs/>
        </w:rPr>
        <w:t xml:space="preserve"> R</w:t>
      </w:r>
      <w:r w:rsidRPr="00CD7EA8">
        <w:rPr>
          <w:rFonts w:ascii="Book Antiqua" w:hAnsi="Book Antiqua"/>
        </w:rPr>
        <w:t xml:space="preserve">, Park JY, Forman D. </w:t>
      </w:r>
      <w:proofErr w:type="gramStart"/>
      <w:r w:rsidRPr="00CD7EA8">
        <w:rPr>
          <w:rFonts w:ascii="Book Antiqua" w:hAnsi="Book Antiqua"/>
        </w:rPr>
        <w:t>The fight against gastric cancer - the IARC Working Group report.</w:t>
      </w:r>
      <w:proofErr w:type="gramEnd"/>
      <w:r w:rsidRPr="00CD7EA8">
        <w:rPr>
          <w:rFonts w:ascii="Book Antiqua" w:hAnsi="Book Antiqua"/>
        </w:rPr>
        <w:t xml:space="preserve"> </w:t>
      </w:r>
      <w:r w:rsidRPr="00CD7EA8">
        <w:rPr>
          <w:rFonts w:ascii="Book Antiqua" w:hAnsi="Book Antiqua"/>
          <w:i/>
          <w:iCs/>
        </w:rPr>
        <w:t xml:space="preserve">Best </w:t>
      </w:r>
      <w:proofErr w:type="spellStart"/>
      <w:r w:rsidRPr="00CD7EA8">
        <w:rPr>
          <w:rFonts w:ascii="Book Antiqua" w:hAnsi="Book Antiqua"/>
          <w:i/>
          <w:iCs/>
        </w:rPr>
        <w:t>Pract</w:t>
      </w:r>
      <w:proofErr w:type="spellEnd"/>
      <w:r w:rsidRPr="00CD7EA8">
        <w:rPr>
          <w:rFonts w:ascii="Book Antiqua" w:hAnsi="Book Antiqua"/>
          <w:i/>
          <w:iCs/>
        </w:rPr>
        <w:t xml:space="preserve"> Res </w:t>
      </w:r>
      <w:proofErr w:type="spellStart"/>
      <w:r w:rsidRPr="00CD7EA8">
        <w:rPr>
          <w:rFonts w:ascii="Book Antiqua" w:hAnsi="Book Antiqua"/>
          <w:i/>
          <w:iCs/>
        </w:rPr>
        <w:t>Clin</w:t>
      </w:r>
      <w:proofErr w:type="spellEnd"/>
      <w:r w:rsidRPr="00CD7EA8">
        <w:rPr>
          <w:rFonts w:ascii="Book Antiqua" w:hAnsi="Book Antiqua"/>
          <w:i/>
          <w:iCs/>
        </w:rPr>
        <w:t xml:space="preserve"> </w:t>
      </w:r>
      <w:proofErr w:type="spellStart"/>
      <w:r w:rsidRPr="00CD7EA8">
        <w:rPr>
          <w:rFonts w:ascii="Book Antiqua" w:hAnsi="Book Antiqua"/>
          <w:i/>
          <w:iCs/>
        </w:rPr>
        <w:t>Gastroenterol</w:t>
      </w:r>
      <w:proofErr w:type="spellEnd"/>
      <w:r w:rsidRPr="00CD7EA8">
        <w:rPr>
          <w:rFonts w:ascii="Book Antiqua" w:hAnsi="Book Antiqua"/>
        </w:rPr>
        <w:t xml:space="preserve"> 2014; </w:t>
      </w:r>
      <w:r w:rsidRPr="00CD7EA8">
        <w:rPr>
          <w:rFonts w:ascii="Book Antiqua" w:hAnsi="Book Antiqua"/>
          <w:b/>
          <w:bCs/>
        </w:rPr>
        <w:t>28</w:t>
      </w:r>
      <w:r w:rsidRPr="00CD7EA8">
        <w:rPr>
          <w:rFonts w:ascii="Book Antiqua" w:hAnsi="Book Antiqua"/>
        </w:rPr>
        <w:t>: 1107-1114 [PMID: 25439075 DOI: 10.1016/j.bpg.2014.10.003]</w:t>
      </w:r>
    </w:p>
    <w:p w14:paraId="7AE0AF35"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6 </w:t>
      </w:r>
      <w:r w:rsidRPr="00CD7EA8">
        <w:rPr>
          <w:rFonts w:ascii="Book Antiqua" w:hAnsi="Book Antiqua"/>
          <w:b/>
          <w:bCs/>
        </w:rPr>
        <w:t>Tsukamoto T</w:t>
      </w:r>
      <w:r w:rsidRPr="00CD7EA8">
        <w:rPr>
          <w:rFonts w:ascii="Book Antiqua" w:hAnsi="Book Antiqua"/>
        </w:rPr>
        <w:t xml:space="preserve">, Nakagawa M, </w:t>
      </w:r>
      <w:proofErr w:type="spellStart"/>
      <w:r w:rsidRPr="00CD7EA8">
        <w:rPr>
          <w:rFonts w:ascii="Book Antiqua" w:hAnsi="Book Antiqua"/>
        </w:rPr>
        <w:t>Kiriyama</w:t>
      </w:r>
      <w:proofErr w:type="spellEnd"/>
      <w:r w:rsidRPr="00CD7EA8">
        <w:rPr>
          <w:rFonts w:ascii="Book Antiqua" w:hAnsi="Book Antiqua"/>
        </w:rPr>
        <w:t xml:space="preserve"> Y, Toyoda T, Cao X. Prevention of Gastric Cancer: Eradication of Helicobacter Pylori and Beyond. </w:t>
      </w:r>
      <w:proofErr w:type="spellStart"/>
      <w:r w:rsidRPr="00CD7EA8">
        <w:rPr>
          <w:rFonts w:ascii="Book Antiqua" w:hAnsi="Book Antiqua"/>
          <w:i/>
          <w:iCs/>
        </w:rPr>
        <w:t>Int</w:t>
      </w:r>
      <w:proofErr w:type="spellEnd"/>
      <w:r w:rsidRPr="00CD7EA8">
        <w:rPr>
          <w:rFonts w:ascii="Book Antiqua" w:hAnsi="Book Antiqua"/>
          <w:i/>
          <w:iCs/>
        </w:rPr>
        <w:t xml:space="preserve"> J </w:t>
      </w:r>
      <w:proofErr w:type="spellStart"/>
      <w:r w:rsidRPr="00CD7EA8">
        <w:rPr>
          <w:rFonts w:ascii="Book Antiqua" w:hAnsi="Book Antiqua"/>
          <w:i/>
          <w:iCs/>
        </w:rPr>
        <w:t>Mol</w:t>
      </w:r>
      <w:proofErr w:type="spellEnd"/>
      <w:r w:rsidRPr="00CD7EA8">
        <w:rPr>
          <w:rFonts w:ascii="Book Antiqua" w:hAnsi="Book Antiqua"/>
          <w:i/>
          <w:iCs/>
        </w:rPr>
        <w:t xml:space="preserve"> </w:t>
      </w:r>
      <w:proofErr w:type="spellStart"/>
      <w:r w:rsidRPr="00CD7EA8">
        <w:rPr>
          <w:rFonts w:ascii="Book Antiqua" w:hAnsi="Book Antiqua"/>
          <w:i/>
          <w:iCs/>
        </w:rPr>
        <w:t>Sci</w:t>
      </w:r>
      <w:proofErr w:type="spellEnd"/>
      <w:r w:rsidRPr="00CD7EA8">
        <w:rPr>
          <w:rFonts w:ascii="Book Antiqua" w:hAnsi="Book Antiqua"/>
        </w:rPr>
        <w:t xml:space="preserve"> 2017; </w:t>
      </w:r>
      <w:r w:rsidRPr="00CD7EA8">
        <w:rPr>
          <w:rFonts w:ascii="Book Antiqua" w:hAnsi="Book Antiqua"/>
          <w:b/>
          <w:bCs/>
        </w:rPr>
        <w:t>18</w:t>
      </w:r>
      <w:r w:rsidRPr="00CD7EA8">
        <w:rPr>
          <w:rFonts w:ascii="Book Antiqua" w:hAnsi="Book Antiqua"/>
        </w:rPr>
        <w:t xml:space="preserve"> [PMID: 28771198 DOI: 10.3390/ijms18081699]</w:t>
      </w:r>
    </w:p>
    <w:p w14:paraId="18AE8EA6"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7 </w:t>
      </w:r>
      <w:proofErr w:type="spellStart"/>
      <w:r w:rsidRPr="00CD7EA8">
        <w:rPr>
          <w:rFonts w:ascii="Book Antiqua" w:hAnsi="Book Antiqua"/>
          <w:b/>
          <w:bCs/>
        </w:rPr>
        <w:t>Malfertheiner</w:t>
      </w:r>
      <w:proofErr w:type="spellEnd"/>
      <w:r w:rsidRPr="00CD7EA8">
        <w:rPr>
          <w:rFonts w:ascii="Book Antiqua" w:hAnsi="Book Antiqua"/>
          <w:b/>
          <w:bCs/>
        </w:rPr>
        <w:t xml:space="preserve"> P</w:t>
      </w:r>
      <w:r w:rsidRPr="00CD7EA8">
        <w:rPr>
          <w:rFonts w:ascii="Book Antiqua" w:hAnsi="Book Antiqua"/>
        </w:rPr>
        <w:t xml:space="preserve">, </w:t>
      </w:r>
      <w:proofErr w:type="spellStart"/>
      <w:r w:rsidRPr="00CD7EA8">
        <w:rPr>
          <w:rFonts w:ascii="Book Antiqua" w:hAnsi="Book Antiqua"/>
        </w:rPr>
        <w:t>Megraud</w:t>
      </w:r>
      <w:proofErr w:type="spellEnd"/>
      <w:r w:rsidRPr="00CD7EA8">
        <w:rPr>
          <w:rFonts w:ascii="Book Antiqua" w:hAnsi="Book Antiqua"/>
        </w:rPr>
        <w:t xml:space="preserve"> F, </w:t>
      </w:r>
      <w:proofErr w:type="spellStart"/>
      <w:r w:rsidRPr="00CD7EA8">
        <w:rPr>
          <w:rFonts w:ascii="Book Antiqua" w:hAnsi="Book Antiqua"/>
        </w:rPr>
        <w:t>Rokkas</w:t>
      </w:r>
      <w:proofErr w:type="spellEnd"/>
      <w:r w:rsidRPr="00CD7EA8">
        <w:rPr>
          <w:rFonts w:ascii="Book Antiqua" w:hAnsi="Book Antiqua"/>
        </w:rPr>
        <w:t xml:space="preserve"> T, </w:t>
      </w:r>
      <w:proofErr w:type="spellStart"/>
      <w:r w:rsidRPr="00CD7EA8">
        <w:rPr>
          <w:rFonts w:ascii="Book Antiqua" w:hAnsi="Book Antiqua"/>
        </w:rPr>
        <w:t>Gisbert</w:t>
      </w:r>
      <w:proofErr w:type="spellEnd"/>
      <w:r w:rsidRPr="00CD7EA8">
        <w:rPr>
          <w:rFonts w:ascii="Book Antiqua" w:hAnsi="Book Antiqua"/>
        </w:rPr>
        <w:t xml:space="preserve"> JP, </w:t>
      </w:r>
      <w:proofErr w:type="spellStart"/>
      <w:r w:rsidRPr="00CD7EA8">
        <w:rPr>
          <w:rFonts w:ascii="Book Antiqua" w:hAnsi="Book Antiqua"/>
        </w:rPr>
        <w:t>Liou</w:t>
      </w:r>
      <w:proofErr w:type="spellEnd"/>
      <w:r w:rsidRPr="00CD7EA8">
        <w:rPr>
          <w:rFonts w:ascii="Book Antiqua" w:hAnsi="Book Antiqua"/>
        </w:rPr>
        <w:t xml:space="preserve"> JM, Schulz C, </w:t>
      </w:r>
      <w:proofErr w:type="spellStart"/>
      <w:r w:rsidRPr="00CD7EA8">
        <w:rPr>
          <w:rFonts w:ascii="Book Antiqua" w:hAnsi="Book Antiqua"/>
        </w:rPr>
        <w:t>Gasbarrini</w:t>
      </w:r>
      <w:proofErr w:type="spellEnd"/>
      <w:r w:rsidRPr="00CD7EA8">
        <w:rPr>
          <w:rFonts w:ascii="Book Antiqua" w:hAnsi="Book Antiqua"/>
        </w:rPr>
        <w:t xml:space="preserve"> A, Hunt RH, </w:t>
      </w:r>
      <w:proofErr w:type="spellStart"/>
      <w:r w:rsidRPr="00CD7EA8">
        <w:rPr>
          <w:rFonts w:ascii="Book Antiqua" w:hAnsi="Book Antiqua"/>
        </w:rPr>
        <w:t>Leja</w:t>
      </w:r>
      <w:proofErr w:type="spellEnd"/>
      <w:r w:rsidRPr="00CD7EA8">
        <w:rPr>
          <w:rFonts w:ascii="Book Antiqua" w:hAnsi="Book Antiqua"/>
        </w:rPr>
        <w:t xml:space="preserve"> M, </w:t>
      </w:r>
      <w:proofErr w:type="spellStart"/>
      <w:r w:rsidRPr="00CD7EA8">
        <w:rPr>
          <w:rFonts w:ascii="Book Antiqua" w:hAnsi="Book Antiqua"/>
        </w:rPr>
        <w:t>O'Morain</w:t>
      </w:r>
      <w:proofErr w:type="spellEnd"/>
      <w:r w:rsidRPr="00CD7EA8">
        <w:rPr>
          <w:rFonts w:ascii="Book Antiqua" w:hAnsi="Book Antiqua"/>
        </w:rPr>
        <w:t xml:space="preserve"> C, </w:t>
      </w:r>
      <w:proofErr w:type="spellStart"/>
      <w:r w:rsidRPr="00CD7EA8">
        <w:rPr>
          <w:rFonts w:ascii="Book Antiqua" w:hAnsi="Book Antiqua"/>
        </w:rPr>
        <w:t>Rugge</w:t>
      </w:r>
      <w:proofErr w:type="spellEnd"/>
      <w:r w:rsidRPr="00CD7EA8">
        <w:rPr>
          <w:rFonts w:ascii="Book Antiqua" w:hAnsi="Book Antiqua"/>
        </w:rPr>
        <w:t xml:space="preserve"> M, </w:t>
      </w:r>
      <w:proofErr w:type="spellStart"/>
      <w:r w:rsidRPr="00CD7EA8">
        <w:rPr>
          <w:rFonts w:ascii="Book Antiqua" w:hAnsi="Book Antiqua"/>
        </w:rPr>
        <w:t>Suerbaum</w:t>
      </w:r>
      <w:proofErr w:type="spellEnd"/>
      <w:r w:rsidRPr="00CD7EA8">
        <w:rPr>
          <w:rFonts w:ascii="Book Antiqua" w:hAnsi="Book Antiqua"/>
        </w:rPr>
        <w:t xml:space="preserve"> S, </w:t>
      </w:r>
      <w:proofErr w:type="spellStart"/>
      <w:r w:rsidRPr="00CD7EA8">
        <w:rPr>
          <w:rFonts w:ascii="Book Antiqua" w:hAnsi="Book Antiqua"/>
        </w:rPr>
        <w:t>Tilg</w:t>
      </w:r>
      <w:proofErr w:type="spellEnd"/>
      <w:r w:rsidRPr="00CD7EA8">
        <w:rPr>
          <w:rFonts w:ascii="Book Antiqua" w:hAnsi="Book Antiqua"/>
        </w:rPr>
        <w:t xml:space="preserve"> H, Sugano K, El-Omar EM; European Helicobacter and </w:t>
      </w:r>
      <w:proofErr w:type="spellStart"/>
      <w:r w:rsidRPr="00CD7EA8">
        <w:rPr>
          <w:rFonts w:ascii="Book Antiqua" w:hAnsi="Book Antiqua"/>
        </w:rPr>
        <w:t>Microbiota</w:t>
      </w:r>
      <w:proofErr w:type="spellEnd"/>
      <w:r w:rsidRPr="00CD7EA8">
        <w:rPr>
          <w:rFonts w:ascii="Book Antiqua" w:hAnsi="Book Antiqua"/>
        </w:rPr>
        <w:t xml:space="preserve"> Study group. Management of Helicobacter pylori infection: the Maastricht VI/Florence consensus report. </w:t>
      </w:r>
      <w:r w:rsidRPr="00CD7EA8">
        <w:rPr>
          <w:rFonts w:ascii="Book Antiqua" w:hAnsi="Book Antiqua"/>
          <w:i/>
          <w:iCs/>
        </w:rPr>
        <w:t>Gut</w:t>
      </w:r>
      <w:r w:rsidRPr="00CD7EA8">
        <w:rPr>
          <w:rFonts w:ascii="Book Antiqua" w:hAnsi="Book Antiqua"/>
        </w:rPr>
        <w:t xml:space="preserve"> 2022 [PMID: 35944925 DOI: 10.1136/gutjnl-2022-327745]</w:t>
      </w:r>
    </w:p>
    <w:p w14:paraId="7BA33CA9"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8 </w:t>
      </w:r>
      <w:r w:rsidRPr="00CD7EA8">
        <w:rPr>
          <w:rFonts w:ascii="Book Antiqua" w:hAnsi="Book Antiqua"/>
          <w:b/>
          <w:bCs/>
        </w:rPr>
        <w:t>Meyer JM</w:t>
      </w:r>
      <w:r w:rsidRPr="00CD7EA8">
        <w:rPr>
          <w:rFonts w:ascii="Book Antiqua" w:hAnsi="Book Antiqua"/>
        </w:rPr>
        <w:t xml:space="preserve">, Silliman NP, Wang W, </w:t>
      </w:r>
      <w:proofErr w:type="spellStart"/>
      <w:r w:rsidRPr="00CD7EA8">
        <w:rPr>
          <w:rFonts w:ascii="Book Antiqua" w:hAnsi="Book Antiqua"/>
        </w:rPr>
        <w:t>Siepman</w:t>
      </w:r>
      <w:proofErr w:type="spellEnd"/>
      <w:r w:rsidRPr="00CD7EA8">
        <w:rPr>
          <w:rFonts w:ascii="Book Antiqua" w:hAnsi="Book Antiqua"/>
        </w:rPr>
        <w:t xml:space="preserve"> NY, </w:t>
      </w:r>
      <w:proofErr w:type="spellStart"/>
      <w:r w:rsidRPr="00CD7EA8">
        <w:rPr>
          <w:rFonts w:ascii="Book Antiqua" w:hAnsi="Book Antiqua"/>
        </w:rPr>
        <w:t>Sugg</w:t>
      </w:r>
      <w:proofErr w:type="spellEnd"/>
      <w:r w:rsidRPr="00CD7EA8">
        <w:rPr>
          <w:rFonts w:ascii="Book Antiqua" w:hAnsi="Book Antiqua"/>
        </w:rPr>
        <w:t xml:space="preserve"> JE, Morris D, Zhang J, Bhattacharyya H, King EC, Hopkins RJ. Risk factors for Helicobacter pylori resistance in the United States: the surveillance of H. pylori antimicrobial resistance partnership (SHARP) study, 1993-1999. </w:t>
      </w:r>
      <w:r w:rsidRPr="00CD7EA8">
        <w:rPr>
          <w:rFonts w:ascii="Book Antiqua" w:hAnsi="Book Antiqua"/>
          <w:i/>
          <w:iCs/>
        </w:rPr>
        <w:t>Ann Intern Med</w:t>
      </w:r>
      <w:r w:rsidRPr="00CD7EA8">
        <w:rPr>
          <w:rFonts w:ascii="Book Antiqua" w:hAnsi="Book Antiqua"/>
        </w:rPr>
        <w:t xml:space="preserve"> 2002; </w:t>
      </w:r>
      <w:r w:rsidRPr="00CD7EA8">
        <w:rPr>
          <w:rFonts w:ascii="Book Antiqua" w:hAnsi="Book Antiqua"/>
          <w:b/>
          <w:bCs/>
        </w:rPr>
        <w:t>136</w:t>
      </w:r>
      <w:r w:rsidRPr="00CD7EA8">
        <w:rPr>
          <w:rFonts w:ascii="Book Antiqua" w:hAnsi="Book Antiqua"/>
        </w:rPr>
        <w:t>: 13-24 [PMID: 11777360 DOI: 10.7326/0003-4819-136-1-200201010-00008]</w:t>
      </w:r>
    </w:p>
    <w:p w14:paraId="405B0EBD"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9 </w:t>
      </w:r>
      <w:proofErr w:type="spellStart"/>
      <w:r w:rsidRPr="00CD7EA8">
        <w:rPr>
          <w:rFonts w:ascii="Book Antiqua" w:hAnsi="Book Antiqua"/>
          <w:b/>
          <w:bCs/>
        </w:rPr>
        <w:t>Bouihat</w:t>
      </w:r>
      <w:proofErr w:type="spellEnd"/>
      <w:r w:rsidRPr="00CD7EA8">
        <w:rPr>
          <w:rFonts w:ascii="Book Antiqua" w:hAnsi="Book Antiqua"/>
          <w:b/>
          <w:bCs/>
        </w:rPr>
        <w:t xml:space="preserve"> N</w:t>
      </w:r>
      <w:r w:rsidRPr="00CD7EA8">
        <w:rPr>
          <w:rFonts w:ascii="Book Antiqua" w:hAnsi="Book Antiqua"/>
        </w:rPr>
        <w:t xml:space="preserve">, </w:t>
      </w:r>
      <w:proofErr w:type="spellStart"/>
      <w:r w:rsidRPr="00CD7EA8">
        <w:rPr>
          <w:rFonts w:ascii="Book Antiqua" w:hAnsi="Book Antiqua"/>
        </w:rPr>
        <w:t>Burucoa</w:t>
      </w:r>
      <w:proofErr w:type="spellEnd"/>
      <w:r w:rsidRPr="00CD7EA8">
        <w:rPr>
          <w:rFonts w:ascii="Book Antiqua" w:hAnsi="Book Antiqua"/>
        </w:rPr>
        <w:t xml:space="preserve"> C, </w:t>
      </w:r>
      <w:proofErr w:type="spellStart"/>
      <w:r w:rsidRPr="00CD7EA8">
        <w:rPr>
          <w:rFonts w:ascii="Book Antiqua" w:hAnsi="Book Antiqua"/>
        </w:rPr>
        <w:t>Benkirane</w:t>
      </w:r>
      <w:proofErr w:type="spellEnd"/>
      <w:r w:rsidRPr="00CD7EA8">
        <w:rPr>
          <w:rFonts w:ascii="Book Antiqua" w:hAnsi="Book Antiqua"/>
        </w:rPr>
        <w:t xml:space="preserve"> A, </w:t>
      </w:r>
      <w:proofErr w:type="spellStart"/>
      <w:r w:rsidRPr="00CD7EA8">
        <w:rPr>
          <w:rFonts w:ascii="Book Antiqua" w:hAnsi="Book Antiqua"/>
        </w:rPr>
        <w:t>Seddik</w:t>
      </w:r>
      <w:proofErr w:type="spellEnd"/>
      <w:r w:rsidRPr="00CD7EA8">
        <w:rPr>
          <w:rFonts w:ascii="Book Antiqua" w:hAnsi="Book Antiqua"/>
        </w:rPr>
        <w:t xml:space="preserve"> H, </w:t>
      </w:r>
      <w:proofErr w:type="spellStart"/>
      <w:r w:rsidRPr="00CD7EA8">
        <w:rPr>
          <w:rFonts w:ascii="Book Antiqua" w:hAnsi="Book Antiqua"/>
        </w:rPr>
        <w:t>Sentissi</w:t>
      </w:r>
      <w:proofErr w:type="spellEnd"/>
      <w:r w:rsidRPr="00CD7EA8">
        <w:rPr>
          <w:rFonts w:ascii="Book Antiqua" w:hAnsi="Book Antiqua"/>
        </w:rPr>
        <w:t xml:space="preserve"> S, Al </w:t>
      </w:r>
      <w:proofErr w:type="spellStart"/>
      <w:r w:rsidRPr="00CD7EA8">
        <w:rPr>
          <w:rFonts w:ascii="Book Antiqua" w:hAnsi="Book Antiqua"/>
        </w:rPr>
        <w:t>Bouzidi</w:t>
      </w:r>
      <w:proofErr w:type="spellEnd"/>
      <w:r w:rsidRPr="00CD7EA8">
        <w:rPr>
          <w:rFonts w:ascii="Book Antiqua" w:hAnsi="Book Antiqua"/>
        </w:rPr>
        <w:t xml:space="preserve"> A, </w:t>
      </w:r>
      <w:proofErr w:type="spellStart"/>
      <w:r w:rsidRPr="00CD7EA8">
        <w:rPr>
          <w:rFonts w:ascii="Book Antiqua" w:hAnsi="Book Antiqua"/>
        </w:rPr>
        <w:t>Elouennas</w:t>
      </w:r>
      <w:proofErr w:type="spellEnd"/>
      <w:r w:rsidRPr="00CD7EA8">
        <w:rPr>
          <w:rFonts w:ascii="Book Antiqua" w:hAnsi="Book Antiqua"/>
        </w:rPr>
        <w:t xml:space="preserve"> M, </w:t>
      </w:r>
      <w:proofErr w:type="spellStart"/>
      <w:r w:rsidRPr="00CD7EA8">
        <w:rPr>
          <w:rFonts w:ascii="Book Antiqua" w:hAnsi="Book Antiqua"/>
        </w:rPr>
        <w:t>Benouda</w:t>
      </w:r>
      <w:proofErr w:type="spellEnd"/>
      <w:r w:rsidRPr="00CD7EA8">
        <w:rPr>
          <w:rFonts w:ascii="Book Antiqua" w:hAnsi="Book Antiqua"/>
        </w:rPr>
        <w:t xml:space="preserve"> A. Helicobacter pylori Primary Antibiotic Resistance in 2015 in Morocco: A Phenotypic and Genotypic Prospective and Multicenter Study. </w:t>
      </w:r>
      <w:proofErr w:type="spellStart"/>
      <w:r w:rsidRPr="00CD7EA8">
        <w:rPr>
          <w:rFonts w:ascii="Book Antiqua" w:hAnsi="Book Antiqua"/>
          <w:i/>
          <w:iCs/>
        </w:rPr>
        <w:t>Microb</w:t>
      </w:r>
      <w:proofErr w:type="spellEnd"/>
      <w:r w:rsidRPr="00CD7EA8">
        <w:rPr>
          <w:rFonts w:ascii="Book Antiqua" w:hAnsi="Book Antiqua"/>
          <w:i/>
          <w:iCs/>
        </w:rPr>
        <w:t xml:space="preserve"> Drug Resist</w:t>
      </w:r>
      <w:r w:rsidRPr="00CD7EA8">
        <w:rPr>
          <w:rFonts w:ascii="Book Antiqua" w:hAnsi="Book Antiqua"/>
        </w:rPr>
        <w:t xml:space="preserve"> 2017; </w:t>
      </w:r>
      <w:r w:rsidRPr="00CD7EA8">
        <w:rPr>
          <w:rFonts w:ascii="Book Antiqua" w:hAnsi="Book Antiqua"/>
          <w:b/>
          <w:bCs/>
        </w:rPr>
        <w:t>23</w:t>
      </w:r>
      <w:r w:rsidRPr="00CD7EA8">
        <w:rPr>
          <w:rFonts w:ascii="Book Antiqua" w:hAnsi="Book Antiqua"/>
        </w:rPr>
        <w:t>: 727-732 [PMID: 27996373 DOI: 10.1089/mdr.2016.0264]</w:t>
      </w:r>
    </w:p>
    <w:p w14:paraId="00513F82" w14:textId="77777777" w:rsidR="00034735" w:rsidRPr="00CD7EA8" w:rsidRDefault="00034735" w:rsidP="00CD7EA8">
      <w:pPr>
        <w:spacing w:line="360" w:lineRule="auto"/>
        <w:jc w:val="both"/>
        <w:rPr>
          <w:rFonts w:ascii="Book Antiqua" w:hAnsi="Book Antiqua"/>
        </w:rPr>
      </w:pPr>
      <w:proofErr w:type="gramStart"/>
      <w:r w:rsidRPr="00CD7EA8">
        <w:rPr>
          <w:rFonts w:ascii="Book Antiqua" w:hAnsi="Book Antiqua"/>
        </w:rPr>
        <w:t xml:space="preserve">10 </w:t>
      </w:r>
      <w:proofErr w:type="spellStart"/>
      <w:r w:rsidRPr="00CD7EA8">
        <w:rPr>
          <w:rFonts w:ascii="Book Antiqua" w:hAnsi="Book Antiqua"/>
          <w:b/>
          <w:bCs/>
        </w:rPr>
        <w:t>Liou</w:t>
      </w:r>
      <w:proofErr w:type="spellEnd"/>
      <w:r w:rsidRPr="00CD7EA8">
        <w:rPr>
          <w:rFonts w:ascii="Book Antiqua" w:hAnsi="Book Antiqua"/>
          <w:b/>
          <w:bCs/>
        </w:rPr>
        <w:t xml:space="preserve"> JM</w:t>
      </w:r>
      <w:r w:rsidRPr="00CD7EA8">
        <w:rPr>
          <w:rFonts w:ascii="Book Antiqua" w:hAnsi="Book Antiqua"/>
        </w:rPr>
        <w:t xml:space="preserve">, Chen PY, </w:t>
      </w:r>
      <w:proofErr w:type="spellStart"/>
      <w:r w:rsidRPr="00CD7EA8">
        <w:rPr>
          <w:rFonts w:ascii="Book Antiqua" w:hAnsi="Book Antiqua"/>
        </w:rPr>
        <w:t>Kuo</w:t>
      </w:r>
      <w:proofErr w:type="spellEnd"/>
      <w:r w:rsidRPr="00CD7EA8">
        <w:rPr>
          <w:rFonts w:ascii="Book Antiqua" w:hAnsi="Book Antiqua"/>
        </w:rPr>
        <w:t xml:space="preserve"> YT, Wu MS; Taiwan Gastrointestinal Disease and Helicobacter Consortium.</w:t>
      </w:r>
      <w:proofErr w:type="gramEnd"/>
      <w:r w:rsidRPr="00CD7EA8">
        <w:rPr>
          <w:rFonts w:ascii="Book Antiqua" w:hAnsi="Book Antiqua"/>
        </w:rPr>
        <w:t xml:space="preserve"> </w:t>
      </w:r>
      <w:proofErr w:type="gramStart"/>
      <w:r w:rsidRPr="00CD7EA8">
        <w:rPr>
          <w:rFonts w:ascii="Book Antiqua" w:hAnsi="Book Antiqua"/>
        </w:rPr>
        <w:t>Toward population specific and personalized treatment of Helicobacter pylori infection.</w:t>
      </w:r>
      <w:proofErr w:type="gramEnd"/>
      <w:r w:rsidRPr="00CD7EA8">
        <w:rPr>
          <w:rFonts w:ascii="Book Antiqua" w:hAnsi="Book Antiqua"/>
        </w:rPr>
        <w:t xml:space="preserve"> </w:t>
      </w:r>
      <w:r w:rsidRPr="00CD7EA8">
        <w:rPr>
          <w:rFonts w:ascii="Book Antiqua" w:hAnsi="Book Antiqua"/>
          <w:i/>
          <w:iCs/>
        </w:rPr>
        <w:t xml:space="preserve">J Biomed </w:t>
      </w:r>
      <w:proofErr w:type="spellStart"/>
      <w:r w:rsidRPr="00CD7EA8">
        <w:rPr>
          <w:rFonts w:ascii="Book Antiqua" w:hAnsi="Book Antiqua"/>
          <w:i/>
          <w:iCs/>
        </w:rPr>
        <w:t>Sci</w:t>
      </w:r>
      <w:proofErr w:type="spellEnd"/>
      <w:r w:rsidRPr="00CD7EA8">
        <w:rPr>
          <w:rFonts w:ascii="Book Antiqua" w:hAnsi="Book Antiqua"/>
        </w:rPr>
        <w:t xml:space="preserve"> 2018; </w:t>
      </w:r>
      <w:r w:rsidRPr="00CD7EA8">
        <w:rPr>
          <w:rFonts w:ascii="Book Antiqua" w:hAnsi="Book Antiqua"/>
          <w:b/>
          <w:bCs/>
        </w:rPr>
        <w:t>25</w:t>
      </w:r>
      <w:r w:rsidRPr="00CD7EA8">
        <w:rPr>
          <w:rFonts w:ascii="Book Antiqua" w:hAnsi="Book Antiqua"/>
        </w:rPr>
        <w:t>: 70 [PMID: 30285834 DOI: 10.1186/s12929-018-0471-z]</w:t>
      </w:r>
    </w:p>
    <w:p w14:paraId="47FDFF58"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11 </w:t>
      </w:r>
      <w:proofErr w:type="spellStart"/>
      <w:r w:rsidRPr="00CD7EA8">
        <w:rPr>
          <w:rFonts w:ascii="Book Antiqua" w:hAnsi="Book Antiqua"/>
          <w:b/>
          <w:bCs/>
        </w:rPr>
        <w:t>Gisbert</w:t>
      </w:r>
      <w:proofErr w:type="spellEnd"/>
      <w:r w:rsidRPr="00CD7EA8">
        <w:rPr>
          <w:rFonts w:ascii="Book Antiqua" w:hAnsi="Book Antiqua"/>
          <w:b/>
          <w:bCs/>
        </w:rPr>
        <w:t xml:space="preserve"> JP</w:t>
      </w:r>
      <w:r w:rsidRPr="00CD7EA8">
        <w:rPr>
          <w:rFonts w:ascii="Book Antiqua" w:hAnsi="Book Antiqua"/>
        </w:rPr>
        <w:t xml:space="preserve">, </w:t>
      </w:r>
      <w:proofErr w:type="spellStart"/>
      <w:r w:rsidRPr="00CD7EA8">
        <w:rPr>
          <w:rFonts w:ascii="Book Antiqua" w:hAnsi="Book Antiqua"/>
        </w:rPr>
        <w:t>McNicholl</w:t>
      </w:r>
      <w:proofErr w:type="spellEnd"/>
      <w:r w:rsidRPr="00CD7EA8">
        <w:rPr>
          <w:rFonts w:ascii="Book Antiqua" w:hAnsi="Book Antiqua"/>
        </w:rPr>
        <w:t xml:space="preserve"> AG. Optimization strategies aimed to increase the efficacy of H. pylori eradication therapies. </w:t>
      </w:r>
      <w:r w:rsidRPr="00CD7EA8">
        <w:rPr>
          <w:rFonts w:ascii="Book Antiqua" w:hAnsi="Book Antiqua"/>
          <w:i/>
          <w:iCs/>
        </w:rPr>
        <w:t>Helicobacter</w:t>
      </w:r>
      <w:r w:rsidRPr="00CD7EA8">
        <w:rPr>
          <w:rFonts w:ascii="Book Antiqua" w:hAnsi="Book Antiqua"/>
        </w:rPr>
        <w:t xml:space="preserve"> 2017; </w:t>
      </w:r>
      <w:r w:rsidRPr="00CD7EA8">
        <w:rPr>
          <w:rFonts w:ascii="Book Antiqua" w:hAnsi="Book Antiqua"/>
          <w:b/>
          <w:bCs/>
        </w:rPr>
        <w:t>22</w:t>
      </w:r>
      <w:r w:rsidRPr="00CD7EA8">
        <w:rPr>
          <w:rFonts w:ascii="Book Antiqua" w:hAnsi="Book Antiqua"/>
        </w:rPr>
        <w:t xml:space="preserve"> [PMID: 28464347 DOI: 10.1111/hel.12392]</w:t>
      </w:r>
    </w:p>
    <w:p w14:paraId="7639B7BF"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12 </w:t>
      </w:r>
      <w:proofErr w:type="spellStart"/>
      <w:r w:rsidRPr="00CD7EA8">
        <w:rPr>
          <w:rFonts w:ascii="Book Antiqua" w:hAnsi="Book Antiqua"/>
          <w:b/>
          <w:bCs/>
        </w:rPr>
        <w:t>Zullo</w:t>
      </w:r>
      <w:proofErr w:type="spellEnd"/>
      <w:r w:rsidRPr="00CD7EA8">
        <w:rPr>
          <w:rFonts w:ascii="Book Antiqua" w:hAnsi="Book Antiqua"/>
          <w:b/>
          <w:bCs/>
        </w:rPr>
        <w:t xml:space="preserve"> A</w:t>
      </w:r>
      <w:r w:rsidRPr="00CD7EA8">
        <w:rPr>
          <w:rFonts w:ascii="Book Antiqua" w:hAnsi="Book Antiqua"/>
        </w:rPr>
        <w:t xml:space="preserve">, De Francesco V, Hassan C, </w:t>
      </w:r>
      <w:proofErr w:type="spellStart"/>
      <w:r w:rsidRPr="00CD7EA8">
        <w:rPr>
          <w:rFonts w:ascii="Book Antiqua" w:hAnsi="Book Antiqua"/>
        </w:rPr>
        <w:t>Ridola</w:t>
      </w:r>
      <w:proofErr w:type="spellEnd"/>
      <w:r w:rsidRPr="00CD7EA8">
        <w:rPr>
          <w:rFonts w:ascii="Book Antiqua" w:hAnsi="Book Antiqua"/>
        </w:rPr>
        <w:t xml:space="preserve"> L, </w:t>
      </w:r>
      <w:proofErr w:type="spellStart"/>
      <w:r w:rsidRPr="00CD7EA8">
        <w:rPr>
          <w:rFonts w:ascii="Book Antiqua" w:hAnsi="Book Antiqua"/>
        </w:rPr>
        <w:t>Repici</w:t>
      </w:r>
      <w:proofErr w:type="spellEnd"/>
      <w:r w:rsidRPr="00CD7EA8">
        <w:rPr>
          <w:rFonts w:ascii="Book Antiqua" w:hAnsi="Book Antiqua"/>
        </w:rPr>
        <w:t xml:space="preserve"> A, </w:t>
      </w:r>
      <w:proofErr w:type="spellStart"/>
      <w:r w:rsidRPr="00CD7EA8">
        <w:rPr>
          <w:rFonts w:ascii="Book Antiqua" w:hAnsi="Book Antiqua"/>
        </w:rPr>
        <w:t>Bruzzese</w:t>
      </w:r>
      <w:proofErr w:type="spellEnd"/>
      <w:r w:rsidRPr="00CD7EA8">
        <w:rPr>
          <w:rFonts w:ascii="Book Antiqua" w:hAnsi="Book Antiqua"/>
        </w:rPr>
        <w:t xml:space="preserve"> V, </w:t>
      </w:r>
      <w:proofErr w:type="spellStart"/>
      <w:r w:rsidRPr="00CD7EA8">
        <w:rPr>
          <w:rFonts w:ascii="Book Antiqua" w:hAnsi="Book Antiqua"/>
        </w:rPr>
        <w:t>Vaira</w:t>
      </w:r>
      <w:proofErr w:type="spellEnd"/>
      <w:r w:rsidRPr="00CD7EA8">
        <w:rPr>
          <w:rFonts w:ascii="Book Antiqua" w:hAnsi="Book Antiqua"/>
        </w:rPr>
        <w:t xml:space="preserve"> D. Modified sequential therapy regimens for Helicobacter pylori eradication: a systematic review. </w:t>
      </w:r>
      <w:r w:rsidRPr="00CD7EA8">
        <w:rPr>
          <w:rFonts w:ascii="Book Antiqua" w:hAnsi="Book Antiqua"/>
          <w:i/>
          <w:iCs/>
        </w:rPr>
        <w:t>Dig Liver Dis</w:t>
      </w:r>
      <w:r w:rsidRPr="00CD7EA8">
        <w:rPr>
          <w:rFonts w:ascii="Book Antiqua" w:hAnsi="Book Antiqua"/>
        </w:rPr>
        <w:t xml:space="preserve"> 2013; </w:t>
      </w:r>
      <w:r w:rsidRPr="00CD7EA8">
        <w:rPr>
          <w:rFonts w:ascii="Book Antiqua" w:hAnsi="Book Antiqua"/>
          <w:b/>
          <w:bCs/>
        </w:rPr>
        <w:t>45</w:t>
      </w:r>
      <w:r w:rsidRPr="00CD7EA8">
        <w:rPr>
          <w:rFonts w:ascii="Book Antiqua" w:hAnsi="Book Antiqua"/>
        </w:rPr>
        <w:t>: 18-22 [PMID: 23022424 DOI: 10.1016/j.dld.2012.08.025]</w:t>
      </w:r>
    </w:p>
    <w:p w14:paraId="1F4B0E6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13 </w:t>
      </w:r>
      <w:r w:rsidRPr="00CD7EA8">
        <w:rPr>
          <w:rFonts w:ascii="Book Antiqua" w:hAnsi="Book Antiqua"/>
          <w:b/>
          <w:bCs/>
        </w:rPr>
        <w:t>Sachs G</w:t>
      </w:r>
      <w:r w:rsidRPr="00CD7EA8">
        <w:rPr>
          <w:rFonts w:ascii="Book Antiqua" w:hAnsi="Book Antiqua"/>
        </w:rPr>
        <w:t xml:space="preserve">, Shin JM, Munson K, </w:t>
      </w:r>
      <w:proofErr w:type="spellStart"/>
      <w:r w:rsidRPr="00CD7EA8">
        <w:rPr>
          <w:rFonts w:ascii="Book Antiqua" w:hAnsi="Book Antiqua"/>
        </w:rPr>
        <w:t>Vagin</w:t>
      </w:r>
      <w:proofErr w:type="spellEnd"/>
      <w:r w:rsidRPr="00CD7EA8">
        <w:rPr>
          <w:rFonts w:ascii="Book Antiqua" w:hAnsi="Book Antiqua"/>
        </w:rPr>
        <w:t xml:space="preserve"> O, </w:t>
      </w:r>
      <w:proofErr w:type="spellStart"/>
      <w:r w:rsidRPr="00CD7EA8">
        <w:rPr>
          <w:rFonts w:ascii="Book Antiqua" w:hAnsi="Book Antiqua"/>
        </w:rPr>
        <w:t>Lambrecht</w:t>
      </w:r>
      <w:proofErr w:type="spellEnd"/>
      <w:r w:rsidRPr="00CD7EA8">
        <w:rPr>
          <w:rFonts w:ascii="Book Antiqua" w:hAnsi="Book Antiqua"/>
        </w:rPr>
        <w:t xml:space="preserve"> N, Scott DR, Weeks DL, Melchers K. Review article: the control of gastric acid and Helicobacter pylori eradication. </w:t>
      </w:r>
      <w:r w:rsidRPr="00CD7EA8">
        <w:rPr>
          <w:rFonts w:ascii="Book Antiqua" w:hAnsi="Book Antiqua"/>
          <w:i/>
          <w:iCs/>
        </w:rPr>
        <w:t xml:space="preserve">Aliment </w:t>
      </w:r>
      <w:proofErr w:type="spellStart"/>
      <w:r w:rsidRPr="00CD7EA8">
        <w:rPr>
          <w:rFonts w:ascii="Book Antiqua" w:hAnsi="Book Antiqua"/>
          <w:i/>
          <w:iCs/>
        </w:rPr>
        <w:lastRenderedPageBreak/>
        <w:t>Pharmacol</w:t>
      </w:r>
      <w:proofErr w:type="spellEnd"/>
      <w:r w:rsidRPr="00CD7EA8">
        <w:rPr>
          <w:rFonts w:ascii="Book Antiqua" w:hAnsi="Book Antiqua"/>
          <w:i/>
          <w:iCs/>
        </w:rPr>
        <w:t xml:space="preserve"> </w:t>
      </w:r>
      <w:proofErr w:type="spellStart"/>
      <w:r w:rsidRPr="00CD7EA8">
        <w:rPr>
          <w:rFonts w:ascii="Book Antiqua" w:hAnsi="Book Antiqua"/>
          <w:i/>
          <w:iCs/>
        </w:rPr>
        <w:t>Ther</w:t>
      </w:r>
      <w:proofErr w:type="spellEnd"/>
      <w:r w:rsidRPr="00CD7EA8">
        <w:rPr>
          <w:rFonts w:ascii="Book Antiqua" w:hAnsi="Book Antiqua"/>
        </w:rPr>
        <w:t xml:space="preserve"> 2000; </w:t>
      </w:r>
      <w:r w:rsidRPr="00CD7EA8">
        <w:rPr>
          <w:rFonts w:ascii="Book Antiqua" w:hAnsi="Book Antiqua"/>
          <w:b/>
          <w:bCs/>
        </w:rPr>
        <w:t>14</w:t>
      </w:r>
      <w:r w:rsidRPr="00CD7EA8">
        <w:rPr>
          <w:rFonts w:ascii="Book Antiqua" w:hAnsi="Book Antiqua"/>
        </w:rPr>
        <w:t>: 1383-1401 [PMID: 11069309 DOI: 10.1046/j.1365-2036.2000.00837.x]</w:t>
      </w:r>
    </w:p>
    <w:p w14:paraId="1D73599C"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14 </w:t>
      </w:r>
      <w:r w:rsidRPr="00CD7EA8">
        <w:rPr>
          <w:rFonts w:ascii="Book Antiqua" w:hAnsi="Book Antiqua"/>
          <w:b/>
          <w:bCs/>
        </w:rPr>
        <w:t>Li M</w:t>
      </w:r>
      <w:r w:rsidRPr="00CD7EA8">
        <w:rPr>
          <w:rFonts w:ascii="Book Antiqua" w:hAnsi="Book Antiqua"/>
        </w:rPr>
        <w:t xml:space="preserve">, </w:t>
      </w:r>
      <w:proofErr w:type="spellStart"/>
      <w:r w:rsidRPr="00CD7EA8">
        <w:rPr>
          <w:rFonts w:ascii="Book Antiqua" w:hAnsi="Book Antiqua"/>
        </w:rPr>
        <w:t>Oshima</w:t>
      </w:r>
      <w:proofErr w:type="spellEnd"/>
      <w:r w:rsidRPr="00CD7EA8">
        <w:rPr>
          <w:rFonts w:ascii="Book Antiqua" w:hAnsi="Book Antiqua"/>
        </w:rPr>
        <w:t xml:space="preserve"> T, </w:t>
      </w:r>
      <w:proofErr w:type="spellStart"/>
      <w:r w:rsidRPr="00CD7EA8">
        <w:rPr>
          <w:rFonts w:ascii="Book Antiqua" w:hAnsi="Book Antiqua"/>
        </w:rPr>
        <w:t>Horikawa</w:t>
      </w:r>
      <w:proofErr w:type="spellEnd"/>
      <w:r w:rsidRPr="00CD7EA8">
        <w:rPr>
          <w:rFonts w:ascii="Book Antiqua" w:hAnsi="Book Antiqua"/>
        </w:rPr>
        <w:t xml:space="preserve"> T, </w:t>
      </w:r>
      <w:proofErr w:type="spellStart"/>
      <w:r w:rsidRPr="00CD7EA8">
        <w:rPr>
          <w:rFonts w:ascii="Book Antiqua" w:hAnsi="Book Antiqua"/>
        </w:rPr>
        <w:t>Tozawa</w:t>
      </w:r>
      <w:proofErr w:type="spellEnd"/>
      <w:r w:rsidRPr="00CD7EA8">
        <w:rPr>
          <w:rFonts w:ascii="Book Antiqua" w:hAnsi="Book Antiqua"/>
        </w:rPr>
        <w:t xml:space="preserve"> K, Tomita T, Fukui H, </w:t>
      </w:r>
      <w:proofErr w:type="spellStart"/>
      <w:r w:rsidRPr="00CD7EA8">
        <w:rPr>
          <w:rFonts w:ascii="Book Antiqua" w:hAnsi="Book Antiqua"/>
        </w:rPr>
        <w:t>Watari</w:t>
      </w:r>
      <w:proofErr w:type="spellEnd"/>
      <w:r w:rsidRPr="00CD7EA8">
        <w:rPr>
          <w:rFonts w:ascii="Book Antiqua" w:hAnsi="Book Antiqua"/>
        </w:rPr>
        <w:t xml:space="preserve"> J, Miwa H. Systematic review with meta-analysis: </w:t>
      </w:r>
      <w:proofErr w:type="spellStart"/>
      <w:r w:rsidRPr="00CD7EA8">
        <w:rPr>
          <w:rFonts w:ascii="Book Antiqua" w:hAnsi="Book Antiqua"/>
        </w:rPr>
        <w:t>Vonoprazan</w:t>
      </w:r>
      <w:proofErr w:type="spellEnd"/>
      <w:r w:rsidRPr="00CD7EA8">
        <w:rPr>
          <w:rFonts w:ascii="Book Antiqua" w:hAnsi="Book Antiqua"/>
        </w:rPr>
        <w:t xml:space="preserve">, a potent acid blocker, is superior to proton-pump inhibitors for eradication of clarithromycin-resistant strains of Helicobacter pylori. </w:t>
      </w:r>
      <w:r w:rsidRPr="00CD7EA8">
        <w:rPr>
          <w:rFonts w:ascii="Book Antiqua" w:hAnsi="Book Antiqua"/>
          <w:i/>
          <w:iCs/>
        </w:rPr>
        <w:t>Helicobacter</w:t>
      </w:r>
      <w:r w:rsidRPr="00CD7EA8">
        <w:rPr>
          <w:rFonts w:ascii="Book Antiqua" w:hAnsi="Book Antiqua"/>
        </w:rPr>
        <w:t xml:space="preserve"> 2018; </w:t>
      </w:r>
      <w:r w:rsidRPr="00CD7EA8">
        <w:rPr>
          <w:rFonts w:ascii="Book Antiqua" w:hAnsi="Book Antiqua"/>
          <w:b/>
          <w:bCs/>
        </w:rPr>
        <w:t>23</w:t>
      </w:r>
      <w:r w:rsidRPr="00CD7EA8">
        <w:rPr>
          <w:rFonts w:ascii="Book Antiqua" w:hAnsi="Book Antiqua"/>
        </w:rPr>
        <w:t>: e12495 [PMID: 29873436 DOI: 10.1111/hel.12495]</w:t>
      </w:r>
    </w:p>
    <w:p w14:paraId="6D417C40"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15 </w:t>
      </w:r>
      <w:proofErr w:type="spellStart"/>
      <w:r w:rsidRPr="00CD7EA8">
        <w:rPr>
          <w:rFonts w:ascii="Book Antiqua" w:hAnsi="Book Antiqua"/>
          <w:b/>
          <w:bCs/>
        </w:rPr>
        <w:t>Seddik</w:t>
      </w:r>
      <w:proofErr w:type="spellEnd"/>
      <w:r w:rsidRPr="00CD7EA8">
        <w:rPr>
          <w:rFonts w:ascii="Book Antiqua" w:hAnsi="Book Antiqua"/>
          <w:b/>
          <w:bCs/>
        </w:rPr>
        <w:t xml:space="preserve"> H</w:t>
      </w:r>
      <w:r w:rsidRPr="00CD7EA8">
        <w:rPr>
          <w:rFonts w:ascii="Book Antiqua" w:hAnsi="Book Antiqua"/>
        </w:rPr>
        <w:t xml:space="preserve">, </w:t>
      </w:r>
      <w:proofErr w:type="spellStart"/>
      <w:r w:rsidRPr="00CD7EA8">
        <w:rPr>
          <w:rFonts w:ascii="Book Antiqua" w:hAnsi="Book Antiqua"/>
        </w:rPr>
        <w:t>Boutallaka</w:t>
      </w:r>
      <w:proofErr w:type="spellEnd"/>
      <w:r w:rsidRPr="00CD7EA8">
        <w:rPr>
          <w:rFonts w:ascii="Book Antiqua" w:hAnsi="Book Antiqua"/>
        </w:rPr>
        <w:t xml:space="preserve"> H, </w:t>
      </w:r>
      <w:proofErr w:type="spellStart"/>
      <w:r w:rsidRPr="00CD7EA8">
        <w:rPr>
          <w:rFonts w:ascii="Book Antiqua" w:hAnsi="Book Antiqua"/>
        </w:rPr>
        <w:t>Elkoti</w:t>
      </w:r>
      <w:proofErr w:type="spellEnd"/>
      <w:r w:rsidRPr="00CD7EA8">
        <w:rPr>
          <w:rFonts w:ascii="Book Antiqua" w:hAnsi="Book Antiqua"/>
        </w:rPr>
        <w:t xml:space="preserve"> I, </w:t>
      </w:r>
      <w:proofErr w:type="spellStart"/>
      <w:r w:rsidRPr="00CD7EA8">
        <w:rPr>
          <w:rFonts w:ascii="Book Antiqua" w:hAnsi="Book Antiqua"/>
        </w:rPr>
        <w:t>Nejjari</w:t>
      </w:r>
      <w:proofErr w:type="spellEnd"/>
      <w:r w:rsidRPr="00CD7EA8">
        <w:rPr>
          <w:rFonts w:ascii="Book Antiqua" w:hAnsi="Book Antiqua"/>
        </w:rPr>
        <w:t xml:space="preserve"> F, </w:t>
      </w:r>
      <w:proofErr w:type="spellStart"/>
      <w:r w:rsidRPr="00CD7EA8">
        <w:rPr>
          <w:rFonts w:ascii="Book Antiqua" w:hAnsi="Book Antiqua"/>
        </w:rPr>
        <w:t>Berraida</w:t>
      </w:r>
      <w:proofErr w:type="spellEnd"/>
      <w:r w:rsidRPr="00CD7EA8">
        <w:rPr>
          <w:rFonts w:ascii="Book Antiqua" w:hAnsi="Book Antiqua"/>
        </w:rPr>
        <w:t xml:space="preserve"> R, </w:t>
      </w:r>
      <w:proofErr w:type="spellStart"/>
      <w:r w:rsidRPr="00CD7EA8">
        <w:rPr>
          <w:rFonts w:ascii="Book Antiqua" w:hAnsi="Book Antiqua"/>
        </w:rPr>
        <w:t>Berrag</w:t>
      </w:r>
      <w:proofErr w:type="spellEnd"/>
      <w:r w:rsidRPr="00CD7EA8">
        <w:rPr>
          <w:rFonts w:ascii="Book Antiqua" w:hAnsi="Book Antiqua"/>
        </w:rPr>
        <w:t xml:space="preserve"> S, </w:t>
      </w:r>
      <w:proofErr w:type="spellStart"/>
      <w:r w:rsidRPr="00CD7EA8">
        <w:rPr>
          <w:rFonts w:ascii="Book Antiqua" w:hAnsi="Book Antiqua"/>
        </w:rPr>
        <w:t>Loubaris</w:t>
      </w:r>
      <w:proofErr w:type="spellEnd"/>
      <w:r w:rsidRPr="00CD7EA8">
        <w:rPr>
          <w:rFonts w:ascii="Book Antiqua" w:hAnsi="Book Antiqua"/>
        </w:rPr>
        <w:t xml:space="preserve"> K, </w:t>
      </w:r>
      <w:proofErr w:type="spellStart"/>
      <w:r w:rsidRPr="00CD7EA8">
        <w:rPr>
          <w:rFonts w:ascii="Book Antiqua" w:hAnsi="Book Antiqua"/>
        </w:rPr>
        <w:t>Sentissi</w:t>
      </w:r>
      <w:proofErr w:type="spellEnd"/>
      <w:r w:rsidRPr="00CD7EA8">
        <w:rPr>
          <w:rFonts w:ascii="Book Antiqua" w:hAnsi="Book Antiqua"/>
        </w:rPr>
        <w:t xml:space="preserve"> S, </w:t>
      </w:r>
      <w:proofErr w:type="spellStart"/>
      <w:r w:rsidRPr="00CD7EA8">
        <w:rPr>
          <w:rFonts w:ascii="Book Antiqua" w:hAnsi="Book Antiqua"/>
        </w:rPr>
        <w:t>Benkirane</w:t>
      </w:r>
      <w:proofErr w:type="spellEnd"/>
      <w:r w:rsidRPr="00CD7EA8">
        <w:rPr>
          <w:rFonts w:ascii="Book Antiqua" w:hAnsi="Book Antiqua"/>
        </w:rPr>
        <w:t xml:space="preserve"> A. Saccharomyces </w:t>
      </w:r>
      <w:proofErr w:type="spellStart"/>
      <w:r w:rsidRPr="00CD7EA8">
        <w:rPr>
          <w:rFonts w:ascii="Book Antiqua" w:hAnsi="Book Antiqua"/>
        </w:rPr>
        <w:t>boulardii</w:t>
      </w:r>
      <w:proofErr w:type="spellEnd"/>
      <w:r w:rsidRPr="00CD7EA8">
        <w:rPr>
          <w:rFonts w:ascii="Book Antiqua" w:hAnsi="Book Antiqua"/>
        </w:rPr>
        <w:t xml:space="preserve"> CNCM I-745 plus sequential therapy for Helicobacter pylori infections: a randomized, open-label trial. </w:t>
      </w:r>
      <w:proofErr w:type="spellStart"/>
      <w:r w:rsidRPr="00CD7EA8">
        <w:rPr>
          <w:rFonts w:ascii="Book Antiqua" w:hAnsi="Book Antiqua"/>
          <w:i/>
          <w:iCs/>
        </w:rPr>
        <w:t>Eur</w:t>
      </w:r>
      <w:proofErr w:type="spellEnd"/>
      <w:r w:rsidRPr="00CD7EA8">
        <w:rPr>
          <w:rFonts w:ascii="Book Antiqua" w:hAnsi="Book Antiqua"/>
          <w:i/>
          <w:iCs/>
        </w:rPr>
        <w:t xml:space="preserve"> J </w:t>
      </w:r>
      <w:proofErr w:type="spellStart"/>
      <w:r w:rsidRPr="00CD7EA8">
        <w:rPr>
          <w:rFonts w:ascii="Book Antiqua" w:hAnsi="Book Antiqua"/>
          <w:i/>
          <w:iCs/>
        </w:rPr>
        <w:t>Clin</w:t>
      </w:r>
      <w:proofErr w:type="spellEnd"/>
      <w:r w:rsidRPr="00CD7EA8">
        <w:rPr>
          <w:rFonts w:ascii="Book Antiqua" w:hAnsi="Book Antiqua"/>
          <w:i/>
          <w:iCs/>
        </w:rPr>
        <w:t xml:space="preserve"> </w:t>
      </w:r>
      <w:proofErr w:type="spellStart"/>
      <w:r w:rsidRPr="00CD7EA8">
        <w:rPr>
          <w:rFonts w:ascii="Book Antiqua" w:hAnsi="Book Antiqua"/>
          <w:i/>
          <w:iCs/>
        </w:rPr>
        <w:t>Pharmacol</w:t>
      </w:r>
      <w:proofErr w:type="spellEnd"/>
      <w:r w:rsidRPr="00CD7EA8">
        <w:rPr>
          <w:rFonts w:ascii="Book Antiqua" w:hAnsi="Book Antiqua"/>
        </w:rPr>
        <w:t xml:space="preserve"> 2019; </w:t>
      </w:r>
      <w:r w:rsidRPr="00CD7EA8">
        <w:rPr>
          <w:rFonts w:ascii="Book Antiqua" w:hAnsi="Book Antiqua"/>
          <w:b/>
          <w:bCs/>
        </w:rPr>
        <w:t>75</w:t>
      </w:r>
      <w:r w:rsidRPr="00CD7EA8">
        <w:rPr>
          <w:rFonts w:ascii="Book Antiqua" w:hAnsi="Book Antiqua"/>
        </w:rPr>
        <w:t>: 639-645 [PMID: 30694338 DOI: 10.1007/s00228-019-02625-0]</w:t>
      </w:r>
    </w:p>
    <w:p w14:paraId="0448A781"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16 </w:t>
      </w:r>
      <w:r w:rsidRPr="00CD7EA8">
        <w:rPr>
          <w:rFonts w:ascii="Book Antiqua" w:hAnsi="Book Antiqua"/>
          <w:b/>
          <w:bCs/>
        </w:rPr>
        <w:t xml:space="preserve">Miner P </w:t>
      </w:r>
      <w:proofErr w:type="spellStart"/>
      <w:r w:rsidRPr="00CD7EA8">
        <w:rPr>
          <w:rFonts w:ascii="Book Antiqua" w:hAnsi="Book Antiqua"/>
          <w:b/>
          <w:bCs/>
        </w:rPr>
        <w:t>Jr</w:t>
      </w:r>
      <w:proofErr w:type="spellEnd"/>
      <w:r w:rsidRPr="00CD7EA8">
        <w:rPr>
          <w:rFonts w:ascii="Book Antiqua" w:hAnsi="Book Antiqua"/>
        </w:rPr>
        <w:t xml:space="preserve">, Katz PO, Chen Y, </w:t>
      </w:r>
      <w:proofErr w:type="spellStart"/>
      <w:r w:rsidRPr="00CD7EA8">
        <w:rPr>
          <w:rFonts w:ascii="Book Antiqua" w:hAnsi="Book Antiqua"/>
        </w:rPr>
        <w:t>Sostek</w:t>
      </w:r>
      <w:proofErr w:type="spellEnd"/>
      <w:r w:rsidRPr="00CD7EA8">
        <w:rPr>
          <w:rFonts w:ascii="Book Antiqua" w:hAnsi="Book Antiqua"/>
        </w:rPr>
        <w:t xml:space="preserve"> M. Gastric acid control with esomeprazole, </w:t>
      </w:r>
      <w:proofErr w:type="spellStart"/>
      <w:r w:rsidRPr="00CD7EA8">
        <w:rPr>
          <w:rFonts w:ascii="Book Antiqua" w:hAnsi="Book Antiqua"/>
        </w:rPr>
        <w:t>lansoprazole</w:t>
      </w:r>
      <w:proofErr w:type="spellEnd"/>
      <w:r w:rsidRPr="00CD7EA8">
        <w:rPr>
          <w:rFonts w:ascii="Book Antiqua" w:hAnsi="Book Antiqua"/>
        </w:rPr>
        <w:t xml:space="preserve">, omeprazole, pantoprazole, and </w:t>
      </w:r>
      <w:proofErr w:type="spellStart"/>
      <w:r w:rsidRPr="00CD7EA8">
        <w:rPr>
          <w:rFonts w:ascii="Book Antiqua" w:hAnsi="Book Antiqua"/>
        </w:rPr>
        <w:t>rabeprazole</w:t>
      </w:r>
      <w:proofErr w:type="spellEnd"/>
      <w:r w:rsidRPr="00CD7EA8">
        <w:rPr>
          <w:rFonts w:ascii="Book Antiqua" w:hAnsi="Book Antiqua"/>
        </w:rPr>
        <w:t xml:space="preserve">: a five-way crossover study. </w:t>
      </w:r>
      <w:r w:rsidRPr="00CD7EA8">
        <w:rPr>
          <w:rFonts w:ascii="Book Antiqua" w:hAnsi="Book Antiqua"/>
          <w:i/>
          <w:iCs/>
        </w:rPr>
        <w:t xml:space="preserve">Am J </w:t>
      </w:r>
      <w:proofErr w:type="spellStart"/>
      <w:r w:rsidRPr="00CD7EA8">
        <w:rPr>
          <w:rFonts w:ascii="Book Antiqua" w:hAnsi="Book Antiqua"/>
          <w:i/>
          <w:iCs/>
        </w:rPr>
        <w:t>Gastroenterol</w:t>
      </w:r>
      <w:proofErr w:type="spellEnd"/>
      <w:r w:rsidRPr="00CD7EA8">
        <w:rPr>
          <w:rFonts w:ascii="Book Antiqua" w:hAnsi="Book Antiqua"/>
        </w:rPr>
        <w:t xml:space="preserve"> 2003; </w:t>
      </w:r>
      <w:r w:rsidRPr="00CD7EA8">
        <w:rPr>
          <w:rFonts w:ascii="Book Antiqua" w:hAnsi="Book Antiqua"/>
          <w:b/>
          <w:bCs/>
        </w:rPr>
        <w:t>98</w:t>
      </w:r>
      <w:r w:rsidRPr="00CD7EA8">
        <w:rPr>
          <w:rFonts w:ascii="Book Antiqua" w:hAnsi="Book Antiqua"/>
        </w:rPr>
        <w:t>: 2616-2620 [PMID: 14687806 DOI: 10.1111/j.1572-0241.2003.08783.x]</w:t>
      </w:r>
    </w:p>
    <w:p w14:paraId="724EA3E7" w14:textId="77777777" w:rsidR="00034735" w:rsidRPr="00CD7EA8" w:rsidRDefault="00034735" w:rsidP="00CD7EA8">
      <w:pPr>
        <w:spacing w:line="360" w:lineRule="auto"/>
        <w:jc w:val="both"/>
        <w:rPr>
          <w:rFonts w:ascii="Book Antiqua" w:hAnsi="Book Antiqua"/>
        </w:rPr>
      </w:pPr>
      <w:proofErr w:type="gramStart"/>
      <w:r w:rsidRPr="00CD7EA8">
        <w:rPr>
          <w:rFonts w:ascii="Book Antiqua" w:hAnsi="Book Antiqua"/>
        </w:rPr>
        <w:t xml:space="preserve">17 </w:t>
      </w:r>
      <w:proofErr w:type="spellStart"/>
      <w:r w:rsidRPr="00CD7EA8">
        <w:rPr>
          <w:rFonts w:ascii="Book Antiqua" w:hAnsi="Book Antiqua"/>
          <w:b/>
          <w:bCs/>
        </w:rPr>
        <w:t>Misiewicz</w:t>
      </w:r>
      <w:proofErr w:type="spellEnd"/>
      <w:r w:rsidRPr="00CD7EA8">
        <w:rPr>
          <w:rFonts w:ascii="Book Antiqua" w:hAnsi="Book Antiqua"/>
          <w:b/>
          <w:bCs/>
        </w:rPr>
        <w:t xml:space="preserve"> JJ</w:t>
      </w:r>
      <w:r w:rsidRPr="00CD7EA8">
        <w:rPr>
          <w:rFonts w:ascii="Book Antiqua" w:hAnsi="Book Antiqua"/>
        </w:rPr>
        <w:t>.</w:t>
      </w:r>
      <w:proofErr w:type="gramEnd"/>
      <w:r w:rsidRPr="00CD7EA8">
        <w:rPr>
          <w:rFonts w:ascii="Book Antiqua" w:hAnsi="Book Antiqua"/>
        </w:rPr>
        <w:t xml:space="preserve"> The Sydney System: a new classification of gastritis. </w:t>
      </w:r>
      <w:proofErr w:type="gramStart"/>
      <w:r w:rsidRPr="00CD7EA8">
        <w:rPr>
          <w:rFonts w:ascii="Book Antiqua" w:hAnsi="Book Antiqua"/>
        </w:rPr>
        <w:t>Introduction.</w:t>
      </w:r>
      <w:proofErr w:type="gramEnd"/>
      <w:r w:rsidRPr="00CD7EA8">
        <w:rPr>
          <w:rFonts w:ascii="Book Antiqua" w:hAnsi="Book Antiqua"/>
        </w:rPr>
        <w:t xml:space="preserve"> </w:t>
      </w:r>
      <w:r w:rsidRPr="00CD7EA8">
        <w:rPr>
          <w:rFonts w:ascii="Book Antiqua" w:hAnsi="Book Antiqua"/>
          <w:i/>
          <w:iCs/>
        </w:rPr>
        <w:t xml:space="preserve">J </w:t>
      </w:r>
      <w:proofErr w:type="spellStart"/>
      <w:r w:rsidRPr="00CD7EA8">
        <w:rPr>
          <w:rFonts w:ascii="Book Antiqua" w:hAnsi="Book Antiqua"/>
          <w:i/>
          <w:iCs/>
        </w:rPr>
        <w:t>Gastroenterol</w:t>
      </w:r>
      <w:proofErr w:type="spellEnd"/>
      <w:r w:rsidRPr="00CD7EA8">
        <w:rPr>
          <w:rFonts w:ascii="Book Antiqua" w:hAnsi="Book Antiqua"/>
          <w:i/>
          <w:iCs/>
        </w:rPr>
        <w:t xml:space="preserve"> </w:t>
      </w:r>
      <w:proofErr w:type="spellStart"/>
      <w:r w:rsidRPr="00CD7EA8">
        <w:rPr>
          <w:rFonts w:ascii="Book Antiqua" w:hAnsi="Book Antiqua"/>
          <w:i/>
          <w:iCs/>
        </w:rPr>
        <w:t>Hepatol</w:t>
      </w:r>
      <w:proofErr w:type="spellEnd"/>
      <w:r w:rsidRPr="00CD7EA8">
        <w:rPr>
          <w:rFonts w:ascii="Book Antiqua" w:hAnsi="Book Antiqua"/>
        </w:rPr>
        <w:t xml:space="preserve"> 1991; </w:t>
      </w:r>
      <w:r w:rsidRPr="00CD7EA8">
        <w:rPr>
          <w:rFonts w:ascii="Book Antiqua" w:hAnsi="Book Antiqua"/>
          <w:b/>
          <w:bCs/>
        </w:rPr>
        <w:t>6</w:t>
      </w:r>
      <w:r w:rsidRPr="00CD7EA8">
        <w:rPr>
          <w:rFonts w:ascii="Book Antiqua" w:hAnsi="Book Antiqua"/>
        </w:rPr>
        <w:t>: 207-208 [PMID: 1912430 DOI: 10.1111/j.1440-1746.1991.tb01467.x]</w:t>
      </w:r>
    </w:p>
    <w:p w14:paraId="4DF2BCEB"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18 </w:t>
      </w:r>
      <w:r w:rsidRPr="00CD7EA8">
        <w:rPr>
          <w:rFonts w:ascii="Book Antiqua" w:hAnsi="Book Antiqua"/>
          <w:b/>
          <w:bCs/>
        </w:rPr>
        <w:t>Wang Y</w:t>
      </w:r>
      <w:r w:rsidRPr="00CD7EA8">
        <w:rPr>
          <w:rFonts w:ascii="Book Antiqua" w:hAnsi="Book Antiqua"/>
        </w:rPr>
        <w:t>, Zhao R, Wang B, Zhao Q, Li Z, Zhu-</w:t>
      </w:r>
      <w:proofErr w:type="spellStart"/>
      <w:r w:rsidRPr="00CD7EA8">
        <w:rPr>
          <w:rFonts w:ascii="Book Antiqua" w:hAnsi="Book Antiqua"/>
        </w:rPr>
        <w:t>Ge</w:t>
      </w:r>
      <w:proofErr w:type="spellEnd"/>
      <w:r w:rsidRPr="00CD7EA8">
        <w:rPr>
          <w:rFonts w:ascii="Book Antiqua" w:hAnsi="Book Antiqua"/>
        </w:rPr>
        <w:t xml:space="preserve"> L, Yin W, </w:t>
      </w:r>
      <w:proofErr w:type="spellStart"/>
      <w:r w:rsidRPr="00CD7EA8">
        <w:rPr>
          <w:rFonts w:ascii="Book Antiqua" w:hAnsi="Book Antiqua"/>
        </w:rPr>
        <w:t>Xie</w:t>
      </w:r>
      <w:proofErr w:type="spellEnd"/>
      <w:r w:rsidRPr="00CD7EA8">
        <w:rPr>
          <w:rFonts w:ascii="Book Antiqua" w:hAnsi="Book Antiqua"/>
        </w:rPr>
        <w:t xml:space="preserve"> Y. Sequential versus concomitant therapy for treatment of Helicobacter pylori infection: an updated systematic review and meta-analysis. </w:t>
      </w:r>
      <w:proofErr w:type="spellStart"/>
      <w:r w:rsidRPr="00CD7EA8">
        <w:rPr>
          <w:rFonts w:ascii="Book Antiqua" w:hAnsi="Book Antiqua"/>
          <w:i/>
          <w:iCs/>
        </w:rPr>
        <w:t>Eur</w:t>
      </w:r>
      <w:proofErr w:type="spellEnd"/>
      <w:r w:rsidRPr="00CD7EA8">
        <w:rPr>
          <w:rFonts w:ascii="Book Antiqua" w:hAnsi="Book Antiqua"/>
          <w:i/>
          <w:iCs/>
        </w:rPr>
        <w:t xml:space="preserve"> J </w:t>
      </w:r>
      <w:proofErr w:type="spellStart"/>
      <w:r w:rsidRPr="00CD7EA8">
        <w:rPr>
          <w:rFonts w:ascii="Book Antiqua" w:hAnsi="Book Antiqua"/>
          <w:i/>
          <w:iCs/>
        </w:rPr>
        <w:t>Clin</w:t>
      </w:r>
      <w:proofErr w:type="spellEnd"/>
      <w:r w:rsidRPr="00CD7EA8">
        <w:rPr>
          <w:rFonts w:ascii="Book Antiqua" w:hAnsi="Book Antiqua"/>
          <w:i/>
          <w:iCs/>
        </w:rPr>
        <w:t xml:space="preserve"> </w:t>
      </w:r>
      <w:proofErr w:type="spellStart"/>
      <w:r w:rsidRPr="00CD7EA8">
        <w:rPr>
          <w:rFonts w:ascii="Book Antiqua" w:hAnsi="Book Antiqua"/>
          <w:i/>
          <w:iCs/>
        </w:rPr>
        <w:t>Pharmacol</w:t>
      </w:r>
      <w:proofErr w:type="spellEnd"/>
      <w:r w:rsidRPr="00CD7EA8">
        <w:rPr>
          <w:rFonts w:ascii="Book Antiqua" w:hAnsi="Book Antiqua"/>
        </w:rPr>
        <w:t xml:space="preserve"> 2018; </w:t>
      </w:r>
      <w:r w:rsidRPr="00CD7EA8">
        <w:rPr>
          <w:rFonts w:ascii="Book Antiqua" w:hAnsi="Book Antiqua"/>
          <w:b/>
          <w:bCs/>
        </w:rPr>
        <w:t>74</w:t>
      </w:r>
      <w:r w:rsidRPr="00CD7EA8">
        <w:rPr>
          <w:rFonts w:ascii="Book Antiqua" w:hAnsi="Book Antiqua"/>
        </w:rPr>
        <w:t>: 1-13 [PMID: 28990120 DOI: 10.1007/s00228-017-2347-7]</w:t>
      </w:r>
    </w:p>
    <w:p w14:paraId="744661B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19 </w:t>
      </w:r>
      <w:r w:rsidRPr="00CD7EA8">
        <w:rPr>
          <w:rFonts w:ascii="Book Antiqua" w:hAnsi="Book Antiqua"/>
          <w:b/>
          <w:bCs/>
        </w:rPr>
        <w:t>Flores-</w:t>
      </w:r>
      <w:proofErr w:type="spellStart"/>
      <w:r w:rsidRPr="00CD7EA8">
        <w:rPr>
          <w:rFonts w:ascii="Book Antiqua" w:hAnsi="Book Antiqua"/>
          <w:b/>
          <w:bCs/>
        </w:rPr>
        <w:t>Treviño</w:t>
      </w:r>
      <w:proofErr w:type="spellEnd"/>
      <w:r w:rsidRPr="00CD7EA8">
        <w:rPr>
          <w:rFonts w:ascii="Book Antiqua" w:hAnsi="Book Antiqua"/>
          <w:b/>
          <w:bCs/>
        </w:rPr>
        <w:t xml:space="preserve"> S</w:t>
      </w:r>
      <w:r w:rsidRPr="00CD7EA8">
        <w:rPr>
          <w:rFonts w:ascii="Book Antiqua" w:hAnsi="Book Antiqua"/>
        </w:rPr>
        <w:t>, Mendoza-</w:t>
      </w:r>
      <w:proofErr w:type="spellStart"/>
      <w:r w:rsidRPr="00CD7EA8">
        <w:rPr>
          <w:rFonts w:ascii="Book Antiqua" w:hAnsi="Book Antiqua"/>
        </w:rPr>
        <w:t>Olazarán</w:t>
      </w:r>
      <w:proofErr w:type="spellEnd"/>
      <w:r w:rsidRPr="00CD7EA8">
        <w:rPr>
          <w:rFonts w:ascii="Book Antiqua" w:hAnsi="Book Antiqua"/>
        </w:rPr>
        <w:t xml:space="preserve"> S, </w:t>
      </w:r>
      <w:proofErr w:type="spellStart"/>
      <w:r w:rsidRPr="00CD7EA8">
        <w:rPr>
          <w:rFonts w:ascii="Book Antiqua" w:hAnsi="Book Antiqua"/>
        </w:rPr>
        <w:t>Bocanegra-Ibarias</w:t>
      </w:r>
      <w:proofErr w:type="spellEnd"/>
      <w:r w:rsidRPr="00CD7EA8">
        <w:rPr>
          <w:rFonts w:ascii="Book Antiqua" w:hAnsi="Book Antiqua"/>
        </w:rPr>
        <w:t xml:space="preserve"> P, Maldonado-Garza HJ, Garza-González E. Helicobacter pylori drug resistance: therapy changes and challenges. </w:t>
      </w:r>
      <w:r w:rsidRPr="00CD7EA8">
        <w:rPr>
          <w:rFonts w:ascii="Book Antiqua" w:hAnsi="Book Antiqua"/>
          <w:i/>
          <w:iCs/>
        </w:rPr>
        <w:t xml:space="preserve">Expert Rev </w:t>
      </w:r>
      <w:proofErr w:type="spellStart"/>
      <w:r w:rsidRPr="00CD7EA8">
        <w:rPr>
          <w:rFonts w:ascii="Book Antiqua" w:hAnsi="Book Antiqua"/>
          <w:i/>
          <w:iCs/>
        </w:rPr>
        <w:t>Gastroenterol</w:t>
      </w:r>
      <w:proofErr w:type="spellEnd"/>
      <w:r w:rsidRPr="00CD7EA8">
        <w:rPr>
          <w:rFonts w:ascii="Book Antiqua" w:hAnsi="Book Antiqua"/>
          <w:i/>
          <w:iCs/>
        </w:rPr>
        <w:t xml:space="preserve"> </w:t>
      </w:r>
      <w:proofErr w:type="spellStart"/>
      <w:r w:rsidRPr="00CD7EA8">
        <w:rPr>
          <w:rFonts w:ascii="Book Antiqua" w:hAnsi="Book Antiqua"/>
          <w:i/>
          <w:iCs/>
        </w:rPr>
        <w:t>Hepatol</w:t>
      </w:r>
      <w:proofErr w:type="spellEnd"/>
      <w:r w:rsidRPr="00CD7EA8">
        <w:rPr>
          <w:rFonts w:ascii="Book Antiqua" w:hAnsi="Book Antiqua"/>
        </w:rPr>
        <w:t xml:space="preserve"> 2018; </w:t>
      </w:r>
      <w:r w:rsidRPr="00CD7EA8">
        <w:rPr>
          <w:rFonts w:ascii="Book Antiqua" w:hAnsi="Book Antiqua"/>
          <w:b/>
          <w:bCs/>
        </w:rPr>
        <w:t>12</w:t>
      </w:r>
      <w:r w:rsidRPr="00CD7EA8">
        <w:rPr>
          <w:rFonts w:ascii="Book Antiqua" w:hAnsi="Book Antiqua"/>
        </w:rPr>
        <w:t>: 819-827 [PMID: 29976092 DOI: 10.1080/17474124.2018.1496017]</w:t>
      </w:r>
    </w:p>
    <w:p w14:paraId="4B1F2A87"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20 </w:t>
      </w:r>
      <w:proofErr w:type="gramStart"/>
      <w:r w:rsidRPr="00CD7EA8">
        <w:rPr>
          <w:rFonts w:ascii="Book Antiqua" w:hAnsi="Book Antiqua"/>
          <w:b/>
          <w:bCs/>
        </w:rPr>
        <w:t>Yang</w:t>
      </w:r>
      <w:proofErr w:type="gramEnd"/>
      <w:r w:rsidRPr="00CD7EA8">
        <w:rPr>
          <w:rFonts w:ascii="Book Antiqua" w:hAnsi="Book Antiqua"/>
          <w:b/>
          <w:bCs/>
        </w:rPr>
        <w:t xml:space="preserve"> JC</w:t>
      </w:r>
      <w:r w:rsidRPr="00CD7EA8">
        <w:rPr>
          <w:rFonts w:ascii="Book Antiqua" w:hAnsi="Book Antiqua"/>
        </w:rPr>
        <w:t xml:space="preserve">, Lu CW, Lin CJ. Treatment of Helicobacter pylori infection: current status and future concepts. </w:t>
      </w:r>
      <w:r w:rsidRPr="00CD7EA8">
        <w:rPr>
          <w:rFonts w:ascii="Book Antiqua" w:hAnsi="Book Antiqua"/>
          <w:i/>
          <w:iCs/>
        </w:rPr>
        <w:t xml:space="preserve">World J </w:t>
      </w:r>
      <w:proofErr w:type="spellStart"/>
      <w:r w:rsidRPr="00CD7EA8">
        <w:rPr>
          <w:rFonts w:ascii="Book Antiqua" w:hAnsi="Book Antiqua"/>
          <w:i/>
          <w:iCs/>
        </w:rPr>
        <w:t>Gastroenterol</w:t>
      </w:r>
      <w:proofErr w:type="spellEnd"/>
      <w:r w:rsidRPr="00CD7EA8">
        <w:rPr>
          <w:rFonts w:ascii="Book Antiqua" w:hAnsi="Book Antiqua"/>
        </w:rPr>
        <w:t xml:space="preserve"> 2014; </w:t>
      </w:r>
      <w:r w:rsidRPr="00CD7EA8">
        <w:rPr>
          <w:rFonts w:ascii="Book Antiqua" w:hAnsi="Book Antiqua"/>
          <w:b/>
          <w:bCs/>
        </w:rPr>
        <w:t>20</w:t>
      </w:r>
      <w:r w:rsidRPr="00CD7EA8">
        <w:rPr>
          <w:rFonts w:ascii="Book Antiqua" w:hAnsi="Book Antiqua"/>
        </w:rPr>
        <w:t>: 5283-5293 [PMID: 24833858 DOI: 10.3748/wjg.v20.i18.5283]</w:t>
      </w:r>
    </w:p>
    <w:p w14:paraId="05AF6BDE"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21 </w:t>
      </w:r>
      <w:proofErr w:type="spellStart"/>
      <w:r w:rsidRPr="00CD7EA8">
        <w:rPr>
          <w:rFonts w:ascii="Book Antiqua" w:hAnsi="Book Antiqua"/>
          <w:b/>
          <w:bCs/>
        </w:rPr>
        <w:t>Georgopoulos</w:t>
      </w:r>
      <w:proofErr w:type="spellEnd"/>
      <w:r w:rsidRPr="00CD7EA8">
        <w:rPr>
          <w:rFonts w:ascii="Book Antiqua" w:hAnsi="Book Antiqua"/>
          <w:b/>
          <w:bCs/>
        </w:rPr>
        <w:t xml:space="preserve"> SD</w:t>
      </w:r>
      <w:r w:rsidRPr="00CD7EA8">
        <w:rPr>
          <w:rFonts w:ascii="Book Antiqua" w:hAnsi="Book Antiqua"/>
        </w:rPr>
        <w:t xml:space="preserve">, </w:t>
      </w:r>
      <w:proofErr w:type="spellStart"/>
      <w:r w:rsidRPr="00CD7EA8">
        <w:rPr>
          <w:rFonts w:ascii="Book Antiqua" w:hAnsi="Book Antiqua"/>
        </w:rPr>
        <w:t>Papastergiou</w:t>
      </w:r>
      <w:proofErr w:type="spellEnd"/>
      <w:r w:rsidRPr="00CD7EA8">
        <w:rPr>
          <w:rFonts w:ascii="Book Antiqua" w:hAnsi="Book Antiqua"/>
        </w:rPr>
        <w:t xml:space="preserve"> V, </w:t>
      </w:r>
      <w:proofErr w:type="spellStart"/>
      <w:r w:rsidRPr="00CD7EA8">
        <w:rPr>
          <w:rFonts w:ascii="Book Antiqua" w:hAnsi="Book Antiqua"/>
        </w:rPr>
        <w:t>Karatapanis</w:t>
      </w:r>
      <w:proofErr w:type="spellEnd"/>
      <w:r w:rsidRPr="00CD7EA8">
        <w:rPr>
          <w:rFonts w:ascii="Book Antiqua" w:hAnsi="Book Antiqua"/>
        </w:rPr>
        <w:t xml:space="preserve"> S. Treatment of Helicobacter Pylori infection: optimization strategies in a high resistance era. </w:t>
      </w:r>
      <w:r w:rsidRPr="00CD7EA8">
        <w:rPr>
          <w:rFonts w:ascii="Book Antiqua" w:hAnsi="Book Antiqua"/>
          <w:i/>
          <w:iCs/>
        </w:rPr>
        <w:t xml:space="preserve">Expert </w:t>
      </w:r>
      <w:proofErr w:type="spellStart"/>
      <w:r w:rsidRPr="00CD7EA8">
        <w:rPr>
          <w:rFonts w:ascii="Book Antiqua" w:hAnsi="Book Antiqua"/>
          <w:i/>
          <w:iCs/>
        </w:rPr>
        <w:t>Opin</w:t>
      </w:r>
      <w:proofErr w:type="spellEnd"/>
      <w:r w:rsidRPr="00CD7EA8">
        <w:rPr>
          <w:rFonts w:ascii="Book Antiqua" w:hAnsi="Book Antiqua"/>
          <w:i/>
          <w:iCs/>
        </w:rPr>
        <w:t xml:space="preserve"> </w:t>
      </w:r>
      <w:proofErr w:type="spellStart"/>
      <w:r w:rsidRPr="00CD7EA8">
        <w:rPr>
          <w:rFonts w:ascii="Book Antiqua" w:hAnsi="Book Antiqua"/>
          <w:i/>
          <w:iCs/>
        </w:rPr>
        <w:t>Pharmacother</w:t>
      </w:r>
      <w:proofErr w:type="spellEnd"/>
      <w:r w:rsidRPr="00CD7EA8">
        <w:rPr>
          <w:rFonts w:ascii="Book Antiqua" w:hAnsi="Book Antiqua"/>
        </w:rPr>
        <w:t xml:space="preserve"> 2015; </w:t>
      </w:r>
      <w:r w:rsidRPr="00CD7EA8">
        <w:rPr>
          <w:rFonts w:ascii="Book Antiqua" w:hAnsi="Book Antiqua"/>
          <w:b/>
          <w:bCs/>
        </w:rPr>
        <w:t>16</w:t>
      </w:r>
      <w:r w:rsidRPr="00CD7EA8">
        <w:rPr>
          <w:rFonts w:ascii="Book Antiqua" w:hAnsi="Book Antiqua"/>
        </w:rPr>
        <w:t>: 2307-2317 [PMID: 26330278 DOI: 10.1517/14656566.2015.1084503]</w:t>
      </w:r>
    </w:p>
    <w:p w14:paraId="35C9C990"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22 </w:t>
      </w:r>
      <w:r w:rsidRPr="00CD7EA8">
        <w:rPr>
          <w:rFonts w:ascii="Book Antiqua" w:hAnsi="Book Antiqua"/>
          <w:b/>
          <w:bCs/>
        </w:rPr>
        <w:t>Liao XM</w:t>
      </w:r>
      <w:r w:rsidRPr="00CD7EA8">
        <w:rPr>
          <w:rFonts w:ascii="Book Antiqua" w:hAnsi="Book Antiqua"/>
        </w:rPr>
        <w:t xml:space="preserve">, </w:t>
      </w:r>
      <w:proofErr w:type="spellStart"/>
      <w:r w:rsidRPr="00CD7EA8">
        <w:rPr>
          <w:rFonts w:ascii="Book Antiqua" w:hAnsi="Book Antiqua"/>
        </w:rPr>
        <w:t>Nong</w:t>
      </w:r>
      <w:proofErr w:type="spellEnd"/>
      <w:r w:rsidRPr="00CD7EA8">
        <w:rPr>
          <w:rFonts w:ascii="Book Antiqua" w:hAnsi="Book Antiqua"/>
        </w:rPr>
        <w:t xml:space="preserve"> GH, Chen MZ, Huang XP, Cong YY, Huang YY, Wu BH, Wei JQ. Modified sequential therapy </w:t>
      </w:r>
      <w:proofErr w:type="spellStart"/>
      <w:r w:rsidRPr="00CD7EA8">
        <w:rPr>
          <w:rFonts w:ascii="Book Antiqua" w:hAnsi="Book Antiqua"/>
        </w:rPr>
        <w:t>vs</w:t>
      </w:r>
      <w:proofErr w:type="spellEnd"/>
      <w:r w:rsidRPr="00CD7EA8">
        <w:rPr>
          <w:rFonts w:ascii="Book Antiqua" w:hAnsi="Book Antiqua"/>
        </w:rPr>
        <w:t xml:space="preserve"> quadruple therapy as initial therapy in patients with Helicobacter infection. </w:t>
      </w:r>
      <w:r w:rsidRPr="00CD7EA8">
        <w:rPr>
          <w:rFonts w:ascii="Book Antiqua" w:hAnsi="Book Antiqua"/>
          <w:i/>
          <w:iCs/>
        </w:rPr>
        <w:t xml:space="preserve">World J </w:t>
      </w:r>
      <w:proofErr w:type="spellStart"/>
      <w:r w:rsidRPr="00CD7EA8">
        <w:rPr>
          <w:rFonts w:ascii="Book Antiqua" w:hAnsi="Book Antiqua"/>
          <w:i/>
          <w:iCs/>
        </w:rPr>
        <w:t>Gastroenterol</w:t>
      </w:r>
      <w:proofErr w:type="spellEnd"/>
      <w:r w:rsidRPr="00CD7EA8">
        <w:rPr>
          <w:rFonts w:ascii="Book Antiqua" w:hAnsi="Book Antiqua"/>
        </w:rPr>
        <w:t xml:space="preserve"> 2015; </w:t>
      </w:r>
      <w:r w:rsidRPr="00CD7EA8">
        <w:rPr>
          <w:rFonts w:ascii="Book Antiqua" w:hAnsi="Book Antiqua"/>
          <w:b/>
          <w:bCs/>
        </w:rPr>
        <w:t>21</w:t>
      </w:r>
      <w:r w:rsidRPr="00CD7EA8">
        <w:rPr>
          <w:rFonts w:ascii="Book Antiqua" w:hAnsi="Book Antiqua"/>
        </w:rPr>
        <w:t>: 6310-6316 [PMID: 26034367 DOI: 10.3748/wjg.v21.i20.6310]</w:t>
      </w:r>
    </w:p>
    <w:p w14:paraId="19466FB5"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23 </w:t>
      </w:r>
      <w:proofErr w:type="spellStart"/>
      <w:r w:rsidRPr="00CD7EA8">
        <w:rPr>
          <w:rFonts w:ascii="Book Antiqua" w:hAnsi="Book Antiqua"/>
          <w:b/>
          <w:bCs/>
        </w:rPr>
        <w:t>Zullo</w:t>
      </w:r>
      <w:proofErr w:type="spellEnd"/>
      <w:r w:rsidRPr="00CD7EA8">
        <w:rPr>
          <w:rFonts w:ascii="Book Antiqua" w:hAnsi="Book Antiqua"/>
          <w:b/>
          <w:bCs/>
        </w:rPr>
        <w:t xml:space="preserve"> A</w:t>
      </w:r>
      <w:r w:rsidRPr="00CD7EA8">
        <w:rPr>
          <w:rFonts w:ascii="Book Antiqua" w:hAnsi="Book Antiqua"/>
        </w:rPr>
        <w:t xml:space="preserve">, </w:t>
      </w:r>
      <w:proofErr w:type="spellStart"/>
      <w:r w:rsidRPr="00CD7EA8">
        <w:rPr>
          <w:rFonts w:ascii="Book Antiqua" w:hAnsi="Book Antiqua"/>
        </w:rPr>
        <w:t>Rinaldi</w:t>
      </w:r>
      <w:proofErr w:type="spellEnd"/>
      <w:r w:rsidRPr="00CD7EA8">
        <w:rPr>
          <w:rFonts w:ascii="Book Antiqua" w:hAnsi="Book Antiqua"/>
        </w:rPr>
        <w:t xml:space="preserve"> V, Winn S, </w:t>
      </w:r>
      <w:proofErr w:type="spellStart"/>
      <w:r w:rsidRPr="00CD7EA8">
        <w:rPr>
          <w:rFonts w:ascii="Book Antiqua" w:hAnsi="Book Antiqua"/>
        </w:rPr>
        <w:t>Meddi</w:t>
      </w:r>
      <w:proofErr w:type="spellEnd"/>
      <w:r w:rsidRPr="00CD7EA8">
        <w:rPr>
          <w:rFonts w:ascii="Book Antiqua" w:hAnsi="Book Antiqua"/>
        </w:rPr>
        <w:t xml:space="preserve"> P, </w:t>
      </w:r>
      <w:proofErr w:type="spellStart"/>
      <w:r w:rsidRPr="00CD7EA8">
        <w:rPr>
          <w:rFonts w:ascii="Book Antiqua" w:hAnsi="Book Antiqua"/>
        </w:rPr>
        <w:t>Lionetti</w:t>
      </w:r>
      <w:proofErr w:type="spellEnd"/>
      <w:r w:rsidRPr="00CD7EA8">
        <w:rPr>
          <w:rFonts w:ascii="Book Antiqua" w:hAnsi="Book Antiqua"/>
        </w:rPr>
        <w:t xml:space="preserve"> R, Hassan C, </w:t>
      </w:r>
      <w:proofErr w:type="spellStart"/>
      <w:r w:rsidRPr="00CD7EA8">
        <w:rPr>
          <w:rFonts w:ascii="Book Antiqua" w:hAnsi="Book Antiqua"/>
        </w:rPr>
        <w:t>Ripani</w:t>
      </w:r>
      <w:proofErr w:type="spellEnd"/>
      <w:r w:rsidRPr="00CD7EA8">
        <w:rPr>
          <w:rFonts w:ascii="Book Antiqua" w:hAnsi="Book Antiqua"/>
        </w:rPr>
        <w:t xml:space="preserve"> C, </w:t>
      </w:r>
      <w:proofErr w:type="spellStart"/>
      <w:r w:rsidRPr="00CD7EA8">
        <w:rPr>
          <w:rFonts w:ascii="Book Antiqua" w:hAnsi="Book Antiqua"/>
        </w:rPr>
        <w:t>Tomaselli</w:t>
      </w:r>
      <w:proofErr w:type="spellEnd"/>
      <w:r w:rsidRPr="00CD7EA8">
        <w:rPr>
          <w:rFonts w:ascii="Book Antiqua" w:hAnsi="Book Antiqua"/>
        </w:rPr>
        <w:t xml:space="preserve"> G, </w:t>
      </w:r>
      <w:proofErr w:type="spellStart"/>
      <w:r w:rsidRPr="00CD7EA8">
        <w:rPr>
          <w:rFonts w:ascii="Book Antiqua" w:hAnsi="Book Antiqua"/>
        </w:rPr>
        <w:t>Attili</w:t>
      </w:r>
      <w:proofErr w:type="spellEnd"/>
      <w:r w:rsidRPr="00CD7EA8">
        <w:rPr>
          <w:rFonts w:ascii="Book Antiqua" w:hAnsi="Book Antiqua"/>
        </w:rPr>
        <w:t xml:space="preserve"> AF. </w:t>
      </w:r>
      <w:proofErr w:type="gramStart"/>
      <w:r w:rsidRPr="00CD7EA8">
        <w:rPr>
          <w:rFonts w:ascii="Book Antiqua" w:hAnsi="Book Antiqua"/>
        </w:rPr>
        <w:t>A new highly effective short-term therapy schedule for Helicobacter pylori eradication.</w:t>
      </w:r>
      <w:proofErr w:type="gramEnd"/>
      <w:r w:rsidRPr="00CD7EA8">
        <w:rPr>
          <w:rFonts w:ascii="Book Antiqua" w:hAnsi="Book Antiqua"/>
        </w:rPr>
        <w:t xml:space="preserve"> </w:t>
      </w:r>
      <w:r w:rsidRPr="00CD7EA8">
        <w:rPr>
          <w:rFonts w:ascii="Book Antiqua" w:hAnsi="Book Antiqua"/>
          <w:i/>
          <w:iCs/>
        </w:rPr>
        <w:t xml:space="preserve">Aliment </w:t>
      </w:r>
      <w:proofErr w:type="spellStart"/>
      <w:r w:rsidRPr="00CD7EA8">
        <w:rPr>
          <w:rFonts w:ascii="Book Antiqua" w:hAnsi="Book Antiqua"/>
          <w:i/>
          <w:iCs/>
        </w:rPr>
        <w:t>Pharmacol</w:t>
      </w:r>
      <w:proofErr w:type="spellEnd"/>
      <w:r w:rsidRPr="00CD7EA8">
        <w:rPr>
          <w:rFonts w:ascii="Book Antiqua" w:hAnsi="Book Antiqua"/>
          <w:i/>
          <w:iCs/>
        </w:rPr>
        <w:t xml:space="preserve"> </w:t>
      </w:r>
      <w:proofErr w:type="spellStart"/>
      <w:r w:rsidRPr="00CD7EA8">
        <w:rPr>
          <w:rFonts w:ascii="Book Antiqua" w:hAnsi="Book Antiqua"/>
          <w:i/>
          <w:iCs/>
        </w:rPr>
        <w:t>Ther</w:t>
      </w:r>
      <w:proofErr w:type="spellEnd"/>
      <w:r w:rsidRPr="00CD7EA8">
        <w:rPr>
          <w:rFonts w:ascii="Book Antiqua" w:hAnsi="Book Antiqua"/>
        </w:rPr>
        <w:t xml:space="preserve"> 2000; </w:t>
      </w:r>
      <w:r w:rsidRPr="00CD7EA8">
        <w:rPr>
          <w:rFonts w:ascii="Book Antiqua" w:hAnsi="Book Antiqua"/>
          <w:b/>
          <w:bCs/>
        </w:rPr>
        <w:t>14</w:t>
      </w:r>
      <w:r w:rsidRPr="00CD7EA8">
        <w:rPr>
          <w:rFonts w:ascii="Book Antiqua" w:hAnsi="Book Antiqua"/>
        </w:rPr>
        <w:t>: 715-718 [PMID: 10848654 DOI: 10.1046/j.1365-2036.2000.00766.x]</w:t>
      </w:r>
    </w:p>
    <w:p w14:paraId="3E3836C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24 </w:t>
      </w:r>
      <w:proofErr w:type="spellStart"/>
      <w:r w:rsidRPr="00CD7EA8">
        <w:rPr>
          <w:rFonts w:ascii="Book Antiqua" w:hAnsi="Book Antiqua"/>
          <w:b/>
          <w:bCs/>
        </w:rPr>
        <w:t>Seddik</w:t>
      </w:r>
      <w:proofErr w:type="spellEnd"/>
      <w:r w:rsidRPr="00CD7EA8">
        <w:rPr>
          <w:rFonts w:ascii="Book Antiqua" w:hAnsi="Book Antiqua"/>
          <w:b/>
          <w:bCs/>
        </w:rPr>
        <w:t xml:space="preserve"> H</w:t>
      </w:r>
      <w:r w:rsidRPr="00CD7EA8">
        <w:rPr>
          <w:rFonts w:ascii="Book Antiqua" w:hAnsi="Book Antiqua"/>
        </w:rPr>
        <w:t xml:space="preserve">, </w:t>
      </w:r>
      <w:proofErr w:type="spellStart"/>
      <w:r w:rsidRPr="00CD7EA8">
        <w:rPr>
          <w:rFonts w:ascii="Book Antiqua" w:hAnsi="Book Antiqua"/>
        </w:rPr>
        <w:t>Ahid</w:t>
      </w:r>
      <w:proofErr w:type="spellEnd"/>
      <w:r w:rsidRPr="00CD7EA8">
        <w:rPr>
          <w:rFonts w:ascii="Book Antiqua" w:hAnsi="Book Antiqua"/>
        </w:rPr>
        <w:t xml:space="preserve"> S, El </w:t>
      </w:r>
      <w:proofErr w:type="spellStart"/>
      <w:r w:rsidRPr="00CD7EA8">
        <w:rPr>
          <w:rFonts w:ascii="Book Antiqua" w:hAnsi="Book Antiqua"/>
        </w:rPr>
        <w:t>Adioui</w:t>
      </w:r>
      <w:proofErr w:type="spellEnd"/>
      <w:r w:rsidRPr="00CD7EA8">
        <w:rPr>
          <w:rFonts w:ascii="Book Antiqua" w:hAnsi="Book Antiqua"/>
        </w:rPr>
        <w:t xml:space="preserve"> T, El </w:t>
      </w:r>
      <w:proofErr w:type="spellStart"/>
      <w:r w:rsidRPr="00CD7EA8">
        <w:rPr>
          <w:rFonts w:ascii="Book Antiqua" w:hAnsi="Book Antiqua"/>
        </w:rPr>
        <w:t>Hamdi</w:t>
      </w:r>
      <w:proofErr w:type="spellEnd"/>
      <w:r w:rsidRPr="00CD7EA8">
        <w:rPr>
          <w:rFonts w:ascii="Book Antiqua" w:hAnsi="Book Antiqua"/>
        </w:rPr>
        <w:t xml:space="preserve"> FZ, </w:t>
      </w:r>
      <w:proofErr w:type="spellStart"/>
      <w:r w:rsidRPr="00CD7EA8">
        <w:rPr>
          <w:rFonts w:ascii="Book Antiqua" w:hAnsi="Book Antiqua"/>
        </w:rPr>
        <w:t>Hassar</w:t>
      </w:r>
      <w:proofErr w:type="spellEnd"/>
      <w:r w:rsidRPr="00CD7EA8">
        <w:rPr>
          <w:rFonts w:ascii="Book Antiqua" w:hAnsi="Book Antiqua"/>
        </w:rPr>
        <w:t xml:space="preserve"> M, </w:t>
      </w:r>
      <w:proofErr w:type="spellStart"/>
      <w:r w:rsidRPr="00CD7EA8">
        <w:rPr>
          <w:rFonts w:ascii="Book Antiqua" w:hAnsi="Book Antiqua"/>
        </w:rPr>
        <w:t>Abouqal</w:t>
      </w:r>
      <w:proofErr w:type="spellEnd"/>
      <w:r w:rsidRPr="00CD7EA8">
        <w:rPr>
          <w:rFonts w:ascii="Book Antiqua" w:hAnsi="Book Antiqua"/>
        </w:rPr>
        <w:t xml:space="preserve"> R, </w:t>
      </w:r>
      <w:proofErr w:type="spellStart"/>
      <w:r w:rsidRPr="00CD7EA8">
        <w:rPr>
          <w:rFonts w:ascii="Book Antiqua" w:hAnsi="Book Antiqua"/>
        </w:rPr>
        <w:t>Cherrah</w:t>
      </w:r>
      <w:proofErr w:type="spellEnd"/>
      <w:r w:rsidRPr="00CD7EA8">
        <w:rPr>
          <w:rFonts w:ascii="Book Antiqua" w:hAnsi="Book Antiqua"/>
        </w:rPr>
        <w:t xml:space="preserve"> Y, </w:t>
      </w:r>
      <w:proofErr w:type="spellStart"/>
      <w:r w:rsidRPr="00CD7EA8">
        <w:rPr>
          <w:rFonts w:ascii="Book Antiqua" w:hAnsi="Book Antiqua"/>
        </w:rPr>
        <w:t>Benkirane</w:t>
      </w:r>
      <w:proofErr w:type="spellEnd"/>
      <w:r w:rsidRPr="00CD7EA8">
        <w:rPr>
          <w:rFonts w:ascii="Book Antiqua" w:hAnsi="Book Antiqua"/>
        </w:rPr>
        <w:t xml:space="preserve"> A. Sequential therapy versus standard triple-drug therapy for Helicobacter pylori eradication: a prospective randomized study. </w:t>
      </w:r>
      <w:proofErr w:type="spellStart"/>
      <w:r w:rsidRPr="00CD7EA8">
        <w:rPr>
          <w:rFonts w:ascii="Book Antiqua" w:hAnsi="Book Antiqua"/>
          <w:i/>
          <w:iCs/>
        </w:rPr>
        <w:t>Eur</w:t>
      </w:r>
      <w:proofErr w:type="spellEnd"/>
      <w:r w:rsidRPr="00CD7EA8">
        <w:rPr>
          <w:rFonts w:ascii="Book Antiqua" w:hAnsi="Book Antiqua"/>
          <w:i/>
          <w:iCs/>
        </w:rPr>
        <w:t xml:space="preserve"> J </w:t>
      </w:r>
      <w:proofErr w:type="spellStart"/>
      <w:r w:rsidRPr="00CD7EA8">
        <w:rPr>
          <w:rFonts w:ascii="Book Antiqua" w:hAnsi="Book Antiqua"/>
          <w:i/>
          <w:iCs/>
        </w:rPr>
        <w:t>Clin</w:t>
      </w:r>
      <w:proofErr w:type="spellEnd"/>
      <w:r w:rsidRPr="00CD7EA8">
        <w:rPr>
          <w:rFonts w:ascii="Book Antiqua" w:hAnsi="Book Antiqua"/>
          <w:i/>
          <w:iCs/>
        </w:rPr>
        <w:t xml:space="preserve"> </w:t>
      </w:r>
      <w:proofErr w:type="spellStart"/>
      <w:r w:rsidRPr="00CD7EA8">
        <w:rPr>
          <w:rFonts w:ascii="Book Antiqua" w:hAnsi="Book Antiqua"/>
          <w:i/>
          <w:iCs/>
        </w:rPr>
        <w:t>Pharmacol</w:t>
      </w:r>
      <w:proofErr w:type="spellEnd"/>
      <w:r w:rsidRPr="00CD7EA8">
        <w:rPr>
          <w:rFonts w:ascii="Book Antiqua" w:hAnsi="Book Antiqua"/>
        </w:rPr>
        <w:t xml:space="preserve"> 2013; </w:t>
      </w:r>
      <w:r w:rsidRPr="00CD7EA8">
        <w:rPr>
          <w:rFonts w:ascii="Book Antiqua" w:hAnsi="Book Antiqua"/>
          <w:b/>
          <w:bCs/>
        </w:rPr>
        <w:t>69</w:t>
      </w:r>
      <w:r w:rsidRPr="00CD7EA8">
        <w:rPr>
          <w:rFonts w:ascii="Book Antiqua" w:hAnsi="Book Antiqua"/>
        </w:rPr>
        <w:t>: 1709-1715 [PMID: 23695545 DOI: 10.1007/s00228-013-1524-6]</w:t>
      </w:r>
    </w:p>
    <w:p w14:paraId="0D9ABA87"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25 </w:t>
      </w:r>
      <w:proofErr w:type="spellStart"/>
      <w:r w:rsidRPr="00CD7EA8">
        <w:rPr>
          <w:rFonts w:ascii="Book Antiqua" w:hAnsi="Book Antiqua"/>
          <w:b/>
          <w:bCs/>
        </w:rPr>
        <w:t>Liou</w:t>
      </w:r>
      <w:proofErr w:type="spellEnd"/>
      <w:r w:rsidRPr="00CD7EA8">
        <w:rPr>
          <w:rFonts w:ascii="Book Antiqua" w:hAnsi="Book Antiqua"/>
          <w:b/>
          <w:bCs/>
        </w:rPr>
        <w:t xml:space="preserve"> JM</w:t>
      </w:r>
      <w:r w:rsidRPr="00CD7EA8">
        <w:rPr>
          <w:rFonts w:ascii="Book Antiqua" w:hAnsi="Book Antiqua"/>
        </w:rPr>
        <w:t xml:space="preserve">, Chen CC, Fang YJ, Chen PY, Chang CY, Chou CK, Chen MJ, Tseng CH, Lee JY, Yang TH, Chiu MC, Yu JJ, </w:t>
      </w:r>
      <w:proofErr w:type="spellStart"/>
      <w:r w:rsidRPr="00CD7EA8">
        <w:rPr>
          <w:rFonts w:ascii="Book Antiqua" w:hAnsi="Book Antiqua"/>
        </w:rPr>
        <w:t>Kuo</w:t>
      </w:r>
      <w:proofErr w:type="spellEnd"/>
      <w:r w:rsidRPr="00CD7EA8">
        <w:rPr>
          <w:rFonts w:ascii="Book Antiqua" w:hAnsi="Book Antiqua"/>
        </w:rPr>
        <w:t xml:space="preserve"> CC, </w:t>
      </w:r>
      <w:proofErr w:type="spellStart"/>
      <w:r w:rsidRPr="00CD7EA8">
        <w:rPr>
          <w:rFonts w:ascii="Book Antiqua" w:hAnsi="Book Antiqua"/>
        </w:rPr>
        <w:t>Luo</w:t>
      </w:r>
      <w:proofErr w:type="spellEnd"/>
      <w:r w:rsidRPr="00CD7EA8">
        <w:rPr>
          <w:rFonts w:ascii="Book Antiqua" w:hAnsi="Book Antiqua"/>
        </w:rPr>
        <w:t xml:space="preserve"> JC, Hsu WF, Hu WH, Tsai MH, Lin JT, Shun CT, </w:t>
      </w:r>
      <w:proofErr w:type="spellStart"/>
      <w:r w:rsidRPr="00CD7EA8">
        <w:rPr>
          <w:rFonts w:ascii="Book Antiqua" w:hAnsi="Book Antiqua"/>
        </w:rPr>
        <w:t>Twu</w:t>
      </w:r>
      <w:proofErr w:type="spellEnd"/>
      <w:r w:rsidRPr="00CD7EA8">
        <w:rPr>
          <w:rFonts w:ascii="Book Antiqua" w:hAnsi="Book Antiqua"/>
        </w:rPr>
        <w:t xml:space="preserve"> G, Lee YC, Bair MJ, Wu MS; Members of the Taiwan Gastrointestinal Disease and Helicobacter Consortium. 14</w:t>
      </w:r>
      <w:r w:rsidRPr="00CD7EA8">
        <w:rPr>
          <w:rFonts w:ascii="MS Mincho" w:eastAsia="MS Mincho" w:hAnsi="MS Mincho" w:cs="MS Mincho" w:hint="eastAsia"/>
        </w:rPr>
        <w:t> </w:t>
      </w:r>
      <w:r w:rsidRPr="00CD7EA8">
        <w:rPr>
          <w:rFonts w:ascii="Book Antiqua" w:hAnsi="Book Antiqua"/>
        </w:rPr>
        <w:t>day sequential therapy versus 10</w:t>
      </w:r>
      <w:r w:rsidRPr="00CD7EA8">
        <w:rPr>
          <w:rFonts w:ascii="MS Mincho" w:eastAsia="MS Mincho" w:hAnsi="MS Mincho" w:cs="MS Mincho" w:hint="eastAsia"/>
        </w:rPr>
        <w:t> </w:t>
      </w:r>
      <w:r w:rsidRPr="00CD7EA8">
        <w:rPr>
          <w:rFonts w:ascii="Book Antiqua" w:hAnsi="Book Antiqua"/>
        </w:rPr>
        <w:t xml:space="preserve">day bismuth quadruple therapy containing high-dose esomeprazole in the first-line and second-line treatment of Helicobacter pylori: a </w:t>
      </w:r>
      <w:proofErr w:type="spellStart"/>
      <w:r w:rsidRPr="00CD7EA8">
        <w:rPr>
          <w:rFonts w:ascii="Book Antiqua" w:hAnsi="Book Antiqua"/>
        </w:rPr>
        <w:t>multicentre</w:t>
      </w:r>
      <w:proofErr w:type="spellEnd"/>
      <w:r w:rsidRPr="00CD7EA8">
        <w:rPr>
          <w:rFonts w:ascii="Book Antiqua" w:hAnsi="Book Antiqua"/>
        </w:rPr>
        <w:t xml:space="preserve">, non-inferiority, randomized trial. </w:t>
      </w:r>
      <w:r w:rsidRPr="00CD7EA8">
        <w:rPr>
          <w:rFonts w:ascii="Book Antiqua" w:hAnsi="Book Antiqua"/>
          <w:i/>
          <w:iCs/>
        </w:rPr>
        <w:t xml:space="preserve">J </w:t>
      </w:r>
      <w:proofErr w:type="spellStart"/>
      <w:r w:rsidRPr="00CD7EA8">
        <w:rPr>
          <w:rFonts w:ascii="Book Antiqua" w:hAnsi="Book Antiqua"/>
          <w:i/>
          <w:iCs/>
        </w:rPr>
        <w:t>Antimicrob</w:t>
      </w:r>
      <w:proofErr w:type="spellEnd"/>
      <w:r w:rsidRPr="00CD7EA8">
        <w:rPr>
          <w:rFonts w:ascii="Book Antiqua" w:hAnsi="Book Antiqua"/>
          <w:i/>
          <w:iCs/>
        </w:rPr>
        <w:t xml:space="preserve"> </w:t>
      </w:r>
      <w:proofErr w:type="spellStart"/>
      <w:r w:rsidRPr="00CD7EA8">
        <w:rPr>
          <w:rFonts w:ascii="Book Antiqua" w:hAnsi="Book Antiqua"/>
          <w:i/>
          <w:iCs/>
        </w:rPr>
        <w:t>Chemother</w:t>
      </w:r>
      <w:proofErr w:type="spellEnd"/>
      <w:r w:rsidRPr="00CD7EA8">
        <w:rPr>
          <w:rFonts w:ascii="Book Antiqua" w:hAnsi="Book Antiqua"/>
        </w:rPr>
        <w:t xml:space="preserve"> 2018; </w:t>
      </w:r>
      <w:r w:rsidRPr="00CD7EA8">
        <w:rPr>
          <w:rFonts w:ascii="Book Antiqua" w:hAnsi="Book Antiqua"/>
          <w:b/>
          <w:bCs/>
        </w:rPr>
        <w:t>73</w:t>
      </w:r>
      <w:r w:rsidRPr="00CD7EA8">
        <w:rPr>
          <w:rFonts w:ascii="Book Antiqua" w:hAnsi="Book Antiqua"/>
        </w:rPr>
        <w:t>: 2510-2518 [PMID: 29846605 DOI: 10.1093/</w:t>
      </w:r>
      <w:proofErr w:type="spellStart"/>
      <w:r w:rsidRPr="00CD7EA8">
        <w:rPr>
          <w:rFonts w:ascii="Book Antiqua" w:hAnsi="Book Antiqua"/>
        </w:rPr>
        <w:t>jac</w:t>
      </w:r>
      <w:proofErr w:type="spellEnd"/>
      <w:r w:rsidRPr="00CD7EA8">
        <w:rPr>
          <w:rFonts w:ascii="Book Antiqua" w:hAnsi="Book Antiqua"/>
        </w:rPr>
        <w:t>/dky183]</w:t>
      </w:r>
    </w:p>
    <w:p w14:paraId="03F28A0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26 </w:t>
      </w:r>
      <w:proofErr w:type="spellStart"/>
      <w:r w:rsidRPr="00CD7EA8">
        <w:rPr>
          <w:rFonts w:ascii="Book Antiqua" w:hAnsi="Book Antiqua"/>
          <w:b/>
          <w:bCs/>
        </w:rPr>
        <w:t>Liou</w:t>
      </w:r>
      <w:proofErr w:type="spellEnd"/>
      <w:r w:rsidRPr="00CD7EA8">
        <w:rPr>
          <w:rFonts w:ascii="Book Antiqua" w:hAnsi="Book Antiqua"/>
          <w:b/>
          <w:bCs/>
        </w:rPr>
        <w:t xml:space="preserve"> JM</w:t>
      </w:r>
      <w:r w:rsidRPr="00CD7EA8">
        <w:rPr>
          <w:rFonts w:ascii="Book Antiqua" w:hAnsi="Book Antiqua"/>
        </w:rPr>
        <w:t xml:space="preserve">, Chen CC, Lee YC, Chang CY, Wu JY, Bair MJ, Lin JT, Chen MJ, Wu MS; Taiwan Gastrointestinal Disease and Helicobacter Consortium. Systematic review with meta-analysis: 10- or 14-day sequential therapy vs. 14-day triple therapy in the first line treatment of Helicobacter pylori infection. </w:t>
      </w:r>
      <w:r w:rsidRPr="00CD7EA8">
        <w:rPr>
          <w:rFonts w:ascii="Book Antiqua" w:hAnsi="Book Antiqua"/>
          <w:i/>
          <w:iCs/>
        </w:rPr>
        <w:t xml:space="preserve">Aliment </w:t>
      </w:r>
      <w:proofErr w:type="spellStart"/>
      <w:r w:rsidRPr="00CD7EA8">
        <w:rPr>
          <w:rFonts w:ascii="Book Antiqua" w:hAnsi="Book Antiqua"/>
          <w:i/>
          <w:iCs/>
        </w:rPr>
        <w:t>Pharmacol</w:t>
      </w:r>
      <w:proofErr w:type="spellEnd"/>
      <w:r w:rsidRPr="00CD7EA8">
        <w:rPr>
          <w:rFonts w:ascii="Book Antiqua" w:hAnsi="Book Antiqua"/>
          <w:i/>
          <w:iCs/>
        </w:rPr>
        <w:t xml:space="preserve"> </w:t>
      </w:r>
      <w:proofErr w:type="spellStart"/>
      <w:r w:rsidRPr="00CD7EA8">
        <w:rPr>
          <w:rFonts w:ascii="Book Antiqua" w:hAnsi="Book Antiqua"/>
          <w:i/>
          <w:iCs/>
        </w:rPr>
        <w:t>Ther</w:t>
      </w:r>
      <w:proofErr w:type="spellEnd"/>
      <w:r w:rsidRPr="00CD7EA8">
        <w:rPr>
          <w:rFonts w:ascii="Book Antiqua" w:hAnsi="Book Antiqua"/>
        </w:rPr>
        <w:t xml:space="preserve"> 2016; </w:t>
      </w:r>
      <w:r w:rsidRPr="00CD7EA8">
        <w:rPr>
          <w:rFonts w:ascii="Book Antiqua" w:hAnsi="Book Antiqua"/>
          <w:b/>
          <w:bCs/>
        </w:rPr>
        <w:t>43</w:t>
      </w:r>
      <w:r w:rsidRPr="00CD7EA8">
        <w:rPr>
          <w:rFonts w:ascii="Book Antiqua" w:hAnsi="Book Antiqua"/>
        </w:rPr>
        <w:t>: 470-481 [PMID: 26669729 DOI: 10.1111/apt.13495]</w:t>
      </w:r>
    </w:p>
    <w:p w14:paraId="0AA64F91"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27 </w:t>
      </w:r>
      <w:r w:rsidRPr="00CD7EA8">
        <w:rPr>
          <w:rFonts w:ascii="Book Antiqua" w:hAnsi="Book Antiqua"/>
          <w:b/>
          <w:bCs/>
        </w:rPr>
        <w:t>Graham DY</w:t>
      </w:r>
      <w:r w:rsidRPr="00CD7EA8">
        <w:rPr>
          <w:rFonts w:ascii="Book Antiqua" w:hAnsi="Book Antiqua"/>
        </w:rPr>
        <w:t xml:space="preserve">, Lu H, Dore MP. Relative potency of proton-pump inhibitors, Helicobacter pylori therapy </w:t>
      </w:r>
      <w:proofErr w:type="gramStart"/>
      <w:r w:rsidRPr="00CD7EA8">
        <w:rPr>
          <w:rFonts w:ascii="Book Antiqua" w:hAnsi="Book Antiqua"/>
        </w:rPr>
        <w:t>cure</w:t>
      </w:r>
      <w:proofErr w:type="gramEnd"/>
      <w:r w:rsidRPr="00CD7EA8">
        <w:rPr>
          <w:rFonts w:ascii="Book Antiqua" w:hAnsi="Book Antiqua"/>
        </w:rPr>
        <w:t xml:space="preserve"> rates, and meaning of double-dose PPI. </w:t>
      </w:r>
      <w:r w:rsidRPr="00CD7EA8">
        <w:rPr>
          <w:rFonts w:ascii="Book Antiqua" w:hAnsi="Book Antiqua"/>
          <w:i/>
          <w:iCs/>
        </w:rPr>
        <w:t>Helicobacter</w:t>
      </w:r>
      <w:r w:rsidRPr="00CD7EA8">
        <w:rPr>
          <w:rFonts w:ascii="Book Antiqua" w:hAnsi="Book Antiqua"/>
        </w:rPr>
        <w:t xml:space="preserve"> 2019; </w:t>
      </w:r>
      <w:r w:rsidRPr="00CD7EA8">
        <w:rPr>
          <w:rFonts w:ascii="Book Antiqua" w:hAnsi="Book Antiqua"/>
          <w:b/>
          <w:bCs/>
        </w:rPr>
        <w:t>24</w:t>
      </w:r>
      <w:r w:rsidRPr="00CD7EA8">
        <w:rPr>
          <w:rFonts w:ascii="Book Antiqua" w:hAnsi="Book Antiqua"/>
        </w:rPr>
        <w:t>: e12554 [PMID: 30440097 DOI: 10.1111/hel.12554]</w:t>
      </w:r>
    </w:p>
    <w:p w14:paraId="29472E6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28 </w:t>
      </w:r>
      <w:proofErr w:type="spellStart"/>
      <w:r w:rsidRPr="00CD7EA8">
        <w:rPr>
          <w:rFonts w:ascii="Book Antiqua" w:hAnsi="Book Antiqua"/>
          <w:b/>
          <w:bCs/>
        </w:rPr>
        <w:t>Ierardi</w:t>
      </w:r>
      <w:proofErr w:type="spellEnd"/>
      <w:r w:rsidRPr="00CD7EA8">
        <w:rPr>
          <w:rFonts w:ascii="Book Antiqua" w:hAnsi="Book Antiqua"/>
          <w:b/>
          <w:bCs/>
        </w:rPr>
        <w:t xml:space="preserve"> E</w:t>
      </w:r>
      <w:r w:rsidRPr="00CD7EA8">
        <w:rPr>
          <w:rFonts w:ascii="Book Antiqua" w:hAnsi="Book Antiqua"/>
        </w:rPr>
        <w:t xml:space="preserve">, </w:t>
      </w:r>
      <w:proofErr w:type="spellStart"/>
      <w:r w:rsidRPr="00CD7EA8">
        <w:rPr>
          <w:rFonts w:ascii="Book Antiqua" w:hAnsi="Book Antiqua"/>
        </w:rPr>
        <w:t>Losurdo</w:t>
      </w:r>
      <w:proofErr w:type="spellEnd"/>
      <w:r w:rsidRPr="00CD7EA8">
        <w:rPr>
          <w:rFonts w:ascii="Book Antiqua" w:hAnsi="Book Antiqua"/>
        </w:rPr>
        <w:t xml:space="preserve"> G, </w:t>
      </w:r>
      <w:proofErr w:type="spellStart"/>
      <w:r w:rsidRPr="00CD7EA8">
        <w:rPr>
          <w:rFonts w:ascii="Book Antiqua" w:hAnsi="Book Antiqua"/>
        </w:rPr>
        <w:t>Fortezza</w:t>
      </w:r>
      <w:proofErr w:type="spellEnd"/>
      <w:r w:rsidRPr="00CD7EA8">
        <w:rPr>
          <w:rFonts w:ascii="Book Antiqua" w:hAnsi="Book Antiqua"/>
        </w:rPr>
        <w:t xml:space="preserve"> RF, </w:t>
      </w:r>
      <w:proofErr w:type="spellStart"/>
      <w:r w:rsidRPr="00CD7EA8">
        <w:rPr>
          <w:rFonts w:ascii="Book Antiqua" w:hAnsi="Book Antiqua"/>
        </w:rPr>
        <w:t>Principi</w:t>
      </w:r>
      <w:proofErr w:type="spellEnd"/>
      <w:r w:rsidRPr="00CD7EA8">
        <w:rPr>
          <w:rFonts w:ascii="Book Antiqua" w:hAnsi="Book Antiqua"/>
        </w:rPr>
        <w:t xml:space="preserve"> M, </w:t>
      </w:r>
      <w:proofErr w:type="spellStart"/>
      <w:r w:rsidRPr="00CD7EA8">
        <w:rPr>
          <w:rFonts w:ascii="Book Antiqua" w:hAnsi="Book Antiqua"/>
        </w:rPr>
        <w:t>Barone</w:t>
      </w:r>
      <w:proofErr w:type="spellEnd"/>
      <w:r w:rsidRPr="00CD7EA8">
        <w:rPr>
          <w:rFonts w:ascii="Book Antiqua" w:hAnsi="Book Antiqua"/>
        </w:rPr>
        <w:t xml:space="preserve"> M, Leo AD. Optimizing proton pump inhibitors in Helicobacter pylori treatment: Old and new tricks to improve effectiveness. </w:t>
      </w:r>
      <w:r w:rsidRPr="00CD7EA8">
        <w:rPr>
          <w:rFonts w:ascii="Book Antiqua" w:hAnsi="Book Antiqua"/>
          <w:i/>
          <w:iCs/>
        </w:rPr>
        <w:t xml:space="preserve">World J </w:t>
      </w:r>
      <w:proofErr w:type="spellStart"/>
      <w:r w:rsidRPr="00CD7EA8">
        <w:rPr>
          <w:rFonts w:ascii="Book Antiqua" w:hAnsi="Book Antiqua"/>
          <w:i/>
          <w:iCs/>
        </w:rPr>
        <w:t>Gastroenterol</w:t>
      </w:r>
      <w:proofErr w:type="spellEnd"/>
      <w:r w:rsidRPr="00CD7EA8">
        <w:rPr>
          <w:rFonts w:ascii="Book Antiqua" w:hAnsi="Book Antiqua"/>
        </w:rPr>
        <w:t xml:space="preserve"> 2019; </w:t>
      </w:r>
      <w:r w:rsidRPr="00CD7EA8">
        <w:rPr>
          <w:rFonts w:ascii="Book Antiqua" w:hAnsi="Book Antiqua"/>
          <w:b/>
          <w:bCs/>
        </w:rPr>
        <w:t>25</w:t>
      </w:r>
      <w:r w:rsidRPr="00CD7EA8">
        <w:rPr>
          <w:rFonts w:ascii="Book Antiqua" w:hAnsi="Book Antiqua"/>
        </w:rPr>
        <w:t>: 5097-5104 [PMID: 31558859 DOI: 10.3748/wjg.v25.i34.5097]</w:t>
      </w:r>
    </w:p>
    <w:p w14:paraId="2ACC6FF3"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29 </w:t>
      </w:r>
      <w:proofErr w:type="spellStart"/>
      <w:r w:rsidRPr="00CD7EA8">
        <w:rPr>
          <w:rFonts w:ascii="Book Antiqua" w:hAnsi="Book Antiqua"/>
          <w:b/>
          <w:bCs/>
        </w:rPr>
        <w:t>McNicholl</w:t>
      </w:r>
      <w:proofErr w:type="spellEnd"/>
      <w:r w:rsidRPr="00CD7EA8">
        <w:rPr>
          <w:rFonts w:ascii="Book Antiqua" w:hAnsi="Book Antiqua"/>
          <w:b/>
          <w:bCs/>
        </w:rPr>
        <w:t xml:space="preserve"> AG</w:t>
      </w:r>
      <w:r w:rsidRPr="00CD7EA8">
        <w:rPr>
          <w:rFonts w:ascii="Book Antiqua" w:hAnsi="Book Antiqua"/>
        </w:rPr>
        <w:t xml:space="preserve">, Linares PM, </w:t>
      </w:r>
      <w:proofErr w:type="spellStart"/>
      <w:r w:rsidRPr="00CD7EA8">
        <w:rPr>
          <w:rFonts w:ascii="Book Antiqua" w:hAnsi="Book Antiqua"/>
        </w:rPr>
        <w:t>Nyssen</w:t>
      </w:r>
      <w:proofErr w:type="spellEnd"/>
      <w:r w:rsidRPr="00CD7EA8">
        <w:rPr>
          <w:rFonts w:ascii="Book Antiqua" w:hAnsi="Book Antiqua"/>
        </w:rPr>
        <w:t xml:space="preserve"> OP, </w:t>
      </w:r>
      <w:proofErr w:type="spellStart"/>
      <w:r w:rsidRPr="00CD7EA8">
        <w:rPr>
          <w:rFonts w:ascii="Book Antiqua" w:hAnsi="Book Antiqua"/>
        </w:rPr>
        <w:t>Calvet</w:t>
      </w:r>
      <w:proofErr w:type="spellEnd"/>
      <w:r w:rsidRPr="00CD7EA8">
        <w:rPr>
          <w:rFonts w:ascii="Book Antiqua" w:hAnsi="Book Antiqua"/>
        </w:rPr>
        <w:t xml:space="preserve"> X, </w:t>
      </w:r>
      <w:proofErr w:type="spellStart"/>
      <w:r w:rsidRPr="00CD7EA8">
        <w:rPr>
          <w:rFonts w:ascii="Book Antiqua" w:hAnsi="Book Antiqua"/>
        </w:rPr>
        <w:t>Gisbert</w:t>
      </w:r>
      <w:proofErr w:type="spellEnd"/>
      <w:r w:rsidRPr="00CD7EA8">
        <w:rPr>
          <w:rFonts w:ascii="Book Antiqua" w:hAnsi="Book Antiqua"/>
        </w:rPr>
        <w:t xml:space="preserve"> JP. Meta-analysis: esomeprazole or </w:t>
      </w:r>
      <w:proofErr w:type="spellStart"/>
      <w:r w:rsidRPr="00CD7EA8">
        <w:rPr>
          <w:rFonts w:ascii="Book Antiqua" w:hAnsi="Book Antiqua"/>
        </w:rPr>
        <w:t>rabeprazole</w:t>
      </w:r>
      <w:proofErr w:type="spellEnd"/>
      <w:r w:rsidRPr="00CD7EA8">
        <w:rPr>
          <w:rFonts w:ascii="Book Antiqua" w:hAnsi="Book Antiqua"/>
        </w:rPr>
        <w:t xml:space="preserve"> vs. first-generation pump inhibitors in the treatment of Helicobacter pylori infection. </w:t>
      </w:r>
      <w:r w:rsidRPr="00CD7EA8">
        <w:rPr>
          <w:rFonts w:ascii="Book Antiqua" w:hAnsi="Book Antiqua"/>
          <w:i/>
          <w:iCs/>
        </w:rPr>
        <w:t xml:space="preserve">Aliment </w:t>
      </w:r>
      <w:proofErr w:type="spellStart"/>
      <w:r w:rsidRPr="00CD7EA8">
        <w:rPr>
          <w:rFonts w:ascii="Book Antiqua" w:hAnsi="Book Antiqua"/>
          <w:i/>
          <w:iCs/>
        </w:rPr>
        <w:t>Pharmacol</w:t>
      </w:r>
      <w:proofErr w:type="spellEnd"/>
      <w:r w:rsidRPr="00CD7EA8">
        <w:rPr>
          <w:rFonts w:ascii="Book Antiqua" w:hAnsi="Book Antiqua"/>
          <w:i/>
          <w:iCs/>
        </w:rPr>
        <w:t xml:space="preserve"> </w:t>
      </w:r>
      <w:proofErr w:type="spellStart"/>
      <w:r w:rsidRPr="00CD7EA8">
        <w:rPr>
          <w:rFonts w:ascii="Book Antiqua" w:hAnsi="Book Antiqua"/>
          <w:i/>
          <w:iCs/>
        </w:rPr>
        <w:t>Ther</w:t>
      </w:r>
      <w:proofErr w:type="spellEnd"/>
      <w:r w:rsidRPr="00CD7EA8">
        <w:rPr>
          <w:rFonts w:ascii="Book Antiqua" w:hAnsi="Book Antiqua"/>
        </w:rPr>
        <w:t xml:space="preserve"> 2012; </w:t>
      </w:r>
      <w:r w:rsidRPr="00CD7EA8">
        <w:rPr>
          <w:rFonts w:ascii="Book Antiqua" w:hAnsi="Book Antiqua"/>
          <w:b/>
          <w:bCs/>
        </w:rPr>
        <w:t>36</w:t>
      </w:r>
      <w:r w:rsidRPr="00CD7EA8">
        <w:rPr>
          <w:rFonts w:ascii="Book Antiqua" w:hAnsi="Book Antiqua"/>
        </w:rPr>
        <w:t>: 414-425 [PMID: 22803691 DOI: 10.1111/j.1365-2036.2012.05211.x]</w:t>
      </w:r>
    </w:p>
    <w:p w14:paraId="7FEF9624"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30 </w:t>
      </w:r>
      <w:proofErr w:type="spellStart"/>
      <w:r w:rsidRPr="00CD7EA8">
        <w:rPr>
          <w:rFonts w:ascii="Book Antiqua" w:hAnsi="Book Antiqua"/>
          <w:b/>
          <w:bCs/>
        </w:rPr>
        <w:t>Xu</w:t>
      </w:r>
      <w:proofErr w:type="spellEnd"/>
      <w:r w:rsidRPr="00CD7EA8">
        <w:rPr>
          <w:rFonts w:ascii="Book Antiqua" w:hAnsi="Book Antiqua"/>
          <w:b/>
          <w:bCs/>
        </w:rPr>
        <w:t xml:space="preserve"> X</w:t>
      </w:r>
      <w:r w:rsidRPr="00CD7EA8">
        <w:rPr>
          <w:rFonts w:ascii="Book Antiqua" w:hAnsi="Book Antiqua"/>
        </w:rPr>
        <w:t xml:space="preserve">, He C, Zhu Y. Treatment of refractory Helicobacter pylori infection: A new challenge for clinicians. </w:t>
      </w:r>
      <w:r w:rsidRPr="00CD7EA8">
        <w:rPr>
          <w:rFonts w:ascii="Book Antiqua" w:hAnsi="Book Antiqua"/>
          <w:i/>
          <w:iCs/>
        </w:rPr>
        <w:t xml:space="preserve">Front </w:t>
      </w:r>
      <w:proofErr w:type="spellStart"/>
      <w:r w:rsidRPr="00CD7EA8">
        <w:rPr>
          <w:rFonts w:ascii="Book Antiqua" w:hAnsi="Book Antiqua"/>
          <w:i/>
          <w:iCs/>
        </w:rPr>
        <w:t>Microbiol</w:t>
      </w:r>
      <w:proofErr w:type="spellEnd"/>
      <w:r w:rsidRPr="00CD7EA8">
        <w:rPr>
          <w:rFonts w:ascii="Book Antiqua" w:hAnsi="Book Antiqua"/>
        </w:rPr>
        <w:t xml:space="preserve"> 2022; </w:t>
      </w:r>
      <w:r w:rsidRPr="00CD7EA8">
        <w:rPr>
          <w:rFonts w:ascii="Book Antiqua" w:hAnsi="Book Antiqua"/>
          <w:b/>
          <w:bCs/>
        </w:rPr>
        <w:t>13</w:t>
      </w:r>
      <w:r w:rsidRPr="00CD7EA8">
        <w:rPr>
          <w:rFonts w:ascii="Book Antiqua" w:hAnsi="Book Antiqua"/>
        </w:rPr>
        <w:t>: 998240 [PMID: 36329840 DOI: 10.3389/fmicb.2022.998240]</w:t>
      </w:r>
    </w:p>
    <w:p w14:paraId="255FCD41" w14:textId="59ED0F90" w:rsidR="00034735" w:rsidRPr="00CD7EA8" w:rsidRDefault="00034735" w:rsidP="00CD7EA8">
      <w:pPr>
        <w:spacing w:line="360" w:lineRule="auto"/>
        <w:jc w:val="both"/>
        <w:rPr>
          <w:rFonts w:ascii="Book Antiqua" w:hAnsi="Book Antiqua"/>
        </w:rPr>
      </w:pPr>
      <w:r w:rsidRPr="00CD7EA8">
        <w:rPr>
          <w:rFonts w:ascii="Book Antiqua" w:hAnsi="Book Antiqua"/>
        </w:rPr>
        <w:t xml:space="preserve">31 </w:t>
      </w:r>
      <w:r w:rsidRPr="00CD7EA8">
        <w:rPr>
          <w:rFonts w:ascii="Book Antiqua" w:hAnsi="Book Antiqua"/>
          <w:b/>
          <w:bCs/>
        </w:rPr>
        <w:t>Kwon SB</w:t>
      </w:r>
      <w:r w:rsidRPr="00CD7EA8">
        <w:rPr>
          <w:rFonts w:ascii="Book Antiqua" w:hAnsi="Book Antiqua"/>
        </w:rPr>
        <w:t xml:space="preserve">, Lee KL, Kim JS, Lee JK, Kim W, Jung YJ, </w:t>
      </w:r>
      <w:proofErr w:type="spellStart"/>
      <w:r w:rsidRPr="00CD7EA8">
        <w:rPr>
          <w:rFonts w:ascii="Book Antiqua" w:hAnsi="Book Antiqua"/>
        </w:rPr>
        <w:t>Jeong</w:t>
      </w:r>
      <w:proofErr w:type="spellEnd"/>
      <w:r w:rsidRPr="00CD7EA8">
        <w:rPr>
          <w:rFonts w:ascii="Book Antiqua" w:hAnsi="Book Antiqua"/>
        </w:rPr>
        <w:t xml:space="preserve"> JB, Kim JW, Ki</w:t>
      </w:r>
      <w:r w:rsidR="00BF30CD">
        <w:rPr>
          <w:rFonts w:ascii="Book Antiqua" w:hAnsi="Book Antiqua"/>
        </w:rPr>
        <w:t xml:space="preserve">m BG. </w:t>
      </w:r>
      <w:r w:rsidRPr="00CD7EA8">
        <w:rPr>
          <w:rFonts w:ascii="Book Antiqua" w:hAnsi="Book Antiqua"/>
        </w:rPr>
        <w:t xml:space="preserve">Antibiotics-associated diarrhea and other gastrointestinal abnormal responses regarding </w:t>
      </w:r>
      <w:r w:rsidR="00BF30CD">
        <w:rPr>
          <w:rFonts w:ascii="Book Antiqua" w:hAnsi="Book Antiqua"/>
        </w:rPr>
        <w:t>Helicobacter pylori eradication</w:t>
      </w:r>
      <w:r w:rsidRPr="00CD7EA8">
        <w:rPr>
          <w:rFonts w:ascii="Book Antiqua" w:hAnsi="Book Antiqua"/>
        </w:rPr>
        <w:t xml:space="preserve">. </w:t>
      </w:r>
      <w:r w:rsidRPr="00CD7EA8">
        <w:rPr>
          <w:rFonts w:ascii="Book Antiqua" w:hAnsi="Book Antiqua"/>
          <w:i/>
          <w:iCs/>
        </w:rPr>
        <w:t xml:space="preserve">Korean J </w:t>
      </w:r>
      <w:proofErr w:type="spellStart"/>
      <w:r w:rsidRPr="00CD7EA8">
        <w:rPr>
          <w:rFonts w:ascii="Book Antiqua" w:hAnsi="Book Antiqua"/>
          <w:i/>
          <w:iCs/>
        </w:rPr>
        <w:t>Gastroenterol</w:t>
      </w:r>
      <w:proofErr w:type="spellEnd"/>
      <w:r w:rsidRPr="00CD7EA8">
        <w:rPr>
          <w:rFonts w:ascii="Book Antiqua" w:hAnsi="Book Antiqua"/>
        </w:rPr>
        <w:t xml:space="preserve"> 2010; </w:t>
      </w:r>
      <w:r w:rsidRPr="00CD7EA8">
        <w:rPr>
          <w:rFonts w:ascii="Book Antiqua" w:hAnsi="Book Antiqua"/>
          <w:b/>
          <w:bCs/>
        </w:rPr>
        <w:t>56</w:t>
      </w:r>
      <w:r w:rsidRPr="00CD7EA8">
        <w:rPr>
          <w:rFonts w:ascii="Book Antiqua" w:hAnsi="Book Antiqua"/>
        </w:rPr>
        <w:t>: 229-235 [PMID: 20962558 DOI: 10.4166/kjg.2010.56.4.229]</w:t>
      </w:r>
    </w:p>
    <w:p w14:paraId="6751F8EC"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32 </w:t>
      </w:r>
      <w:proofErr w:type="spellStart"/>
      <w:r w:rsidRPr="00CD7EA8">
        <w:rPr>
          <w:rFonts w:ascii="Book Antiqua" w:hAnsi="Book Antiqua"/>
          <w:b/>
          <w:bCs/>
        </w:rPr>
        <w:t>Eisig</w:t>
      </w:r>
      <w:proofErr w:type="spellEnd"/>
      <w:r w:rsidRPr="00CD7EA8">
        <w:rPr>
          <w:rFonts w:ascii="Book Antiqua" w:hAnsi="Book Antiqua"/>
          <w:b/>
          <w:bCs/>
        </w:rPr>
        <w:t xml:space="preserve"> JN</w:t>
      </w:r>
      <w:r w:rsidRPr="00CD7EA8">
        <w:rPr>
          <w:rFonts w:ascii="Book Antiqua" w:hAnsi="Book Antiqua"/>
        </w:rPr>
        <w:t xml:space="preserve">, Navarro-Rodriguez T, Teixeira AC, Silva FM, </w:t>
      </w:r>
      <w:proofErr w:type="spellStart"/>
      <w:r w:rsidRPr="00CD7EA8">
        <w:rPr>
          <w:rFonts w:ascii="Book Antiqua" w:hAnsi="Book Antiqua"/>
        </w:rPr>
        <w:t>Mattar</w:t>
      </w:r>
      <w:proofErr w:type="spellEnd"/>
      <w:r w:rsidRPr="00CD7EA8">
        <w:rPr>
          <w:rFonts w:ascii="Book Antiqua" w:hAnsi="Book Antiqua"/>
        </w:rPr>
        <w:t xml:space="preserve"> R, </w:t>
      </w:r>
      <w:proofErr w:type="spellStart"/>
      <w:r w:rsidRPr="00CD7EA8">
        <w:rPr>
          <w:rFonts w:ascii="Book Antiqua" w:hAnsi="Book Antiqua"/>
        </w:rPr>
        <w:t>Chinzon</w:t>
      </w:r>
      <w:proofErr w:type="spellEnd"/>
      <w:r w:rsidRPr="00CD7EA8">
        <w:rPr>
          <w:rFonts w:ascii="Book Antiqua" w:hAnsi="Book Antiqua"/>
        </w:rPr>
        <w:t xml:space="preserve"> D, </w:t>
      </w:r>
      <w:proofErr w:type="spellStart"/>
      <w:r w:rsidRPr="00CD7EA8">
        <w:rPr>
          <w:rFonts w:ascii="Book Antiqua" w:hAnsi="Book Antiqua"/>
        </w:rPr>
        <w:t>Haro</w:t>
      </w:r>
      <w:proofErr w:type="spellEnd"/>
      <w:r w:rsidRPr="00CD7EA8">
        <w:rPr>
          <w:rFonts w:ascii="Book Antiqua" w:hAnsi="Book Antiqua"/>
        </w:rPr>
        <w:t xml:space="preserve"> C, </w:t>
      </w:r>
      <w:proofErr w:type="spellStart"/>
      <w:r w:rsidRPr="00CD7EA8">
        <w:rPr>
          <w:rFonts w:ascii="Book Antiqua" w:hAnsi="Book Antiqua"/>
        </w:rPr>
        <w:t>Diniz</w:t>
      </w:r>
      <w:proofErr w:type="spellEnd"/>
      <w:r w:rsidRPr="00CD7EA8">
        <w:rPr>
          <w:rFonts w:ascii="Book Antiqua" w:hAnsi="Book Antiqua"/>
        </w:rPr>
        <w:t xml:space="preserve"> MA, </w:t>
      </w:r>
      <w:proofErr w:type="spellStart"/>
      <w:r w:rsidRPr="00CD7EA8">
        <w:rPr>
          <w:rFonts w:ascii="Book Antiqua" w:hAnsi="Book Antiqua"/>
        </w:rPr>
        <w:t>Moraes-Filho</w:t>
      </w:r>
      <w:proofErr w:type="spellEnd"/>
      <w:r w:rsidRPr="00CD7EA8">
        <w:rPr>
          <w:rFonts w:ascii="Book Antiqua" w:hAnsi="Book Antiqua"/>
        </w:rPr>
        <w:t xml:space="preserve"> JP, </w:t>
      </w:r>
      <w:proofErr w:type="spellStart"/>
      <w:r w:rsidRPr="00CD7EA8">
        <w:rPr>
          <w:rFonts w:ascii="Book Antiqua" w:hAnsi="Book Antiqua"/>
        </w:rPr>
        <w:t>Fass</w:t>
      </w:r>
      <w:proofErr w:type="spellEnd"/>
      <w:r w:rsidRPr="00CD7EA8">
        <w:rPr>
          <w:rFonts w:ascii="Book Antiqua" w:hAnsi="Book Antiqua"/>
        </w:rPr>
        <w:t xml:space="preserve"> R, </w:t>
      </w:r>
      <w:proofErr w:type="spellStart"/>
      <w:r w:rsidRPr="00CD7EA8">
        <w:rPr>
          <w:rFonts w:ascii="Book Antiqua" w:hAnsi="Book Antiqua"/>
        </w:rPr>
        <w:t>Barbuti</w:t>
      </w:r>
      <w:proofErr w:type="spellEnd"/>
      <w:r w:rsidRPr="00CD7EA8">
        <w:rPr>
          <w:rFonts w:ascii="Book Antiqua" w:hAnsi="Book Antiqua"/>
        </w:rPr>
        <w:t xml:space="preserve"> RC. Standard Triple Therapy versus Sequential Therapy in Helicobacter pylori Eradication: A Double-Blind, Randomized, and Controlled Trial. </w:t>
      </w:r>
      <w:proofErr w:type="spellStart"/>
      <w:r w:rsidRPr="00CD7EA8">
        <w:rPr>
          <w:rFonts w:ascii="Book Antiqua" w:hAnsi="Book Antiqua"/>
          <w:i/>
          <w:iCs/>
        </w:rPr>
        <w:t>Gastroenterol</w:t>
      </w:r>
      <w:proofErr w:type="spellEnd"/>
      <w:r w:rsidRPr="00CD7EA8">
        <w:rPr>
          <w:rFonts w:ascii="Book Antiqua" w:hAnsi="Book Antiqua"/>
          <w:i/>
          <w:iCs/>
        </w:rPr>
        <w:t xml:space="preserve"> Res </w:t>
      </w:r>
      <w:proofErr w:type="spellStart"/>
      <w:r w:rsidRPr="00CD7EA8">
        <w:rPr>
          <w:rFonts w:ascii="Book Antiqua" w:hAnsi="Book Antiqua"/>
          <w:i/>
          <w:iCs/>
        </w:rPr>
        <w:t>Pract</w:t>
      </w:r>
      <w:proofErr w:type="spellEnd"/>
      <w:r w:rsidRPr="00CD7EA8">
        <w:rPr>
          <w:rFonts w:ascii="Book Antiqua" w:hAnsi="Book Antiqua"/>
        </w:rPr>
        <w:t xml:space="preserve"> 2015; </w:t>
      </w:r>
      <w:r w:rsidRPr="00CD7EA8">
        <w:rPr>
          <w:rFonts w:ascii="Book Antiqua" w:hAnsi="Book Antiqua"/>
          <w:b/>
          <w:bCs/>
        </w:rPr>
        <w:t>2015</w:t>
      </w:r>
      <w:r w:rsidRPr="00CD7EA8">
        <w:rPr>
          <w:rFonts w:ascii="Book Antiqua" w:hAnsi="Book Antiqua"/>
        </w:rPr>
        <w:t>: 818043 [PMID: 26064098 DOI: 10.1155/2015/818043]</w:t>
      </w:r>
    </w:p>
    <w:p w14:paraId="4EC76C6C" w14:textId="77777777" w:rsidR="00034735" w:rsidRPr="00CD7EA8" w:rsidRDefault="00034735" w:rsidP="00CD7EA8">
      <w:pPr>
        <w:spacing w:line="360" w:lineRule="auto"/>
        <w:jc w:val="both"/>
        <w:rPr>
          <w:rFonts w:ascii="Book Antiqua" w:hAnsi="Book Antiqua"/>
        </w:rPr>
      </w:pPr>
      <w:proofErr w:type="gramStart"/>
      <w:r w:rsidRPr="00CD7EA8">
        <w:rPr>
          <w:rFonts w:ascii="Book Antiqua" w:hAnsi="Book Antiqua"/>
        </w:rPr>
        <w:t xml:space="preserve">33 </w:t>
      </w:r>
      <w:proofErr w:type="spellStart"/>
      <w:r w:rsidRPr="00CD7EA8">
        <w:rPr>
          <w:rFonts w:ascii="Book Antiqua" w:hAnsi="Book Antiqua"/>
          <w:b/>
          <w:bCs/>
        </w:rPr>
        <w:t>Farhoud</w:t>
      </w:r>
      <w:proofErr w:type="spellEnd"/>
      <w:r w:rsidRPr="00CD7EA8">
        <w:rPr>
          <w:rFonts w:ascii="Book Antiqua" w:hAnsi="Book Antiqua"/>
          <w:b/>
          <w:bCs/>
        </w:rPr>
        <w:t xml:space="preserve"> NS</w:t>
      </w:r>
      <w:r w:rsidRPr="00CD7EA8">
        <w:rPr>
          <w:rFonts w:ascii="Book Antiqua" w:hAnsi="Book Antiqua"/>
        </w:rPr>
        <w:t xml:space="preserve">, Ibrahim OM, </w:t>
      </w:r>
      <w:proofErr w:type="spellStart"/>
      <w:r w:rsidRPr="00CD7EA8">
        <w:rPr>
          <w:rFonts w:ascii="Book Antiqua" w:hAnsi="Book Antiqua"/>
        </w:rPr>
        <w:t>Ezzat</w:t>
      </w:r>
      <w:proofErr w:type="spellEnd"/>
      <w:r w:rsidRPr="00CD7EA8">
        <w:rPr>
          <w:rFonts w:ascii="Book Antiqua" w:hAnsi="Book Antiqua"/>
        </w:rPr>
        <w:t xml:space="preserve"> SE. Efficacy and Cost-effectiveness Comparison of 10-Day, 14-Day Sequential Versus 14-Day Triple Therapies for Treating Helicobacter pylori Infection in Egyptian Patients.</w:t>
      </w:r>
      <w:proofErr w:type="gramEnd"/>
      <w:r w:rsidRPr="00CD7EA8">
        <w:rPr>
          <w:rFonts w:ascii="Book Antiqua" w:hAnsi="Book Antiqua"/>
        </w:rPr>
        <w:t xml:space="preserve"> </w:t>
      </w:r>
      <w:r w:rsidRPr="00CD7EA8">
        <w:rPr>
          <w:rFonts w:ascii="Book Antiqua" w:hAnsi="Book Antiqua"/>
          <w:i/>
          <w:iCs/>
        </w:rPr>
        <w:t xml:space="preserve">J </w:t>
      </w:r>
      <w:proofErr w:type="spellStart"/>
      <w:r w:rsidRPr="00CD7EA8">
        <w:rPr>
          <w:rFonts w:ascii="Book Antiqua" w:hAnsi="Book Antiqua"/>
          <w:i/>
          <w:iCs/>
        </w:rPr>
        <w:t>Clin</w:t>
      </w:r>
      <w:proofErr w:type="spellEnd"/>
      <w:r w:rsidRPr="00CD7EA8">
        <w:rPr>
          <w:rFonts w:ascii="Book Antiqua" w:hAnsi="Book Antiqua"/>
          <w:i/>
          <w:iCs/>
        </w:rPr>
        <w:t xml:space="preserve"> </w:t>
      </w:r>
      <w:proofErr w:type="spellStart"/>
      <w:r w:rsidRPr="00CD7EA8">
        <w:rPr>
          <w:rFonts w:ascii="Book Antiqua" w:hAnsi="Book Antiqua"/>
          <w:i/>
          <w:iCs/>
        </w:rPr>
        <w:t>Gastroenterol</w:t>
      </w:r>
      <w:proofErr w:type="spellEnd"/>
      <w:r w:rsidRPr="00CD7EA8">
        <w:rPr>
          <w:rFonts w:ascii="Book Antiqua" w:hAnsi="Book Antiqua"/>
        </w:rPr>
        <w:t xml:space="preserve"> 2020; </w:t>
      </w:r>
      <w:r w:rsidRPr="00CD7EA8">
        <w:rPr>
          <w:rFonts w:ascii="Book Antiqua" w:hAnsi="Book Antiqua"/>
          <w:b/>
          <w:bCs/>
        </w:rPr>
        <w:t>54</w:t>
      </w:r>
      <w:r w:rsidRPr="00CD7EA8">
        <w:rPr>
          <w:rFonts w:ascii="Book Antiqua" w:hAnsi="Book Antiqua"/>
        </w:rPr>
        <w:t>: 806-812 [PMID: 31904681 DOI: 10.1097/MCG.0000000000001278]</w:t>
      </w:r>
    </w:p>
    <w:p w14:paraId="53973A48" w14:textId="77777777" w:rsidR="00034735" w:rsidRPr="00CD7EA8" w:rsidRDefault="00034735" w:rsidP="00CD7EA8">
      <w:pPr>
        <w:spacing w:line="360" w:lineRule="auto"/>
        <w:jc w:val="both"/>
        <w:rPr>
          <w:rFonts w:ascii="Book Antiqua" w:hAnsi="Book Antiqua"/>
        </w:rPr>
      </w:pPr>
      <w:r w:rsidRPr="00CD7EA8">
        <w:rPr>
          <w:rFonts w:ascii="Book Antiqua" w:hAnsi="Book Antiqua"/>
        </w:rPr>
        <w:lastRenderedPageBreak/>
        <w:t xml:space="preserve">34 </w:t>
      </w:r>
      <w:r w:rsidRPr="00CD7EA8">
        <w:rPr>
          <w:rFonts w:ascii="Book Antiqua" w:hAnsi="Book Antiqua"/>
          <w:b/>
          <w:bCs/>
        </w:rPr>
        <w:t>Kim JS</w:t>
      </w:r>
      <w:r w:rsidRPr="00CD7EA8">
        <w:rPr>
          <w:rFonts w:ascii="Book Antiqua" w:hAnsi="Book Antiqua"/>
        </w:rPr>
        <w:t xml:space="preserve">, Park SM, Kim BW. Sequential or concomitant therapy for eradication of Helicobacter pylori infection: A systematic review and meta-analysis. </w:t>
      </w:r>
      <w:r w:rsidRPr="00CD7EA8">
        <w:rPr>
          <w:rFonts w:ascii="Book Antiqua" w:hAnsi="Book Antiqua"/>
          <w:i/>
          <w:iCs/>
        </w:rPr>
        <w:t xml:space="preserve">J </w:t>
      </w:r>
      <w:proofErr w:type="spellStart"/>
      <w:r w:rsidRPr="00CD7EA8">
        <w:rPr>
          <w:rFonts w:ascii="Book Antiqua" w:hAnsi="Book Antiqua"/>
          <w:i/>
          <w:iCs/>
        </w:rPr>
        <w:t>Gastroenterol</w:t>
      </w:r>
      <w:proofErr w:type="spellEnd"/>
      <w:r w:rsidRPr="00CD7EA8">
        <w:rPr>
          <w:rFonts w:ascii="Book Antiqua" w:hAnsi="Book Antiqua"/>
          <w:i/>
          <w:iCs/>
        </w:rPr>
        <w:t xml:space="preserve"> </w:t>
      </w:r>
      <w:proofErr w:type="spellStart"/>
      <w:r w:rsidRPr="00CD7EA8">
        <w:rPr>
          <w:rFonts w:ascii="Book Antiqua" w:hAnsi="Book Antiqua"/>
          <w:i/>
          <w:iCs/>
        </w:rPr>
        <w:t>Hepatol</w:t>
      </w:r>
      <w:proofErr w:type="spellEnd"/>
      <w:r w:rsidRPr="00CD7EA8">
        <w:rPr>
          <w:rFonts w:ascii="Book Antiqua" w:hAnsi="Book Antiqua"/>
        </w:rPr>
        <w:t xml:space="preserve"> 2015; </w:t>
      </w:r>
      <w:r w:rsidRPr="00CD7EA8">
        <w:rPr>
          <w:rFonts w:ascii="Book Antiqua" w:hAnsi="Book Antiqua"/>
          <w:b/>
          <w:bCs/>
        </w:rPr>
        <w:t>30</w:t>
      </w:r>
      <w:r w:rsidRPr="00CD7EA8">
        <w:rPr>
          <w:rFonts w:ascii="Book Antiqua" w:hAnsi="Book Antiqua"/>
        </w:rPr>
        <w:t>: 1338-1345 [PMID: 25867718 DOI: 10.1111/jgh.12984]</w:t>
      </w:r>
    </w:p>
    <w:p w14:paraId="6BA3CE32"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35 </w:t>
      </w:r>
      <w:r w:rsidRPr="00CD7EA8">
        <w:rPr>
          <w:rFonts w:ascii="Book Antiqua" w:hAnsi="Book Antiqua"/>
          <w:b/>
          <w:bCs/>
        </w:rPr>
        <w:t>Kate V</w:t>
      </w:r>
      <w:r w:rsidRPr="00CD7EA8">
        <w:rPr>
          <w:rFonts w:ascii="Book Antiqua" w:hAnsi="Book Antiqua"/>
        </w:rPr>
        <w:t xml:space="preserve">, </w:t>
      </w:r>
      <w:proofErr w:type="spellStart"/>
      <w:r w:rsidRPr="00CD7EA8">
        <w:rPr>
          <w:rFonts w:ascii="Book Antiqua" w:hAnsi="Book Antiqua"/>
        </w:rPr>
        <w:t>Kalayarasan</w:t>
      </w:r>
      <w:proofErr w:type="spellEnd"/>
      <w:r w:rsidRPr="00CD7EA8">
        <w:rPr>
          <w:rFonts w:ascii="Book Antiqua" w:hAnsi="Book Antiqua"/>
        </w:rPr>
        <w:t xml:space="preserve"> R, </w:t>
      </w:r>
      <w:proofErr w:type="spellStart"/>
      <w:r w:rsidRPr="00CD7EA8">
        <w:rPr>
          <w:rFonts w:ascii="Book Antiqua" w:hAnsi="Book Antiqua"/>
        </w:rPr>
        <w:t>Ananthakrishnan</w:t>
      </w:r>
      <w:proofErr w:type="spellEnd"/>
      <w:r w:rsidRPr="00CD7EA8">
        <w:rPr>
          <w:rFonts w:ascii="Book Antiqua" w:hAnsi="Book Antiqua"/>
        </w:rPr>
        <w:t xml:space="preserve"> N. Sequential therapy versus standard triple-drug therapy for Helicobacter pylori eradication: a systematic review of recent evidence. </w:t>
      </w:r>
      <w:r w:rsidRPr="00CD7EA8">
        <w:rPr>
          <w:rFonts w:ascii="Book Antiqua" w:hAnsi="Book Antiqua"/>
          <w:i/>
          <w:iCs/>
        </w:rPr>
        <w:t>Drugs</w:t>
      </w:r>
      <w:r w:rsidRPr="00CD7EA8">
        <w:rPr>
          <w:rFonts w:ascii="Book Antiqua" w:hAnsi="Book Antiqua"/>
        </w:rPr>
        <w:t xml:space="preserve"> 2013; </w:t>
      </w:r>
      <w:r w:rsidRPr="00CD7EA8">
        <w:rPr>
          <w:rFonts w:ascii="Book Antiqua" w:hAnsi="Book Antiqua"/>
          <w:b/>
          <w:bCs/>
        </w:rPr>
        <w:t>73</w:t>
      </w:r>
      <w:r w:rsidRPr="00CD7EA8">
        <w:rPr>
          <w:rFonts w:ascii="Book Antiqua" w:hAnsi="Book Antiqua"/>
        </w:rPr>
        <w:t>: 815-824 [PMID: 23625272 DOI: 10.1007/s40265-013-0053-z]</w:t>
      </w:r>
    </w:p>
    <w:p w14:paraId="062A3F8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36 </w:t>
      </w:r>
      <w:proofErr w:type="spellStart"/>
      <w:r w:rsidRPr="00CD7EA8">
        <w:rPr>
          <w:rFonts w:ascii="Book Antiqua" w:hAnsi="Book Antiqua"/>
          <w:b/>
          <w:bCs/>
        </w:rPr>
        <w:t>Valooran</w:t>
      </w:r>
      <w:proofErr w:type="spellEnd"/>
      <w:r w:rsidRPr="00CD7EA8">
        <w:rPr>
          <w:rFonts w:ascii="Book Antiqua" w:hAnsi="Book Antiqua"/>
          <w:b/>
          <w:bCs/>
        </w:rPr>
        <w:t xml:space="preserve"> GJ</w:t>
      </w:r>
      <w:r w:rsidRPr="00CD7EA8">
        <w:rPr>
          <w:rFonts w:ascii="Book Antiqua" w:hAnsi="Book Antiqua"/>
        </w:rPr>
        <w:t xml:space="preserve">, Kate V, </w:t>
      </w:r>
      <w:proofErr w:type="spellStart"/>
      <w:r w:rsidRPr="00CD7EA8">
        <w:rPr>
          <w:rFonts w:ascii="Book Antiqua" w:hAnsi="Book Antiqua"/>
        </w:rPr>
        <w:t>Jagdish</w:t>
      </w:r>
      <w:proofErr w:type="spellEnd"/>
      <w:r w:rsidRPr="00CD7EA8">
        <w:rPr>
          <w:rFonts w:ascii="Book Antiqua" w:hAnsi="Book Antiqua"/>
        </w:rPr>
        <w:t xml:space="preserve"> S, </w:t>
      </w:r>
      <w:proofErr w:type="spellStart"/>
      <w:r w:rsidRPr="00CD7EA8">
        <w:rPr>
          <w:rFonts w:ascii="Book Antiqua" w:hAnsi="Book Antiqua"/>
        </w:rPr>
        <w:t>Basu</w:t>
      </w:r>
      <w:proofErr w:type="spellEnd"/>
      <w:r w:rsidRPr="00CD7EA8">
        <w:rPr>
          <w:rFonts w:ascii="Book Antiqua" w:hAnsi="Book Antiqua"/>
        </w:rPr>
        <w:t xml:space="preserve"> D. Sequential therapy versus standard triple drug therapy for eradication of Helicobacter pylori in patients with perforated duodenal ulcer following simple closure. </w:t>
      </w:r>
      <w:proofErr w:type="spellStart"/>
      <w:r w:rsidRPr="00CD7EA8">
        <w:rPr>
          <w:rFonts w:ascii="Book Antiqua" w:hAnsi="Book Antiqua"/>
          <w:i/>
          <w:iCs/>
        </w:rPr>
        <w:t>Scand</w:t>
      </w:r>
      <w:proofErr w:type="spellEnd"/>
      <w:r w:rsidRPr="00CD7EA8">
        <w:rPr>
          <w:rFonts w:ascii="Book Antiqua" w:hAnsi="Book Antiqua"/>
          <w:i/>
          <w:iCs/>
        </w:rPr>
        <w:t xml:space="preserve"> J </w:t>
      </w:r>
      <w:proofErr w:type="spellStart"/>
      <w:r w:rsidRPr="00CD7EA8">
        <w:rPr>
          <w:rFonts w:ascii="Book Antiqua" w:hAnsi="Book Antiqua"/>
          <w:i/>
          <w:iCs/>
        </w:rPr>
        <w:t>Gastroenterol</w:t>
      </w:r>
      <w:proofErr w:type="spellEnd"/>
      <w:r w:rsidRPr="00CD7EA8">
        <w:rPr>
          <w:rFonts w:ascii="Book Antiqua" w:hAnsi="Book Antiqua"/>
        </w:rPr>
        <w:t xml:space="preserve"> 2011; </w:t>
      </w:r>
      <w:r w:rsidRPr="00CD7EA8">
        <w:rPr>
          <w:rFonts w:ascii="Book Antiqua" w:hAnsi="Book Antiqua"/>
          <w:b/>
          <w:bCs/>
        </w:rPr>
        <w:t>46</w:t>
      </w:r>
      <w:r w:rsidRPr="00CD7EA8">
        <w:rPr>
          <w:rFonts w:ascii="Book Antiqua" w:hAnsi="Book Antiqua"/>
        </w:rPr>
        <w:t>: 1045-1050 [PMID: 21627398 DOI: 10.3109/00365521.2011.584894]</w:t>
      </w:r>
    </w:p>
    <w:p w14:paraId="1DD44FDA" w14:textId="77777777" w:rsidR="00034735" w:rsidRPr="00CD7EA8" w:rsidRDefault="00034735" w:rsidP="00CD7EA8">
      <w:pPr>
        <w:spacing w:line="360" w:lineRule="auto"/>
        <w:jc w:val="both"/>
        <w:rPr>
          <w:rFonts w:ascii="Book Antiqua" w:hAnsi="Book Antiqua"/>
        </w:rPr>
      </w:pPr>
      <w:r w:rsidRPr="00CD7EA8">
        <w:rPr>
          <w:rFonts w:ascii="Book Antiqua" w:hAnsi="Book Antiqua"/>
        </w:rPr>
        <w:t xml:space="preserve">37 </w:t>
      </w:r>
      <w:r w:rsidRPr="00CD7EA8">
        <w:rPr>
          <w:rFonts w:ascii="Book Antiqua" w:hAnsi="Book Antiqua"/>
          <w:b/>
          <w:bCs/>
        </w:rPr>
        <w:t>Zhou YQ</w:t>
      </w:r>
      <w:r w:rsidRPr="00CD7EA8">
        <w:rPr>
          <w:rFonts w:ascii="Book Antiqua" w:hAnsi="Book Antiqua"/>
        </w:rPr>
        <w:t xml:space="preserve">, </w:t>
      </w:r>
      <w:proofErr w:type="spellStart"/>
      <w:r w:rsidRPr="00CD7EA8">
        <w:rPr>
          <w:rFonts w:ascii="Book Antiqua" w:hAnsi="Book Antiqua"/>
        </w:rPr>
        <w:t>Xu</w:t>
      </w:r>
      <w:proofErr w:type="spellEnd"/>
      <w:r w:rsidRPr="00CD7EA8">
        <w:rPr>
          <w:rFonts w:ascii="Book Antiqua" w:hAnsi="Book Antiqua"/>
        </w:rPr>
        <w:t xml:space="preserve"> L, Wang BF, Fan XM, Wu JY, Wang CY, </w:t>
      </w:r>
      <w:proofErr w:type="spellStart"/>
      <w:r w:rsidRPr="00CD7EA8">
        <w:rPr>
          <w:rFonts w:ascii="Book Antiqua" w:hAnsi="Book Antiqua"/>
        </w:rPr>
        <w:t>Guo</w:t>
      </w:r>
      <w:proofErr w:type="spellEnd"/>
      <w:r w:rsidRPr="00CD7EA8">
        <w:rPr>
          <w:rFonts w:ascii="Book Antiqua" w:hAnsi="Book Antiqua"/>
        </w:rPr>
        <w:t xml:space="preserve"> CY, </w:t>
      </w:r>
      <w:proofErr w:type="spellStart"/>
      <w:r w:rsidRPr="00CD7EA8">
        <w:rPr>
          <w:rFonts w:ascii="Book Antiqua" w:hAnsi="Book Antiqua"/>
        </w:rPr>
        <w:t>Xu</w:t>
      </w:r>
      <w:proofErr w:type="spellEnd"/>
      <w:r w:rsidRPr="00CD7EA8">
        <w:rPr>
          <w:rFonts w:ascii="Book Antiqua" w:hAnsi="Book Antiqua"/>
        </w:rPr>
        <w:t xml:space="preserve"> XF. </w:t>
      </w:r>
      <w:proofErr w:type="gramStart"/>
      <w:r w:rsidRPr="00CD7EA8">
        <w:rPr>
          <w:rFonts w:ascii="Book Antiqua" w:hAnsi="Book Antiqua"/>
        </w:rPr>
        <w:t>Modified Sequential Therapy Regimen versus Conventional Triple Therapy for Helicobacter Pylori Eradication in Duodenal Ulcer Patients in China: A Multicenter Clinical Comparative Study.</w:t>
      </w:r>
      <w:proofErr w:type="gramEnd"/>
      <w:r w:rsidRPr="00CD7EA8">
        <w:rPr>
          <w:rFonts w:ascii="Book Antiqua" w:hAnsi="Book Antiqua"/>
        </w:rPr>
        <w:t xml:space="preserve"> </w:t>
      </w:r>
      <w:proofErr w:type="spellStart"/>
      <w:r w:rsidRPr="00CD7EA8">
        <w:rPr>
          <w:rFonts w:ascii="Book Antiqua" w:hAnsi="Book Antiqua"/>
          <w:i/>
          <w:iCs/>
        </w:rPr>
        <w:t>Gastroenterol</w:t>
      </w:r>
      <w:proofErr w:type="spellEnd"/>
      <w:r w:rsidRPr="00CD7EA8">
        <w:rPr>
          <w:rFonts w:ascii="Book Antiqua" w:hAnsi="Book Antiqua"/>
          <w:i/>
          <w:iCs/>
        </w:rPr>
        <w:t xml:space="preserve"> Res </w:t>
      </w:r>
      <w:proofErr w:type="spellStart"/>
      <w:r w:rsidRPr="00CD7EA8">
        <w:rPr>
          <w:rFonts w:ascii="Book Antiqua" w:hAnsi="Book Antiqua"/>
          <w:i/>
          <w:iCs/>
        </w:rPr>
        <w:t>Pract</w:t>
      </w:r>
      <w:proofErr w:type="spellEnd"/>
      <w:r w:rsidRPr="00CD7EA8">
        <w:rPr>
          <w:rFonts w:ascii="Book Antiqua" w:hAnsi="Book Antiqua"/>
        </w:rPr>
        <w:t xml:space="preserve"> 2012; </w:t>
      </w:r>
      <w:r w:rsidRPr="00CD7EA8">
        <w:rPr>
          <w:rFonts w:ascii="Book Antiqua" w:hAnsi="Book Antiqua"/>
          <w:b/>
          <w:bCs/>
        </w:rPr>
        <w:t>2012</w:t>
      </w:r>
      <w:r w:rsidRPr="00CD7EA8">
        <w:rPr>
          <w:rFonts w:ascii="Book Antiqua" w:hAnsi="Book Antiqua"/>
        </w:rPr>
        <w:t>: 405425 [PMID: 22550478 DOI: 10.1155/2012/405425]</w:t>
      </w:r>
    </w:p>
    <w:bookmarkEnd w:id="232"/>
    <w:bookmarkEnd w:id="233"/>
    <w:p w14:paraId="701E94FA" w14:textId="77777777" w:rsidR="00A77B3E" w:rsidRPr="00CD7EA8" w:rsidRDefault="00A77B3E" w:rsidP="00CD7EA8">
      <w:pPr>
        <w:spacing w:line="360" w:lineRule="auto"/>
        <w:jc w:val="both"/>
        <w:rPr>
          <w:rFonts w:ascii="Book Antiqua" w:hAnsi="Book Antiqua"/>
        </w:rPr>
        <w:sectPr w:rsidR="00A77B3E" w:rsidRPr="00CD7EA8">
          <w:pgSz w:w="12240" w:h="15840"/>
          <w:pgMar w:top="1440" w:right="1440" w:bottom="1440" w:left="1440" w:header="720" w:footer="720" w:gutter="0"/>
          <w:cols w:space="720"/>
          <w:docGrid w:linePitch="360"/>
        </w:sectPr>
      </w:pPr>
    </w:p>
    <w:p w14:paraId="604625E4"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lastRenderedPageBreak/>
        <w:t>Footnotes</w:t>
      </w:r>
    </w:p>
    <w:p w14:paraId="7E288B6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Institutional review board statement: </w:t>
      </w:r>
      <w:r w:rsidRPr="00CD7EA8">
        <w:rPr>
          <w:rFonts w:ascii="Book Antiqua" w:eastAsia="Book Antiqua" w:hAnsi="Book Antiqua" w:cs="Book Antiqua"/>
        </w:rPr>
        <w:t>An Institutional Review Board (Scientific committee at Mohammed V Military Teaching Hospital of Rabat) reviewed and approved the trial protocol. Our study was performed in accordance with the ethical standards as laid down in the 1964 Declaration of Helsinki and its later amendments.</w:t>
      </w:r>
    </w:p>
    <w:p w14:paraId="74788D49" w14:textId="77777777" w:rsidR="00A77B3E" w:rsidRPr="00CD7EA8" w:rsidRDefault="00A77B3E" w:rsidP="00CD7EA8">
      <w:pPr>
        <w:spacing w:line="360" w:lineRule="auto"/>
        <w:jc w:val="both"/>
        <w:rPr>
          <w:rFonts w:ascii="Book Antiqua" w:hAnsi="Book Antiqua"/>
        </w:rPr>
      </w:pPr>
    </w:p>
    <w:p w14:paraId="4FD1236D" w14:textId="4034FDEB"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Clinical trial registration statement: </w:t>
      </w:r>
      <w:r w:rsidRPr="00CD7EA8">
        <w:rPr>
          <w:rFonts w:ascii="Book Antiqua" w:eastAsia="Book Antiqua" w:hAnsi="Book Antiqua" w:cs="Book Antiqua"/>
        </w:rPr>
        <w:t>Our clinical trial has been retrospectively registered in the Pan African Clinical Trial Registry (</w:t>
      </w:r>
      <w:hyperlink r:id="rId11" w:history="1">
        <w:r w:rsidRPr="00CD7EA8">
          <w:rPr>
            <w:rFonts w:ascii="Book Antiqua" w:eastAsia="Book Antiqua" w:hAnsi="Book Antiqua" w:cs="Book Antiqua"/>
          </w:rPr>
          <w:t>www.pactr.org</w:t>
        </w:r>
      </w:hyperlink>
      <w:r w:rsidRPr="00CD7EA8">
        <w:rPr>
          <w:rFonts w:ascii="Book Antiqua" w:eastAsia="Book Antiqua" w:hAnsi="Book Antiqua" w:cs="Book Antiqua"/>
        </w:rPr>
        <w:t xml:space="preserve">) on </w:t>
      </w:r>
      <w:r w:rsidR="00034735" w:rsidRPr="00CD7EA8">
        <w:rPr>
          <w:rFonts w:ascii="Book Antiqua" w:eastAsia="Book Antiqua" w:hAnsi="Book Antiqua" w:cs="Book Antiqua"/>
        </w:rPr>
        <w:t xml:space="preserve">December 7, </w:t>
      </w:r>
      <w:r w:rsidRPr="00CD7EA8">
        <w:rPr>
          <w:rFonts w:ascii="Book Antiqua" w:eastAsia="Book Antiqua" w:hAnsi="Book Antiqua" w:cs="Book Antiqua"/>
        </w:rPr>
        <w:t xml:space="preserve">2021, </w:t>
      </w:r>
      <w:r w:rsidR="00A870C2">
        <w:rPr>
          <w:rFonts w:ascii="Book Antiqua" w:eastAsia="Book Antiqua" w:hAnsi="Book Antiqua" w:cs="Book Antiqua"/>
        </w:rPr>
        <w:t>R</w:t>
      </w:r>
      <w:r w:rsidRPr="00CD7EA8">
        <w:rPr>
          <w:rFonts w:ascii="Book Antiqua" w:eastAsia="Book Antiqua" w:hAnsi="Book Antiqua" w:cs="Book Antiqua"/>
        </w:rPr>
        <w:t xml:space="preserve">egistration </w:t>
      </w:r>
      <w:r w:rsidR="00A870C2">
        <w:rPr>
          <w:rFonts w:ascii="Book Antiqua" w:eastAsia="Book Antiqua" w:hAnsi="Book Antiqua" w:cs="Book Antiqua"/>
        </w:rPr>
        <w:t>No.</w:t>
      </w:r>
      <w:r w:rsidRPr="00CD7EA8">
        <w:rPr>
          <w:rFonts w:ascii="Book Antiqua" w:eastAsia="Book Antiqua" w:hAnsi="Book Antiqua" w:cs="Book Antiqua"/>
        </w:rPr>
        <w:t>: PACTR202112632957229.</w:t>
      </w:r>
    </w:p>
    <w:p w14:paraId="2548FAD2" w14:textId="77777777" w:rsidR="00A77B3E" w:rsidRPr="00CD7EA8" w:rsidRDefault="00A77B3E" w:rsidP="00CD7EA8">
      <w:pPr>
        <w:spacing w:line="360" w:lineRule="auto"/>
        <w:jc w:val="both"/>
        <w:rPr>
          <w:rFonts w:ascii="Book Antiqua" w:hAnsi="Book Antiqua"/>
        </w:rPr>
      </w:pPr>
    </w:p>
    <w:p w14:paraId="7BCB052E" w14:textId="4BFE04B3"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Informed consent statement: </w:t>
      </w:r>
      <w:r w:rsidRPr="00CD7EA8">
        <w:rPr>
          <w:rFonts w:ascii="Book Antiqua" w:eastAsia="Book Antiqua" w:hAnsi="Book Antiqua" w:cs="Book Antiqua"/>
        </w:rPr>
        <w:t>All patients included in the study provided written informed consent before being enrolled in the trial.</w:t>
      </w:r>
    </w:p>
    <w:p w14:paraId="3692AD13" w14:textId="77777777" w:rsidR="00A77B3E" w:rsidRPr="00CD7EA8" w:rsidRDefault="00A77B3E" w:rsidP="00CD7EA8">
      <w:pPr>
        <w:spacing w:line="360" w:lineRule="auto"/>
        <w:jc w:val="both"/>
        <w:rPr>
          <w:rFonts w:ascii="Book Antiqua" w:hAnsi="Book Antiqua"/>
        </w:rPr>
      </w:pPr>
    </w:p>
    <w:p w14:paraId="34067304" w14:textId="0CC3C7F8"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Conflict-of-interest statement: </w:t>
      </w:r>
      <w:r w:rsidR="005C0FCB">
        <w:rPr>
          <w:rFonts w:ascii="Book Antiqua" w:eastAsia="Book Antiqua" w:hAnsi="Book Antiqua" w:cs="Book Antiqua"/>
          <w:color w:val="000000"/>
        </w:rPr>
        <w:t>T</w:t>
      </w:r>
      <w:r w:rsidRPr="00CD7EA8">
        <w:rPr>
          <w:rFonts w:ascii="Book Antiqua" w:eastAsia="Book Antiqua" w:hAnsi="Book Antiqua" w:cs="Book Antiqua"/>
          <w:color w:val="000000"/>
        </w:rPr>
        <w:t xml:space="preserve">he authors report </w:t>
      </w:r>
      <w:r w:rsidR="00A870C2">
        <w:rPr>
          <w:rFonts w:ascii="Book Antiqua" w:eastAsia="Book Antiqua" w:hAnsi="Book Antiqua" w:cs="Book Antiqua"/>
          <w:color w:val="000000"/>
        </w:rPr>
        <w:t xml:space="preserve">having </w:t>
      </w:r>
      <w:r w:rsidRPr="00CD7EA8">
        <w:rPr>
          <w:rFonts w:ascii="Book Antiqua" w:eastAsia="Book Antiqua" w:hAnsi="Book Antiqua" w:cs="Book Antiqua"/>
          <w:color w:val="000000"/>
        </w:rPr>
        <w:t>no relevant conflicts of interest for this article.</w:t>
      </w:r>
    </w:p>
    <w:p w14:paraId="7677345F" w14:textId="77777777" w:rsidR="00A77B3E" w:rsidRPr="00CD7EA8" w:rsidRDefault="00A77B3E" w:rsidP="00CD7EA8">
      <w:pPr>
        <w:spacing w:line="360" w:lineRule="auto"/>
        <w:jc w:val="both"/>
        <w:rPr>
          <w:rFonts w:ascii="Book Antiqua" w:hAnsi="Book Antiqua"/>
        </w:rPr>
      </w:pPr>
    </w:p>
    <w:p w14:paraId="56210B2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Data sharing statement: </w:t>
      </w:r>
      <w:r w:rsidRPr="00CD7EA8">
        <w:rPr>
          <w:rFonts w:ascii="Book Antiqua" w:eastAsia="Book Antiqua" w:hAnsi="Book Antiqua" w:cs="Book Antiqua"/>
        </w:rPr>
        <w:t>The datasets generated and/or analyzed during the study are available from the corresponding author on reasonable request.</w:t>
      </w:r>
    </w:p>
    <w:p w14:paraId="4CB50379" w14:textId="77777777" w:rsidR="00A77B3E" w:rsidRPr="00CD7EA8" w:rsidRDefault="00A77B3E" w:rsidP="00CD7EA8">
      <w:pPr>
        <w:spacing w:line="360" w:lineRule="auto"/>
        <w:jc w:val="both"/>
        <w:rPr>
          <w:rFonts w:ascii="Book Antiqua" w:hAnsi="Book Antiqua"/>
        </w:rPr>
      </w:pPr>
    </w:p>
    <w:p w14:paraId="575316E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CONSORT 2010 statement: </w:t>
      </w:r>
      <w:r w:rsidRPr="00CD7EA8">
        <w:rPr>
          <w:rFonts w:ascii="Book Antiqua" w:eastAsia="Book Antiqua" w:hAnsi="Book Antiqua" w:cs="Book Antiqua"/>
          <w:color w:val="000000"/>
        </w:rPr>
        <w:t>The authors have read the CONSORT 2010 Statement, and the manuscript was prepared and revised according to the CONSORT 2010 Statement.</w:t>
      </w:r>
    </w:p>
    <w:p w14:paraId="29A306AC" w14:textId="77777777" w:rsidR="00A77B3E" w:rsidRPr="00CD7EA8" w:rsidRDefault="00A77B3E" w:rsidP="00CD7EA8">
      <w:pPr>
        <w:spacing w:line="360" w:lineRule="auto"/>
        <w:jc w:val="both"/>
        <w:rPr>
          <w:rFonts w:ascii="Book Antiqua" w:hAnsi="Book Antiqua"/>
        </w:rPr>
      </w:pPr>
    </w:p>
    <w:p w14:paraId="6E43AB08" w14:textId="30DE7FD3"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bCs/>
        </w:rPr>
        <w:t xml:space="preserve">Open-Access: </w:t>
      </w:r>
      <w:r w:rsidRPr="00CD7EA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5C0FCB">
        <w:rPr>
          <w:rFonts w:ascii="Book Antiqua" w:eastAsia="Book Antiqua" w:hAnsi="Book Antiqua" w:cs="Book Antiqua"/>
        </w:rPr>
        <w:t>-</w:t>
      </w:r>
      <w:r w:rsidRPr="00CD7EA8">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0534BD" w14:textId="77777777" w:rsidR="00A77B3E" w:rsidRPr="00CD7EA8" w:rsidRDefault="00A77B3E" w:rsidP="00CD7EA8">
      <w:pPr>
        <w:spacing w:line="360" w:lineRule="auto"/>
        <w:jc w:val="both"/>
        <w:rPr>
          <w:rFonts w:ascii="Book Antiqua" w:hAnsi="Book Antiqua"/>
        </w:rPr>
      </w:pPr>
    </w:p>
    <w:p w14:paraId="23C5009E"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Provenance and peer review: </w:t>
      </w:r>
      <w:r w:rsidRPr="00CD7EA8">
        <w:rPr>
          <w:rFonts w:ascii="Book Antiqua" w:eastAsia="Book Antiqua" w:hAnsi="Book Antiqua" w:cs="Book Antiqua"/>
        </w:rPr>
        <w:t xml:space="preserve">Unsolicited article; </w:t>
      </w:r>
      <w:proofErr w:type="gramStart"/>
      <w:r w:rsidRPr="00CD7EA8">
        <w:rPr>
          <w:rFonts w:ascii="Book Antiqua" w:eastAsia="Book Antiqua" w:hAnsi="Book Antiqua" w:cs="Book Antiqua"/>
        </w:rPr>
        <w:t>Externally</w:t>
      </w:r>
      <w:proofErr w:type="gramEnd"/>
      <w:r w:rsidRPr="00CD7EA8">
        <w:rPr>
          <w:rFonts w:ascii="Book Antiqua" w:eastAsia="Book Antiqua" w:hAnsi="Book Antiqua" w:cs="Book Antiqua"/>
        </w:rPr>
        <w:t xml:space="preserve"> peer reviewed.</w:t>
      </w:r>
    </w:p>
    <w:p w14:paraId="57B56B96" w14:textId="77777777" w:rsidR="00A77B3E" w:rsidRPr="00E31A7A" w:rsidRDefault="001060FD" w:rsidP="00CD7EA8">
      <w:pPr>
        <w:spacing w:line="360" w:lineRule="auto"/>
        <w:jc w:val="both"/>
        <w:rPr>
          <w:rFonts w:ascii="Book Antiqua" w:eastAsia="Book Antiqua" w:hAnsi="Book Antiqua" w:cs="Book Antiqua"/>
          <w:lang w:val="fr-FR"/>
        </w:rPr>
      </w:pPr>
      <w:r w:rsidRPr="00E31A7A">
        <w:rPr>
          <w:rFonts w:ascii="Book Antiqua" w:eastAsia="Book Antiqua" w:hAnsi="Book Antiqua" w:cs="Book Antiqua"/>
          <w:b/>
          <w:color w:val="000000"/>
          <w:lang w:val="fr-FR"/>
        </w:rPr>
        <w:t xml:space="preserve">Peer-review model: </w:t>
      </w:r>
      <w:r w:rsidRPr="00E31A7A">
        <w:rPr>
          <w:rFonts w:ascii="Book Antiqua" w:eastAsia="Book Antiqua" w:hAnsi="Book Antiqua" w:cs="Book Antiqua"/>
          <w:lang w:val="fr-FR"/>
        </w:rPr>
        <w:t>Single blind</w:t>
      </w:r>
    </w:p>
    <w:p w14:paraId="29D97FE7" w14:textId="77777777" w:rsidR="00A870C2" w:rsidRPr="00E31A7A" w:rsidRDefault="00A870C2" w:rsidP="00CD7EA8">
      <w:pPr>
        <w:spacing w:line="360" w:lineRule="auto"/>
        <w:jc w:val="both"/>
        <w:rPr>
          <w:rFonts w:ascii="Book Antiqua" w:hAnsi="Book Antiqua"/>
          <w:lang w:val="fr-FR"/>
        </w:rPr>
      </w:pPr>
    </w:p>
    <w:p w14:paraId="65ED508D" w14:textId="11D5596B" w:rsidR="00A77B3E" w:rsidRPr="00E31A7A" w:rsidRDefault="001060FD" w:rsidP="00CD7EA8">
      <w:pPr>
        <w:spacing w:line="360" w:lineRule="auto"/>
        <w:jc w:val="both"/>
        <w:rPr>
          <w:rFonts w:ascii="Book Antiqua" w:hAnsi="Book Antiqua"/>
          <w:lang w:val="fr-FR"/>
        </w:rPr>
      </w:pPr>
      <w:r w:rsidRPr="00E31A7A">
        <w:rPr>
          <w:rFonts w:ascii="Book Antiqua" w:eastAsia="Book Antiqua" w:hAnsi="Book Antiqua" w:cs="Book Antiqua"/>
          <w:b/>
          <w:color w:val="000000"/>
          <w:lang w:val="fr-FR"/>
        </w:rPr>
        <w:t>Corresponding Author</w:t>
      </w:r>
      <w:r w:rsidR="00034735" w:rsidRPr="00E31A7A">
        <w:rPr>
          <w:rFonts w:ascii="Book Antiqua" w:eastAsia="Book Antiqua" w:hAnsi="Book Antiqua" w:cs="Book Antiqua"/>
          <w:b/>
          <w:color w:val="000000"/>
          <w:lang w:val="fr-FR"/>
        </w:rPr>
        <w:t>’</w:t>
      </w:r>
      <w:r w:rsidRPr="00E31A7A">
        <w:rPr>
          <w:rFonts w:ascii="Book Antiqua" w:eastAsia="Book Antiqua" w:hAnsi="Book Antiqua" w:cs="Book Antiqua"/>
          <w:b/>
          <w:color w:val="000000"/>
          <w:lang w:val="fr-FR"/>
        </w:rPr>
        <w:t xml:space="preserve">s Membership in Professional Societies: </w:t>
      </w:r>
      <w:r w:rsidR="00222E45" w:rsidRPr="00CD7EA8">
        <w:rPr>
          <w:rFonts w:ascii="Book Antiqua" w:eastAsia="Book Antiqua" w:hAnsi="Book Antiqua" w:cs="Book Antiqua"/>
          <w:lang w:val="fr-FR"/>
        </w:rPr>
        <w:t xml:space="preserve">United European Gastroenterology; </w:t>
      </w:r>
      <w:r w:rsidRPr="00E31A7A">
        <w:rPr>
          <w:rFonts w:ascii="Book Antiqua" w:eastAsia="Book Antiqua" w:hAnsi="Book Antiqua" w:cs="Book Antiqua"/>
          <w:lang w:val="fr-FR"/>
        </w:rPr>
        <w:t xml:space="preserve">Société Marocaine Des Maladies de L'Appareil Digestif; Société Nationale Française de Gastro-Entérologie; </w:t>
      </w:r>
      <w:r w:rsidR="00034735" w:rsidRPr="00E31A7A">
        <w:rPr>
          <w:rFonts w:ascii="Book Antiqua" w:eastAsia="Book Antiqua" w:hAnsi="Book Antiqua" w:cs="Book Antiqua"/>
          <w:lang w:val="fr-FR"/>
        </w:rPr>
        <w:t>S</w:t>
      </w:r>
      <w:r w:rsidRPr="00E31A7A">
        <w:rPr>
          <w:rFonts w:ascii="Book Antiqua" w:eastAsia="Book Antiqua" w:hAnsi="Book Antiqua" w:cs="Book Antiqua"/>
          <w:lang w:val="fr-FR"/>
        </w:rPr>
        <w:t xml:space="preserve">ociété </w:t>
      </w:r>
      <w:r w:rsidR="00034735" w:rsidRPr="00E31A7A">
        <w:rPr>
          <w:rFonts w:ascii="Book Antiqua" w:eastAsia="Book Antiqua" w:hAnsi="Book Antiqua" w:cs="Book Antiqua"/>
          <w:lang w:val="fr-FR"/>
        </w:rPr>
        <w:t>F</w:t>
      </w:r>
      <w:r w:rsidRPr="00E31A7A">
        <w:rPr>
          <w:rFonts w:ascii="Book Antiqua" w:eastAsia="Book Antiqua" w:hAnsi="Book Antiqua" w:cs="Book Antiqua"/>
          <w:lang w:val="fr-FR"/>
        </w:rPr>
        <w:t xml:space="preserve">rançaise d'endoscopie </w:t>
      </w:r>
      <w:r w:rsidR="00034735" w:rsidRPr="00E31A7A">
        <w:rPr>
          <w:rFonts w:ascii="Book Antiqua" w:eastAsia="Book Antiqua" w:hAnsi="Book Antiqua" w:cs="Book Antiqua"/>
          <w:lang w:val="fr-FR"/>
        </w:rPr>
        <w:t>D</w:t>
      </w:r>
      <w:r w:rsidRPr="00E31A7A">
        <w:rPr>
          <w:rFonts w:ascii="Book Antiqua" w:eastAsia="Book Antiqua" w:hAnsi="Book Antiqua" w:cs="Book Antiqua"/>
          <w:lang w:val="fr-FR"/>
        </w:rPr>
        <w:t xml:space="preserve">igestive; </w:t>
      </w:r>
      <w:r w:rsidR="00034735" w:rsidRPr="00E31A7A">
        <w:rPr>
          <w:rFonts w:ascii="Book Antiqua" w:eastAsia="Book Antiqua" w:hAnsi="Book Antiqua" w:cs="Book Antiqua"/>
          <w:lang w:val="fr-FR"/>
        </w:rPr>
        <w:t>S</w:t>
      </w:r>
      <w:r w:rsidRPr="00E31A7A">
        <w:rPr>
          <w:rFonts w:ascii="Book Antiqua" w:eastAsia="Book Antiqua" w:hAnsi="Book Antiqua" w:cs="Book Antiqua"/>
          <w:lang w:val="fr-FR"/>
        </w:rPr>
        <w:t xml:space="preserve">ociété </w:t>
      </w:r>
      <w:r w:rsidR="00034735" w:rsidRPr="00E31A7A">
        <w:rPr>
          <w:rFonts w:ascii="Book Antiqua" w:eastAsia="Book Antiqua" w:hAnsi="Book Antiqua" w:cs="Book Antiqua"/>
          <w:lang w:val="fr-FR"/>
        </w:rPr>
        <w:t>M</w:t>
      </w:r>
      <w:r w:rsidRPr="00E31A7A">
        <w:rPr>
          <w:rFonts w:ascii="Book Antiqua" w:eastAsia="Book Antiqua" w:hAnsi="Book Antiqua" w:cs="Book Antiqua"/>
          <w:lang w:val="fr-FR"/>
        </w:rPr>
        <w:t xml:space="preserve">arocaine d'endoscopie </w:t>
      </w:r>
      <w:r w:rsidR="00034735" w:rsidRPr="00E31A7A">
        <w:rPr>
          <w:rFonts w:ascii="Book Antiqua" w:eastAsia="Book Antiqua" w:hAnsi="Book Antiqua" w:cs="Book Antiqua"/>
          <w:lang w:val="fr-FR"/>
        </w:rPr>
        <w:t>D</w:t>
      </w:r>
      <w:r w:rsidRPr="00E31A7A">
        <w:rPr>
          <w:rFonts w:ascii="Book Antiqua" w:eastAsia="Book Antiqua" w:hAnsi="Book Antiqua" w:cs="Book Antiqua"/>
          <w:lang w:val="fr-FR"/>
        </w:rPr>
        <w:t>igestive.</w:t>
      </w:r>
    </w:p>
    <w:p w14:paraId="5C38231D" w14:textId="77777777" w:rsidR="00A77B3E" w:rsidRPr="00E31A7A" w:rsidRDefault="00A77B3E" w:rsidP="00CD7EA8">
      <w:pPr>
        <w:spacing w:line="360" w:lineRule="auto"/>
        <w:jc w:val="both"/>
        <w:rPr>
          <w:rFonts w:ascii="Book Antiqua" w:hAnsi="Book Antiqua"/>
          <w:lang w:val="fr-FR"/>
        </w:rPr>
      </w:pPr>
    </w:p>
    <w:p w14:paraId="70A7ECF8"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Peer-review started: </w:t>
      </w:r>
      <w:r w:rsidRPr="00CD7EA8">
        <w:rPr>
          <w:rFonts w:ascii="Book Antiqua" w:eastAsia="Book Antiqua" w:hAnsi="Book Antiqua" w:cs="Book Antiqua"/>
        </w:rPr>
        <w:t>October 6, 2023</w:t>
      </w:r>
    </w:p>
    <w:p w14:paraId="753AD356"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First decision: </w:t>
      </w:r>
      <w:r w:rsidRPr="00CD7EA8">
        <w:rPr>
          <w:rFonts w:ascii="Book Antiqua" w:eastAsia="Book Antiqua" w:hAnsi="Book Antiqua" w:cs="Book Antiqua"/>
        </w:rPr>
        <w:t>November 12, 2023</w:t>
      </w:r>
    </w:p>
    <w:p w14:paraId="6CCA8426" w14:textId="3A3E9E7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Article in press: </w:t>
      </w:r>
      <w:r w:rsidR="005F6707" w:rsidRPr="00E0103E">
        <w:rPr>
          <w:rFonts w:ascii="Book Antiqua" w:hAnsi="Book Antiqua"/>
        </w:rPr>
        <w:t xml:space="preserve">December </w:t>
      </w:r>
      <w:r w:rsidR="005F6707">
        <w:rPr>
          <w:rFonts w:ascii="Book Antiqua" w:hAnsi="Book Antiqua"/>
        </w:rPr>
        <w:t>29</w:t>
      </w:r>
      <w:r w:rsidR="005F6707" w:rsidRPr="00E0103E">
        <w:rPr>
          <w:rFonts w:ascii="Book Antiqua" w:hAnsi="Book Antiqua"/>
        </w:rPr>
        <w:t>, 2023</w:t>
      </w:r>
    </w:p>
    <w:p w14:paraId="303C9407" w14:textId="77777777" w:rsidR="00A77B3E" w:rsidRPr="00CD7EA8" w:rsidRDefault="00A77B3E" w:rsidP="00CD7EA8">
      <w:pPr>
        <w:spacing w:line="360" w:lineRule="auto"/>
        <w:jc w:val="both"/>
        <w:rPr>
          <w:rFonts w:ascii="Book Antiqua" w:hAnsi="Book Antiqua"/>
        </w:rPr>
      </w:pPr>
    </w:p>
    <w:p w14:paraId="1F078B84" w14:textId="7F1544B1"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Specialty type: </w:t>
      </w:r>
      <w:bookmarkStart w:id="234" w:name="OLE_LINK1473"/>
      <w:bookmarkStart w:id="235" w:name="OLE_LINK1474"/>
      <w:r w:rsidR="00034735" w:rsidRPr="00CD7EA8">
        <w:rPr>
          <w:rFonts w:ascii="Book Antiqua" w:eastAsia="微软雅黑" w:hAnsi="Book Antiqua" w:cs="宋体"/>
        </w:rPr>
        <w:t xml:space="preserve">Gastroenterology and </w:t>
      </w:r>
      <w:proofErr w:type="spellStart"/>
      <w:r w:rsidR="00034735" w:rsidRPr="00CD7EA8">
        <w:rPr>
          <w:rFonts w:ascii="Book Antiqua" w:eastAsia="微软雅黑" w:hAnsi="Book Antiqua" w:cs="宋体"/>
        </w:rPr>
        <w:t>hepatology</w:t>
      </w:r>
      <w:bookmarkEnd w:id="234"/>
      <w:bookmarkEnd w:id="235"/>
      <w:proofErr w:type="spellEnd"/>
    </w:p>
    <w:p w14:paraId="7F7FF88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 xml:space="preserve">Country/Territory of origin: </w:t>
      </w:r>
      <w:r w:rsidRPr="00CD7EA8">
        <w:rPr>
          <w:rFonts w:ascii="Book Antiqua" w:eastAsia="Book Antiqua" w:hAnsi="Book Antiqua" w:cs="Book Antiqua"/>
        </w:rPr>
        <w:t>Morocco</w:t>
      </w:r>
    </w:p>
    <w:p w14:paraId="6B6F42D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b/>
          <w:color w:val="000000"/>
        </w:rPr>
        <w:t>Peer-review report’s scientific quality classification</w:t>
      </w:r>
    </w:p>
    <w:p w14:paraId="26650C0D"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 xml:space="preserve">Grade </w:t>
      </w:r>
      <w:proofErr w:type="gramStart"/>
      <w:r w:rsidRPr="00CD7EA8">
        <w:rPr>
          <w:rFonts w:ascii="Book Antiqua" w:eastAsia="Book Antiqua" w:hAnsi="Book Antiqua" w:cs="Book Antiqua"/>
        </w:rPr>
        <w:t>A</w:t>
      </w:r>
      <w:proofErr w:type="gramEnd"/>
      <w:r w:rsidRPr="00CD7EA8">
        <w:rPr>
          <w:rFonts w:ascii="Book Antiqua" w:eastAsia="Book Antiqua" w:hAnsi="Book Antiqua" w:cs="Book Antiqua"/>
        </w:rPr>
        <w:t xml:space="preserve"> (Excellent): 0</w:t>
      </w:r>
    </w:p>
    <w:p w14:paraId="0D8C1AA1"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B (Very good): 0</w:t>
      </w:r>
    </w:p>
    <w:p w14:paraId="52E6460A"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C (Good): C, C</w:t>
      </w:r>
    </w:p>
    <w:p w14:paraId="6719C645"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D (Fair): 0</w:t>
      </w:r>
    </w:p>
    <w:p w14:paraId="62D840B2" w14:textId="77777777" w:rsidR="00A77B3E" w:rsidRPr="00CD7EA8" w:rsidRDefault="001060FD" w:rsidP="00CD7EA8">
      <w:pPr>
        <w:spacing w:line="360" w:lineRule="auto"/>
        <w:jc w:val="both"/>
        <w:rPr>
          <w:rFonts w:ascii="Book Antiqua" w:hAnsi="Book Antiqua"/>
        </w:rPr>
      </w:pPr>
      <w:r w:rsidRPr="00CD7EA8">
        <w:rPr>
          <w:rFonts w:ascii="Book Antiqua" w:eastAsia="Book Antiqua" w:hAnsi="Book Antiqua" w:cs="Book Antiqua"/>
        </w:rPr>
        <w:t>Grade E (Poor): 0</w:t>
      </w:r>
    </w:p>
    <w:p w14:paraId="1D36E1A1" w14:textId="77777777" w:rsidR="00A77B3E" w:rsidRPr="00CD7EA8" w:rsidRDefault="00A77B3E" w:rsidP="00CD7EA8">
      <w:pPr>
        <w:spacing w:line="360" w:lineRule="auto"/>
        <w:jc w:val="both"/>
        <w:rPr>
          <w:rFonts w:ascii="Book Antiqua" w:hAnsi="Book Antiqua"/>
        </w:rPr>
      </w:pPr>
    </w:p>
    <w:p w14:paraId="5D7AA5B8" w14:textId="4ECAD5C1" w:rsidR="00A77B3E" w:rsidRPr="005F6707" w:rsidRDefault="001060FD" w:rsidP="00CD7EA8">
      <w:pPr>
        <w:spacing w:line="360" w:lineRule="auto"/>
        <w:jc w:val="both"/>
        <w:rPr>
          <w:rFonts w:ascii="Book Antiqua" w:hAnsi="Book Antiqua" w:cs="Book Antiqua"/>
          <w:b/>
          <w:color w:val="000000"/>
          <w:lang w:eastAsia="zh-CN"/>
        </w:rPr>
      </w:pPr>
      <w:r w:rsidRPr="00CD7EA8">
        <w:rPr>
          <w:rFonts w:ascii="Book Antiqua" w:eastAsia="Book Antiqua" w:hAnsi="Book Antiqua" w:cs="Book Antiqua"/>
          <w:b/>
          <w:color w:val="000000"/>
        </w:rPr>
        <w:t xml:space="preserve">P-Reviewer: </w:t>
      </w:r>
      <w:proofErr w:type="spellStart"/>
      <w:r w:rsidRPr="00CD7EA8">
        <w:rPr>
          <w:rFonts w:ascii="Book Antiqua" w:eastAsia="Book Antiqua" w:hAnsi="Book Antiqua" w:cs="Book Antiqua"/>
        </w:rPr>
        <w:t>Bordin</w:t>
      </w:r>
      <w:proofErr w:type="spellEnd"/>
      <w:r w:rsidRPr="00CD7EA8">
        <w:rPr>
          <w:rFonts w:ascii="Book Antiqua" w:eastAsia="Book Antiqua" w:hAnsi="Book Antiqua" w:cs="Book Antiqua"/>
        </w:rPr>
        <w:t xml:space="preserve"> DS, Russia; Cheng H, China</w:t>
      </w:r>
      <w:r w:rsidRPr="00CD7EA8">
        <w:rPr>
          <w:rFonts w:ascii="Book Antiqua" w:eastAsia="Book Antiqua" w:hAnsi="Book Antiqua" w:cs="Book Antiqua"/>
          <w:b/>
          <w:color w:val="000000"/>
        </w:rPr>
        <w:t xml:space="preserve"> S-Editor: </w:t>
      </w:r>
      <w:r w:rsidR="00034735" w:rsidRPr="00CD7EA8">
        <w:rPr>
          <w:rFonts w:ascii="Book Antiqua" w:eastAsia="Book Antiqua" w:hAnsi="Book Antiqua" w:cs="Book Antiqua"/>
          <w:bCs/>
          <w:color w:val="000000"/>
        </w:rPr>
        <w:t>Wang JJ</w:t>
      </w:r>
      <w:r w:rsidRPr="00CD7EA8">
        <w:rPr>
          <w:rFonts w:ascii="Book Antiqua" w:eastAsia="Book Antiqua" w:hAnsi="Book Antiqua" w:cs="Book Antiqua"/>
          <w:b/>
          <w:color w:val="000000"/>
        </w:rPr>
        <w:t xml:space="preserve"> L-Editor: </w:t>
      </w:r>
      <w:proofErr w:type="spellStart"/>
      <w:r w:rsidR="00AB2ADE">
        <w:rPr>
          <w:rFonts w:ascii="Book Antiqua" w:eastAsia="Book Antiqua" w:hAnsi="Book Antiqua" w:cs="Book Antiqua"/>
          <w:bCs/>
          <w:color w:val="000000"/>
        </w:rPr>
        <w:t>Filipodia</w:t>
      </w:r>
      <w:proofErr w:type="spellEnd"/>
      <w:r w:rsidRPr="00CD7EA8">
        <w:rPr>
          <w:rFonts w:ascii="Book Antiqua" w:eastAsia="Book Antiqua" w:hAnsi="Book Antiqua" w:cs="Book Antiqua"/>
          <w:b/>
          <w:color w:val="000000"/>
        </w:rPr>
        <w:t xml:space="preserve"> P-Editor: </w:t>
      </w:r>
      <w:r w:rsidR="005F6707" w:rsidRPr="005F6707">
        <w:rPr>
          <w:rFonts w:ascii="Book Antiqua" w:hAnsi="Book Antiqua" w:cs="Book Antiqua" w:hint="eastAsia"/>
          <w:color w:val="000000"/>
          <w:lang w:eastAsia="zh-CN"/>
        </w:rPr>
        <w:t>Yuan YY</w:t>
      </w:r>
    </w:p>
    <w:p w14:paraId="403581C3" w14:textId="77777777" w:rsidR="005F6707" w:rsidRPr="005F6707" w:rsidRDefault="005F6707" w:rsidP="00CD7EA8">
      <w:pPr>
        <w:spacing w:line="360" w:lineRule="auto"/>
        <w:jc w:val="both"/>
        <w:rPr>
          <w:rFonts w:ascii="Book Antiqua" w:hAnsi="Book Antiqua" w:cs="Book Antiqua"/>
          <w:b/>
          <w:color w:val="000000"/>
          <w:lang w:eastAsia="zh-CN"/>
        </w:rPr>
      </w:pPr>
    </w:p>
    <w:p w14:paraId="6594AB3A" w14:textId="77777777" w:rsidR="005F6707" w:rsidRPr="005F6707" w:rsidRDefault="005F6707" w:rsidP="00CD7EA8">
      <w:pPr>
        <w:spacing w:line="360" w:lineRule="auto"/>
        <w:jc w:val="both"/>
        <w:rPr>
          <w:rFonts w:ascii="Book Antiqua" w:hAnsi="Book Antiqua"/>
          <w:lang w:eastAsia="zh-CN"/>
        </w:rPr>
        <w:sectPr w:rsidR="005F6707" w:rsidRPr="005F6707">
          <w:pgSz w:w="12240" w:h="15840"/>
          <w:pgMar w:top="1440" w:right="1440" w:bottom="1440" w:left="1440" w:header="720" w:footer="720" w:gutter="0"/>
          <w:cols w:space="720"/>
          <w:docGrid w:linePitch="360"/>
        </w:sectPr>
      </w:pPr>
    </w:p>
    <w:p w14:paraId="45346194" w14:textId="77777777" w:rsidR="00A77B3E" w:rsidRPr="00CD7EA8" w:rsidRDefault="001060FD" w:rsidP="00CD7EA8">
      <w:pPr>
        <w:spacing w:line="360" w:lineRule="auto"/>
        <w:jc w:val="both"/>
        <w:rPr>
          <w:rFonts w:ascii="Book Antiqua" w:eastAsia="Book Antiqua" w:hAnsi="Book Antiqua" w:cs="Book Antiqua"/>
          <w:b/>
          <w:color w:val="000000"/>
        </w:rPr>
      </w:pPr>
      <w:r w:rsidRPr="00CD7EA8">
        <w:rPr>
          <w:rFonts w:ascii="Book Antiqua" w:eastAsia="Book Antiqua" w:hAnsi="Book Antiqua" w:cs="Book Antiqua"/>
          <w:b/>
          <w:color w:val="000000"/>
        </w:rPr>
        <w:lastRenderedPageBreak/>
        <w:t>Figure Legends</w:t>
      </w:r>
    </w:p>
    <w:p w14:paraId="4F059272" w14:textId="67A2ACB7" w:rsidR="00034735" w:rsidRPr="00CD7EA8" w:rsidRDefault="00ED3485" w:rsidP="00CD7EA8">
      <w:pPr>
        <w:spacing w:line="360" w:lineRule="auto"/>
        <w:jc w:val="both"/>
        <w:rPr>
          <w:rFonts w:ascii="Book Antiqua" w:hAnsi="Book Antiqua"/>
        </w:rPr>
      </w:pPr>
      <w:bookmarkStart w:id="236" w:name="_GoBack"/>
      <w:r>
        <w:rPr>
          <w:rFonts w:ascii="Book Antiqua" w:hAnsi="Book Antiqua"/>
          <w:noProof/>
          <w:lang w:eastAsia="zh-CN"/>
        </w:rPr>
        <w:drawing>
          <wp:inline distT="0" distB="0" distL="0" distR="0" wp14:anchorId="4FE357A1" wp14:editId="37A84EB5">
            <wp:extent cx="5956902" cy="4461514"/>
            <wp:effectExtent l="0" t="0" r="6350" b="0"/>
            <wp:docPr id="13795164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16441" name="图片 1" descr="形状&#10;&#10;中度可信度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6902" cy="4461514"/>
                    </a:xfrm>
                    <a:prstGeom prst="rect">
                      <a:avLst/>
                    </a:prstGeom>
                  </pic:spPr>
                </pic:pic>
              </a:graphicData>
            </a:graphic>
          </wp:inline>
        </w:drawing>
      </w:r>
      <w:bookmarkEnd w:id="236"/>
    </w:p>
    <w:p w14:paraId="05904D86" w14:textId="4DDB2B1E" w:rsidR="00A77B3E" w:rsidRPr="00CD7EA8" w:rsidRDefault="001060FD" w:rsidP="00CD7EA8">
      <w:pPr>
        <w:spacing w:line="360" w:lineRule="auto"/>
        <w:jc w:val="both"/>
        <w:rPr>
          <w:rFonts w:ascii="Book Antiqua" w:eastAsia="Book Antiqua" w:hAnsi="Book Antiqua" w:cs="Book Antiqua"/>
          <w:color w:val="131413"/>
        </w:rPr>
      </w:pPr>
      <w:r w:rsidRPr="00CD7EA8">
        <w:rPr>
          <w:rFonts w:ascii="Book Antiqua" w:eastAsia="Book Antiqua" w:hAnsi="Book Antiqua" w:cs="Book Antiqua"/>
          <w:b/>
          <w:bCs/>
          <w:color w:val="131413"/>
        </w:rPr>
        <w:t xml:space="preserve">Figure 1 Flow-chart of </w:t>
      </w:r>
      <w:r w:rsidR="00475CFA">
        <w:rPr>
          <w:rFonts w:ascii="Book Antiqua" w:eastAsia="Book Antiqua" w:hAnsi="Book Antiqua" w:cs="Book Antiqua"/>
          <w:b/>
          <w:bCs/>
          <w:color w:val="131413"/>
        </w:rPr>
        <w:t xml:space="preserve">study </w:t>
      </w:r>
      <w:r w:rsidRPr="00CD7EA8">
        <w:rPr>
          <w:rFonts w:ascii="Book Antiqua" w:eastAsia="Book Antiqua" w:hAnsi="Book Antiqua" w:cs="Book Antiqua"/>
          <w:b/>
          <w:bCs/>
          <w:color w:val="131413"/>
        </w:rPr>
        <w:t>patients.</w:t>
      </w:r>
    </w:p>
    <w:p w14:paraId="5CBBB2EE" w14:textId="77777777" w:rsidR="00034735" w:rsidRPr="00CD7EA8" w:rsidRDefault="00034735" w:rsidP="00CD7EA8">
      <w:pPr>
        <w:spacing w:line="360" w:lineRule="auto"/>
        <w:jc w:val="both"/>
        <w:rPr>
          <w:rFonts w:ascii="Book Antiqua" w:hAnsi="Book Antiqua"/>
        </w:rPr>
        <w:sectPr w:rsidR="00034735" w:rsidRPr="00CD7EA8">
          <w:pgSz w:w="12240" w:h="15840"/>
          <w:pgMar w:top="1440" w:right="1440" w:bottom="1440" w:left="1440" w:header="720" w:footer="720" w:gutter="0"/>
          <w:cols w:space="720"/>
          <w:docGrid w:linePitch="360"/>
        </w:sectPr>
      </w:pPr>
    </w:p>
    <w:p w14:paraId="6161A622" w14:textId="6C11F650" w:rsidR="00510ECC" w:rsidRPr="00CD7EA8" w:rsidRDefault="00510ECC" w:rsidP="00CD7EA8">
      <w:pPr>
        <w:spacing w:line="360" w:lineRule="auto"/>
        <w:jc w:val="both"/>
        <w:rPr>
          <w:rFonts w:ascii="Book Antiqua" w:hAnsi="Book Antiqua"/>
          <w:b/>
          <w:bCs/>
          <w:color w:val="131413"/>
        </w:rPr>
      </w:pPr>
      <w:r w:rsidRPr="00CD7EA8">
        <w:rPr>
          <w:rFonts w:ascii="Book Antiqua" w:hAnsi="Book Antiqua"/>
          <w:b/>
          <w:bCs/>
          <w:color w:val="131413"/>
        </w:rPr>
        <w:lastRenderedPageBreak/>
        <w:t>Table 1 Basic overall population and group characteristics</w:t>
      </w:r>
    </w:p>
    <w:tbl>
      <w:tblPr>
        <w:tblW w:w="10490" w:type="dxa"/>
        <w:tblInd w:w="-459" w:type="dxa"/>
        <w:tblLayout w:type="fixed"/>
        <w:tblLook w:val="04A0" w:firstRow="1" w:lastRow="0" w:firstColumn="1" w:lastColumn="0" w:noHBand="0" w:noVBand="1"/>
      </w:tblPr>
      <w:tblGrid>
        <w:gridCol w:w="3119"/>
        <w:gridCol w:w="1559"/>
        <w:gridCol w:w="1559"/>
        <w:gridCol w:w="1560"/>
        <w:gridCol w:w="1559"/>
        <w:gridCol w:w="1134"/>
      </w:tblGrid>
      <w:tr w:rsidR="00510ECC" w:rsidRPr="00CD7EA8" w14:paraId="3A05147B" w14:textId="77777777" w:rsidTr="00A04AD3">
        <w:trPr>
          <w:trHeight w:val="408"/>
        </w:trPr>
        <w:tc>
          <w:tcPr>
            <w:tcW w:w="3119" w:type="dxa"/>
            <w:tcBorders>
              <w:top w:val="single" w:sz="4" w:space="0" w:color="auto"/>
              <w:bottom w:val="single" w:sz="4" w:space="0" w:color="auto"/>
            </w:tcBorders>
          </w:tcPr>
          <w:p w14:paraId="3D0C891A" w14:textId="665F4F79" w:rsidR="00510ECC" w:rsidRPr="00CD7EA8" w:rsidRDefault="00A870C2" w:rsidP="00CD7EA8">
            <w:pPr>
              <w:spacing w:line="360" w:lineRule="auto"/>
              <w:jc w:val="both"/>
              <w:rPr>
                <w:rFonts w:ascii="Book Antiqua" w:hAnsi="Book Antiqua"/>
                <w:b/>
                <w:bCs/>
              </w:rPr>
            </w:pPr>
            <w:r>
              <w:rPr>
                <w:rFonts w:ascii="Book Antiqua" w:hAnsi="Book Antiqua"/>
                <w:b/>
                <w:bCs/>
              </w:rPr>
              <w:t>Characteristic</w:t>
            </w:r>
          </w:p>
        </w:tc>
        <w:tc>
          <w:tcPr>
            <w:tcW w:w="1559" w:type="dxa"/>
            <w:tcBorders>
              <w:top w:val="single" w:sz="4" w:space="0" w:color="auto"/>
              <w:bottom w:val="single" w:sz="4" w:space="0" w:color="auto"/>
            </w:tcBorders>
          </w:tcPr>
          <w:p w14:paraId="24F475C0" w14:textId="4B9FBD6C" w:rsidR="00510ECC" w:rsidRPr="00CD7EA8" w:rsidRDefault="00510ECC" w:rsidP="00CD7EA8">
            <w:pPr>
              <w:spacing w:line="360" w:lineRule="auto"/>
              <w:jc w:val="both"/>
              <w:rPr>
                <w:rFonts w:ascii="Book Antiqua" w:hAnsi="Book Antiqua"/>
                <w:b/>
                <w:bCs/>
              </w:rPr>
            </w:pPr>
            <w:r w:rsidRPr="00CD7EA8">
              <w:rPr>
                <w:rFonts w:ascii="Book Antiqua" w:hAnsi="Book Antiqua"/>
                <w:b/>
                <w:bCs/>
              </w:rPr>
              <w:t>Overall</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317</w:t>
            </w:r>
          </w:p>
        </w:tc>
        <w:tc>
          <w:tcPr>
            <w:tcW w:w="1559" w:type="dxa"/>
            <w:tcBorders>
              <w:top w:val="single" w:sz="4" w:space="0" w:color="auto"/>
              <w:bottom w:val="single" w:sz="4" w:space="0" w:color="auto"/>
            </w:tcBorders>
          </w:tcPr>
          <w:p w14:paraId="51560F48" w14:textId="142308E2" w:rsidR="00510ECC" w:rsidRPr="00CD7EA8" w:rsidRDefault="00510ECC" w:rsidP="00CD7EA8">
            <w:pPr>
              <w:spacing w:line="360" w:lineRule="auto"/>
              <w:jc w:val="both"/>
              <w:rPr>
                <w:rFonts w:ascii="Book Antiqua" w:hAnsi="Book Antiqua"/>
                <w:b/>
                <w:bCs/>
              </w:rPr>
            </w:pPr>
            <w:r w:rsidRPr="00CD7EA8">
              <w:rPr>
                <w:rFonts w:ascii="Book Antiqua" w:hAnsi="Book Antiqua"/>
                <w:b/>
                <w:bCs/>
              </w:rPr>
              <w:t>QT-14</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107</w:t>
            </w:r>
          </w:p>
        </w:tc>
        <w:tc>
          <w:tcPr>
            <w:tcW w:w="1560" w:type="dxa"/>
            <w:tcBorders>
              <w:top w:val="single" w:sz="4" w:space="0" w:color="auto"/>
              <w:bottom w:val="single" w:sz="4" w:space="0" w:color="auto"/>
            </w:tcBorders>
          </w:tcPr>
          <w:p w14:paraId="6D951066" w14:textId="08255E24" w:rsidR="00510ECC" w:rsidRPr="00CD7EA8" w:rsidRDefault="00510ECC" w:rsidP="00CD7EA8">
            <w:pPr>
              <w:spacing w:line="360" w:lineRule="auto"/>
              <w:jc w:val="both"/>
              <w:rPr>
                <w:rFonts w:ascii="Book Antiqua" w:hAnsi="Book Antiqua"/>
                <w:b/>
                <w:bCs/>
              </w:rPr>
            </w:pPr>
            <w:r w:rsidRPr="00CD7EA8">
              <w:rPr>
                <w:rFonts w:ascii="Book Antiqua" w:hAnsi="Book Antiqua"/>
                <w:b/>
                <w:bCs/>
              </w:rPr>
              <w:t>QT-10</w:t>
            </w:r>
            <w:r w:rsidR="00A870C2">
              <w:rPr>
                <w:rFonts w:ascii="Book Antiqua" w:hAnsi="Book Antiqua"/>
                <w:b/>
                <w:bCs/>
              </w:rPr>
              <w:t>,</w:t>
            </w:r>
            <w:r w:rsidRPr="00CD7EA8">
              <w:rPr>
                <w:rFonts w:ascii="Book Antiqua" w:hAnsi="Book Antiqua"/>
                <w:b/>
                <w:bCs/>
              </w:rPr>
              <w:t xml:space="preserve"> </w:t>
            </w:r>
            <w:r w:rsidRPr="00CD7EA8">
              <w:rPr>
                <w:rFonts w:ascii="Book Antiqua" w:hAnsi="Book Antiqua"/>
                <w:b/>
                <w:bCs/>
                <w:i/>
                <w:iCs/>
              </w:rPr>
              <w:t>n</w:t>
            </w:r>
            <w:r w:rsidR="00205971" w:rsidRPr="00CD7EA8">
              <w:rPr>
                <w:rFonts w:ascii="Book Antiqua" w:hAnsi="Book Antiqua"/>
                <w:b/>
                <w:bCs/>
              </w:rPr>
              <w:t xml:space="preserve"> </w:t>
            </w:r>
            <w:r w:rsidRPr="00CD7EA8">
              <w:rPr>
                <w:rFonts w:ascii="Book Antiqua" w:hAnsi="Book Antiqua"/>
                <w:b/>
                <w:bCs/>
              </w:rPr>
              <w:t>=</w:t>
            </w:r>
            <w:r w:rsidR="00205971" w:rsidRPr="00CD7EA8">
              <w:rPr>
                <w:rFonts w:ascii="Book Antiqua" w:hAnsi="Book Antiqua"/>
                <w:b/>
                <w:bCs/>
              </w:rPr>
              <w:t xml:space="preserve"> </w:t>
            </w:r>
            <w:r w:rsidRPr="00CD7EA8">
              <w:rPr>
                <w:rFonts w:ascii="Book Antiqua" w:hAnsi="Book Antiqua"/>
                <w:b/>
                <w:bCs/>
              </w:rPr>
              <w:t>105</w:t>
            </w:r>
          </w:p>
        </w:tc>
        <w:tc>
          <w:tcPr>
            <w:tcW w:w="1559" w:type="dxa"/>
            <w:tcBorders>
              <w:top w:val="single" w:sz="4" w:space="0" w:color="auto"/>
              <w:bottom w:val="single" w:sz="4" w:space="0" w:color="auto"/>
            </w:tcBorders>
          </w:tcPr>
          <w:p w14:paraId="0AA311B1" w14:textId="3E43BC49" w:rsidR="00510ECC" w:rsidRPr="00CD7EA8" w:rsidRDefault="00510ECC" w:rsidP="00CD7EA8">
            <w:pPr>
              <w:spacing w:line="360" w:lineRule="auto"/>
              <w:jc w:val="both"/>
              <w:rPr>
                <w:rFonts w:ascii="Book Antiqua" w:hAnsi="Book Antiqua"/>
                <w:b/>
                <w:bCs/>
              </w:rPr>
            </w:pPr>
            <w:r w:rsidRPr="00CD7EA8">
              <w:rPr>
                <w:rFonts w:ascii="Book Antiqua" w:hAnsi="Book Antiqua"/>
                <w:b/>
                <w:bCs/>
              </w:rPr>
              <w:t>OST-14</w:t>
            </w:r>
            <w:r w:rsidR="00A870C2">
              <w:rPr>
                <w:rFonts w:ascii="Book Antiqua" w:hAnsi="Book Antiqua"/>
                <w:b/>
                <w:bCs/>
              </w:rPr>
              <w:t>,</w:t>
            </w:r>
            <w:r w:rsidRPr="00CD7EA8">
              <w:rPr>
                <w:rFonts w:ascii="Book Antiqua" w:hAnsi="Book Antiqua"/>
                <w:b/>
                <w:bCs/>
              </w:rPr>
              <w:t xml:space="preserve"> </w:t>
            </w:r>
            <w:r w:rsidR="00205971" w:rsidRPr="00CD7EA8">
              <w:rPr>
                <w:rFonts w:ascii="Book Antiqua" w:hAnsi="Book Antiqua"/>
                <w:b/>
                <w:bCs/>
                <w:i/>
                <w:iCs/>
              </w:rPr>
              <w:t>n</w:t>
            </w:r>
            <w:r w:rsidR="00205971" w:rsidRPr="00CD7EA8">
              <w:rPr>
                <w:rFonts w:ascii="Book Antiqua" w:hAnsi="Book Antiqua"/>
                <w:b/>
                <w:bCs/>
              </w:rPr>
              <w:t xml:space="preserve"> = </w:t>
            </w:r>
            <w:r w:rsidRPr="00CD7EA8">
              <w:rPr>
                <w:rFonts w:ascii="Book Antiqua" w:hAnsi="Book Antiqua"/>
                <w:b/>
                <w:bCs/>
              </w:rPr>
              <w:t>105</w:t>
            </w:r>
          </w:p>
        </w:tc>
        <w:tc>
          <w:tcPr>
            <w:tcW w:w="1134" w:type="dxa"/>
            <w:tcBorders>
              <w:top w:val="single" w:sz="4" w:space="0" w:color="auto"/>
              <w:bottom w:val="single" w:sz="4" w:space="0" w:color="auto"/>
            </w:tcBorders>
          </w:tcPr>
          <w:p w14:paraId="2CEA77DD" w14:textId="27FC5E88" w:rsidR="00510ECC" w:rsidRPr="00CD7EA8" w:rsidRDefault="00510ECC" w:rsidP="00CD7EA8">
            <w:pPr>
              <w:spacing w:line="360" w:lineRule="auto"/>
              <w:jc w:val="both"/>
              <w:rPr>
                <w:rFonts w:ascii="Book Antiqua" w:hAnsi="Book Antiqua"/>
                <w:b/>
                <w:bCs/>
              </w:rPr>
            </w:pPr>
            <w:r w:rsidRPr="00CD7EA8">
              <w:rPr>
                <w:rFonts w:ascii="Book Antiqua" w:hAnsi="Book Antiqua"/>
                <w:b/>
                <w:bCs/>
                <w:i/>
                <w:iCs/>
              </w:rPr>
              <w:t>P</w:t>
            </w:r>
            <w:r w:rsidRPr="00CD7EA8">
              <w:rPr>
                <w:rFonts w:ascii="Book Antiqua" w:hAnsi="Book Antiqua"/>
                <w:b/>
                <w:bCs/>
              </w:rPr>
              <w:t xml:space="preserve"> value</w:t>
            </w:r>
          </w:p>
        </w:tc>
      </w:tr>
      <w:tr w:rsidR="00510ECC" w:rsidRPr="00CD7EA8" w14:paraId="7B1BD959" w14:textId="77777777" w:rsidTr="00A04AD3">
        <w:trPr>
          <w:trHeight w:val="228"/>
        </w:trPr>
        <w:tc>
          <w:tcPr>
            <w:tcW w:w="3119" w:type="dxa"/>
            <w:tcBorders>
              <w:top w:val="single" w:sz="4" w:space="0" w:color="auto"/>
            </w:tcBorders>
          </w:tcPr>
          <w:p w14:paraId="6FEF7930" w14:textId="22CEDC1E" w:rsidR="00510ECC" w:rsidRPr="00CD7EA8" w:rsidRDefault="00510ECC" w:rsidP="00CD7EA8">
            <w:pPr>
              <w:spacing w:line="360" w:lineRule="auto"/>
              <w:jc w:val="both"/>
              <w:rPr>
                <w:rFonts w:ascii="Book Antiqua" w:hAnsi="Book Antiqua"/>
              </w:rPr>
            </w:pPr>
            <w:r w:rsidRPr="00CD7EA8">
              <w:rPr>
                <w:rFonts w:ascii="Book Antiqua" w:hAnsi="Book Antiqua"/>
              </w:rPr>
              <w:t>Age</w:t>
            </w:r>
            <w:r w:rsidR="00A870C2">
              <w:rPr>
                <w:rFonts w:ascii="Book Antiqua" w:hAnsi="Book Antiqua"/>
              </w:rPr>
              <w:t xml:space="preserve"> in</w:t>
            </w:r>
            <w:r w:rsidRPr="00CD7EA8">
              <w:rPr>
                <w:rFonts w:ascii="Book Antiqua" w:hAnsi="Book Antiqua"/>
              </w:rPr>
              <w:t xml:space="preserve"> </w:t>
            </w:r>
            <w:proofErr w:type="spellStart"/>
            <w:r w:rsidRPr="00CD7EA8">
              <w:rPr>
                <w:rFonts w:ascii="Book Antiqua" w:hAnsi="Book Antiqua"/>
              </w:rPr>
              <w:t>yr</w:t>
            </w:r>
            <w:proofErr w:type="spellEnd"/>
            <w:r w:rsidR="00A870C2">
              <w:rPr>
                <w:rFonts w:ascii="Book Antiqua" w:hAnsi="Book Antiqua"/>
              </w:rPr>
              <w:t>,</w:t>
            </w:r>
            <w:r w:rsidRPr="00CD7EA8">
              <w:rPr>
                <w:rFonts w:ascii="Book Antiqua" w:hAnsi="Book Antiqua"/>
              </w:rPr>
              <w:t xml:space="preserve"> mean ± SD</w:t>
            </w:r>
          </w:p>
        </w:tc>
        <w:tc>
          <w:tcPr>
            <w:tcW w:w="1559" w:type="dxa"/>
            <w:tcBorders>
              <w:top w:val="single" w:sz="4" w:space="0" w:color="auto"/>
            </w:tcBorders>
          </w:tcPr>
          <w:p w14:paraId="510923B8" w14:textId="4CCEC716" w:rsidR="00510ECC" w:rsidRPr="00CD7EA8" w:rsidRDefault="00510ECC" w:rsidP="00CD7EA8">
            <w:pPr>
              <w:spacing w:line="360" w:lineRule="auto"/>
              <w:jc w:val="both"/>
              <w:rPr>
                <w:rFonts w:ascii="Book Antiqua" w:hAnsi="Book Antiqua"/>
              </w:rPr>
            </w:pPr>
            <w:r w:rsidRPr="00CD7EA8">
              <w:rPr>
                <w:rFonts w:ascii="Book Antiqua" w:hAnsi="Book Antiqua"/>
              </w:rPr>
              <w:t>44.13 ± 15.30</w:t>
            </w:r>
          </w:p>
        </w:tc>
        <w:tc>
          <w:tcPr>
            <w:tcW w:w="1559" w:type="dxa"/>
            <w:tcBorders>
              <w:top w:val="single" w:sz="4" w:space="0" w:color="auto"/>
            </w:tcBorders>
          </w:tcPr>
          <w:p w14:paraId="66AC184B" w14:textId="4AE17DD3" w:rsidR="00510ECC" w:rsidRPr="00CD7EA8" w:rsidRDefault="00510ECC" w:rsidP="00CD7EA8">
            <w:pPr>
              <w:spacing w:line="360" w:lineRule="auto"/>
              <w:jc w:val="both"/>
              <w:rPr>
                <w:rFonts w:ascii="Book Antiqua" w:hAnsi="Book Antiqua"/>
              </w:rPr>
            </w:pPr>
            <w:r w:rsidRPr="00CD7EA8">
              <w:rPr>
                <w:rFonts w:ascii="Book Antiqua" w:hAnsi="Book Antiqua"/>
              </w:rPr>
              <w:t>43.37 ± 14.40</w:t>
            </w:r>
          </w:p>
        </w:tc>
        <w:tc>
          <w:tcPr>
            <w:tcW w:w="1560" w:type="dxa"/>
            <w:tcBorders>
              <w:top w:val="single" w:sz="4" w:space="0" w:color="auto"/>
            </w:tcBorders>
          </w:tcPr>
          <w:p w14:paraId="732CD5E7" w14:textId="2C6310A6" w:rsidR="00510ECC" w:rsidRPr="00CD7EA8" w:rsidRDefault="00510ECC" w:rsidP="00CD7EA8">
            <w:pPr>
              <w:spacing w:line="360" w:lineRule="auto"/>
              <w:jc w:val="both"/>
              <w:rPr>
                <w:rFonts w:ascii="Book Antiqua" w:hAnsi="Book Antiqua"/>
              </w:rPr>
            </w:pPr>
            <w:r w:rsidRPr="00CD7EA8">
              <w:rPr>
                <w:rFonts w:ascii="Book Antiqua" w:hAnsi="Book Antiqua"/>
              </w:rPr>
              <w:t>43.36 ± 15.9</w:t>
            </w:r>
          </w:p>
        </w:tc>
        <w:tc>
          <w:tcPr>
            <w:tcW w:w="1559" w:type="dxa"/>
            <w:tcBorders>
              <w:top w:val="single" w:sz="4" w:space="0" w:color="auto"/>
            </w:tcBorders>
          </w:tcPr>
          <w:p w14:paraId="1A16E4E6" w14:textId="2E29B089" w:rsidR="00510ECC" w:rsidRPr="00CD7EA8" w:rsidRDefault="00510ECC" w:rsidP="00CD7EA8">
            <w:pPr>
              <w:spacing w:line="360" w:lineRule="auto"/>
              <w:jc w:val="both"/>
              <w:rPr>
                <w:rFonts w:ascii="Book Antiqua" w:hAnsi="Book Antiqua"/>
              </w:rPr>
            </w:pPr>
            <w:r w:rsidRPr="00CD7EA8">
              <w:rPr>
                <w:rFonts w:ascii="Book Antiqua" w:hAnsi="Book Antiqua"/>
              </w:rPr>
              <w:t>45.67 ± 15.53</w:t>
            </w:r>
          </w:p>
        </w:tc>
        <w:tc>
          <w:tcPr>
            <w:tcW w:w="1134" w:type="dxa"/>
            <w:tcBorders>
              <w:top w:val="single" w:sz="4" w:space="0" w:color="auto"/>
            </w:tcBorders>
          </w:tcPr>
          <w:p w14:paraId="7B580745" w14:textId="40867D25" w:rsidR="00510ECC" w:rsidRPr="00CD7EA8" w:rsidRDefault="00510ECC" w:rsidP="00CD7EA8">
            <w:pPr>
              <w:spacing w:line="360" w:lineRule="auto"/>
              <w:jc w:val="both"/>
              <w:rPr>
                <w:rFonts w:ascii="Book Antiqua" w:hAnsi="Book Antiqua"/>
              </w:rPr>
            </w:pPr>
            <w:r w:rsidRPr="00CD7EA8">
              <w:rPr>
                <w:rFonts w:ascii="Book Antiqua" w:hAnsi="Book Antiqua"/>
              </w:rPr>
              <w:t>0.46</w:t>
            </w:r>
          </w:p>
        </w:tc>
      </w:tr>
      <w:tr w:rsidR="00510ECC" w:rsidRPr="00CD7EA8" w14:paraId="2B9710B2" w14:textId="77777777" w:rsidTr="00A04AD3">
        <w:trPr>
          <w:trHeight w:val="230"/>
        </w:trPr>
        <w:tc>
          <w:tcPr>
            <w:tcW w:w="3119" w:type="dxa"/>
          </w:tcPr>
          <w:p w14:paraId="766E3220" w14:textId="74DF2950" w:rsidR="00510ECC" w:rsidRPr="00CD7EA8" w:rsidRDefault="00510ECC" w:rsidP="00CD7EA8">
            <w:pPr>
              <w:spacing w:line="360" w:lineRule="auto"/>
              <w:jc w:val="both"/>
              <w:rPr>
                <w:rFonts w:ascii="Book Antiqua" w:hAnsi="Book Antiqua"/>
              </w:rPr>
            </w:pPr>
            <w:r w:rsidRPr="00CD7EA8">
              <w:rPr>
                <w:rFonts w:ascii="Book Antiqua" w:hAnsi="Book Antiqua"/>
              </w:rPr>
              <w:t>Sex ratio</w:t>
            </w:r>
            <w:r w:rsidR="00A870C2">
              <w:rPr>
                <w:rFonts w:ascii="Book Antiqua" w:hAnsi="Book Antiqua"/>
              </w:rPr>
              <w:t xml:space="preserve"> as</w:t>
            </w:r>
            <w:r w:rsidR="00205971" w:rsidRPr="00CD7EA8">
              <w:rPr>
                <w:rFonts w:ascii="Book Antiqua" w:hAnsi="Book Antiqua"/>
              </w:rPr>
              <w:t xml:space="preserve"> m</w:t>
            </w:r>
            <w:r w:rsidRPr="00CD7EA8">
              <w:rPr>
                <w:rFonts w:ascii="Book Antiqua" w:hAnsi="Book Antiqua"/>
              </w:rPr>
              <w:t>ale/</w:t>
            </w:r>
            <w:r w:rsidR="00205971" w:rsidRPr="00CD7EA8">
              <w:rPr>
                <w:rFonts w:ascii="Book Antiqua" w:hAnsi="Book Antiqua"/>
              </w:rPr>
              <w:t>f</w:t>
            </w:r>
            <w:r w:rsidRPr="00CD7EA8">
              <w:rPr>
                <w:rFonts w:ascii="Book Antiqua" w:hAnsi="Book Antiqua"/>
              </w:rPr>
              <w:t>emale</w:t>
            </w:r>
          </w:p>
        </w:tc>
        <w:tc>
          <w:tcPr>
            <w:tcW w:w="1559" w:type="dxa"/>
          </w:tcPr>
          <w:p w14:paraId="7C85ED22" w14:textId="63940718" w:rsidR="00510ECC" w:rsidRPr="00CD7EA8" w:rsidRDefault="00510ECC" w:rsidP="00CD7EA8">
            <w:pPr>
              <w:spacing w:line="360" w:lineRule="auto"/>
              <w:jc w:val="both"/>
              <w:rPr>
                <w:rFonts w:ascii="Book Antiqua" w:hAnsi="Book Antiqua"/>
              </w:rPr>
            </w:pPr>
            <w:r w:rsidRPr="00CD7EA8">
              <w:rPr>
                <w:rFonts w:ascii="Book Antiqua" w:hAnsi="Book Antiqua"/>
              </w:rPr>
              <w:t>0.98</w:t>
            </w:r>
          </w:p>
        </w:tc>
        <w:tc>
          <w:tcPr>
            <w:tcW w:w="1559" w:type="dxa"/>
          </w:tcPr>
          <w:p w14:paraId="38E726C4" w14:textId="12D69AD8" w:rsidR="00510ECC" w:rsidRPr="00CD7EA8" w:rsidRDefault="00510ECC" w:rsidP="00CD7EA8">
            <w:pPr>
              <w:spacing w:line="360" w:lineRule="auto"/>
              <w:jc w:val="both"/>
              <w:rPr>
                <w:rFonts w:ascii="Book Antiqua" w:hAnsi="Book Antiqua"/>
              </w:rPr>
            </w:pPr>
            <w:r w:rsidRPr="00CD7EA8">
              <w:rPr>
                <w:rFonts w:ascii="Book Antiqua" w:hAnsi="Book Antiqua"/>
              </w:rPr>
              <w:t>1.03</w:t>
            </w:r>
          </w:p>
        </w:tc>
        <w:tc>
          <w:tcPr>
            <w:tcW w:w="1560" w:type="dxa"/>
          </w:tcPr>
          <w:p w14:paraId="16C6F8F5" w14:textId="77777777" w:rsidR="00510ECC" w:rsidRPr="00CD7EA8" w:rsidRDefault="00510ECC" w:rsidP="00CD7EA8">
            <w:pPr>
              <w:spacing w:line="360" w:lineRule="auto"/>
              <w:jc w:val="both"/>
              <w:rPr>
                <w:rFonts w:ascii="Book Antiqua" w:hAnsi="Book Antiqua"/>
              </w:rPr>
            </w:pPr>
            <w:r w:rsidRPr="00CD7EA8">
              <w:rPr>
                <w:rFonts w:ascii="Book Antiqua" w:hAnsi="Book Antiqua"/>
              </w:rPr>
              <w:t>1</w:t>
            </w:r>
          </w:p>
        </w:tc>
        <w:tc>
          <w:tcPr>
            <w:tcW w:w="1559" w:type="dxa"/>
          </w:tcPr>
          <w:p w14:paraId="6A499AFB" w14:textId="49FF7B54" w:rsidR="00510ECC" w:rsidRPr="00CD7EA8" w:rsidRDefault="00510ECC" w:rsidP="00CD7EA8">
            <w:pPr>
              <w:spacing w:line="360" w:lineRule="auto"/>
              <w:jc w:val="both"/>
              <w:rPr>
                <w:rFonts w:ascii="Book Antiqua" w:hAnsi="Book Antiqua"/>
              </w:rPr>
            </w:pPr>
            <w:r w:rsidRPr="00CD7EA8">
              <w:rPr>
                <w:rFonts w:ascii="Book Antiqua" w:hAnsi="Book Antiqua"/>
              </w:rPr>
              <w:t>0.92</w:t>
            </w:r>
          </w:p>
        </w:tc>
        <w:tc>
          <w:tcPr>
            <w:tcW w:w="1134" w:type="dxa"/>
          </w:tcPr>
          <w:p w14:paraId="24CB7011" w14:textId="37B7A836" w:rsidR="00510ECC" w:rsidRPr="00CD7EA8" w:rsidRDefault="00510ECC" w:rsidP="00CD7EA8">
            <w:pPr>
              <w:spacing w:line="360" w:lineRule="auto"/>
              <w:jc w:val="both"/>
              <w:rPr>
                <w:rFonts w:ascii="Book Antiqua" w:hAnsi="Book Antiqua"/>
              </w:rPr>
            </w:pPr>
            <w:r w:rsidRPr="00CD7EA8">
              <w:rPr>
                <w:rFonts w:ascii="Book Antiqua" w:hAnsi="Book Antiqua"/>
              </w:rPr>
              <w:t>0.91</w:t>
            </w:r>
          </w:p>
        </w:tc>
      </w:tr>
      <w:tr w:rsidR="00510ECC" w:rsidRPr="00CD7EA8" w14:paraId="61C74231" w14:textId="77777777" w:rsidTr="00A04AD3">
        <w:trPr>
          <w:trHeight w:val="230"/>
        </w:trPr>
        <w:tc>
          <w:tcPr>
            <w:tcW w:w="3119" w:type="dxa"/>
          </w:tcPr>
          <w:p w14:paraId="5D68524E" w14:textId="77777777" w:rsidR="00510ECC" w:rsidRPr="00CD7EA8" w:rsidRDefault="00510ECC" w:rsidP="00CD7EA8">
            <w:pPr>
              <w:spacing w:line="360" w:lineRule="auto"/>
              <w:jc w:val="both"/>
              <w:rPr>
                <w:rFonts w:ascii="Book Antiqua" w:hAnsi="Book Antiqua"/>
              </w:rPr>
            </w:pPr>
            <w:r w:rsidRPr="00CD7EA8">
              <w:rPr>
                <w:rFonts w:ascii="Book Antiqua" w:hAnsi="Book Antiqua"/>
              </w:rPr>
              <w:t>Smoking habit</w:t>
            </w:r>
          </w:p>
        </w:tc>
        <w:tc>
          <w:tcPr>
            <w:tcW w:w="1559" w:type="dxa"/>
          </w:tcPr>
          <w:p w14:paraId="062A6BC8" w14:textId="5A921AC0" w:rsidR="00510ECC" w:rsidRPr="00CD7EA8" w:rsidRDefault="00510ECC" w:rsidP="00CD7EA8">
            <w:pPr>
              <w:spacing w:line="360" w:lineRule="auto"/>
              <w:jc w:val="both"/>
              <w:rPr>
                <w:rFonts w:ascii="Book Antiqua" w:hAnsi="Book Antiqua"/>
              </w:rPr>
            </w:pPr>
            <w:r w:rsidRPr="00CD7EA8">
              <w:rPr>
                <w:rFonts w:ascii="Book Antiqua" w:hAnsi="Book Antiqua"/>
              </w:rPr>
              <w:t>49 (14.9)</w:t>
            </w:r>
          </w:p>
        </w:tc>
        <w:tc>
          <w:tcPr>
            <w:tcW w:w="1559" w:type="dxa"/>
          </w:tcPr>
          <w:p w14:paraId="24758B49" w14:textId="08EC86B3" w:rsidR="00510ECC" w:rsidRPr="00CD7EA8" w:rsidRDefault="00510ECC" w:rsidP="00CD7EA8">
            <w:pPr>
              <w:spacing w:line="360" w:lineRule="auto"/>
              <w:jc w:val="both"/>
              <w:rPr>
                <w:rFonts w:ascii="Book Antiqua" w:hAnsi="Book Antiqua"/>
              </w:rPr>
            </w:pPr>
            <w:r w:rsidRPr="00CD7EA8">
              <w:rPr>
                <w:rFonts w:ascii="Book Antiqua" w:hAnsi="Book Antiqua"/>
              </w:rPr>
              <w:t>18 (16.4)</w:t>
            </w:r>
          </w:p>
        </w:tc>
        <w:tc>
          <w:tcPr>
            <w:tcW w:w="1560" w:type="dxa"/>
          </w:tcPr>
          <w:p w14:paraId="4C6D28C4" w14:textId="7319B27A" w:rsidR="00510ECC" w:rsidRPr="00CD7EA8" w:rsidRDefault="00510ECC" w:rsidP="00CD7EA8">
            <w:pPr>
              <w:spacing w:line="360" w:lineRule="auto"/>
              <w:jc w:val="both"/>
              <w:rPr>
                <w:rFonts w:ascii="Book Antiqua" w:hAnsi="Book Antiqua"/>
              </w:rPr>
            </w:pPr>
            <w:r w:rsidRPr="00CD7EA8">
              <w:rPr>
                <w:rFonts w:ascii="Book Antiqua" w:hAnsi="Book Antiqua"/>
              </w:rPr>
              <w:t>14 (12.7)</w:t>
            </w:r>
          </w:p>
        </w:tc>
        <w:tc>
          <w:tcPr>
            <w:tcW w:w="1559" w:type="dxa"/>
          </w:tcPr>
          <w:p w14:paraId="12C1B85B" w14:textId="3FD04FE9" w:rsidR="00510ECC" w:rsidRPr="00CD7EA8" w:rsidRDefault="00510ECC" w:rsidP="00CD7EA8">
            <w:pPr>
              <w:spacing w:line="360" w:lineRule="auto"/>
              <w:jc w:val="both"/>
              <w:rPr>
                <w:rFonts w:ascii="Book Antiqua" w:hAnsi="Book Antiqua"/>
              </w:rPr>
            </w:pPr>
            <w:r w:rsidRPr="00CD7EA8">
              <w:rPr>
                <w:rFonts w:ascii="Book Antiqua" w:hAnsi="Book Antiqua"/>
              </w:rPr>
              <w:t>17 (15.7)</w:t>
            </w:r>
          </w:p>
        </w:tc>
        <w:tc>
          <w:tcPr>
            <w:tcW w:w="1134" w:type="dxa"/>
          </w:tcPr>
          <w:p w14:paraId="2CCA23AC" w14:textId="4B368A93" w:rsidR="00510ECC" w:rsidRPr="00CD7EA8" w:rsidRDefault="00510ECC" w:rsidP="00CD7EA8">
            <w:pPr>
              <w:spacing w:line="360" w:lineRule="auto"/>
              <w:jc w:val="both"/>
              <w:rPr>
                <w:rFonts w:ascii="Book Antiqua" w:hAnsi="Book Antiqua"/>
              </w:rPr>
            </w:pPr>
            <w:r w:rsidRPr="00CD7EA8">
              <w:rPr>
                <w:rFonts w:ascii="Book Antiqua" w:hAnsi="Book Antiqua"/>
              </w:rPr>
              <w:t>0.62</w:t>
            </w:r>
          </w:p>
        </w:tc>
      </w:tr>
      <w:tr w:rsidR="00510ECC" w:rsidRPr="00CD7EA8" w14:paraId="287877FA" w14:textId="77777777" w:rsidTr="00A04AD3">
        <w:trPr>
          <w:trHeight w:val="230"/>
        </w:trPr>
        <w:tc>
          <w:tcPr>
            <w:tcW w:w="3119" w:type="dxa"/>
          </w:tcPr>
          <w:p w14:paraId="3443414C" w14:textId="77777777" w:rsidR="00510ECC" w:rsidRPr="00CD7EA8" w:rsidRDefault="00510ECC" w:rsidP="00CD7EA8">
            <w:pPr>
              <w:spacing w:line="360" w:lineRule="auto"/>
              <w:jc w:val="both"/>
              <w:rPr>
                <w:rFonts w:ascii="Book Antiqua" w:hAnsi="Book Antiqua"/>
              </w:rPr>
            </w:pPr>
            <w:proofErr w:type="spellStart"/>
            <w:r w:rsidRPr="00CD7EA8">
              <w:rPr>
                <w:rFonts w:ascii="Book Antiqua" w:hAnsi="Book Antiqua"/>
              </w:rPr>
              <w:t>Gastroduodenal</w:t>
            </w:r>
            <w:proofErr w:type="spellEnd"/>
            <w:r w:rsidRPr="00CD7EA8">
              <w:rPr>
                <w:rFonts w:ascii="Book Antiqua" w:hAnsi="Book Antiqua"/>
              </w:rPr>
              <w:t xml:space="preserve"> ulcer</w:t>
            </w:r>
          </w:p>
        </w:tc>
        <w:tc>
          <w:tcPr>
            <w:tcW w:w="1559" w:type="dxa"/>
          </w:tcPr>
          <w:p w14:paraId="132CBEE1" w14:textId="66F452EB" w:rsidR="00510ECC" w:rsidRPr="00CD7EA8" w:rsidRDefault="00510ECC" w:rsidP="00CD7EA8">
            <w:pPr>
              <w:spacing w:line="360" w:lineRule="auto"/>
              <w:jc w:val="both"/>
              <w:rPr>
                <w:rFonts w:ascii="Book Antiqua" w:hAnsi="Book Antiqua"/>
              </w:rPr>
            </w:pPr>
            <w:r w:rsidRPr="00CD7EA8">
              <w:rPr>
                <w:rFonts w:ascii="Book Antiqua" w:hAnsi="Book Antiqua"/>
              </w:rPr>
              <w:t>47 (14.3)</w:t>
            </w:r>
          </w:p>
        </w:tc>
        <w:tc>
          <w:tcPr>
            <w:tcW w:w="1559" w:type="dxa"/>
          </w:tcPr>
          <w:p w14:paraId="36A36F0B" w14:textId="0404C60F" w:rsidR="00510ECC" w:rsidRPr="00CD7EA8" w:rsidRDefault="00510ECC" w:rsidP="00CD7EA8">
            <w:pPr>
              <w:spacing w:line="360" w:lineRule="auto"/>
              <w:jc w:val="both"/>
              <w:rPr>
                <w:rFonts w:ascii="Book Antiqua" w:hAnsi="Book Antiqua"/>
              </w:rPr>
            </w:pPr>
            <w:r w:rsidRPr="00CD7EA8">
              <w:rPr>
                <w:rFonts w:ascii="Book Antiqua" w:hAnsi="Book Antiqua"/>
              </w:rPr>
              <w:t>22 (20)</w:t>
            </w:r>
          </w:p>
        </w:tc>
        <w:tc>
          <w:tcPr>
            <w:tcW w:w="1560" w:type="dxa"/>
          </w:tcPr>
          <w:p w14:paraId="36E7C067" w14:textId="0E8EE040" w:rsidR="00510ECC" w:rsidRPr="00CD7EA8" w:rsidRDefault="00510ECC" w:rsidP="00CD7EA8">
            <w:pPr>
              <w:spacing w:line="360" w:lineRule="auto"/>
              <w:jc w:val="both"/>
              <w:rPr>
                <w:rFonts w:ascii="Book Antiqua" w:hAnsi="Book Antiqua"/>
              </w:rPr>
            </w:pPr>
            <w:r w:rsidRPr="00CD7EA8">
              <w:rPr>
                <w:rFonts w:ascii="Book Antiqua" w:hAnsi="Book Antiqua"/>
              </w:rPr>
              <w:t>13 (11.8)</w:t>
            </w:r>
          </w:p>
        </w:tc>
        <w:tc>
          <w:tcPr>
            <w:tcW w:w="1559" w:type="dxa"/>
          </w:tcPr>
          <w:p w14:paraId="73CD0D3A" w14:textId="490267CE" w:rsidR="00510ECC" w:rsidRPr="00CD7EA8" w:rsidRDefault="00510ECC" w:rsidP="00CD7EA8">
            <w:pPr>
              <w:spacing w:line="360" w:lineRule="auto"/>
              <w:jc w:val="both"/>
              <w:rPr>
                <w:rFonts w:ascii="Book Antiqua" w:hAnsi="Book Antiqua"/>
              </w:rPr>
            </w:pPr>
            <w:r w:rsidRPr="00CD7EA8">
              <w:rPr>
                <w:rFonts w:ascii="Book Antiqua" w:hAnsi="Book Antiqua"/>
              </w:rPr>
              <w:t>12 (11.1)</w:t>
            </w:r>
          </w:p>
        </w:tc>
        <w:tc>
          <w:tcPr>
            <w:tcW w:w="1134" w:type="dxa"/>
          </w:tcPr>
          <w:p w14:paraId="1C8153CC" w14:textId="6AC194B5" w:rsidR="00510ECC" w:rsidRPr="00CD7EA8" w:rsidRDefault="00510ECC" w:rsidP="00CD7EA8">
            <w:pPr>
              <w:spacing w:line="360" w:lineRule="auto"/>
              <w:jc w:val="both"/>
              <w:rPr>
                <w:rFonts w:ascii="Book Antiqua" w:hAnsi="Book Antiqua"/>
              </w:rPr>
            </w:pPr>
            <w:r w:rsidRPr="00CD7EA8">
              <w:rPr>
                <w:rFonts w:ascii="Book Antiqua" w:hAnsi="Book Antiqua"/>
              </w:rPr>
              <w:t>0.16</w:t>
            </w:r>
          </w:p>
        </w:tc>
      </w:tr>
      <w:tr w:rsidR="00510ECC" w:rsidRPr="00CD7EA8" w14:paraId="37A7CBC4" w14:textId="77777777" w:rsidTr="00A04AD3">
        <w:trPr>
          <w:trHeight w:val="230"/>
        </w:trPr>
        <w:tc>
          <w:tcPr>
            <w:tcW w:w="3119" w:type="dxa"/>
          </w:tcPr>
          <w:p w14:paraId="309F7482" w14:textId="77777777" w:rsidR="00510ECC" w:rsidRPr="00CD7EA8" w:rsidRDefault="00510ECC" w:rsidP="00CD7EA8">
            <w:pPr>
              <w:spacing w:line="360" w:lineRule="auto"/>
              <w:jc w:val="both"/>
              <w:rPr>
                <w:rFonts w:ascii="Book Antiqua" w:hAnsi="Book Antiqua"/>
              </w:rPr>
            </w:pPr>
            <w:r w:rsidRPr="00CD7EA8">
              <w:rPr>
                <w:rFonts w:ascii="Book Antiqua" w:hAnsi="Book Antiqua"/>
              </w:rPr>
              <w:t>Gastric atrophy</w:t>
            </w:r>
          </w:p>
        </w:tc>
        <w:tc>
          <w:tcPr>
            <w:tcW w:w="1559" w:type="dxa"/>
          </w:tcPr>
          <w:p w14:paraId="70456C07" w14:textId="69AB10FE" w:rsidR="00510ECC" w:rsidRPr="00CD7EA8" w:rsidRDefault="00510ECC" w:rsidP="00CD7EA8">
            <w:pPr>
              <w:spacing w:line="360" w:lineRule="auto"/>
              <w:jc w:val="both"/>
              <w:rPr>
                <w:rFonts w:ascii="Book Antiqua" w:hAnsi="Book Antiqua"/>
              </w:rPr>
            </w:pPr>
            <w:r w:rsidRPr="00CD7EA8">
              <w:rPr>
                <w:rFonts w:ascii="Book Antiqua" w:hAnsi="Book Antiqua"/>
              </w:rPr>
              <w:t>51 (15.5)</w:t>
            </w:r>
          </w:p>
        </w:tc>
        <w:tc>
          <w:tcPr>
            <w:tcW w:w="1559" w:type="dxa"/>
          </w:tcPr>
          <w:p w14:paraId="324E295A" w14:textId="3EBEECF2" w:rsidR="00510ECC" w:rsidRPr="00CD7EA8" w:rsidRDefault="00510ECC" w:rsidP="00CD7EA8">
            <w:pPr>
              <w:spacing w:line="360" w:lineRule="auto"/>
              <w:jc w:val="both"/>
              <w:rPr>
                <w:rFonts w:ascii="Book Antiqua" w:hAnsi="Book Antiqua"/>
              </w:rPr>
            </w:pPr>
            <w:r w:rsidRPr="00CD7EA8">
              <w:rPr>
                <w:rFonts w:ascii="Book Antiqua" w:hAnsi="Book Antiqua"/>
              </w:rPr>
              <w:t>14 (12.7)</w:t>
            </w:r>
          </w:p>
        </w:tc>
        <w:tc>
          <w:tcPr>
            <w:tcW w:w="1560" w:type="dxa"/>
          </w:tcPr>
          <w:p w14:paraId="7B952F3E" w14:textId="143E7E19" w:rsidR="00510ECC" w:rsidRPr="00CD7EA8" w:rsidRDefault="00510ECC" w:rsidP="00CD7EA8">
            <w:pPr>
              <w:spacing w:line="360" w:lineRule="auto"/>
              <w:jc w:val="both"/>
              <w:rPr>
                <w:rFonts w:ascii="Book Antiqua" w:hAnsi="Book Antiqua"/>
              </w:rPr>
            </w:pPr>
            <w:r w:rsidRPr="00CD7EA8">
              <w:rPr>
                <w:rFonts w:ascii="Book Antiqua" w:hAnsi="Book Antiqua"/>
              </w:rPr>
              <w:t>18 (16.4)</w:t>
            </w:r>
          </w:p>
        </w:tc>
        <w:tc>
          <w:tcPr>
            <w:tcW w:w="1559" w:type="dxa"/>
          </w:tcPr>
          <w:p w14:paraId="25425DA7" w14:textId="69F964CF" w:rsidR="00510ECC" w:rsidRPr="00CD7EA8" w:rsidRDefault="00510ECC" w:rsidP="00CD7EA8">
            <w:pPr>
              <w:spacing w:line="360" w:lineRule="auto"/>
              <w:jc w:val="both"/>
              <w:rPr>
                <w:rFonts w:ascii="Book Antiqua" w:hAnsi="Book Antiqua"/>
              </w:rPr>
            </w:pPr>
            <w:r w:rsidRPr="00CD7EA8">
              <w:rPr>
                <w:rFonts w:ascii="Book Antiqua" w:hAnsi="Book Antiqua"/>
              </w:rPr>
              <w:t>19 (17.6)</w:t>
            </w:r>
          </w:p>
        </w:tc>
        <w:tc>
          <w:tcPr>
            <w:tcW w:w="1134" w:type="dxa"/>
          </w:tcPr>
          <w:p w14:paraId="7E0F9A85" w14:textId="7B6F3954" w:rsidR="00510ECC" w:rsidRPr="00CD7EA8" w:rsidRDefault="00510ECC" w:rsidP="00CD7EA8">
            <w:pPr>
              <w:spacing w:line="360" w:lineRule="auto"/>
              <w:jc w:val="both"/>
              <w:rPr>
                <w:rFonts w:ascii="Book Antiqua" w:hAnsi="Book Antiqua"/>
              </w:rPr>
            </w:pPr>
            <w:r w:rsidRPr="00CD7EA8">
              <w:rPr>
                <w:rFonts w:ascii="Book Antiqua" w:hAnsi="Book Antiqua"/>
              </w:rPr>
              <w:t>0.58</w:t>
            </w:r>
          </w:p>
        </w:tc>
      </w:tr>
      <w:tr w:rsidR="00510ECC" w:rsidRPr="00CD7EA8" w14:paraId="06B207EE" w14:textId="77777777" w:rsidTr="00A04AD3">
        <w:trPr>
          <w:trHeight w:val="460"/>
        </w:trPr>
        <w:tc>
          <w:tcPr>
            <w:tcW w:w="3119" w:type="dxa"/>
          </w:tcPr>
          <w:p w14:paraId="3B40E3F6" w14:textId="77777777" w:rsidR="00510ECC" w:rsidRPr="00CD7EA8" w:rsidRDefault="00510ECC" w:rsidP="00CD7EA8">
            <w:pPr>
              <w:spacing w:line="360" w:lineRule="auto"/>
              <w:jc w:val="both"/>
              <w:rPr>
                <w:rFonts w:ascii="Book Antiqua" w:hAnsi="Book Antiqua"/>
              </w:rPr>
            </w:pPr>
            <w:r w:rsidRPr="00CD7EA8">
              <w:rPr>
                <w:rFonts w:ascii="Book Antiqua" w:hAnsi="Book Antiqua"/>
              </w:rPr>
              <w:t>Gastric metaplasia</w:t>
            </w:r>
          </w:p>
        </w:tc>
        <w:tc>
          <w:tcPr>
            <w:tcW w:w="1559" w:type="dxa"/>
          </w:tcPr>
          <w:p w14:paraId="43763254" w14:textId="722B19B5" w:rsidR="00510ECC" w:rsidRPr="00CD7EA8" w:rsidRDefault="00510ECC" w:rsidP="00CD7EA8">
            <w:pPr>
              <w:spacing w:line="360" w:lineRule="auto"/>
              <w:jc w:val="both"/>
              <w:rPr>
                <w:rFonts w:ascii="Book Antiqua" w:hAnsi="Book Antiqua"/>
              </w:rPr>
            </w:pPr>
            <w:r w:rsidRPr="00CD7EA8">
              <w:rPr>
                <w:rFonts w:ascii="Book Antiqua" w:hAnsi="Book Antiqua"/>
              </w:rPr>
              <w:t>18 (5.5)</w:t>
            </w:r>
          </w:p>
        </w:tc>
        <w:tc>
          <w:tcPr>
            <w:tcW w:w="1559" w:type="dxa"/>
          </w:tcPr>
          <w:p w14:paraId="287591D1" w14:textId="09A4AD03" w:rsidR="00510ECC" w:rsidRPr="00CD7EA8" w:rsidRDefault="00510ECC" w:rsidP="00CD7EA8">
            <w:pPr>
              <w:spacing w:line="360" w:lineRule="auto"/>
              <w:jc w:val="both"/>
              <w:rPr>
                <w:rFonts w:ascii="Book Antiqua" w:hAnsi="Book Antiqua"/>
              </w:rPr>
            </w:pPr>
            <w:r w:rsidRPr="00CD7EA8">
              <w:rPr>
                <w:rFonts w:ascii="Book Antiqua" w:hAnsi="Book Antiqua"/>
              </w:rPr>
              <w:t>7 (6.4)</w:t>
            </w:r>
          </w:p>
        </w:tc>
        <w:tc>
          <w:tcPr>
            <w:tcW w:w="1560" w:type="dxa"/>
          </w:tcPr>
          <w:p w14:paraId="4167B579" w14:textId="1DCB55BE" w:rsidR="00510ECC" w:rsidRPr="00CD7EA8" w:rsidRDefault="00510ECC" w:rsidP="00CD7EA8">
            <w:pPr>
              <w:spacing w:line="360" w:lineRule="auto"/>
              <w:jc w:val="both"/>
              <w:rPr>
                <w:rFonts w:ascii="Book Antiqua" w:hAnsi="Book Antiqua"/>
              </w:rPr>
            </w:pPr>
            <w:r w:rsidRPr="00CD7EA8">
              <w:rPr>
                <w:rFonts w:ascii="Book Antiqua" w:hAnsi="Book Antiqua"/>
              </w:rPr>
              <w:t>8 (7.3)</w:t>
            </w:r>
          </w:p>
        </w:tc>
        <w:tc>
          <w:tcPr>
            <w:tcW w:w="1559" w:type="dxa"/>
          </w:tcPr>
          <w:p w14:paraId="42A9C5CA" w14:textId="07258995" w:rsidR="00510ECC" w:rsidRPr="00CD7EA8" w:rsidRDefault="00510ECC" w:rsidP="00CD7EA8">
            <w:pPr>
              <w:spacing w:line="360" w:lineRule="auto"/>
              <w:jc w:val="both"/>
              <w:rPr>
                <w:rFonts w:ascii="Book Antiqua" w:hAnsi="Book Antiqua"/>
              </w:rPr>
            </w:pPr>
            <w:r w:rsidRPr="00CD7EA8">
              <w:rPr>
                <w:rFonts w:ascii="Book Antiqua" w:hAnsi="Book Antiqua"/>
              </w:rPr>
              <w:t>3 (2.8)</w:t>
            </w:r>
          </w:p>
        </w:tc>
        <w:tc>
          <w:tcPr>
            <w:tcW w:w="1134" w:type="dxa"/>
          </w:tcPr>
          <w:p w14:paraId="0615A044" w14:textId="447B0D69" w:rsidR="00510ECC" w:rsidRPr="00CD7EA8" w:rsidRDefault="00510ECC" w:rsidP="00CD7EA8">
            <w:pPr>
              <w:spacing w:line="360" w:lineRule="auto"/>
              <w:jc w:val="both"/>
              <w:rPr>
                <w:rFonts w:ascii="Book Antiqua" w:hAnsi="Book Antiqua"/>
              </w:rPr>
            </w:pPr>
            <w:r w:rsidRPr="00CD7EA8">
              <w:rPr>
                <w:rFonts w:ascii="Book Antiqua" w:hAnsi="Book Antiqua"/>
              </w:rPr>
              <w:t>0.26</w:t>
            </w:r>
          </w:p>
        </w:tc>
      </w:tr>
      <w:tr w:rsidR="00510ECC" w:rsidRPr="00CD7EA8" w14:paraId="7A883492" w14:textId="77777777" w:rsidTr="00A04AD3">
        <w:trPr>
          <w:trHeight w:val="234"/>
        </w:trPr>
        <w:tc>
          <w:tcPr>
            <w:tcW w:w="3119" w:type="dxa"/>
          </w:tcPr>
          <w:p w14:paraId="76E6E3EA" w14:textId="23EB9B6F" w:rsidR="00510ECC" w:rsidRPr="00CD7EA8" w:rsidRDefault="00510ECC" w:rsidP="00CD7EA8">
            <w:pPr>
              <w:spacing w:line="360" w:lineRule="auto"/>
              <w:jc w:val="both"/>
              <w:rPr>
                <w:rFonts w:ascii="Book Antiqua" w:hAnsi="Book Antiqua"/>
              </w:rPr>
            </w:pPr>
            <w:r w:rsidRPr="00CD7EA8">
              <w:rPr>
                <w:rFonts w:ascii="Book Antiqua" w:hAnsi="Book Antiqua"/>
              </w:rPr>
              <w:t xml:space="preserve">HP </w:t>
            </w:r>
            <w:proofErr w:type="spellStart"/>
            <w:r w:rsidRPr="00CD7EA8">
              <w:rPr>
                <w:rFonts w:ascii="Book Antiqua" w:hAnsi="Book Antiqua"/>
              </w:rPr>
              <w:t>antral</w:t>
            </w:r>
            <w:proofErr w:type="spellEnd"/>
            <w:r w:rsidRPr="00CD7EA8">
              <w:rPr>
                <w:rFonts w:ascii="Book Antiqua" w:hAnsi="Book Antiqua"/>
              </w:rPr>
              <w:t xml:space="preserve"> density</w:t>
            </w:r>
          </w:p>
        </w:tc>
        <w:tc>
          <w:tcPr>
            <w:tcW w:w="1559" w:type="dxa"/>
          </w:tcPr>
          <w:p w14:paraId="12C27987" w14:textId="77777777" w:rsidR="00510ECC" w:rsidRPr="00CD7EA8" w:rsidRDefault="00510ECC" w:rsidP="00CD7EA8">
            <w:pPr>
              <w:spacing w:line="360" w:lineRule="auto"/>
              <w:jc w:val="both"/>
              <w:rPr>
                <w:rFonts w:ascii="Book Antiqua" w:hAnsi="Book Antiqua"/>
              </w:rPr>
            </w:pPr>
          </w:p>
        </w:tc>
        <w:tc>
          <w:tcPr>
            <w:tcW w:w="1559" w:type="dxa"/>
          </w:tcPr>
          <w:p w14:paraId="49BCEAB6" w14:textId="77777777" w:rsidR="00510ECC" w:rsidRPr="00CD7EA8" w:rsidRDefault="00510ECC" w:rsidP="00CD7EA8">
            <w:pPr>
              <w:spacing w:line="360" w:lineRule="auto"/>
              <w:jc w:val="both"/>
              <w:rPr>
                <w:rFonts w:ascii="Book Antiqua" w:hAnsi="Book Antiqua"/>
              </w:rPr>
            </w:pPr>
          </w:p>
        </w:tc>
        <w:tc>
          <w:tcPr>
            <w:tcW w:w="1560" w:type="dxa"/>
          </w:tcPr>
          <w:p w14:paraId="6F852A92" w14:textId="77777777" w:rsidR="00510ECC" w:rsidRPr="00CD7EA8" w:rsidRDefault="00510ECC" w:rsidP="00CD7EA8">
            <w:pPr>
              <w:spacing w:line="360" w:lineRule="auto"/>
              <w:jc w:val="both"/>
              <w:rPr>
                <w:rFonts w:ascii="Book Antiqua" w:hAnsi="Book Antiqua"/>
              </w:rPr>
            </w:pPr>
          </w:p>
        </w:tc>
        <w:tc>
          <w:tcPr>
            <w:tcW w:w="1559" w:type="dxa"/>
          </w:tcPr>
          <w:p w14:paraId="62BF16CD" w14:textId="77777777" w:rsidR="00510ECC" w:rsidRPr="00CD7EA8" w:rsidRDefault="00510ECC" w:rsidP="00CD7EA8">
            <w:pPr>
              <w:spacing w:line="360" w:lineRule="auto"/>
              <w:jc w:val="both"/>
              <w:rPr>
                <w:rFonts w:ascii="Book Antiqua" w:hAnsi="Book Antiqua"/>
              </w:rPr>
            </w:pPr>
          </w:p>
        </w:tc>
        <w:tc>
          <w:tcPr>
            <w:tcW w:w="1134" w:type="dxa"/>
          </w:tcPr>
          <w:p w14:paraId="57DAA8BD" w14:textId="0275F065" w:rsidR="00510ECC" w:rsidRPr="00CD7EA8" w:rsidRDefault="00510ECC" w:rsidP="00CD7EA8">
            <w:pPr>
              <w:spacing w:line="360" w:lineRule="auto"/>
              <w:jc w:val="both"/>
              <w:rPr>
                <w:rFonts w:ascii="Book Antiqua" w:hAnsi="Book Antiqua"/>
              </w:rPr>
            </w:pPr>
            <w:r w:rsidRPr="00CD7EA8">
              <w:rPr>
                <w:rFonts w:ascii="Book Antiqua" w:hAnsi="Book Antiqua"/>
              </w:rPr>
              <w:t>0.30</w:t>
            </w:r>
          </w:p>
        </w:tc>
      </w:tr>
      <w:tr w:rsidR="00510ECC" w:rsidRPr="00CD7EA8" w14:paraId="310C55A1" w14:textId="77777777" w:rsidTr="00A04AD3">
        <w:trPr>
          <w:trHeight w:val="230"/>
        </w:trPr>
        <w:tc>
          <w:tcPr>
            <w:tcW w:w="3119" w:type="dxa"/>
          </w:tcPr>
          <w:p w14:paraId="5655C40B"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Pr>
          <w:p w14:paraId="334EAF57" w14:textId="3625C9B8" w:rsidR="00510ECC" w:rsidRPr="00CD7EA8" w:rsidRDefault="00510ECC" w:rsidP="00CD7EA8">
            <w:pPr>
              <w:spacing w:line="360" w:lineRule="auto"/>
              <w:jc w:val="both"/>
              <w:rPr>
                <w:rFonts w:ascii="Book Antiqua" w:hAnsi="Book Antiqua"/>
              </w:rPr>
            </w:pPr>
            <w:r w:rsidRPr="00CD7EA8">
              <w:rPr>
                <w:rFonts w:ascii="Book Antiqua" w:hAnsi="Book Antiqua"/>
              </w:rPr>
              <w:t>114 (34.9)</w:t>
            </w:r>
          </w:p>
        </w:tc>
        <w:tc>
          <w:tcPr>
            <w:tcW w:w="1559" w:type="dxa"/>
          </w:tcPr>
          <w:p w14:paraId="6CA9722C" w14:textId="5813A213" w:rsidR="00510ECC" w:rsidRPr="00CD7EA8" w:rsidRDefault="00510ECC" w:rsidP="00CD7EA8">
            <w:pPr>
              <w:spacing w:line="360" w:lineRule="auto"/>
              <w:jc w:val="both"/>
              <w:rPr>
                <w:rFonts w:ascii="Book Antiqua" w:hAnsi="Book Antiqua"/>
              </w:rPr>
            </w:pPr>
            <w:r w:rsidRPr="00CD7EA8">
              <w:rPr>
                <w:rFonts w:ascii="Book Antiqua" w:hAnsi="Book Antiqua"/>
              </w:rPr>
              <w:t>37 (33.9)</w:t>
            </w:r>
          </w:p>
        </w:tc>
        <w:tc>
          <w:tcPr>
            <w:tcW w:w="1560" w:type="dxa"/>
          </w:tcPr>
          <w:p w14:paraId="3B8DEC75" w14:textId="492D5C9C" w:rsidR="00510ECC" w:rsidRPr="00CD7EA8" w:rsidRDefault="00510ECC" w:rsidP="00CD7EA8">
            <w:pPr>
              <w:spacing w:line="360" w:lineRule="auto"/>
              <w:jc w:val="both"/>
              <w:rPr>
                <w:rFonts w:ascii="Book Antiqua" w:hAnsi="Book Antiqua"/>
              </w:rPr>
            </w:pPr>
            <w:r w:rsidRPr="00CD7EA8">
              <w:rPr>
                <w:rFonts w:ascii="Book Antiqua" w:hAnsi="Book Antiqua"/>
              </w:rPr>
              <w:t>37 (33.6)</w:t>
            </w:r>
          </w:p>
        </w:tc>
        <w:tc>
          <w:tcPr>
            <w:tcW w:w="1559" w:type="dxa"/>
          </w:tcPr>
          <w:p w14:paraId="4EB522B0" w14:textId="6B2FDB20" w:rsidR="00510ECC" w:rsidRPr="00CD7EA8" w:rsidRDefault="00510ECC" w:rsidP="00CD7EA8">
            <w:pPr>
              <w:spacing w:line="360" w:lineRule="auto"/>
              <w:jc w:val="both"/>
              <w:rPr>
                <w:rFonts w:ascii="Book Antiqua" w:hAnsi="Book Antiqua"/>
              </w:rPr>
            </w:pPr>
            <w:r w:rsidRPr="00CD7EA8">
              <w:rPr>
                <w:rFonts w:ascii="Book Antiqua" w:hAnsi="Book Antiqua"/>
              </w:rPr>
              <w:t>40 (37)</w:t>
            </w:r>
          </w:p>
        </w:tc>
        <w:tc>
          <w:tcPr>
            <w:tcW w:w="1134" w:type="dxa"/>
          </w:tcPr>
          <w:p w14:paraId="1600A024" w14:textId="77777777" w:rsidR="00510ECC" w:rsidRPr="00CD7EA8" w:rsidRDefault="00510ECC" w:rsidP="00CD7EA8">
            <w:pPr>
              <w:spacing w:line="360" w:lineRule="auto"/>
              <w:jc w:val="both"/>
              <w:rPr>
                <w:rFonts w:ascii="Book Antiqua" w:hAnsi="Book Antiqua"/>
              </w:rPr>
            </w:pPr>
          </w:p>
        </w:tc>
      </w:tr>
      <w:tr w:rsidR="00510ECC" w:rsidRPr="00CD7EA8" w14:paraId="6E26B94A" w14:textId="77777777" w:rsidTr="00A04AD3">
        <w:trPr>
          <w:trHeight w:val="230"/>
        </w:trPr>
        <w:tc>
          <w:tcPr>
            <w:tcW w:w="3119" w:type="dxa"/>
          </w:tcPr>
          <w:p w14:paraId="413DBF14"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Pr>
          <w:p w14:paraId="78D847F1" w14:textId="7404EB6B" w:rsidR="00510ECC" w:rsidRPr="00CD7EA8" w:rsidRDefault="00510ECC" w:rsidP="00CD7EA8">
            <w:pPr>
              <w:spacing w:line="360" w:lineRule="auto"/>
              <w:jc w:val="both"/>
              <w:rPr>
                <w:rFonts w:ascii="Book Antiqua" w:hAnsi="Book Antiqua"/>
              </w:rPr>
            </w:pPr>
            <w:r w:rsidRPr="00CD7EA8">
              <w:rPr>
                <w:rFonts w:ascii="Book Antiqua" w:hAnsi="Book Antiqua"/>
              </w:rPr>
              <w:t>170 (52)</w:t>
            </w:r>
          </w:p>
        </w:tc>
        <w:tc>
          <w:tcPr>
            <w:tcW w:w="1559" w:type="dxa"/>
          </w:tcPr>
          <w:p w14:paraId="1C4CD50D" w14:textId="52111570" w:rsidR="00510ECC" w:rsidRPr="00CD7EA8" w:rsidRDefault="00510ECC" w:rsidP="00CD7EA8">
            <w:pPr>
              <w:spacing w:line="360" w:lineRule="auto"/>
              <w:jc w:val="both"/>
              <w:rPr>
                <w:rFonts w:ascii="Book Antiqua" w:hAnsi="Book Antiqua"/>
              </w:rPr>
            </w:pPr>
            <w:r w:rsidRPr="00CD7EA8">
              <w:rPr>
                <w:rFonts w:ascii="Book Antiqua" w:hAnsi="Book Antiqua"/>
              </w:rPr>
              <w:t>58 (53.2)</w:t>
            </w:r>
          </w:p>
        </w:tc>
        <w:tc>
          <w:tcPr>
            <w:tcW w:w="1560" w:type="dxa"/>
          </w:tcPr>
          <w:p w14:paraId="4A9607CC" w14:textId="155C3B5E" w:rsidR="00510ECC" w:rsidRPr="00CD7EA8" w:rsidRDefault="00510ECC" w:rsidP="00CD7EA8">
            <w:pPr>
              <w:spacing w:line="360" w:lineRule="auto"/>
              <w:jc w:val="both"/>
              <w:rPr>
                <w:rFonts w:ascii="Book Antiqua" w:hAnsi="Book Antiqua"/>
              </w:rPr>
            </w:pPr>
            <w:r w:rsidRPr="00CD7EA8">
              <w:rPr>
                <w:rFonts w:ascii="Book Antiqua" w:hAnsi="Book Antiqua"/>
              </w:rPr>
              <w:t>56 (50.9)</w:t>
            </w:r>
          </w:p>
        </w:tc>
        <w:tc>
          <w:tcPr>
            <w:tcW w:w="1559" w:type="dxa"/>
          </w:tcPr>
          <w:p w14:paraId="78B60029" w14:textId="526C843E" w:rsidR="00510ECC" w:rsidRPr="00CD7EA8" w:rsidRDefault="00510ECC" w:rsidP="00CD7EA8">
            <w:pPr>
              <w:spacing w:line="360" w:lineRule="auto"/>
              <w:jc w:val="both"/>
              <w:rPr>
                <w:rFonts w:ascii="Book Antiqua" w:hAnsi="Book Antiqua"/>
              </w:rPr>
            </w:pPr>
            <w:r w:rsidRPr="00CD7EA8">
              <w:rPr>
                <w:rFonts w:ascii="Book Antiqua" w:hAnsi="Book Antiqua"/>
              </w:rPr>
              <w:t>56 (51.9)</w:t>
            </w:r>
          </w:p>
        </w:tc>
        <w:tc>
          <w:tcPr>
            <w:tcW w:w="1134" w:type="dxa"/>
          </w:tcPr>
          <w:p w14:paraId="79312A0A" w14:textId="77777777" w:rsidR="00510ECC" w:rsidRPr="00CD7EA8" w:rsidRDefault="00510ECC" w:rsidP="00CD7EA8">
            <w:pPr>
              <w:spacing w:line="360" w:lineRule="auto"/>
              <w:jc w:val="both"/>
              <w:rPr>
                <w:rFonts w:ascii="Book Antiqua" w:hAnsi="Book Antiqua"/>
              </w:rPr>
            </w:pPr>
          </w:p>
        </w:tc>
      </w:tr>
      <w:tr w:rsidR="00510ECC" w:rsidRPr="00CD7EA8" w14:paraId="606F1FC9" w14:textId="77777777" w:rsidTr="00A04AD3">
        <w:trPr>
          <w:trHeight w:val="226"/>
        </w:trPr>
        <w:tc>
          <w:tcPr>
            <w:tcW w:w="3119" w:type="dxa"/>
          </w:tcPr>
          <w:p w14:paraId="5E9F4F3B"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Pr>
          <w:p w14:paraId="20AF744F" w14:textId="0ADDC834" w:rsidR="00510ECC" w:rsidRPr="00CD7EA8" w:rsidRDefault="00510ECC" w:rsidP="00CD7EA8">
            <w:pPr>
              <w:spacing w:line="360" w:lineRule="auto"/>
              <w:jc w:val="both"/>
              <w:rPr>
                <w:rFonts w:ascii="Book Antiqua" w:hAnsi="Book Antiqua"/>
              </w:rPr>
            </w:pPr>
            <w:r w:rsidRPr="00CD7EA8">
              <w:rPr>
                <w:rFonts w:ascii="Book Antiqua" w:hAnsi="Book Antiqua"/>
              </w:rPr>
              <w:t>35 (10.7)</w:t>
            </w:r>
          </w:p>
        </w:tc>
        <w:tc>
          <w:tcPr>
            <w:tcW w:w="1559" w:type="dxa"/>
          </w:tcPr>
          <w:p w14:paraId="060DC76E" w14:textId="7A63A64C" w:rsidR="00510ECC" w:rsidRPr="00CD7EA8" w:rsidRDefault="00510ECC" w:rsidP="00CD7EA8">
            <w:pPr>
              <w:spacing w:line="360" w:lineRule="auto"/>
              <w:jc w:val="both"/>
              <w:rPr>
                <w:rFonts w:ascii="Book Antiqua" w:hAnsi="Book Antiqua"/>
              </w:rPr>
            </w:pPr>
            <w:r w:rsidRPr="00CD7EA8">
              <w:rPr>
                <w:rFonts w:ascii="Book Antiqua" w:hAnsi="Book Antiqua"/>
              </w:rPr>
              <w:t>11 (10.1)</w:t>
            </w:r>
          </w:p>
        </w:tc>
        <w:tc>
          <w:tcPr>
            <w:tcW w:w="1560" w:type="dxa"/>
          </w:tcPr>
          <w:p w14:paraId="59A87A6F" w14:textId="161AC396" w:rsidR="00510ECC" w:rsidRPr="00CD7EA8" w:rsidRDefault="00510ECC" w:rsidP="00CD7EA8">
            <w:pPr>
              <w:spacing w:line="360" w:lineRule="auto"/>
              <w:jc w:val="both"/>
              <w:rPr>
                <w:rFonts w:ascii="Book Antiqua" w:hAnsi="Book Antiqua"/>
              </w:rPr>
            </w:pPr>
            <w:r w:rsidRPr="00CD7EA8">
              <w:rPr>
                <w:rFonts w:ascii="Book Antiqua" w:hAnsi="Book Antiqua"/>
              </w:rPr>
              <w:t>12 (10.9)</w:t>
            </w:r>
          </w:p>
        </w:tc>
        <w:tc>
          <w:tcPr>
            <w:tcW w:w="1559" w:type="dxa"/>
          </w:tcPr>
          <w:p w14:paraId="2F6DEC5C" w14:textId="4CFCE919" w:rsidR="00510ECC" w:rsidRPr="00CD7EA8" w:rsidRDefault="00510ECC" w:rsidP="00CD7EA8">
            <w:pPr>
              <w:spacing w:line="360" w:lineRule="auto"/>
              <w:jc w:val="both"/>
              <w:rPr>
                <w:rFonts w:ascii="Book Antiqua" w:hAnsi="Book Antiqua"/>
              </w:rPr>
            </w:pPr>
            <w:r w:rsidRPr="00CD7EA8">
              <w:rPr>
                <w:rFonts w:ascii="Book Antiqua" w:hAnsi="Book Antiqua"/>
              </w:rPr>
              <w:t>12 (11.1)</w:t>
            </w:r>
          </w:p>
        </w:tc>
        <w:tc>
          <w:tcPr>
            <w:tcW w:w="1134" w:type="dxa"/>
          </w:tcPr>
          <w:p w14:paraId="27115ED0" w14:textId="77777777" w:rsidR="00510ECC" w:rsidRPr="00CD7EA8" w:rsidRDefault="00510ECC" w:rsidP="00CD7EA8">
            <w:pPr>
              <w:spacing w:line="360" w:lineRule="auto"/>
              <w:jc w:val="both"/>
              <w:rPr>
                <w:rFonts w:ascii="Book Antiqua" w:hAnsi="Book Antiqua"/>
              </w:rPr>
            </w:pPr>
          </w:p>
        </w:tc>
      </w:tr>
      <w:tr w:rsidR="00510ECC" w:rsidRPr="00CD7EA8" w14:paraId="5175D2C6" w14:textId="77777777" w:rsidTr="00A04AD3">
        <w:trPr>
          <w:trHeight w:val="229"/>
        </w:trPr>
        <w:tc>
          <w:tcPr>
            <w:tcW w:w="3119" w:type="dxa"/>
          </w:tcPr>
          <w:p w14:paraId="22235423" w14:textId="20B6BD61" w:rsidR="00510ECC" w:rsidRPr="00CD7EA8" w:rsidRDefault="00510ECC" w:rsidP="00CD7EA8">
            <w:pPr>
              <w:spacing w:line="360" w:lineRule="auto"/>
              <w:jc w:val="both"/>
              <w:rPr>
                <w:rFonts w:ascii="Book Antiqua" w:hAnsi="Book Antiqua"/>
              </w:rPr>
            </w:pPr>
            <w:r w:rsidRPr="00CD7EA8">
              <w:rPr>
                <w:rFonts w:ascii="Book Antiqua" w:hAnsi="Book Antiqua"/>
              </w:rPr>
              <w:t xml:space="preserve">HP </w:t>
            </w:r>
            <w:proofErr w:type="spellStart"/>
            <w:r w:rsidRPr="00CD7EA8">
              <w:rPr>
                <w:rFonts w:ascii="Book Antiqua" w:hAnsi="Book Antiqua"/>
              </w:rPr>
              <w:t>fundic</w:t>
            </w:r>
            <w:proofErr w:type="spellEnd"/>
            <w:r w:rsidRPr="00CD7EA8">
              <w:rPr>
                <w:rFonts w:ascii="Book Antiqua" w:hAnsi="Book Antiqua"/>
              </w:rPr>
              <w:t xml:space="preserve"> density</w:t>
            </w:r>
          </w:p>
        </w:tc>
        <w:tc>
          <w:tcPr>
            <w:tcW w:w="1559" w:type="dxa"/>
          </w:tcPr>
          <w:p w14:paraId="405F8EB1" w14:textId="77777777" w:rsidR="00510ECC" w:rsidRPr="00CD7EA8" w:rsidRDefault="00510ECC" w:rsidP="00CD7EA8">
            <w:pPr>
              <w:spacing w:line="360" w:lineRule="auto"/>
              <w:jc w:val="both"/>
              <w:rPr>
                <w:rFonts w:ascii="Book Antiqua" w:hAnsi="Book Antiqua"/>
              </w:rPr>
            </w:pPr>
          </w:p>
        </w:tc>
        <w:tc>
          <w:tcPr>
            <w:tcW w:w="1559" w:type="dxa"/>
          </w:tcPr>
          <w:p w14:paraId="2CF1FD2F" w14:textId="77777777" w:rsidR="00510ECC" w:rsidRPr="00CD7EA8" w:rsidRDefault="00510ECC" w:rsidP="00CD7EA8">
            <w:pPr>
              <w:spacing w:line="360" w:lineRule="auto"/>
              <w:jc w:val="both"/>
              <w:rPr>
                <w:rFonts w:ascii="Book Antiqua" w:hAnsi="Book Antiqua"/>
              </w:rPr>
            </w:pPr>
          </w:p>
        </w:tc>
        <w:tc>
          <w:tcPr>
            <w:tcW w:w="1560" w:type="dxa"/>
          </w:tcPr>
          <w:p w14:paraId="5A8AC898" w14:textId="77777777" w:rsidR="00510ECC" w:rsidRPr="00CD7EA8" w:rsidRDefault="00510ECC" w:rsidP="00CD7EA8">
            <w:pPr>
              <w:spacing w:line="360" w:lineRule="auto"/>
              <w:jc w:val="both"/>
              <w:rPr>
                <w:rFonts w:ascii="Book Antiqua" w:hAnsi="Book Antiqua"/>
              </w:rPr>
            </w:pPr>
          </w:p>
        </w:tc>
        <w:tc>
          <w:tcPr>
            <w:tcW w:w="1559" w:type="dxa"/>
          </w:tcPr>
          <w:p w14:paraId="193E44DD" w14:textId="77777777" w:rsidR="00510ECC" w:rsidRPr="00CD7EA8" w:rsidRDefault="00510ECC" w:rsidP="00CD7EA8">
            <w:pPr>
              <w:spacing w:line="360" w:lineRule="auto"/>
              <w:jc w:val="both"/>
              <w:rPr>
                <w:rFonts w:ascii="Book Antiqua" w:hAnsi="Book Antiqua"/>
              </w:rPr>
            </w:pPr>
          </w:p>
        </w:tc>
        <w:tc>
          <w:tcPr>
            <w:tcW w:w="1134" w:type="dxa"/>
          </w:tcPr>
          <w:p w14:paraId="04E49D5E" w14:textId="516AA199" w:rsidR="00510ECC" w:rsidRPr="00CD7EA8" w:rsidRDefault="00510ECC" w:rsidP="00CD7EA8">
            <w:pPr>
              <w:spacing w:line="360" w:lineRule="auto"/>
              <w:jc w:val="both"/>
              <w:rPr>
                <w:rFonts w:ascii="Book Antiqua" w:hAnsi="Book Antiqua"/>
              </w:rPr>
            </w:pPr>
            <w:r w:rsidRPr="00CD7EA8">
              <w:rPr>
                <w:rFonts w:ascii="Book Antiqua" w:hAnsi="Book Antiqua"/>
              </w:rPr>
              <w:t>0.74</w:t>
            </w:r>
          </w:p>
        </w:tc>
      </w:tr>
      <w:tr w:rsidR="00510ECC" w:rsidRPr="00CD7EA8" w14:paraId="6AB92E60" w14:textId="77777777" w:rsidTr="00A04AD3">
        <w:trPr>
          <w:trHeight w:val="230"/>
        </w:trPr>
        <w:tc>
          <w:tcPr>
            <w:tcW w:w="3119" w:type="dxa"/>
          </w:tcPr>
          <w:p w14:paraId="3023D58A"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Pr>
          <w:p w14:paraId="69C3E047" w14:textId="679EC112" w:rsidR="00510ECC" w:rsidRPr="00CD7EA8" w:rsidRDefault="00510ECC" w:rsidP="00CD7EA8">
            <w:pPr>
              <w:spacing w:line="360" w:lineRule="auto"/>
              <w:jc w:val="both"/>
              <w:rPr>
                <w:rFonts w:ascii="Book Antiqua" w:hAnsi="Book Antiqua"/>
              </w:rPr>
            </w:pPr>
            <w:r w:rsidRPr="00CD7EA8">
              <w:rPr>
                <w:rFonts w:ascii="Book Antiqua" w:hAnsi="Book Antiqua"/>
              </w:rPr>
              <w:t>147 (44.8)</w:t>
            </w:r>
          </w:p>
        </w:tc>
        <w:tc>
          <w:tcPr>
            <w:tcW w:w="1559" w:type="dxa"/>
          </w:tcPr>
          <w:p w14:paraId="1A7FF922" w14:textId="4EBCD3A0" w:rsidR="00510ECC" w:rsidRPr="00CD7EA8" w:rsidRDefault="00510ECC" w:rsidP="00CD7EA8">
            <w:pPr>
              <w:spacing w:line="360" w:lineRule="auto"/>
              <w:jc w:val="both"/>
              <w:rPr>
                <w:rFonts w:ascii="Book Antiqua" w:hAnsi="Book Antiqua"/>
              </w:rPr>
            </w:pPr>
            <w:r w:rsidRPr="00CD7EA8">
              <w:rPr>
                <w:rFonts w:ascii="Book Antiqua" w:hAnsi="Book Antiqua"/>
              </w:rPr>
              <w:t>54 (49.1)</w:t>
            </w:r>
          </w:p>
        </w:tc>
        <w:tc>
          <w:tcPr>
            <w:tcW w:w="1560" w:type="dxa"/>
          </w:tcPr>
          <w:p w14:paraId="3A855210" w14:textId="14AE15C3" w:rsidR="00510ECC" w:rsidRPr="00CD7EA8" w:rsidRDefault="00510ECC" w:rsidP="00CD7EA8">
            <w:pPr>
              <w:spacing w:line="360" w:lineRule="auto"/>
              <w:jc w:val="both"/>
              <w:rPr>
                <w:rFonts w:ascii="Book Antiqua" w:hAnsi="Book Antiqua"/>
              </w:rPr>
            </w:pPr>
            <w:r w:rsidRPr="00CD7EA8">
              <w:rPr>
                <w:rFonts w:ascii="Book Antiqua" w:hAnsi="Book Antiqua"/>
              </w:rPr>
              <w:t>46 (41.8)</w:t>
            </w:r>
          </w:p>
        </w:tc>
        <w:tc>
          <w:tcPr>
            <w:tcW w:w="1559" w:type="dxa"/>
          </w:tcPr>
          <w:p w14:paraId="27A9F8F2" w14:textId="1F09D3EB" w:rsidR="00510ECC" w:rsidRPr="00CD7EA8" w:rsidRDefault="00510ECC" w:rsidP="00CD7EA8">
            <w:pPr>
              <w:spacing w:line="360" w:lineRule="auto"/>
              <w:jc w:val="both"/>
              <w:rPr>
                <w:rFonts w:ascii="Book Antiqua" w:hAnsi="Book Antiqua"/>
              </w:rPr>
            </w:pPr>
            <w:r w:rsidRPr="00CD7EA8">
              <w:rPr>
                <w:rFonts w:ascii="Book Antiqua" w:hAnsi="Book Antiqua"/>
              </w:rPr>
              <w:t>47 (43.5)</w:t>
            </w:r>
          </w:p>
        </w:tc>
        <w:tc>
          <w:tcPr>
            <w:tcW w:w="1134" w:type="dxa"/>
          </w:tcPr>
          <w:p w14:paraId="3EC01A2E" w14:textId="77777777" w:rsidR="00510ECC" w:rsidRPr="00CD7EA8" w:rsidRDefault="00510ECC" w:rsidP="00CD7EA8">
            <w:pPr>
              <w:spacing w:line="360" w:lineRule="auto"/>
              <w:jc w:val="both"/>
              <w:rPr>
                <w:rFonts w:ascii="Book Antiqua" w:hAnsi="Book Antiqua"/>
              </w:rPr>
            </w:pPr>
          </w:p>
        </w:tc>
      </w:tr>
      <w:tr w:rsidR="00510ECC" w:rsidRPr="00CD7EA8" w14:paraId="1BD61534" w14:textId="77777777" w:rsidTr="00A04AD3">
        <w:trPr>
          <w:trHeight w:val="230"/>
        </w:trPr>
        <w:tc>
          <w:tcPr>
            <w:tcW w:w="3119" w:type="dxa"/>
          </w:tcPr>
          <w:p w14:paraId="5D3506A5"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Pr>
          <w:p w14:paraId="564CC5C0" w14:textId="298C0CEE" w:rsidR="00510ECC" w:rsidRPr="00CD7EA8" w:rsidRDefault="00510ECC" w:rsidP="00CD7EA8">
            <w:pPr>
              <w:spacing w:line="360" w:lineRule="auto"/>
              <w:jc w:val="both"/>
              <w:rPr>
                <w:rFonts w:ascii="Book Antiqua" w:hAnsi="Book Antiqua"/>
              </w:rPr>
            </w:pPr>
            <w:r w:rsidRPr="00CD7EA8">
              <w:rPr>
                <w:rFonts w:ascii="Book Antiqua" w:hAnsi="Book Antiqua"/>
              </w:rPr>
              <w:t>62 (18.9)</w:t>
            </w:r>
          </w:p>
        </w:tc>
        <w:tc>
          <w:tcPr>
            <w:tcW w:w="1559" w:type="dxa"/>
          </w:tcPr>
          <w:p w14:paraId="5A4B4079" w14:textId="2527D268" w:rsidR="00510ECC" w:rsidRPr="00CD7EA8" w:rsidRDefault="00510ECC" w:rsidP="00CD7EA8">
            <w:pPr>
              <w:spacing w:line="360" w:lineRule="auto"/>
              <w:jc w:val="both"/>
              <w:rPr>
                <w:rFonts w:ascii="Book Antiqua" w:hAnsi="Book Antiqua"/>
              </w:rPr>
            </w:pPr>
            <w:r w:rsidRPr="00CD7EA8">
              <w:rPr>
                <w:rFonts w:ascii="Book Antiqua" w:hAnsi="Book Antiqua"/>
              </w:rPr>
              <w:t>20 (18.2)</w:t>
            </w:r>
          </w:p>
        </w:tc>
        <w:tc>
          <w:tcPr>
            <w:tcW w:w="1560" w:type="dxa"/>
          </w:tcPr>
          <w:p w14:paraId="13F5471D" w14:textId="6CAB6128" w:rsidR="00510ECC" w:rsidRPr="00CD7EA8" w:rsidRDefault="00510ECC" w:rsidP="00CD7EA8">
            <w:pPr>
              <w:spacing w:line="360" w:lineRule="auto"/>
              <w:jc w:val="both"/>
              <w:rPr>
                <w:rFonts w:ascii="Book Antiqua" w:hAnsi="Book Antiqua"/>
              </w:rPr>
            </w:pPr>
            <w:r w:rsidRPr="00CD7EA8">
              <w:rPr>
                <w:rFonts w:ascii="Book Antiqua" w:hAnsi="Book Antiqua"/>
              </w:rPr>
              <w:t>22 (20)</w:t>
            </w:r>
          </w:p>
        </w:tc>
        <w:tc>
          <w:tcPr>
            <w:tcW w:w="1559" w:type="dxa"/>
          </w:tcPr>
          <w:p w14:paraId="43B5DF41" w14:textId="787CC93C" w:rsidR="00510ECC" w:rsidRPr="00CD7EA8" w:rsidRDefault="00510ECC" w:rsidP="00CD7EA8">
            <w:pPr>
              <w:spacing w:line="360" w:lineRule="auto"/>
              <w:jc w:val="both"/>
              <w:rPr>
                <w:rFonts w:ascii="Book Antiqua" w:hAnsi="Book Antiqua"/>
              </w:rPr>
            </w:pPr>
            <w:r w:rsidRPr="00CD7EA8">
              <w:rPr>
                <w:rFonts w:ascii="Book Antiqua" w:hAnsi="Book Antiqua"/>
              </w:rPr>
              <w:t>20 (18.5)</w:t>
            </w:r>
          </w:p>
        </w:tc>
        <w:tc>
          <w:tcPr>
            <w:tcW w:w="1134" w:type="dxa"/>
          </w:tcPr>
          <w:p w14:paraId="33429189" w14:textId="77777777" w:rsidR="00510ECC" w:rsidRPr="00CD7EA8" w:rsidRDefault="00510ECC" w:rsidP="00CD7EA8">
            <w:pPr>
              <w:spacing w:line="360" w:lineRule="auto"/>
              <w:jc w:val="both"/>
              <w:rPr>
                <w:rFonts w:ascii="Book Antiqua" w:hAnsi="Book Antiqua"/>
              </w:rPr>
            </w:pPr>
          </w:p>
        </w:tc>
      </w:tr>
      <w:tr w:rsidR="00510ECC" w:rsidRPr="00CD7EA8" w14:paraId="4F05E3CF" w14:textId="77777777" w:rsidTr="00A04AD3">
        <w:trPr>
          <w:trHeight w:val="226"/>
        </w:trPr>
        <w:tc>
          <w:tcPr>
            <w:tcW w:w="3119" w:type="dxa"/>
            <w:tcBorders>
              <w:bottom w:val="single" w:sz="4" w:space="0" w:color="auto"/>
            </w:tcBorders>
          </w:tcPr>
          <w:p w14:paraId="7EF83CF6" w14:textId="77777777" w:rsidR="00510ECC" w:rsidRPr="00CD7EA8" w:rsidRDefault="00510ECC" w:rsidP="00A04AD3">
            <w:pPr>
              <w:adjustRightInd w:val="0"/>
              <w:spacing w:line="360" w:lineRule="auto"/>
              <w:ind w:firstLineChars="100" w:firstLine="240"/>
              <w:jc w:val="both"/>
              <w:rPr>
                <w:rFonts w:ascii="Book Antiqua" w:hAnsi="Book Antiqua"/>
              </w:rPr>
            </w:pPr>
            <w:r w:rsidRPr="00CD7EA8">
              <w:rPr>
                <w:rFonts w:ascii="Book Antiqua" w:hAnsi="Book Antiqua"/>
              </w:rPr>
              <w:t>+++</w:t>
            </w:r>
          </w:p>
        </w:tc>
        <w:tc>
          <w:tcPr>
            <w:tcW w:w="1559" w:type="dxa"/>
            <w:tcBorders>
              <w:bottom w:val="single" w:sz="4" w:space="0" w:color="auto"/>
            </w:tcBorders>
          </w:tcPr>
          <w:p w14:paraId="144797BD" w14:textId="64BE63F5" w:rsidR="00510ECC" w:rsidRPr="00CD7EA8" w:rsidRDefault="00510ECC" w:rsidP="00CD7EA8">
            <w:pPr>
              <w:spacing w:line="360" w:lineRule="auto"/>
              <w:jc w:val="both"/>
              <w:rPr>
                <w:rFonts w:ascii="Book Antiqua" w:hAnsi="Book Antiqua"/>
              </w:rPr>
            </w:pPr>
            <w:r w:rsidRPr="00CD7EA8">
              <w:rPr>
                <w:rFonts w:ascii="Book Antiqua" w:hAnsi="Book Antiqua"/>
              </w:rPr>
              <w:t>7 (2.1)</w:t>
            </w:r>
          </w:p>
        </w:tc>
        <w:tc>
          <w:tcPr>
            <w:tcW w:w="1559" w:type="dxa"/>
            <w:tcBorders>
              <w:bottom w:val="single" w:sz="4" w:space="0" w:color="auto"/>
            </w:tcBorders>
          </w:tcPr>
          <w:p w14:paraId="1994F691" w14:textId="60E42FD1" w:rsidR="00510ECC" w:rsidRPr="00CD7EA8" w:rsidRDefault="00510ECC" w:rsidP="00CD7EA8">
            <w:pPr>
              <w:spacing w:line="360" w:lineRule="auto"/>
              <w:jc w:val="both"/>
              <w:rPr>
                <w:rFonts w:ascii="Book Antiqua" w:hAnsi="Book Antiqua"/>
              </w:rPr>
            </w:pPr>
            <w:r w:rsidRPr="00CD7EA8">
              <w:rPr>
                <w:rFonts w:ascii="Book Antiqua" w:hAnsi="Book Antiqua"/>
              </w:rPr>
              <w:t>1 (0.9)</w:t>
            </w:r>
          </w:p>
        </w:tc>
        <w:tc>
          <w:tcPr>
            <w:tcW w:w="1560" w:type="dxa"/>
            <w:tcBorders>
              <w:bottom w:val="single" w:sz="4" w:space="0" w:color="auto"/>
            </w:tcBorders>
          </w:tcPr>
          <w:p w14:paraId="02C3E867" w14:textId="2379769E" w:rsidR="00510ECC" w:rsidRPr="00CD7EA8" w:rsidRDefault="00510ECC" w:rsidP="00CD7EA8">
            <w:pPr>
              <w:spacing w:line="360" w:lineRule="auto"/>
              <w:jc w:val="both"/>
              <w:rPr>
                <w:rFonts w:ascii="Book Antiqua" w:hAnsi="Book Antiqua"/>
              </w:rPr>
            </w:pPr>
            <w:r w:rsidRPr="00CD7EA8">
              <w:rPr>
                <w:rFonts w:ascii="Book Antiqua" w:hAnsi="Book Antiqua"/>
              </w:rPr>
              <w:t>2 (1.8)</w:t>
            </w:r>
          </w:p>
        </w:tc>
        <w:tc>
          <w:tcPr>
            <w:tcW w:w="1559" w:type="dxa"/>
            <w:tcBorders>
              <w:bottom w:val="single" w:sz="4" w:space="0" w:color="auto"/>
            </w:tcBorders>
          </w:tcPr>
          <w:p w14:paraId="30B77516" w14:textId="729335D5" w:rsidR="00510ECC" w:rsidRPr="00CD7EA8" w:rsidRDefault="00510ECC" w:rsidP="00CD7EA8">
            <w:pPr>
              <w:spacing w:line="360" w:lineRule="auto"/>
              <w:jc w:val="both"/>
              <w:rPr>
                <w:rFonts w:ascii="Book Antiqua" w:hAnsi="Book Antiqua"/>
              </w:rPr>
            </w:pPr>
            <w:r w:rsidRPr="00CD7EA8">
              <w:rPr>
                <w:rFonts w:ascii="Book Antiqua" w:hAnsi="Book Antiqua"/>
              </w:rPr>
              <w:t>4 (3.7)</w:t>
            </w:r>
          </w:p>
        </w:tc>
        <w:tc>
          <w:tcPr>
            <w:tcW w:w="1134" w:type="dxa"/>
            <w:tcBorders>
              <w:bottom w:val="single" w:sz="4" w:space="0" w:color="auto"/>
            </w:tcBorders>
          </w:tcPr>
          <w:p w14:paraId="09139348" w14:textId="77777777" w:rsidR="00510ECC" w:rsidRPr="00CD7EA8" w:rsidRDefault="00510ECC" w:rsidP="00CD7EA8">
            <w:pPr>
              <w:spacing w:line="360" w:lineRule="auto"/>
              <w:jc w:val="both"/>
              <w:rPr>
                <w:rFonts w:ascii="Book Antiqua" w:hAnsi="Book Antiqua"/>
              </w:rPr>
            </w:pPr>
          </w:p>
        </w:tc>
      </w:tr>
    </w:tbl>
    <w:p w14:paraId="6695D257" w14:textId="58E99114" w:rsidR="00205971" w:rsidRDefault="00205971" w:rsidP="00CD7EA8">
      <w:pPr>
        <w:spacing w:line="360" w:lineRule="auto"/>
        <w:jc w:val="both"/>
        <w:rPr>
          <w:rFonts w:ascii="Book Antiqua" w:hAnsi="Book Antiqua"/>
          <w:lang w:eastAsia="zh-CN"/>
        </w:rPr>
      </w:pPr>
      <w:r w:rsidRPr="00CD7EA8">
        <w:rPr>
          <w:rFonts w:ascii="Book Antiqua" w:hAnsi="Book Antiqua"/>
        </w:rPr>
        <w:t xml:space="preserve">All values are expressed as </w:t>
      </w:r>
      <w:r w:rsidRPr="00CD7EA8">
        <w:rPr>
          <w:rFonts w:ascii="Book Antiqua" w:hAnsi="Book Antiqua"/>
          <w:i/>
          <w:iCs/>
        </w:rPr>
        <w:t>n</w:t>
      </w:r>
      <w:r w:rsidRPr="00CD7EA8">
        <w:rPr>
          <w:rFonts w:ascii="Book Antiqua" w:hAnsi="Book Antiqua"/>
        </w:rPr>
        <w:t xml:space="preserve"> (%) unless otherwise stated. +: Sparse; ++: Moderate; +++: Marked</w:t>
      </w:r>
      <w:r w:rsidR="00A870C2">
        <w:rPr>
          <w:rFonts w:ascii="Book Antiqua" w:hAnsi="Book Antiqua"/>
        </w:rPr>
        <w:t>.</w:t>
      </w:r>
      <w:r w:rsidRPr="00CD7EA8">
        <w:rPr>
          <w:rFonts w:ascii="Book Antiqua" w:hAnsi="Book Antiqua"/>
        </w:rPr>
        <w:t xml:space="preserve"> HP: </w:t>
      </w:r>
      <w:r w:rsidRPr="00CD7EA8">
        <w:rPr>
          <w:rFonts w:ascii="Book Antiqua" w:hAnsi="Book Antiqua"/>
          <w:i/>
          <w:iCs/>
        </w:rPr>
        <w:t>Helicobacter pylori</w:t>
      </w:r>
      <w:r w:rsidR="00A870C2">
        <w:rPr>
          <w:rFonts w:ascii="Book Antiqua" w:hAnsi="Book Antiqua"/>
        </w:rPr>
        <w:t>; SD: Standard deviation.</w:t>
      </w:r>
    </w:p>
    <w:p w14:paraId="5FBFE723" w14:textId="77777777" w:rsidR="005F6707" w:rsidRPr="00CD7EA8" w:rsidRDefault="005F6707" w:rsidP="00CD7EA8">
      <w:pPr>
        <w:spacing w:line="360" w:lineRule="auto"/>
        <w:jc w:val="both"/>
        <w:rPr>
          <w:rFonts w:ascii="Book Antiqua" w:hAnsi="Book Antiqua"/>
          <w:lang w:eastAsia="zh-CN"/>
        </w:rPr>
        <w:sectPr w:rsidR="005F6707" w:rsidRPr="00CD7EA8">
          <w:pgSz w:w="12240" w:h="15840"/>
          <w:pgMar w:top="1440" w:right="1440" w:bottom="1440" w:left="1440" w:header="720" w:footer="720" w:gutter="0"/>
          <w:cols w:space="720"/>
          <w:docGrid w:linePitch="360"/>
        </w:sectPr>
      </w:pPr>
    </w:p>
    <w:p w14:paraId="4BB567C7" w14:textId="77777777" w:rsidR="00205971" w:rsidRPr="00CD7EA8" w:rsidRDefault="00205971" w:rsidP="00CD7EA8">
      <w:pPr>
        <w:pStyle w:val="a8"/>
        <w:spacing w:line="360" w:lineRule="auto"/>
        <w:jc w:val="both"/>
        <w:rPr>
          <w:rFonts w:ascii="Book Antiqua" w:hAnsi="Book Antiqua"/>
          <w:b/>
          <w:bCs/>
          <w:sz w:val="24"/>
          <w:szCs w:val="24"/>
        </w:rPr>
      </w:pPr>
      <w:r w:rsidRPr="00CD7EA8">
        <w:rPr>
          <w:rFonts w:ascii="Book Antiqua" w:hAnsi="Book Antiqua"/>
          <w:b/>
          <w:bCs/>
          <w:sz w:val="24"/>
          <w:szCs w:val="24"/>
        </w:rPr>
        <w:lastRenderedPageBreak/>
        <w:t>Table 2 Incidence of adverse effects among the study groups</w:t>
      </w:r>
    </w:p>
    <w:tbl>
      <w:tblPr>
        <w:tblW w:w="0" w:type="auto"/>
        <w:tblLayout w:type="fixed"/>
        <w:tblLook w:val="04A0" w:firstRow="1" w:lastRow="0" w:firstColumn="1" w:lastColumn="0" w:noHBand="0" w:noVBand="1"/>
      </w:tblPr>
      <w:tblGrid>
        <w:gridCol w:w="1566"/>
        <w:gridCol w:w="1588"/>
        <w:gridCol w:w="1846"/>
        <w:gridCol w:w="1899"/>
        <w:gridCol w:w="2324"/>
      </w:tblGrid>
      <w:tr w:rsidR="00205971" w:rsidRPr="00CD7EA8" w14:paraId="5CE9E4DF" w14:textId="77777777" w:rsidTr="00806B32">
        <w:trPr>
          <w:trHeight w:val="223"/>
        </w:trPr>
        <w:tc>
          <w:tcPr>
            <w:tcW w:w="1566" w:type="dxa"/>
            <w:tcBorders>
              <w:top w:val="single" w:sz="4" w:space="0" w:color="auto"/>
              <w:bottom w:val="single" w:sz="4" w:space="0" w:color="auto"/>
            </w:tcBorders>
          </w:tcPr>
          <w:p w14:paraId="56330D73"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Analysis</w:t>
            </w:r>
          </w:p>
        </w:tc>
        <w:tc>
          <w:tcPr>
            <w:tcW w:w="1588" w:type="dxa"/>
            <w:tcBorders>
              <w:top w:val="single" w:sz="4" w:space="0" w:color="auto"/>
              <w:bottom w:val="single" w:sz="4" w:space="0" w:color="auto"/>
            </w:tcBorders>
          </w:tcPr>
          <w:p w14:paraId="7F97EAB6"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QT-10</w:t>
            </w:r>
          </w:p>
        </w:tc>
        <w:tc>
          <w:tcPr>
            <w:tcW w:w="1846" w:type="dxa"/>
            <w:tcBorders>
              <w:top w:val="single" w:sz="4" w:space="0" w:color="auto"/>
              <w:bottom w:val="single" w:sz="4" w:space="0" w:color="auto"/>
            </w:tcBorders>
          </w:tcPr>
          <w:p w14:paraId="0214500B"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QT-14</w:t>
            </w:r>
          </w:p>
        </w:tc>
        <w:tc>
          <w:tcPr>
            <w:tcW w:w="1899" w:type="dxa"/>
            <w:tcBorders>
              <w:top w:val="single" w:sz="4" w:space="0" w:color="auto"/>
              <w:bottom w:val="single" w:sz="4" w:space="0" w:color="auto"/>
            </w:tcBorders>
          </w:tcPr>
          <w:p w14:paraId="604F564A"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rPr>
              <w:t>OST-14</w:t>
            </w:r>
          </w:p>
        </w:tc>
        <w:tc>
          <w:tcPr>
            <w:tcW w:w="2324" w:type="dxa"/>
            <w:tcBorders>
              <w:top w:val="single" w:sz="4" w:space="0" w:color="auto"/>
              <w:bottom w:val="single" w:sz="4" w:space="0" w:color="auto"/>
            </w:tcBorders>
          </w:tcPr>
          <w:p w14:paraId="5EAE39BD" w14:textId="77777777" w:rsidR="00205971" w:rsidRPr="00CD7EA8" w:rsidRDefault="00205971" w:rsidP="00CD7EA8">
            <w:pPr>
              <w:spacing w:line="360" w:lineRule="auto"/>
              <w:jc w:val="both"/>
              <w:rPr>
                <w:rFonts w:ascii="Book Antiqua" w:hAnsi="Book Antiqua"/>
                <w:b/>
                <w:bCs/>
              </w:rPr>
            </w:pPr>
            <w:r w:rsidRPr="00CD7EA8">
              <w:rPr>
                <w:rFonts w:ascii="Book Antiqua" w:hAnsi="Book Antiqua"/>
                <w:b/>
                <w:bCs/>
                <w:i/>
                <w:iCs/>
              </w:rPr>
              <w:t>P</w:t>
            </w:r>
            <w:r w:rsidRPr="00CD7EA8">
              <w:rPr>
                <w:rFonts w:ascii="Book Antiqua" w:hAnsi="Book Antiqua"/>
                <w:b/>
                <w:bCs/>
              </w:rPr>
              <w:t xml:space="preserve"> value</w:t>
            </w:r>
            <w:r w:rsidRPr="00CD7EA8">
              <w:rPr>
                <w:rFonts w:ascii="Book Antiqua" w:hAnsi="Book Antiqua"/>
                <w:b/>
                <w:bCs/>
                <w:vertAlign w:val="superscript"/>
              </w:rPr>
              <w:t>1</w:t>
            </w:r>
          </w:p>
        </w:tc>
      </w:tr>
      <w:tr w:rsidR="00205971" w:rsidRPr="00CD7EA8" w14:paraId="1007D4B3" w14:textId="77777777" w:rsidTr="00806B32">
        <w:trPr>
          <w:trHeight w:val="225"/>
        </w:trPr>
        <w:tc>
          <w:tcPr>
            <w:tcW w:w="1566" w:type="dxa"/>
            <w:tcBorders>
              <w:top w:val="single" w:sz="4" w:space="0" w:color="auto"/>
            </w:tcBorders>
          </w:tcPr>
          <w:p w14:paraId="13FE175B" w14:textId="77777777" w:rsidR="00205971" w:rsidRPr="00CD7EA8" w:rsidRDefault="00205971" w:rsidP="00CD7EA8">
            <w:pPr>
              <w:spacing w:line="360" w:lineRule="auto"/>
              <w:jc w:val="both"/>
              <w:rPr>
                <w:rFonts w:ascii="Book Antiqua" w:hAnsi="Book Antiqua"/>
              </w:rPr>
            </w:pPr>
            <w:r w:rsidRPr="00CD7EA8">
              <w:rPr>
                <w:rFonts w:ascii="Book Antiqua" w:hAnsi="Book Antiqua"/>
              </w:rPr>
              <w:t>ITT</w:t>
            </w:r>
          </w:p>
        </w:tc>
        <w:tc>
          <w:tcPr>
            <w:tcW w:w="1588" w:type="dxa"/>
            <w:tcBorders>
              <w:top w:val="single" w:sz="4" w:space="0" w:color="auto"/>
            </w:tcBorders>
          </w:tcPr>
          <w:p w14:paraId="15D2B775" w14:textId="77777777" w:rsidR="00205971" w:rsidRPr="00CD7EA8" w:rsidRDefault="00205971" w:rsidP="00CD7EA8">
            <w:pPr>
              <w:spacing w:line="360" w:lineRule="auto"/>
              <w:jc w:val="both"/>
              <w:rPr>
                <w:rFonts w:ascii="Book Antiqua" w:hAnsi="Book Antiqua"/>
              </w:rPr>
            </w:pPr>
            <w:r w:rsidRPr="00CD7EA8">
              <w:rPr>
                <w:rFonts w:ascii="Book Antiqua" w:hAnsi="Book Antiqua"/>
              </w:rPr>
              <w:t>39%</w:t>
            </w:r>
          </w:p>
        </w:tc>
        <w:tc>
          <w:tcPr>
            <w:tcW w:w="1846" w:type="dxa"/>
            <w:tcBorders>
              <w:top w:val="single" w:sz="4" w:space="0" w:color="auto"/>
            </w:tcBorders>
          </w:tcPr>
          <w:p w14:paraId="4FD4BC39" w14:textId="77777777" w:rsidR="00205971" w:rsidRPr="00CD7EA8" w:rsidRDefault="00205971" w:rsidP="00CD7EA8">
            <w:pPr>
              <w:spacing w:line="360" w:lineRule="auto"/>
              <w:jc w:val="both"/>
              <w:rPr>
                <w:rFonts w:ascii="Book Antiqua" w:hAnsi="Book Antiqua"/>
              </w:rPr>
            </w:pPr>
            <w:r w:rsidRPr="00CD7EA8">
              <w:rPr>
                <w:rFonts w:ascii="Book Antiqua" w:hAnsi="Book Antiqua"/>
              </w:rPr>
              <w:t>42.7%</w:t>
            </w:r>
          </w:p>
        </w:tc>
        <w:tc>
          <w:tcPr>
            <w:tcW w:w="1899" w:type="dxa"/>
            <w:tcBorders>
              <w:top w:val="single" w:sz="4" w:space="0" w:color="auto"/>
            </w:tcBorders>
          </w:tcPr>
          <w:p w14:paraId="2F45C3CE" w14:textId="77777777" w:rsidR="00205971" w:rsidRPr="00CD7EA8" w:rsidRDefault="00205971" w:rsidP="00CD7EA8">
            <w:pPr>
              <w:spacing w:line="360" w:lineRule="auto"/>
              <w:jc w:val="both"/>
              <w:rPr>
                <w:rFonts w:ascii="Book Antiqua" w:hAnsi="Book Antiqua"/>
              </w:rPr>
            </w:pPr>
            <w:r w:rsidRPr="00CD7EA8">
              <w:rPr>
                <w:rFonts w:ascii="Book Antiqua" w:hAnsi="Book Antiqua"/>
              </w:rPr>
              <w:t>24.7%</w:t>
            </w:r>
          </w:p>
        </w:tc>
        <w:tc>
          <w:tcPr>
            <w:tcW w:w="2324" w:type="dxa"/>
            <w:tcBorders>
              <w:top w:val="single" w:sz="4" w:space="0" w:color="auto"/>
            </w:tcBorders>
          </w:tcPr>
          <w:p w14:paraId="22757B4C" w14:textId="77777777" w:rsidR="00205971" w:rsidRPr="00CD7EA8" w:rsidRDefault="00205971" w:rsidP="00CD7EA8">
            <w:pPr>
              <w:spacing w:line="360" w:lineRule="auto"/>
              <w:jc w:val="both"/>
              <w:rPr>
                <w:rFonts w:ascii="Book Antiqua" w:hAnsi="Book Antiqua"/>
              </w:rPr>
            </w:pPr>
            <w:r w:rsidRPr="00CD7EA8">
              <w:rPr>
                <w:rFonts w:ascii="Book Antiqua" w:hAnsi="Book Antiqua"/>
              </w:rPr>
              <w:t>0.03</w:t>
            </w:r>
          </w:p>
        </w:tc>
      </w:tr>
      <w:tr w:rsidR="00205971" w:rsidRPr="00CD7EA8" w14:paraId="3FC39E83" w14:textId="77777777" w:rsidTr="00806B32">
        <w:trPr>
          <w:trHeight w:val="230"/>
        </w:trPr>
        <w:tc>
          <w:tcPr>
            <w:tcW w:w="1566" w:type="dxa"/>
            <w:tcBorders>
              <w:bottom w:val="single" w:sz="4" w:space="0" w:color="auto"/>
            </w:tcBorders>
          </w:tcPr>
          <w:p w14:paraId="17779273" w14:textId="77777777" w:rsidR="00205971" w:rsidRPr="00CD7EA8" w:rsidRDefault="00205971" w:rsidP="00CD7EA8">
            <w:pPr>
              <w:spacing w:line="360" w:lineRule="auto"/>
              <w:jc w:val="both"/>
              <w:rPr>
                <w:rFonts w:ascii="Book Antiqua" w:hAnsi="Book Antiqua"/>
              </w:rPr>
            </w:pPr>
            <w:r w:rsidRPr="00CD7EA8">
              <w:rPr>
                <w:rFonts w:ascii="Book Antiqua" w:hAnsi="Book Antiqua"/>
              </w:rPr>
              <w:t>PP</w:t>
            </w:r>
          </w:p>
        </w:tc>
        <w:tc>
          <w:tcPr>
            <w:tcW w:w="1588" w:type="dxa"/>
            <w:tcBorders>
              <w:bottom w:val="single" w:sz="4" w:space="0" w:color="auto"/>
            </w:tcBorders>
          </w:tcPr>
          <w:p w14:paraId="6139FAD3" w14:textId="77777777" w:rsidR="00205971" w:rsidRPr="00CD7EA8" w:rsidRDefault="00205971" w:rsidP="00CD7EA8">
            <w:pPr>
              <w:spacing w:line="360" w:lineRule="auto"/>
              <w:jc w:val="both"/>
              <w:rPr>
                <w:rFonts w:ascii="Book Antiqua" w:hAnsi="Book Antiqua"/>
              </w:rPr>
            </w:pPr>
            <w:r w:rsidRPr="00CD7EA8">
              <w:rPr>
                <w:rFonts w:ascii="Book Antiqua" w:hAnsi="Book Antiqua"/>
              </w:rPr>
              <w:t>45.1%</w:t>
            </w:r>
          </w:p>
        </w:tc>
        <w:tc>
          <w:tcPr>
            <w:tcW w:w="1846" w:type="dxa"/>
            <w:tcBorders>
              <w:bottom w:val="single" w:sz="4" w:space="0" w:color="auto"/>
            </w:tcBorders>
          </w:tcPr>
          <w:p w14:paraId="08586193" w14:textId="77777777" w:rsidR="00205971" w:rsidRPr="00CD7EA8" w:rsidRDefault="00205971" w:rsidP="00CD7EA8">
            <w:pPr>
              <w:spacing w:line="360" w:lineRule="auto"/>
              <w:jc w:val="both"/>
              <w:rPr>
                <w:rFonts w:ascii="Book Antiqua" w:hAnsi="Book Antiqua"/>
              </w:rPr>
            </w:pPr>
            <w:r w:rsidRPr="00CD7EA8">
              <w:rPr>
                <w:rFonts w:ascii="Book Antiqua" w:hAnsi="Book Antiqua"/>
              </w:rPr>
              <w:t>49.5%</w:t>
            </w:r>
          </w:p>
        </w:tc>
        <w:tc>
          <w:tcPr>
            <w:tcW w:w="1899" w:type="dxa"/>
            <w:tcBorders>
              <w:bottom w:val="single" w:sz="4" w:space="0" w:color="auto"/>
            </w:tcBorders>
          </w:tcPr>
          <w:p w14:paraId="41A3ED9D" w14:textId="77777777" w:rsidR="00205971" w:rsidRPr="00CD7EA8" w:rsidRDefault="00205971" w:rsidP="00CD7EA8">
            <w:pPr>
              <w:spacing w:line="360" w:lineRule="auto"/>
              <w:jc w:val="both"/>
              <w:rPr>
                <w:rFonts w:ascii="Book Antiqua" w:hAnsi="Book Antiqua"/>
              </w:rPr>
            </w:pPr>
            <w:r w:rsidRPr="00CD7EA8">
              <w:rPr>
                <w:rFonts w:ascii="Book Antiqua" w:hAnsi="Book Antiqua"/>
              </w:rPr>
              <w:t>31.3%</w:t>
            </w:r>
          </w:p>
        </w:tc>
        <w:tc>
          <w:tcPr>
            <w:tcW w:w="2324" w:type="dxa"/>
            <w:tcBorders>
              <w:bottom w:val="single" w:sz="4" w:space="0" w:color="auto"/>
            </w:tcBorders>
          </w:tcPr>
          <w:p w14:paraId="48DF7621" w14:textId="77777777" w:rsidR="00205971" w:rsidRPr="00CD7EA8" w:rsidRDefault="00205971" w:rsidP="00CD7EA8">
            <w:pPr>
              <w:spacing w:line="360" w:lineRule="auto"/>
              <w:jc w:val="both"/>
              <w:rPr>
                <w:rFonts w:ascii="Book Antiqua" w:hAnsi="Book Antiqua"/>
              </w:rPr>
            </w:pPr>
            <w:r w:rsidRPr="00CD7EA8">
              <w:rPr>
                <w:rFonts w:ascii="Book Antiqua" w:hAnsi="Book Antiqua"/>
              </w:rPr>
              <w:t>0.01</w:t>
            </w:r>
          </w:p>
        </w:tc>
      </w:tr>
    </w:tbl>
    <w:p w14:paraId="14A6F63B" w14:textId="77777777" w:rsidR="00A76B85" w:rsidRDefault="00205971" w:rsidP="00CD7EA8">
      <w:pPr>
        <w:pStyle w:val="a8"/>
        <w:spacing w:line="360" w:lineRule="auto"/>
        <w:jc w:val="both"/>
        <w:rPr>
          <w:rFonts w:ascii="Book Antiqua" w:eastAsiaTheme="minorEastAsia" w:hAnsi="Book Antiqua"/>
          <w:sz w:val="24"/>
          <w:szCs w:val="24"/>
          <w:lang w:eastAsia="zh-CN"/>
        </w:rPr>
      </w:pPr>
      <w:proofErr w:type="gramStart"/>
      <w:r w:rsidRPr="00CD7EA8">
        <w:rPr>
          <w:rFonts w:ascii="Book Antiqua" w:hAnsi="Book Antiqua"/>
          <w:sz w:val="24"/>
          <w:szCs w:val="24"/>
          <w:vertAlign w:val="superscript"/>
        </w:rPr>
        <w:t>1</w:t>
      </w:r>
      <w:r w:rsidRPr="00CD7EA8">
        <w:rPr>
          <w:rFonts w:ascii="Book Antiqua" w:hAnsi="Book Antiqua"/>
          <w:i/>
          <w:iCs/>
          <w:sz w:val="24"/>
          <w:szCs w:val="24"/>
        </w:rPr>
        <w:t>P</w:t>
      </w:r>
      <w:r w:rsidRPr="00CD7EA8">
        <w:rPr>
          <w:rFonts w:ascii="Book Antiqua" w:hAnsi="Book Antiqua"/>
          <w:sz w:val="24"/>
          <w:szCs w:val="24"/>
        </w:rPr>
        <w:t xml:space="preserve"> value of </w:t>
      </w:r>
      <w:r w:rsidRPr="00CD7EA8">
        <w:rPr>
          <w:rFonts w:ascii="Book Antiqua" w:hAnsi="Book Antiqua"/>
          <w:i/>
          <w:iCs/>
          <w:sz w:val="24"/>
          <w:szCs w:val="24"/>
        </w:rPr>
        <w:t>χ</w:t>
      </w:r>
      <w:r w:rsidRPr="005F6707">
        <w:rPr>
          <w:rFonts w:ascii="Book Antiqua" w:hAnsi="Book Antiqua"/>
          <w:iCs/>
          <w:sz w:val="24"/>
          <w:szCs w:val="24"/>
          <w:vertAlign w:val="superscript"/>
        </w:rPr>
        <w:t>2</w:t>
      </w:r>
      <w:r w:rsidRPr="00CD7EA8">
        <w:rPr>
          <w:rFonts w:ascii="Book Antiqua" w:hAnsi="Book Antiqua"/>
          <w:sz w:val="24"/>
          <w:szCs w:val="24"/>
        </w:rPr>
        <w:t xml:space="preserve"> test.</w:t>
      </w:r>
      <w:proofErr w:type="gramEnd"/>
      <w:r w:rsidR="007550A4">
        <w:rPr>
          <w:rFonts w:ascii="Book Antiqua" w:eastAsiaTheme="minorEastAsia" w:hAnsi="Book Antiqua"/>
          <w:sz w:val="24"/>
          <w:szCs w:val="24"/>
          <w:lang w:eastAsia="zh-CN"/>
        </w:rPr>
        <w:t xml:space="preserve"> </w:t>
      </w:r>
    </w:p>
    <w:p w14:paraId="71D1869F" w14:textId="6440F1E6" w:rsidR="00205971" w:rsidRPr="00CD7EA8" w:rsidRDefault="00205971" w:rsidP="00CD7EA8">
      <w:pPr>
        <w:pStyle w:val="a8"/>
        <w:spacing w:line="360" w:lineRule="auto"/>
        <w:jc w:val="both"/>
        <w:rPr>
          <w:rFonts w:ascii="Book Antiqua" w:eastAsiaTheme="minorEastAsia" w:hAnsi="Book Antiqua"/>
          <w:sz w:val="24"/>
          <w:szCs w:val="24"/>
          <w:lang w:eastAsia="zh-CN"/>
        </w:rPr>
      </w:pPr>
      <w:r w:rsidRPr="00CD7EA8">
        <w:rPr>
          <w:rFonts w:ascii="Book Antiqua" w:eastAsiaTheme="minorEastAsia" w:hAnsi="Book Antiqua"/>
          <w:sz w:val="24"/>
          <w:szCs w:val="24"/>
          <w:lang w:eastAsia="zh-CN"/>
        </w:rPr>
        <w:t xml:space="preserve">ITT: </w:t>
      </w:r>
      <w:r w:rsidRPr="00CD7EA8">
        <w:rPr>
          <w:rFonts w:ascii="Book Antiqua" w:eastAsia="Book Antiqua" w:hAnsi="Book Antiqua" w:cs="Book Antiqua"/>
          <w:color w:val="000000"/>
          <w:sz w:val="24"/>
          <w:szCs w:val="24"/>
        </w:rPr>
        <w:t>Intention to treat</w:t>
      </w:r>
      <w:r w:rsidRPr="00CD7EA8">
        <w:rPr>
          <w:rFonts w:ascii="Book Antiqua" w:eastAsiaTheme="minorEastAsia" w:hAnsi="Book Antiqua"/>
          <w:sz w:val="24"/>
          <w:szCs w:val="24"/>
          <w:lang w:eastAsia="zh-CN"/>
        </w:rPr>
        <w:t>; PP: Per-protocol.</w:t>
      </w:r>
    </w:p>
    <w:p w14:paraId="5CCD0776" w14:textId="77777777" w:rsidR="00205971" w:rsidRPr="00CD7EA8" w:rsidRDefault="00205971" w:rsidP="00CD7EA8">
      <w:pPr>
        <w:spacing w:line="360" w:lineRule="auto"/>
        <w:jc w:val="both"/>
        <w:rPr>
          <w:rFonts w:ascii="Book Antiqua" w:hAnsi="Book Antiqua"/>
        </w:rPr>
        <w:sectPr w:rsidR="00205971" w:rsidRPr="00CD7EA8">
          <w:pgSz w:w="12240" w:h="15840"/>
          <w:pgMar w:top="1440" w:right="1440" w:bottom="1440" w:left="1440" w:header="720" w:footer="720" w:gutter="0"/>
          <w:cols w:space="720"/>
          <w:docGrid w:linePitch="360"/>
        </w:sectPr>
      </w:pPr>
    </w:p>
    <w:p w14:paraId="0B88CB04" w14:textId="2D33E590" w:rsidR="00205971" w:rsidRPr="00CD7EA8" w:rsidRDefault="00205971" w:rsidP="00CD7EA8">
      <w:pPr>
        <w:spacing w:line="360" w:lineRule="auto"/>
        <w:jc w:val="both"/>
        <w:rPr>
          <w:rFonts w:ascii="Book Antiqua" w:hAnsi="Book Antiqua"/>
          <w:b/>
          <w:bCs/>
        </w:rPr>
      </w:pPr>
      <w:r w:rsidRPr="00CD7EA8">
        <w:rPr>
          <w:rFonts w:ascii="Book Antiqua" w:hAnsi="Book Antiqua"/>
          <w:b/>
          <w:bCs/>
        </w:rPr>
        <w:lastRenderedPageBreak/>
        <w:t>Table 3 Cost-effectiveness ratio in the three protocols costs</w:t>
      </w:r>
      <w:r w:rsidR="003F25AD">
        <w:rPr>
          <w:rFonts w:ascii="Book Antiqua" w:hAnsi="Book Antiqua"/>
          <w:b/>
          <w:bCs/>
        </w:rPr>
        <w:t>,</w:t>
      </w:r>
      <w:r w:rsidRPr="00CD7EA8">
        <w:rPr>
          <w:rFonts w:ascii="Book Antiqua" w:hAnsi="Book Antiqua"/>
          <w:b/>
          <w:bCs/>
        </w:rPr>
        <w:t xml:space="preserve"> expressed in Moroccan dirhams</w:t>
      </w:r>
    </w:p>
    <w:tbl>
      <w:tblPr>
        <w:tblW w:w="10349" w:type="dxa"/>
        <w:tblInd w:w="-318" w:type="dxa"/>
        <w:tblLayout w:type="fixed"/>
        <w:tblLook w:val="04A0" w:firstRow="1" w:lastRow="0" w:firstColumn="1" w:lastColumn="0" w:noHBand="0" w:noVBand="1"/>
      </w:tblPr>
      <w:tblGrid>
        <w:gridCol w:w="2622"/>
        <w:gridCol w:w="3191"/>
        <w:gridCol w:w="1701"/>
        <w:gridCol w:w="2835"/>
      </w:tblGrid>
      <w:tr w:rsidR="00205971" w:rsidRPr="00CD7EA8" w14:paraId="2031177D" w14:textId="77777777" w:rsidTr="005F6707">
        <w:trPr>
          <w:trHeight w:val="58"/>
        </w:trPr>
        <w:tc>
          <w:tcPr>
            <w:tcW w:w="2622" w:type="dxa"/>
            <w:tcBorders>
              <w:top w:val="single" w:sz="4" w:space="0" w:color="auto"/>
              <w:bottom w:val="single" w:sz="4" w:space="0" w:color="auto"/>
            </w:tcBorders>
          </w:tcPr>
          <w:p w14:paraId="34D3C8C0" w14:textId="77777777"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Therapeutic protocol</w:t>
            </w:r>
          </w:p>
        </w:tc>
        <w:tc>
          <w:tcPr>
            <w:tcW w:w="3191" w:type="dxa"/>
            <w:tcBorders>
              <w:top w:val="single" w:sz="4" w:space="0" w:color="auto"/>
              <w:bottom w:val="single" w:sz="4" w:space="0" w:color="auto"/>
            </w:tcBorders>
          </w:tcPr>
          <w:p w14:paraId="3208F1D5" w14:textId="2134287C"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Overall cost of 100</w:t>
            </w:r>
            <w:r w:rsidRPr="00CD7EA8">
              <w:rPr>
                <w:rFonts w:ascii="Book Antiqua" w:eastAsiaTheme="minorEastAsia" w:hAnsi="Book Antiqua"/>
                <w:b/>
                <w:bCs/>
                <w:sz w:val="24"/>
                <w:szCs w:val="24"/>
                <w:lang w:eastAsia="zh-CN"/>
              </w:rPr>
              <w:t xml:space="preserve"> </w:t>
            </w:r>
            <w:r w:rsidRPr="00CD7EA8">
              <w:rPr>
                <w:rFonts w:ascii="Book Antiqua" w:hAnsi="Book Antiqua"/>
                <w:b/>
                <w:bCs/>
                <w:color w:val="131413"/>
                <w:sz w:val="24"/>
                <w:szCs w:val="24"/>
              </w:rPr>
              <w:t>patients</w:t>
            </w:r>
          </w:p>
        </w:tc>
        <w:tc>
          <w:tcPr>
            <w:tcW w:w="1701" w:type="dxa"/>
            <w:tcBorders>
              <w:top w:val="single" w:sz="4" w:space="0" w:color="auto"/>
              <w:bottom w:val="single" w:sz="4" w:space="0" w:color="auto"/>
            </w:tcBorders>
          </w:tcPr>
          <w:p w14:paraId="1C324C9A" w14:textId="77777777"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Effectiveness</w:t>
            </w:r>
          </w:p>
        </w:tc>
        <w:tc>
          <w:tcPr>
            <w:tcW w:w="2835" w:type="dxa"/>
            <w:tcBorders>
              <w:top w:val="single" w:sz="4" w:space="0" w:color="auto"/>
              <w:bottom w:val="single" w:sz="4" w:space="0" w:color="auto"/>
            </w:tcBorders>
          </w:tcPr>
          <w:p w14:paraId="41316D0B" w14:textId="36DFF7E2" w:rsidR="00205971" w:rsidRPr="00CD7EA8" w:rsidRDefault="00205971" w:rsidP="00CD7EA8">
            <w:pPr>
              <w:pStyle w:val="TableParagraph"/>
              <w:spacing w:line="360" w:lineRule="auto"/>
              <w:jc w:val="both"/>
              <w:rPr>
                <w:rFonts w:ascii="Book Antiqua" w:hAnsi="Book Antiqua"/>
                <w:b/>
                <w:bCs/>
                <w:sz w:val="24"/>
                <w:szCs w:val="24"/>
              </w:rPr>
            </w:pPr>
            <w:r w:rsidRPr="00CD7EA8">
              <w:rPr>
                <w:rFonts w:ascii="Book Antiqua" w:hAnsi="Book Antiqua"/>
                <w:b/>
                <w:bCs/>
                <w:color w:val="131413"/>
                <w:sz w:val="24"/>
                <w:szCs w:val="24"/>
              </w:rPr>
              <w:t>Cost-effectiveness</w:t>
            </w:r>
            <w:r w:rsidRPr="00CD7EA8">
              <w:rPr>
                <w:rFonts w:ascii="Book Antiqua" w:eastAsiaTheme="minorEastAsia" w:hAnsi="Book Antiqua"/>
                <w:b/>
                <w:bCs/>
                <w:sz w:val="24"/>
                <w:szCs w:val="24"/>
                <w:lang w:eastAsia="zh-CN"/>
              </w:rPr>
              <w:t xml:space="preserve"> </w:t>
            </w:r>
            <w:r w:rsidRPr="00CD7EA8">
              <w:rPr>
                <w:rFonts w:ascii="Book Antiqua" w:hAnsi="Book Antiqua"/>
                <w:b/>
                <w:bCs/>
                <w:color w:val="131413"/>
                <w:sz w:val="24"/>
                <w:szCs w:val="24"/>
              </w:rPr>
              <w:t>ratio</w:t>
            </w:r>
          </w:p>
        </w:tc>
      </w:tr>
      <w:tr w:rsidR="00205971" w:rsidRPr="00CD7EA8" w14:paraId="595066CE" w14:textId="77777777" w:rsidTr="005F6707">
        <w:trPr>
          <w:trHeight w:val="277"/>
        </w:trPr>
        <w:tc>
          <w:tcPr>
            <w:tcW w:w="2622" w:type="dxa"/>
            <w:tcBorders>
              <w:top w:val="single" w:sz="4" w:space="0" w:color="auto"/>
            </w:tcBorders>
          </w:tcPr>
          <w:p w14:paraId="165EDDBF"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QT-10</w:t>
            </w:r>
          </w:p>
        </w:tc>
        <w:tc>
          <w:tcPr>
            <w:tcW w:w="3191" w:type="dxa"/>
            <w:tcBorders>
              <w:top w:val="single" w:sz="4" w:space="0" w:color="auto"/>
            </w:tcBorders>
          </w:tcPr>
          <w:p w14:paraId="506D98DD"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58710</w:t>
            </w:r>
          </w:p>
        </w:tc>
        <w:tc>
          <w:tcPr>
            <w:tcW w:w="1701" w:type="dxa"/>
            <w:tcBorders>
              <w:top w:val="single" w:sz="4" w:space="0" w:color="auto"/>
            </w:tcBorders>
          </w:tcPr>
          <w:p w14:paraId="178E4422" w14:textId="097ACA62"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89.5%</w:t>
            </w:r>
          </w:p>
        </w:tc>
        <w:tc>
          <w:tcPr>
            <w:tcW w:w="2835" w:type="dxa"/>
            <w:tcBorders>
              <w:top w:val="single" w:sz="4" w:space="0" w:color="auto"/>
            </w:tcBorders>
          </w:tcPr>
          <w:p w14:paraId="47D88AC4"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655</w:t>
            </w:r>
          </w:p>
        </w:tc>
      </w:tr>
      <w:tr w:rsidR="00205971" w:rsidRPr="00CD7EA8" w14:paraId="7F5A2E6D" w14:textId="77777777" w:rsidTr="005F6707">
        <w:trPr>
          <w:trHeight w:val="273"/>
        </w:trPr>
        <w:tc>
          <w:tcPr>
            <w:tcW w:w="2622" w:type="dxa"/>
          </w:tcPr>
          <w:p w14:paraId="7C84D25C"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QT-14</w:t>
            </w:r>
          </w:p>
        </w:tc>
        <w:tc>
          <w:tcPr>
            <w:tcW w:w="3191" w:type="dxa"/>
          </w:tcPr>
          <w:p w14:paraId="0E871859"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69190</w:t>
            </w:r>
          </w:p>
        </w:tc>
        <w:tc>
          <w:tcPr>
            <w:tcW w:w="1701" w:type="dxa"/>
          </w:tcPr>
          <w:p w14:paraId="6FBDCACC" w14:textId="55EB8328"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94.4%</w:t>
            </w:r>
          </w:p>
        </w:tc>
        <w:tc>
          <w:tcPr>
            <w:tcW w:w="2835" w:type="dxa"/>
          </w:tcPr>
          <w:p w14:paraId="5F19E45A"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732</w:t>
            </w:r>
          </w:p>
        </w:tc>
      </w:tr>
      <w:tr w:rsidR="00205971" w:rsidRPr="00CD7EA8" w14:paraId="688E2960" w14:textId="77777777" w:rsidTr="005F6707">
        <w:trPr>
          <w:trHeight w:val="277"/>
        </w:trPr>
        <w:tc>
          <w:tcPr>
            <w:tcW w:w="2622" w:type="dxa"/>
            <w:tcBorders>
              <w:bottom w:val="single" w:sz="4" w:space="0" w:color="auto"/>
            </w:tcBorders>
          </w:tcPr>
          <w:p w14:paraId="41B414B7"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OST-14</w:t>
            </w:r>
          </w:p>
        </w:tc>
        <w:tc>
          <w:tcPr>
            <w:tcW w:w="3191" w:type="dxa"/>
            <w:tcBorders>
              <w:bottom w:val="single" w:sz="4" w:space="0" w:color="auto"/>
            </w:tcBorders>
          </w:tcPr>
          <w:p w14:paraId="348B99E8"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42710</w:t>
            </w:r>
          </w:p>
        </w:tc>
        <w:tc>
          <w:tcPr>
            <w:tcW w:w="1701" w:type="dxa"/>
            <w:tcBorders>
              <w:bottom w:val="single" w:sz="4" w:space="0" w:color="auto"/>
            </w:tcBorders>
          </w:tcPr>
          <w:p w14:paraId="6A9C228F" w14:textId="52114540"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98.1%</w:t>
            </w:r>
          </w:p>
        </w:tc>
        <w:tc>
          <w:tcPr>
            <w:tcW w:w="2835" w:type="dxa"/>
            <w:tcBorders>
              <w:bottom w:val="single" w:sz="4" w:space="0" w:color="auto"/>
            </w:tcBorders>
          </w:tcPr>
          <w:p w14:paraId="02E6BA85" w14:textId="77777777" w:rsidR="00205971" w:rsidRPr="00CD7EA8" w:rsidRDefault="00205971" w:rsidP="00CD7EA8">
            <w:pPr>
              <w:pStyle w:val="TableParagraph"/>
              <w:spacing w:line="360" w:lineRule="auto"/>
              <w:jc w:val="both"/>
              <w:rPr>
                <w:rFonts w:ascii="Book Antiqua" w:hAnsi="Book Antiqua"/>
                <w:sz w:val="24"/>
                <w:szCs w:val="24"/>
              </w:rPr>
            </w:pPr>
            <w:r w:rsidRPr="00CD7EA8">
              <w:rPr>
                <w:rFonts w:ascii="Book Antiqua" w:hAnsi="Book Antiqua"/>
                <w:color w:val="131413"/>
                <w:sz w:val="24"/>
                <w:szCs w:val="24"/>
              </w:rPr>
              <w:t>435</w:t>
            </w:r>
          </w:p>
        </w:tc>
      </w:tr>
    </w:tbl>
    <w:p w14:paraId="283B1C62" w14:textId="77777777" w:rsidR="00597CB6" w:rsidRDefault="00597CB6">
      <w:pPr>
        <w:rPr>
          <w:rFonts w:ascii="Book Antiqua" w:hAnsi="Book Antiqua"/>
        </w:rPr>
      </w:pPr>
      <w:r>
        <w:rPr>
          <w:rFonts w:ascii="Book Antiqua" w:hAnsi="Book Antiqua"/>
        </w:rPr>
        <w:br w:type="page"/>
      </w:r>
    </w:p>
    <w:p w14:paraId="0100F048" w14:textId="77777777" w:rsidR="00597CB6" w:rsidRDefault="00597CB6" w:rsidP="00597CB6">
      <w:pPr>
        <w:jc w:val="center"/>
        <w:rPr>
          <w:rFonts w:ascii="Book Antiqua" w:hAnsi="Book Antiqua"/>
        </w:rPr>
      </w:pPr>
    </w:p>
    <w:p w14:paraId="1C0EB521" w14:textId="77777777" w:rsidR="00597CB6" w:rsidRDefault="00597CB6" w:rsidP="00597CB6">
      <w:pPr>
        <w:jc w:val="center"/>
        <w:rPr>
          <w:rFonts w:ascii="Book Antiqua" w:hAnsi="Book Antiqua"/>
        </w:rPr>
      </w:pPr>
    </w:p>
    <w:p w14:paraId="7B476497" w14:textId="77777777" w:rsidR="00597CB6" w:rsidRDefault="00597CB6" w:rsidP="00597CB6">
      <w:pPr>
        <w:jc w:val="center"/>
        <w:rPr>
          <w:rFonts w:ascii="Book Antiqua" w:hAnsi="Book Antiqua"/>
        </w:rPr>
      </w:pPr>
    </w:p>
    <w:p w14:paraId="7CEAE3A2" w14:textId="77777777" w:rsidR="00597CB6" w:rsidRDefault="00597CB6" w:rsidP="00597CB6">
      <w:pPr>
        <w:jc w:val="center"/>
        <w:rPr>
          <w:rFonts w:ascii="Book Antiqua" w:hAnsi="Book Antiqua"/>
        </w:rPr>
      </w:pPr>
    </w:p>
    <w:p w14:paraId="5A2BC027" w14:textId="77777777" w:rsidR="00597CB6" w:rsidRDefault="00597CB6" w:rsidP="00597CB6">
      <w:pPr>
        <w:jc w:val="center"/>
        <w:rPr>
          <w:rFonts w:ascii="Book Antiqua" w:hAnsi="Book Antiqua"/>
        </w:rPr>
      </w:pPr>
    </w:p>
    <w:p w14:paraId="5B776D36" w14:textId="0C624087" w:rsidR="00597CB6" w:rsidRDefault="00597CB6" w:rsidP="00597CB6">
      <w:pPr>
        <w:jc w:val="center"/>
        <w:rPr>
          <w:rFonts w:ascii="Book Antiqua" w:hAnsi="Book Antiqua"/>
        </w:rPr>
      </w:pPr>
      <w:r>
        <w:rPr>
          <w:rFonts w:ascii="Book Antiqua" w:hAnsi="Book Antiqua"/>
          <w:noProof/>
          <w:lang w:eastAsia="zh-CN"/>
        </w:rPr>
        <w:drawing>
          <wp:inline distT="0" distB="0" distL="0" distR="0" wp14:anchorId="483DD875" wp14:editId="6F43856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A590AE" w14:textId="77777777" w:rsidR="00597CB6" w:rsidRDefault="00597CB6" w:rsidP="00597CB6">
      <w:pPr>
        <w:jc w:val="center"/>
        <w:rPr>
          <w:rFonts w:ascii="Book Antiqua" w:hAnsi="Book Antiqua"/>
        </w:rPr>
      </w:pPr>
    </w:p>
    <w:p w14:paraId="5DAC1171" w14:textId="77777777" w:rsidR="00597CB6" w:rsidRDefault="00597CB6" w:rsidP="00597C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D25F8AA" w14:textId="77777777" w:rsidR="00597CB6" w:rsidRDefault="00597CB6" w:rsidP="00597C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4C158B8" w14:textId="77777777" w:rsidR="00597CB6" w:rsidRDefault="00597CB6" w:rsidP="00597C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753ED9" w14:textId="77777777" w:rsidR="00597CB6" w:rsidRDefault="00597CB6" w:rsidP="00597C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14:paraId="34F8C08E" w14:textId="77777777" w:rsidR="00597CB6" w:rsidRDefault="00597CB6" w:rsidP="00597C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FFEA7E" w14:textId="77777777" w:rsidR="00597CB6" w:rsidRDefault="00597CB6" w:rsidP="00597CB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5D3B4A0" w14:textId="77777777" w:rsidR="00597CB6" w:rsidRDefault="00597CB6" w:rsidP="00597CB6">
      <w:pPr>
        <w:jc w:val="center"/>
        <w:rPr>
          <w:rFonts w:ascii="Book Antiqua" w:hAnsi="Book Antiqua"/>
        </w:rPr>
      </w:pPr>
    </w:p>
    <w:p w14:paraId="25C5113A" w14:textId="77777777" w:rsidR="00597CB6" w:rsidRDefault="00597CB6" w:rsidP="00597CB6">
      <w:pPr>
        <w:jc w:val="center"/>
        <w:rPr>
          <w:rFonts w:ascii="Book Antiqua" w:hAnsi="Book Antiqua"/>
        </w:rPr>
      </w:pPr>
    </w:p>
    <w:p w14:paraId="1432B344" w14:textId="77777777" w:rsidR="00597CB6" w:rsidRDefault="00597CB6" w:rsidP="00597CB6">
      <w:pPr>
        <w:jc w:val="center"/>
        <w:rPr>
          <w:rFonts w:ascii="Book Antiqua" w:hAnsi="Book Antiqua"/>
        </w:rPr>
      </w:pPr>
    </w:p>
    <w:p w14:paraId="7813FF55" w14:textId="0AF5FFAD" w:rsidR="00597CB6" w:rsidRDefault="00597CB6" w:rsidP="00597CB6">
      <w:pPr>
        <w:jc w:val="center"/>
        <w:rPr>
          <w:rFonts w:ascii="Book Antiqua" w:hAnsi="Book Antiqua"/>
        </w:rPr>
      </w:pPr>
      <w:r>
        <w:rPr>
          <w:rFonts w:ascii="Book Antiqua" w:hAnsi="Book Antiqua"/>
          <w:noProof/>
          <w:lang w:eastAsia="zh-CN"/>
        </w:rPr>
        <w:drawing>
          <wp:inline distT="0" distB="0" distL="0" distR="0" wp14:anchorId="07A5DC4B" wp14:editId="20E4F775">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375298" w14:textId="77777777" w:rsidR="00597CB6" w:rsidRDefault="00597CB6" w:rsidP="00597CB6">
      <w:pPr>
        <w:jc w:val="center"/>
        <w:rPr>
          <w:rFonts w:ascii="Book Antiqua" w:hAnsi="Book Antiqua"/>
        </w:rPr>
      </w:pPr>
    </w:p>
    <w:p w14:paraId="0F686EA8" w14:textId="77777777" w:rsidR="00597CB6" w:rsidRDefault="00597CB6" w:rsidP="00597CB6">
      <w:pPr>
        <w:jc w:val="center"/>
        <w:rPr>
          <w:rFonts w:ascii="Book Antiqua" w:hAnsi="Book Antiqua"/>
        </w:rPr>
      </w:pPr>
    </w:p>
    <w:p w14:paraId="3469E9EA" w14:textId="77777777" w:rsidR="00597CB6" w:rsidRDefault="00597CB6" w:rsidP="00597CB6">
      <w:pPr>
        <w:jc w:val="center"/>
        <w:rPr>
          <w:rFonts w:ascii="Book Antiqua" w:hAnsi="Book Antiqua"/>
        </w:rPr>
      </w:pPr>
    </w:p>
    <w:p w14:paraId="5E3F8967" w14:textId="77777777" w:rsidR="00597CB6" w:rsidRDefault="00597CB6" w:rsidP="00597CB6">
      <w:pPr>
        <w:jc w:val="center"/>
        <w:rPr>
          <w:rFonts w:ascii="Book Antiqua" w:hAnsi="Book Antiqua"/>
        </w:rPr>
      </w:pPr>
    </w:p>
    <w:p w14:paraId="468714A0" w14:textId="77777777" w:rsidR="00597CB6" w:rsidRDefault="00597CB6" w:rsidP="00597CB6">
      <w:pPr>
        <w:jc w:val="center"/>
        <w:rPr>
          <w:rFonts w:ascii="Book Antiqua" w:hAnsi="Book Antiqua"/>
        </w:rPr>
      </w:pPr>
    </w:p>
    <w:p w14:paraId="472F20A8" w14:textId="77777777" w:rsidR="00597CB6" w:rsidRDefault="00597CB6" w:rsidP="00597CB6">
      <w:pPr>
        <w:jc w:val="center"/>
        <w:rPr>
          <w:rFonts w:ascii="Book Antiqua" w:hAnsi="Book Antiqua"/>
        </w:rPr>
      </w:pPr>
    </w:p>
    <w:p w14:paraId="7604A166" w14:textId="77777777" w:rsidR="00597CB6" w:rsidRDefault="00597CB6" w:rsidP="00597CB6">
      <w:pPr>
        <w:jc w:val="center"/>
        <w:rPr>
          <w:rFonts w:ascii="Book Antiqua" w:hAnsi="Book Antiqua"/>
        </w:rPr>
      </w:pPr>
    </w:p>
    <w:p w14:paraId="2AB0B420" w14:textId="77777777" w:rsidR="00597CB6" w:rsidRDefault="00597CB6" w:rsidP="00597CB6">
      <w:pPr>
        <w:jc w:val="center"/>
        <w:rPr>
          <w:rFonts w:ascii="Book Antiqua" w:hAnsi="Book Antiqua"/>
        </w:rPr>
      </w:pPr>
    </w:p>
    <w:p w14:paraId="57FB0305" w14:textId="77777777" w:rsidR="00597CB6" w:rsidRDefault="00597CB6" w:rsidP="00597CB6">
      <w:pPr>
        <w:jc w:val="center"/>
        <w:rPr>
          <w:rFonts w:ascii="Book Antiqua" w:hAnsi="Book Antiqua"/>
        </w:rPr>
      </w:pPr>
    </w:p>
    <w:p w14:paraId="53AFB706" w14:textId="77777777" w:rsidR="00597CB6" w:rsidRDefault="00597CB6" w:rsidP="00597CB6">
      <w:pPr>
        <w:jc w:val="right"/>
        <w:rPr>
          <w:rFonts w:ascii="Book Antiqua" w:hAnsi="Book Antiqua"/>
          <w:color w:val="000000" w:themeColor="text1"/>
        </w:rPr>
      </w:pPr>
    </w:p>
    <w:p w14:paraId="170D43B7" w14:textId="77777777" w:rsidR="00597CB6" w:rsidRDefault="00597CB6" w:rsidP="00597CB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0EC3D0D" w14:textId="77777777" w:rsidR="00205971" w:rsidRPr="00CD7EA8" w:rsidRDefault="00205971" w:rsidP="00597CB6">
      <w:pPr>
        <w:spacing w:line="360" w:lineRule="auto"/>
        <w:jc w:val="both"/>
        <w:rPr>
          <w:rFonts w:ascii="Book Antiqua" w:hAnsi="Book Antiqua"/>
        </w:rPr>
      </w:pPr>
    </w:p>
    <w:sectPr w:rsidR="00205971" w:rsidRPr="00CD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19E11" w14:textId="77777777" w:rsidR="0059055F" w:rsidRDefault="0059055F" w:rsidP="00034735">
      <w:r>
        <w:separator/>
      </w:r>
    </w:p>
  </w:endnote>
  <w:endnote w:type="continuationSeparator" w:id="0">
    <w:p w14:paraId="6E50D3DA" w14:textId="77777777" w:rsidR="0059055F" w:rsidRDefault="0059055F" w:rsidP="0003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3AE1" w14:textId="2A5B77C8" w:rsidR="00205971" w:rsidRPr="00205971" w:rsidRDefault="00205971" w:rsidP="00205971">
    <w:pPr>
      <w:pStyle w:val="a4"/>
      <w:jc w:val="right"/>
      <w:rPr>
        <w:rFonts w:ascii="Book Antiqua" w:hAnsi="Book Antiqua"/>
        <w:color w:val="000000" w:themeColor="text1"/>
        <w:sz w:val="24"/>
        <w:szCs w:val="24"/>
      </w:rPr>
    </w:pPr>
    <w:r w:rsidRPr="00205971">
      <w:rPr>
        <w:rFonts w:ascii="Book Antiqua" w:hAnsi="Book Antiqua"/>
        <w:color w:val="000000" w:themeColor="text1"/>
        <w:sz w:val="24"/>
        <w:szCs w:val="24"/>
        <w:lang w:val="zh-CN" w:eastAsia="zh-CN"/>
      </w:rPr>
      <w:t xml:space="preserve"> </w:t>
    </w:r>
    <w:r w:rsidRPr="00205971">
      <w:rPr>
        <w:rFonts w:ascii="Book Antiqua" w:hAnsi="Book Antiqua"/>
        <w:color w:val="000000" w:themeColor="text1"/>
        <w:sz w:val="24"/>
        <w:szCs w:val="24"/>
      </w:rPr>
      <w:fldChar w:fldCharType="begin"/>
    </w:r>
    <w:r w:rsidRPr="00205971">
      <w:rPr>
        <w:rFonts w:ascii="Book Antiqua" w:hAnsi="Book Antiqua"/>
        <w:color w:val="000000" w:themeColor="text1"/>
        <w:sz w:val="24"/>
        <w:szCs w:val="24"/>
      </w:rPr>
      <w:instrText>PAGE  \* Arabic  \* MERGEFORMAT</w:instrText>
    </w:r>
    <w:r w:rsidRPr="00205971">
      <w:rPr>
        <w:rFonts w:ascii="Book Antiqua" w:hAnsi="Book Antiqua"/>
        <w:color w:val="000000" w:themeColor="text1"/>
        <w:sz w:val="24"/>
        <w:szCs w:val="24"/>
      </w:rPr>
      <w:fldChar w:fldCharType="separate"/>
    </w:r>
    <w:r w:rsidR="009C6F52" w:rsidRPr="009C6F52">
      <w:rPr>
        <w:rFonts w:ascii="Book Antiqua" w:hAnsi="Book Antiqua"/>
        <w:noProof/>
        <w:color w:val="000000" w:themeColor="text1"/>
        <w:sz w:val="24"/>
        <w:szCs w:val="24"/>
        <w:lang w:val="zh-CN" w:eastAsia="zh-CN"/>
      </w:rPr>
      <w:t>24</w:t>
    </w:r>
    <w:r w:rsidRPr="00205971">
      <w:rPr>
        <w:rFonts w:ascii="Book Antiqua" w:hAnsi="Book Antiqua"/>
        <w:color w:val="000000" w:themeColor="text1"/>
        <w:sz w:val="24"/>
        <w:szCs w:val="24"/>
      </w:rPr>
      <w:fldChar w:fldCharType="end"/>
    </w:r>
    <w:r w:rsidRPr="00205971">
      <w:rPr>
        <w:rFonts w:ascii="Book Antiqua" w:hAnsi="Book Antiqua"/>
        <w:color w:val="000000" w:themeColor="text1"/>
        <w:sz w:val="24"/>
        <w:szCs w:val="24"/>
        <w:lang w:val="zh-CN" w:eastAsia="zh-CN"/>
      </w:rPr>
      <w:t xml:space="preserve"> / </w:t>
    </w:r>
    <w:r w:rsidRPr="00205971">
      <w:rPr>
        <w:rFonts w:ascii="Book Antiqua" w:hAnsi="Book Antiqua"/>
        <w:color w:val="000000" w:themeColor="text1"/>
        <w:sz w:val="24"/>
        <w:szCs w:val="24"/>
      </w:rPr>
      <w:fldChar w:fldCharType="begin"/>
    </w:r>
    <w:r w:rsidRPr="00205971">
      <w:rPr>
        <w:rFonts w:ascii="Book Antiqua" w:hAnsi="Book Antiqua"/>
        <w:color w:val="000000" w:themeColor="text1"/>
        <w:sz w:val="24"/>
        <w:szCs w:val="24"/>
      </w:rPr>
      <w:instrText>NUMPAGES  \* Arabic  \* MERGEFORMAT</w:instrText>
    </w:r>
    <w:r w:rsidRPr="00205971">
      <w:rPr>
        <w:rFonts w:ascii="Book Antiqua" w:hAnsi="Book Antiqua"/>
        <w:color w:val="000000" w:themeColor="text1"/>
        <w:sz w:val="24"/>
        <w:szCs w:val="24"/>
      </w:rPr>
      <w:fldChar w:fldCharType="separate"/>
    </w:r>
    <w:r w:rsidR="009C6F52" w:rsidRPr="009C6F52">
      <w:rPr>
        <w:rFonts w:ascii="Book Antiqua" w:hAnsi="Book Antiqua"/>
        <w:noProof/>
        <w:color w:val="000000" w:themeColor="text1"/>
        <w:sz w:val="24"/>
        <w:szCs w:val="24"/>
        <w:lang w:val="zh-CN" w:eastAsia="zh-CN"/>
      </w:rPr>
      <w:t>27</w:t>
    </w:r>
    <w:r w:rsidRPr="0020597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C18F5" w14:textId="77777777" w:rsidR="0059055F" w:rsidRDefault="0059055F" w:rsidP="00034735">
      <w:r>
        <w:separator/>
      </w:r>
    </w:p>
  </w:footnote>
  <w:footnote w:type="continuationSeparator" w:id="0">
    <w:p w14:paraId="23484891" w14:textId="77777777" w:rsidR="0059055F" w:rsidRDefault="0059055F" w:rsidP="0003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D4A"/>
    <w:rsid w:val="00026636"/>
    <w:rsid w:val="00034735"/>
    <w:rsid w:val="00052310"/>
    <w:rsid w:val="0005654F"/>
    <w:rsid w:val="00061076"/>
    <w:rsid w:val="00062C3C"/>
    <w:rsid w:val="00083437"/>
    <w:rsid w:val="00093D73"/>
    <w:rsid w:val="000C1866"/>
    <w:rsid w:val="001060FD"/>
    <w:rsid w:val="00113E1B"/>
    <w:rsid w:val="0011546F"/>
    <w:rsid w:val="00145A51"/>
    <w:rsid w:val="00155682"/>
    <w:rsid w:val="00161EAD"/>
    <w:rsid w:val="001C0535"/>
    <w:rsid w:val="001C7FE0"/>
    <w:rsid w:val="001D6311"/>
    <w:rsid w:val="001E3ADF"/>
    <w:rsid w:val="00205971"/>
    <w:rsid w:val="002179CA"/>
    <w:rsid w:val="002226B9"/>
    <w:rsid w:val="00222E45"/>
    <w:rsid w:val="002370B9"/>
    <w:rsid w:val="00270327"/>
    <w:rsid w:val="002C0EE1"/>
    <w:rsid w:val="002E7E3B"/>
    <w:rsid w:val="00315F89"/>
    <w:rsid w:val="00320797"/>
    <w:rsid w:val="00357169"/>
    <w:rsid w:val="00382F76"/>
    <w:rsid w:val="00383484"/>
    <w:rsid w:val="0038478A"/>
    <w:rsid w:val="00386926"/>
    <w:rsid w:val="003A6BD2"/>
    <w:rsid w:val="003B26CC"/>
    <w:rsid w:val="003F25AD"/>
    <w:rsid w:val="003F4858"/>
    <w:rsid w:val="003F7566"/>
    <w:rsid w:val="004147D7"/>
    <w:rsid w:val="00424F5E"/>
    <w:rsid w:val="004264C3"/>
    <w:rsid w:val="004564C5"/>
    <w:rsid w:val="004655BF"/>
    <w:rsid w:val="004728D6"/>
    <w:rsid w:val="00475CFA"/>
    <w:rsid w:val="00481466"/>
    <w:rsid w:val="004D6BB8"/>
    <w:rsid w:val="00504A59"/>
    <w:rsid w:val="005055FB"/>
    <w:rsid w:val="00510ECC"/>
    <w:rsid w:val="00520375"/>
    <w:rsid w:val="005411F1"/>
    <w:rsid w:val="00561228"/>
    <w:rsid w:val="00572039"/>
    <w:rsid w:val="0059055F"/>
    <w:rsid w:val="00597CB6"/>
    <w:rsid w:val="005C0FCB"/>
    <w:rsid w:val="005D5C86"/>
    <w:rsid w:val="005F6707"/>
    <w:rsid w:val="00611482"/>
    <w:rsid w:val="0062409F"/>
    <w:rsid w:val="00661C0D"/>
    <w:rsid w:val="00697D03"/>
    <w:rsid w:val="006A2B69"/>
    <w:rsid w:val="006C4B2E"/>
    <w:rsid w:val="006E46E5"/>
    <w:rsid w:val="006E6196"/>
    <w:rsid w:val="006F57BE"/>
    <w:rsid w:val="00702BED"/>
    <w:rsid w:val="00710739"/>
    <w:rsid w:val="00715D6A"/>
    <w:rsid w:val="007256AE"/>
    <w:rsid w:val="007550A4"/>
    <w:rsid w:val="00765C1B"/>
    <w:rsid w:val="00786066"/>
    <w:rsid w:val="00787CB2"/>
    <w:rsid w:val="007A4E06"/>
    <w:rsid w:val="007D2F78"/>
    <w:rsid w:val="007F63E6"/>
    <w:rsid w:val="007F763A"/>
    <w:rsid w:val="0081529F"/>
    <w:rsid w:val="00862B30"/>
    <w:rsid w:val="00870995"/>
    <w:rsid w:val="008C31B9"/>
    <w:rsid w:val="008C7693"/>
    <w:rsid w:val="008D0A0D"/>
    <w:rsid w:val="008D2855"/>
    <w:rsid w:val="008E3025"/>
    <w:rsid w:val="008F110D"/>
    <w:rsid w:val="008F14E3"/>
    <w:rsid w:val="008F6B32"/>
    <w:rsid w:val="00945915"/>
    <w:rsid w:val="00962C3B"/>
    <w:rsid w:val="009728BE"/>
    <w:rsid w:val="009973D9"/>
    <w:rsid w:val="009A220E"/>
    <w:rsid w:val="009C06C5"/>
    <w:rsid w:val="009C6F52"/>
    <w:rsid w:val="00A00603"/>
    <w:rsid w:val="00A04AD3"/>
    <w:rsid w:val="00A04AFD"/>
    <w:rsid w:val="00A075E2"/>
    <w:rsid w:val="00A30E97"/>
    <w:rsid w:val="00A348E5"/>
    <w:rsid w:val="00A41DEA"/>
    <w:rsid w:val="00A76B85"/>
    <w:rsid w:val="00A77B3E"/>
    <w:rsid w:val="00A870C2"/>
    <w:rsid w:val="00AA787A"/>
    <w:rsid w:val="00AB2ADE"/>
    <w:rsid w:val="00AE2556"/>
    <w:rsid w:val="00B0417B"/>
    <w:rsid w:val="00B1076F"/>
    <w:rsid w:val="00B15A4F"/>
    <w:rsid w:val="00B16A53"/>
    <w:rsid w:val="00B27BAE"/>
    <w:rsid w:val="00B50FDC"/>
    <w:rsid w:val="00B95826"/>
    <w:rsid w:val="00B9657A"/>
    <w:rsid w:val="00BB2088"/>
    <w:rsid w:val="00BE5C88"/>
    <w:rsid w:val="00BF30CD"/>
    <w:rsid w:val="00C11485"/>
    <w:rsid w:val="00C315CB"/>
    <w:rsid w:val="00C43900"/>
    <w:rsid w:val="00C561FA"/>
    <w:rsid w:val="00C93CE5"/>
    <w:rsid w:val="00C97A14"/>
    <w:rsid w:val="00CA063C"/>
    <w:rsid w:val="00CA2A55"/>
    <w:rsid w:val="00CB1057"/>
    <w:rsid w:val="00CB1230"/>
    <w:rsid w:val="00CD7EA8"/>
    <w:rsid w:val="00CF3DFA"/>
    <w:rsid w:val="00CF54C9"/>
    <w:rsid w:val="00CF6C6B"/>
    <w:rsid w:val="00D131B7"/>
    <w:rsid w:val="00D55255"/>
    <w:rsid w:val="00D83C68"/>
    <w:rsid w:val="00DA1255"/>
    <w:rsid w:val="00DC288A"/>
    <w:rsid w:val="00E31A7A"/>
    <w:rsid w:val="00E5670D"/>
    <w:rsid w:val="00E95D24"/>
    <w:rsid w:val="00EB192C"/>
    <w:rsid w:val="00ED3485"/>
    <w:rsid w:val="00F02140"/>
    <w:rsid w:val="00F06CCC"/>
    <w:rsid w:val="00F83564"/>
    <w:rsid w:val="00FD35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D1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34735"/>
    <w:pPr>
      <w:tabs>
        <w:tab w:val="center" w:pos="4153"/>
        <w:tab w:val="right" w:pos="8306"/>
      </w:tabs>
      <w:snapToGrid w:val="0"/>
      <w:jc w:val="center"/>
    </w:pPr>
    <w:rPr>
      <w:sz w:val="18"/>
      <w:szCs w:val="18"/>
    </w:rPr>
  </w:style>
  <w:style w:type="character" w:customStyle="1" w:styleId="Char">
    <w:name w:val="页眉 Char"/>
    <w:basedOn w:val="a0"/>
    <w:link w:val="a3"/>
    <w:rsid w:val="00034735"/>
    <w:rPr>
      <w:sz w:val="18"/>
      <w:szCs w:val="18"/>
    </w:rPr>
  </w:style>
  <w:style w:type="paragraph" w:styleId="a4">
    <w:name w:val="footer"/>
    <w:basedOn w:val="a"/>
    <w:link w:val="Char0"/>
    <w:uiPriority w:val="99"/>
    <w:rsid w:val="00034735"/>
    <w:pPr>
      <w:tabs>
        <w:tab w:val="center" w:pos="4153"/>
        <w:tab w:val="right" w:pos="8306"/>
      </w:tabs>
      <w:snapToGrid w:val="0"/>
    </w:pPr>
    <w:rPr>
      <w:sz w:val="18"/>
      <w:szCs w:val="18"/>
    </w:rPr>
  </w:style>
  <w:style w:type="character" w:customStyle="1" w:styleId="Char0">
    <w:name w:val="页脚 Char"/>
    <w:basedOn w:val="a0"/>
    <w:link w:val="a4"/>
    <w:uiPriority w:val="99"/>
    <w:rsid w:val="00034735"/>
    <w:rPr>
      <w:sz w:val="18"/>
      <w:szCs w:val="18"/>
    </w:rPr>
  </w:style>
  <w:style w:type="character" w:styleId="a5">
    <w:name w:val="annotation reference"/>
    <w:basedOn w:val="a0"/>
    <w:rsid w:val="00034735"/>
    <w:rPr>
      <w:sz w:val="21"/>
      <w:szCs w:val="21"/>
    </w:rPr>
  </w:style>
  <w:style w:type="paragraph" w:styleId="a6">
    <w:name w:val="annotation text"/>
    <w:basedOn w:val="a"/>
    <w:link w:val="Char1"/>
    <w:rsid w:val="00034735"/>
  </w:style>
  <w:style w:type="character" w:customStyle="1" w:styleId="Char1">
    <w:name w:val="批注文字 Char"/>
    <w:basedOn w:val="a0"/>
    <w:link w:val="a6"/>
    <w:rsid w:val="00034735"/>
    <w:rPr>
      <w:sz w:val="24"/>
      <w:szCs w:val="24"/>
    </w:rPr>
  </w:style>
  <w:style w:type="paragraph" w:styleId="a7">
    <w:name w:val="annotation subject"/>
    <w:basedOn w:val="a6"/>
    <w:next w:val="a6"/>
    <w:link w:val="Char2"/>
    <w:rsid w:val="00034735"/>
    <w:rPr>
      <w:b/>
      <w:bCs/>
    </w:rPr>
  </w:style>
  <w:style w:type="character" w:customStyle="1" w:styleId="Char2">
    <w:name w:val="批注主题 Char"/>
    <w:basedOn w:val="Char1"/>
    <w:link w:val="a7"/>
    <w:rsid w:val="00034735"/>
    <w:rPr>
      <w:b/>
      <w:bCs/>
      <w:sz w:val="24"/>
      <w:szCs w:val="24"/>
    </w:rPr>
  </w:style>
  <w:style w:type="paragraph" w:styleId="a8">
    <w:name w:val="Body Text"/>
    <w:basedOn w:val="a"/>
    <w:link w:val="Char3"/>
    <w:uiPriority w:val="1"/>
    <w:qFormat/>
    <w:rsid w:val="00205971"/>
    <w:pPr>
      <w:widowControl w:val="0"/>
      <w:autoSpaceDE w:val="0"/>
      <w:autoSpaceDN w:val="0"/>
    </w:pPr>
    <w:rPr>
      <w:rFonts w:eastAsia="Times New Roman"/>
      <w:sz w:val="20"/>
      <w:szCs w:val="20"/>
      <w:lang w:bidi="en-US"/>
    </w:rPr>
  </w:style>
  <w:style w:type="character" w:customStyle="1" w:styleId="Char3">
    <w:name w:val="正文文本 Char"/>
    <w:basedOn w:val="a0"/>
    <w:link w:val="a8"/>
    <w:uiPriority w:val="1"/>
    <w:rsid w:val="00205971"/>
    <w:rPr>
      <w:rFonts w:eastAsia="Times New Roman"/>
      <w:lang w:bidi="en-US"/>
    </w:rPr>
  </w:style>
  <w:style w:type="paragraph" w:customStyle="1" w:styleId="TableParagraph">
    <w:name w:val="Table Paragraph"/>
    <w:basedOn w:val="a"/>
    <w:uiPriority w:val="1"/>
    <w:qFormat/>
    <w:rsid w:val="00205971"/>
    <w:pPr>
      <w:widowControl w:val="0"/>
      <w:autoSpaceDE w:val="0"/>
      <w:autoSpaceDN w:val="0"/>
      <w:spacing w:line="210" w:lineRule="exact"/>
    </w:pPr>
    <w:rPr>
      <w:rFonts w:eastAsia="Times New Roman"/>
      <w:sz w:val="22"/>
      <w:szCs w:val="22"/>
      <w:lang w:bidi="en-US"/>
    </w:rPr>
  </w:style>
  <w:style w:type="paragraph" w:styleId="a9">
    <w:name w:val="Revision"/>
    <w:hidden/>
    <w:uiPriority w:val="99"/>
    <w:semiHidden/>
    <w:rsid w:val="00A30E97"/>
    <w:rPr>
      <w:sz w:val="24"/>
      <w:szCs w:val="24"/>
    </w:rPr>
  </w:style>
  <w:style w:type="paragraph" w:styleId="aa">
    <w:name w:val="Balloon Text"/>
    <w:basedOn w:val="a"/>
    <w:link w:val="Char4"/>
    <w:rsid w:val="00222E45"/>
    <w:rPr>
      <w:sz w:val="18"/>
      <w:szCs w:val="18"/>
    </w:rPr>
  </w:style>
  <w:style w:type="character" w:customStyle="1" w:styleId="Char4">
    <w:name w:val="批注框文本 Char"/>
    <w:basedOn w:val="a0"/>
    <w:link w:val="aa"/>
    <w:rsid w:val="00222E45"/>
    <w:rPr>
      <w:sz w:val="18"/>
      <w:szCs w:val="18"/>
    </w:rPr>
  </w:style>
  <w:style w:type="character" w:styleId="ab">
    <w:name w:val="Hyperlink"/>
    <w:basedOn w:val="a0"/>
    <w:rsid w:val="00222E45"/>
    <w:rPr>
      <w:color w:val="0000FF" w:themeColor="hyperlink"/>
      <w:u w:val="single"/>
    </w:rPr>
  </w:style>
  <w:style w:type="character" w:customStyle="1" w:styleId="UnresolvedMention">
    <w:name w:val="Unresolved Mention"/>
    <w:basedOn w:val="a0"/>
    <w:uiPriority w:val="99"/>
    <w:semiHidden/>
    <w:unhideWhenUsed/>
    <w:rsid w:val="00222E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34735"/>
    <w:pPr>
      <w:tabs>
        <w:tab w:val="center" w:pos="4153"/>
        <w:tab w:val="right" w:pos="8306"/>
      </w:tabs>
      <w:snapToGrid w:val="0"/>
      <w:jc w:val="center"/>
    </w:pPr>
    <w:rPr>
      <w:sz w:val="18"/>
      <w:szCs w:val="18"/>
    </w:rPr>
  </w:style>
  <w:style w:type="character" w:customStyle="1" w:styleId="Char">
    <w:name w:val="页眉 Char"/>
    <w:basedOn w:val="a0"/>
    <w:link w:val="a3"/>
    <w:rsid w:val="00034735"/>
    <w:rPr>
      <w:sz w:val="18"/>
      <w:szCs w:val="18"/>
    </w:rPr>
  </w:style>
  <w:style w:type="paragraph" w:styleId="a4">
    <w:name w:val="footer"/>
    <w:basedOn w:val="a"/>
    <w:link w:val="Char0"/>
    <w:uiPriority w:val="99"/>
    <w:rsid w:val="00034735"/>
    <w:pPr>
      <w:tabs>
        <w:tab w:val="center" w:pos="4153"/>
        <w:tab w:val="right" w:pos="8306"/>
      </w:tabs>
      <w:snapToGrid w:val="0"/>
    </w:pPr>
    <w:rPr>
      <w:sz w:val="18"/>
      <w:szCs w:val="18"/>
    </w:rPr>
  </w:style>
  <w:style w:type="character" w:customStyle="1" w:styleId="Char0">
    <w:name w:val="页脚 Char"/>
    <w:basedOn w:val="a0"/>
    <w:link w:val="a4"/>
    <w:uiPriority w:val="99"/>
    <w:rsid w:val="00034735"/>
    <w:rPr>
      <w:sz w:val="18"/>
      <w:szCs w:val="18"/>
    </w:rPr>
  </w:style>
  <w:style w:type="character" w:styleId="a5">
    <w:name w:val="annotation reference"/>
    <w:basedOn w:val="a0"/>
    <w:rsid w:val="00034735"/>
    <w:rPr>
      <w:sz w:val="21"/>
      <w:szCs w:val="21"/>
    </w:rPr>
  </w:style>
  <w:style w:type="paragraph" w:styleId="a6">
    <w:name w:val="annotation text"/>
    <w:basedOn w:val="a"/>
    <w:link w:val="Char1"/>
    <w:rsid w:val="00034735"/>
  </w:style>
  <w:style w:type="character" w:customStyle="1" w:styleId="Char1">
    <w:name w:val="批注文字 Char"/>
    <w:basedOn w:val="a0"/>
    <w:link w:val="a6"/>
    <w:rsid w:val="00034735"/>
    <w:rPr>
      <w:sz w:val="24"/>
      <w:szCs w:val="24"/>
    </w:rPr>
  </w:style>
  <w:style w:type="paragraph" w:styleId="a7">
    <w:name w:val="annotation subject"/>
    <w:basedOn w:val="a6"/>
    <w:next w:val="a6"/>
    <w:link w:val="Char2"/>
    <w:rsid w:val="00034735"/>
    <w:rPr>
      <w:b/>
      <w:bCs/>
    </w:rPr>
  </w:style>
  <w:style w:type="character" w:customStyle="1" w:styleId="Char2">
    <w:name w:val="批注主题 Char"/>
    <w:basedOn w:val="Char1"/>
    <w:link w:val="a7"/>
    <w:rsid w:val="00034735"/>
    <w:rPr>
      <w:b/>
      <w:bCs/>
      <w:sz w:val="24"/>
      <w:szCs w:val="24"/>
    </w:rPr>
  </w:style>
  <w:style w:type="paragraph" w:styleId="a8">
    <w:name w:val="Body Text"/>
    <w:basedOn w:val="a"/>
    <w:link w:val="Char3"/>
    <w:uiPriority w:val="1"/>
    <w:qFormat/>
    <w:rsid w:val="00205971"/>
    <w:pPr>
      <w:widowControl w:val="0"/>
      <w:autoSpaceDE w:val="0"/>
      <w:autoSpaceDN w:val="0"/>
    </w:pPr>
    <w:rPr>
      <w:rFonts w:eastAsia="Times New Roman"/>
      <w:sz w:val="20"/>
      <w:szCs w:val="20"/>
      <w:lang w:bidi="en-US"/>
    </w:rPr>
  </w:style>
  <w:style w:type="character" w:customStyle="1" w:styleId="Char3">
    <w:name w:val="正文文本 Char"/>
    <w:basedOn w:val="a0"/>
    <w:link w:val="a8"/>
    <w:uiPriority w:val="1"/>
    <w:rsid w:val="00205971"/>
    <w:rPr>
      <w:rFonts w:eastAsia="Times New Roman"/>
      <w:lang w:bidi="en-US"/>
    </w:rPr>
  </w:style>
  <w:style w:type="paragraph" w:customStyle="1" w:styleId="TableParagraph">
    <w:name w:val="Table Paragraph"/>
    <w:basedOn w:val="a"/>
    <w:uiPriority w:val="1"/>
    <w:qFormat/>
    <w:rsid w:val="00205971"/>
    <w:pPr>
      <w:widowControl w:val="0"/>
      <w:autoSpaceDE w:val="0"/>
      <w:autoSpaceDN w:val="0"/>
      <w:spacing w:line="210" w:lineRule="exact"/>
    </w:pPr>
    <w:rPr>
      <w:rFonts w:eastAsia="Times New Roman"/>
      <w:sz w:val="22"/>
      <w:szCs w:val="22"/>
      <w:lang w:bidi="en-US"/>
    </w:rPr>
  </w:style>
  <w:style w:type="paragraph" w:styleId="a9">
    <w:name w:val="Revision"/>
    <w:hidden/>
    <w:uiPriority w:val="99"/>
    <w:semiHidden/>
    <w:rsid w:val="00A30E97"/>
    <w:rPr>
      <w:sz w:val="24"/>
      <w:szCs w:val="24"/>
    </w:rPr>
  </w:style>
  <w:style w:type="paragraph" w:styleId="aa">
    <w:name w:val="Balloon Text"/>
    <w:basedOn w:val="a"/>
    <w:link w:val="Char4"/>
    <w:rsid w:val="00222E45"/>
    <w:rPr>
      <w:sz w:val="18"/>
      <w:szCs w:val="18"/>
    </w:rPr>
  </w:style>
  <w:style w:type="character" w:customStyle="1" w:styleId="Char4">
    <w:name w:val="批注框文本 Char"/>
    <w:basedOn w:val="a0"/>
    <w:link w:val="aa"/>
    <w:rsid w:val="00222E45"/>
    <w:rPr>
      <w:sz w:val="18"/>
      <w:szCs w:val="18"/>
    </w:rPr>
  </w:style>
  <w:style w:type="character" w:styleId="ab">
    <w:name w:val="Hyperlink"/>
    <w:basedOn w:val="a0"/>
    <w:rsid w:val="00222E45"/>
    <w:rPr>
      <w:color w:val="0000FF" w:themeColor="hyperlink"/>
      <w:u w:val="single"/>
    </w:rPr>
  </w:style>
  <w:style w:type="character" w:customStyle="1" w:styleId="UnresolvedMention">
    <w:name w:val="Unresolved Mention"/>
    <w:basedOn w:val="a0"/>
    <w:uiPriority w:val="99"/>
    <w:semiHidden/>
    <w:unhideWhenUsed/>
    <w:rsid w:val="0022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3979">
      <w:bodyDiv w:val="1"/>
      <w:marLeft w:val="0"/>
      <w:marRight w:val="0"/>
      <w:marTop w:val="0"/>
      <w:marBottom w:val="0"/>
      <w:divBdr>
        <w:top w:val="none" w:sz="0" w:space="0" w:color="auto"/>
        <w:left w:val="none" w:sz="0" w:space="0" w:color="auto"/>
        <w:bottom w:val="none" w:sz="0" w:space="0" w:color="auto"/>
        <w:right w:val="none" w:sz="0" w:space="0" w:color="auto"/>
      </w:divBdr>
    </w:div>
    <w:div w:id="169076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ihane.benass@gmail.com"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ct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icament.ma/" TargetMode="External"/><Relationship Id="rId4" Type="http://schemas.openxmlformats.org/officeDocument/2006/relationships/webSettings" Target="webSettings.xml"/><Relationship Id="rId9" Type="http://schemas.openxmlformats.org/officeDocument/2006/relationships/hyperlink" Target="http://www.pactr.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21</cp:revision>
  <dcterms:created xsi:type="dcterms:W3CDTF">2024-01-02T20:32:00Z</dcterms:created>
  <dcterms:modified xsi:type="dcterms:W3CDTF">2024-02-04T23:41:00Z</dcterms:modified>
</cp:coreProperties>
</file>